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1670D2">
      <w:pPr>
        <w:ind w:firstLine="0" w:firstLineChars="0"/>
        <w:jc w:val="center"/>
        <w:rPr>
          <w:rFonts w:ascii="黑体" w:hAnsi="黑体" w:eastAsia="黑体"/>
          <w:sz w:val="48"/>
          <w:szCs w:val="48"/>
          <w:highlight w:val="none"/>
        </w:rPr>
      </w:pPr>
    </w:p>
    <w:p w14:paraId="63A8CA1C">
      <w:pPr>
        <w:ind w:firstLine="0" w:firstLineChars="0"/>
        <w:jc w:val="center"/>
        <w:rPr>
          <w:rFonts w:ascii="黑体" w:hAnsi="黑体" w:eastAsia="黑体"/>
          <w:sz w:val="48"/>
          <w:szCs w:val="48"/>
          <w:highlight w:val="none"/>
        </w:rPr>
      </w:pPr>
    </w:p>
    <w:p w14:paraId="472ED19D">
      <w:pPr>
        <w:ind w:firstLine="0" w:firstLineChars="0"/>
        <w:jc w:val="center"/>
        <w:rPr>
          <w:rFonts w:ascii="黑体" w:hAnsi="黑体" w:eastAsia="黑体"/>
          <w:sz w:val="52"/>
          <w:szCs w:val="52"/>
          <w:highlight w:val="none"/>
        </w:rPr>
      </w:pPr>
      <w:r>
        <w:rPr>
          <w:rFonts w:hint="eastAsia" w:ascii="黑体" w:hAnsi="黑体" w:eastAsia="黑体"/>
          <w:sz w:val="52"/>
          <w:szCs w:val="52"/>
          <w:highlight w:val="none"/>
        </w:rPr>
        <w:t>城管执法指挥监管平台建设项目(2026年升级改造)</w:t>
      </w:r>
    </w:p>
    <w:p w14:paraId="6F79B424">
      <w:pPr>
        <w:ind w:firstLine="0" w:firstLineChars="0"/>
        <w:jc w:val="center"/>
        <w:rPr>
          <w:rFonts w:ascii="黑体" w:hAnsi="黑体" w:eastAsia="黑体"/>
          <w:sz w:val="52"/>
          <w:szCs w:val="52"/>
          <w:highlight w:val="none"/>
        </w:rPr>
      </w:pPr>
      <w:r>
        <w:rPr>
          <w:rFonts w:hint="eastAsia" w:ascii="黑体" w:hAnsi="黑体" w:eastAsia="黑体"/>
          <w:sz w:val="52"/>
          <w:szCs w:val="52"/>
          <w:highlight w:val="none"/>
        </w:rPr>
        <w:t>采购需求</w:t>
      </w:r>
    </w:p>
    <w:p w14:paraId="69941468">
      <w:pPr>
        <w:ind w:firstLine="0" w:firstLineChars="0"/>
        <w:jc w:val="center"/>
        <w:rPr>
          <w:rFonts w:ascii="黑体" w:hAnsi="黑体" w:eastAsia="黑体"/>
          <w:sz w:val="72"/>
          <w:szCs w:val="72"/>
          <w:highlight w:val="none"/>
        </w:rPr>
      </w:pPr>
    </w:p>
    <w:p w14:paraId="418A937B">
      <w:pPr>
        <w:ind w:firstLine="0" w:firstLineChars="0"/>
        <w:jc w:val="center"/>
        <w:rPr>
          <w:rFonts w:ascii="黑体" w:hAnsi="黑体" w:eastAsia="黑体"/>
          <w:sz w:val="48"/>
          <w:szCs w:val="48"/>
          <w:highlight w:val="none"/>
        </w:rPr>
      </w:pPr>
    </w:p>
    <w:p w14:paraId="2A51995A">
      <w:pPr>
        <w:ind w:firstLine="0" w:firstLineChars="0"/>
        <w:jc w:val="center"/>
        <w:rPr>
          <w:rFonts w:ascii="黑体" w:hAnsi="黑体" w:eastAsia="黑体"/>
          <w:sz w:val="52"/>
          <w:szCs w:val="52"/>
          <w:highlight w:val="none"/>
        </w:rPr>
      </w:pPr>
    </w:p>
    <w:p w14:paraId="08763457">
      <w:pPr>
        <w:ind w:firstLine="1040"/>
        <w:rPr>
          <w:rFonts w:ascii="黑体" w:hAnsi="黑体" w:eastAsia="黑体"/>
          <w:sz w:val="52"/>
          <w:szCs w:val="52"/>
          <w:highlight w:val="none"/>
        </w:rPr>
      </w:pPr>
    </w:p>
    <w:p w14:paraId="735AA70A">
      <w:pPr>
        <w:rPr>
          <w:highlight w:val="none"/>
        </w:rPr>
      </w:pPr>
    </w:p>
    <w:p w14:paraId="3E3796C1">
      <w:pPr>
        <w:rPr>
          <w:highlight w:val="none"/>
        </w:rPr>
      </w:pPr>
    </w:p>
    <w:p w14:paraId="5D956A5D">
      <w:pPr>
        <w:rPr>
          <w:highlight w:val="none"/>
        </w:rPr>
      </w:pPr>
    </w:p>
    <w:p w14:paraId="3A2921BE">
      <w:pPr>
        <w:rPr>
          <w:highlight w:val="none"/>
        </w:rPr>
      </w:pPr>
    </w:p>
    <w:p w14:paraId="715DE922">
      <w:pPr>
        <w:rPr>
          <w:highlight w:val="none"/>
        </w:rPr>
      </w:pPr>
    </w:p>
    <w:p w14:paraId="3E56E393">
      <w:pPr>
        <w:ind w:firstLine="1040"/>
        <w:rPr>
          <w:rFonts w:ascii="黑体" w:hAnsi="黑体" w:eastAsia="黑体"/>
          <w:sz w:val="52"/>
          <w:szCs w:val="52"/>
          <w:highlight w:val="none"/>
        </w:rPr>
      </w:pPr>
    </w:p>
    <w:p w14:paraId="43D11585">
      <w:pPr>
        <w:jc w:val="center"/>
        <w:rPr>
          <w:highlight w:val="none"/>
        </w:rPr>
        <w:sectPr>
          <w:headerReference r:id="rId7" w:type="first"/>
          <w:footerReference r:id="rId10" w:type="first"/>
          <w:headerReference r:id="rId5" w:type="default"/>
          <w:footerReference r:id="rId8" w:type="default"/>
          <w:headerReference r:id="rId6" w:type="even"/>
          <w:footerReference r:id="rId9" w:type="even"/>
          <w:pgSz w:w="11906" w:h="16838"/>
          <w:pgMar w:top="1134" w:right="1797" w:bottom="1135" w:left="1797" w:header="340" w:footer="7" w:gutter="0"/>
          <w:pgNumType w:start="1"/>
          <w:cols w:space="720" w:num="1"/>
          <w:titlePg/>
          <w:docGrid w:type="linesAndChars" w:linePitch="326" w:charSpace="0"/>
        </w:sectPr>
      </w:pPr>
    </w:p>
    <w:p w14:paraId="7D481F06">
      <w:pPr>
        <w:pStyle w:val="2"/>
        <w:rPr>
          <w:highlight w:val="none"/>
        </w:rPr>
      </w:pPr>
      <w:bookmarkStart w:id="0" w:name="_Toc63785461"/>
      <w:r>
        <w:rPr>
          <w:rFonts w:hint="eastAsia"/>
          <w:highlight w:val="none"/>
        </w:rPr>
        <w:t>项目概况</w:t>
      </w:r>
      <w:bookmarkEnd w:id="0"/>
    </w:p>
    <w:p w14:paraId="3DAB623D">
      <w:pPr>
        <w:spacing w:line="560" w:lineRule="exact"/>
        <w:rPr>
          <w:highlight w:val="none"/>
        </w:rPr>
      </w:pPr>
      <w:r>
        <w:rPr>
          <w:rFonts w:hint="eastAsia"/>
          <w:highlight w:val="none"/>
        </w:rPr>
        <w:t>项目背景：</w:t>
      </w:r>
      <w:r>
        <w:rPr>
          <w:rFonts w:hint="eastAsia" w:cs="宋体"/>
          <w:highlight w:val="none"/>
        </w:rPr>
        <w:t>随着执法体制改革持续深化，城管行政执法力量下沉街道，郊区水务领域行政执法职责交由郊区城市管理行政执法局执法大队承担，对上海市整条城市管理行政执法条线在管理方式、执法流程等方面均产生了较大变化和影响。根据《关于进一步加强城市建筑垃圾治理的意见》《上海市人民政府办公厅关于规范本市涉企行政检查的实施意见》《上海市聚焦提升企业感受 持续打造国际一流营商环境行动方案》《住房城乡建设部办公厅关于推进严格规范公正文明执法提升城市管理执法和服务质量的指导意见》《上海市人民政府办公厅关于全面加强建筑垃圾管理的实施意见》《上海市城市管理综合行政执法条例实施办法》等文件的要求，对落实涉企检查、深化专项执法检查、建立健全水务执法检查、开展燃气安全专项整治、深化建筑垃圾高效监管、加强住宅小区综合监管等方面都提出了明确的工作要求。因此，需要对城管执法指挥监管平台进行升级改造，优化和新增系统功能，有效支撑全市执法指挥监管工作的开展，落实执法力量下沉工作要求。</w:t>
      </w:r>
    </w:p>
    <w:p w14:paraId="6EB419D6">
      <w:pPr>
        <w:spacing w:line="560" w:lineRule="exact"/>
        <w:rPr>
          <w:highlight w:val="none"/>
        </w:rPr>
      </w:pPr>
      <w:r>
        <w:rPr>
          <w:rFonts w:hint="eastAsia" w:cs="宋体"/>
          <w:highlight w:val="none"/>
        </w:rPr>
        <w:t>项目现状：上海市城管执法综合指挥监管平台建设于2016年，项目建设主要以信息化解决城管三级统一指挥协调顺畅、快速反应等问题，形成市局统一指挥、各区合成作战的模式。目前平台拥有综合执法监督指导、地图应用、数据统计和报表、城管执法诉件管理、城管执法绩效考核、信访案件转办管理、人才发展管理、户外广告处置管理、街镇评议管理、住宅小区综合监管等多个子系统。2020年建成上海城管执法对象监管系统，目前已建设了沿街经营单位、店招店牌、沿街广告、餐厨垃圾、废弃油脂、小区物业、生活垃圾分类、建筑工地、历史保护建筑、房地产经纪机构和人员、房地产开发和租赁企业等21个全市城管执法主题对象库。2024年上海市城管执法局对城管执法综合指挥监管平台、城管执法对象监管系统、无证建筑管理系统进行梳理整合并形成“城管执法指挥监管平台”，并新建责任制监督、进社区管理、投诉件转办、道路交通秩序联合执法、建筑垃圾案件跨区移交、融合模式执法检查、燃气执法对象管理等功能模块。</w:t>
      </w:r>
    </w:p>
    <w:p w14:paraId="40DA3F76">
      <w:pPr>
        <w:pStyle w:val="2"/>
        <w:rPr>
          <w:highlight w:val="none"/>
        </w:rPr>
      </w:pPr>
      <w:bookmarkStart w:id="1" w:name="_Toc47532891"/>
      <w:bookmarkEnd w:id="1"/>
      <w:bookmarkStart w:id="2" w:name="_Toc47533256"/>
      <w:bookmarkEnd w:id="2"/>
      <w:bookmarkStart w:id="3" w:name="_Toc47536644"/>
      <w:bookmarkEnd w:id="3"/>
      <w:bookmarkStart w:id="4" w:name="_Toc47536272"/>
      <w:bookmarkEnd w:id="4"/>
      <w:bookmarkStart w:id="5" w:name="_Toc47537134"/>
      <w:bookmarkEnd w:id="5"/>
      <w:bookmarkStart w:id="6" w:name="_Toc47531634"/>
      <w:bookmarkEnd w:id="6"/>
      <w:bookmarkStart w:id="7" w:name="_Toc47539070"/>
      <w:bookmarkEnd w:id="7"/>
      <w:bookmarkStart w:id="8" w:name="_Toc47532255"/>
      <w:bookmarkEnd w:id="8"/>
      <w:bookmarkStart w:id="9" w:name="_Toc48223882"/>
      <w:bookmarkStart w:id="10" w:name="_Toc63785463"/>
      <w:r>
        <w:rPr>
          <w:rFonts w:hint="eastAsia"/>
          <w:highlight w:val="none"/>
        </w:rPr>
        <w:t>建设目标</w:t>
      </w:r>
      <w:bookmarkEnd w:id="9"/>
      <w:bookmarkEnd w:id="10"/>
    </w:p>
    <w:p w14:paraId="6D3812FC">
      <w:pPr>
        <w:rPr>
          <w:rFonts w:cs="宋体"/>
          <w:highlight w:val="none"/>
        </w:rPr>
      </w:pPr>
      <w:r>
        <w:rPr>
          <w:rFonts w:hint="eastAsia" w:cs="宋体"/>
          <w:highlight w:val="none"/>
        </w:rPr>
        <w:t>从城管执法指挥监管平台架构层面，通过完善综合指挥监管，对人才发展管理、综合执法监督指导、执法装备数据库、执法勤务数据库进行升级，新建建筑垃圾案件移送线索管理、管执联动综合监管、智能案件监督</w:t>
      </w:r>
      <w:r>
        <w:rPr>
          <w:rFonts w:hint="eastAsia" w:cs="宋体"/>
          <w:highlight w:val="none"/>
          <w:lang w:eastAsia="zh-CN"/>
        </w:rPr>
        <w:t>；</w:t>
      </w:r>
      <w:r>
        <w:rPr>
          <w:rFonts w:hint="eastAsia" w:cs="宋体"/>
          <w:highlight w:val="none"/>
        </w:rPr>
        <w:t>完善城管执法对象监管，升级新增对象库，新建水务执法检查、小区专项检查、涉企检查、燃气执法检查，实现执法资源优化配置、跨域跨部门业务高效协同、重点领域精准治理与营商环境系统优化，起到夯实城市精细化管理基础、提升治理能力现代化水平的核心支撑作用。</w:t>
      </w:r>
    </w:p>
    <w:p w14:paraId="0B448582">
      <w:pPr>
        <w:rPr>
          <w:rFonts w:cs="宋体"/>
          <w:highlight w:val="none"/>
        </w:rPr>
      </w:pPr>
      <w:r>
        <w:rPr>
          <w:rFonts w:hint="eastAsia" w:cs="宋体"/>
          <w:highlight w:val="none"/>
        </w:rPr>
        <w:t>通过本项目的建设拟实现的应用指标、技术指标和绩效目标如下：</w:t>
      </w:r>
    </w:p>
    <w:p w14:paraId="297CBCF9">
      <w:pPr>
        <w:numPr>
          <w:ilvl w:val="0"/>
          <w:numId w:val="2"/>
        </w:numPr>
        <w:ind w:firstLineChars="0"/>
        <w:rPr>
          <w:b/>
          <w:highlight w:val="none"/>
        </w:rPr>
      </w:pPr>
      <w:r>
        <w:rPr>
          <w:rFonts w:hint="eastAsia"/>
          <w:b/>
          <w:highlight w:val="none"/>
        </w:rPr>
        <w:t>应用指标:</w:t>
      </w:r>
    </w:p>
    <w:p w14:paraId="25E8B42B">
      <w:pPr>
        <w:rPr>
          <w:rFonts w:cs="宋体"/>
          <w:highlight w:val="none"/>
        </w:rPr>
      </w:pPr>
      <w:r>
        <w:rPr>
          <w:rFonts w:hint="eastAsia" w:cs="宋体"/>
          <w:highlight w:val="none"/>
        </w:rPr>
        <w:t>本次项目为原系统升级改造，要求与原系统实现功能衔接和数据兼容。采购人将在合同签订后向</w:t>
      </w:r>
      <w:r>
        <w:rPr>
          <w:rFonts w:hint="eastAsia" w:cs="宋体"/>
          <w:highlight w:val="none"/>
          <w:lang w:eastAsia="zh-CN"/>
        </w:rPr>
        <w:t>成交供应商</w:t>
      </w:r>
      <w:r>
        <w:rPr>
          <w:rFonts w:hint="eastAsia" w:cs="宋体"/>
          <w:highlight w:val="none"/>
        </w:rPr>
        <w:t>提供原系统的接口规范文档、数据库结构文档及必要的技术说明。</w:t>
      </w:r>
      <w:r>
        <w:rPr>
          <w:rFonts w:hint="eastAsia" w:cs="宋体"/>
          <w:highlight w:val="none"/>
          <w:lang w:eastAsia="zh-CN"/>
        </w:rPr>
        <w:t>成交供应商</w:t>
      </w:r>
      <w:r>
        <w:rPr>
          <w:rFonts w:hint="eastAsia" w:cs="宋体"/>
          <w:highlight w:val="none"/>
        </w:rPr>
        <w:t>可采用满足国产化要求的主流技术框架进行开发，但须确保与原系统的互联互通。要求系统满足指挥监管业务日常办理需要。</w:t>
      </w:r>
    </w:p>
    <w:p w14:paraId="70CE66C4">
      <w:pPr>
        <w:numPr>
          <w:ilvl w:val="0"/>
          <w:numId w:val="2"/>
        </w:numPr>
        <w:ind w:firstLineChars="0"/>
        <w:rPr>
          <w:b/>
          <w:highlight w:val="none"/>
        </w:rPr>
      </w:pPr>
      <w:r>
        <w:rPr>
          <w:rFonts w:hint="eastAsia"/>
          <w:b/>
          <w:highlight w:val="none"/>
        </w:rPr>
        <w:t>技术指标：</w:t>
      </w:r>
    </w:p>
    <w:p w14:paraId="686080A5">
      <w:pPr>
        <w:rPr>
          <w:rFonts w:cs="宋体"/>
          <w:highlight w:val="none"/>
        </w:rPr>
      </w:pPr>
      <w:r>
        <w:rPr>
          <w:rFonts w:hint="eastAsia" w:cs="宋体"/>
          <w:highlight w:val="none"/>
        </w:rPr>
        <w:t>（1）系统并发量不低于50（符合国产化环境）。</w:t>
      </w:r>
    </w:p>
    <w:p w14:paraId="6B8352B7">
      <w:pPr>
        <w:rPr>
          <w:rFonts w:cs="宋体"/>
          <w:highlight w:val="none"/>
        </w:rPr>
      </w:pPr>
      <w:r>
        <w:rPr>
          <w:rFonts w:hint="eastAsia" w:cs="宋体"/>
          <w:highlight w:val="none"/>
        </w:rPr>
        <w:t>（2）用户登录账号操作响应时间应小于2秒；</w:t>
      </w:r>
    </w:p>
    <w:p w14:paraId="5412BDBE">
      <w:pPr>
        <w:rPr>
          <w:rFonts w:cs="宋体"/>
          <w:highlight w:val="none"/>
        </w:rPr>
      </w:pPr>
      <w:r>
        <w:rPr>
          <w:rFonts w:hint="eastAsia" w:cs="宋体"/>
          <w:highlight w:val="none"/>
        </w:rPr>
        <w:t>（3）普通查询操作响应时间应小于5秒；</w:t>
      </w:r>
    </w:p>
    <w:p w14:paraId="1F40D3CE">
      <w:pPr>
        <w:rPr>
          <w:rFonts w:cs="宋体"/>
          <w:highlight w:val="none"/>
        </w:rPr>
      </w:pPr>
      <w:r>
        <w:rPr>
          <w:rFonts w:hint="eastAsia" w:cs="宋体"/>
          <w:highlight w:val="none"/>
        </w:rPr>
        <w:t>（4）综合查询统计操作应小于10秒。</w:t>
      </w:r>
    </w:p>
    <w:p w14:paraId="17493A54">
      <w:pPr>
        <w:numPr>
          <w:ilvl w:val="0"/>
          <w:numId w:val="2"/>
        </w:numPr>
        <w:ind w:firstLineChars="0"/>
        <w:rPr>
          <w:b/>
          <w:highlight w:val="none"/>
        </w:rPr>
      </w:pPr>
      <w:r>
        <w:rPr>
          <w:rFonts w:hint="eastAsia"/>
          <w:b/>
          <w:highlight w:val="none"/>
        </w:rPr>
        <w:t>绩效目标：</w:t>
      </w:r>
    </w:p>
    <w:p w14:paraId="76506226">
      <w:pPr>
        <w:rPr>
          <w:rFonts w:cs="宋体"/>
          <w:highlight w:val="none"/>
        </w:rPr>
      </w:pPr>
      <w:r>
        <w:rPr>
          <w:rFonts w:hint="eastAsia" w:cs="宋体"/>
          <w:highlight w:val="none"/>
        </w:rPr>
        <w:t>（1）时效考核目标：2026年11月30日前完成项目建设；</w:t>
      </w:r>
    </w:p>
    <w:p w14:paraId="4E8B6963">
      <w:pPr>
        <w:rPr>
          <w:rFonts w:cs="宋体"/>
          <w:highlight w:val="none"/>
        </w:rPr>
      </w:pPr>
      <w:r>
        <w:rPr>
          <w:rFonts w:hint="eastAsia" w:cs="宋体"/>
          <w:highlight w:val="none"/>
        </w:rPr>
        <w:t>（2）业务考核目标：项目改造完成后，系统满足城管执法指挥监管平台业务的工作要求，系统运行稳定高效、安全可靠；</w:t>
      </w:r>
    </w:p>
    <w:p w14:paraId="048C609E">
      <w:pPr>
        <w:rPr>
          <w:rFonts w:cs="宋体"/>
          <w:highlight w:val="none"/>
        </w:rPr>
      </w:pPr>
      <w:r>
        <w:rPr>
          <w:rFonts w:hint="eastAsia" w:cs="宋体"/>
          <w:highlight w:val="none"/>
        </w:rPr>
        <w:t>（3）功能考核目标：项目改造完成后，本项目改造的各功能模块正常运行比例达到100%；</w:t>
      </w:r>
    </w:p>
    <w:p w14:paraId="16EB5730">
      <w:pPr>
        <w:rPr>
          <w:rFonts w:cs="宋体"/>
          <w:highlight w:val="none"/>
        </w:rPr>
      </w:pPr>
      <w:r>
        <w:rPr>
          <w:rFonts w:hint="eastAsia" w:cs="宋体"/>
          <w:highlight w:val="none"/>
        </w:rPr>
        <w:t>（4）安全考核目标：系统采用等保二级的安全体系，保证数据在处理和传输全过程的安全性。</w:t>
      </w:r>
    </w:p>
    <w:p w14:paraId="41911508">
      <w:pPr>
        <w:pStyle w:val="2"/>
        <w:rPr>
          <w:highlight w:val="none"/>
        </w:rPr>
      </w:pPr>
      <w:bookmarkStart w:id="11" w:name="_Toc47536676"/>
      <w:bookmarkEnd w:id="11"/>
      <w:bookmarkStart w:id="12" w:name="_Toc47536304"/>
      <w:bookmarkEnd w:id="12"/>
      <w:bookmarkStart w:id="13" w:name="_Toc47532923"/>
      <w:bookmarkEnd w:id="13"/>
      <w:bookmarkStart w:id="14" w:name="_Toc47537166"/>
      <w:bookmarkEnd w:id="14"/>
      <w:bookmarkStart w:id="15" w:name="_Toc47533288"/>
      <w:bookmarkEnd w:id="15"/>
      <w:bookmarkStart w:id="16" w:name="_Toc47539102"/>
      <w:bookmarkEnd w:id="16"/>
      <w:r>
        <w:rPr>
          <w:rFonts w:hint="eastAsia"/>
          <w:highlight w:val="none"/>
        </w:rPr>
        <w:t>项目建设内容</w:t>
      </w:r>
    </w:p>
    <w:p w14:paraId="7958DD71">
      <w:pPr>
        <w:widowControl/>
        <w:snapToGrid w:val="0"/>
        <w:ind w:firstLine="482"/>
        <w:jc w:val="left"/>
        <w:rPr>
          <w:b/>
          <w:highlight w:val="none"/>
        </w:rPr>
      </w:pPr>
      <w:r>
        <w:rPr>
          <w:rFonts w:hint="eastAsia"/>
          <w:b/>
          <w:highlight w:val="none"/>
        </w:rPr>
        <w:t>1、技术路线：</w:t>
      </w:r>
    </w:p>
    <w:p w14:paraId="4AC6A9DE">
      <w:pPr>
        <w:rPr>
          <w:rFonts w:cs="宋体"/>
          <w:highlight w:val="none"/>
        </w:rPr>
      </w:pPr>
      <w:r>
        <w:rPr>
          <w:rFonts w:hint="eastAsia" w:cs="宋体"/>
          <w:highlight w:val="none"/>
        </w:rPr>
        <w:t>（1）系统使用</w:t>
      </w:r>
      <w:r>
        <w:rPr>
          <w:rFonts w:cs="宋体"/>
          <w:highlight w:val="none"/>
        </w:rPr>
        <w:t>J</w:t>
      </w:r>
      <w:r>
        <w:rPr>
          <w:rFonts w:hint="eastAsia" w:cs="宋体"/>
          <w:highlight w:val="none"/>
        </w:rPr>
        <w:t>ava作为业务处理的开发语言；</w:t>
      </w:r>
    </w:p>
    <w:p w14:paraId="79FAC239">
      <w:pPr>
        <w:rPr>
          <w:rFonts w:cs="宋体"/>
          <w:highlight w:val="none"/>
        </w:rPr>
      </w:pPr>
      <w:r>
        <w:rPr>
          <w:rFonts w:hint="eastAsia" w:cs="宋体"/>
          <w:highlight w:val="none"/>
        </w:rPr>
        <w:t>（2）采用Java主流的技术应用框架；</w:t>
      </w:r>
    </w:p>
    <w:p w14:paraId="79167027">
      <w:pPr>
        <w:rPr>
          <w:rFonts w:cs="宋体"/>
          <w:highlight w:val="none"/>
        </w:rPr>
      </w:pPr>
      <w:r>
        <w:rPr>
          <w:rFonts w:hint="eastAsia" w:cs="宋体"/>
          <w:highlight w:val="none"/>
        </w:rPr>
        <w:t>（3）要求使用主流数据库，符合国产化的技术要求；</w:t>
      </w:r>
    </w:p>
    <w:p w14:paraId="5267D283">
      <w:pPr>
        <w:rPr>
          <w:rFonts w:cs="宋体"/>
          <w:highlight w:val="none"/>
        </w:rPr>
      </w:pPr>
      <w:r>
        <w:rPr>
          <w:rFonts w:hint="eastAsia" w:cs="宋体"/>
          <w:highlight w:val="none"/>
        </w:rPr>
        <w:t>（4）要求提供表单引擎、流程引擎等工具满足系统业务扩展需求。</w:t>
      </w:r>
    </w:p>
    <w:p w14:paraId="02763AB5">
      <w:pPr>
        <w:widowControl/>
        <w:snapToGrid w:val="0"/>
        <w:ind w:firstLine="482"/>
        <w:jc w:val="left"/>
        <w:rPr>
          <w:b/>
          <w:highlight w:val="none"/>
        </w:rPr>
      </w:pPr>
      <w:r>
        <w:rPr>
          <w:rFonts w:hint="eastAsia"/>
          <w:b/>
          <w:highlight w:val="none"/>
        </w:rPr>
        <w:t>2、系统架构：</w:t>
      </w:r>
    </w:p>
    <w:p w14:paraId="115F7811">
      <w:pPr>
        <w:pStyle w:val="9"/>
        <w:ind w:firstLine="0" w:firstLineChars="0"/>
        <w:rPr>
          <w:highlight w:val="none"/>
        </w:rPr>
      </w:pPr>
      <w:r>
        <w:rPr>
          <w:highlight w:val="none"/>
        </w:rPr>
        <w:drawing>
          <wp:inline distT="0" distB="0" distL="114300" distR="114300">
            <wp:extent cx="5330825" cy="4679950"/>
            <wp:effectExtent l="0" t="0" r="3175" b="635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3"/>
                    <a:stretch>
                      <a:fillRect/>
                    </a:stretch>
                  </pic:blipFill>
                  <pic:spPr>
                    <a:xfrm>
                      <a:off x="0" y="0"/>
                      <a:ext cx="5330825" cy="4679950"/>
                    </a:xfrm>
                    <a:prstGeom prst="rect">
                      <a:avLst/>
                    </a:prstGeom>
                  </pic:spPr>
                </pic:pic>
              </a:graphicData>
            </a:graphic>
          </wp:inline>
        </w:drawing>
      </w:r>
    </w:p>
    <w:p w14:paraId="3131EB7B">
      <w:pPr>
        <w:widowControl/>
        <w:snapToGrid w:val="0"/>
        <w:spacing w:line="440" w:lineRule="exact"/>
        <w:ind w:firstLine="482"/>
        <w:jc w:val="left"/>
        <w:rPr>
          <w:b/>
          <w:highlight w:val="none"/>
        </w:rPr>
      </w:pPr>
      <w:r>
        <w:rPr>
          <w:rFonts w:hint="eastAsia"/>
          <w:b/>
          <w:highlight w:val="none"/>
        </w:rPr>
        <w:t>3、部署环境：</w:t>
      </w:r>
    </w:p>
    <w:p w14:paraId="321EC795">
      <w:pPr>
        <w:widowControl/>
        <w:snapToGrid w:val="0"/>
        <w:jc w:val="left"/>
        <w:rPr>
          <w:bCs/>
          <w:highlight w:val="none"/>
        </w:rPr>
      </w:pPr>
      <w:r>
        <w:rPr>
          <w:rFonts w:hint="eastAsia"/>
          <w:bCs/>
          <w:highlight w:val="none"/>
        </w:rPr>
        <w:t>系统目前部署在上海市电子政务云，操作系统采用统信UOS/麒麟，数据库软件采用达梦/人大金仓，中间件采用东方通，部署网络为政务外网+互联网。</w:t>
      </w:r>
    </w:p>
    <w:p w14:paraId="5041F2FB">
      <w:pPr>
        <w:widowControl/>
        <w:snapToGrid w:val="0"/>
        <w:spacing w:line="440" w:lineRule="exact"/>
        <w:ind w:firstLine="482"/>
        <w:jc w:val="left"/>
        <w:rPr>
          <w:rFonts w:hint="eastAsia"/>
          <w:b/>
          <w:highlight w:val="none"/>
        </w:rPr>
      </w:pPr>
    </w:p>
    <w:p w14:paraId="5906D4D3">
      <w:pPr>
        <w:widowControl/>
        <w:snapToGrid w:val="0"/>
        <w:spacing w:line="440" w:lineRule="exact"/>
        <w:ind w:firstLine="482"/>
        <w:jc w:val="left"/>
        <w:rPr>
          <w:b/>
          <w:highlight w:val="none"/>
        </w:rPr>
      </w:pPr>
      <w:r>
        <w:rPr>
          <w:rFonts w:hint="eastAsia"/>
          <w:b/>
          <w:highlight w:val="none"/>
        </w:rPr>
        <w:t>4、软件开发清单：</w:t>
      </w:r>
    </w:p>
    <w:tbl>
      <w:tblPr>
        <w:tblStyle w:val="13"/>
        <w:tblW w:w="4998" w:type="pct"/>
        <w:tblInd w:w="0" w:type="dxa"/>
        <w:tblLayout w:type="autofit"/>
        <w:tblCellMar>
          <w:top w:w="0" w:type="dxa"/>
          <w:left w:w="108" w:type="dxa"/>
          <w:bottom w:w="0" w:type="dxa"/>
          <w:right w:w="108" w:type="dxa"/>
        </w:tblCellMar>
      </w:tblPr>
      <w:tblGrid>
        <w:gridCol w:w="785"/>
        <w:gridCol w:w="1883"/>
        <w:gridCol w:w="2449"/>
        <w:gridCol w:w="3408"/>
      </w:tblGrid>
      <w:tr w14:paraId="186C5DF3">
        <w:tblPrEx>
          <w:tblCellMar>
            <w:top w:w="0" w:type="dxa"/>
            <w:left w:w="108" w:type="dxa"/>
            <w:bottom w:w="0" w:type="dxa"/>
            <w:right w:w="108" w:type="dxa"/>
          </w:tblCellMar>
        </w:tblPrEx>
        <w:trPr>
          <w:trHeight w:val="280" w:hRule="atLeast"/>
        </w:trPr>
        <w:tc>
          <w:tcPr>
            <w:tcW w:w="460" w:type="pct"/>
            <w:tcBorders>
              <w:top w:val="single" w:color="000000" w:sz="4" w:space="0"/>
              <w:left w:val="single" w:color="000000" w:sz="4" w:space="0"/>
              <w:bottom w:val="single" w:color="000000" w:sz="4" w:space="0"/>
              <w:right w:val="single" w:color="000000" w:sz="4" w:space="0"/>
            </w:tcBorders>
            <w:shd w:val="clear" w:color="auto" w:fill="F3F8FC"/>
            <w:noWrap/>
            <w:vAlign w:val="center"/>
          </w:tcPr>
          <w:p w14:paraId="016D3DF6">
            <w:pPr>
              <w:widowControl/>
              <w:spacing w:line="240" w:lineRule="auto"/>
              <w:ind w:firstLine="0" w:firstLineChars="0"/>
              <w:jc w:val="center"/>
              <w:textAlignment w:val="center"/>
              <w:rPr>
                <w:rFonts w:cs="宋体"/>
                <w:b/>
                <w:bCs/>
                <w:color w:val="000000"/>
                <w:sz w:val="20"/>
                <w:szCs w:val="20"/>
                <w:highlight w:val="none"/>
              </w:rPr>
            </w:pPr>
            <w:r>
              <w:rPr>
                <w:rFonts w:hint="eastAsia" w:cs="宋体"/>
                <w:b/>
                <w:bCs/>
                <w:color w:val="000000"/>
                <w:kern w:val="0"/>
                <w:sz w:val="20"/>
                <w:szCs w:val="20"/>
                <w:highlight w:val="none"/>
                <w:lang w:bidi="ar"/>
              </w:rPr>
              <w:t>序号</w:t>
            </w:r>
          </w:p>
        </w:tc>
        <w:tc>
          <w:tcPr>
            <w:tcW w:w="1104" w:type="pct"/>
            <w:tcBorders>
              <w:top w:val="single" w:color="000000" w:sz="4" w:space="0"/>
              <w:left w:val="single" w:color="000000" w:sz="4" w:space="0"/>
              <w:bottom w:val="single" w:color="000000" w:sz="4" w:space="0"/>
              <w:right w:val="single" w:color="000000" w:sz="4" w:space="0"/>
            </w:tcBorders>
            <w:shd w:val="clear" w:color="auto" w:fill="F3F8FC"/>
            <w:noWrap/>
            <w:vAlign w:val="center"/>
          </w:tcPr>
          <w:p w14:paraId="51E7FD38">
            <w:pPr>
              <w:widowControl/>
              <w:spacing w:line="240" w:lineRule="auto"/>
              <w:ind w:firstLine="0" w:firstLineChars="0"/>
              <w:jc w:val="center"/>
              <w:textAlignment w:val="center"/>
              <w:rPr>
                <w:rFonts w:cs="宋体"/>
                <w:b/>
                <w:bCs/>
                <w:color w:val="000000"/>
                <w:sz w:val="20"/>
                <w:szCs w:val="20"/>
                <w:highlight w:val="none"/>
              </w:rPr>
            </w:pPr>
            <w:r>
              <w:rPr>
                <w:rFonts w:hint="eastAsia" w:cs="宋体"/>
                <w:b/>
                <w:bCs/>
                <w:color w:val="000000"/>
                <w:kern w:val="0"/>
                <w:sz w:val="20"/>
                <w:szCs w:val="20"/>
                <w:highlight w:val="none"/>
                <w:lang w:bidi="ar"/>
              </w:rPr>
              <w:t>应用系统名称</w:t>
            </w:r>
          </w:p>
        </w:tc>
        <w:tc>
          <w:tcPr>
            <w:tcW w:w="1436" w:type="pct"/>
            <w:tcBorders>
              <w:top w:val="single" w:color="000000" w:sz="4" w:space="0"/>
              <w:left w:val="single" w:color="000000" w:sz="4" w:space="0"/>
              <w:bottom w:val="single" w:color="000000" w:sz="4" w:space="0"/>
              <w:right w:val="single" w:color="000000" w:sz="4" w:space="0"/>
            </w:tcBorders>
            <w:shd w:val="clear" w:color="auto" w:fill="F3F8FC"/>
            <w:noWrap/>
            <w:vAlign w:val="center"/>
          </w:tcPr>
          <w:p w14:paraId="456CA802">
            <w:pPr>
              <w:widowControl/>
              <w:spacing w:line="240" w:lineRule="auto"/>
              <w:ind w:firstLine="0" w:firstLineChars="0"/>
              <w:jc w:val="center"/>
              <w:textAlignment w:val="center"/>
              <w:rPr>
                <w:rFonts w:cs="宋体"/>
                <w:b/>
                <w:bCs/>
                <w:color w:val="000000"/>
                <w:sz w:val="20"/>
                <w:szCs w:val="20"/>
                <w:highlight w:val="none"/>
              </w:rPr>
            </w:pPr>
            <w:r>
              <w:rPr>
                <w:rFonts w:hint="eastAsia" w:cs="宋体"/>
                <w:b/>
                <w:bCs/>
                <w:color w:val="000000"/>
                <w:kern w:val="0"/>
                <w:sz w:val="20"/>
                <w:szCs w:val="20"/>
                <w:highlight w:val="none"/>
                <w:lang w:bidi="ar"/>
              </w:rPr>
              <w:t>模块名称</w:t>
            </w:r>
          </w:p>
        </w:tc>
        <w:tc>
          <w:tcPr>
            <w:tcW w:w="1998" w:type="pct"/>
            <w:tcBorders>
              <w:top w:val="single" w:color="000000" w:sz="4" w:space="0"/>
              <w:left w:val="single" w:color="000000" w:sz="4" w:space="0"/>
              <w:bottom w:val="single" w:color="000000" w:sz="4" w:space="0"/>
              <w:right w:val="single" w:color="000000" w:sz="4" w:space="0"/>
            </w:tcBorders>
            <w:shd w:val="clear" w:color="auto" w:fill="F3F8FC"/>
          </w:tcPr>
          <w:p w14:paraId="3E3DC4CC">
            <w:pPr>
              <w:widowControl/>
              <w:spacing w:line="240" w:lineRule="auto"/>
              <w:ind w:firstLine="0" w:firstLineChars="0"/>
              <w:jc w:val="center"/>
              <w:textAlignment w:val="top"/>
              <w:rPr>
                <w:rFonts w:cs="宋体"/>
                <w:b/>
                <w:bCs/>
                <w:color w:val="000000"/>
                <w:sz w:val="20"/>
                <w:szCs w:val="20"/>
                <w:highlight w:val="none"/>
              </w:rPr>
            </w:pPr>
            <w:r>
              <w:rPr>
                <w:rFonts w:hint="eastAsia" w:cs="宋体"/>
                <w:b/>
                <w:bCs/>
                <w:color w:val="000000"/>
                <w:kern w:val="0"/>
                <w:sz w:val="20"/>
                <w:szCs w:val="20"/>
                <w:highlight w:val="none"/>
                <w:lang w:bidi="ar"/>
              </w:rPr>
              <w:t>模块描述</w:t>
            </w:r>
          </w:p>
        </w:tc>
      </w:tr>
      <w:tr w14:paraId="2A8265D0">
        <w:tblPrEx>
          <w:tblCellMar>
            <w:top w:w="0" w:type="dxa"/>
            <w:left w:w="108" w:type="dxa"/>
            <w:bottom w:w="0" w:type="dxa"/>
            <w:right w:w="108" w:type="dxa"/>
          </w:tblCellMar>
        </w:tblPrEx>
        <w:trPr>
          <w:trHeight w:val="520" w:hRule="atLeast"/>
        </w:trPr>
        <w:tc>
          <w:tcPr>
            <w:tcW w:w="460" w:type="pct"/>
            <w:tcBorders>
              <w:top w:val="single" w:color="000000" w:sz="4" w:space="0"/>
              <w:left w:val="single" w:color="000000" w:sz="4" w:space="0"/>
              <w:bottom w:val="single" w:color="000000" w:sz="4" w:space="0"/>
              <w:right w:val="single" w:color="000000" w:sz="4" w:space="0"/>
            </w:tcBorders>
            <w:noWrap/>
            <w:vAlign w:val="center"/>
          </w:tcPr>
          <w:p w14:paraId="073BF813">
            <w:pPr>
              <w:widowControl/>
              <w:spacing w:line="240" w:lineRule="auto"/>
              <w:ind w:firstLine="0" w:firstLineChars="0"/>
              <w:jc w:val="center"/>
              <w:textAlignment w:val="center"/>
              <w:rPr>
                <w:rFonts w:cs="宋体"/>
                <w:color w:val="000000"/>
                <w:sz w:val="20"/>
                <w:szCs w:val="20"/>
                <w:highlight w:val="none"/>
              </w:rPr>
            </w:pPr>
            <w:r>
              <w:rPr>
                <w:rFonts w:hint="eastAsia" w:cs="宋体"/>
                <w:color w:val="000000"/>
                <w:kern w:val="0"/>
                <w:sz w:val="20"/>
                <w:szCs w:val="20"/>
                <w:highlight w:val="none"/>
                <w:lang w:bidi="ar"/>
              </w:rPr>
              <w:t>1</w:t>
            </w:r>
          </w:p>
        </w:tc>
        <w:tc>
          <w:tcPr>
            <w:tcW w:w="1104" w:type="pct"/>
            <w:tcBorders>
              <w:top w:val="single" w:color="000000" w:sz="4" w:space="0"/>
              <w:left w:val="single" w:color="000000" w:sz="4" w:space="0"/>
              <w:bottom w:val="single" w:color="000000" w:sz="4" w:space="0"/>
              <w:right w:val="single" w:color="000000" w:sz="4" w:space="0"/>
            </w:tcBorders>
            <w:noWrap/>
            <w:vAlign w:val="center"/>
          </w:tcPr>
          <w:p w14:paraId="009960D1">
            <w:pPr>
              <w:widowControl/>
              <w:spacing w:line="240" w:lineRule="auto"/>
              <w:ind w:firstLine="0" w:firstLineChars="0"/>
              <w:jc w:val="left"/>
              <w:textAlignment w:val="center"/>
              <w:rPr>
                <w:rFonts w:cs="宋体"/>
                <w:color w:val="000000"/>
                <w:sz w:val="20"/>
                <w:szCs w:val="20"/>
                <w:highlight w:val="none"/>
              </w:rPr>
            </w:pPr>
            <w:r>
              <w:rPr>
                <w:rFonts w:hint="eastAsia" w:cs="宋体"/>
                <w:color w:val="000000"/>
                <w:kern w:val="0"/>
                <w:sz w:val="20"/>
                <w:szCs w:val="20"/>
                <w:highlight w:val="none"/>
                <w:lang w:bidi="ar"/>
              </w:rPr>
              <w:t>综合指挥监管</w:t>
            </w:r>
          </w:p>
        </w:tc>
        <w:tc>
          <w:tcPr>
            <w:tcW w:w="1436" w:type="pct"/>
            <w:tcBorders>
              <w:top w:val="single" w:color="000000" w:sz="4" w:space="0"/>
              <w:left w:val="single" w:color="000000" w:sz="4" w:space="0"/>
              <w:bottom w:val="single" w:color="000000" w:sz="4" w:space="0"/>
              <w:right w:val="single" w:color="000000" w:sz="4" w:space="0"/>
            </w:tcBorders>
            <w:vAlign w:val="center"/>
          </w:tcPr>
          <w:p w14:paraId="7714A462">
            <w:pPr>
              <w:widowControl/>
              <w:spacing w:line="240" w:lineRule="auto"/>
              <w:ind w:firstLine="0" w:firstLineChars="0"/>
              <w:jc w:val="center"/>
              <w:textAlignment w:val="center"/>
              <w:rPr>
                <w:rFonts w:cs="宋体"/>
                <w:color w:val="000000"/>
                <w:sz w:val="20"/>
                <w:szCs w:val="20"/>
                <w:highlight w:val="none"/>
              </w:rPr>
            </w:pPr>
            <w:r>
              <w:rPr>
                <w:rFonts w:hint="eastAsia" w:cs="宋体"/>
                <w:color w:val="000000"/>
                <w:kern w:val="0"/>
                <w:sz w:val="20"/>
                <w:szCs w:val="20"/>
                <w:highlight w:val="none"/>
                <w:lang w:bidi="ar"/>
              </w:rPr>
              <w:t>人才发展管理（</w:t>
            </w:r>
            <w:r>
              <w:rPr>
                <w:rFonts w:hint="eastAsia" w:cs="宋体"/>
                <w:color w:val="000000"/>
                <w:kern w:val="0"/>
                <w:sz w:val="20"/>
                <w:szCs w:val="20"/>
                <w:highlight w:val="none"/>
                <w:shd w:val="clear"/>
                <w:lang w:bidi="ar"/>
              </w:rPr>
              <w:t>升级</w:t>
            </w:r>
            <w:r>
              <w:rPr>
                <w:rFonts w:hint="eastAsia" w:cs="宋体"/>
                <w:color w:val="000000"/>
                <w:kern w:val="0"/>
                <w:sz w:val="20"/>
                <w:szCs w:val="20"/>
                <w:highlight w:val="none"/>
                <w:lang w:bidi="ar"/>
              </w:rPr>
              <w:t>）-任职档案（升级）-任职调整管理</w:t>
            </w:r>
          </w:p>
        </w:tc>
        <w:tc>
          <w:tcPr>
            <w:tcW w:w="1998" w:type="pct"/>
            <w:tcBorders>
              <w:top w:val="single" w:color="000000" w:sz="4" w:space="0"/>
              <w:left w:val="single" w:color="000000" w:sz="4" w:space="0"/>
              <w:bottom w:val="single" w:color="000000" w:sz="4" w:space="0"/>
              <w:right w:val="single" w:color="000000" w:sz="4" w:space="0"/>
            </w:tcBorders>
            <w:vAlign w:val="center"/>
          </w:tcPr>
          <w:p w14:paraId="3584FB59">
            <w:pPr>
              <w:widowControl/>
              <w:spacing w:line="240" w:lineRule="auto"/>
              <w:ind w:firstLine="0" w:firstLineChars="0"/>
              <w:jc w:val="left"/>
              <w:textAlignment w:val="center"/>
              <w:rPr>
                <w:rFonts w:cs="宋体"/>
                <w:color w:val="000000"/>
                <w:sz w:val="20"/>
                <w:szCs w:val="20"/>
                <w:highlight w:val="none"/>
              </w:rPr>
            </w:pPr>
            <w:r>
              <w:rPr>
                <w:rFonts w:hint="eastAsia" w:cs="宋体"/>
                <w:color w:val="000000"/>
                <w:kern w:val="0"/>
                <w:sz w:val="20"/>
                <w:szCs w:val="20"/>
                <w:highlight w:val="none"/>
                <w:lang w:bidi="ar"/>
              </w:rPr>
              <w:t>增加班组层级；增加任职调整管理功能，实现岗位变动、职级变动日志记录。</w:t>
            </w:r>
          </w:p>
        </w:tc>
      </w:tr>
      <w:tr w14:paraId="3BF67555">
        <w:tblPrEx>
          <w:tblCellMar>
            <w:top w:w="0" w:type="dxa"/>
            <w:left w:w="108" w:type="dxa"/>
            <w:bottom w:w="0" w:type="dxa"/>
            <w:right w:w="108" w:type="dxa"/>
          </w:tblCellMar>
        </w:tblPrEx>
        <w:trPr>
          <w:trHeight w:val="520" w:hRule="atLeast"/>
        </w:trPr>
        <w:tc>
          <w:tcPr>
            <w:tcW w:w="460" w:type="pct"/>
            <w:tcBorders>
              <w:top w:val="single" w:color="000000" w:sz="4" w:space="0"/>
              <w:left w:val="single" w:color="000000" w:sz="4" w:space="0"/>
              <w:bottom w:val="single" w:color="000000" w:sz="4" w:space="0"/>
              <w:right w:val="single" w:color="000000" w:sz="4" w:space="0"/>
            </w:tcBorders>
            <w:noWrap/>
            <w:vAlign w:val="center"/>
          </w:tcPr>
          <w:p w14:paraId="635602FF">
            <w:pPr>
              <w:widowControl/>
              <w:spacing w:line="240" w:lineRule="auto"/>
              <w:ind w:firstLine="0" w:firstLineChars="0"/>
              <w:jc w:val="center"/>
              <w:textAlignment w:val="center"/>
              <w:rPr>
                <w:rFonts w:cs="宋体"/>
                <w:color w:val="000000"/>
                <w:sz w:val="20"/>
                <w:szCs w:val="20"/>
                <w:highlight w:val="none"/>
              </w:rPr>
            </w:pPr>
            <w:r>
              <w:rPr>
                <w:rFonts w:hint="eastAsia" w:cs="宋体"/>
                <w:color w:val="000000"/>
                <w:kern w:val="0"/>
                <w:sz w:val="20"/>
                <w:szCs w:val="20"/>
                <w:highlight w:val="none"/>
                <w:lang w:bidi="ar"/>
              </w:rPr>
              <w:t>2</w:t>
            </w:r>
          </w:p>
        </w:tc>
        <w:tc>
          <w:tcPr>
            <w:tcW w:w="1104" w:type="pct"/>
            <w:tcBorders>
              <w:top w:val="single" w:color="000000" w:sz="4" w:space="0"/>
              <w:left w:val="single" w:color="000000" w:sz="4" w:space="0"/>
              <w:bottom w:val="single" w:color="000000" w:sz="4" w:space="0"/>
              <w:right w:val="single" w:color="000000" w:sz="4" w:space="0"/>
            </w:tcBorders>
            <w:noWrap/>
            <w:vAlign w:val="center"/>
          </w:tcPr>
          <w:p w14:paraId="734E764A">
            <w:pPr>
              <w:widowControl/>
              <w:spacing w:line="240" w:lineRule="auto"/>
              <w:ind w:firstLine="0" w:firstLineChars="0"/>
              <w:jc w:val="left"/>
              <w:textAlignment w:val="center"/>
              <w:rPr>
                <w:rFonts w:cs="宋体"/>
                <w:color w:val="000000"/>
                <w:sz w:val="20"/>
                <w:szCs w:val="20"/>
                <w:highlight w:val="none"/>
              </w:rPr>
            </w:pPr>
            <w:r>
              <w:rPr>
                <w:rFonts w:hint="eastAsia" w:cs="宋体"/>
                <w:color w:val="000000"/>
                <w:kern w:val="0"/>
                <w:sz w:val="20"/>
                <w:szCs w:val="20"/>
                <w:highlight w:val="none"/>
                <w:lang w:bidi="ar"/>
              </w:rPr>
              <w:t>综合指挥监管</w:t>
            </w:r>
          </w:p>
        </w:tc>
        <w:tc>
          <w:tcPr>
            <w:tcW w:w="1436" w:type="pct"/>
            <w:tcBorders>
              <w:top w:val="single" w:color="000000" w:sz="4" w:space="0"/>
              <w:left w:val="single" w:color="000000" w:sz="4" w:space="0"/>
              <w:bottom w:val="single" w:color="000000" w:sz="4" w:space="0"/>
              <w:right w:val="single" w:color="000000" w:sz="4" w:space="0"/>
            </w:tcBorders>
            <w:vAlign w:val="center"/>
          </w:tcPr>
          <w:p w14:paraId="22BB182D">
            <w:pPr>
              <w:widowControl/>
              <w:spacing w:line="240" w:lineRule="auto"/>
              <w:ind w:firstLine="0" w:firstLineChars="0"/>
              <w:jc w:val="center"/>
              <w:textAlignment w:val="center"/>
              <w:rPr>
                <w:rFonts w:cs="宋体"/>
                <w:color w:val="000000"/>
                <w:sz w:val="20"/>
                <w:szCs w:val="20"/>
                <w:highlight w:val="none"/>
              </w:rPr>
            </w:pPr>
            <w:r>
              <w:rPr>
                <w:rFonts w:hint="eastAsia" w:cs="宋体"/>
                <w:color w:val="000000"/>
                <w:kern w:val="0"/>
                <w:sz w:val="20"/>
                <w:szCs w:val="20"/>
                <w:highlight w:val="none"/>
                <w:lang w:bidi="ar"/>
              </w:rPr>
              <w:t>人才发展管理（升级）-任职档案（升级）-任职动态监测</w:t>
            </w:r>
          </w:p>
        </w:tc>
        <w:tc>
          <w:tcPr>
            <w:tcW w:w="1998" w:type="pct"/>
            <w:tcBorders>
              <w:top w:val="single" w:color="000000" w:sz="4" w:space="0"/>
              <w:left w:val="single" w:color="000000" w:sz="4" w:space="0"/>
              <w:bottom w:val="single" w:color="000000" w:sz="4" w:space="0"/>
              <w:right w:val="single" w:color="000000" w:sz="4" w:space="0"/>
            </w:tcBorders>
            <w:vAlign w:val="center"/>
          </w:tcPr>
          <w:p w14:paraId="13E55291">
            <w:pPr>
              <w:widowControl/>
              <w:spacing w:line="240" w:lineRule="auto"/>
              <w:ind w:firstLine="0" w:firstLineChars="0"/>
              <w:jc w:val="left"/>
              <w:textAlignment w:val="center"/>
              <w:rPr>
                <w:rFonts w:cs="宋体"/>
                <w:color w:val="000000"/>
                <w:sz w:val="20"/>
                <w:szCs w:val="20"/>
                <w:highlight w:val="none"/>
              </w:rPr>
            </w:pPr>
            <w:r>
              <w:rPr>
                <w:rFonts w:hint="eastAsia" w:cs="宋体"/>
                <w:color w:val="000000"/>
                <w:kern w:val="0"/>
                <w:sz w:val="20"/>
                <w:szCs w:val="20"/>
                <w:highlight w:val="none"/>
                <w:lang w:bidi="ar"/>
              </w:rPr>
              <w:t>实现队员任职监测、职级晋升监测。增加任职调整情况的分析功能。</w:t>
            </w:r>
          </w:p>
        </w:tc>
      </w:tr>
      <w:tr w14:paraId="47B97D3B">
        <w:tblPrEx>
          <w:tblCellMar>
            <w:top w:w="0" w:type="dxa"/>
            <w:left w:w="108" w:type="dxa"/>
            <w:bottom w:w="0" w:type="dxa"/>
            <w:right w:w="108" w:type="dxa"/>
          </w:tblCellMar>
        </w:tblPrEx>
        <w:trPr>
          <w:trHeight w:val="1300" w:hRule="atLeast"/>
        </w:trPr>
        <w:tc>
          <w:tcPr>
            <w:tcW w:w="460" w:type="pct"/>
            <w:tcBorders>
              <w:top w:val="single" w:color="000000" w:sz="4" w:space="0"/>
              <w:left w:val="single" w:color="000000" w:sz="4" w:space="0"/>
              <w:bottom w:val="single" w:color="000000" w:sz="4" w:space="0"/>
              <w:right w:val="single" w:color="000000" w:sz="4" w:space="0"/>
            </w:tcBorders>
            <w:noWrap/>
            <w:vAlign w:val="center"/>
          </w:tcPr>
          <w:p w14:paraId="0F19F2CE">
            <w:pPr>
              <w:widowControl/>
              <w:spacing w:line="240" w:lineRule="auto"/>
              <w:ind w:firstLine="0" w:firstLineChars="0"/>
              <w:jc w:val="center"/>
              <w:textAlignment w:val="center"/>
              <w:rPr>
                <w:rFonts w:cs="宋体"/>
                <w:color w:val="000000"/>
                <w:sz w:val="20"/>
                <w:szCs w:val="20"/>
                <w:highlight w:val="none"/>
              </w:rPr>
            </w:pPr>
            <w:r>
              <w:rPr>
                <w:rFonts w:hint="eastAsia" w:cs="宋体"/>
                <w:color w:val="000000"/>
                <w:kern w:val="0"/>
                <w:sz w:val="20"/>
                <w:szCs w:val="20"/>
                <w:highlight w:val="none"/>
                <w:lang w:bidi="ar"/>
              </w:rPr>
              <w:t>3</w:t>
            </w:r>
          </w:p>
        </w:tc>
        <w:tc>
          <w:tcPr>
            <w:tcW w:w="1104" w:type="pct"/>
            <w:tcBorders>
              <w:top w:val="single" w:color="000000" w:sz="4" w:space="0"/>
              <w:left w:val="single" w:color="000000" w:sz="4" w:space="0"/>
              <w:bottom w:val="single" w:color="000000" w:sz="4" w:space="0"/>
              <w:right w:val="single" w:color="000000" w:sz="4" w:space="0"/>
            </w:tcBorders>
            <w:noWrap/>
            <w:vAlign w:val="center"/>
          </w:tcPr>
          <w:p w14:paraId="4A98D4DE">
            <w:pPr>
              <w:widowControl/>
              <w:spacing w:line="240" w:lineRule="auto"/>
              <w:ind w:firstLine="0" w:firstLineChars="0"/>
              <w:jc w:val="left"/>
              <w:textAlignment w:val="center"/>
              <w:rPr>
                <w:rFonts w:cs="宋体"/>
                <w:color w:val="000000"/>
                <w:sz w:val="20"/>
                <w:szCs w:val="20"/>
                <w:highlight w:val="none"/>
              </w:rPr>
            </w:pPr>
            <w:r>
              <w:rPr>
                <w:rFonts w:hint="eastAsia" w:cs="宋体"/>
                <w:color w:val="000000"/>
                <w:kern w:val="0"/>
                <w:sz w:val="20"/>
                <w:szCs w:val="20"/>
                <w:highlight w:val="none"/>
                <w:lang w:bidi="ar"/>
              </w:rPr>
              <w:t>综合指挥监管</w:t>
            </w:r>
          </w:p>
        </w:tc>
        <w:tc>
          <w:tcPr>
            <w:tcW w:w="1436" w:type="pct"/>
            <w:tcBorders>
              <w:top w:val="single" w:color="000000" w:sz="4" w:space="0"/>
              <w:left w:val="single" w:color="000000" w:sz="4" w:space="0"/>
              <w:bottom w:val="single" w:color="000000" w:sz="4" w:space="0"/>
              <w:right w:val="single" w:color="000000" w:sz="4" w:space="0"/>
            </w:tcBorders>
            <w:vAlign w:val="center"/>
          </w:tcPr>
          <w:p w14:paraId="5318F198">
            <w:pPr>
              <w:widowControl/>
              <w:spacing w:line="240" w:lineRule="auto"/>
              <w:ind w:firstLine="0" w:firstLineChars="0"/>
              <w:jc w:val="center"/>
              <w:textAlignment w:val="center"/>
              <w:rPr>
                <w:rFonts w:cs="宋体"/>
                <w:color w:val="000000"/>
                <w:sz w:val="20"/>
                <w:szCs w:val="20"/>
                <w:highlight w:val="none"/>
              </w:rPr>
            </w:pPr>
            <w:r>
              <w:rPr>
                <w:rFonts w:hint="eastAsia" w:cs="宋体"/>
                <w:color w:val="000000"/>
                <w:kern w:val="0"/>
                <w:sz w:val="20"/>
                <w:szCs w:val="20"/>
                <w:highlight w:val="none"/>
                <w:lang w:bidi="ar"/>
              </w:rPr>
              <w:t>人才发展管理（升级）-转任交流（升级）-转任交流及晋升人员台账</w:t>
            </w:r>
          </w:p>
        </w:tc>
        <w:tc>
          <w:tcPr>
            <w:tcW w:w="1998" w:type="pct"/>
            <w:tcBorders>
              <w:top w:val="single" w:color="000000" w:sz="4" w:space="0"/>
              <w:left w:val="single" w:color="000000" w:sz="4" w:space="0"/>
              <w:bottom w:val="single" w:color="000000" w:sz="4" w:space="0"/>
              <w:right w:val="single" w:color="000000" w:sz="4" w:space="0"/>
            </w:tcBorders>
            <w:vAlign w:val="center"/>
          </w:tcPr>
          <w:p w14:paraId="24B64187">
            <w:pPr>
              <w:widowControl/>
              <w:spacing w:line="240" w:lineRule="auto"/>
              <w:ind w:firstLine="0" w:firstLineChars="0"/>
              <w:jc w:val="left"/>
              <w:textAlignment w:val="center"/>
              <w:rPr>
                <w:rFonts w:cs="宋体"/>
                <w:color w:val="000000"/>
                <w:sz w:val="20"/>
                <w:szCs w:val="20"/>
                <w:highlight w:val="none"/>
              </w:rPr>
            </w:pPr>
            <w:r>
              <w:rPr>
                <w:rFonts w:hint="eastAsia" w:cs="宋体"/>
                <w:color w:val="000000"/>
                <w:kern w:val="0"/>
                <w:sz w:val="20"/>
                <w:szCs w:val="20"/>
                <w:highlight w:val="none"/>
                <w:lang w:bidi="ar"/>
              </w:rPr>
              <w:t>关联执法人员库，多维度统计全市各区局执法人员情况并生成统计报表。设置查询规则，自动统计各中队未转任交流人数及详情、职级晋升人数及详情。实现转任制度落实监测。增加移动端个人发展台账记录功能。</w:t>
            </w:r>
          </w:p>
        </w:tc>
      </w:tr>
      <w:tr w14:paraId="514CC51D">
        <w:tblPrEx>
          <w:tblCellMar>
            <w:top w:w="0" w:type="dxa"/>
            <w:left w:w="108" w:type="dxa"/>
            <w:bottom w:w="0" w:type="dxa"/>
            <w:right w:w="108" w:type="dxa"/>
          </w:tblCellMar>
        </w:tblPrEx>
        <w:trPr>
          <w:trHeight w:val="553" w:hRule="atLeast"/>
        </w:trPr>
        <w:tc>
          <w:tcPr>
            <w:tcW w:w="460" w:type="pct"/>
            <w:tcBorders>
              <w:top w:val="single" w:color="000000" w:sz="4" w:space="0"/>
              <w:left w:val="single" w:color="000000" w:sz="4" w:space="0"/>
              <w:bottom w:val="single" w:color="000000" w:sz="4" w:space="0"/>
              <w:right w:val="single" w:color="000000" w:sz="4" w:space="0"/>
            </w:tcBorders>
            <w:noWrap/>
            <w:vAlign w:val="center"/>
          </w:tcPr>
          <w:p w14:paraId="5BFAE059">
            <w:pPr>
              <w:widowControl/>
              <w:spacing w:line="240" w:lineRule="auto"/>
              <w:ind w:firstLine="0" w:firstLineChars="0"/>
              <w:jc w:val="center"/>
              <w:textAlignment w:val="center"/>
              <w:rPr>
                <w:rFonts w:cs="宋体"/>
                <w:color w:val="000000"/>
                <w:sz w:val="20"/>
                <w:szCs w:val="20"/>
                <w:highlight w:val="none"/>
              </w:rPr>
            </w:pPr>
            <w:r>
              <w:rPr>
                <w:rFonts w:hint="eastAsia" w:cs="宋体"/>
                <w:color w:val="000000"/>
                <w:kern w:val="0"/>
                <w:sz w:val="20"/>
                <w:szCs w:val="20"/>
                <w:highlight w:val="none"/>
                <w:lang w:bidi="ar"/>
              </w:rPr>
              <w:t>4</w:t>
            </w:r>
          </w:p>
        </w:tc>
        <w:tc>
          <w:tcPr>
            <w:tcW w:w="1104" w:type="pct"/>
            <w:tcBorders>
              <w:top w:val="single" w:color="000000" w:sz="4" w:space="0"/>
              <w:left w:val="single" w:color="000000" w:sz="4" w:space="0"/>
              <w:bottom w:val="single" w:color="000000" w:sz="4" w:space="0"/>
              <w:right w:val="single" w:color="000000" w:sz="4" w:space="0"/>
            </w:tcBorders>
            <w:noWrap/>
            <w:vAlign w:val="center"/>
          </w:tcPr>
          <w:p w14:paraId="66F049A4">
            <w:pPr>
              <w:widowControl/>
              <w:spacing w:line="240" w:lineRule="auto"/>
              <w:ind w:firstLine="0" w:firstLineChars="0"/>
              <w:jc w:val="left"/>
              <w:textAlignment w:val="center"/>
              <w:rPr>
                <w:rFonts w:cs="宋体"/>
                <w:color w:val="000000"/>
                <w:sz w:val="20"/>
                <w:szCs w:val="20"/>
                <w:highlight w:val="none"/>
              </w:rPr>
            </w:pPr>
            <w:r>
              <w:rPr>
                <w:rFonts w:hint="eastAsia" w:cs="宋体"/>
                <w:color w:val="000000"/>
                <w:kern w:val="0"/>
                <w:sz w:val="20"/>
                <w:szCs w:val="20"/>
                <w:highlight w:val="none"/>
                <w:lang w:bidi="ar"/>
              </w:rPr>
              <w:t>综合指挥监管</w:t>
            </w:r>
          </w:p>
        </w:tc>
        <w:tc>
          <w:tcPr>
            <w:tcW w:w="1436" w:type="pct"/>
            <w:tcBorders>
              <w:top w:val="single" w:color="000000" w:sz="4" w:space="0"/>
              <w:left w:val="single" w:color="000000" w:sz="4" w:space="0"/>
              <w:bottom w:val="single" w:color="000000" w:sz="4" w:space="0"/>
              <w:right w:val="single" w:color="000000" w:sz="4" w:space="0"/>
            </w:tcBorders>
            <w:vAlign w:val="center"/>
          </w:tcPr>
          <w:p w14:paraId="16C7B162">
            <w:pPr>
              <w:widowControl/>
              <w:spacing w:line="240" w:lineRule="auto"/>
              <w:ind w:firstLine="0" w:firstLineChars="0"/>
              <w:jc w:val="center"/>
              <w:textAlignment w:val="center"/>
              <w:rPr>
                <w:rFonts w:cs="宋体"/>
                <w:color w:val="000000"/>
                <w:sz w:val="20"/>
                <w:szCs w:val="20"/>
                <w:highlight w:val="none"/>
              </w:rPr>
            </w:pPr>
            <w:r>
              <w:rPr>
                <w:rFonts w:hint="eastAsia" w:cs="宋体"/>
                <w:color w:val="000000"/>
                <w:kern w:val="0"/>
                <w:sz w:val="20"/>
                <w:szCs w:val="20"/>
                <w:highlight w:val="none"/>
                <w:lang w:bidi="ar"/>
              </w:rPr>
              <w:t>人才发展管理（升级）-转任交流（升级）-人才转任交流分析</w:t>
            </w:r>
          </w:p>
        </w:tc>
        <w:tc>
          <w:tcPr>
            <w:tcW w:w="1998" w:type="pct"/>
            <w:tcBorders>
              <w:top w:val="single" w:color="000000" w:sz="4" w:space="0"/>
              <w:left w:val="single" w:color="000000" w:sz="4" w:space="0"/>
              <w:bottom w:val="single" w:color="000000" w:sz="4" w:space="0"/>
              <w:right w:val="single" w:color="000000" w:sz="4" w:space="0"/>
            </w:tcBorders>
            <w:vAlign w:val="center"/>
          </w:tcPr>
          <w:p w14:paraId="108858CC">
            <w:pPr>
              <w:widowControl/>
              <w:spacing w:line="240" w:lineRule="auto"/>
              <w:ind w:firstLine="0" w:firstLineChars="0"/>
              <w:jc w:val="left"/>
              <w:textAlignment w:val="center"/>
              <w:rPr>
                <w:rFonts w:cs="宋体"/>
                <w:color w:val="000000"/>
                <w:sz w:val="20"/>
                <w:szCs w:val="20"/>
                <w:highlight w:val="none"/>
              </w:rPr>
            </w:pPr>
            <w:r>
              <w:rPr>
                <w:rFonts w:hint="eastAsia" w:cs="宋体"/>
                <w:color w:val="000000"/>
                <w:kern w:val="0"/>
                <w:sz w:val="20"/>
                <w:szCs w:val="20"/>
                <w:highlight w:val="none"/>
                <w:lang w:bidi="ar"/>
              </w:rPr>
              <w:t>以量化数据统计结果规范中队人才管理，根据中队转任交流情况与中队业务数据交互分析，指导中队人才管理。</w:t>
            </w:r>
          </w:p>
        </w:tc>
      </w:tr>
      <w:tr w14:paraId="602B17B3">
        <w:tblPrEx>
          <w:tblCellMar>
            <w:top w:w="0" w:type="dxa"/>
            <w:left w:w="108" w:type="dxa"/>
            <w:bottom w:w="0" w:type="dxa"/>
            <w:right w:w="108" w:type="dxa"/>
          </w:tblCellMar>
        </w:tblPrEx>
        <w:trPr>
          <w:trHeight w:val="520" w:hRule="atLeast"/>
        </w:trPr>
        <w:tc>
          <w:tcPr>
            <w:tcW w:w="460" w:type="pct"/>
            <w:tcBorders>
              <w:top w:val="single" w:color="000000" w:sz="4" w:space="0"/>
              <w:left w:val="single" w:color="000000" w:sz="4" w:space="0"/>
              <w:bottom w:val="single" w:color="000000" w:sz="4" w:space="0"/>
              <w:right w:val="single" w:color="000000" w:sz="4" w:space="0"/>
            </w:tcBorders>
            <w:noWrap/>
            <w:vAlign w:val="center"/>
          </w:tcPr>
          <w:p w14:paraId="17245F48">
            <w:pPr>
              <w:widowControl/>
              <w:spacing w:line="240" w:lineRule="auto"/>
              <w:ind w:firstLine="0" w:firstLineChars="0"/>
              <w:jc w:val="center"/>
              <w:textAlignment w:val="center"/>
              <w:rPr>
                <w:rFonts w:cs="宋体"/>
                <w:color w:val="000000"/>
                <w:sz w:val="20"/>
                <w:szCs w:val="20"/>
                <w:highlight w:val="none"/>
              </w:rPr>
            </w:pPr>
            <w:r>
              <w:rPr>
                <w:rFonts w:hint="eastAsia" w:cs="宋体"/>
                <w:color w:val="000000"/>
                <w:kern w:val="0"/>
                <w:sz w:val="20"/>
                <w:szCs w:val="20"/>
                <w:highlight w:val="none"/>
                <w:lang w:bidi="ar"/>
              </w:rPr>
              <w:t>5</w:t>
            </w:r>
          </w:p>
        </w:tc>
        <w:tc>
          <w:tcPr>
            <w:tcW w:w="1104" w:type="pct"/>
            <w:tcBorders>
              <w:top w:val="single" w:color="000000" w:sz="4" w:space="0"/>
              <w:left w:val="single" w:color="000000" w:sz="4" w:space="0"/>
              <w:bottom w:val="single" w:color="000000" w:sz="4" w:space="0"/>
              <w:right w:val="single" w:color="000000" w:sz="4" w:space="0"/>
            </w:tcBorders>
            <w:noWrap/>
            <w:vAlign w:val="center"/>
          </w:tcPr>
          <w:p w14:paraId="70F6932F">
            <w:pPr>
              <w:widowControl/>
              <w:spacing w:line="240" w:lineRule="auto"/>
              <w:ind w:firstLine="0" w:firstLineChars="0"/>
              <w:jc w:val="left"/>
              <w:textAlignment w:val="center"/>
              <w:rPr>
                <w:rFonts w:cs="宋体"/>
                <w:color w:val="000000"/>
                <w:sz w:val="20"/>
                <w:szCs w:val="20"/>
                <w:highlight w:val="none"/>
              </w:rPr>
            </w:pPr>
            <w:r>
              <w:rPr>
                <w:rFonts w:hint="eastAsia" w:cs="宋体"/>
                <w:color w:val="000000"/>
                <w:kern w:val="0"/>
                <w:sz w:val="20"/>
                <w:szCs w:val="20"/>
                <w:highlight w:val="none"/>
                <w:lang w:bidi="ar"/>
              </w:rPr>
              <w:t>综合指挥监管</w:t>
            </w:r>
          </w:p>
        </w:tc>
        <w:tc>
          <w:tcPr>
            <w:tcW w:w="1436" w:type="pct"/>
            <w:tcBorders>
              <w:top w:val="single" w:color="000000" w:sz="4" w:space="0"/>
              <w:left w:val="single" w:color="000000" w:sz="4" w:space="0"/>
              <w:bottom w:val="single" w:color="000000" w:sz="4" w:space="0"/>
              <w:right w:val="single" w:color="000000" w:sz="4" w:space="0"/>
            </w:tcBorders>
            <w:vAlign w:val="center"/>
          </w:tcPr>
          <w:p w14:paraId="658FDD98">
            <w:pPr>
              <w:widowControl/>
              <w:spacing w:line="240" w:lineRule="auto"/>
              <w:ind w:firstLine="0" w:firstLineChars="0"/>
              <w:jc w:val="center"/>
              <w:textAlignment w:val="center"/>
              <w:rPr>
                <w:rFonts w:cs="宋体"/>
                <w:color w:val="000000"/>
                <w:sz w:val="20"/>
                <w:szCs w:val="20"/>
                <w:highlight w:val="none"/>
              </w:rPr>
            </w:pPr>
            <w:r>
              <w:rPr>
                <w:rFonts w:hint="eastAsia" w:cs="宋体"/>
                <w:color w:val="000000"/>
                <w:kern w:val="0"/>
                <w:sz w:val="20"/>
                <w:szCs w:val="20"/>
                <w:highlight w:val="none"/>
                <w:lang w:bidi="ar"/>
              </w:rPr>
              <w:t>人才发展管理（升级）-入离职人员管理（新建）</w:t>
            </w:r>
          </w:p>
        </w:tc>
        <w:tc>
          <w:tcPr>
            <w:tcW w:w="1998" w:type="pct"/>
            <w:tcBorders>
              <w:top w:val="single" w:color="000000" w:sz="4" w:space="0"/>
              <w:left w:val="single" w:color="000000" w:sz="4" w:space="0"/>
              <w:bottom w:val="single" w:color="000000" w:sz="4" w:space="0"/>
              <w:right w:val="single" w:color="000000" w:sz="4" w:space="0"/>
            </w:tcBorders>
            <w:vAlign w:val="center"/>
          </w:tcPr>
          <w:p w14:paraId="2126CC60">
            <w:pPr>
              <w:widowControl/>
              <w:spacing w:line="240" w:lineRule="auto"/>
              <w:ind w:firstLine="0" w:firstLineChars="0"/>
              <w:jc w:val="left"/>
              <w:textAlignment w:val="center"/>
              <w:rPr>
                <w:rFonts w:cs="宋体"/>
                <w:color w:val="000000"/>
                <w:sz w:val="20"/>
                <w:szCs w:val="20"/>
                <w:highlight w:val="none"/>
              </w:rPr>
            </w:pPr>
            <w:r>
              <w:rPr>
                <w:rFonts w:hint="eastAsia" w:cs="宋体"/>
                <w:color w:val="000000"/>
                <w:kern w:val="0"/>
                <w:sz w:val="20"/>
                <w:szCs w:val="20"/>
                <w:highlight w:val="none"/>
                <w:lang w:bidi="ar"/>
              </w:rPr>
              <w:t>新增入职人员管理、离职人员管理功能。</w:t>
            </w:r>
          </w:p>
        </w:tc>
      </w:tr>
      <w:tr w14:paraId="3ACA2CF1">
        <w:tblPrEx>
          <w:tblCellMar>
            <w:top w:w="0" w:type="dxa"/>
            <w:left w:w="108" w:type="dxa"/>
            <w:bottom w:w="0" w:type="dxa"/>
            <w:right w:w="108" w:type="dxa"/>
          </w:tblCellMar>
        </w:tblPrEx>
        <w:trPr>
          <w:trHeight w:val="520" w:hRule="atLeast"/>
        </w:trPr>
        <w:tc>
          <w:tcPr>
            <w:tcW w:w="460" w:type="pct"/>
            <w:tcBorders>
              <w:top w:val="single" w:color="000000" w:sz="4" w:space="0"/>
              <w:left w:val="single" w:color="000000" w:sz="4" w:space="0"/>
              <w:bottom w:val="single" w:color="000000" w:sz="4" w:space="0"/>
              <w:right w:val="single" w:color="000000" w:sz="4" w:space="0"/>
            </w:tcBorders>
            <w:noWrap/>
            <w:vAlign w:val="center"/>
          </w:tcPr>
          <w:p w14:paraId="57D23FB6">
            <w:pPr>
              <w:widowControl/>
              <w:spacing w:line="240" w:lineRule="auto"/>
              <w:ind w:firstLine="0" w:firstLineChars="0"/>
              <w:jc w:val="center"/>
              <w:textAlignment w:val="center"/>
              <w:rPr>
                <w:rFonts w:cs="宋体"/>
                <w:color w:val="000000"/>
                <w:sz w:val="20"/>
                <w:szCs w:val="20"/>
                <w:highlight w:val="none"/>
              </w:rPr>
            </w:pPr>
            <w:r>
              <w:rPr>
                <w:rFonts w:hint="eastAsia" w:cs="宋体"/>
                <w:color w:val="000000"/>
                <w:kern w:val="0"/>
                <w:sz w:val="20"/>
                <w:szCs w:val="20"/>
                <w:highlight w:val="none"/>
                <w:lang w:bidi="ar"/>
              </w:rPr>
              <w:t>6</w:t>
            </w:r>
          </w:p>
        </w:tc>
        <w:tc>
          <w:tcPr>
            <w:tcW w:w="1104" w:type="pct"/>
            <w:tcBorders>
              <w:top w:val="single" w:color="000000" w:sz="4" w:space="0"/>
              <w:left w:val="single" w:color="000000" w:sz="4" w:space="0"/>
              <w:bottom w:val="single" w:color="000000" w:sz="4" w:space="0"/>
              <w:right w:val="single" w:color="000000" w:sz="4" w:space="0"/>
            </w:tcBorders>
            <w:noWrap/>
            <w:vAlign w:val="center"/>
          </w:tcPr>
          <w:p w14:paraId="4FE992F6">
            <w:pPr>
              <w:widowControl/>
              <w:spacing w:line="240" w:lineRule="auto"/>
              <w:ind w:firstLine="0" w:firstLineChars="0"/>
              <w:jc w:val="left"/>
              <w:textAlignment w:val="center"/>
              <w:rPr>
                <w:rFonts w:cs="宋体"/>
                <w:color w:val="000000"/>
                <w:sz w:val="20"/>
                <w:szCs w:val="20"/>
                <w:highlight w:val="none"/>
              </w:rPr>
            </w:pPr>
            <w:r>
              <w:rPr>
                <w:rFonts w:hint="eastAsia" w:cs="宋体"/>
                <w:color w:val="000000"/>
                <w:kern w:val="0"/>
                <w:sz w:val="20"/>
                <w:szCs w:val="20"/>
                <w:highlight w:val="none"/>
                <w:lang w:bidi="ar"/>
              </w:rPr>
              <w:t>综合指挥监管</w:t>
            </w:r>
          </w:p>
        </w:tc>
        <w:tc>
          <w:tcPr>
            <w:tcW w:w="1436" w:type="pct"/>
            <w:tcBorders>
              <w:top w:val="single" w:color="000000" w:sz="4" w:space="0"/>
              <w:left w:val="single" w:color="000000" w:sz="4" w:space="0"/>
              <w:bottom w:val="single" w:color="000000" w:sz="4" w:space="0"/>
              <w:right w:val="single" w:color="000000" w:sz="4" w:space="0"/>
            </w:tcBorders>
            <w:vAlign w:val="center"/>
          </w:tcPr>
          <w:p w14:paraId="10763A11">
            <w:pPr>
              <w:widowControl/>
              <w:spacing w:line="240" w:lineRule="auto"/>
              <w:ind w:firstLine="0" w:firstLineChars="0"/>
              <w:jc w:val="center"/>
              <w:textAlignment w:val="center"/>
              <w:rPr>
                <w:rFonts w:cs="宋体"/>
                <w:color w:val="000000"/>
                <w:sz w:val="20"/>
                <w:szCs w:val="20"/>
                <w:highlight w:val="none"/>
              </w:rPr>
            </w:pPr>
            <w:r>
              <w:rPr>
                <w:rFonts w:hint="eastAsia" w:cs="宋体"/>
                <w:color w:val="000000"/>
                <w:kern w:val="0"/>
                <w:sz w:val="20"/>
                <w:szCs w:val="20"/>
                <w:highlight w:val="none"/>
                <w:lang w:bidi="ar"/>
              </w:rPr>
              <w:t>人才发展管理（升级）-工作提示（新建）</w:t>
            </w:r>
          </w:p>
        </w:tc>
        <w:tc>
          <w:tcPr>
            <w:tcW w:w="1998" w:type="pct"/>
            <w:tcBorders>
              <w:top w:val="single" w:color="000000" w:sz="4" w:space="0"/>
              <w:left w:val="single" w:color="000000" w:sz="4" w:space="0"/>
              <w:bottom w:val="single" w:color="000000" w:sz="4" w:space="0"/>
              <w:right w:val="single" w:color="000000" w:sz="4" w:space="0"/>
            </w:tcBorders>
            <w:vAlign w:val="center"/>
          </w:tcPr>
          <w:p w14:paraId="17C726A1">
            <w:pPr>
              <w:widowControl/>
              <w:spacing w:line="240" w:lineRule="auto"/>
              <w:ind w:firstLine="0" w:firstLineChars="0"/>
              <w:jc w:val="left"/>
              <w:textAlignment w:val="center"/>
              <w:rPr>
                <w:rFonts w:cs="宋体"/>
                <w:color w:val="000000"/>
                <w:sz w:val="20"/>
                <w:szCs w:val="20"/>
                <w:highlight w:val="none"/>
              </w:rPr>
            </w:pPr>
            <w:r>
              <w:rPr>
                <w:rFonts w:hint="eastAsia" w:cs="宋体"/>
                <w:color w:val="000000"/>
                <w:kern w:val="0"/>
                <w:sz w:val="20"/>
                <w:szCs w:val="20"/>
                <w:highlight w:val="none"/>
                <w:lang w:bidi="ar"/>
              </w:rPr>
              <w:t>设置执法人员工作提示模板，设置定期发布规则。新增执法人员工作提示功能。</w:t>
            </w:r>
          </w:p>
        </w:tc>
      </w:tr>
      <w:tr w14:paraId="4908C378">
        <w:tblPrEx>
          <w:tblCellMar>
            <w:top w:w="0" w:type="dxa"/>
            <w:left w:w="108" w:type="dxa"/>
            <w:bottom w:w="0" w:type="dxa"/>
            <w:right w:w="108" w:type="dxa"/>
          </w:tblCellMar>
        </w:tblPrEx>
        <w:trPr>
          <w:trHeight w:val="1040" w:hRule="atLeast"/>
        </w:trPr>
        <w:tc>
          <w:tcPr>
            <w:tcW w:w="460" w:type="pct"/>
            <w:tcBorders>
              <w:top w:val="single" w:color="000000" w:sz="4" w:space="0"/>
              <w:left w:val="single" w:color="000000" w:sz="4" w:space="0"/>
              <w:bottom w:val="single" w:color="000000" w:sz="4" w:space="0"/>
              <w:right w:val="single" w:color="000000" w:sz="4" w:space="0"/>
            </w:tcBorders>
            <w:noWrap/>
            <w:vAlign w:val="center"/>
          </w:tcPr>
          <w:p w14:paraId="1D151ABE">
            <w:pPr>
              <w:widowControl/>
              <w:spacing w:line="240" w:lineRule="auto"/>
              <w:ind w:firstLine="0" w:firstLineChars="0"/>
              <w:jc w:val="center"/>
              <w:textAlignment w:val="center"/>
              <w:rPr>
                <w:rFonts w:cs="宋体"/>
                <w:color w:val="000000"/>
                <w:sz w:val="20"/>
                <w:szCs w:val="20"/>
                <w:highlight w:val="none"/>
              </w:rPr>
            </w:pPr>
            <w:r>
              <w:rPr>
                <w:rFonts w:hint="eastAsia" w:cs="宋体"/>
                <w:color w:val="000000"/>
                <w:kern w:val="0"/>
                <w:sz w:val="20"/>
                <w:szCs w:val="20"/>
                <w:highlight w:val="none"/>
                <w:lang w:bidi="ar"/>
              </w:rPr>
              <w:t>7</w:t>
            </w:r>
          </w:p>
        </w:tc>
        <w:tc>
          <w:tcPr>
            <w:tcW w:w="1104" w:type="pct"/>
            <w:tcBorders>
              <w:top w:val="single" w:color="000000" w:sz="4" w:space="0"/>
              <w:left w:val="single" w:color="000000" w:sz="4" w:space="0"/>
              <w:bottom w:val="single" w:color="000000" w:sz="4" w:space="0"/>
              <w:right w:val="single" w:color="000000" w:sz="4" w:space="0"/>
            </w:tcBorders>
            <w:noWrap/>
            <w:vAlign w:val="center"/>
          </w:tcPr>
          <w:p w14:paraId="23422894">
            <w:pPr>
              <w:widowControl/>
              <w:spacing w:line="240" w:lineRule="auto"/>
              <w:ind w:firstLine="0" w:firstLineChars="0"/>
              <w:jc w:val="left"/>
              <w:textAlignment w:val="center"/>
              <w:rPr>
                <w:rFonts w:cs="宋体"/>
                <w:color w:val="000000"/>
                <w:sz w:val="20"/>
                <w:szCs w:val="20"/>
                <w:highlight w:val="none"/>
              </w:rPr>
            </w:pPr>
            <w:r>
              <w:rPr>
                <w:rFonts w:hint="eastAsia" w:cs="宋体"/>
                <w:color w:val="000000"/>
                <w:kern w:val="0"/>
                <w:sz w:val="20"/>
                <w:szCs w:val="20"/>
                <w:highlight w:val="none"/>
                <w:lang w:bidi="ar"/>
              </w:rPr>
              <w:t>综合指挥监管</w:t>
            </w:r>
          </w:p>
        </w:tc>
        <w:tc>
          <w:tcPr>
            <w:tcW w:w="1436" w:type="pct"/>
            <w:tcBorders>
              <w:top w:val="single" w:color="000000" w:sz="4" w:space="0"/>
              <w:left w:val="single" w:color="000000" w:sz="4" w:space="0"/>
              <w:bottom w:val="single" w:color="000000" w:sz="4" w:space="0"/>
              <w:right w:val="single" w:color="000000" w:sz="4" w:space="0"/>
            </w:tcBorders>
            <w:vAlign w:val="center"/>
          </w:tcPr>
          <w:p w14:paraId="39B27919">
            <w:pPr>
              <w:widowControl/>
              <w:spacing w:line="240" w:lineRule="auto"/>
              <w:ind w:firstLine="0" w:firstLineChars="0"/>
              <w:jc w:val="center"/>
              <w:textAlignment w:val="center"/>
              <w:rPr>
                <w:rFonts w:cs="宋体"/>
                <w:color w:val="000000"/>
                <w:sz w:val="20"/>
                <w:szCs w:val="20"/>
                <w:highlight w:val="none"/>
              </w:rPr>
            </w:pPr>
            <w:r>
              <w:rPr>
                <w:rFonts w:hint="eastAsia" w:cs="宋体"/>
                <w:color w:val="000000"/>
                <w:kern w:val="0"/>
                <w:sz w:val="20"/>
                <w:szCs w:val="20"/>
                <w:highlight w:val="none"/>
                <w:lang w:bidi="ar"/>
              </w:rPr>
              <w:t>建筑垃圾案件移送线索管理（新建）-移送线索来源管理</w:t>
            </w:r>
          </w:p>
        </w:tc>
        <w:tc>
          <w:tcPr>
            <w:tcW w:w="1998" w:type="pct"/>
            <w:tcBorders>
              <w:top w:val="single" w:color="000000" w:sz="4" w:space="0"/>
              <w:left w:val="single" w:color="000000" w:sz="4" w:space="0"/>
              <w:bottom w:val="single" w:color="000000" w:sz="4" w:space="0"/>
              <w:right w:val="single" w:color="000000" w:sz="4" w:space="0"/>
            </w:tcBorders>
            <w:vAlign w:val="center"/>
          </w:tcPr>
          <w:p w14:paraId="5A134F5D">
            <w:pPr>
              <w:widowControl/>
              <w:spacing w:line="240" w:lineRule="auto"/>
              <w:ind w:firstLine="0" w:firstLineChars="0"/>
              <w:jc w:val="left"/>
              <w:textAlignment w:val="center"/>
              <w:rPr>
                <w:rFonts w:cs="宋体"/>
                <w:color w:val="000000"/>
                <w:sz w:val="20"/>
                <w:szCs w:val="20"/>
                <w:highlight w:val="none"/>
              </w:rPr>
            </w:pPr>
            <w:r>
              <w:rPr>
                <w:rFonts w:hint="eastAsia" w:cs="宋体"/>
                <w:color w:val="000000"/>
                <w:kern w:val="0"/>
                <w:sz w:val="20"/>
                <w:szCs w:val="20"/>
                <w:highlight w:val="none"/>
                <w:lang w:bidi="ar"/>
              </w:rPr>
              <w:t>接收市各管理执法部门、三省一市相关部门移送的线索。支持首接移送线索的市、区两级城管执法局，在平台登记有效线索，根据来源对线索进行标签分类。</w:t>
            </w:r>
          </w:p>
        </w:tc>
      </w:tr>
      <w:tr w14:paraId="42312680">
        <w:tblPrEx>
          <w:tblCellMar>
            <w:top w:w="0" w:type="dxa"/>
            <w:left w:w="108" w:type="dxa"/>
            <w:bottom w:w="0" w:type="dxa"/>
            <w:right w:w="108" w:type="dxa"/>
          </w:tblCellMar>
        </w:tblPrEx>
        <w:trPr>
          <w:trHeight w:val="1040" w:hRule="atLeast"/>
        </w:trPr>
        <w:tc>
          <w:tcPr>
            <w:tcW w:w="460" w:type="pct"/>
            <w:tcBorders>
              <w:top w:val="single" w:color="000000" w:sz="4" w:space="0"/>
              <w:left w:val="single" w:color="000000" w:sz="4" w:space="0"/>
              <w:bottom w:val="single" w:color="000000" w:sz="4" w:space="0"/>
              <w:right w:val="single" w:color="000000" w:sz="4" w:space="0"/>
            </w:tcBorders>
            <w:noWrap/>
            <w:vAlign w:val="center"/>
          </w:tcPr>
          <w:p w14:paraId="1BB2C71E">
            <w:pPr>
              <w:widowControl/>
              <w:spacing w:line="240" w:lineRule="auto"/>
              <w:ind w:firstLine="0" w:firstLineChars="0"/>
              <w:jc w:val="center"/>
              <w:textAlignment w:val="center"/>
              <w:rPr>
                <w:rFonts w:cs="宋体"/>
                <w:color w:val="000000"/>
                <w:sz w:val="20"/>
                <w:szCs w:val="20"/>
                <w:highlight w:val="none"/>
              </w:rPr>
            </w:pPr>
            <w:r>
              <w:rPr>
                <w:rFonts w:hint="eastAsia" w:cs="宋体"/>
                <w:color w:val="000000"/>
                <w:kern w:val="0"/>
                <w:sz w:val="20"/>
                <w:szCs w:val="20"/>
                <w:highlight w:val="none"/>
                <w:lang w:bidi="ar"/>
              </w:rPr>
              <w:t>8</w:t>
            </w:r>
          </w:p>
        </w:tc>
        <w:tc>
          <w:tcPr>
            <w:tcW w:w="1104" w:type="pct"/>
            <w:tcBorders>
              <w:top w:val="single" w:color="000000" w:sz="4" w:space="0"/>
              <w:left w:val="single" w:color="000000" w:sz="4" w:space="0"/>
              <w:bottom w:val="single" w:color="000000" w:sz="4" w:space="0"/>
              <w:right w:val="single" w:color="000000" w:sz="4" w:space="0"/>
            </w:tcBorders>
            <w:noWrap/>
            <w:vAlign w:val="center"/>
          </w:tcPr>
          <w:p w14:paraId="002C99BA">
            <w:pPr>
              <w:widowControl/>
              <w:spacing w:line="240" w:lineRule="auto"/>
              <w:ind w:firstLine="0" w:firstLineChars="0"/>
              <w:jc w:val="left"/>
              <w:textAlignment w:val="center"/>
              <w:rPr>
                <w:rFonts w:cs="宋体"/>
                <w:color w:val="000000"/>
                <w:sz w:val="20"/>
                <w:szCs w:val="20"/>
                <w:highlight w:val="none"/>
              </w:rPr>
            </w:pPr>
            <w:r>
              <w:rPr>
                <w:rFonts w:hint="eastAsia" w:cs="宋体"/>
                <w:color w:val="000000"/>
                <w:kern w:val="0"/>
                <w:sz w:val="20"/>
                <w:szCs w:val="20"/>
                <w:highlight w:val="none"/>
                <w:lang w:bidi="ar"/>
              </w:rPr>
              <w:t>综合指挥监管</w:t>
            </w:r>
          </w:p>
        </w:tc>
        <w:tc>
          <w:tcPr>
            <w:tcW w:w="1436" w:type="pct"/>
            <w:tcBorders>
              <w:top w:val="single" w:color="000000" w:sz="4" w:space="0"/>
              <w:left w:val="single" w:color="000000" w:sz="4" w:space="0"/>
              <w:bottom w:val="single" w:color="000000" w:sz="4" w:space="0"/>
              <w:right w:val="single" w:color="000000" w:sz="4" w:space="0"/>
            </w:tcBorders>
            <w:vAlign w:val="center"/>
          </w:tcPr>
          <w:p w14:paraId="6BCB9203">
            <w:pPr>
              <w:widowControl/>
              <w:spacing w:line="240" w:lineRule="auto"/>
              <w:ind w:firstLine="0" w:firstLineChars="0"/>
              <w:jc w:val="center"/>
              <w:textAlignment w:val="center"/>
              <w:rPr>
                <w:rFonts w:cs="宋体"/>
                <w:color w:val="000000"/>
                <w:sz w:val="20"/>
                <w:szCs w:val="20"/>
                <w:highlight w:val="none"/>
              </w:rPr>
            </w:pPr>
            <w:r>
              <w:rPr>
                <w:rFonts w:hint="eastAsia" w:cs="宋体"/>
                <w:color w:val="000000"/>
                <w:kern w:val="0"/>
                <w:sz w:val="20"/>
                <w:szCs w:val="20"/>
                <w:highlight w:val="none"/>
                <w:lang w:bidi="ar"/>
              </w:rPr>
              <w:t>建筑垃圾案件移送线索管理（</w:t>
            </w:r>
            <w:r>
              <w:rPr>
                <w:rFonts w:hint="eastAsia" w:ascii="宋体" w:hAnsi="宋体" w:eastAsia="宋体" w:cs="宋体"/>
                <w:color w:val="000000"/>
                <w:kern w:val="0"/>
                <w:sz w:val="20"/>
                <w:szCs w:val="20"/>
                <w:highlight w:val="none"/>
                <w:shd w:val="clear"/>
                <w:lang w:bidi="ar"/>
              </w:rPr>
              <w:t>新建</w:t>
            </w:r>
            <w:r>
              <w:rPr>
                <w:rFonts w:hint="eastAsia" w:ascii="宋体" w:hAnsi="宋体" w:eastAsia="宋体" w:cs="宋体"/>
                <w:color w:val="000000"/>
                <w:kern w:val="0"/>
                <w:sz w:val="20"/>
                <w:szCs w:val="20"/>
                <w:highlight w:val="none"/>
                <w:lang w:bidi="ar"/>
              </w:rPr>
              <w:t>）</w:t>
            </w:r>
            <w:r>
              <w:rPr>
                <w:rFonts w:hint="eastAsia" w:cs="宋体"/>
                <w:color w:val="000000"/>
                <w:kern w:val="0"/>
                <w:sz w:val="20"/>
                <w:szCs w:val="20"/>
                <w:highlight w:val="none"/>
                <w:lang w:bidi="ar"/>
              </w:rPr>
              <w:t>-线索上报与跟进查处</w:t>
            </w:r>
          </w:p>
        </w:tc>
        <w:tc>
          <w:tcPr>
            <w:tcW w:w="1998" w:type="pct"/>
            <w:tcBorders>
              <w:top w:val="single" w:color="000000" w:sz="4" w:space="0"/>
              <w:left w:val="single" w:color="000000" w:sz="4" w:space="0"/>
              <w:bottom w:val="single" w:color="000000" w:sz="4" w:space="0"/>
              <w:right w:val="single" w:color="000000" w:sz="4" w:space="0"/>
            </w:tcBorders>
            <w:vAlign w:val="center"/>
          </w:tcPr>
          <w:p w14:paraId="1130D25B">
            <w:pPr>
              <w:widowControl/>
              <w:spacing w:line="240" w:lineRule="auto"/>
              <w:ind w:firstLine="0" w:firstLineChars="0"/>
              <w:jc w:val="left"/>
              <w:textAlignment w:val="center"/>
              <w:rPr>
                <w:rFonts w:cs="宋体"/>
                <w:color w:val="000000"/>
                <w:sz w:val="20"/>
                <w:szCs w:val="20"/>
                <w:highlight w:val="none"/>
              </w:rPr>
            </w:pPr>
            <w:r>
              <w:rPr>
                <w:rFonts w:hint="eastAsia" w:cs="宋体"/>
                <w:color w:val="000000"/>
                <w:kern w:val="0"/>
                <w:sz w:val="20"/>
                <w:szCs w:val="20"/>
                <w:highlight w:val="none"/>
                <w:lang w:bidi="ar"/>
              </w:rPr>
              <w:t>根据管辖权归属和查处线索的重要性、紧迫性情况，报本单位领导同意后，系统支持派单、查处，针对存在管辖权争议的线索支持报上级城管执法机关明确责任归属。</w:t>
            </w:r>
          </w:p>
        </w:tc>
      </w:tr>
      <w:tr w14:paraId="08DC830E">
        <w:tblPrEx>
          <w:tblCellMar>
            <w:top w:w="0" w:type="dxa"/>
            <w:left w:w="108" w:type="dxa"/>
            <w:bottom w:w="0" w:type="dxa"/>
            <w:right w:w="108" w:type="dxa"/>
          </w:tblCellMar>
        </w:tblPrEx>
        <w:trPr>
          <w:trHeight w:val="1040" w:hRule="atLeast"/>
        </w:trPr>
        <w:tc>
          <w:tcPr>
            <w:tcW w:w="460" w:type="pct"/>
            <w:tcBorders>
              <w:top w:val="single" w:color="000000" w:sz="4" w:space="0"/>
              <w:left w:val="single" w:color="000000" w:sz="4" w:space="0"/>
              <w:bottom w:val="single" w:color="000000" w:sz="4" w:space="0"/>
              <w:right w:val="single" w:color="000000" w:sz="4" w:space="0"/>
            </w:tcBorders>
            <w:noWrap/>
            <w:vAlign w:val="center"/>
          </w:tcPr>
          <w:p w14:paraId="6A32C937">
            <w:pPr>
              <w:widowControl/>
              <w:spacing w:line="240" w:lineRule="auto"/>
              <w:ind w:firstLine="0" w:firstLineChars="0"/>
              <w:jc w:val="center"/>
              <w:textAlignment w:val="center"/>
              <w:rPr>
                <w:rFonts w:cs="宋体"/>
                <w:color w:val="000000"/>
                <w:sz w:val="20"/>
                <w:szCs w:val="20"/>
                <w:highlight w:val="none"/>
              </w:rPr>
            </w:pPr>
            <w:r>
              <w:rPr>
                <w:rFonts w:hint="eastAsia" w:cs="宋体"/>
                <w:color w:val="000000"/>
                <w:kern w:val="0"/>
                <w:sz w:val="20"/>
                <w:szCs w:val="20"/>
                <w:highlight w:val="none"/>
                <w:lang w:bidi="ar"/>
              </w:rPr>
              <w:t>9</w:t>
            </w:r>
          </w:p>
        </w:tc>
        <w:tc>
          <w:tcPr>
            <w:tcW w:w="1104" w:type="pct"/>
            <w:tcBorders>
              <w:top w:val="single" w:color="000000" w:sz="4" w:space="0"/>
              <w:left w:val="single" w:color="000000" w:sz="4" w:space="0"/>
              <w:bottom w:val="single" w:color="000000" w:sz="4" w:space="0"/>
              <w:right w:val="single" w:color="000000" w:sz="4" w:space="0"/>
            </w:tcBorders>
            <w:noWrap/>
            <w:vAlign w:val="center"/>
          </w:tcPr>
          <w:p w14:paraId="5D5715C0">
            <w:pPr>
              <w:widowControl/>
              <w:spacing w:line="240" w:lineRule="auto"/>
              <w:ind w:firstLine="0" w:firstLineChars="0"/>
              <w:jc w:val="left"/>
              <w:textAlignment w:val="center"/>
              <w:rPr>
                <w:rFonts w:cs="宋体"/>
                <w:color w:val="000000"/>
                <w:sz w:val="20"/>
                <w:szCs w:val="20"/>
                <w:highlight w:val="none"/>
              </w:rPr>
            </w:pPr>
            <w:r>
              <w:rPr>
                <w:rFonts w:hint="eastAsia" w:cs="宋体"/>
                <w:color w:val="000000"/>
                <w:kern w:val="0"/>
                <w:sz w:val="20"/>
                <w:szCs w:val="20"/>
                <w:highlight w:val="none"/>
                <w:lang w:bidi="ar"/>
              </w:rPr>
              <w:t>综合指挥监管</w:t>
            </w:r>
          </w:p>
        </w:tc>
        <w:tc>
          <w:tcPr>
            <w:tcW w:w="1436" w:type="pct"/>
            <w:tcBorders>
              <w:top w:val="single" w:color="000000" w:sz="4" w:space="0"/>
              <w:left w:val="single" w:color="000000" w:sz="4" w:space="0"/>
              <w:bottom w:val="single" w:color="000000" w:sz="4" w:space="0"/>
              <w:right w:val="single" w:color="000000" w:sz="4" w:space="0"/>
            </w:tcBorders>
            <w:vAlign w:val="center"/>
          </w:tcPr>
          <w:p w14:paraId="3691017A">
            <w:pPr>
              <w:widowControl/>
              <w:spacing w:line="240" w:lineRule="auto"/>
              <w:ind w:firstLine="0" w:firstLineChars="0"/>
              <w:jc w:val="center"/>
              <w:textAlignment w:val="center"/>
              <w:rPr>
                <w:rFonts w:cs="宋体"/>
                <w:color w:val="000000"/>
                <w:sz w:val="20"/>
                <w:szCs w:val="20"/>
                <w:highlight w:val="none"/>
              </w:rPr>
            </w:pPr>
            <w:r>
              <w:rPr>
                <w:rFonts w:hint="eastAsia" w:cs="宋体"/>
                <w:color w:val="000000"/>
                <w:kern w:val="0"/>
                <w:sz w:val="20"/>
                <w:szCs w:val="20"/>
                <w:highlight w:val="none"/>
                <w:lang w:bidi="ar"/>
              </w:rPr>
              <w:t>建筑垃圾案件移送线索管理（新建）-案件办理情况跟踪</w:t>
            </w:r>
          </w:p>
        </w:tc>
        <w:tc>
          <w:tcPr>
            <w:tcW w:w="1998" w:type="pct"/>
            <w:tcBorders>
              <w:top w:val="single" w:color="000000" w:sz="4" w:space="0"/>
              <w:left w:val="single" w:color="000000" w:sz="4" w:space="0"/>
              <w:bottom w:val="single" w:color="000000" w:sz="4" w:space="0"/>
              <w:right w:val="single" w:color="000000" w:sz="4" w:space="0"/>
            </w:tcBorders>
            <w:vAlign w:val="center"/>
          </w:tcPr>
          <w:p w14:paraId="4A9C60BB">
            <w:pPr>
              <w:widowControl/>
              <w:spacing w:line="240" w:lineRule="auto"/>
              <w:ind w:firstLine="0" w:firstLineChars="0"/>
              <w:jc w:val="left"/>
              <w:textAlignment w:val="center"/>
              <w:rPr>
                <w:rFonts w:cs="宋体"/>
                <w:color w:val="000000"/>
                <w:sz w:val="20"/>
                <w:szCs w:val="20"/>
                <w:highlight w:val="none"/>
              </w:rPr>
            </w:pPr>
            <w:r>
              <w:rPr>
                <w:rFonts w:hint="eastAsia" w:cs="宋体"/>
                <w:color w:val="000000"/>
                <w:kern w:val="0"/>
                <w:sz w:val="20"/>
                <w:szCs w:val="20"/>
                <w:highlight w:val="none"/>
                <w:lang w:bidi="ar"/>
              </w:rPr>
              <w:t>市局指挥中心、各区局勤务指挥部门作为督办责任部门，依托平台开展案件办理情况跟踪，对进度滞后办件开展督办，实现执法数据的分类汇总、工作简报、情况分析。</w:t>
            </w:r>
          </w:p>
        </w:tc>
      </w:tr>
      <w:tr w14:paraId="7CB7A781">
        <w:tblPrEx>
          <w:tblCellMar>
            <w:top w:w="0" w:type="dxa"/>
            <w:left w:w="108" w:type="dxa"/>
            <w:bottom w:w="0" w:type="dxa"/>
            <w:right w:w="108" w:type="dxa"/>
          </w:tblCellMar>
        </w:tblPrEx>
        <w:trPr>
          <w:trHeight w:val="780" w:hRule="atLeast"/>
        </w:trPr>
        <w:tc>
          <w:tcPr>
            <w:tcW w:w="460" w:type="pct"/>
            <w:tcBorders>
              <w:top w:val="single" w:color="000000" w:sz="4" w:space="0"/>
              <w:left w:val="single" w:color="000000" w:sz="4" w:space="0"/>
              <w:bottom w:val="single" w:color="000000" w:sz="4" w:space="0"/>
              <w:right w:val="single" w:color="000000" w:sz="4" w:space="0"/>
            </w:tcBorders>
            <w:noWrap/>
            <w:vAlign w:val="center"/>
          </w:tcPr>
          <w:p w14:paraId="697F84A0">
            <w:pPr>
              <w:widowControl/>
              <w:spacing w:line="240" w:lineRule="auto"/>
              <w:ind w:firstLine="0" w:firstLineChars="0"/>
              <w:jc w:val="center"/>
              <w:textAlignment w:val="center"/>
              <w:rPr>
                <w:rFonts w:cs="宋体"/>
                <w:color w:val="000000"/>
                <w:sz w:val="20"/>
                <w:szCs w:val="20"/>
                <w:highlight w:val="none"/>
              </w:rPr>
            </w:pPr>
            <w:r>
              <w:rPr>
                <w:rFonts w:hint="eastAsia" w:cs="宋体"/>
                <w:color w:val="000000"/>
                <w:kern w:val="0"/>
                <w:sz w:val="20"/>
                <w:szCs w:val="20"/>
                <w:highlight w:val="none"/>
                <w:lang w:bidi="ar"/>
              </w:rPr>
              <w:t>10</w:t>
            </w:r>
          </w:p>
        </w:tc>
        <w:tc>
          <w:tcPr>
            <w:tcW w:w="1104" w:type="pct"/>
            <w:tcBorders>
              <w:top w:val="single" w:color="000000" w:sz="4" w:space="0"/>
              <w:left w:val="single" w:color="000000" w:sz="4" w:space="0"/>
              <w:bottom w:val="single" w:color="000000" w:sz="4" w:space="0"/>
              <w:right w:val="single" w:color="000000" w:sz="4" w:space="0"/>
            </w:tcBorders>
            <w:noWrap/>
            <w:vAlign w:val="center"/>
          </w:tcPr>
          <w:p w14:paraId="0E4A974A">
            <w:pPr>
              <w:widowControl/>
              <w:spacing w:line="240" w:lineRule="auto"/>
              <w:ind w:firstLine="0" w:firstLineChars="0"/>
              <w:jc w:val="left"/>
              <w:textAlignment w:val="center"/>
              <w:rPr>
                <w:rFonts w:cs="宋体"/>
                <w:color w:val="000000"/>
                <w:sz w:val="20"/>
                <w:szCs w:val="20"/>
                <w:highlight w:val="none"/>
              </w:rPr>
            </w:pPr>
            <w:r>
              <w:rPr>
                <w:rFonts w:hint="eastAsia" w:cs="宋体"/>
                <w:color w:val="000000"/>
                <w:kern w:val="0"/>
                <w:sz w:val="20"/>
                <w:szCs w:val="20"/>
                <w:highlight w:val="none"/>
                <w:lang w:bidi="ar"/>
              </w:rPr>
              <w:t>综合指挥监管</w:t>
            </w:r>
          </w:p>
        </w:tc>
        <w:tc>
          <w:tcPr>
            <w:tcW w:w="1436" w:type="pct"/>
            <w:tcBorders>
              <w:top w:val="single" w:color="000000" w:sz="4" w:space="0"/>
              <w:left w:val="single" w:color="000000" w:sz="4" w:space="0"/>
              <w:bottom w:val="single" w:color="000000" w:sz="4" w:space="0"/>
              <w:right w:val="single" w:color="000000" w:sz="4" w:space="0"/>
            </w:tcBorders>
            <w:vAlign w:val="center"/>
          </w:tcPr>
          <w:p w14:paraId="187D786C">
            <w:pPr>
              <w:widowControl/>
              <w:spacing w:line="240" w:lineRule="auto"/>
              <w:ind w:firstLine="0" w:firstLineChars="0"/>
              <w:jc w:val="center"/>
              <w:textAlignment w:val="center"/>
              <w:rPr>
                <w:rFonts w:cs="宋体"/>
                <w:color w:val="000000"/>
                <w:sz w:val="20"/>
                <w:szCs w:val="20"/>
                <w:highlight w:val="none"/>
              </w:rPr>
            </w:pPr>
            <w:r>
              <w:rPr>
                <w:rFonts w:hint="eastAsia" w:cs="宋体"/>
                <w:color w:val="000000"/>
                <w:kern w:val="0"/>
                <w:sz w:val="20"/>
                <w:szCs w:val="20"/>
                <w:highlight w:val="none"/>
                <w:lang w:bidi="ar"/>
              </w:rPr>
              <w:t>建筑垃圾案件移送线索管理（新建）-办件预警提示</w:t>
            </w:r>
          </w:p>
        </w:tc>
        <w:tc>
          <w:tcPr>
            <w:tcW w:w="1998" w:type="pct"/>
            <w:tcBorders>
              <w:top w:val="single" w:color="000000" w:sz="4" w:space="0"/>
              <w:left w:val="single" w:color="000000" w:sz="4" w:space="0"/>
              <w:bottom w:val="single" w:color="000000" w:sz="4" w:space="0"/>
              <w:right w:val="single" w:color="000000" w:sz="4" w:space="0"/>
            </w:tcBorders>
            <w:vAlign w:val="center"/>
          </w:tcPr>
          <w:p w14:paraId="749CF3EE">
            <w:pPr>
              <w:widowControl/>
              <w:spacing w:line="240" w:lineRule="auto"/>
              <w:ind w:firstLine="0" w:firstLineChars="0"/>
              <w:jc w:val="left"/>
              <w:textAlignment w:val="center"/>
              <w:rPr>
                <w:rFonts w:cs="宋体"/>
                <w:color w:val="000000"/>
                <w:sz w:val="20"/>
                <w:szCs w:val="20"/>
                <w:highlight w:val="none"/>
              </w:rPr>
            </w:pPr>
            <w:r>
              <w:rPr>
                <w:rFonts w:hint="eastAsia" w:cs="宋体"/>
                <w:color w:val="000000"/>
                <w:kern w:val="0"/>
                <w:sz w:val="20"/>
                <w:szCs w:val="20"/>
                <w:highlight w:val="none"/>
                <w:lang w:bidi="ar"/>
              </w:rPr>
              <w:t>实现办结流转后自动提醒。平台出现超期线索办件后，支持向同级和上级督办部门预警，并短信提醒相关人员。</w:t>
            </w:r>
          </w:p>
        </w:tc>
      </w:tr>
      <w:tr w14:paraId="1C607362">
        <w:tblPrEx>
          <w:tblCellMar>
            <w:top w:w="0" w:type="dxa"/>
            <w:left w:w="108" w:type="dxa"/>
            <w:bottom w:w="0" w:type="dxa"/>
            <w:right w:w="108" w:type="dxa"/>
          </w:tblCellMar>
        </w:tblPrEx>
        <w:trPr>
          <w:trHeight w:val="520" w:hRule="atLeast"/>
        </w:trPr>
        <w:tc>
          <w:tcPr>
            <w:tcW w:w="460" w:type="pct"/>
            <w:tcBorders>
              <w:top w:val="single" w:color="000000" w:sz="4" w:space="0"/>
              <w:left w:val="single" w:color="000000" w:sz="4" w:space="0"/>
              <w:bottom w:val="single" w:color="000000" w:sz="4" w:space="0"/>
              <w:right w:val="single" w:color="000000" w:sz="4" w:space="0"/>
            </w:tcBorders>
            <w:noWrap/>
            <w:vAlign w:val="center"/>
          </w:tcPr>
          <w:p w14:paraId="26D38119">
            <w:pPr>
              <w:widowControl/>
              <w:spacing w:line="240" w:lineRule="auto"/>
              <w:ind w:firstLine="0" w:firstLineChars="0"/>
              <w:jc w:val="center"/>
              <w:textAlignment w:val="center"/>
              <w:rPr>
                <w:rFonts w:cs="宋体"/>
                <w:color w:val="000000"/>
                <w:sz w:val="20"/>
                <w:szCs w:val="20"/>
                <w:highlight w:val="none"/>
              </w:rPr>
            </w:pPr>
            <w:r>
              <w:rPr>
                <w:rFonts w:hint="eastAsia" w:cs="宋体"/>
                <w:color w:val="000000"/>
                <w:kern w:val="0"/>
                <w:sz w:val="20"/>
                <w:szCs w:val="20"/>
                <w:highlight w:val="none"/>
                <w:lang w:bidi="ar"/>
              </w:rPr>
              <w:t>11</w:t>
            </w:r>
          </w:p>
        </w:tc>
        <w:tc>
          <w:tcPr>
            <w:tcW w:w="1104" w:type="pct"/>
            <w:tcBorders>
              <w:top w:val="single" w:color="000000" w:sz="4" w:space="0"/>
              <w:left w:val="single" w:color="000000" w:sz="4" w:space="0"/>
              <w:bottom w:val="single" w:color="000000" w:sz="4" w:space="0"/>
              <w:right w:val="single" w:color="000000" w:sz="4" w:space="0"/>
            </w:tcBorders>
            <w:noWrap/>
            <w:vAlign w:val="center"/>
          </w:tcPr>
          <w:p w14:paraId="708AEB86">
            <w:pPr>
              <w:widowControl/>
              <w:spacing w:line="240" w:lineRule="auto"/>
              <w:ind w:firstLine="0" w:firstLineChars="0"/>
              <w:jc w:val="left"/>
              <w:textAlignment w:val="center"/>
              <w:rPr>
                <w:rFonts w:cs="宋体"/>
                <w:color w:val="000000"/>
                <w:sz w:val="20"/>
                <w:szCs w:val="20"/>
                <w:highlight w:val="none"/>
              </w:rPr>
            </w:pPr>
            <w:r>
              <w:rPr>
                <w:rFonts w:hint="eastAsia" w:cs="宋体"/>
                <w:color w:val="000000"/>
                <w:kern w:val="0"/>
                <w:sz w:val="20"/>
                <w:szCs w:val="20"/>
                <w:highlight w:val="none"/>
                <w:lang w:bidi="ar"/>
              </w:rPr>
              <w:t>综合指挥监管</w:t>
            </w:r>
          </w:p>
        </w:tc>
        <w:tc>
          <w:tcPr>
            <w:tcW w:w="1436" w:type="pct"/>
            <w:tcBorders>
              <w:top w:val="single" w:color="000000" w:sz="4" w:space="0"/>
              <w:left w:val="single" w:color="000000" w:sz="4" w:space="0"/>
              <w:bottom w:val="single" w:color="000000" w:sz="4" w:space="0"/>
              <w:right w:val="single" w:color="000000" w:sz="4" w:space="0"/>
            </w:tcBorders>
            <w:vAlign w:val="center"/>
          </w:tcPr>
          <w:p w14:paraId="16115C5A">
            <w:pPr>
              <w:widowControl/>
              <w:spacing w:line="240" w:lineRule="auto"/>
              <w:ind w:firstLine="0" w:firstLineChars="0"/>
              <w:jc w:val="center"/>
              <w:textAlignment w:val="center"/>
              <w:rPr>
                <w:rFonts w:cs="宋体"/>
                <w:color w:val="000000"/>
                <w:sz w:val="20"/>
                <w:szCs w:val="20"/>
                <w:highlight w:val="none"/>
              </w:rPr>
            </w:pPr>
            <w:r>
              <w:rPr>
                <w:rFonts w:hint="eastAsia" w:cs="宋体"/>
                <w:color w:val="000000"/>
                <w:kern w:val="0"/>
                <w:sz w:val="20"/>
                <w:szCs w:val="20"/>
                <w:highlight w:val="none"/>
                <w:lang w:bidi="ar"/>
              </w:rPr>
              <w:t>建筑垃圾案件移送线索管理（新建）-立案关联网办</w:t>
            </w:r>
          </w:p>
        </w:tc>
        <w:tc>
          <w:tcPr>
            <w:tcW w:w="1998" w:type="pct"/>
            <w:tcBorders>
              <w:top w:val="single" w:color="000000" w:sz="4" w:space="0"/>
              <w:left w:val="single" w:color="000000" w:sz="4" w:space="0"/>
              <w:bottom w:val="single" w:color="000000" w:sz="4" w:space="0"/>
              <w:right w:val="single" w:color="000000" w:sz="4" w:space="0"/>
            </w:tcBorders>
            <w:vAlign w:val="center"/>
          </w:tcPr>
          <w:p w14:paraId="779F9A95">
            <w:pPr>
              <w:widowControl/>
              <w:spacing w:line="240" w:lineRule="auto"/>
              <w:ind w:firstLine="0" w:firstLineChars="0"/>
              <w:jc w:val="left"/>
              <w:textAlignment w:val="center"/>
              <w:rPr>
                <w:rFonts w:cs="宋体"/>
                <w:color w:val="000000"/>
                <w:sz w:val="20"/>
                <w:szCs w:val="20"/>
                <w:highlight w:val="none"/>
              </w:rPr>
            </w:pPr>
            <w:r>
              <w:rPr>
                <w:rFonts w:hint="eastAsia" w:cs="宋体"/>
                <w:color w:val="000000"/>
                <w:kern w:val="0"/>
                <w:sz w:val="20"/>
                <w:szCs w:val="20"/>
                <w:highlight w:val="none"/>
                <w:lang w:bidi="ar"/>
              </w:rPr>
              <w:t>立案查处的移送线索，支持在平台实现向办案系统的跳转。</w:t>
            </w:r>
          </w:p>
        </w:tc>
      </w:tr>
      <w:tr w14:paraId="51E8D0C0">
        <w:tblPrEx>
          <w:tblCellMar>
            <w:top w:w="0" w:type="dxa"/>
            <w:left w:w="108" w:type="dxa"/>
            <w:bottom w:w="0" w:type="dxa"/>
            <w:right w:w="108" w:type="dxa"/>
          </w:tblCellMar>
        </w:tblPrEx>
        <w:trPr>
          <w:trHeight w:val="1820" w:hRule="atLeast"/>
        </w:trPr>
        <w:tc>
          <w:tcPr>
            <w:tcW w:w="460" w:type="pct"/>
            <w:tcBorders>
              <w:top w:val="single" w:color="000000" w:sz="4" w:space="0"/>
              <w:left w:val="single" w:color="000000" w:sz="4" w:space="0"/>
              <w:bottom w:val="single" w:color="000000" w:sz="4" w:space="0"/>
              <w:right w:val="single" w:color="000000" w:sz="4" w:space="0"/>
            </w:tcBorders>
            <w:noWrap/>
            <w:vAlign w:val="center"/>
          </w:tcPr>
          <w:p w14:paraId="4DBCA659">
            <w:pPr>
              <w:widowControl/>
              <w:spacing w:line="240" w:lineRule="auto"/>
              <w:ind w:firstLine="0" w:firstLineChars="0"/>
              <w:jc w:val="center"/>
              <w:textAlignment w:val="center"/>
              <w:rPr>
                <w:rFonts w:cs="宋体"/>
                <w:color w:val="000000"/>
                <w:sz w:val="20"/>
                <w:szCs w:val="20"/>
                <w:highlight w:val="none"/>
              </w:rPr>
            </w:pPr>
            <w:r>
              <w:rPr>
                <w:rFonts w:hint="eastAsia" w:cs="宋体"/>
                <w:color w:val="000000"/>
                <w:kern w:val="0"/>
                <w:sz w:val="20"/>
                <w:szCs w:val="20"/>
                <w:highlight w:val="none"/>
                <w:lang w:bidi="ar"/>
              </w:rPr>
              <w:t>12</w:t>
            </w:r>
          </w:p>
        </w:tc>
        <w:tc>
          <w:tcPr>
            <w:tcW w:w="1104" w:type="pct"/>
            <w:tcBorders>
              <w:top w:val="single" w:color="000000" w:sz="4" w:space="0"/>
              <w:left w:val="single" w:color="000000" w:sz="4" w:space="0"/>
              <w:bottom w:val="single" w:color="000000" w:sz="4" w:space="0"/>
              <w:right w:val="single" w:color="000000" w:sz="4" w:space="0"/>
            </w:tcBorders>
            <w:noWrap/>
            <w:vAlign w:val="center"/>
          </w:tcPr>
          <w:p w14:paraId="5F36C1AA">
            <w:pPr>
              <w:widowControl/>
              <w:spacing w:line="240" w:lineRule="auto"/>
              <w:ind w:firstLine="0" w:firstLineChars="0"/>
              <w:jc w:val="left"/>
              <w:textAlignment w:val="center"/>
              <w:rPr>
                <w:rFonts w:cs="宋体"/>
                <w:color w:val="000000"/>
                <w:sz w:val="20"/>
                <w:szCs w:val="20"/>
                <w:highlight w:val="none"/>
              </w:rPr>
            </w:pPr>
            <w:r>
              <w:rPr>
                <w:rFonts w:hint="eastAsia" w:cs="宋体"/>
                <w:color w:val="000000"/>
                <w:kern w:val="0"/>
                <w:sz w:val="20"/>
                <w:szCs w:val="20"/>
                <w:highlight w:val="none"/>
                <w:lang w:bidi="ar"/>
              </w:rPr>
              <w:t>综合指挥监管</w:t>
            </w:r>
          </w:p>
        </w:tc>
        <w:tc>
          <w:tcPr>
            <w:tcW w:w="1436" w:type="pct"/>
            <w:tcBorders>
              <w:top w:val="single" w:color="000000" w:sz="4" w:space="0"/>
              <w:left w:val="single" w:color="000000" w:sz="4" w:space="0"/>
              <w:bottom w:val="single" w:color="000000" w:sz="4" w:space="0"/>
              <w:right w:val="single" w:color="000000" w:sz="4" w:space="0"/>
            </w:tcBorders>
            <w:vAlign w:val="center"/>
          </w:tcPr>
          <w:p w14:paraId="4CB366AF">
            <w:pPr>
              <w:widowControl/>
              <w:spacing w:line="240" w:lineRule="auto"/>
              <w:ind w:firstLine="0" w:firstLineChars="0"/>
              <w:jc w:val="center"/>
              <w:textAlignment w:val="center"/>
              <w:rPr>
                <w:rFonts w:cs="宋体"/>
                <w:color w:val="000000"/>
                <w:sz w:val="20"/>
                <w:szCs w:val="20"/>
                <w:highlight w:val="none"/>
              </w:rPr>
            </w:pPr>
            <w:r>
              <w:rPr>
                <w:rFonts w:hint="eastAsia" w:cs="宋体"/>
                <w:color w:val="000000"/>
                <w:kern w:val="0"/>
                <w:sz w:val="20"/>
                <w:szCs w:val="20"/>
                <w:highlight w:val="none"/>
                <w:lang w:bidi="ar"/>
              </w:rPr>
              <w:t>建筑垃圾案件移送线索管理（新建）-移送线索办结管理</w:t>
            </w:r>
          </w:p>
        </w:tc>
        <w:tc>
          <w:tcPr>
            <w:tcW w:w="1998" w:type="pct"/>
            <w:tcBorders>
              <w:top w:val="single" w:color="000000" w:sz="4" w:space="0"/>
              <w:left w:val="single" w:color="000000" w:sz="4" w:space="0"/>
              <w:bottom w:val="single" w:color="000000" w:sz="4" w:space="0"/>
              <w:right w:val="single" w:color="000000" w:sz="4" w:space="0"/>
            </w:tcBorders>
            <w:vAlign w:val="center"/>
          </w:tcPr>
          <w:p w14:paraId="3F59A795">
            <w:pPr>
              <w:widowControl/>
              <w:spacing w:line="240" w:lineRule="auto"/>
              <w:ind w:firstLine="0" w:firstLineChars="0"/>
              <w:jc w:val="left"/>
              <w:textAlignment w:val="center"/>
              <w:rPr>
                <w:rFonts w:cs="宋体"/>
                <w:color w:val="000000"/>
                <w:sz w:val="20"/>
                <w:szCs w:val="20"/>
                <w:highlight w:val="none"/>
              </w:rPr>
            </w:pPr>
            <w:r>
              <w:rPr>
                <w:rFonts w:hint="eastAsia" w:cs="宋体"/>
                <w:color w:val="000000"/>
                <w:kern w:val="0"/>
                <w:sz w:val="20"/>
                <w:szCs w:val="20"/>
                <w:highlight w:val="none"/>
                <w:lang w:bidi="ar"/>
              </w:rPr>
              <w:t>对于终止（中止）办理、无法立案查处的移送线索，平台设置相应办结功能，责任单位或部门完成向线索来源部门的查处情况反馈后，同步上传相关证明材料，予以申请办结；督办部门对不符合要求的办件可退回要求责任部门继续办理或指定提级办理，查处结果报线索首接单位或上级单位领导确认后，方可闭环。</w:t>
            </w:r>
          </w:p>
        </w:tc>
      </w:tr>
      <w:tr w14:paraId="027DB344">
        <w:tblPrEx>
          <w:tblCellMar>
            <w:top w:w="0" w:type="dxa"/>
            <w:left w:w="108" w:type="dxa"/>
            <w:bottom w:w="0" w:type="dxa"/>
            <w:right w:w="108" w:type="dxa"/>
          </w:tblCellMar>
        </w:tblPrEx>
        <w:trPr>
          <w:trHeight w:val="780" w:hRule="atLeast"/>
        </w:trPr>
        <w:tc>
          <w:tcPr>
            <w:tcW w:w="460" w:type="pct"/>
            <w:tcBorders>
              <w:top w:val="single" w:color="000000" w:sz="4" w:space="0"/>
              <w:left w:val="single" w:color="000000" w:sz="4" w:space="0"/>
              <w:bottom w:val="single" w:color="000000" w:sz="4" w:space="0"/>
              <w:right w:val="single" w:color="000000" w:sz="4" w:space="0"/>
            </w:tcBorders>
            <w:noWrap/>
            <w:vAlign w:val="center"/>
          </w:tcPr>
          <w:p w14:paraId="1615A28B">
            <w:pPr>
              <w:widowControl/>
              <w:spacing w:line="240" w:lineRule="auto"/>
              <w:ind w:firstLine="0" w:firstLineChars="0"/>
              <w:jc w:val="center"/>
              <w:textAlignment w:val="center"/>
              <w:rPr>
                <w:rFonts w:cs="宋体"/>
                <w:color w:val="000000"/>
                <w:sz w:val="20"/>
                <w:szCs w:val="20"/>
                <w:highlight w:val="none"/>
              </w:rPr>
            </w:pPr>
            <w:r>
              <w:rPr>
                <w:rFonts w:hint="eastAsia" w:cs="宋体"/>
                <w:color w:val="000000"/>
                <w:kern w:val="0"/>
                <w:sz w:val="20"/>
                <w:szCs w:val="20"/>
                <w:highlight w:val="none"/>
                <w:lang w:bidi="ar"/>
              </w:rPr>
              <w:t>13</w:t>
            </w:r>
          </w:p>
        </w:tc>
        <w:tc>
          <w:tcPr>
            <w:tcW w:w="1104" w:type="pct"/>
            <w:tcBorders>
              <w:top w:val="single" w:color="000000" w:sz="4" w:space="0"/>
              <w:left w:val="single" w:color="000000" w:sz="4" w:space="0"/>
              <w:bottom w:val="single" w:color="000000" w:sz="4" w:space="0"/>
              <w:right w:val="single" w:color="000000" w:sz="4" w:space="0"/>
            </w:tcBorders>
            <w:noWrap/>
            <w:vAlign w:val="center"/>
          </w:tcPr>
          <w:p w14:paraId="6C0F311A">
            <w:pPr>
              <w:widowControl/>
              <w:spacing w:line="240" w:lineRule="auto"/>
              <w:ind w:firstLine="0" w:firstLineChars="0"/>
              <w:jc w:val="left"/>
              <w:textAlignment w:val="center"/>
              <w:rPr>
                <w:rFonts w:cs="宋体"/>
                <w:color w:val="000000"/>
                <w:sz w:val="20"/>
                <w:szCs w:val="20"/>
                <w:highlight w:val="none"/>
              </w:rPr>
            </w:pPr>
            <w:r>
              <w:rPr>
                <w:rFonts w:hint="eastAsia" w:cs="宋体"/>
                <w:color w:val="000000"/>
                <w:kern w:val="0"/>
                <w:sz w:val="20"/>
                <w:szCs w:val="20"/>
                <w:highlight w:val="none"/>
                <w:lang w:bidi="ar"/>
              </w:rPr>
              <w:t>综合指挥监管</w:t>
            </w:r>
          </w:p>
        </w:tc>
        <w:tc>
          <w:tcPr>
            <w:tcW w:w="1436" w:type="pct"/>
            <w:tcBorders>
              <w:top w:val="single" w:color="000000" w:sz="4" w:space="0"/>
              <w:left w:val="single" w:color="000000" w:sz="4" w:space="0"/>
              <w:bottom w:val="single" w:color="000000" w:sz="4" w:space="0"/>
              <w:right w:val="single" w:color="000000" w:sz="4" w:space="0"/>
            </w:tcBorders>
            <w:vAlign w:val="center"/>
          </w:tcPr>
          <w:p w14:paraId="298D0405">
            <w:pPr>
              <w:widowControl/>
              <w:spacing w:line="240" w:lineRule="auto"/>
              <w:ind w:firstLine="0" w:firstLineChars="0"/>
              <w:jc w:val="center"/>
              <w:textAlignment w:val="center"/>
              <w:rPr>
                <w:rFonts w:cs="宋体"/>
                <w:color w:val="000000"/>
                <w:sz w:val="20"/>
                <w:szCs w:val="20"/>
                <w:highlight w:val="none"/>
              </w:rPr>
            </w:pPr>
            <w:r>
              <w:rPr>
                <w:rFonts w:hint="eastAsia" w:cs="宋体"/>
                <w:color w:val="000000"/>
                <w:kern w:val="0"/>
                <w:sz w:val="20"/>
                <w:szCs w:val="20"/>
                <w:highlight w:val="none"/>
                <w:lang w:bidi="ar"/>
              </w:rPr>
              <w:t>建筑垃圾案件移送线索管理（新建）-长三角联动成果展示与监管对象画像</w:t>
            </w:r>
          </w:p>
        </w:tc>
        <w:tc>
          <w:tcPr>
            <w:tcW w:w="1998" w:type="pct"/>
            <w:tcBorders>
              <w:top w:val="single" w:color="000000" w:sz="4" w:space="0"/>
              <w:left w:val="single" w:color="000000" w:sz="4" w:space="0"/>
              <w:bottom w:val="single" w:color="000000" w:sz="4" w:space="0"/>
              <w:right w:val="single" w:color="000000" w:sz="4" w:space="0"/>
            </w:tcBorders>
            <w:vAlign w:val="center"/>
          </w:tcPr>
          <w:p w14:paraId="275AD168">
            <w:pPr>
              <w:widowControl/>
              <w:spacing w:line="240" w:lineRule="auto"/>
              <w:ind w:firstLine="0" w:firstLineChars="0"/>
              <w:jc w:val="left"/>
              <w:textAlignment w:val="center"/>
              <w:rPr>
                <w:rFonts w:cs="宋体"/>
                <w:color w:val="000000"/>
                <w:sz w:val="20"/>
                <w:szCs w:val="20"/>
                <w:highlight w:val="none"/>
              </w:rPr>
            </w:pPr>
            <w:r>
              <w:rPr>
                <w:rFonts w:hint="eastAsia" w:cs="宋体"/>
                <w:color w:val="000000"/>
                <w:kern w:val="0"/>
                <w:sz w:val="20"/>
                <w:szCs w:val="20"/>
                <w:highlight w:val="none"/>
                <w:lang w:bidi="ar"/>
              </w:rPr>
              <w:t>新增长三角联动成果展示功能；新增建筑垃圾监管对象画像。</w:t>
            </w:r>
          </w:p>
        </w:tc>
      </w:tr>
      <w:tr w14:paraId="228E442D">
        <w:tblPrEx>
          <w:tblCellMar>
            <w:top w:w="0" w:type="dxa"/>
            <w:left w:w="108" w:type="dxa"/>
            <w:bottom w:w="0" w:type="dxa"/>
            <w:right w:w="108" w:type="dxa"/>
          </w:tblCellMar>
        </w:tblPrEx>
        <w:trPr>
          <w:trHeight w:val="520" w:hRule="atLeast"/>
        </w:trPr>
        <w:tc>
          <w:tcPr>
            <w:tcW w:w="460" w:type="pct"/>
            <w:tcBorders>
              <w:top w:val="single" w:color="000000" w:sz="4" w:space="0"/>
              <w:left w:val="single" w:color="000000" w:sz="4" w:space="0"/>
              <w:bottom w:val="single" w:color="000000" w:sz="4" w:space="0"/>
              <w:right w:val="single" w:color="000000" w:sz="4" w:space="0"/>
            </w:tcBorders>
            <w:noWrap/>
            <w:vAlign w:val="center"/>
          </w:tcPr>
          <w:p w14:paraId="33AABD64">
            <w:pPr>
              <w:widowControl/>
              <w:spacing w:line="240" w:lineRule="auto"/>
              <w:ind w:firstLine="0" w:firstLineChars="0"/>
              <w:jc w:val="center"/>
              <w:textAlignment w:val="center"/>
              <w:rPr>
                <w:rFonts w:cs="宋体"/>
                <w:color w:val="000000"/>
                <w:sz w:val="20"/>
                <w:szCs w:val="20"/>
                <w:highlight w:val="none"/>
              </w:rPr>
            </w:pPr>
            <w:r>
              <w:rPr>
                <w:rFonts w:hint="eastAsia" w:cs="宋体"/>
                <w:color w:val="000000"/>
                <w:kern w:val="0"/>
                <w:sz w:val="20"/>
                <w:szCs w:val="20"/>
                <w:highlight w:val="none"/>
                <w:lang w:bidi="ar"/>
              </w:rPr>
              <w:t>14</w:t>
            </w:r>
          </w:p>
        </w:tc>
        <w:tc>
          <w:tcPr>
            <w:tcW w:w="1104" w:type="pct"/>
            <w:tcBorders>
              <w:top w:val="single" w:color="000000" w:sz="4" w:space="0"/>
              <w:left w:val="single" w:color="000000" w:sz="4" w:space="0"/>
              <w:bottom w:val="single" w:color="000000" w:sz="4" w:space="0"/>
              <w:right w:val="single" w:color="000000" w:sz="4" w:space="0"/>
            </w:tcBorders>
            <w:noWrap/>
            <w:vAlign w:val="center"/>
          </w:tcPr>
          <w:p w14:paraId="39A942D9">
            <w:pPr>
              <w:widowControl/>
              <w:spacing w:line="240" w:lineRule="auto"/>
              <w:ind w:firstLine="0" w:firstLineChars="0"/>
              <w:jc w:val="left"/>
              <w:textAlignment w:val="center"/>
              <w:rPr>
                <w:rFonts w:cs="宋体"/>
                <w:color w:val="000000"/>
                <w:sz w:val="20"/>
                <w:szCs w:val="20"/>
                <w:highlight w:val="none"/>
              </w:rPr>
            </w:pPr>
            <w:r>
              <w:rPr>
                <w:rFonts w:hint="eastAsia" w:cs="宋体"/>
                <w:color w:val="000000"/>
                <w:kern w:val="0"/>
                <w:sz w:val="20"/>
                <w:szCs w:val="20"/>
                <w:highlight w:val="none"/>
                <w:lang w:bidi="ar"/>
              </w:rPr>
              <w:t>综合指挥监管</w:t>
            </w:r>
          </w:p>
        </w:tc>
        <w:tc>
          <w:tcPr>
            <w:tcW w:w="1436" w:type="pct"/>
            <w:tcBorders>
              <w:top w:val="single" w:color="000000" w:sz="4" w:space="0"/>
              <w:left w:val="single" w:color="000000" w:sz="4" w:space="0"/>
              <w:bottom w:val="single" w:color="000000" w:sz="4" w:space="0"/>
              <w:right w:val="single" w:color="000000" w:sz="4" w:space="0"/>
            </w:tcBorders>
            <w:vAlign w:val="center"/>
          </w:tcPr>
          <w:p w14:paraId="6AA8CC17">
            <w:pPr>
              <w:widowControl/>
              <w:spacing w:line="240" w:lineRule="auto"/>
              <w:ind w:firstLine="0" w:firstLineChars="0"/>
              <w:jc w:val="center"/>
              <w:textAlignment w:val="center"/>
              <w:rPr>
                <w:rFonts w:cs="宋体"/>
                <w:color w:val="000000"/>
                <w:sz w:val="20"/>
                <w:szCs w:val="20"/>
                <w:highlight w:val="none"/>
              </w:rPr>
            </w:pPr>
            <w:r>
              <w:rPr>
                <w:rFonts w:hint="eastAsia" w:cs="宋体"/>
                <w:color w:val="000000"/>
                <w:kern w:val="0"/>
                <w:sz w:val="20"/>
                <w:szCs w:val="20"/>
                <w:highlight w:val="none"/>
                <w:lang w:bidi="ar"/>
              </w:rPr>
              <w:t>综合执法监督指导（</w:t>
            </w:r>
            <w:r>
              <w:rPr>
                <w:rFonts w:hint="eastAsia" w:ascii="宋体" w:hAnsi="宋体" w:eastAsia="宋体" w:cs="宋体"/>
                <w:color w:val="000000"/>
                <w:kern w:val="0"/>
                <w:sz w:val="20"/>
                <w:szCs w:val="20"/>
                <w:highlight w:val="none"/>
                <w:shd w:val="clear"/>
                <w:lang w:bidi="ar"/>
              </w:rPr>
              <w:t>升级</w:t>
            </w:r>
            <w:r>
              <w:rPr>
                <w:rFonts w:hint="eastAsia" w:ascii="宋体" w:hAnsi="宋体" w:eastAsia="宋体" w:cs="宋体"/>
                <w:color w:val="000000"/>
                <w:kern w:val="0"/>
                <w:sz w:val="20"/>
                <w:szCs w:val="20"/>
                <w:highlight w:val="none"/>
                <w:lang w:bidi="ar"/>
              </w:rPr>
              <w:t>）</w:t>
            </w:r>
            <w:r>
              <w:rPr>
                <w:rFonts w:hint="eastAsia" w:cs="宋体"/>
                <w:color w:val="000000"/>
                <w:kern w:val="0"/>
                <w:sz w:val="20"/>
                <w:szCs w:val="20"/>
                <w:highlight w:val="none"/>
                <w:lang w:bidi="ar"/>
              </w:rPr>
              <w:t>-监督汇总统计（升级）</w:t>
            </w:r>
          </w:p>
        </w:tc>
        <w:tc>
          <w:tcPr>
            <w:tcW w:w="1998" w:type="pct"/>
            <w:tcBorders>
              <w:top w:val="single" w:color="000000" w:sz="4" w:space="0"/>
              <w:left w:val="single" w:color="000000" w:sz="4" w:space="0"/>
              <w:bottom w:val="single" w:color="000000" w:sz="4" w:space="0"/>
              <w:right w:val="single" w:color="000000" w:sz="4" w:space="0"/>
            </w:tcBorders>
            <w:vAlign w:val="center"/>
          </w:tcPr>
          <w:p w14:paraId="1CF8321A">
            <w:pPr>
              <w:widowControl/>
              <w:spacing w:line="240" w:lineRule="auto"/>
              <w:ind w:firstLine="0" w:firstLineChars="0"/>
              <w:jc w:val="left"/>
              <w:textAlignment w:val="center"/>
              <w:rPr>
                <w:rFonts w:cs="宋体"/>
                <w:color w:val="000000"/>
                <w:sz w:val="20"/>
                <w:szCs w:val="20"/>
                <w:highlight w:val="none"/>
              </w:rPr>
            </w:pPr>
            <w:r>
              <w:rPr>
                <w:rFonts w:hint="eastAsia" w:cs="宋体"/>
                <w:color w:val="000000"/>
                <w:kern w:val="0"/>
                <w:sz w:val="20"/>
                <w:szCs w:val="20"/>
                <w:highlight w:val="none"/>
                <w:lang w:bidi="ar"/>
              </w:rPr>
              <w:t>完善监督工作汇总统计，进行执法监督数据晾晒。</w:t>
            </w:r>
          </w:p>
        </w:tc>
      </w:tr>
      <w:tr w14:paraId="2E43F6BC">
        <w:tblPrEx>
          <w:tblCellMar>
            <w:top w:w="0" w:type="dxa"/>
            <w:left w:w="108" w:type="dxa"/>
            <w:bottom w:w="0" w:type="dxa"/>
            <w:right w:w="108" w:type="dxa"/>
          </w:tblCellMar>
        </w:tblPrEx>
        <w:trPr>
          <w:trHeight w:val="780" w:hRule="atLeast"/>
        </w:trPr>
        <w:tc>
          <w:tcPr>
            <w:tcW w:w="460" w:type="pct"/>
            <w:tcBorders>
              <w:top w:val="single" w:color="000000" w:sz="4" w:space="0"/>
              <w:left w:val="single" w:color="000000" w:sz="4" w:space="0"/>
              <w:bottom w:val="single" w:color="000000" w:sz="4" w:space="0"/>
              <w:right w:val="single" w:color="000000" w:sz="4" w:space="0"/>
            </w:tcBorders>
            <w:noWrap/>
            <w:vAlign w:val="center"/>
          </w:tcPr>
          <w:p w14:paraId="697DC705">
            <w:pPr>
              <w:widowControl/>
              <w:spacing w:line="240" w:lineRule="auto"/>
              <w:ind w:firstLine="0" w:firstLineChars="0"/>
              <w:jc w:val="center"/>
              <w:textAlignment w:val="center"/>
              <w:rPr>
                <w:rFonts w:cs="宋体"/>
                <w:color w:val="000000"/>
                <w:sz w:val="20"/>
                <w:szCs w:val="20"/>
                <w:highlight w:val="none"/>
              </w:rPr>
            </w:pPr>
            <w:r>
              <w:rPr>
                <w:rFonts w:hint="eastAsia" w:cs="宋体"/>
                <w:color w:val="000000"/>
                <w:kern w:val="0"/>
                <w:sz w:val="20"/>
                <w:szCs w:val="20"/>
                <w:highlight w:val="none"/>
                <w:lang w:bidi="ar"/>
              </w:rPr>
              <w:t>15</w:t>
            </w:r>
          </w:p>
        </w:tc>
        <w:tc>
          <w:tcPr>
            <w:tcW w:w="1104" w:type="pct"/>
            <w:tcBorders>
              <w:top w:val="single" w:color="000000" w:sz="4" w:space="0"/>
              <w:left w:val="single" w:color="000000" w:sz="4" w:space="0"/>
              <w:bottom w:val="single" w:color="000000" w:sz="4" w:space="0"/>
              <w:right w:val="single" w:color="000000" w:sz="4" w:space="0"/>
            </w:tcBorders>
            <w:noWrap/>
            <w:vAlign w:val="center"/>
          </w:tcPr>
          <w:p w14:paraId="0113EF37">
            <w:pPr>
              <w:widowControl/>
              <w:spacing w:line="240" w:lineRule="auto"/>
              <w:ind w:firstLine="0" w:firstLineChars="0"/>
              <w:jc w:val="left"/>
              <w:textAlignment w:val="center"/>
              <w:rPr>
                <w:rFonts w:cs="宋体"/>
                <w:color w:val="000000"/>
                <w:sz w:val="20"/>
                <w:szCs w:val="20"/>
                <w:highlight w:val="none"/>
              </w:rPr>
            </w:pPr>
            <w:r>
              <w:rPr>
                <w:rFonts w:hint="eastAsia" w:cs="宋体"/>
                <w:color w:val="000000"/>
                <w:kern w:val="0"/>
                <w:sz w:val="20"/>
                <w:szCs w:val="20"/>
                <w:highlight w:val="none"/>
                <w:lang w:bidi="ar"/>
              </w:rPr>
              <w:t>综合指挥监管</w:t>
            </w:r>
          </w:p>
        </w:tc>
        <w:tc>
          <w:tcPr>
            <w:tcW w:w="1436" w:type="pct"/>
            <w:tcBorders>
              <w:top w:val="single" w:color="000000" w:sz="4" w:space="0"/>
              <w:left w:val="single" w:color="000000" w:sz="4" w:space="0"/>
              <w:bottom w:val="single" w:color="000000" w:sz="4" w:space="0"/>
              <w:right w:val="single" w:color="000000" w:sz="4" w:space="0"/>
            </w:tcBorders>
            <w:vAlign w:val="center"/>
          </w:tcPr>
          <w:p w14:paraId="3B423B93">
            <w:pPr>
              <w:widowControl/>
              <w:spacing w:line="240" w:lineRule="auto"/>
              <w:ind w:firstLine="0" w:firstLineChars="0"/>
              <w:jc w:val="center"/>
              <w:textAlignment w:val="center"/>
              <w:rPr>
                <w:rFonts w:cs="宋体"/>
                <w:color w:val="000000"/>
                <w:sz w:val="20"/>
                <w:szCs w:val="20"/>
                <w:highlight w:val="none"/>
              </w:rPr>
            </w:pPr>
            <w:r>
              <w:rPr>
                <w:rFonts w:hint="eastAsia" w:cs="宋体"/>
                <w:color w:val="000000"/>
                <w:kern w:val="0"/>
                <w:sz w:val="20"/>
                <w:szCs w:val="20"/>
                <w:highlight w:val="none"/>
                <w:lang w:bidi="ar"/>
              </w:rPr>
              <w:t>综合执法监督指导（升级）-执法监督工作提示（新建）-工作提示模板管理</w:t>
            </w:r>
          </w:p>
        </w:tc>
        <w:tc>
          <w:tcPr>
            <w:tcW w:w="1998" w:type="pct"/>
            <w:tcBorders>
              <w:top w:val="single" w:color="000000" w:sz="4" w:space="0"/>
              <w:left w:val="single" w:color="000000" w:sz="4" w:space="0"/>
              <w:bottom w:val="single" w:color="000000" w:sz="4" w:space="0"/>
              <w:right w:val="single" w:color="000000" w:sz="4" w:space="0"/>
            </w:tcBorders>
            <w:vAlign w:val="center"/>
          </w:tcPr>
          <w:p w14:paraId="61FA9B6B">
            <w:pPr>
              <w:widowControl/>
              <w:spacing w:line="240" w:lineRule="auto"/>
              <w:ind w:firstLine="0" w:firstLineChars="0"/>
              <w:jc w:val="left"/>
              <w:textAlignment w:val="center"/>
              <w:rPr>
                <w:rFonts w:cs="宋体"/>
                <w:color w:val="000000"/>
                <w:sz w:val="20"/>
                <w:szCs w:val="20"/>
                <w:highlight w:val="none"/>
              </w:rPr>
            </w:pPr>
            <w:r>
              <w:rPr>
                <w:rFonts w:hint="eastAsia" w:cs="宋体"/>
                <w:color w:val="000000"/>
                <w:kern w:val="0"/>
                <w:sz w:val="20"/>
                <w:szCs w:val="20"/>
                <w:highlight w:val="none"/>
                <w:lang w:bidi="ar"/>
              </w:rPr>
              <w:t>设计工作提示统计分析模板，系统支持执法监督模板自动化生成，实现汇总各类内容的统计明细，生成统计报告并导出。</w:t>
            </w:r>
          </w:p>
        </w:tc>
      </w:tr>
      <w:tr w14:paraId="17AD949A">
        <w:tblPrEx>
          <w:tblCellMar>
            <w:top w:w="0" w:type="dxa"/>
            <w:left w:w="108" w:type="dxa"/>
            <w:bottom w:w="0" w:type="dxa"/>
            <w:right w:w="108" w:type="dxa"/>
          </w:tblCellMar>
        </w:tblPrEx>
        <w:trPr>
          <w:trHeight w:val="780" w:hRule="atLeast"/>
        </w:trPr>
        <w:tc>
          <w:tcPr>
            <w:tcW w:w="460" w:type="pct"/>
            <w:tcBorders>
              <w:top w:val="single" w:color="000000" w:sz="4" w:space="0"/>
              <w:left w:val="single" w:color="000000" w:sz="4" w:space="0"/>
              <w:bottom w:val="single" w:color="000000" w:sz="4" w:space="0"/>
              <w:right w:val="single" w:color="000000" w:sz="4" w:space="0"/>
            </w:tcBorders>
            <w:noWrap/>
            <w:vAlign w:val="center"/>
          </w:tcPr>
          <w:p w14:paraId="6FDB61B6">
            <w:pPr>
              <w:widowControl/>
              <w:spacing w:line="240" w:lineRule="auto"/>
              <w:ind w:firstLine="0" w:firstLineChars="0"/>
              <w:jc w:val="center"/>
              <w:textAlignment w:val="center"/>
              <w:rPr>
                <w:rFonts w:cs="宋体"/>
                <w:color w:val="000000"/>
                <w:sz w:val="20"/>
                <w:szCs w:val="20"/>
                <w:highlight w:val="none"/>
              </w:rPr>
            </w:pPr>
            <w:r>
              <w:rPr>
                <w:rFonts w:hint="eastAsia" w:cs="宋体"/>
                <w:color w:val="000000"/>
                <w:kern w:val="0"/>
                <w:sz w:val="20"/>
                <w:szCs w:val="20"/>
                <w:highlight w:val="none"/>
                <w:lang w:bidi="ar"/>
              </w:rPr>
              <w:t>16</w:t>
            </w:r>
          </w:p>
        </w:tc>
        <w:tc>
          <w:tcPr>
            <w:tcW w:w="1104" w:type="pct"/>
            <w:tcBorders>
              <w:top w:val="single" w:color="000000" w:sz="4" w:space="0"/>
              <w:left w:val="single" w:color="000000" w:sz="4" w:space="0"/>
              <w:bottom w:val="single" w:color="000000" w:sz="4" w:space="0"/>
              <w:right w:val="single" w:color="000000" w:sz="4" w:space="0"/>
            </w:tcBorders>
            <w:noWrap/>
            <w:vAlign w:val="center"/>
          </w:tcPr>
          <w:p w14:paraId="6E5A68AB">
            <w:pPr>
              <w:widowControl/>
              <w:spacing w:line="240" w:lineRule="auto"/>
              <w:ind w:firstLine="0" w:firstLineChars="0"/>
              <w:jc w:val="left"/>
              <w:textAlignment w:val="center"/>
              <w:rPr>
                <w:rFonts w:cs="宋体"/>
                <w:color w:val="000000"/>
                <w:sz w:val="20"/>
                <w:szCs w:val="20"/>
                <w:highlight w:val="none"/>
              </w:rPr>
            </w:pPr>
            <w:r>
              <w:rPr>
                <w:rFonts w:hint="eastAsia" w:cs="宋体"/>
                <w:color w:val="000000"/>
                <w:kern w:val="0"/>
                <w:sz w:val="20"/>
                <w:szCs w:val="20"/>
                <w:highlight w:val="none"/>
                <w:lang w:bidi="ar"/>
              </w:rPr>
              <w:t>综合指挥监管</w:t>
            </w:r>
          </w:p>
        </w:tc>
        <w:tc>
          <w:tcPr>
            <w:tcW w:w="1436" w:type="pct"/>
            <w:tcBorders>
              <w:top w:val="single" w:color="000000" w:sz="4" w:space="0"/>
              <w:left w:val="single" w:color="000000" w:sz="4" w:space="0"/>
              <w:bottom w:val="single" w:color="000000" w:sz="4" w:space="0"/>
              <w:right w:val="single" w:color="000000" w:sz="4" w:space="0"/>
            </w:tcBorders>
            <w:vAlign w:val="center"/>
          </w:tcPr>
          <w:p w14:paraId="63A10AA9">
            <w:pPr>
              <w:widowControl/>
              <w:spacing w:line="240" w:lineRule="auto"/>
              <w:ind w:firstLine="0" w:firstLineChars="0"/>
              <w:jc w:val="center"/>
              <w:textAlignment w:val="center"/>
              <w:rPr>
                <w:rFonts w:cs="宋体"/>
                <w:color w:val="000000"/>
                <w:sz w:val="20"/>
                <w:szCs w:val="20"/>
                <w:highlight w:val="none"/>
              </w:rPr>
            </w:pPr>
            <w:r>
              <w:rPr>
                <w:rFonts w:hint="eastAsia" w:cs="宋体"/>
                <w:color w:val="000000"/>
                <w:kern w:val="0"/>
                <w:sz w:val="20"/>
                <w:szCs w:val="20"/>
                <w:highlight w:val="none"/>
                <w:lang w:bidi="ar"/>
              </w:rPr>
              <w:t>综合执法监督指导（升级）-执法监督工作提示（新建）-统计规则管理</w:t>
            </w:r>
          </w:p>
        </w:tc>
        <w:tc>
          <w:tcPr>
            <w:tcW w:w="1998" w:type="pct"/>
            <w:tcBorders>
              <w:top w:val="single" w:color="000000" w:sz="4" w:space="0"/>
              <w:left w:val="single" w:color="000000" w:sz="4" w:space="0"/>
              <w:bottom w:val="single" w:color="000000" w:sz="4" w:space="0"/>
              <w:right w:val="single" w:color="000000" w:sz="4" w:space="0"/>
            </w:tcBorders>
            <w:vAlign w:val="center"/>
          </w:tcPr>
          <w:p w14:paraId="66C494BE">
            <w:pPr>
              <w:widowControl/>
              <w:spacing w:line="240" w:lineRule="auto"/>
              <w:ind w:firstLine="0" w:firstLineChars="0"/>
              <w:jc w:val="left"/>
              <w:textAlignment w:val="center"/>
              <w:rPr>
                <w:rFonts w:cs="宋体"/>
                <w:color w:val="000000"/>
                <w:sz w:val="20"/>
                <w:szCs w:val="20"/>
                <w:highlight w:val="none"/>
              </w:rPr>
            </w:pPr>
            <w:r>
              <w:rPr>
                <w:rFonts w:hint="eastAsia" w:cs="宋体"/>
                <w:color w:val="000000"/>
                <w:kern w:val="0"/>
                <w:sz w:val="20"/>
                <w:szCs w:val="20"/>
                <w:highlight w:val="none"/>
                <w:lang w:bidi="ar"/>
              </w:rPr>
              <w:t>按照执法业务统计指标项，设计统计规则。</w:t>
            </w:r>
          </w:p>
        </w:tc>
      </w:tr>
      <w:tr w14:paraId="020D2FFF">
        <w:tblPrEx>
          <w:tblCellMar>
            <w:top w:w="0" w:type="dxa"/>
            <w:left w:w="108" w:type="dxa"/>
            <w:bottom w:w="0" w:type="dxa"/>
            <w:right w:w="108" w:type="dxa"/>
          </w:tblCellMar>
        </w:tblPrEx>
        <w:trPr>
          <w:trHeight w:val="1300" w:hRule="atLeast"/>
        </w:trPr>
        <w:tc>
          <w:tcPr>
            <w:tcW w:w="460" w:type="pct"/>
            <w:tcBorders>
              <w:top w:val="single" w:color="000000" w:sz="4" w:space="0"/>
              <w:left w:val="single" w:color="000000" w:sz="4" w:space="0"/>
              <w:bottom w:val="single" w:color="000000" w:sz="4" w:space="0"/>
              <w:right w:val="single" w:color="000000" w:sz="4" w:space="0"/>
            </w:tcBorders>
            <w:noWrap/>
            <w:vAlign w:val="center"/>
          </w:tcPr>
          <w:p w14:paraId="790F98DD">
            <w:pPr>
              <w:widowControl/>
              <w:spacing w:line="240" w:lineRule="auto"/>
              <w:ind w:firstLine="0" w:firstLineChars="0"/>
              <w:jc w:val="center"/>
              <w:textAlignment w:val="center"/>
              <w:rPr>
                <w:rFonts w:cs="宋体"/>
                <w:color w:val="000000"/>
                <w:sz w:val="20"/>
                <w:szCs w:val="20"/>
                <w:highlight w:val="none"/>
              </w:rPr>
            </w:pPr>
            <w:r>
              <w:rPr>
                <w:rFonts w:hint="eastAsia" w:cs="宋体"/>
                <w:color w:val="000000"/>
                <w:kern w:val="0"/>
                <w:sz w:val="20"/>
                <w:szCs w:val="20"/>
                <w:highlight w:val="none"/>
                <w:lang w:bidi="ar"/>
              </w:rPr>
              <w:t>17</w:t>
            </w:r>
          </w:p>
        </w:tc>
        <w:tc>
          <w:tcPr>
            <w:tcW w:w="1104" w:type="pct"/>
            <w:tcBorders>
              <w:top w:val="single" w:color="000000" w:sz="4" w:space="0"/>
              <w:left w:val="single" w:color="000000" w:sz="4" w:space="0"/>
              <w:bottom w:val="single" w:color="000000" w:sz="4" w:space="0"/>
              <w:right w:val="single" w:color="000000" w:sz="4" w:space="0"/>
            </w:tcBorders>
            <w:noWrap/>
            <w:vAlign w:val="center"/>
          </w:tcPr>
          <w:p w14:paraId="7D8C0606">
            <w:pPr>
              <w:widowControl/>
              <w:spacing w:line="240" w:lineRule="auto"/>
              <w:ind w:firstLine="0" w:firstLineChars="0"/>
              <w:jc w:val="left"/>
              <w:textAlignment w:val="center"/>
              <w:rPr>
                <w:rFonts w:cs="宋体"/>
                <w:color w:val="000000"/>
                <w:sz w:val="20"/>
                <w:szCs w:val="20"/>
                <w:highlight w:val="none"/>
              </w:rPr>
            </w:pPr>
            <w:r>
              <w:rPr>
                <w:rFonts w:hint="eastAsia" w:cs="宋体"/>
                <w:color w:val="000000"/>
                <w:kern w:val="0"/>
                <w:sz w:val="20"/>
                <w:szCs w:val="20"/>
                <w:highlight w:val="none"/>
                <w:lang w:bidi="ar"/>
              </w:rPr>
              <w:t>综合指挥监管</w:t>
            </w:r>
          </w:p>
        </w:tc>
        <w:tc>
          <w:tcPr>
            <w:tcW w:w="1436" w:type="pct"/>
            <w:tcBorders>
              <w:top w:val="single" w:color="000000" w:sz="4" w:space="0"/>
              <w:left w:val="single" w:color="000000" w:sz="4" w:space="0"/>
              <w:bottom w:val="single" w:color="000000" w:sz="4" w:space="0"/>
              <w:right w:val="single" w:color="000000" w:sz="4" w:space="0"/>
            </w:tcBorders>
            <w:vAlign w:val="center"/>
          </w:tcPr>
          <w:p w14:paraId="0E29FB0E">
            <w:pPr>
              <w:widowControl/>
              <w:spacing w:line="240" w:lineRule="auto"/>
              <w:ind w:firstLine="0" w:firstLineChars="0"/>
              <w:jc w:val="center"/>
              <w:textAlignment w:val="center"/>
              <w:rPr>
                <w:rFonts w:cs="宋体"/>
                <w:color w:val="000000"/>
                <w:sz w:val="20"/>
                <w:szCs w:val="20"/>
                <w:highlight w:val="none"/>
              </w:rPr>
            </w:pPr>
            <w:r>
              <w:rPr>
                <w:rFonts w:hint="eastAsia" w:cs="宋体"/>
                <w:color w:val="000000"/>
                <w:kern w:val="0"/>
                <w:sz w:val="20"/>
                <w:szCs w:val="20"/>
                <w:highlight w:val="none"/>
                <w:lang w:bidi="ar"/>
              </w:rPr>
              <w:t>综合执法监督指导（升级）-执法监督工作提示（新建）-执法监督工作提示</w:t>
            </w:r>
          </w:p>
        </w:tc>
        <w:tc>
          <w:tcPr>
            <w:tcW w:w="1998" w:type="pct"/>
            <w:tcBorders>
              <w:top w:val="single" w:color="000000" w:sz="4" w:space="0"/>
              <w:left w:val="single" w:color="000000" w:sz="4" w:space="0"/>
              <w:bottom w:val="single" w:color="000000" w:sz="4" w:space="0"/>
              <w:right w:val="single" w:color="000000" w:sz="4" w:space="0"/>
            </w:tcBorders>
            <w:vAlign w:val="center"/>
          </w:tcPr>
          <w:p w14:paraId="61C69392">
            <w:pPr>
              <w:widowControl/>
              <w:spacing w:line="240" w:lineRule="auto"/>
              <w:ind w:firstLine="0" w:firstLineChars="0"/>
              <w:jc w:val="left"/>
              <w:textAlignment w:val="center"/>
              <w:rPr>
                <w:rFonts w:cs="宋体"/>
                <w:color w:val="000000"/>
                <w:sz w:val="20"/>
                <w:szCs w:val="20"/>
                <w:highlight w:val="none"/>
              </w:rPr>
            </w:pPr>
            <w:r>
              <w:rPr>
                <w:rFonts w:hint="eastAsia" w:cs="宋体"/>
                <w:color w:val="000000"/>
                <w:kern w:val="0"/>
                <w:sz w:val="20"/>
                <w:szCs w:val="20"/>
                <w:highlight w:val="none"/>
                <w:lang w:bidi="ar"/>
              </w:rPr>
              <w:t>设置用户权限，生成市、区两级执法监督月度工作提示报告或执法监督工作实时提示报告。系统支持手动将市级或区级执法监督工作中存在的问题进行编辑与通报。并支持执法监督中对中队、队员在执法工作中存在的典型问题进行案例编辑、发布。</w:t>
            </w:r>
          </w:p>
        </w:tc>
      </w:tr>
      <w:tr w14:paraId="4D1A701B">
        <w:tblPrEx>
          <w:tblCellMar>
            <w:top w:w="0" w:type="dxa"/>
            <w:left w:w="108" w:type="dxa"/>
            <w:bottom w:w="0" w:type="dxa"/>
            <w:right w:w="108" w:type="dxa"/>
          </w:tblCellMar>
        </w:tblPrEx>
        <w:trPr>
          <w:trHeight w:val="780" w:hRule="atLeast"/>
        </w:trPr>
        <w:tc>
          <w:tcPr>
            <w:tcW w:w="460" w:type="pct"/>
            <w:tcBorders>
              <w:top w:val="single" w:color="000000" w:sz="4" w:space="0"/>
              <w:left w:val="single" w:color="000000" w:sz="4" w:space="0"/>
              <w:bottom w:val="single" w:color="000000" w:sz="4" w:space="0"/>
              <w:right w:val="single" w:color="000000" w:sz="4" w:space="0"/>
            </w:tcBorders>
            <w:noWrap/>
            <w:vAlign w:val="center"/>
          </w:tcPr>
          <w:p w14:paraId="71196E45">
            <w:pPr>
              <w:widowControl/>
              <w:spacing w:line="240" w:lineRule="auto"/>
              <w:ind w:firstLine="0" w:firstLineChars="0"/>
              <w:jc w:val="center"/>
              <w:textAlignment w:val="center"/>
              <w:rPr>
                <w:rFonts w:cs="宋体"/>
                <w:color w:val="000000"/>
                <w:sz w:val="20"/>
                <w:szCs w:val="20"/>
                <w:highlight w:val="none"/>
              </w:rPr>
            </w:pPr>
            <w:r>
              <w:rPr>
                <w:rFonts w:hint="eastAsia" w:cs="宋体"/>
                <w:color w:val="000000"/>
                <w:kern w:val="0"/>
                <w:sz w:val="20"/>
                <w:szCs w:val="20"/>
                <w:highlight w:val="none"/>
                <w:lang w:bidi="ar"/>
              </w:rPr>
              <w:t>18</w:t>
            </w:r>
          </w:p>
        </w:tc>
        <w:tc>
          <w:tcPr>
            <w:tcW w:w="1104" w:type="pct"/>
            <w:tcBorders>
              <w:top w:val="single" w:color="000000" w:sz="4" w:space="0"/>
              <w:left w:val="single" w:color="000000" w:sz="4" w:space="0"/>
              <w:bottom w:val="single" w:color="000000" w:sz="4" w:space="0"/>
              <w:right w:val="single" w:color="000000" w:sz="4" w:space="0"/>
            </w:tcBorders>
            <w:noWrap/>
            <w:vAlign w:val="center"/>
          </w:tcPr>
          <w:p w14:paraId="17F482B7">
            <w:pPr>
              <w:widowControl/>
              <w:spacing w:line="240" w:lineRule="auto"/>
              <w:ind w:firstLine="0" w:firstLineChars="0"/>
              <w:jc w:val="left"/>
              <w:textAlignment w:val="center"/>
              <w:rPr>
                <w:rFonts w:cs="宋体"/>
                <w:color w:val="000000"/>
                <w:sz w:val="20"/>
                <w:szCs w:val="20"/>
                <w:highlight w:val="none"/>
              </w:rPr>
            </w:pPr>
            <w:r>
              <w:rPr>
                <w:rFonts w:hint="eastAsia" w:cs="宋体"/>
                <w:color w:val="000000"/>
                <w:kern w:val="0"/>
                <w:sz w:val="20"/>
                <w:szCs w:val="20"/>
                <w:highlight w:val="none"/>
                <w:lang w:bidi="ar"/>
              </w:rPr>
              <w:t>综合指挥监管</w:t>
            </w:r>
          </w:p>
        </w:tc>
        <w:tc>
          <w:tcPr>
            <w:tcW w:w="1436" w:type="pct"/>
            <w:tcBorders>
              <w:top w:val="single" w:color="000000" w:sz="4" w:space="0"/>
              <w:left w:val="single" w:color="000000" w:sz="4" w:space="0"/>
              <w:bottom w:val="single" w:color="000000" w:sz="4" w:space="0"/>
              <w:right w:val="single" w:color="000000" w:sz="4" w:space="0"/>
            </w:tcBorders>
            <w:vAlign w:val="center"/>
          </w:tcPr>
          <w:p w14:paraId="645CCC07">
            <w:pPr>
              <w:widowControl/>
              <w:spacing w:line="240" w:lineRule="auto"/>
              <w:ind w:firstLine="0" w:firstLineChars="0"/>
              <w:jc w:val="center"/>
              <w:textAlignment w:val="center"/>
              <w:rPr>
                <w:rFonts w:cs="宋体"/>
                <w:color w:val="000000"/>
                <w:sz w:val="20"/>
                <w:szCs w:val="20"/>
                <w:highlight w:val="none"/>
              </w:rPr>
            </w:pPr>
            <w:r>
              <w:rPr>
                <w:rFonts w:hint="eastAsia" w:cs="宋体"/>
                <w:color w:val="000000"/>
                <w:kern w:val="0"/>
                <w:sz w:val="20"/>
                <w:szCs w:val="20"/>
                <w:highlight w:val="none"/>
                <w:lang w:bidi="ar"/>
              </w:rPr>
              <w:t>综合执法监督指导（升级）-队伍建设监督（升级）-地址标准化管理</w:t>
            </w:r>
          </w:p>
        </w:tc>
        <w:tc>
          <w:tcPr>
            <w:tcW w:w="1998" w:type="pct"/>
            <w:tcBorders>
              <w:top w:val="single" w:color="000000" w:sz="4" w:space="0"/>
              <w:left w:val="single" w:color="000000" w:sz="4" w:space="0"/>
              <w:bottom w:val="single" w:color="000000" w:sz="4" w:space="0"/>
              <w:right w:val="single" w:color="000000" w:sz="4" w:space="0"/>
            </w:tcBorders>
            <w:vAlign w:val="center"/>
          </w:tcPr>
          <w:p w14:paraId="7F7BD51E">
            <w:pPr>
              <w:widowControl/>
              <w:spacing w:line="240" w:lineRule="auto"/>
              <w:ind w:firstLine="0" w:firstLineChars="0"/>
              <w:jc w:val="left"/>
              <w:textAlignment w:val="center"/>
              <w:rPr>
                <w:rFonts w:cs="宋体"/>
                <w:color w:val="000000"/>
                <w:sz w:val="20"/>
                <w:szCs w:val="20"/>
                <w:highlight w:val="none"/>
              </w:rPr>
            </w:pPr>
            <w:r>
              <w:rPr>
                <w:rFonts w:hint="eastAsia" w:cs="宋体"/>
                <w:color w:val="000000"/>
                <w:kern w:val="0"/>
                <w:sz w:val="20"/>
                <w:szCs w:val="20"/>
                <w:highlight w:val="none"/>
                <w:lang w:bidi="ar"/>
              </w:rPr>
              <w:t>进行地址标准化改造，实现中队/大队用房地址信息的精准化。</w:t>
            </w:r>
          </w:p>
        </w:tc>
      </w:tr>
      <w:tr w14:paraId="1117FB97">
        <w:tblPrEx>
          <w:tblCellMar>
            <w:top w:w="0" w:type="dxa"/>
            <w:left w:w="108" w:type="dxa"/>
            <w:bottom w:w="0" w:type="dxa"/>
            <w:right w:w="108" w:type="dxa"/>
          </w:tblCellMar>
        </w:tblPrEx>
        <w:trPr>
          <w:trHeight w:val="1040" w:hRule="atLeast"/>
        </w:trPr>
        <w:tc>
          <w:tcPr>
            <w:tcW w:w="460" w:type="pct"/>
            <w:tcBorders>
              <w:top w:val="single" w:color="000000" w:sz="4" w:space="0"/>
              <w:left w:val="single" w:color="000000" w:sz="4" w:space="0"/>
              <w:bottom w:val="single" w:color="000000" w:sz="4" w:space="0"/>
              <w:right w:val="single" w:color="000000" w:sz="4" w:space="0"/>
            </w:tcBorders>
            <w:noWrap/>
            <w:vAlign w:val="center"/>
          </w:tcPr>
          <w:p w14:paraId="273EDCB7">
            <w:pPr>
              <w:widowControl/>
              <w:spacing w:line="240" w:lineRule="auto"/>
              <w:ind w:firstLine="0" w:firstLineChars="0"/>
              <w:jc w:val="center"/>
              <w:textAlignment w:val="center"/>
              <w:rPr>
                <w:rFonts w:cs="宋体"/>
                <w:color w:val="000000"/>
                <w:sz w:val="20"/>
                <w:szCs w:val="20"/>
                <w:highlight w:val="none"/>
              </w:rPr>
            </w:pPr>
            <w:r>
              <w:rPr>
                <w:rFonts w:hint="eastAsia" w:cs="宋体"/>
                <w:color w:val="000000"/>
                <w:kern w:val="0"/>
                <w:sz w:val="20"/>
                <w:szCs w:val="20"/>
                <w:highlight w:val="none"/>
                <w:lang w:bidi="ar"/>
              </w:rPr>
              <w:t>19</w:t>
            </w:r>
          </w:p>
        </w:tc>
        <w:tc>
          <w:tcPr>
            <w:tcW w:w="1104" w:type="pct"/>
            <w:tcBorders>
              <w:top w:val="single" w:color="000000" w:sz="4" w:space="0"/>
              <w:left w:val="single" w:color="000000" w:sz="4" w:space="0"/>
              <w:bottom w:val="single" w:color="000000" w:sz="4" w:space="0"/>
              <w:right w:val="single" w:color="000000" w:sz="4" w:space="0"/>
            </w:tcBorders>
            <w:noWrap/>
            <w:vAlign w:val="center"/>
          </w:tcPr>
          <w:p w14:paraId="187E3C5E">
            <w:pPr>
              <w:widowControl/>
              <w:spacing w:line="240" w:lineRule="auto"/>
              <w:ind w:firstLine="0" w:firstLineChars="0"/>
              <w:jc w:val="left"/>
              <w:textAlignment w:val="center"/>
              <w:rPr>
                <w:rFonts w:cs="宋体"/>
                <w:color w:val="000000"/>
                <w:sz w:val="20"/>
                <w:szCs w:val="20"/>
                <w:highlight w:val="none"/>
              </w:rPr>
            </w:pPr>
            <w:r>
              <w:rPr>
                <w:rFonts w:hint="eastAsia" w:cs="宋体"/>
                <w:color w:val="000000"/>
                <w:kern w:val="0"/>
                <w:sz w:val="20"/>
                <w:szCs w:val="20"/>
                <w:highlight w:val="none"/>
                <w:lang w:bidi="ar"/>
              </w:rPr>
              <w:t>综合指挥监管</w:t>
            </w:r>
          </w:p>
        </w:tc>
        <w:tc>
          <w:tcPr>
            <w:tcW w:w="1436" w:type="pct"/>
            <w:tcBorders>
              <w:top w:val="single" w:color="000000" w:sz="4" w:space="0"/>
              <w:left w:val="single" w:color="000000" w:sz="4" w:space="0"/>
              <w:bottom w:val="single" w:color="000000" w:sz="4" w:space="0"/>
              <w:right w:val="single" w:color="000000" w:sz="4" w:space="0"/>
            </w:tcBorders>
            <w:vAlign w:val="center"/>
          </w:tcPr>
          <w:p w14:paraId="177C8526">
            <w:pPr>
              <w:widowControl/>
              <w:spacing w:line="240" w:lineRule="auto"/>
              <w:ind w:firstLine="0" w:firstLineChars="0"/>
              <w:jc w:val="center"/>
              <w:textAlignment w:val="center"/>
              <w:rPr>
                <w:rFonts w:cs="宋体"/>
                <w:color w:val="000000"/>
                <w:sz w:val="20"/>
                <w:szCs w:val="20"/>
                <w:highlight w:val="none"/>
              </w:rPr>
            </w:pPr>
            <w:r>
              <w:rPr>
                <w:rFonts w:hint="eastAsia" w:cs="宋体"/>
                <w:color w:val="000000"/>
                <w:kern w:val="0"/>
                <w:sz w:val="20"/>
                <w:szCs w:val="20"/>
                <w:highlight w:val="none"/>
                <w:lang w:bidi="ar"/>
              </w:rPr>
              <w:t>综合执法监督指导（升级）-业务意见征询管理（新建）</w:t>
            </w:r>
          </w:p>
        </w:tc>
        <w:tc>
          <w:tcPr>
            <w:tcW w:w="1998" w:type="pct"/>
            <w:tcBorders>
              <w:top w:val="single" w:color="000000" w:sz="4" w:space="0"/>
              <w:left w:val="single" w:color="000000" w:sz="4" w:space="0"/>
              <w:bottom w:val="single" w:color="000000" w:sz="4" w:space="0"/>
              <w:right w:val="single" w:color="000000" w:sz="4" w:space="0"/>
            </w:tcBorders>
            <w:vAlign w:val="center"/>
          </w:tcPr>
          <w:p w14:paraId="18665DAB">
            <w:pPr>
              <w:widowControl/>
              <w:spacing w:line="240" w:lineRule="auto"/>
              <w:ind w:firstLine="0" w:firstLineChars="0"/>
              <w:jc w:val="left"/>
              <w:textAlignment w:val="center"/>
              <w:rPr>
                <w:rFonts w:cs="宋体"/>
                <w:color w:val="000000"/>
                <w:sz w:val="20"/>
                <w:szCs w:val="20"/>
                <w:highlight w:val="none"/>
              </w:rPr>
            </w:pPr>
            <w:r>
              <w:rPr>
                <w:rFonts w:hint="eastAsia" w:cs="宋体"/>
                <w:color w:val="000000"/>
                <w:kern w:val="0"/>
                <w:sz w:val="20"/>
                <w:szCs w:val="20"/>
                <w:highlight w:val="none"/>
                <w:lang w:bidi="ar"/>
              </w:rPr>
              <w:t>系统支持征询意见的在线填报与智能处理：提供智能辅助填报、自动分派与会商、分类决策（采纳/不予采纳），并生成清单、反馈结果及汇总统计，并支持意见的批量导出。</w:t>
            </w:r>
          </w:p>
        </w:tc>
      </w:tr>
      <w:tr w14:paraId="53C34DC5">
        <w:tblPrEx>
          <w:tblCellMar>
            <w:top w:w="0" w:type="dxa"/>
            <w:left w:w="108" w:type="dxa"/>
            <w:bottom w:w="0" w:type="dxa"/>
            <w:right w:w="108" w:type="dxa"/>
          </w:tblCellMar>
        </w:tblPrEx>
        <w:trPr>
          <w:trHeight w:val="780" w:hRule="atLeast"/>
        </w:trPr>
        <w:tc>
          <w:tcPr>
            <w:tcW w:w="460" w:type="pct"/>
            <w:tcBorders>
              <w:top w:val="single" w:color="000000" w:sz="4" w:space="0"/>
              <w:left w:val="single" w:color="000000" w:sz="4" w:space="0"/>
              <w:bottom w:val="single" w:color="000000" w:sz="4" w:space="0"/>
              <w:right w:val="single" w:color="000000" w:sz="4" w:space="0"/>
            </w:tcBorders>
            <w:noWrap/>
            <w:vAlign w:val="center"/>
          </w:tcPr>
          <w:p w14:paraId="2F6E4CAE">
            <w:pPr>
              <w:widowControl/>
              <w:spacing w:line="240" w:lineRule="auto"/>
              <w:ind w:firstLine="0" w:firstLineChars="0"/>
              <w:jc w:val="center"/>
              <w:textAlignment w:val="center"/>
              <w:rPr>
                <w:rFonts w:cs="宋体"/>
                <w:color w:val="000000"/>
                <w:sz w:val="20"/>
                <w:szCs w:val="20"/>
                <w:highlight w:val="none"/>
              </w:rPr>
            </w:pPr>
            <w:r>
              <w:rPr>
                <w:rFonts w:hint="eastAsia" w:cs="宋体"/>
                <w:color w:val="000000"/>
                <w:kern w:val="0"/>
                <w:sz w:val="20"/>
                <w:szCs w:val="20"/>
                <w:highlight w:val="none"/>
                <w:lang w:bidi="ar"/>
              </w:rPr>
              <w:t>20</w:t>
            </w:r>
          </w:p>
        </w:tc>
        <w:tc>
          <w:tcPr>
            <w:tcW w:w="1104" w:type="pct"/>
            <w:tcBorders>
              <w:top w:val="single" w:color="000000" w:sz="4" w:space="0"/>
              <w:left w:val="single" w:color="000000" w:sz="4" w:space="0"/>
              <w:bottom w:val="single" w:color="000000" w:sz="4" w:space="0"/>
              <w:right w:val="single" w:color="000000" w:sz="4" w:space="0"/>
            </w:tcBorders>
            <w:noWrap/>
            <w:vAlign w:val="center"/>
          </w:tcPr>
          <w:p w14:paraId="23EA852E">
            <w:pPr>
              <w:widowControl/>
              <w:spacing w:line="240" w:lineRule="auto"/>
              <w:ind w:firstLine="0" w:firstLineChars="0"/>
              <w:jc w:val="left"/>
              <w:textAlignment w:val="center"/>
              <w:rPr>
                <w:rFonts w:cs="宋体"/>
                <w:color w:val="000000"/>
                <w:sz w:val="20"/>
                <w:szCs w:val="20"/>
                <w:highlight w:val="none"/>
              </w:rPr>
            </w:pPr>
            <w:r>
              <w:rPr>
                <w:rFonts w:hint="eastAsia" w:cs="宋体"/>
                <w:color w:val="000000"/>
                <w:kern w:val="0"/>
                <w:sz w:val="20"/>
                <w:szCs w:val="20"/>
                <w:highlight w:val="none"/>
                <w:lang w:bidi="ar"/>
              </w:rPr>
              <w:t>综合指挥监管</w:t>
            </w:r>
          </w:p>
        </w:tc>
        <w:tc>
          <w:tcPr>
            <w:tcW w:w="1436" w:type="pct"/>
            <w:tcBorders>
              <w:top w:val="single" w:color="000000" w:sz="4" w:space="0"/>
              <w:left w:val="single" w:color="000000" w:sz="4" w:space="0"/>
              <w:bottom w:val="single" w:color="000000" w:sz="4" w:space="0"/>
              <w:right w:val="single" w:color="000000" w:sz="4" w:space="0"/>
            </w:tcBorders>
            <w:vAlign w:val="center"/>
          </w:tcPr>
          <w:p w14:paraId="77EB5B54">
            <w:pPr>
              <w:widowControl/>
              <w:spacing w:line="240" w:lineRule="auto"/>
              <w:ind w:firstLine="0" w:firstLineChars="0"/>
              <w:jc w:val="center"/>
              <w:textAlignment w:val="center"/>
              <w:rPr>
                <w:rFonts w:cs="宋体"/>
                <w:color w:val="000000"/>
                <w:sz w:val="20"/>
                <w:szCs w:val="20"/>
                <w:highlight w:val="none"/>
              </w:rPr>
            </w:pPr>
            <w:r>
              <w:rPr>
                <w:rFonts w:hint="eastAsia" w:cs="宋体"/>
                <w:color w:val="000000"/>
                <w:kern w:val="0"/>
                <w:sz w:val="20"/>
                <w:szCs w:val="20"/>
                <w:highlight w:val="none"/>
                <w:lang w:bidi="ar"/>
              </w:rPr>
              <w:t>综合执法监督指导（升级）-诉件类优秀案例移动端展示</w:t>
            </w:r>
          </w:p>
        </w:tc>
        <w:tc>
          <w:tcPr>
            <w:tcW w:w="1998" w:type="pct"/>
            <w:tcBorders>
              <w:top w:val="single" w:color="000000" w:sz="4" w:space="0"/>
              <w:left w:val="single" w:color="000000" w:sz="4" w:space="0"/>
              <w:bottom w:val="single" w:color="000000" w:sz="4" w:space="0"/>
              <w:right w:val="single" w:color="000000" w:sz="4" w:space="0"/>
            </w:tcBorders>
            <w:vAlign w:val="center"/>
          </w:tcPr>
          <w:p w14:paraId="54924103">
            <w:pPr>
              <w:widowControl/>
              <w:spacing w:line="240" w:lineRule="auto"/>
              <w:ind w:firstLine="0" w:firstLineChars="0"/>
              <w:jc w:val="left"/>
              <w:textAlignment w:val="center"/>
              <w:rPr>
                <w:rFonts w:cs="宋体"/>
                <w:color w:val="000000"/>
                <w:sz w:val="20"/>
                <w:szCs w:val="20"/>
                <w:highlight w:val="none"/>
              </w:rPr>
            </w:pPr>
            <w:r>
              <w:rPr>
                <w:rFonts w:hint="eastAsia" w:cs="宋体"/>
                <w:color w:val="000000"/>
                <w:kern w:val="0"/>
                <w:sz w:val="20"/>
                <w:szCs w:val="20"/>
                <w:highlight w:val="none"/>
                <w:lang w:bidi="ar"/>
              </w:rPr>
              <w:t>在随申办政务云新增诉件案例展示模块，设置优秀案例分析模板管理，实现优秀案例展示，支持队员移动端查看学习。</w:t>
            </w:r>
          </w:p>
        </w:tc>
      </w:tr>
      <w:tr w14:paraId="4E8C946D">
        <w:tblPrEx>
          <w:tblCellMar>
            <w:top w:w="0" w:type="dxa"/>
            <w:left w:w="108" w:type="dxa"/>
            <w:bottom w:w="0" w:type="dxa"/>
            <w:right w:w="108" w:type="dxa"/>
          </w:tblCellMar>
        </w:tblPrEx>
        <w:trPr>
          <w:trHeight w:val="780" w:hRule="atLeast"/>
        </w:trPr>
        <w:tc>
          <w:tcPr>
            <w:tcW w:w="460" w:type="pct"/>
            <w:tcBorders>
              <w:top w:val="single" w:color="000000" w:sz="4" w:space="0"/>
              <w:left w:val="single" w:color="000000" w:sz="4" w:space="0"/>
              <w:bottom w:val="single" w:color="000000" w:sz="4" w:space="0"/>
              <w:right w:val="single" w:color="000000" w:sz="4" w:space="0"/>
            </w:tcBorders>
            <w:noWrap/>
            <w:vAlign w:val="center"/>
          </w:tcPr>
          <w:p w14:paraId="4ADBBA3C">
            <w:pPr>
              <w:widowControl/>
              <w:spacing w:line="240" w:lineRule="auto"/>
              <w:ind w:firstLine="0" w:firstLineChars="0"/>
              <w:jc w:val="center"/>
              <w:textAlignment w:val="center"/>
              <w:rPr>
                <w:rFonts w:cs="宋体"/>
                <w:color w:val="000000"/>
                <w:sz w:val="20"/>
                <w:szCs w:val="20"/>
                <w:highlight w:val="none"/>
              </w:rPr>
            </w:pPr>
            <w:r>
              <w:rPr>
                <w:rFonts w:hint="eastAsia" w:cs="宋体"/>
                <w:color w:val="000000"/>
                <w:kern w:val="0"/>
                <w:sz w:val="20"/>
                <w:szCs w:val="20"/>
                <w:highlight w:val="none"/>
                <w:lang w:bidi="ar"/>
              </w:rPr>
              <w:t>21</w:t>
            </w:r>
          </w:p>
        </w:tc>
        <w:tc>
          <w:tcPr>
            <w:tcW w:w="1104" w:type="pct"/>
            <w:tcBorders>
              <w:top w:val="single" w:color="000000" w:sz="4" w:space="0"/>
              <w:left w:val="single" w:color="000000" w:sz="4" w:space="0"/>
              <w:bottom w:val="single" w:color="000000" w:sz="4" w:space="0"/>
              <w:right w:val="single" w:color="000000" w:sz="4" w:space="0"/>
            </w:tcBorders>
            <w:noWrap/>
            <w:vAlign w:val="center"/>
          </w:tcPr>
          <w:p w14:paraId="557583C0">
            <w:pPr>
              <w:widowControl/>
              <w:spacing w:line="240" w:lineRule="auto"/>
              <w:ind w:firstLine="0" w:firstLineChars="0"/>
              <w:jc w:val="left"/>
              <w:textAlignment w:val="center"/>
              <w:rPr>
                <w:rFonts w:cs="宋体"/>
                <w:color w:val="000000"/>
                <w:sz w:val="20"/>
                <w:szCs w:val="20"/>
                <w:highlight w:val="none"/>
              </w:rPr>
            </w:pPr>
            <w:r>
              <w:rPr>
                <w:rFonts w:hint="eastAsia" w:cs="宋体"/>
                <w:color w:val="000000"/>
                <w:kern w:val="0"/>
                <w:sz w:val="20"/>
                <w:szCs w:val="20"/>
                <w:highlight w:val="none"/>
                <w:lang w:bidi="ar"/>
              </w:rPr>
              <w:t>综合指挥监管</w:t>
            </w:r>
          </w:p>
        </w:tc>
        <w:tc>
          <w:tcPr>
            <w:tcW w:w="1436" w:type="pct"/>
            <w:tcBorders>
              <w:top w:val="single" w:color="000000" w:sz="4" w:space="0"/>
              <w:left w:val="single" w:color="000000" w:sz="4" w:space="0"/>
              <w:bottom w:val="single" w:color="000000" w:sz="4" w:space="0"/>
              <w:right w:val="single" w:color="000000" w:sz="4" w:space="0"/>
            </w:tcBorders>
            <w:vAlign w:val="center"/>
          </w:tcPr>
          <w:p w14:paraId="61DAB415">
            <w:pPr>
              <w:widowControl/>
              <w:spacing w:line="240" w:lineRule="auto"/>
              <w:ind w:firstLine="0" w:firstLineChars="0"/>
              <w:jc w:val="center"/>
              <w:textAlignment w:val="center"/>
              <w:rPr>
                <w:rFonts w:cs="宋体"/>
                <w:color w:val="000000"/>
                <w:sz w:val="20"/>
                <w:szCs w:val="20"/>
                <w:highlight w:val="none"/>
              </w:rPr>
            </w:pPr>
            <w:r>
              <w:rPr>
                <w:rFonts w:hint="eastAsia" w:cs="宋体"/>
                <w:color w:val="000000"/>
                <w:kern w:val="0"/>
                <w:sz w:val="20"/>
                <w:szCs w:val="20"/>
                <w:highlight w:val="none"/>
                <w:lang w:bidi="ar"/>
              </w:rPr>
              <w:t>综合执法监督指导（升级）-非居排查管理（新建）-非居排查管理</w:t>
            </w:r>
          </w:p>
        </w:tc>
        <w:tc>
          <w:tcPr>
            <w:tcW w:w="1998" w:type="pct"/>
            <w:tcBorders>
              <w:top w:val="single" w:color="000000" w:sz="4" w:space="0"/>
              <w:left w:val="single" w:color="000000" w:sz="4" w:space="0"/>
              <w:bottom w:val="single" w:color="000000" w:sz="4" w:space="0"/>
              <w:right w:val="single" w:color="000000" w:sz="4" w:space="0"/>
            </w:tcBorders>
            <w:vAlign w:val="center"/>
          </w:tcPr>
          <w:p w14:paraId="66FA358D">
            <w:pPr>
              <w:widowControl/>
              <w:spacing w:line="240" w:lineRule="auto"/>
              <w:ind w:firstLine="0" w:firstLineChars="0"/>
              <w:jc w:val="left"/>
              <w:textAlignment w:val="center"/>
              <w:rPr>
                <w:rFonts w:cs="宋体"/>
                <w:color w:val="000000"/>
                <w:sz w:val="20"/>
                <w:szCs w:val="20"/>
                <w:highlight w:val="none"/>
              </w:rPr>
            </w:pPr>
            <w:r>
              <w:rPr>
                <w:rFonts w:hint="eastAsia" w:cs="宋体"/>
                <w:color w:val="000000"/>
                <w:kern w:val="0"/>
                <w:sz w:val="20"/>
                <w:szCs w:val="20"/>
                <w:highlight w:val="none"/>
                <w:lang w:bidi="ar"/>
              </w:rPr>
              <w:t>街镇录入非居违建点位及安全信息，隐患严重者优先上报。区级审核通过后街镇方可销项，支持批量审核，但状态不安全点位需强制单独审核。</w:t>
            </w:r>
          </w:p>
        </w:tc>
      </w:tr>
      <w:tr w14:paraId="7146F877">
        <w:tblPrEx>
          <w:tblCellMar>
            <w:top w:w="0" w:type="dxa"/>
            <w:left w:w="108" w:type="dxa"/>
            <w:bottom w:w="0" w:type="dxa"/>
            <w:right w:w="108" w:type="dxa"/>
          </w:tblCellMar>
        </w:tblPrEx>
        <w:trPr>
          <w:trHeight w:val="780" w:hRule="atLeast"/>
        </w:trPr>
        <w:tc>
          <w:tcPr>
            <w:tcW w:w="460" w:type="pct"/>
            <w:tcBorders>
              <w:top w:val="single" w:color="000000" w:sz="4" w:space="0"/>
              <w:left w:val="single" w:color="000000" w:sz="4" w:space="0"/>
              <w:bottom w:val="single" w:color="000000" w:sz="4" w:space="0"/>
              <w:right w:val="single" w:color="000000" w:sz="4" w:space="0"/>
            </w:tcBorders>
            <w:noWrap/>
            <w:vAlign w:val="center"/>
          </w:tcPr>
          <w:p w14:paraId="2A3FDC3B">
            <w:pPr>
              <w:widowControl/>
              <w:spacing w:line="240" w:lineRule="auto"/>
              <w:ind w:firstLine="0" w:firstLineChars="0"/>
              <w:jc w:val="center"/>
              <w:textAlignment w:val="center"/>
              <w:rPr>
                <w:rFonts w:cs="宋体"/>
                <w:color w:val="000000"/>
                <w:sz w:val="20"/>
                <w:szCs w:val="20"/>
                <w:highlight w:val="none"/>
              </w:rPr>
            </w:pPr>
            <w:r>
              <w:rPr>
                <w:rFonts w:hint="eastAsia" w:cs="宋体"/>
                <w:color w:val="000000"/>
                <w:kern w:val="0"/>
                <w:sz w:val="20"/>
                <w:szCs w:val="20"/>
                <w:highlight w:val="none"/>
                <w:lang w:bidi="ar"/>
              </w:rPr>
              <w:t>22</w:t>
            </w:r>
          </w:p>
        </w:tc>
        <w:tc>
          <w:tcPr>
            <w:tcW w:w="1104" w:type="pct"/>
            <w:tcBorders>
              <w:top w:val="single" w:color="000000" w:sz="4" w:space="0"/>
              <w:left w:val="single" w:color="000000" w:sz="4" w:space="0"/>
              <w:bottom w:val="single" w:color="000000" w:sz="4" w:space="0"/>
              <w:right w:val="single" w:color="000000" w:sz="4" w:space="0"/>
            </w:tcBorders>
            <w:noWrap/>
            <w:vAlign w:val="center"/>
          </w:tcPr>
          <w:p w14:paraId="10243F88">
            <w:pPr>
              <w:widowControl/>
              <w:spacing w:line="240" w:lineRule="auto"/>
              <w:ind w:firstLine="0" w:firstLineChars="0"/>
              <w:jc w:val="left"/>
              <w:textAlignment w:val="center"/>
              <w:rPr>
                <w:rFonts w:cs="宋体"/>
                <w:color w:val="000000"/>
                <w:sz w:val="20"/>
                <w:szCs w:val="20"/>
                <w:highlight w:val="none"/>
              </w:rPr>
            </w:pPr>
            <w:r>
              <w:rPr>
                <w:rFonts w:hint="eastAsia" w:cs="宋体"/>
                <w:color w:val="000000"/>
                <w:kern w:val="0"/>
                <w:sz w:val="20"/>
                <w:szCs w:val="20"/>
                <w:highlight w:val="none"/>
                <w:lang w:bidi="ar"/>
              </w:rPr>
              <w:t>综合指挥监管</w:t>
            </w:r>
          </w:p>
        </w:tc>
        <w:tc>
          <w:tcPr>
            <w:tcW w:w="1436" w:type="pct"/>
            <w:tcBorders>
              <w:top w:val="single" w:color="000000" w:sz="4" w:space="0"/>
              <w:left w:val="single" w:color="000000" w:sz="4" w:space="0"/>
              <w:bottom w:val="single" w:color="000000" w:sz="4" w:space="0"/>
              <w:right w:val="single" w:color="000000" w:sz="4" w:space="0"/>
            </w:tcBorders>
            <w:vAlign w:val="center"/>
          </w:tcPr>
          <w:p w14:paraId="69316953">
            <w:pPr>
              <w:widowControl/>
              <w:spacing w:line="240" w:lineRule="auto"/>
              <w:ind w:firstLine="0" w:firstLineChars="0"/>
              <w:jc w:val="center"/>
              <w:textAlignment w:val="center"/>
              <w:rPr>
                <w:rFonts w:cs="宋体"/>
                <w:color w:val="000000"/>
                <w:sz w:val="20"/>
                <w:szCs w:val="20"/>
                <w:highlight w:val="none"/>
              </w:rPr>
            </w:pPr>
            <w:r>
              <w:rPr>
                <w:rFonts w:hint="eastAsia" w:cs="宋体"/>
                <w:color w:val="000000"/>
                <w:kern w:val="0"/>
                <w:sz w:val="20"/>
                <w:szCs w:val="20"/>
                <w:highlight w:val="none"/>
                <w:lang w:bidi="ar"/>
              </w:rPr>
              <w:t>综合执法监督指导</w:t>
            </w:r>
            <w:r>
              <w:rPr>
                <w:rFonts w:hint="eastAsia" w:ascii="宋体" w:hAnsi="宋体" w:eastAsia="宋体" w:cs="宋体"/>
                <w:color w:val="000000"/>
                <w:kern w:val="0"/>
                <w:sz w:val="20"/>
                <w:szCs w:val="20"/>
                <w:highlight w:val="none"/>
                <w:lang w:bidi="ar"/>
              </w:rPr>
              <w:t>（</w:t>
            </w:r>
            <w:r>
              <w:rPr>
                <w:rFonts w:hint="eastAsia" w:ascii="宋体" w:hAnsi="宋体" w:eastAsia="宋体" w:cs="宋体"/>
                <w:color w:val="000000"/>
                <w:kern w:val="0"/>
                <w:sz w:val="20"/>
                <w:szCs w:val="20"/>
                <w:highlight w:val="none"/>
                <w:shd w:val="clear"/>
                <w:lang w:bidi="ar"/>
              </w:rPr>
              <w:t>升级</w:t>
            </w:r>
            <w:r>
              <w:rPr>
                <w:rFonts w:hint="eastAsia" w:ascii="宋体" w:hAnsi="宋体" w:eastAsia="宋体" w:cs="宋体"/>
                <w:color w:val="000000"/>
                <w:kern w:val="0"/>
                <w:sz w:val="20"/>
                <w:szCs w:val="20"/>
                <w:highlight w:val="none"/>
                <w:lang w:bidi="ar"/>
              </w:rPr>
              <w:t>）</w:t>
            </w:r>
            <w:r>
              <w:rPr>
                <w:rFonts w:hint="eastAsia" w:cs="宋体"/>
                <w:color w:val="000000"/>
                <w:kern w:val="0"/>
                <w:sz w:val="20"/>
                <w:szCs w:val="20"/>
                <w:highlight w:val="none"/>
                <w:lang w:bidi="ar"/>
              </w:rPr>
              <w:t>-非居排查管理（新建）-非居处理销项</w:t>
            </w:r>
          </w:p>
        </w:tc>
        <w:tc>
          <w:tcPr>
            <w:tcW w:w="1998" w:type="pct"/>
            <w:tcBorders>
              <w:top w:val="single" w:color="000000" w:sz="4" w:space="0"/>
              <w:left w:val="single" w:color="000000" w:sz="4" w:space="0"/>
              <w:bottom w:val="single" w:color="000000" w:sz="4" w:space="0"/>
              <w:right w:val="single" w:color="000000" w:sz="4" w:space="0"/>
            </w:tcBorders>
            <w:vAlign w:val="center"/>
          </w:tcPr>
          <w:p w14:paraId="7D9E41A7">
            <w:pPr>
              <w:widowControl/>
              <w:spacing w:line="240" w:lineRule="auto"/>
              <w:ind w:firstLine="0" w:firstLineChars="0"/>
              <w:jc w:val="left"/>
              <w:textAlignment w:val="center"/>
              <w:rPr>
                <w:rFonts w:cs="宋体"/>
                <w:color w:val="000000"/>
                <w:sz w:val="20"/>
                <w:szCs w:val="20"/>
                <w:highlight w:val="none"/>
              </w:rPr>
            </w:pPr>
            <w:r>
              <w:rPr>
                <w:rFonts w:hint="eastAsia" w:cs="宋体"/>
                <w:color w:val="000000"/>
                <w:kern w:val="0"/>
                <w:sz w:val="20"/>
                <w:szCs w:val="20"/>
                <w:highlight w:val="none"/>
                <w:lang w:bidi="ar"/>
              </w:rPr>
              <w:t>已拆除和完成整改的，街镇分类办理销项，经区、市两级审核通过后归档。系统支持批量办理审核，并设置规则自动提醒和预警。</w:t>
            </w:r>
          </w:p>
        </w:tc>
      </w:tr>
      <w:tr w14:paraId="0060BA67">
        <w:tblPrEx>
          <w:tblCellMar>
            <w:top w:w="0" w:type="dxa"/>
            <w:left w:w="108" w:type="dxa"/>
            <w:bottom w:w="0" w:type="dxa"/>
            <w:right w:w="108" w:type="dxa"/>
          </w:tblCellMar>
        </w:tblPrEx>
        <w:trPr>
          <w:trHeight w:val="780" w:hRule="atLeast"/>
        </w:trPr>
        <w:tc>
          <w:tcPr>
            <w:tcW w:w="460" w:type="pct"/>
            <w:tcBorders>
              <w:top w:val="single" w:color="000000" w:sz="4" w:space="0"/>
              <w:left w:val="single" w:color="000000" w:sz="4" w:space="0"/>
              <w:bottom w:val="single" w:color="000000" w:sz="4" w:space="0"/>
              <w:right w:val="single" w:color="000000" w:sz="4" w:space="0"/>
            </w:tcBorders>
            <w:noWrap/>
            <w:vAlign w:val="center"/>
          </w:tcPr>
          <w:p w14:paraId="1B4443BE">
            <w:pPr>
              <w:widowControl/>
              <w:spacing w:line="240" w:lineRule="auto"/>
              <w:ind w:firstLine="0" w:firstLineChars="0"/>
              <w:jc w:val="center"/>
              <w:textAlignment w:val="center"/>
              <w:rPr>
                <w:rFonts w:cs="宋体"/>
                <w:color w:val="000000"/>
                <w:sz w:val="20"/>
                <w:szCs w:val="20"/>
                <w:highlight w:val="none"/>
              </w:rPr>
            </w:pPr>
            <w:r>
              <w:rPr>
                <w:rFonts w:hint="eastAsia" w:cs="宋体"/>
                <w:color w:val="000000"/>
                <w:kern w:val="0"/>
                <w:sz w:val="20"/>
                <w:szCs w:val="20"/>
                <w:highlight w:val="none"/>
                <w:lang w:bidi="ar"/>
              </w:rPr>
              <w:t>23</w:t>
            </w:r>
          </w:p>
        </w:tc>
        <w:tc>
          <w:tcPr>
            <w:tcW w:w="1104" w:type="pct"/>
            <w:tcBorders>
              <w:top w:val="single" w:color="000000" w:sz="4" w:space="0"/>
              <w:left w:val="single" w:color="000000" w:sz="4" w:space="0"/>
              <w:bottom w:val="single" w:color="000000" w:sz="4" w:space="0"/>
              <w:right w:val="single" w:color="000000" w:sz="4" w:space="0"/>
            </w:tcBorders>
            <w:noWrap/>
            <w:vAlign w:val="center"/>
          </w:tcPr>
          <w:p w14:paraId="421A3127">
            <w:pPr>
              <w:widowControl/>
              <w:spacing w:line="240" w:lineRule="auto"/>
              <w:ind w:firstLine="0" w:firstLineChars="0"/>
              <w:jc w:val="left"/>
              <w:textAlignment w:val="center"/>
              <w:rPr>
                <w:rFonts w:cs="宋体"/>
                <w:color w:val="000000"/>
                <w:sz w:val="20"/>
                <w:szCs w:val="20"/>
                <w:highlight w:val="none"/>
              </w:rPr>
            </w:pPr>
            <w:r>
              <w:rPr>
                <w:rFonts w:hint="eastAsia" w:cs="宋体"/>
                <w:color w:val="000000"/>
                <w:kern w:val="0"/>
                <w:sz w:val="20"/>
                <w:szCs w:val="20"/>
                <w:highlight w:val="none"/>
                <w:lang w:bidi="ar"/>
              </w:rPr>
              <w:t>综合指挥监管</w:t>
            </w:r>
          </w:p>
        </w:tc>
        <w:tc>
          <w:tcPr>
            <w:tcW w:w="1436" w:type="pct"/>
            <w:tcBorders>
              <w:top w:val="single" w:color="000000" w:sz="4" w:space="0"/>
              <w:left w:val="single" w:color="000000" w:sz="4" w:space="0"/>
              <w:bottom w:val="single" w:color="000000" w:sz="4" w:space="0"/>
              <w:right w:val="single" w:color="000000" w:sz="4" w:space="0"/>
            </w:tcBorders>
            <w:vAlign w:val="center"/>
          </w:tcPr>
          <w:p w14:paraId="1EFE16D1">
            <w:pPr>
              <w:widowControl/>
              <w:spacing w:line="240" w:lineRule="auto"/>
              <w:ind w:firstLine="0" w:firstLineChars="0"/>
              <w:jc w:val="center"/>
              <w:textAlignment w:val="center"/>
              <w:rPr>
                <w:rFonts w:cs="宋体"/>
                <w:color w:val="000000"/>
                <w:sz w:val="20"/>
                <w:szCs w:val="20"/>
                <w:highlight w:val="none"/>
              </w:rPr>
            </w:pPr>
            <w:r>
              <w:rPr>
                <w:rFonts w:hint="eastAsia" w:cs="宋体"/>
                <w:color w:val="000000"/>
                <w:kern w:val="0"/>
                <w:sz w:val="20"/>
                <w:szCs w:val="20"/>
                <w:highlight w:val="none"/>
                <w:lang w:bidi="ar"/>
              </w:rPr>
              <w:t>综合执法监督指导（升级）-非居排查管理（新建）-非居管理台帐</w:t>
            </w:r>
          </w:p>
        </w:tc>
        <w:tc>
          <w:tcPr>
            <w:tcW w:w="1998" w:type="pct"/>
            <w:tcBorders>
              <w:top w:val="single" w:color="000000" w:sz="4" w:space="0"/>
              <w:left w:val="single" w:color="000000" w:sz="4" w:space="0"/>
              <w:bottom w:val="single" w:color="000000" w:sz="4" w:space="0"/>
              <w:right w:val="single" w:color="000000" w:sz="4" w:space="0"/>
            </w:tcBorders>
            <w:vAlign w:val="center"/>
          </w:tcPr>
          <w:p w14:paraId="10A5F3C3">
            <w:pPr>
              <w:widowControl/>
              <w:spacing w:line="240" w:lineRule="auto"/>
              <w:ind w:firstLine="0" w:firstLineChars="0"/>
              <w:jc w:val="left"/>
              <w:textAlignment w:val="center"/>
              <w:rPr>
                <w:rFonts w:cs="宋体"/>
                <w:color w:val="000000"/>
                <w:sz w:val="20"/>
                <w:szCs w:val="20"/>
                <w:highlight w:val="none"/>
              </w:rPr>
            </w:pPr>
            <w:r>
              <w:rPr>
                <w:rFonts w:hint="eastAsia" w:cs="宋体"/>
                <w:color w:val="000000"/>
                <w:kern w:val="0"/>
                <w:sz w:val="20"/>
                <w:szCs w:val="20"/>
                <w:highlight w:val="none"/>
                <w:lang w:bidi="ar"/>
              </w:rPr>
              <w:t>支持非居违建点位查询导出、非居销项库的查询导出，提供非居点位的数量、类型分布、安全状态、处理进度等台帐功能，为决策提供数据支撑。</w:t>
            </w:r>
          </w:p>
        </w:tc>
      </w:tr>
      <w:tr w14:paraId="2E1D8977">
        <w:tblPrEx>
          <w:tblCellMar>
            <w:top w:w="0" w:type="dxa"/>
            <w:left w:w="108" w:type="dxa"/>
            <w:bottom w:w="0" w:type="dxa"/>
            <w:right w:w="108" w:type="dxa"/>
          </w:tblCellMar>
        </w:tblPrEx>
        <w:trPr>
          <w:trHeight w:val="780" w:hRule="atLeast"/>
        </w:trPr>
        <w:tc>
          <w:tcPr>
            <w:tcW w:w="460" w:type="pct"/>
            <w:tcBorders>
              <w:top w:val="single" w:color="000000" w:sz="4" w:space="0"/>
              <w:left w:val="single" w:color="000000" w:sz="4" w:space="0"/>
              <w:bottom w:val="single" w:color="000000" w:sz="4" w:space="0"/>
              <w:right w:val="single" w:color="000000" w:sz="4" w:space="0"/>
            </w:tcBorders>
            <w:noWrap/>
            <w:vAlign w:val="center"/>
          </w:tcPr>
          <w:p w14:paraId="756BD9BA">
            <w:pPr>
              <w:widowControl/>
              <w:spacing w:line="240" w:lineRule="auto"/>
              <w:ind w:firstLine="0" w:firstLineChars="0"/>
              <w:jc w:val="center"/>
              <w:textAlignment w:val="center"/>
              <w:rPr>
                <w:rFonts w:cs="宋体"/>
                <w:color w:val="000000"/>
                <w:sz w:val="20"/>
                <w:szCs w:val="20"/>
                <w:highlight w:val="none"/>
              </w:rPr>
            </w:pPr>
            <w:r>
              <w:rPr>
                <w:rFonts w:hint="eastAsia" w:cs="宋体"/>
                <w:color w:val="000000"/>
                <w:kern w:val="0"/>
                <w:sz w:val="20"/>
                <w:szCs w:val="20"/>
                <w:highlight w:val="none"/>
                <w:lang w:bidi="ar"/>
              </w:rPr>
              <w:t>24</w:t>
            </w:r>
          </w:p>
        </w:tc>
        <w:tc>
          <w:tcPr>
            <w:tcW w:w="1104" w:type="pct"/>
            <w:tcBorders>
              <w:top w:val="single" w:color="000000" w:sz="4" w:space="0"/>
              <w:left w:val="single" w:color="000000" w:sz="4" w:space="0"/>
              <w:bottom w:val="single" w:color="000000" w:sz="4" w:space="0"/>
              <w:right w:val="single" w:color="000000" w:sz="4" w:space="0"/>
            </w:tcBorders>
            <w:noWrap/>
            <w:vAlign w:val="center"/>
          </w:tcPr>
          <w:p w14:paraId="4B1FC5E7">
            <w:pPr>
              <w:widowControl/>
              <w:spacing w:line="240" w:lineRule="auto"/>
              <w:ind w:firstLine="0" w:firstLineChars="0"/>
              <w:jc w:val="left"/>
              <w:textAlignment w:val="center"/>
              <w:rPr>
                <w:rFonts w:cs="宋体"/>
                <w:color w:val="000000"/>
                <w:sz w:val="20"/>
                <w:szCs w:val="20"/>
                <w:highlight w:val="none"/>
              </w:rPr>
            </w:pPr>
            <w:r>
              <w:rPr>
                <w:rFonts w:hint="eastAsia" w:cs="宋体"/>
                <w:color w:val="000000"/>
                <w:kern w:val="0"/>
                <w:sz w:val="20"/>
                <w:szCs w:val="20"/>
                <w:highlight w:val="none"/>
                <w:lang w:bidi="ar"/>
              </w:rPr>
              <w:t>综合指挥监管</w:t>
            </w:r>
          </w:p>
        </w:tc>
        <w:tc>
          <w:tcPr>
            <w:tcW w:w="1436" w:type="pct"/>
            <w:tcBorders>
              <w:top w:val="single" w:color="000000" w:sz="4" w:space="0"/>
              <w:left w:val="single" w:color="000000" w:sz="4" w:space="0"/>
              <w:bottom w:val="single" w:color="000000" w:sz="4" w:space="0"/>
              <w:right w:val="single" w:color="000000" w:sz="4" w:space="0"/>
            </w:tcBorders>
            <w:vAlign w:val="center"/>
          </w:tcPr>
          <w:p w14:paraId="71F1C57F">
            <w:pPr>
              <w:widowControl/>
              <w:spacing w:line="240" w:lineRule="auto"/>
              <w:ind w:firstLine="0" w:firstLineChars="0"/>
              <w:jc w:val="center"/>
              <w:textAlignment w:val="center"/>
              <w:rPr>
                <w:rFonts w:cs="宋体"/>
                <w:color w:val="000000"/>
                <w:sz w:val="20"/>
                <w:szCs w:val="20"/>
                <w:highlight w:val="none"/>
              </w:rPr>
            </w:pPr>
            <w:r>
              <w:rPr>
                <w:rFonts w:hint="eastAsia" w:cs="宋体"/>
                <w:color w:val="000000"/>
                <w:kern w:val="0"/>
                <w:sz w:val="20"/>
                <w:szCs w:val="20"/>
                <w:highlight w:val="none"/>
                <w:lang w:bidi="ar"/>
              </w:rPr>
              <w:t>执法装备数据库</w:t>
            </w:r>
            <w:r>
              <w:rPr>
                <w:rFonts w:hint="eastAsia" w:ascii="宋体" w:hAnsi="宋体" w:eastAsia="宋体" w:cs="宋体"/>
                <w:color w:val="000000"/>
                <w:kern w:val="0"/>
                <w:sz w:val="20"/>
                <w:szCs w:val="20"/>
                <w:highlight w:val="none"/>
                <w:lang w:bidi="ar"/>
              </w:rPr>
              <w:t>（</w:t>
            </w:r>
            <w:r>
              <w:rPr>
                <w:rFonts w:hint="eastAsia" w:ascii="宋体" w:hAnsi="宋体" w:eastAsia="宋体" w:cs="宋体"/>
                <w:color w:val="000000"/>
                <w:kern w:val="0"/>
                <w:sz w:val="20"/>
                <w:szCs w:val="20"/>
                <w:highlight w:val="none"/>
                <w:shd w:val="clear"/>
                <w:lang w:bidi="ar"/>
              </w:rPr>
              <w:t>升级</w:t>
            </w:r>
            <w:r>
              <w:rPr>
                <w:rFonts w:hint="eastAsia" w:ascii="宋体" w:hAnsi="宋体" w:eastAsia="宋体" w:cs="宋体"/>
                <w:color w:val="000000"/>
                <w:kern w:val="0"/>
                <w:sz w:val="20"/>
                <w:szCs w:val="20"/>
                <w:highlight w:val="none"/>
                <w:lang w:bidi="ar"/>
              </w:rPr>
              <w:t>）</w:t>
            </w:r>
            <w:r>
              <w:rPr>
                <w:rFonts w:hint="eastAsia" w:cs="宋体"/>
                <w:color w:val="000000"/>
                <w:kern w:val="0"/>
                <w:sz w:val="20"/>
                <w:szCs w:val="20"/>
                <w:highlight w:val="none"/>
                <w:lang w:bidi="ar"/>
              </w:rPr>
              <w:t>-执法装备类型管理</w:t>
            </w:r>
          </w:p>
        </w:tc>
        <w:tc>
          <w:tcPr>
            <w:tcW w:w="1998" w:type="pct"/>
            <w:tcBorders>
              <w:top w:val="single" w:color="000000" w:sz="4" w:space="0"/>
              <w:left w:val="single" w:color="000000" w:sz="4" w:space="0"/>
              <w:bottom w:val="single" w:color="000000" w:sz="4" w:space="0"/>
              <w:right w:val="single" w:color="000000" w:sz="4" w:space="0"/>
            </w:tcBorders>
            <w:vAlign w:val="center"/>
          </w:tcPr>
          <w:p w14:paraId="4602B6E4">
            <w:pPr>
              <w:widowControl/>
              <w:spacing w:line="240" w:lineRule="auto"/>
              <w:ind w:firstLine="0" w:firstLineChars="0"/>
              <w:jc w:val="left"/>
              <w:textAlignment w:val="center"/>
              <w:rPr>
                <w:rFonts w:cs="宋体"/>
                <w:color w:val="000000"/>
                <w:sz w:val="20"/>
                <w:szCs w:val="20"/>
                <w:highlight w:val="none"/>
              </w:rPr>
            </w:pPr>
            <w:r>
              <w:rPr>
                <w:rFonts w:hint="eastAsia" w:cs="宋体"/>
                <w:color w:val="000000"/>
                <w:kern w:val="0"/>
                <w:sz w:val="20"/>
                <w:szCs w:val="20"/>
                <w:highlight w:val="none"/>
                <w:lang w:bidi="ar"/>
              </w:rPr>
              <w:t>实现执法装备类型管理，按照执法装备最新标准文件，增加执法装备类型，调整执法装备菜单，完善执法装备库。</w:t>
            </w:r>
          </w:p>
        </w:tc>
      </w:tr>
      <w:tr w14:paraId="0399365D">
        <w:tblPrEx>
          <w:tblCellMar>
            <w:top w:w="0" w:type="dxa"/>
            <w:left w:w="108" w:type="dxa"/>
            <w:bottom w:w="0" w:type="dxa"/>
            <w:right w:w="108" w:type="dxa"/>
          </w:tblCellMar>
        </w:tblPrEx>
        <w:trPr>
          <w:trHeight w:val="90" w:hRule="atLeast"/>
        </w:trPr>
        <w:tc>
          <w:tcPr>
            <w:tcW w:w="460" w:type="pct"/>
            <w:tcBorders>
              <w:top w:val="single" w:color="000000" w:sz="4" w:space="0"/>
              <w:left w:val="single" w:color="000000" w:sz="4" w:space="0"/>
              <w:bottom w:val="single" w:color="000000" w:sz="4" w:space="0"/>
              <w:right w:val="single" w:color="000000" w:sz="4" w:space="0"/>
            </w:tcBorders>
            <w:noWrap/>
            <w:vAlign w:val="center"/>
          </w:tcPr>
          <w:p w14:paraId="3EB51BD3">
            <w:pPr>
              <w:widowControl/>
              <w:spacing w:line="240" w:lineRule="auto"/>
              <w:ind w:firstLine="0" w:firstLineChars="0"/>
              <w:jc w:val="center"/>
              <w:textAlignment w:val="center"/>
              <w:rPr>
                <w:rFonts w:cs="宋体"/>
                <w:color w:val="000000"/>
                <w:sz w:val="20"/>
                <w:szCs w:val="20"/>
                <w:highlight w:val="none"/>
              </w:rPr>
            </w:pPr>
            <w:r>
              <w:rPr>
                <w:rFonts w:hint="eastAsia" w:cs="宋体"/>
                <w:color w:val="000000"/>
                <w:kern w:val="0"/>
                <w:sz w:val="20"/>
                <w:szCs w:val="20"/>
                <w:highlight w:val="none"/>
                <w:lang w:bidi="ar"/>
              </w:rPr>
              <w:t>25</w:t>
            </w:r>
          </w:p>
        </w:tc>
        <w:tc>
          <w:tcPr>
            <w:tcW w:w="1104" w:type="pct"/>
            <w:tcBorders>
              <w:top w:val="single" w:color="000000" w:sz="4" w:space="0"/>
              <w:left w:val="single" w:color="000000" w:sz="4" w:space="0"/>
              <w:bottom w:val="single" w:color="000000" w:sz="4" w:space="0"/>
              <w:right w:val="single" w:color="000000" w:sz="4" w:space="0"/>
            </w:tcBorders>
            <w:noWrap/>
            <w:vAlign w:val="center"/>
          </w:tcPr>
          <w:p w14:paraId="17A4C1F7">
            <w:pPr>
              <w:widowControl/>
              <w:spacing w:line="240" w:lineRule="auto"/>
              <w:ind w:firstLine="0" w:firstLineChars="0"/>
              <w:jc w:val="left"/>
              <w:textAlignment w:val="center"/>
              <w:rPr>
                <w:rFonts w:cs="宋体"/>
                <w:color w:val="000000"/>
                <w:sz w:val="20"/>
                <w:szCs w:val="20"/>
                <w:highlight w:val="none"/>
              </w:rPr>
            </w:pPr>
            <w:r>
              <w:rPr>
                <w:rFonts w:hint="eastAsia" w:cs="宋体"/>
                <w:color w:val="000000"/>
                <w:kern w:val="0"/>
                <w:sz w:val="20"/>
                <w:szCs w:val="20"/>
                <w:highlight w:val="none"/>
                <w:lang w:bidi="ar"/>
              </w:rPr>
              <w:t>综合指挥监管</w:t>
            </w:r>
          </w:p>
        </w:tc>
        <w:tc>
          <w:tcPr>
            <w:tcW w:w="1436" w:type="pct"/>
            <w:tcBorders>
              <w:top w:val="single" w:color="000000" w:sz="4" w:space="0"/>
              <w:left w:val="single" w:color="000000" w:sz="4" w:space="0"/>
              <w:bottom w:val="single" w:color="000000" w:sz="4" w:space="0"/>
              <w:right w:val="single" w:color="000000" w:sz="4" w:space="0"/>
            </w:tcBorders>
            <w:vAlign w:val="center"/>
          </w:tcPr>
          <w:p w14:paraId="69BEE133">
            <w:pPr>
              <w:widowControl/>
              <w:spacing w:line="240" w:lineRule="auto"/>
              <w:ind w:firstLine="0" w:firstLineChars="0"/>
              <w:jc w:val="center"/>
              <w:textAlignment w:val="center"/>
              <w:rPr>
                <w:rFonts w:cs="宋体"/>
                <w:color w:val="000000"/>
                <w:sz w:val="20"/>
                <w:szCs w:val="20"/>
                <w:highlight w:val="none"/>
              </w:rPr>
            </w:pPr>
            <w:r>
              <w:rPr>
                <w:rFonts w:hint="eastAsia" w:cs="宋体"/>
                <w:color w:val="000000"/>
                <w:kern w:val="0"/>
                <w:sz w:val="20"/>
                <w:szCs w:val="20"/>
                <w:highlight w:val="none"/>
                <w:lang w:bidi="ar"/>
              </w:rPr>
              <w:t>执法装备数据库（升级）-执法装备日常管理</w:t>
            </w:r>
          </w:p>
        </w:tc>
        <w:tc>
          <w:tcPr>
            <w:tcW w:w="1998" w:type="pct"/>
            <w:tcBorders>
              <w:top w:val="single" w:color="000000" w:sz="4" w:space="0"/>
              <w:left w:val="single" w:color="000000" w:sz="4" w:space="0"/>
              <w:bottom w:val="single" w:color="000000" w:sz="4" w:space="0"/>
              <w:right w:val="single" w:color="000000" w:sz="4" w:space="0"/>
            </w:tcBorders>
            <w:vAlign w:val="center"/>
          </w:tcPr>
          <w:p w14:paraId="57958AA6">
            <w:pPr>
              <w:widowControl/>
              <w:spacing w:line="240" w:lineRule="auto"/>
              <w:ind w:firstLine="0" w:firstLineChars="0"/>
              <w:jc w:val="left"/>
              <w:textAlignment w:val="center"/>
              <w:rPr>
                <w:rFonts w:cs="宋体"/>
                <w:color w:val="000000"/>
                <w:sz w:val="20"/>
                <w:szCs w:val="20"/>
                <w:highlight w:val="none"/>
              </w:rPr>
            </w:pPr>
            <w:r>
              <w:rPr>
                <w:rFonts w:hint="eastAsia" w:cs="宋体"/>
                <w:color w:val="000000"/>
                <w:kern w:val="0"/>
                <w:sz w:val="20"/>
                <w:szCs w:val="20"/>
                <w:highlight w:val="none"/>
                <w:lang w:bidi="ar"/>
              </w:rPr>
              <w:t>实现执法装备异常情况提醒：支持自动异常预警提醒；增加装备使用年限超期提醒；增加装备库修改的日志功能。装备报废时系统支持进行报废、归档。</w:t>
            </w:r>
          </w:p>
        </w:tc>
      </w:tr>
      <w:tr w14:paraId="38A4D93D">
        <w:tblPrEx>
          <w:tblCellMar>
            <w:top w:w="0" w:type="dxa"/>
            <w:left w:w="108" w:type="dxa"/>
            <w:bottom w:w="0" w:type="dxa"/>
            <w:right w:w="108" w:type="dxa"/>
          </w:tblCellMar>
        </w:tblPrEx>
        <w:trPr>
          <w:trHeight w:val="780" w:hRule="atLeast"/>
        </w:trPr>
        <w:tc>
          <w:tcPr>
            <w:tcW w:w="460" w:type="pct"/>
            <w:tcBorders>
              <w:top w:val="single" w:color="000000" w:sz="4" w:space="0"/>
              <w:left w:val="single" w:color="000000" w:sz="4" w:space="0"/>
              <w:bottom w:val="single" w:color="000000" w:sz="4" w:space="0"/>
              <w:right w:val="single" w:color="000000" w:sz="4" w:space="0"/>
            </w:tcBorders>
            <w:noWrap/>
            <w:vAlign w:val="center"/>
          </w:tcPr>
          <w:p w14:paraId="74D8556B">
            <w:pPr>
              <w:widowControl/>
              <w:spacing w:line="240" w:lineRule="auto"/>
              <w:ind w:firstLine="0" w:firstLineChars="0"/>
              <w:jc w:val="center"/>
              <w:textAlignment w:val="center"/>
              <w:rPr>
                <w:rFonts w:cs="宋体"/>
                <w:color w:val="000000"/>
                <w:sz w:val="20"/>
                <w:szCs w:val="20"/>
                <w:highlight w:val="none"/>
              </w:rPr>
            </w:pPr>
            <w:r>
              <w:rPr>
                <w:rFonts w:hint="eastAsia" w:cs="宋体"/>
                <w:color w:val="000000"/>
                <w:kern w:val="0"/>
                <w:sz w:val="20"/>
                <w:szCs w:val="20"/>
                <w:highlight w:val="none"/>
                <w:lang w:bidi="ar"/>
              </w:rPr>
              <w:t>26</w:t>
            </w:r>
          </w:p>
        </w:tc>
        <w:tc>
          <w:tcPr>
            <w:tcW w:w="1104" w:type="pct"/>
            <w:tcBorders>
              <w:top w:val="single" w:color="000000" w:sz="4" w:space="0"/>
              <w:left w:val="single" w:color="000000" w:sz="4" w:space="0"/>
              <w:bottom w:val="single" w:color="000000" w:sz="4" w:space="0"/>
              <w:right w:val="single" w:color="000000" w:sz="4" w:space="0"/>
            </w:tcBorders>
            <w:noWrap/>
            <w:vAlign w:val="center"/>
          </w:tcPr>
          <w:p w14:paraId="6D865E48">
            <w:pPr>
              <w:widowControl/>
              <w:spacing w:line="240" w:lineRule="auto"/>
              <w:ind w:firstLine="0" w:firstLineChars="0"/>
              <w:jc w:val="left"/>
              <w:textAlignment w:val="center"/>
              <w:rPr>
                <w:rFonts w:cs="宋体"/>
                <w:color w:val="000000"/>
                <w:sz w:val="20"/>
                <w:szCs w:val="20"/>
                <w:highlight w:val="none"/>
              </w:rPr>
            </w:pPr>
            <w:r>
              <w:rPr>
                <w:rFonts w:hint="eastAsia" w:cs="宋体"/>
                <w:color w:val="000000"/>
                <w:kern w:val="0"/>
                <w:sz w:val="20"/>
                <w:szCs w:val="20"/>
                <w:highlight w:val="none"/>
                <w:lang w:bidi="ar"/>
              </w:rPr>
              <w:t>综合指挥监管</w:t>
            </w:r>
          </w:p>
        </w:tc>
        <w:tc>
          <w:tcPr>
            <w:tcW w:w="1436" w:type="pct"/>
            <w:tcBorders>
              <w:top w:val="single" w:color="000000" w:sz="4" w:space="0"/>
              <w:left w:val="single" w:color="000000" w:sz="4" w:space="0"/>
              <w:bottom w:val="single" w:color="000000" w:sz="4" w:space="0"/>
              <w:right w:val="single" w:color="000000" w:sz="4" w:space="0"/>
            </w:tcBorders>
            <w:vAlign w:val="center"/>
          </w:tcPr>
          <w:p w14:paraId="4131C350">
            <w:pPr>
              <w:widowControl/>
              <w:spacing w:line="240" w:lineRule="auto"/>
              <w:ind w:firstLine="0" w:firstLineChars="0"/>
              <w:jc w:val="center"/>
              <w:textAlignment w:val="center"/>
              <w:rPr>
                <w:rFonts w:cs="宋体"/>
                <w:color w:val="000000"/>
                <w:sz w:val="20"/>
                <w:szCs w:val="20"/>
                <w:highlight w:val="none"/>
              </w:rPr>
            </w:pPr>
            <w:r>
              <w:rPr>
                <w:rFonts w:hint="eastAsia" w:cs="宋体"/>
                <w:color w:val="000000"/>
                <w:kern w:val="0"/>
                <w:sz w:val="20"/>
                <w:szCs w:val="20"/>
                <w:highlight w:val="none"/>
                <w:lang w:bidi="ar"/>
              </w:rPr>
              <w:t>执法装备数据库（升级）-执法装备数据台账</w:t>
            </w:r>
          </w:p>
        </w:tc>
        <w:tc>
          <w:tcPr>
            <w:tcW w:w="1998" w:type="pct"/>
            <w:tcBorders>
              <w:top w:val="single" w:color="000000" w:sz="4" w:space="0"/>
              <w:left w:val="single" w:color="000000" w:sz="4" w:space="0"/>
              <w:bottom w:val="single" w:color="000000" w:sz="4" w:space="0"/>
              <w:right w:val="single" w:color="000000" w:sz="4" w:space="0"/>
            </w:tcBorders>
            <w:vAlign w:val="center"/>
          </w:tcPr>
          <w:p w14:paraId="395BE166">
            <w:pPr>
              <w:widowControl/>
              <w:spacing w:line="240" w:lineRule="auto"/>
              <w:ind w:firstLine="0" w:firstLineChars="0"/>
              <w:jc w:val="left"/>
              <w:textAlignment w:val="center"/>
              <w:rPr>
                <w:rFonts w:cs="宋体"/>
                <w:color w:val="000000"/>
                <w:sz w:val="20"/>
                <w:szCs w:val="20"/>
                <w:highlight w:val="none"/>
              </w:rPr>
            </w:pPr>
            <w:r>
              <w:rPr>
                <w:rFonts w:hint="eastAsia" w:cs="宋体"/>
                <w:color w:val="000000"/>
                <w:kern w:val="0"/>
                <w:sz w:val="20"/>
                <w:szCs w:val="20"/>
                <w:highlight w:val="none"/>
                <w:lang w:bidi="ar"/>
              </w:rPr>
              <w:t>按照最新版执法装备类别进行各类型装备情况、填报异常情况、使用年限超期情况、更新情况、报废情况的汇总统计。</w:t>
            </w:r>
          </w:p>
        </w:tc>
      </w:tr>
      <w:tr w14:paraId="78F27DA0">
        <w:tblPrEx>
          <w:tblCellMar>
            <w:top w:w="0" w:type="dxa"/>
            <w:left w:w="108" w:type="dxa"/>
            <w:bottom w:w="0" w:type="dxa"/>
            <w:right w:w="108" w:type="dxa"/>
          </w:tblCellMar>
        </w:tblPrEx>
        <w:trPr>
          <w:trHeight w:val="780" w:hRule="atLeast"/>
        </w:trPr>
        <w:tc>
          <w:tcPr>
            <w:tcW w:w="460" w:type="pct"/>
            <w:tcBorders>
              <w:top w:val="single" w:color="000000" w:sz="4" w:space="0"/>
              <w:left w:val="single" w:color="000000" w:sz="4" w:space="0"/>
              <w:bottom w:val="single" w:color="000000" w:sz="4" w:space="0"/>
              <w:right w:val="single" w:color="000000" w:sz="4" w:space="0"/>
            </w:tcBorders>
            <w:noWrap/>
            <w:vAlign w:val="center"/>
          </w:tcPr>
          <w:p w14:paraId="76618199">
            <w:pPr>
              <w:widowControl/>
              <w:spacing w:line="240" w:lineRule="auto"/>
              <w:ind w:firstLine="0" w:firstLineChars="0"/>
              <w:jc w:val="center"/>
              <w:textAlignment w:val="center"/>
              <w:rPr>
                <w:rFonts w:cs="宋体"/>
                <w:color w:val="000000"/>
                <w:sz w:val="20"/>
                <w:szCs w:val="20"/>
                <w:highlight w:val="none"/>
              </w:rPr>
            </w:pPr>
            <w:r>
              <w:rPr>
                <w:rFonts w:hint="eastAsia" w:cs="宋体"/>
                <w:color w:val="000000"/>
                <w:kern w:val="0"/>
                <w:sz w:val="20"/>
                <w:szCs w:val="20"/>
                <w:highlight w:val="none"/>
                <w:lang w:bidi="ar"/>
              </w:rPr>
              <w:t>27</w:t>
            </w:r>
          </w:p>
        </w:tc>
        <w:tc>
          <w:tcPr>
            <w:tcW w:w="1104" w:type="pct"/>
            <w:tcBorders>
              <w:top w:val="single" w:color="000000" w:sz="4" w:space="0"/>
              <w:left w:val="single" w:color="000000" w:sz="4" w:space="0"/>
              <w:bottom w:val="single" w:color="000000" w:sz="4" w:space="0"/>
              <w:right w:val="single" w:color="000000" w:sz="4" w:space="0"/>
            </w:tcBorders>
            <w:noWrap/>
            <w:vAlign w:val="center"/>
          </w:tcPr>
          <w:p w14:paraId="3B18C7CC">
            <w:pPr>
              <w:widowControl/>
              <w:spacing w:line="240" w:lineRule="auto"/>
              <w:ind w:firstLine="0" w:firstLineChars="0"/>
              <w:jc w:val="left"/>
              <w:textAlignment w:val="center"/>
              <w:rPr>
                <w:rFonts w:cs="宋体"/>
                <w:color w:val="000000"/>
                <w:sz w:val="20"/>
                <w:szCs w:val="20"/>
                <w:highlight w:val="none"/>
              </w:rPr>
            </w:pPr>
            <w:r>
              <w:rPr>
                <w:rFonts w:hint="eastAsia" w:cs="宋体"/>
                <w:color w:val="000000"/>
                <w:kern w:val="0"/>
                <w:sz w:val="20"/>
                <w:szCs w:val="20"/>
                <w:highlight w:val="none"/>
                <w:lang w:bidi="ar"/>
              </w:rPr>
              <w:t>综合指挥监管</w:t>
            </w:r>
          </w:p>
        </w:tc>
        <w:tc>
          <w:tcPr>
            <w:tcW w:w="1436" w:type="pct"/>
            <w:tcBorders>
              <w:top w:val="single" w:color="000000" w:sz="4" w:space="0"/>
              <w:left w:val="single" w:color="000000" w:sz="4" w:space="0"/>
              <w:bottom w:val="single" w:color="000000" w:sz="4" w:space="0"/>
              <w:right w:val="single" w:color="000000" w:sz="4" w:space="0"/>
            </w:tcBorders>
            <w:vAlign w:val="center"/>
          </w:tcPr>
          <w:p w14:paraId="3882185F">
            <w:pPr>
              <w:widowControl/>
              <w:spacing w:line="240" w:lineRule="auto"/>
              <w:ind w:firstLine="0" w:firstLineChars="0"/>
              <w:jc w:val="center"/>
              <w:textAlignment w:val="center"/>
              <w:rPr>
                <w:rFonts w:cs="宋体"/>
                <w:color w:val="000000"/>
                <w:sz w:val="20"/>
                <w:szCs w:val="20"/>
                <w:highlight w:val="none"/>
              </w:rPr>
            </w:pPr>
            <w:r>
              <w:rPr>
                <w:rFonts w:hint="eastAsia" w:cs="宋体"/>
                <w:color w:val="000000"/>
                <w:kern w:val="0"/>
                <w:sz w:val="20"/>
                <w:szCs w:val="20"/>
                <w:highlight w:val="none"/>
                <w:lang w:bidi="ar"/>
              </w:rPr>
              <w:t>执法勤务数据库（升级）-勤务数据统计（升级）-自动化抓取规则设置与数据预填报</w:t>
            </w:r>
          </w:p>
        </w:tc>
        <w:tc>
          <w:tcPr>
            <w:tcW w:w="1998" w:type="pct"/>
            <w:tcBorders>
              <w:top w:val="single" w:color="000000" w:sz="4" w:space="0"/>
              <w:left w:val="single" w:color="000000" w:sz="4" w:space="0"/>
              <w:bottom w:val="single" w:color="000000" w:sz="4" w:space="0"/>
              <w:right w:val="single" w:color="000000" w:sz="4" w:space="0"/>
            </w:tcBorders>
            <w:vAlign w:val="center"/>
          </w:tcPr>
          <w:p w14:paraId="4D7E1797">
            <w:pPr>
              <w:widowControl/>
              <w:spacing w:line="240" w:lineRule="auto"/>
              <w:ind w:firstLine="0" w:firstLineChars="0"/>
              <w:jc w:val="left"/>
              <w:textAlignment w:val="center"/>
              <w:rPr>
                <w:rFonts w:cs="宋体"/>
                <w:color w:val="000000"/>
                <w:sz w:val="20"/>
                <w:szCs w:val="20"/>
                <w:highlight w:val="none"/>
              </w:rPr>
            </w:pPr>
            <w:r>
              <w:rPr>
                <w:rFonts w:hint="eastAsia" w:cs="宋体"/>
                <w:color w:val="000000"/>
                <w:kern w:val="0"/>
                <w:sz w:val="20"/>
                <w:szCs w:val="20"/>
                <w:highlight w:val="none"/>
                <w:lang w:bidi="ar"/>
              </w:rPr>
              <w:t>实现自动化抓取执法勤务数据、专项执法数据、建筑垃圾整治数据。实现执法勤务数据预填报、专项执法数据预填报、建筑垃圾整治数据预填报。</w:t>
            </w:r>
          </w:p>
        </w:tc>
      </w:tr>
      <w:tr w14:paraId="774782AD">
        <w:tblPrEx>
          <w:tblCellMar>
            <w:top w:w="0" w:type="dxa"/>
            <w:left w:w="108" w:type="dxa"/>
            <w:bottom w:w="0" w:type="dxa"/>
            <w:right w:w="108" w:type="dxa"/>
          </w:tblCellMar>
        </w:tblPrEx>
        <w:trPr>
          <w:trHeight w:val="1300" w:hRule="atLeast"/>
        </w:trPr>
        <w:tc>
          <w:tcPr>
            <w:tcW w:w="460" w:type="pct"/>
            <w:tcBorders>
              <w:top w:val="single" w:color="000000" w:sz="4" w:space="0"/>
              <w:left w:val="single" w:color="000000" w:sz="4" w:space="0"/>
              <w:bottom w:val="single" w:color="000000" w:sz="4" w:space="0"/>
              <w:right w:val="single" w:color="000000" w:sz="4" w:space="0"/>
            </w:tcBorders>
            <w:noWrap/>
            <w:vAlign w:val="center"/>
          </w:tcPr>
          <w:p w14:paraId="15D7015E">
            <w:pPr>
              <w:widowControl/>
              <w:spacing w:line="240" w:lineRule="auto"/>
              <w:ind w:firstLine="0" w:firstLineChars="0"/>
              <w:jc w:val="center"/>
              <w:textAlignment w:val="center"/>
              <w:rPr>
                <w:rFonts w:cs="宋体"/>
                <w:color w:val="000000"/>
                <w:sz w:val="20"/>
                <w:szCs w:val="20"/>
                <w:highlight w:val="none"/>
              </w:rPr>
            </w:pPr>
            <w:r>
              <w:rPr>
                <w:rFonts w:hint="eastAsia" w:cs="宋体"/>
                <w:color w:val="000000"/>
                <w:kern w:val="0"/>
                <w:sz w:val="20"/>
                <w:szCs w:val="20"/>
                <w:highlight w:val="none"/>
                <w:lang w:bidi="ar"/>
              </w:rPr>
              <w:t>28</w:t>
            </w:r>
          </w:p>
        </w:tc>
        <w:tc>
          <w:tcPr>
            <w:tcW w:w="1104" w:type="pct"/>
            <w:tcBorders>
              <w:top w:val="single" w:color="000000" w:sz="4" w:space="0"/>
              <w:left w:val="single" w:color="000000" w:sz="4" w:space="0"/>
              <w:bottom w:val="single" w:color="000000" w:sz="4" w:space="0"/>
              <w:right w:val="single" w:color="000000" w:sz="4" w:space="0"/>
            </w:tcBorders>
            <w:noWrap/>
            <w:vAlign w:val="center"/>
          </w:tcPr>
          <w:p w14:paraId="0941950C">
            <w:pPr>
              <w:widowControl/>
              <w:spacing w:line="240" w:lineRule="auto"/>
              <w:ind w:firstLine="0" w:firstLineChars="0"/>
              <w:jc w:val="left"/>
              <w:textAlignment w:val="center"/>
              <w:rPr>
                <w:rFonts w:cs="宋体"/>
                <w:color w:val="000000"/>
                <w:sz w:val="20"/>
                <w:szCs w:val="20"/>
                <w:highlight w:val="none"/>
              </w:rPr>
            </w:pPr>
            <w:r>
              <w:rPr>
                <w:rFonts w:hint="eastAsia" w:cs="宋体"/>
                <w:color w:val="000000"/>
                <w:kern w:val="0"/>
                <w:sz w:val="20"/>
                <w:szCs w:val="20"/>
                <w:highlight w:val="none"/>
                <w:lang w:bidi="ar"/>
              </w:rPr>
              <w:t>综合指挥监管</w:t>
            </w:r>
          </w:p>
        </w:tc>
        <w:tc>
          <w:tcPr>
            <w:tcW w:w="1436" w:type="pct"/>
            <w:tcBorders>
              <w:top w:val="single" w:color="000000" w:sz="4" w:space="0"/>
              <w:left w:val="single" w:color="000000" w:sz="4" w:space="0"/>
              <w:bottom w:val="single" w:color="000000" w:sz="4" w:space="0"/>
              <w:right w:val="single" w:color="000000" w:sz="4" w:space="0"/>
            </w:tcBorders>
            <w:vAlign w:val="center"/>
          </w:tcPr>
          <w:p w14:paraId="4325B94E">
            <w:pPr>
              <w:widowControl/>
              <w:spacing w:line="240" w:lineRule="auto"/>
              <w:ind w:firstLine="0" w:firstLineChars="0"/>
              <w:jc w:val="center"/>
              <w:textAlignment w:val="center"/>
              <w:rPr>
                <w:rFonts w:cs="宋体"/>
                <w:color w:val="000000"/>
                <w:sz w:val="20"/>
                <w:szCs w:val="20"/>
                <w:highlight w:val="none"/>
              </w:rPr>
            </w:pPr>
            <w:r>
              <w:rPr>
                <w:rFonts w:hint="eastAsia" w:cs="宋体"/>
                <w:color w:val="000000"/>
                <w:kern w:val="0"/>
                <w:sz w:val="20"/>
                <w:szCs w:val="20"/>
                <w:highlight w:val="none"/>
                <w:lang w:bidi="ar"/>
              </w:rPr>
              <w:t>管执联动综合监管</w:t>
            </w:r>
            <w:r>
              <w:rPr>
                <w:rFonts w:hint="eastAsia" w:ascii="宋体" w:hAnsi="宋体" w:eastAsia="宋体" w:cs="宋体"/>
                <w:color w:val="000000"/>
                <w:kern w:val="0"/>
                <w:sz w:val="20"/>
                <w:szCs w:val="20"/>
                <w:highlight w:val="none"/>
                <w:lang w:bidi="ar"/>
              </w:rPr>
              <w:t>（</w:t>
            </w:r>
            <w:r>
              <w:rPr>
                <w:rFonts w:hint="eastAsia" w:ascii="宋体" w:hAnsi="宋体" w:eastAsia="宋体" w:cs="宋体"/>
                <w:color w:val="000000"/>
                <w:kern w:val="0"/>
                <w:sz w:val="20"/>
                <w:szCs w:val="20"/>
                <w:highlight w:val="none"/>
                <w:shd w:val="clear"/>
                <w:lang w:bidi="ar"/>
              </w:rPr>
              <w:t>新建</w:t>
            </w:r>
            <w:r>
              <w:rPr>
                <w:rFonts w:hint="eastAsia" w:ascii="宋体" w:hAnsi="宋体" w:eastAsia="宋体" w:cs="宋体"/>
                <w:color w:val="000000"/>
                <w:kern w:val="0"/>
                <w:sz w:val="20"/>
                <w:szCs w:val="20"/>
                <w:highlight w:val="none"/>
                <w:lang w:bidi="ar"/>
              </w:rPr>
              <w:t>）</w:t>
            </w:r>
            <w:r>
              <w:rPr>
                <w:rFonts w:hint="eastAsia" w:cs="宋体"/>
                <w:color w:val="000000"/>
                <w:kern w:val="0"/>
                <w:sz w:val="20"/>
                <w:szCs w:val="20"/>
                <w:highlight w:val="none"/>
                <w:lang w:bidi="ar"/>
              </w:rPr>
              <w:t>-与住建委管执联动 -工地未安装设备管执联动</w:t>
            </w:r>
          </w:p>
        </w:tc>
        <w:tc>
          <w:tcPr>
            <w:tcW w:w="1998" w:type="pct"/>
            <w:tcBorders>
              <w:top w:val="single" w:color="000000" w:sz="4" w:space="0"/>
              <w:left w:val="single" w:color="000000" w:sz="4" w:space="0"/>
              <w:bottom w:val="single" w:color="000000" w:sz="4" w:space="0"/>
              <w:right w:val="single" w:color="000000" w:sz="4" w:space="0"/>
            </w:tcBorders>
            <w:vAlign w:val="center"/>
          </w:tcPr>
          <w:p w14:paraId="603ADAA6">
            <w:pPr>
              <w:widowControl/>
              <w:spacing w:line="240" w:lineRule="auto"/>
              <w:ind w:firstLine="0" w:firstLineChars="0"/>
              <w:jc w:val="left"/>
              <w:textAlignment w:val="center"/>
              <w:rPr>
                <w:rFonts w:cs="宋体"/>
                <w:color w:val="000000"/>
                <w:sz w:val="20"/>
                <w:szCs w:val="20"/>
                <w:highlight w:val="none"/>
              </w:rPr>
            </w:pPr>
            <w:r>
              <w:rPr>
                <w:rFonts w:hint="eastAsia" w:cs="宋体"/>
                <w:color w:val="000000"/>
                <w:kern w:val="0"/>
                <w:sz w:val="20"/>
                <w:szCs w:val="20"/>
                <w:highlight w:val="none"/>
                <w:lang w:bidi="ar"/>
              </w:rPr>
              <w:t>对接住建委文明施工系统，与住建委系统的对接，接收建筑工地工单并进行线索登记。支持中队派发、处置及队员执行，具备多级退单与审核机制，队员现场处置后需反馈结果，中队进行审核。队员现场检查处置时，若立案则实现关联已有案件号。</w:t>
            </w:r>
          </w:p>
        </w:tc>
      </w:tr>
      <w:tr w14:paraId="616825E5">
        <w:tblPrEx>
          <w:tblCellMar>
            <w:top w:w="0" w:type="dxa"/>
            <w:left w:w="108" w:type="dxa"/>
            <w:bottom w:w="0" w:type="dxa"/>
            <w:right w:w="108" w:type="dxa"/>
          </w:tblCellMar>
        </w:tblPrEx>
        <w:trPr>
          <w:trHeight w:val="780" w:hRule="atLeast"/>
        </w:trPr>
        <w:tc>
          <w:tcPr>
            <w:tcW w:w="460" w:type="pct"/>
            <w:tcBorders>
              <w:top w:val="single" w:color="000000" w:sz="4" w:space="0"/>
              <w:left w:val="single" w:color="000000" w:sz="4" w:space="0"/>
              <w:bottom w:val="single" w:color="000000" w:sz="4" w:space="0"/>
              <w:right w:val="single" w:color="000000" w:sz="4" w:space="0"/>
            </w:tcBorders>
            <w:noWrap/>
            <w:vAlign w:val="center"/>
          </w:tcPr>
          <w:p w14:paraId="283D59AC">
            <w:pPr>
              <w:widowControl/>
              <w:spacing w:line="240" w:lineRule="auto"/>
              <w:ind w:firstLine="0" w:firstLineChars="0"/>
              <w:jc w:val="center"/>
              <w:textAlignment w:val="center"/>
              <w:rPr>
                <w:rFonts w:cs="宋体"/>
                <w:color w:val="000000"/>
                <w:sz w:val="20"/>
                <w:szCs w:val="20"/>
                <w:highlight w:val="none"/>
              </w:rPr>
            </w:pPr>
            <w:r>
              <w:rPr>
                <w:rFonts w:hint="eastAsia" w:cs="宋体"/>
                <w:color w:val="000000"/>
                <w:kern w:val="0"/>
                <w:sz w:val="20"/>
                <w:szCs w:val="20"/>
                <w:highlight w:val="none"/>
                <w:lang w:bidi="ar"/>
              </w:rPr>
              <w:t>29</w:t>
            </w:r>
          </w:p>
        </w:tc>
        <w:tc>
          <w:tcPr>
            <w:tcW w:w="1104" w:type="pct"/>
            <w:tcBorders>
              <w:top w:val="single" w:color="000000" w:sz="4" w:space="0"/>
              <w:left w:val="single" w:color="000000" w:sz="4" w:space="0"/>
              <w:bottom w:val="single" w:color="000000" w:sz="4" w:space="0"/>
              <w:right w:val="single" w:color="000000" w:sz="4" w:space="0"/>
            </w:tcBorders>
            <w:noWrap/>
            <w:vAlign w:val="center"/>
          </w:tcPr>
          <w:p w14:paraId="145572E5">
            <w:pPr>
              <w:widowControl/>
              <w:spacing w:line="240" w:lineRule="auto"/>
              <w:ind w:firstLine="0" w:firstLineChars="0"/>
              <w:jc w:val="left"/>
              <w:textAlignment w:val="center"/>
              <w:rPr>
                <w:rFonts w:cs="宋体"/>
                <w:color w:val="000000"/>
                <w:sz w:val="20"/>
                <w:szCs w:val="20"/>
                <w:highlight w:val="none"/>
              </w:rPr>
            </w:pPr>
            <w:r>
              <w:rPr>
                <w:rFonts w:hint="eastAsia" w:cs="宋体"/>
                <w:color w:val="000000"/>
                <w:kern w:val="0"/>
                <w:sz w:val="20"/>
                <w:szCs w:val="20"/>
                <w:highlight w:val="none"/>
                <w:lang w:bidi="ar"/>
              </w:rPr>
              <w:t>综合指挥监管</w:t>
            </w:r>
          </w:p>
        </w:tc>
        <w:tc>
          <w:tcPr>
            <w:tcW w:w="1436" w:type="pct"/>
            <w:tcBorders>
              <w:top w:val="single" w:color="000000" w:sz="4" w:space="0"/>
              <w:left w:val="single" w:color="000000" w:sz="4" w:space="0"/>
              <w:bottom w:val="single" w:color="000000" w:sz="4" w:space="0"/>
              <w:right w:val="single" w:color="000000" w:sz="4" w:space="0"/>
            </w:tcBorders>
            <w:vAlign w:val="center"/>
          </w:tcPr>
          <w:p w14:paraId="5FD4CB73">
            <w:pPr>
              <w:widowControl/>
              <w:spacing w:line="240" w:lineRule="auto"/>
              <w:ind w:firstLine="0" w:firstLineChars="0"/>
              <w:jc w:val="center"/>
              <w:textAlignment w:val="center"/>
              <w:rPr>
                <w:rFonts w:cs="宋体"/>
                <w:color w:val="000000"/>
                <w:sz w:val="20"/>
                <w:szCs w:val="20"/>
                <w:highlight w:val="none"/>
              </w:rPr>
            </w:pPr>
            <w:r>
              <w:rPr>
                <w:rFonts w:hint="eastAsia" w:cs="宋体"/>
                <w:color w:val="000000"/>
                <w:kern w:val="0"/>
                <w:sz w:val="20"/>
                <w:szCs w:val="20"/>
                <w:highlight w:val="none"/>
                <w:lang w:bidi="ar"/>
              </w:rPr>
              <w:t>管执联动综合监管（新建）-与住建委管执联动 -住建委文明施工系统接口对接</w:t>
            </w:r>
          </w:p>
        </w:tc>
        <w:tc>
          <w:tcPr>
            <w:tcW w:w="1998" w:type="pct"/>
            <w:tcBorders>
              <w:top w:val="single" w:color="000000" w:sz="4" w:space="0"/>
              <w:left w:val="single" w:color="000000" w:sz="4" w:space="0"/>
              <w:bottom w:val="single" w:color="000000" w:sz="4" w:space="0"/>
              <w:right w:val="single" w:color="000000" w:sz="4" w:space="0"/>
            </w:tcBorders>
            <w:vAlign w:val="center"/>
          </w:tcPr>
          <w:p w14:paraId="475FFC44">
            <w:pPr>
              <w:widowControl/>
              <w:spacing w:line="240" w:lineRule="auto"/>
              <w:ind w:firstLine="0" w:firstLineChars="0"/>
              <w:jc w:val="left"/>
              <w:textAlignment w:val="center"/>
              <w:rPr>
                <w:rFonts w:cs="宋体"/>
                <w:color w:val="000000"/>
                <w:sz w:val="20"/>
                <w:szCs w:val="20"/>
                <w:highlight w:val="none"/>
              </w:rPr>
            </w:pPr>
            <w:r>
              <w:rPr>
                <w:rFonts w:hint="eastAsia" w:cs="宋体"/>
                <w:color w:val="000000"/>
                <w:kern w:val="0"/>
                <w:sz w:val="20"/>
                <w:szCs w:val="20"/>
                <w:highlight w:val="none"/>
                <w:lang w:bidi="ar"/>
              </w:rPr>
              <w:t>对接住建委文明施工系统，支持中队获取住建委建筑工地移送工单并将移送工单处置情况反馈至住建委。</w:t>
            </w:r>
          </w:p>
        </w:tc>
      </w:tr>
      <w:tr w14:paraId="7C6AD6C4">
        <w:tblPrEx>
          <w:tblCellMar>
            <w:top w:w="0" w:type="dxa"/>
            <w:left w:w="108" w:type="dxa"/>
            <w:bottom w:w="0" w:type="dxa"/>
            <w:right w:w="108" w:type="dxa"/>
          </w:tblCellMar>
        </w:tblPrEx>
        <w:trPr>
          <w:trHeight w:val="1300" w:hRule="atLeast"/>
        </w:trPr>
        <w:tc>
          <w:tcPr>
            <w:tcW w:w="460" w:type="pct"/>
            <w:tcBorders>
              <w:top w:val="single" w:color="000000" w:sz="4" w:space="0"/>
              <w:left w:val="single" w:color="000000" w:sz="4" w:space="0"/>
              <w:bottom w:val="single" w:color="000000" w:sz="4" w:space="0"/>
              <w:right w:val="single" w:color="000000" w:sz="4" w:space="0"/>
            </w:tcBorders>
            <w:noWrap/>
            <w:vAlign w:val="center"/>
          </w:tcPr>
          <w:p w14:paraId="25A46B8F">
            <w:pPr>
              <w:widowControl/>
              <w:spacing w:line="240" w:lineRule="auto"/>
              <w:ind w:firstLine="0" w:firstLineChars="0"/>
              <w:jc w:val="center"/>
              <w:textAlignment w:val="center"/>
              <w:rPr>
                <w:rFonts w:cs="宋体"/>
                <w:color w:val="000000"/>
                <w:sz w:val="20"/>
                <w:szCs w:val="20"/>
                <w:highlight w:val="none"/>
              </w:rPr>
            </w:pPr>
            <w:r>
              <w:rPr>
                <w:rFonts w:hint="eastAsia" w:cs="宋体"/>
                <w:color w:val="000000"/>
                <w:kern w:val="0"/>
                <w:sz w:val="20"/>
                <w:szCs w:val="20"/>
                <w:highlight w:val="none"/>
                <w:lang w:bidi="ar"/>
              </w:rPr>
              <w:t>30</w:t>
            </w:r>
          </w:p>
        </w:tc>
        <w:tc>
          <w:tcPr>
            <w:tcW w:w="1104" w:type="pct"/>
            <w:tcBorders>
              <w:top w:val="single" w:color="000000" w:sz="4" w:space="0"/>
              <w:left w:val="single" w:color="000000" w:sz="4" w:space="0"/>
              <w:bottom w:val="single" w:color="000000" w:sz="4" w:space="0"/>
              <w:right w:val="single" w:color="000000" w:sz="4" w:space="0"/>
            </w:tcBorders>
            <w:noWrap/>
            <w:vAlign w:val="center"/>
          </w:tcPr>
          <w:p w14:paraId="4A475C0F">
            <w:pPr>
              <w:widowControl/>
              <w:spacing w:line="240" w:lineRule="auto"/>
              <w:ind w:firstLine="0" w:firstLineChars="0"/>
              <w:jc w:val="left"/>
              <w:textAlignment w:val="center"/>
              <w:rPr>
                <w:rFonts w:cs="宋体"/>
                <w:color w:val="000000"/>
                <w:sz w:val="20"/>
                <w:szCs w:val="20"/>
                <w:highlight w:val="none"/>
              </w:rPr>
            </w:pPr>
            <w:r>
              <w:rPr>
                <w:rFonts w:hint="eastAsia" w:cs="宋体"/>
                <w:color w:val="000000"/>
                <w:kern w:val="0"/>
                <w:sz w:val="20"/>
                <w:szCs w:val="20"/>
                <w:highlight w:val="none"/>
                <w:lang w:bidi="ar"/>
              </w:rPr>
              <w:t>综合指挥监管</w:t>
            </w:r>
          </w:p>
        </w:tc>
        <w:tc>
          <w:tcPr>
            <w:tcW w:w="1436" w:type="pct"/>
            <w:tcBorders>
              <w:top w:val="single" w:color="000000" w:sz="4" w:space="0"/>
              <w:left w:val="single" w:color="000000" w:sz="4" w:space="0"/>
              <w:bottom w:val="single" w:color="000000" w:sz="4" w:space="0"/>
              <w:right w:val="single" w:color="000000" w:sz="4" w:space="0"/>
            </w:tcBorders>
            <w:vAlign w:val="center"/>
          </w:tcPr>
          <w:p w14:paraId="7637C399">
            <w:pPr>
              <w:widowControl/>
              <w:spacing w:line="240" w:lineRule="auto"/>
              <w:ind w:firstLine="0" w:firstLineChars="0"/>
              <w:jc w:val="center"/>
              <w:textAlignment w:val="center"/>
              <w:rPr>
                <w:rFonts w:cs="宋体"/>
                <w:color w:val="000000"/>
                <w:sz w:val="20"/>
                <w:szCs w:val="20"/>
                <w:highlight w:val="none"/>
              </w:rPr>
            </w:pPr>
            <w:r>
              <w:rPr>
                <w:rFonts w:hint="eastAsia" w:cs="宋体"/>
                <w:color w:val="000000"/>
                <w:kern w:val="0"/>
                <w:sz w:val="20"/>
                <w:szCs w:val="20"/>
                <w:highlight w:val="none"/>
                <w:lang w:bidi="ar"/>
              </w:rPr>
              <w:t>管执联动综合监管（新建）-与绿化市容管执联动-餐厨废弃油脂管执联动</w:t>
            </w:r>
          </w:p>
        </w:tc>
        <w:tc>
          <w:tcPr>
            <w:tcW w:w="1998" w:type="pct"/>
            <w:tcBorders>
              <w:top w:val="single" w:color="000000" w:sz="4" w:space="0"/>
              <w:left w:val="single" w:color="000000" w:sz="4" w:space="0"/>
              <w:bottom w:val="single" w:color="000000" w:sz="4" w:space="0"/>
              <w:right w:val="single" w:color="000000" w:sz="4" w:space="0"/>
            </w:tcBorders>
            <w:vAlign w:val="center"/>
          </w:tcPr>
          <w:p w14:paraId="61F1D0E6">
            <w:pPr>
              <w:widowControl/>
              <w:spacing w:line="240" w:lineRule="auto"/>
              <w:ind w:firstLine="0" w:firstLineChars="0"/>
              <w:jc w:val="left"/>
              <w:textAlignment w:val="center"/>
              <w:rPr>
                <w:rFonts w:cs="宋体"/>
                <w:color w:val="000000"/>
                <w:sz w:val="20"/>
                <w:szCs w:val="20"/>
                <w:highlight w:val="none"/>
              </w:rPr>
            </w:pPr>
            <w:r>
              <w:rPr>
                <w:rFonts w:hint="eastAsia" w:cs="宋体"/>
                <w:color w:val="000000"/>
                <w:kern w:val="0"/>
                <w:sz w:val="20"/>
                <w:szCs w:val="20"/>
                <w:highlight w:val="none"/>
                <w:lang w:bidi="ar"/>
              </w:rPr>
              <w:t>实现餐厨废弃油脂线索移送工单信息登记。支持餐厨废弃油脂工单区局-中队-队员两级派发、核对与退回。支持队员移动端现场处置记录并提交处置结果。支持处置结果反馈中队、区局两级审核与退回机制。</w:t>
            </w:r>
          </w:p>
        </w:tc>
      </w:tr>
      <w:tr w14:paraId="67ABB644">
        <w:tblPrEx>
          <w:tblCellMar>
            <w:top w:w="0" w:type="dxa"/>
            <w:left w:w="108" w:type="dxa"/>
            <w:bottom w:w="0" w:type="dxa"/>
            <w:right w:w="108" w:type="dxa"/>
          </w:tblCellMar>
        </w:tblPrEx>
        <w:trPr>
          <w:trHeight w:val="1040" w:hRule="atLeast"/>
        </w:trPr>
        <w:tc>
          <w:tcPr>
            <w:tcW w:w="460" w:type="pct"/>
            <w:tcBorders>
              <w:top w:val="single" w:color="000000" w:sz="4" w:space="0"/>
              <w:left w:val="single" w:color="000000" w:sz="4" w:space="0"/>
              <w:bottom w:val="single" w:color="000000" w:sz="4" w:space="0"/>
              <w:right w:val="single" w:color="000000" w:sz="4" w:space="0"/>
            </w:tcBorders>
            <w:noWrap/>
            <w:vAlign w:val="center"/>
          </w:tcPr>
          <w:p w14:paraId="042DAEA8">
            <w:pPr>
              <w:widowControl/>
              <w:spacing w:line="240" w:lineRule="auto"/>
              <w:ind w:firstLine="0" w:firstLineChars="0"/>
              <w:jc w:val="center"/>
              <w:textAlignment w:val="center"/>
              <w:rPr>
                <w:rFonts w:cs="宋体"/>
                <w:color w:val="000000"/>
                <w:sz w:val="20"/>
                <w:szCs w:val="20"/>
                <w:highlight w:val="none"/>
              </w:rPr>
            </w:pPr>
            <w:r>
              <w:rPr>
                <w:rFonts w:hint="eastAsia" w:cs="宋体"/>
                <w:color w:val="000000"/>
                <w:kern w:val="0"/>
                <w:sz w:val="20"/>
                <w:szCs w:val="20"/>
                <w:highlight w:val="none"/>
                <w:lang w:bidi="ar"/>
              </w:rPr>
              <w:t>31</w:t>
            </w:r>
          </w:p>
        </w:tc>
        <w:tc>
          <w:tcPr>
            <w:tcW w:w="1104" w:type="pct"/>
            <w:tcBorders>
              <w:top w:val="single" w:color="000000" w:sz="4" w:space="0"/>
              <w:left w:val="single" w:color="000000" w:sz="4" w:space="0"/>
              <w:bottom w:val="single" w:color="000000" w:sz="4" w:space="0"/>
              <w:right w:val="single" w:color="000000" w:sz="4" w:space="0"/>
            </w:tcBorders>
            <w:noWrap/>
            <w:vAlign w:val="center"/>
          </w:tcPr>
          <w:p w14:paraId="649FE344">
            <w:pPr>
              <w:widowControl/>
              <w:spacing w:line="240" w:lineRule="auto"/>
              <w:ind w:firstLine="0" w:firstLineChars="0"/>
              <w:jc w:val="left"/>
              <w:textAlignment w:val="center"/>
              <w:rPr>
                <w:rFonts w:cs="宋体"/>
                <w:color w:val="000000"/>
                <w:sz w:val="20"/>
                <w:szCs w:val="20"/>
                <w:highlight w:val="none"/>
              </w:rPr>
            </w:pPr>
            <w:r>
              <w:rPr>
                <w:rFonts w:hint="eastAsia" w:cs="宋体"/>
                <w:color w:val="000000"/>
                <w:kern w:val="0"/>
                <w:sz w:val="20"/>
                <w:szCs w:val="20"/>
                <w:highlight w:val="none"/>
                <w:lang w:bidi="ar"/>
              </w:rPr>
              <w:t>综合指挥监管</w:t>
            </w:r>
          </w:p>
        </w:tc>
        <w:tc>
          <w:tcPr>
            <w:tcW w:w="1436" w:type="pct"/>
            <w:tcBorders>
              <w:top w:val="single" w:color="000000" w:sz="4" w:space="0"/>
              <w:left w:val="single" w:color="000000" w:sz="4" w:space="0"/>
              <w:bottom w:val="single" w:color="000000" w:sz="4" w:space="0"/>
              <w:right w:val="single" w:color="000000" w:sz="4" w:space="0"/>
            </w:tcBorders>
            <w:vAlign w:val="center"/>
          </w:tcPr>
          <w:p w14:paraId="43B66966">
            <w:pPr>
              <w:widowControl/>
              <w:spacing w:line="240" w:lineRule="auto"/>
              <w:ind w:firstLine="0" w:firstLineChars="0"/>
              <w:jc w:val="center"/>
              <w:textAlignment w:val="center"/>
              <w:rPr>
                <w:rFonts w:cs="宋体"/>
                <w:color w:val="000000"/>
                <w:sz w:val="20"/>
                <w:szCs w:val="20"/>
                <w:highlight w:val="none"/>
              </w:rPr>
            </w:pPr>
            <w:r>
              <w:rPr>
                <w:rFonts w:hint="eastAsia" w:cs="宋体"/>
                <w:color w:val="000000"/>
                <w:kern w:val="0"/>
                <w:sz w:val="20"/>
                <w:szCs w:val="20"/>
                <w:highlight w:val="none"/>
                <w:lang w:bidi="ar"/>
              </w:rPr>
              <w:t>管执联动综合监管（新建）-与绿化市容管执联动-绿化市容局餐厨废弃油脂系统接口对接</w:t>
            </w:r>
          </w:p>
        </w:tc>
        <w:tc>
          <w:tcPr>
            <w:tcW w:w="1998" w:type="pct"/>
            <w:tcBorders>
              <w:top w:val="single" w:color="000000" w:sz="4" w:space="0"/>
              <w:left w:val="single" w:color="000000" w:sz="4" w:space="0"/>
              <w:bottom w:val="single" w:color="000000" w:sz="4" w:space="0"/>
              <w:right w:val="single" w:color="000000" w:sz="4" w:space="0"/>
            </w:tcBorders>
            <w:vAlign w:val="center"/>
          </w:tcPr>
          <w:p w14:paraId="1F88780F">
            <w:pPr>
              <w:widowControl/>
              <w:spacing w:line="240" w:lineRule="auto"/>
              <w:ind w:firstLine="0" w:firstLineChars="0"/>
              <w:jc w:val="left"/>
              <w:textAlignment w:val="center"/>
              <w:rPr>
                <w:rFonts w:cs="宋体"/>
                <w:color w:val="000000"/>
                <w:sz w:val="20"/>
                <w:szCs w:val="20"/>
                <w:highlight w:val="none"/>
              </w:rPr>
            </w:pPr>
            <w:r>
              <w:rPr>
                <w:rFonts w:hint="eastAsia" w:cs="宋体"/>
                <w:color w:val="000000"/>
                <w:kern w:val="0"/>
                <w:sz w:val="20"/>
                <w:szCs w:val="20"/>
                <w:highlight w:val="none"/>
                <w:lang w:bidi="ar"/>
              </w:rPr>
              <w:t>对接绿化市容局餐厨废弃油脂系统，获取餐厨废弃油脂移送工单，并将工单处置结果情况推送至绿化市容局。</w:t>
            </w:r>
          </w:p>
        </w:tc>
      </w:tr>
      <w:tr w14:paraId="4F06C9F4">
        <w:tblPrEx>
          <w:tblCellMar>
            <w:top w:w="0" w:type="dxa"/>
            <w:left w:w="108" w:type="dxa"/>
            <w:bottom w:w="0" w:type="dxa"/>
            <w:right w:w="108" w:type="dxa"/>
          </w:tblCellMar>
        </w:tblPrEx>
        <w:trPr>
          <w:trHeight w:val="520" w:hRule="atLeast"/>
        </w:trPr>
        <w:tc>
          <w:tcPr>
            <w:tcW w:w="460" w:type="pct"/>
            <w:tcBorders>
              <w:top w:val="single" w:color="000000" w:sz="4" w:space="0"/>
              <w:left w:val="single" w:color="000000" w:sz="4" w:space="0"/>
              <w:bottom w:val="single" w:color="000000" w:sz="4" w:space="0"/>
              <w:right w:val="single" w:color="000000" w:sz="4" w:space="0"/>
            </w:tcBorders>
            <w:noWrap/>
            <w:vAlign w:val="center"/>
          </w:tcPr>
          <w:p w14:paraId="21697F25">
            <w:pPr>
              <w:widowControl/>
              <w:spacing w:line="240" w:lineRule="auto"/>
              <w:ind w:firstLine="0" w:firstLineChars="0"/>
              <w:jc w:val="center"/>
              <w:textAlignment w:val="center"/>
              <w:rPr>
                <w:rFonts w:cs="宋体"/>
                <w:color w:val="000000"/>
                <w:sz w:val="20"/>
                <w:szCs w:val="20"/>
                <w:highlight w:val="none"/>
              </w:rPr>
            </w:pPr>
            <w:r>
              <w:rPr>
                <w:rFonts w:hint="eastAsia" w:cs="宋体"/>
                <w:color w:val="000000"/>
                <w:kern w:val="0"/>
                <w:sz w:val="20"/>
                <w:szCs w:val="20"/>
                <w:highlight w:val="none"/>
                <w:lang w:bidi="ar"/>
              </w:rPr>
              <w:t>32</w:t>
            </w:r>
          </w:p>
        </w:tc>
        <w:tc>
          <w:tcPr>
            <w:tcW w:w="1104" w:type="pct"/>
            <w:tcBorders>
              <w:top w:val="single" w:color="000000" w:sz="4" w:space="0"/>
              <w:left w:val="single" w:color="000000" w:sz="4" w:space="0"/>
              <w:bottom w:val="single" w:color="000000" w:sz="4" w:space="0"/>
              <w:right w:val="single" w:color="000000" w:sz="4" w:space="0"/>
            </w:tcBorders>
            <w:noWrap/>
            <w:vAlign w:val="center"/>
          </w:tcPr>
          <w:p w14:paraId="2E282EF3">
            <w:pPr>
              <w:widowControl/>
              <w:spacing w:line="240" w:lineRule="auto"/>
              <w:ind w:firstLine="0" w:firstLineChars="0"/>
              <w:jc w:val="left"/>
              <w:textAlignment w:val="center"/>
              <w:rPr>
                <w:rFonts w:cs="宋体"/>
                <w:color w:val="000000"/>
                <w:sz w:val="20"/>
                <w:szCs w:val="20"/>
                <w:highlight w:val="none"/>
              </w:rPr>
            </w:pPr>
            <w:r>
              <w:rPr>
                <w:rFonts w:hint="eastAsia" w:cs="宋体"/>
                <w:color w:val="000000"/>
                <w:kern w:val="0"/>
                <w:sz w:val="20"/>
                <w:szCs w:val="20"/>
                <w:highlight w:val="none"/>
                <w:lang w:bidi="ar"/>
              </w:rPr>
              <w:t>综合指挥监管</w:t>
            </w:r>
          </w:p>
        </w:tc>
        <w:tc>
          <w:tcPr>
            <w:tcW w:w="1436" w:type="pct"/>
            <w:tcBorders>
              <w:top w:val="single" w:color="000000" w:sz="4" w:space="0"/>
              <w:left w:val="single" w:color="000000" w:sz="4" w:space="0"/>
              <w:bottom w:val="single" w:color="000000" w:sz="4" w:space="0"/>
              <w:right w:val="single" w:color="000000" w:sz="4" w:space="0"/>
            </w:tcBorders>
            <w:vAlign w:val="center"/>
          </w:tcPr>
          <w:p w14:paraId="57A72F72">
            <w:pPr>
              <w:widowControl/>
              <w:spacing w:line="240" w:lineRule="auto"/>
              <w:ind w:firstLine="0" w:firstLineChars="0"/>
              <w:jc w:val="center"/>
              <w:textAlignment w:val="center"/>
              <w:rPr>
                <w:rFonts w:cs="宋体"/>
                <w:color w:val="000000"/>
                <w:sz w:val="20"/>
                <w:szCs w:val="20"/>
                <w:highlight w:val="none"/>
              </w:rPr>
            </w:pPr>
            <w:r>
              <w:rPr>
                <w:rFonts w:hint="eastAsia" w:cs="宋体"/>
                <w:color w:val="000000"/>
                <w:kern w:val="0"/>
                <w:sz w:val="20"/>
                <w:szCs w:val="20"/>
                <w:highlight w:val="none"/>
                <w:lang w:bidi="ar"/>
              </w:rPr>
              <w:t>管执联动综合监管（新建）-执法协助</w:t>
            </w:r>
          </w:p>
        </w:tc>
        <w:tc>
          <w:tcPr>
            <w:tcW w:w="1998" w:type="pct"/>
            <w:tcBorders>
              <w:top w:val="single" w:color="000000" w:sz="4" w:space="0"/>
              <w:left w:val="single" w:color="000000" w:sz="4" w:space="0"/>
              <w:bottom w:val="single" w:color="000000" w:sz="4" w:space="0"/>
              <w:right w:val="single" w:color="000000" w:sz="4" w:space="0"/>
            </w:tcBorders>
            <w:vAlign w:val="center"/>
          </w:tcPr>
          <w:p w14:paraId="6FDEEA79">
            <w:pPr>
              <w:widowControl/>
              <w:spacing w:line="240" w:lineRule="auto"/>
              <w:ind w:firstLine="0" w:firstLineChars="0"/>
              <w:jc w:val="left"/>
              <w:textAlignment w:val="center"/>
              <w:rPr>
                <w:rFonts w:cs="宋体"/>
                <w:color w:val="000000"/>
                <w:sz w:val="20"/>
                <w:szCs w:val="20"/>
                <w:highlight w:val="none"/>
              </w:rPr>
            </w:pPr>
            <w:r>
              <w:rPr>
                <w:rFonts w:hint="eastAsia" w:cs="宋体"/>
                <w:color w:val="000000"/>
                <w:kern w:val="0"/>
                <w:sz w:val="20"/>
                <w:szCs w:val="20"/>
                <w:highlight w:val="none"/>
                <w:lang w:bidi="ar"/>
              </w:rPr>
              <w:t>新增执法协助文书设置、执法协助提示与反馈功能。</w:t>
            </w:r>
          </w:p>
        </w:tc>
      </w:tr>
      <w:tr w14:paraId="6F7A7770">
        <w:tblPrEx>
          <w:tblCellMar>
            <w:top w:w="0" w:type="dxa"/>
            <w:left w:w="108" w:type="dxa"/>
            <w:bottom w:w="0" w:type="dxa"/>
            <w:right w:w="108" w:type="dxa"/>
          </w:tblCellMar>
        </w:tblPrEx>
        <w:trPr>
          <w:trHeight w:val="520" w:hRule="atLeast"/>
        </w:trPr>
        <w:tc>
          <w:tcPr>
            <w:tcW w:w="460" w:type="pct"/>
            <w:tcBorders>
              <w:top w:val="single" w:color="000000" w:sz="4" w:space="0"/>
              <w:left w:val="single" w:color="000000" w:sz="4" w:space="0"/>
              <w:bottom w:val="single" w:color="000000" w:sz="4" w:space="0"/>
              <w:right w:val="single" w:color="000000" w:sz="4" w:space="0"/>
            </w:tcBorders>
            <w:noWrap/>
            <w:vAlign w:val="center"/>
          </w:tcPr>
          <w:p w14:paraId="5DD8233B">
            <w:pPr>
              <w:widowControl/>
              <w:spacing w:line="240" w:lineRule="auto"/>
              <w:ind w:firstLine="0" w:firstLineChars="0"/>
              <w:jc w:val="center"/>
              <w:textAlignment w:val="center"/>
              <w:rPr>
                <w:rFonts w:cs="宋体"/>
                <w:color w:val="000000"/>
                <w:sz w:val="20"/>
                <w:szCs w:val="20"/>
                <w:highlight w:val="none"/>
              </w:rPr>
            </w:pPr>
            <w:r>
              <w:rPr>
                <w:rFonts w:hint="eastAsia" w:cs="宋体"/>
                <w:color w:val="000000"/>
                <w:kern w:val="0"/>
                <w:sz w:val="20"/>
                <w:szCs w:val="20"/>
                <w:highlight w:val="none"/>
                <w:lang w:bidi="ar"/>
              </w:rPr>
              <w:t>33</w:t>
            </w:r>
          </w:p>
        </w:tc>
        <w:tc>
          <w:tcPr>
            <w:tcW w:w="1104" w:type="pct"/>
            <w:tcBorders>
              <w:top w:val="single" w:color="000000" w:sz="4" w:space="0"/>
              <w:left w:val="single" w:color="000000" w:sz="4" w:space="0"/>
              <w:bottom w:val="single" w:color="000000" w:sz="4" w:space="0"/>
              <w:right w:val="single" w:color="000000" w:sz="4" w:space="0"/>
            </w:tcBorders>
            <w:noWrap/>
            <w:vAlign w:val="center"/>
          </w:tcPr>
          <w:p w14:paraId="17105E6F">
            <w:pPr>
              <w:widowControl/>
              <w:spacing w:line="240" w:lineRule="auto"/>
              <w:ind w:firstLine="0" w:firstLineChars="0"/>
              <w:jc w:val="left"/>
              <w:textAlignment w:val="center"/>
              <w:rPr>
                <w:rFonts w:cs="宋体"/>
                <w:color w:val="000000"/>
                <w:sz w:val="20"/>
                <w:szCs w:val="20"/>
                <w:highlight w:val="none"/>
              </w:rPr>
            </w:pPr>
            <w:r>
              <w:rPr>
                <w:rFonts w:hint="eastAsia" w:cs="宋体"/>
                <w:color w:val="000000"/>
                <w:kern w:val="0"/>
                <w:sz w:val="20"/>
                <w:szCs w:val="20"/>
                <w:highlight w:val="none"/>
                <w:lang w:bidi="ar"/>
              </w:rPr>
              <w:t>综合指挥监管</w:t>
            </w:r>
          </w:p>
        </w:tc>
        <w:tc>
          <w:tcPr>
            <w:tcW w:w="1436" w:type="pct"/>
            <w:tcBorders>
              <w:top w:val="single" w:color="000000" w:sz="4" w:space="0"/>
              <w:left w:val="single" w:color="000000" w:sz="4" w:space="0"/>
              <w:bottom w:val="single" w:color="000000" w:sz="4" w:space="0"/>
              <w:right w:val="single" w:color="000000" w:sz="4" w:space="0"/>
            </w:tcBorders>
            <w:vAlign w:val="center"/>
          </w:tcPr>
          <w:p w14:paraId="7AE5E19A">
            <w:pPr>
              <w:widowControl/>
              <w:spacing w:line="240" w:lineRule="auto"/>
              <w:ind w:firstLine="0" w:firstLineChars="0"/>
              <w:jc w:val="center"/>
              <w:textAlignment w:val="center"/>
              <w:rPr>
                <w:rFonts w:cs="宋体"/>
                <w:color w:val="000000"/>
                <w:sz w:val="20"/>
                <w:szCs w:val="20"/>
                <w:highlight w:val="none"/>
              </w:rPr>
            </w:pPr>
            <w:r>
              <w:rPr>
                <w:rFonts w:hint="eastAsia" w:cs="宋体"/>
                <w:color w:val="000000"/>
                <w:kern w:val="0"/>
                <w:sz w:val="20"/>
                <w:szCs w:val="20"/>
                <w:highlight w:val="none"/>
                <w:lang w:bidi="ar"/>
              </w:rPr>
              <w:t>管执联动综合监管（新建）-执法建议</w:t>
            </w:r>
          </w:p>
        </w:tc>
        <w:tc>
          <w:tcPr>
            <w:tcW w:w="1998" w:type="pct"/>
            <w:tcBorders>
              <w:top w:val="single" w:color="000000" w:sz="4" w:space="0"/>
              <w:left w:val="single" w:color="000000" w:sz="4" w:space="0"/>
              <w:bottom w:val="single" w:color="000000" w:sz="4" w:space="0"/>
              <w:right w:val="single" w:color="000000" w:sz="4" w:space="0"/>
            </w:tcBorders>
            <w:vAlign w:val="center"/>
          </w:tcPr>
          <w:p w14:paraId="0DB2FC51">
            <w:pPr>
              <w:widowControl/>
              <w:spacing w:line="240" w:lineRule="auto"/>
              <w:ind w:firstLine="0" w:firstLineChars="0"/>
              <w:jc w:val="left"/>
              <w:textAlignment w:val="center"/>
              <w:rPr>
                <w:rFonts w:cs="宋体"/>
                <w:color w:val="000000"/>
                <w:sz w:val="20"/>
                <w:szCs w:val="20"/>
                <w:highlight w:val="none"/>
              </w:rPr>
            </w:pPr>
            <w:r>
              <w:rPr>
                <w:rFonts w:hint="eastAsia" w:cs="宋体"/>
                <w:color w:val="000000"/>
                <w:kern w:val="0"/>
                <w:sz w:val="20"/>
                <w:szCs w:val="20"/>
                <w:highlight w:val="none"/>
                <w:lang w:bidi="ar"/>
              </w:rPr>
              <w:t>将行政执法检查情况和发现的问题进行分类，形成月度管理建议并支持明细进行统计与导出。</w:t>
            </w:r>
          </w:p>
        </w:tc>
      </w:tr>
      <w:tr w14:paraId="40F1E5DD">
        <w:tblPrEx>
          <w:tblCellMar>
            <w:top w:w="0" w:type="dxa"/>
            <w:left w:w="108" w:type="dxa"/>
            <w:bottom w:w="0" w:type="dxa"/>
            <w:right w:w="108" w:type="dxa"/>
          </w:tblCellMar>
        </w:tblPrEx>
        <w:trPr>
          <w:trHeight w:val="520" w:hRule="atLeast"/>
        </w:trPr>
        <w:tc>
          <w:tcPr>
            <w:tcW w:w="460" w:type="pct"/>
            <w:tcBorders>
              <w:top w:val="single" w:color="000000" w:sz="4" w:space="0"/>
              <w:left w:val="single" w:color="000000" w:sz="4" w:space="0"/>
              <w:bottom w:val="single" w:color="000000" w:sz="4" w:space="0"/>
              <w:right w:val="single" w:color="000000" w:sz="4" w:space="0"/>
            </w:tcBorders>
            <w:noWrap/>
            <w:vAlign w:val="center"/>
          </w:tcPr>
          <w:p w14:paraId="46FF38D8">
            <w:pPr>
              <w:widowControl/>
              <w:spacing w:line="240" w:lineRule="auto"/>
              <w:ind w:firstLine="0" w:firstLineChars="0"/>
              <w:jc w:val="center"/>
              <w:textAlignment w:val="center"/>
              <w:rPr>
                <w:rFonts w:cs="宋体"/>
                <w:color w:val="000000"/>
                <w:sz w:val="20"/>
                <w:szCs w:val="20"/>
                <w:highlight w:val="none"/>
              </w:rPr>
            </w:pPr>
            <w:r>
              <w:rPr>
                <w:rFonts w:hint="eastAsia" w:cs="宋体"/>
                <w:color w:val="000000"/>
                <w:kern w:val="0"/>
                <w:sz w:val="20"/>
                <w:szCs w:val="20"/>
                <w:highlight w:val="none"/>
                <w:lang w:bidi="ar"/>
              </w:rPr>
              <w:t>34</w:t>
            </w:r>
          </w:p>
        </w:tc>
        <w:tc>
          <w:tcPr>
            <w:tcW w:w="1104" w:type="pct"/>
            <w:tcBorders>
              <w:top w:val="single" w:color="000000" w:sz="4" w:space="0"/>
              <w:left w:val="single" w:color="000000" w:sz="4" w:space="0"/>
              <w:bottom w:val="single" w:color="000000" w:sz="4" w:space="0"/>
              <w:right w:val="single" w:color="000000" w:sz="4" w:space="0"/>
            </w:tcBorders>
            <w:noWrap/>
            <w:vAlign w:val="center"/>
          </w:tcPr>
          <w:p w14:paraId="4F382427">
            <w:pPr>
              <w:widowControl/>
              <w:spacing w:line="240" w:lineRule="auto"/>
              <w:ind w:firstLine="0" w:firstLineChars="0"/>
              <w:jc w:val="left"/>
              <w:textAlignment w:val="center"/>
              <w:rPr>
                <w:rFonts w:cs="宋体"/>
                <w:color w:val="000000"/>
                <w:sz w:val="20"/>
                <w:szCs w:val="20"/>
                <w:highlight w:val="none"/>
              </w:rPr>
            </w:pPr>
            <w:r>
              <w:rPr>
                <w:rFonts w:hint="eastAsia" w:cs="宋体"/>
                <w:color w:val="000000"/>
                <w:kern w:val="0"/>
                <w:sz w:val="20"/>
                <w:szCs w:val="20"/>
                <w:highlight w:val="none"/>
                <w:lang w:bidi="ar"/>
              </w:rPr>
              <w:t>综合指挥监管</w:t>
            </w:r>
          </w:p>
        </w:tc>
        <w:tc>
          <w:tcPr>
            <w:tcW w:w="1436" w:type="pct"/>
            <w:tcBorders>
              <w:top w:val="single" w:color="000000" w:sz="4" w:space="0"/>
              <w:left w:val="single" w:color="000000" w:sz="4" w:space="0"/>
              <w:bottom w:val="single" w:color="000000" w:sz="4" w:space="0"/>
              <w:right w:val="single" w:color="000000" w:sz="4" w:space="0"/>
            </w:tcBorders>
            <w:vAlign w:val="center"/>
          </w:tcPr>
          <w:p w14:paraId="295A1AC8">
            <w:pPr>
              <w:widowControl/>
              <w:spacing w:line="240" w:lineRule="auto"/>
              <w:ind w:firstLine="0" w:firstLineChars="0"/>
              <w:jc w:val="center"/>
              <w:textAlignment w:val="center"/>
              <w:rPr>
                <w:rFonts w:cs="宋体"/>
                <w:color w:val="000000"/>
                <w:sz w:val="20"/>
                <w:szCs w:val="20"/>
                <w:highlight w:val="none"/>
              </w:rPr>
            </w:pPr>
            <w:r>
              <w:rPr>
                <w:rFonts w:hint="eastAsia" w:cs="宋体"/>
                <w:color w:val="000000"/>
                <w:kern w:val="0"/>
                <w:sz w:val="20"/>
                <w:szCs w:val="20"/>
                <w:highlight w:val="none"/>
                <w:lang w:bidi="ar"/>
              </w:rPr>
              <w:t>管执联动综合监管（新建）-管执联动信息提示</w:t>
            </w:r>
          </w:p>
        </w:tc>
        <w:tc>
          <w:tcPr>
            <w:tcW w:w="1998" w:type="pct"/>
            <w:tcBorders>
              <w:top w:val="single" w:color="000000" w:sz="4" w:space="0"/>
              <w:left w:val="single" w:color="000000" w:sz="4" w:space="0"/>
              <w:bottom w:val="single" w:color="000000" w:sz="4" w:space="0"/>
              <w:right w:val="single" w:color="000000" w:sz="4" w:space="0"/>
            </w:tcBorders>
            <w:vAlign w:val="center"/>
          </w:tcPr>
          <w:p w14:paraId="07770D66">
            <w:pPr>
              <w:widowControl/>
              <w:spacing w:line="240" w:lineRule="auto"/>
              <w:ind w:firstLine="0" w:firstLineChars="0"/>
              <w:jc w:val="left"/>
              <w:textAlignment w:val="center"/>
              <w:rPr>
                <w:rFonts w:cs="宋体"/>
                <w:color w:val="000000"/>
                <w:sz w:val="20"/>
                <w:szCs w:val="20"/>
                <w:highlight w:val="none"/>
              </w:rPr>
            </w:pPr>
            <w:r>
              <w:rPr>
                <w:rFonts w:hint="eastAsia" w:cs="宋体"/>
                <w:color w:val="000000"/>
                <w:kern w:val="0"/>
                <w:sz w:val="20"/>
                <w:szCs w:val="20"/>
                <w:highlight w:val="none"/>
                <w:lang w:bidi="ar"/>
              </w:rPr>
              <w:t>针对装饰装修管执联动、户外广告管执联动，实现任务预警。</w:t>
            </w:r>
          </w:p>
        </w:tc>
      </w:tr>
      <w:tr w14:paraId="41200E6A">
        <w:tblPrEx>
          <w:tblCellMar>
            <w:top w:w="0" w:type="dxa"/>
            <w:left w:w="108" w:type="dxa"/>
            <w:bottom w:w="0" w:type="dxa"/>
            <w:right w:w="108" w:type="dxa"/>
          </w:tblCellMar>
        </w:tblPrEx>
        <w:trPr>
          <w:trHeight w:val="520" w:hRule="atLeast"/>
        </w:trPr>
        <w:tc>
          <w:tcPr>
            <w:tcW w:w="460" w:type="pct"/>
            <w:tcBorders>
              <w:top w:val="single" w:color="000000" w:sz="4" w:space="0"/>
              <w:left w:val="single" w:color="000000" w:sz="4" w:space="0"/>
              <w:bottom w:val="single" w:color="000000" w:sz="4" w:space="0"/>
              <w:right w:val="single" w:color="000000" w:sz="4" w:space="0"/>
            </w:tcBorders>
            <w:noWrap/>
            <w:vAlign w:val="center"/>
          </w:tcPr>
          <w:p w14:paraId="047E5905">
            <w:pPr>
              <w:widowControl/>
              <w:spacing w:line="240" w:lineRule="auto"/>
              <w:ind w:firstLine="0" w:firstLineChars="0"/>
              <w:jc w:val="center"/>
              <w:textAlignment w:val="center"/>
              <w:rPr>
                <w:rFonts w:cs="宋体"/>
                <w:color w:val="000000"/>
                <w:sz w:val="20"/>
                <w:szCs w:val="20"/>
                <w:highlight w:val="none"/>
              </w:rPr>
            </w:pPr>
            <w:r>
              <w:rPr>
                <w:rFonts w:hint="eastAsia" w:cs="宋体"/>
                <w:color w:val="000000"/>
                <w:kern w:val="0"/>
                <w:sz w:val="20"/>
                <w:szCs w:val="20"/>
                <w:highlight w:val="none"/>
                <w:lang w:bidi="ar"/>
              </w:rPr>
              <w:t>35</w:t>
            </w:r>
          </w:p>
        </w:tc>
        <w:tc>
          <w:tcPr>
            <w:tcW w:w="1104" w:type="pct"/>
            <w:tcBorders>
              <w:top w:val="single" w:color="000000" w:sz="4" w:space="0"/>
              <w:left w:val="single" w:color="000000" w:sz="4" w:space="0"/>
              <w:bottom w:val="single" w:color="000000" w:sz="4" w:space="0"/>
              <w:right w:val="single" w:color="000000" w:sz="4" w:space="0"/>
            </w:tcBorders>
            <w:noWrap/>
            <w:vAlign w:val="center"/>
          </w:tcPr>
          <w:p w14:paraId="07A0263D">
            <w:pPr>
              <w:widowControl/>
              <w:spacing w:line="240" w:lineRule="auto"/>
              <w:ind w:firstLine="0" w:firstLineChars="0"/>
              <w:jc w:val="left"/>
              <w:textAlignment w:val="center"/>
              <w:rPr>
                <w:rFonts w:cs="宋体"/>
                <w:color w:val="000000"/>
                <w:sz w:val="20"/>
                <w:szCs w:val="20"/>
                <w:highlight w:val="none"/>
              </w:rPr>
            </w:pPr>
            <w:r>
              <w:rPr>
                <w:rFonts w:hint="eastAsia" w:cs="宋体"/>
                <w:color w:val="000000"/>
                <w:kern w:val="0"/>
                <w:sz w:val="20"/>
                <w:szCs w:val="20"/>
                <w:highlight w:val="none"/>
                <w:lang w:bidi="ar"/>
              </w:rPr>
              <w:t>综合指挥监管</w:t>
            </w:r>
          </w:p>
        </w:tc>
        <w:tc>
          <w:tcPr>
            <w:tcW w:w="1436" w:type="pct"/>
            <w:tcBorders>
              <w:top w:val="single" w:color="000000" w:sz="4" w:space="0"/>
              <w:left w:val="single" w:color="000000" w:sz="4" w:space="0"/>
              <w:bottom w:val="single" w:color="000000" w:sz="4" w:space="0"/>
              <w:right w:val="single" w:color="000000" w:sz="4" w:space="0"/>
            </w:tcBorders>
            <w:vAlign w:val="center"/>
          </w:tcPr>
          <w:p w14:paraId="2D32ACC9">
            <w:pPr>
              <w:widowControl/>
              <w:spacing w:line="240" w:lineRule="auto"/>
              <w:ind w:firstLine="0" w:firstLineChars="0"/>
              <w:jc w:val="center"/>
              <w:textAlignment w:val="center"/>
              <w:rPr>
                <w:rFonts w:cs="宋体"/>
                <w:color w:val="000000"/>
                <w:sz w:val="20"/>
                <w:szCs w:val="20"/>
                <w:highlight w:val="none"/>
              </w:rPr>
            </w:pPr>
            <w:r>
              <w:rPr>
                <w:rFonts w:hint="eastAsia" w:cs="宋体"/>
                <w:color w:val="000000"/>
                <w:kern w:val="0"/>
                <w:sz w:val="20"/>
                <w:szCs w:val="20"/>
                <w:highlight w:val="none"/>
                <w:lang w:bidi="ar"/>
              </w:rPr>
              <w:t>智能案件监督（新建）-合法性智能评查-主体与事实审查</w:t>
            </w:r>
          </w:p>
        </w:tc>
        <w:tc>
          <w:tcPr>
            <w:tcW w:w="1998" w:type="pct"/>
            <w:tcBorders>
              <w:top w:val="single" w:color="000000" w:sz="4" w:space="0"/>
              <w:left w:val="single" w:color="000000" w:sz="4" w:space="0"/>
              <w:bottom w:val="single" w:color="000000" w:sz="4" w:space="0"/>
              <w:right w:val="single" w:color="000000" w:sz="4" w:space="0"/>
            </w:tcBorders>
            <w:vAlign w:val="center"/>
          </w:tcPr>
          <w:p w14:paraId="5526F51D">
            <w:pPr>
              <w:widowControl/>
              <w:spacing w:line="240" w:lineRule="auto"/>
              <w:ind w:firstLine="0" w:firstLineChars="0"/>
              <w:jc w:val="left"/>
              <w:textAlignment w:val="center"/>
              <w:rPr>
                <w:rFonts w:cs="宋体"/>
                <w:color w:val="000000"/>
                <w:sz w:val="20"/>
                <w:szCs w:val="20"/>
                <w:highlight w:val="none"/>
              </w:rPr>
            </w:pPr>
            <w:r>
              <w:rPr>
                <w:rFonts w:hint="eastAsia" w:cs="宋体"/>
                <w:color w:val="000000"/>
                <w:kern w:val="0"/>
                <w:sz w:val="20"/>
                <w:szCs w:val="20"/>
                <w:highlight w:val="none"/>
                <w:lang w:bidi="ar"/>
              </w:rPr>
              <w:t>实现主体审查、事实审查。</w:t>
            </w:r>
          </w:p>
        </w:tc>
      </w:tr>
      <w:tr w14:paraId="4DB84D13">
        <w:tblPrEx>
          <w:tblCellMar>
            <w:top w:w="0" w:type="dxa"/>
            <w:left w:w="108" w:type="dxa"/>
            <w:bottom w:w="0" w:type="dxa"/>
            <w:right w:w="108" w:type="dxa"/>
          </w:tblCellMar>
        </w:tblPrEx>
        <w:trPr>
          <w:trHeight w:val="520" w:hRule="atLeast"/>
        </w:trPr>
        <w:tc>
          <w:tcPr>
            <w:tcW w:w="460" w:type="pct"/>
            <w:tcBorders>
              <w:top w:val="single" w:color="000000" w:sz="4" w:space="0"/>
              <w:left w:val="single" w:color="000000" w:sz="4" w:space="0"/>
              <w:bottom w:val="single" w:color="000000" w:sz="4" w:space="0"/>
              <w:right w:val="single" w:color="000000" w:sz="4" w:space="0"/>
            </w:tcBorders>
            <w:noWrap/>
            <w:vAlign w:val="center"/>
          </w:tcPr>
          <w:p w14:paraId="0718EC3D">
            <w:pPr>
              <w:widowControl/>
              <w:spacing w:line="240" w:lineRule="auto"/>
              <w:ind w:firstLine="0" w:firstLineChars="0"/>
              <w:jc w:val="center"/>
              <w:textAlignment w:val="center"/>
              <w:rPr>
                <w:rFonts w:cs="宋体"/>
                <w:color w:val="000000"/>
                <w:sz w:val="20"/>
                <w:szCs w:val="20"/>
                <w:highlight w:val="none"/>
              </w:rPr>
            </w:pPr>
            <w:r>
              <w:rPr>
                <w:rFonts w:hint="eastAsia" w:cs="宋体"/>
                <w:color w:val="000000"/>
                <w:kern w:val="0"/>
                <w:sz w:val="20"/>
                <w:szCs w:val="20"/>
                <w:highlight w:val="none"/>
                <w:lang w:bidi="ar"/>
              </w:rPr>
              <w:t>36</w:t>
            </w:r>
          </w:p>
        </w:tc>
        <w:tc>
          <w:tcPr>
            <w:tcW w:w="1104" w:type="pct"/>
            <w:tcBorders>
              <w:top w:val="single" w:color="000000" w:sz="4" w:space="0"/>
              <w:left w:val="single" w:color="000000" w:sz="4" w:space="0"/>
              <w:bottom w:val="single" w:color="000000" w:sz="4" w:space="0"/>
              <w:right w:val="single" w:color="000000" w:sz="4" w:space="0"/>
            </w:tcBorders>
            <w:noWrap/>
            <w:vAlign w:val="center"/>
          </w:tcPr>
          <w:p w14:paraId="54C296E5">
            <w:pPr>
              <w:widowControl/>
              <w:spacing w:line="240" w:lineRule="auto"/>
              <w:ind w:firstLine="0" w:firstLineChars="0"/>
              <w:jc w:val="left"/>
              <w:textAlignment w:val="center"/>
              <w:rPr>
                <w:rFonts w:cs="宋体"/>
                <w:color w:val="000000"/>
                <w:sz w:val="20"/>
                <w:szCs w:val="20"/>
                <w:highlight w:val="none"/>
              </w:rPr>
            </w:pPr>
            <w:r>
              <w:rPr>
                <w:rFonts w:hint="eastAsia" w:cs="宋体"/>
                <w:color w:val="000000"/>
                <w:kern w:val="0"/>
                <w:sz w:val="20"/>
                <w:szCs w:val="20"/>
                <w:highlight w:val="none"/>
                <w:lang w:bidi="ar"/>
              </w:rPr>
              <w:t>综合指挥监管</w:t>
            </w:r>
          </w:p>
        </w:tc>
        <w:tc>
          <w:tcPr>
            <w:tcW w:w="1436" w:type="pct"/>
            <w:tcBorders>
              <w:top w:val="single" w:color="000000" w:sz="4" w:space="0"/>
              <w:left w:val="single" w:color="000000" w:sz="4" w:space="0"/>
              <w:bottom w:val="single" w:color="000000" w:sz="4" w:space="0"/>
              <w:right w:val="single" w:color="000000" w:sz="4" w:space="0"/>
            </w:tcBorders>
            <w:vAlign w:val="center"/>
          </w:tcPr>
          <w:p w14:paraId="16F4D7D1">
            <w:pPr>
              <w:widowControl/>
              <w:spacing w:line="240" w:lineRule="auto"/>
              <w:ind w:firstLine="0" w:firstLineChars="0"/>
              <w:jc w:val="center"/>
              <w:textAlignment w:val="center"/>
              <w:rPr>
                <w:rFonts w:cs="宋体"/>
                <w:color w:val="000000"/>
                <w:sz w:val="20"/>
                <w:szCs w:val="20"/>
                <w:highlight w:val="none"/>
              </w:rPr>
            </w:pPr>
            <w:r>
              <w:rPr>
                <w:rFonts w:hint="eastAsia" w:cs="宋体"/>
                <w:color w:val="000000"/>
                <w:kern w:val="0"/>
                <w:sz w:val="20"/>
                <w:szCs w:val="20"/>
                <w:highlight w:val="none"/>
                <w:lang w:bidi="ar"/>
              </w:rPr>
              <w:t>智能案件监督</w:t>
            </w:r>
            <w:r>
              <w:rPr>
                <w:rFonts w:hint="eastAsia" w:ascii="宋体" w:hAnsi="宋体" w:eastAsia="宋体" w:cs="宋体"/>
                <w:color w:val="000000"/>
                <w:kern w:val="0"/>
                <w:sz w:val="20"/>
                <w:szCs w:val="20"/>
                <w:highlight w:val="none"/>
                <w:lang w:bidi="ar"/>
              </w:rPr>
              <w:t>（</w:t>
            </w:r>
            <w:r>
              <w:rPr>
                <w:rFonts w:hint="eastAsia" w:ascii="宋体" w:hAnsi="宋体" w:eastAsia="宋体" w:cs="宋体"/>
                <w:color w:val="000000"/>
                <w:kern w:val="0"/>
                <w:sz w:val="20"/>
                <w:szCs w:val="20"/>
                <w:highlight w:val="none"/>
                <w:shd w:val="clear"/>
                <w:lang w:bidi="ar"/>
              </w:rPr>
              <w:t>新建</w:t>
            </w:r>
            <w:r>
              <w:rPr>
                <w:rFonts w:hint="eastAsia" w:ascii="宋体" w:hAnsi="宋体" w:eastAsia="宋体" w:cs="宋体"/>
                <w:color w:val="000000"/>
                <w:kern w:val="0"/>
                <w:sz w:val="20"/>
                <w:szCs w:val="20"/>
                <w:highlight w:val="none"/>
                <w:lang w:bidi="ar"/>
              </w:rPr>
              <w:t>）-</w:t>
            </w:r>
            <w:r>
              <w:rPr>
                <w:rFonts w:hint="eastAsia" w:cs="宋体"/>
                <w:color w:val="000000"/>
                <w:kern w:val="0"/>
                <w:sz w:val="20"/>
                <w:szCs w:val="20"/>
                <w:highlight w:val="none"/>
                <w:lang w:bidi="ar"/>
              </w:rPr>
              <w:t>合法性智能评查-法律依据审查</w:t>
            </w:r>
          </w:p>
        </w:tc>
        <w:tc>
          <w:tcPr>
            <w:tcW w:w="1998" w:type="pct"/>
            <w:tcBorders>
              <w:top w:val="single" w:color="000000" w:sz="4" w:space="0"/>
              <w:left w:val="single" w:color="000000" w:sz="4" w:space="0"/>
              <w:bottom w:val="single" w:color="000000" w:sz="4" w:space="0"/>
              <w:right w:val="single" w:color="000000" w:sz="4" w:space="0"/>
            </w:tcBorders>
            <w:vAlign w:val="center"/>
          </w:tcPr>
          <w:p w14:paraId="0C570010">
            <w:pPr>
              <w:widowControl/>
              <w:spacing w:line="240" w:lineRule="auto"/>
              <w:ind w:firstLine="0" w:firstLineChars="0"/>
              <w:jc w:val="left"/>
              <w:textAlignment w:val="center"/>
              <w:rPr>
                <w:rFonts w:cs="宋体"/>
                <w:color w:val="000000"/>
                <w:sz w:val="20"/>
                <w:szCs w:val="20"/>
                <w:highlight w:val="none"/>
              </w:rPr>
            </w:pPr>
            <w:r>
              <w:rPr>
                <w:rFonts w:hint="eastAsia" w:cs="宋体"/>
                <w:color w:val="000000"/>
                <w:kern w:val="0"/>
                <w:sz w:val="20"/>
                <w:szCs w:val="20"/>
                <w:highlight w:val="none"/>
                <w:lang w:bidi="ar"/>
              </w:rPr>
              <w:t>检查适用法律、法规、规章是否明显错误。</w:t>
            </w:r>
          </w:p>
        </w:tc>
      </w:tr>
      <w:tr w14:paraId="5F3B6E1D">
        <w:tblPrEx>
          <w:tblCellMar>
            <w:top w:w="0" w:type="dxa"/>
            <w:left w:w="108" w:type="dxa"/>
            <w:bottom w:w="0" w:type="dxa"/>
            <w:right w:w="108" w:type="dxa"/>
          </w:tblCellMar>
        </w:tblPrEx>
        <w:trPr>
          <w:trHeight w:val="780" w:hRule="atLeast"/>
        </w:trPr>
        <w:tc>
          <w:tcPr>
            <w:tcW w:w="460" w:type="pct"/>
            <w:tcBorders>
              <w:top w:val="single" w:color="000000" w:sz="4" w:space="0"/>
              <w:left w:val="single" w:color="000000" w:sz="4" w:space="0"/>
              <w:bottom w:val="single" w:color="000000" w:sz="4" w:space="0"/>
              <w:right w:val="single" w:color="000000" w:sz="4" w:space="0"/>
            </w:tcBorders>
            <w:noWrap/>
            <w:vAlign w:val="center"/>
          </w:tcPr>
          <w:p w14:paraId="17524035">
            <w:pPr>
              <w:widowControl/>
              <w:spacing w:line="240" w:lineRule="auto"/>
              <w:ind w:firstLine="0" w:firstLineChars="0"/>
              <w:jc w:val="center"/>
              <w:textAlignment w:val="center"/>
              <w:rPr>
                <w:rFonts w:cs="宋体"/>
                <w:color w:val="000000"/>
                <w:sz w:val="20"/>
                <w:szCs w:val="20"/>
                <w:highlight w:val="none"/>
              </w:rPr>
            </w:pPr>
            <w:r>
              <w:rPr>
                <w:rFonts w:hint="eastAsia" w:cs="宋体"/>
                <w:color w:val="000000"/>
                <w:kern w:val="0"/>
                <w:sz w:val="20"/>
                <w:szCs w:val="20"/>
                <w:highlight w:val="none"/>
                <w:lang w:bidi="ar"/>
              </w:rPr>
              <w:t>37</w:t>
            </w:r>
          </w:p>
        </w:tc>
        <w:tc>
          <w:tcPr>
            <w:tcW w:w="1104" w:type="pct"/>
            <w:tcBorders>
              <w:top w:val="single" w:color="000000" w:sz="4" w:space="0"/>
              <w:left w:val="single" w:color="000000" w:sz="4" w:space="0"/>
              <w:bottom w:val="single" w:color="000000" w:sz="4" w:space="0"/>
              <w:right w:val="single" w:color="000000" w:sz="4" w:space="0"/>
            </w:tcBorders>
            <w:noWrap/>
            <w:vAlign w:val="center"/>
          </w:tcPr>
          <w:p w14:paraId="7DC63B18">
            <w:pPr>
              <w:widowControl/>
              <w:spacing w:line="240" w:lineRule="auto"/>
              <w:ind w:firstLine="0" w:firstLineChars="0"/>
              <w:jc w:val="left"/>
              <w:textAlignment w:val="center"/>
              <w:rPr>
                <w:rFonts w:cs="宋体"/>
                <w:color w:val="000000"/>
                <w:sz w:val="20"/>
                <w:szCs w:val="20"/>
                <w:highlight w:val="none"/>
              </w:rPr>
            </w:pPr>
            <w:r>
              <w:rPr>
                <w:rFonts w:hint="eastAsia" w:cs="宋体"/>
                <w:color w:val="000000"/>
                <w:kern w:val="0"/>
                <w:sz w:val="20"/>
                <w:szCs w:val="20"/>
                <w:highlight w:val="none"/>
                <w:lang w:bidi="ar"/>
              </w:rPr>
              <w:t>综合指挥监管</w:t>
            </w:r>
          </w:p>
        </w:tc>
        <w:tc>
          <w:tcPr>
            <w:tcW w:w="1436" w:type="pct"/>
            <w:tcBorders>
              <w:top w:val="single" w:color="000000" w:sz="4" w:space="0"/>
              <w:left w:val="single" w:color="000000" w:sz="4" w:space="0"/>
              <w:bottom w:val="single" w:color="000000" w:sz="4" w:space="0"/>
              <w:right w:val="single" w:color="000000" w:sz="4" w:space="0"/>
            </w:tcBorders>
            <w:vAlign w:val="center"/>
          </w:tcPr>
          <w:p w14:paraId="7B6CB7DB">
            <w:pPr>
              <w:widowControl/>
              <w:spacing w:line="240" w:lineRule="auto"/>
              <w:ind w:firstLine="0" w:firstLineChars="0"/>
              <w:jc w:val="center"/>
              <w:textAlignment w:val="center"/>
              <w:rPr>
                <w:rFonts w:cs="宋体"/>
                <w:color w:val="000000"/>
                <w:sz w:val="20"/>
                <w:szCs w:val="20"/>
                <w:highlight w:val="none"/>
              </w:rPr>
            </w:pPr>
            <w:r>
              <w:rPr>
                <w:rFonts w:hint="eastAsia" w:cs="宋体"/>
                <w:color w:val="000000"/>
                <w:kern w:val="0"/>
                <w:sz w:val="20"/>
                <w:szCs w:val="20"/>
                <w:highlight w:val="none"/>
                <w:lang w:bidi="ar"/>
              </w:rPr>
              <w:t>智能案件监督（新建）-合法性智能评查-执法程序与裁量审查</w:t>
            </w:r>
          </w:p>
        </w:tc>
        <w:tc>
          <w:tcPr>
            <w:tcW w:w="1998" w:type="pct"/>
            <w:tcBorders>
              <w:top w:val="single" w:color="000000" w:sz="4" w:space="0"/>
              <w:left w:val="single" w:color="000000" w:sz="4" w:space="0"/>
              <w:bottom w:val="single" w:color="000000" w:sz="4" w:space="0"/>
              <w:right w:val="single" w:color="000000" w:sz="4" w:space="0"/>
            </w:tcBorders>
            <w:vAlign w:val="center"/>
          </w:tcPr>
          <w:p w14:paraId="739FD0F3">
            <w:pPr>
              <w:widowControl/>
              <w:spacing w:line="240" w:lineRule="auto"/>
              <w:ind w:firstLine="0" w:firstLineChars="0"/>
              <w:jc w:val="left"/>
              <w:textAlignment w:val="center"/>
              <w:rPr>
                <w:rFonts w:cs="宋体"/>
                <w:color w:val="000000"/>
                <w:sz w:val="20"/>
                <w:szCs w:val="20"/>
                <w:highlight w:val="none"/>
              </w:rPr>
            </w:pPr>
            <w:r>
              <w:rPr>
                <w:rFonts w:hint="eastAsia" w:cs="宋体"/>
                <w:color w:val="000000"/>
                <w:kern w:val="0"/>
                <w:sz w:val="20"/>
                <w:szCs w:val="20"/>
                <w:highlight w:val="none"/>
                <w:lang w:bidi="ar"/>
              </w:rPr>
              <w:t>实现执法程序审查、裁量审查。</w:t>
            </w:r>
          </w:p>
        </w:tc>
      </w:tr>
      <w:tr w14:paraId="5F990670">
        <w:tblPrEx>
          <w:tblCellMar>
            <w:top w:w="0" w:type="dxa"/>
            <w:left w:w="108" w:type="dxa"/>
            <w:bottom w:w="0" w:type="dxa"/>
            <w:right w:w="108" w:type="dxa"/>
          </w:tblCellMar>
        </w:tblPrEx>
        <w:trPr>
          <w:trHeight w:val="780" w:hRule="atLeast"/>
        </w:trPr>
        <w:tc>
          <w:tcPr>
            <w:tcW w:w="460" w:type="pct"/>
            <w:tcBorders>
              <w:top w:val="single" w:color="000000" w:sz="4" w:space="0"/>
              <w:left w:val="single" w:color="000000" w:sz="4" w:space="0"/>
              <w:bottom w:val="single" w:color="000000" w:sz="4" w:space="0"/>
              <w:right w:val="single" w:color="000000" w:sz="4" w:space="0"/>
            </w:tcBorders>
            <w:noWrap/>
            <w:vAlign w:val="center"/>
          </w:tcPr>
          <w:p w14:paraId="273F7245">
            <w:pPr>
              <w:widowControl/>
              <w:spacing w:line="240" w:lineRule="auto"/>
              <w:ind w:firstLine="0" w:firstLineChars="0"/>
              <w:jc w:val="center"/>
              <w:textAlignment w:val="center"/>
              <w:rPr>
                <w:rFonts w:cs="宋体"/>
                <w:color w:val="000000"/>
                <w:sz w:val="20"/>
                <w:szCs w:val="20"/>
                <w:highlight w:val="none"/>
              </w:rPr>
            </w:pPr>
            <w:r>
              <w:rPr>
                <w:rFonts w:hint="eastAsia" w:cs="宋体"/>
                <w:color w:val="000000"/>
                <w:kern w:val="0"/>
                <w:sz w:val="20"/>
                <w:szCs w:val="20"/>
                <w:highlight w:val="none"/>
                <w:lang w:bidi="ar"/>
              </w:rPr>
              <w:t>38</w:t>
            </w:r>
          </w:p>
        </w:tc>
        <w:tc>
          <w:tcPr>
            <w:tcW w:w="1104" w:type="pct"/>
            <w:tcBorders>
              <w:top w:val="single" w:color="000000" w:sz="4" w:space="0"/>
              <w:left w:val="single" w:color="000000" w:sz="4" w:space="0"/>
              <w:bottom w:val="single" w:color="000000" w:sz="4" w:space="0"/>
              <w:right w:val="single" w:color="000000" w:sz="4" w:space="0"/>
            </w:tcBorders>
            <w:noWrap/>
            <w:vAlign w:val="center"/>
          </w:tcPr>
          <w:p w14:paraId="62C10B4F">
            <w:pPr>
              <w:widowControl/>
              <w:spacing w:line="240" w:lineRule="auto"/>
              <w:ind w:firstLine="0" w:firstLineChars="0"/>
              <w:jc w:val="left"/>
              <w:textAlignment w:val="center"/>
              <w:rPr>
                <w:rFonts w:cs="宋体"/>
                <w:color w:val="000000"/>
                <w:sz w:val="20"/>
                <w:szCs w:val="20"/>
                <w:highlight w:val="none"/>
              </w:rPr>
            </w:pPr>
            <w:r>
              <w:rPr>
                <w:rFonts w:hint="eastAsia" w:cs="宋体"/>
                <w:color w:val="000000"/>
                <w:kern w:val="0"/>
                <w:sz w:val="20"/>
                <w:szCs w:val="20"/>
                <w:highlight w:val="none"/>
                <w:lang w:bidi="ar"/>
              </w:rPr>
              <w:t>综合指挥监管</w:t>
            </w:r>
          </w:p>
        </w:tc>
        <w:tc>
          <w:tcPr>
            <w:tcW w:w="1436" w:type="pct"/>
            <w:tcBorders>
              <w:top w:val="single" w:color="000000" w:sz="4" w:space="0"/>
              <w:left w:val="single" w:color="000000" w:sz="4" w:space="0"/>
              <w:bottom w:val="single" w:color="000000" w:sz="4" w:space="0"/>
              <w:right w:val="single" w:color="000000" w:sz="4" w:space="0"/>
            </w:tcBorders>
            <w:vAlign w:val="center"/>
          </w:tcPr>
          <w:p w14:paraId="0A640FC8">
            <w:pPr>
              <w:widowControl/>
              <w:spacing w:line="240" w:lineRule="auto"/>
              <w:ind w:firstLine="0" w:firstLineChars="0"/>
              <w:jc w:val="center"/>
              <w:textAlignment w:val="center"/>
              <w:rPr>
                <w:rFonts w:cs="宋体"/>
                <w:color w:val="000000"/>
                <w:sz w:val="20"/>
                <w:szCs w:val="20"/>
                <w:highlight w:val="none"/>
              </w:rPr>
            </w:pPr>
            <w:r>
              <w:rPr>
                <w:rFonts w:hint="eastAsia" w:cs="宋体"/>
                <w:color w:val="000000"/>
                <w:kern w:val="0"/>
                <w:sz w:val="20"/>
                <w:szCs w:val="20"/>
                <w:highlight w:val="none"/>
                <w:lang w:bidi="ar"/>
              </w:rPr>
              <w:t>智能案件监督（新建）-规范性智能评查-调查取证</w:t>
            </w:r>
          </w:p>
        </w:tc>
        <w:tc>
          <w:tcPr>
            <w:tcW w:w="1998" w:type="pct"/>
            <w:tcBorders>
              <w:top w:val="single" w:color="000000" w:sz="4" w:space="0"/>
              <w:left w:val="single" w:color="000000" w:sz="4" w:space="0"/>
              <w:bottom w:val="single" w:color="000000" w:sz="4" w:space="0"/>
              <w:right w:val="single" w:color="000000" w:sz="4" w:space="0"/>
            </w:tcBorders>
            <w:vAlign w:val="center"/>
          </w:tcPr>
          <w:p w14:paraId="5AFFB69A">
            <w:pPr>
              <w:widowControl/>
              <w:spacing w:line="240" w:lineRule="auto"/>
              <w:ind w:firstLine="0" w:firstLineChars="0"/>
              <w:jc w:val="left"/>
              <w:textAlignment w:val="center"/>
              <w:rPr>
                <w:rFonts w:cs="宋体"/>
                <w:color w:val="000000"/>
                <w:sz w:val="20"/>
                <w:szCs w:val="20"/>
                <w:highlight w:val="none"/>
              </w:rPr>
            </w:pPr>
            <w:r>
              <w:rPr>
                <w:rFonts w:hint="eastAsia" w:cs="宋体"/>
                <w:color w:val="000000"/>
                <w:kern w:val="0"/>
                <w:sz w:val="20"/>
                <w:szCs w:val="20"/>
                <w:highlight w:val="none"/>
                <w:lang w:bidi="ar"/>
              </w:rPr>
              <w:t>检查违法主体与处罚对象的一致性、证据照片的数量质量与信息完整性，以及询问笔录的规范性与逻辑合理性，确保执法程序的合规性。</w:t>
            </w:r>
          </w:p>
        </w:tc>
      </w:tr>
      <w:tr w14:paraId="6F4E8BA1">
        <w:tblPrEx>
          <w:tblCellMar>
            <w:top w:w="0" w:type="dxa"/>
            <w:left w:w="108" w:type="dxa"/>
            <w:bottom w:w="0" w:type="dxa"/>
            <w:right w:w="108" w:type="dxa"/>
          </w:tblCellMar>
        </w:tblPrEx>
        <w:trPr>
          <w:trHeight w:val="520" w:hRule="atLeast"/>
        </w:trPr>
        <w:tc>
          <w:tcPr>
            <w:tcW w:w="460" w:type="pct"/>
            <w:tcBorders>
              <w:top w:val="single" w:color="000000" w:sz="4" w:space="0"/>
              <w:left w:val="single" w:color="000000" w:sz="4" w:space="0"/>
              <w:bottom w:val="single" w:color="000000" w:sz="4" w:space="0"/>
              <w:right w:val="single" w:color="000000" w:sz="4" w:space="0"/>
            </w:tcBorders>
            <w:noWrap/>
            <w:vAlign w:val="center"/>
          </w:tcPr>
          <w:p w14:paraId="35789149">
            <w:pPr>
              <w:widowControl/>
              <w:spacing w:line="240" w:lineRule="auto"/>
              <w:ind w:firstLine="0" w:firstLineChars="0"/>
              <w:jc w:val="center"/>
              <w:textAlignment w:val="center"/>
              <w:rPr>
                <w:rFonts w:cs="宋体"/>
                <w:color w:val="000000"/>
                <w:sz w:val="20"/>
                <w:szCs w:val="20"/>
                <w:highlight w:val="none"/>
              </w:rPr>
            </w:pPr>
            <w:r>
              <w:rPr>
                <w:rFonts w:hint="eastAsia" w:cs="宋体"/>
                <w:color w:val="000000"/>
                <w:kern w:val="0"/>
                <w:sz w:val="20"/>
                <w:szCs w:val="20"/>
                <w:highlight w:val="none"/>
                <w:lang w:bidi="ar"/>
              </w:rPr>
              <w:t>39</w:t>
            </w:r>
          </w:p>
        </w:tc>
        <w:tc>
          <w:tcPr>
            <w:tcW w:w="1104" w:type="pct"/>
            <w:tcBorders>
              <w:top w:val="single" w:color="000000" w:sz="4" w:space="0"/>
              <w:left w:val="single" w:color="000000" w:sz="4" w:space="0"/>
              <w:bottom w:val="single" w:color="000000" w:sz="4" w:space="0"/>
              <w:right w:val="single" w:color="000000" w:sz="4" w:space="0"/>
            </w:tcBorders>
            <w:noWrap/>
            <w:vAlign w:val="center"/>
          </w:tcPr>
          <w:p w14:paraId="3F91611B">
            <w:pPr>
              <w:widowControl/>
              <w:spacing w:line="240" w:lineRule="auto"/>
              <w:ind w:firstLine="0" w:firstLineChars="0"/>
              <w:jc w:val="left"/>
              <w:textAlignment w:val="center"/>
              <w:rPr>
                <w:rFonts w:cs="宋体"/>
                <w:color w:val="000000"/>
                <w:sz w:val="20"/>
                <w:szCs w:val="20"/>
                <w:highlight w:val="none"/>
              </w:rPr>
            </w:pPr>
            <w:r>
              <w:rPr>
                <w:rFonts w:hint="eastAsia" w:cs="宋体"/>
                <w:color w:val="000000"/>
                <w:kern w:val="0"/>
                <w:sz w:val="20"/>
                <w:szCs w:val="20"/>
                <w:highlight w:val="none"/>
                <w:lang w:bidi="ar"/>
              </w:rPr>
              <w:t>综合指挥监管</w:t>
            </w:r>
          </w:p>
        </w:tc>
        <w:tc>
          <w:tcPr>
            <w:tcW w:w="1436" w:type="pct"/>
            <w:tcBorders>
              <w:top w:val="single" w:color="000000" w:sz="4" w:space="0"/>
              <w:left w:val="single" w:color="000000" w:sz="4" w:space="0"/>
              <w:bottom w:val="single" w:color="000000" w:sz="4" w:space="0"/>
              <w:right w:val="single" w:color="000000" w:sz="4" w:space="0"/>
            </w:tcBorders>
            <w:vAlign w:val="center"/>
          </w:tcPr>
          <w:p w14:paraId="3F20D031">
            <w:pPr>
              <w:widowControl/>
              <w:spacing w:line="240" w:lineRule="auto"/>
              <w:ind w:firstLine="0" w:firstLineChars="0"/>
              <w:jc w:val="center"/>
              <w:textAlignment w:val="center"/>
              <w:rPr>
                <w:rFonts w:cs="宋体"/>
                <w:color w:val="000000"/>
                <w:sz w:val="20"/>
                <w:szCs w:val="20"/>
                <w:highlight w:val="none"/>
              </w:rPr>
            </w:pPr>
            <w:r>
              <w:rPr>
                <w:rFonts w:hint="eastAsia" w:cs="宋体"/>
                <w:color w:val="000000"/>
                <w:kern w:val="0"/>
                <w:sz w:val="20"/>
                <w:szCs w:val="20"/>
                <w:highlight w:val="none"/>
                <w:lang w:bidi="ar"/>
              </w:rPr>
              <w:t>智能案件监督（新建）-规范性智能评查-文书制作审查</w:t>
            </w:r>
          </w:p>
        </w:tc>
        <w:tc>
          <w:tcPr>
            <w:tcW w:w="1998" w:type="pct"/>
            <w:tcBorders>
              <w:top w:val="single" w:color="000000" w:sz="4" w:space="0"/>
              <w:left w:val="single" w:color="000000" w:sz="4" w:space="0"/>
              <w:bottom w:val="single" w:color="000000" w:sz="4" w:space="0"/>
              <w:right w:val="single" w:color="000000" w:sz="4" w:space="0"/>
            </w:tcBorders>
            <w:vAlign w:val="center"/>
          </w:tcPr>
          <w:p w14:paraId="5ED774AD">
            <w:pPr>
              <w:widowControl/>
              <w:spacing w:line="240" w:lineRule="auto"/>
              <w:ind w:firstLine="0" w:firstLineChars="0"/>
              <w:jc w:val="left"/>
              <w:textAlignment w:val="center"/>
              <w:rPr>
                <w:rFonts w:cs="宋体"/>
                <w:color w:val="000000"/>
                <w:sz w:val="20"/>
                <w:szCs w:val="20"/>
                <w:highlight w:val="none"/>
              </w:rPr>
            </w:pPr>
            <w:r>
              <w:rPr>
                <w:rFonts w:hint="eastAsia" w:cs="宋体"/>
                <w:color w:val="000000"/>
                <w:kern w:val="0"/>
                <w:sz w:val="20"/>
                <w:szCs w:val="20"/>
                <w:highlight w:val="none"/>
                <w:lang w:bidi="ar"/>
              </w:rPr>
              <w:t>检查对外使用文书适用的法律名称是否规范，法律依据是否写明具体的条、款、项、目。</w:t>
            </w:r>
          </w:p>
        </w:tc>
      </w:tr>
      <w:tr w14:paraId="6FF39C05">
        <w:tblPrEx>
          <w:tblCellMar>
            <w:top w:w="0" w:type="dxa"/>
            <w:left w:w="108" w:type="dxa"/>
            <w:bottom w:w="0" w:type="dxa"/>
            <w:right w:w="108" w:type="dxa"/>
          </w:tblCellMar>
        </w:tblPrEx>
        <w:trPr>
          <w:trHeight w:val="780" w:hRule="atLeast"/>
        </w:trPr>
        <w:tc>
          <w:tcPr>
            <w:tcW w:w="460" w:type="pct"/>
            <w:tcBorders>
              <w:top w:val="single" w:color="000000" w:sz="4" w:space="0"/>
              <w:left w:val="single" w:color="000000" w:sz="4" w:space="0"/>
              <w:bottom w:val="single" w:color="000000" w:sz="4" w:space="0"/>
              <w:right w:val="single" w:color="000000" w:sz="4" w:space="0"/>
            </w:tcBorders>
            <w:noWrap/>
            <w:vAlign w:val="center"/>
          </w:tcPr>
          <w:p w14:paraId="66138C67">
            <w:pPr>
              <w:widowControl/>
              <w:spacing w:line="240" w:lineRule="auto"/>
              <w:ind w:firstLine="0" w:firstLineChars="0"/>
              <w:jc w:val="center"/>
              <w:textAlignment w:val="center"/>
              <w:rPr>
                <w:rFonts w:cs="宋体"/>
                <w:color w:val="000000"/>
                <w:sz w:val="20"/>
                <w:szCs w:val="20"/>
                <w:highlight w:val="none"/>
              </w:rPr>
            </w:pPr>
            <w:r>
              <w:rPr>
                <w:rFonts w:hint="eastAsia" w:cs="宋体"/>
                <w:color w:val="000000"/>
                <w:kern w:val="0"/>
                <w:sz w:val="20"/>
                <w:szCs w:val="20"/>
                <w:highlight w:val="none"/>
                <w:lang w:bidi="ar"/>
              </w:rPr>
              <w:t>40</w:t>
            </w:r>
          </w:p>
        </w:tc>
        <w:tc>
          <w:tcPr>
            <w:tcW w:w="1104" w:type="pct"/>
            <w:tcBorders>
              <w:top w:val="single" w:color="000000" w:sz="4" w:space="0"/>
              <w:left w:val="single" w:color="000000" w:sz="4" w:space="0"/>
              <w:bottom w:val="single" w:color="000000" w:sz="4" w:space="0"/>
              <w:right w:val="single" w:color="000000" w:sz="4" w:space="0"/>
            </w:tcBorders>
            <w:noWrap/>
            <w:vAlign w:val="center"/>
          </w:tcPr>
          <w:p w14:paraId="5D73BC45">
            <w:pPr>
              <w:widowControl/>
              <w:spacing w:line="240" w:lineRule="auto"/>
              <w:ind w:firstLine="0" w:firstLineChars="0"/>
              <w:jc w:val="left"/>
              <w:textAlignment w:val="center"/>
              <w:rPr>
                <w:rFonts w:cs="宋体"/>
                <w:color w:val="000000"/>
                <w:sz w:val="20"/>
                <w:szCs w:val="20"/>
                <w:highlight w:val="none"/>
              </w:rPr>
            </w:pPr>
            <w:r>
              <w:rPr>
                <w:rFonts w:hint="eastAsia" w:cs="宋体"/>
                <w:color w:val="000000"/>
                <w:kern w:val="0"/>
                <w:sz w:val="20"/>
                <w:szCs w:val="20"/>
                <w:highlight w:val="none"/>
                <w:lang w:bidi="ar"/>
              </w:rPr>
              <w:t>综合指挥监管</w:t>
            </w:r>
          </w:p>
        </w:tc>
        <w:tc>
          <w:tcPr>
            <w:tcW w:w="1436" w:type="pct"/>
            <w:tcBorders>
              <w:top w:val="single" w:color="000000" w:sz="4" w:space="0"/>
              <w:left w:val="single" w:color="000000" w:sz="4" w:space="0"/>
              <w:bottom w:val="single" w:color="000000" w:sz="4" w:space="0"/>
              <w:right w:val="single" w:color="000000" w:sz="4" w:space="0"/>
            </w:tcBorders>
            <w:vAlign w:val="center"/>
          </w:tcPr>
          <w:p w14:paraId="489FD8F0">
            <w:pPr>
              <w:widowControl/>
              <w:spacing w:line="240" w:lineRule="auto"/>
              <w:ind w:firstLine="0" w:firstLineChars="0"/>
              <w:jc w:val="center"/>
              <w:textAlignment w:val="center"/>
              <w:rPr>
                <w:rFonts w:cs="宋体"/>
                <w:color w:val="000000"/>
                <w:sz w:val="20"/>
                <w:szCs w:val="20"/>
                <w:highlight w:val="none"/>
              </w:rPr>
            </w:pPr>
            <w:r>
              <w:rPr>
                <w:rFonts w:hint="eastAsia" w:cs="宋体"/>
                <w:color w:val="000000"/>
                <w:kern w:val="0"/>
                <w:sz w:val="20"/>
                <w:szCs w:val="20"/>
                <w:highlight w:val="none"/>
                <w:lang w:bidi="ar"/>
              </w:rPr>
              <w:t>智能案件监督（新建）-规范性智能评查-办案流程审查-责令改正</w:t>
            </w:r>
          </w:p>
        </w:tc>
        <w:tc>
          <w:tcPr>
            <w:tcW w:w="1998" w:type="pct"/>
            <w:tcBorders>
              <w:top w:val="single" w:color="000000" w:sz="4" w:space="0"/>
              <w:left w:val="single" w:color="000000" w:sz="4" w:space="0"/>
              <w:bottom w:val="single" w:color="000000" w:sz="4" w:space="0"/>
              <w:right w:val="single" w:color="000000" w:sz="4" w:space="0"/>
            </w:tcBorders>
            <w:vAlign w:val="center"/>
          </w:tcPr>
          <w:p w14:paraId="5D9A8725">
            <w:pPr>
              <w:widowControl/>
              <w:spacing w:line="240" w:lineRule="auto"/>
              <w:ind w:firstLine="0" w:firstLineChars="0"/>
              <w:jc w:val="left"/>
              <w:textAlignment w:val="center"/>
              <w:rPr>
                <w:rFonts w:cs="宋体"/>
                <w:color w:val="000000"/>
                <w:sz w:val="20"/>
                <w:szCs w:val="20"/>
                <w:highlight w:val="none"/>
              </w:rPr>
            </w:pPr>
            <w:r>
              <w:rPr>
                <w:rFonts w:hint="eastAsia" w:cs="宋体"/>
                <w:color w:val="000000"/>
                <w:kern w:val="0"/>
                <w:sz w:val="20"/>
                <w:szCs w:val="20"/>
                <w:highlight w:val="none"/>
                <w:lang w:bidi="ar"/>
              </w:rPr>
              <w:t>检查是否依法责令当事人纠正或者限期纠正违法行为，检查责令改正后是否缺少整改复查笔录。</w:t>
            </w:r>
          </w:p>
        </w:tc>
      </w:tr>
      <w:tr w14:paraId="785CD4B3">
        <w:tblPrEx>
          <w:tblCellMar>
            <w:top w:w="0" w:type="dxa"/>
            <w:left w:w="108" w:type="dxa"/>
            <w:bottom w:w="0" w:type="dxa"/>
            <w:right w:w="108" w:type="dxa"/>
          </w:tblCellMar>
        </w:tblPrEx>
        <w:trPr>
          <w:trHeight w:val="1040" w:hRule="atLeast"/>
        </w:trPr>
        <w:tc>
          <w:tcPr>
            <w:tcW w:w="460" w:type="pct"/>
            <w:tcBorders>
              <w:top w:val="single" w:color="000000" w:sz="4" w:space="0"/>
              <w:left w:val="single" w:color="000000" w:sz="4" w:space="0"/>
              <w:bottom w:val="single" w:color="000000" w:sz="4" w:space="0"/>
              <w:right w:val="single" w:color="000000" w:sz="4" w:space="0"/>
            </w:tcBorders>
            <w:noWrap/>
            <w:vAlign w:val="center"/>
          </w:tcPr>
          <w:p w14:paraId="5539B191">
            <w:pPr>
              <w:widowControl/>
              <w:spacing w:line="240" w:lineRule="auto"/>
              <w:ind w:firstLine="0" w:firstLineChars="0"/>
              <w:jc w:val="center"/>
              <w:textAlignment w:val="center"/>
              <w:rPr>
                <w:rFonts w:cs="宋体"/>
                <w:color w:val="000000"/>
                <w:sz w:val="20"/>
                <w:szCs w:val="20"/>
                <w:highlight w:val="none"/>
              </w:rPr>
            </w:pPr>
            <w:r>
              <w:rPr>
                <w:rFonts w:hint="eastAsia" w:cs="宋体"/>
                <w:color w:val="000000"/>
                <w:kern w:val="0"/>
                <w:sz w:val="20"/>
                <w:szCs w:val="20"/>
                <w:highlight w:val="none"/>
                <w:lang w:bidi="ar"/>
              </w:rPr>
              <w:t>41</w:t>
            </w:r>
          </w:p>
        </w:tc>
        <w:tc>
          <w:tcPr>
            <w:tcW w:w="1104" w:type="pct"/>
            <w:tcBorders>
              <w:top w:val="single" w:color="000000" w:sz="4" w:space="0"/>
              <w:left w:val="single" w:color="000000" w:sz="4" w:space="0"/>
              <w:bottom w:val="single" w:color="000000" w:sz="4" w:space="0"/>
              <w:right w:val="single" w:color="000000" w:sz="4" w:space="0"/>
            </w:tcBorders>
            <w:noWrap/>
            <w:vAlign w:val="center"/>
          </w:tcPr>
          <w:p w14:paraId="54F34B6D">
            <w:pPr>
              <w:widowControl/>
              <w:spacing w:line="240" w:lineRule="auto"/>
              <w:ind w:firstLine="0" w:firstLineChars="0"/>
              <w:jc w:val="left"/>
              <w:textAlignment w:val="center"/>
              <w:rPr>
                <w:rFonts w:cs="宋体"/>
                <w:color w:val="000000"/>
                <w:sz w:val="20"/>
                <w:szCs w:val="20"/>
                <w:highlight w:val="none"/>
              </w:rPr>
            </w:pPr>
            <w:r>
              <w:rPr>
                <w:rFonts w:hint="eastAsia" w:cs="宋体"/>
                <w:color w:val="000000"/>
                <w:kern w:val="0"/>
                <w:sz w:val="20"/>
                <w:szCs w:val="20"/>
                <w:highlight w:val="none"/>
                <w:lang w:bidi="ar"/>
              </w:rPr>
              <w:t>综合指挥监管</w:t>
            </w:r>
          </w:p>
        </w:tc>
        <w:tc>
          <w:tcPr>
            <w:tcW w:w="1436" w:type="pct"/>
            <w:tcBorders>
              <w:top w:val="single" w:color="000000" w:sz="4" w:space="0"/>
              <w:left w:val="single" w:color="000000" w:sz="4" w:space="0"/>
              <w:bottom w:val="single" w:color="000000" w:sz="4" w:space="0"/>
              <w:right w:val="single" w:color="000000" w:sz="4" w:space="0"/>
            </w:tcBorders>
            <w:vAlign w:val="center"/>
          </w:tcPr>
          <w:p w14:paraId="3907734E">
            <w:pPr>
              <w:widowControl/>
              <w:spacing w:line="240" w:lineRule="auto"/>
              <w:ind w:firstLine="0" w:firstLineChars="0"/>
              <w:jc w:val="center"/>
              <w:textAlignment w:val="center"/>
              <w:rPr>
                <w:rFonts w:cs="宋体"/>
                <w:color w:val="000000"/>
                <w:sz w:val="20"/>
                <w:szCs w:val="20"/>
                <w:highlight w:val="none"/>
              </w:rPr>
            </w:pPr>
            <w:r>
              <w:rPr>
                <w:rFonts w:hint="eastAsia" w:cs="宋体"/>
                <w:color w:val="000000"/>
                <w:kern w:val="0"/>
                <w:sz w:val="20"/>
                <w:szCs w:val="20"/>
                <w:highlight w:val="none"/>
                <w:lang w:bidi="ar"/>
              </w:rPr>
              <w:t>智能案件监督（新建）-规范性智能评查-办案规范审查-决定</w:t>
            </w:r>
          </w:p>
        </w:tc>
        <w:tc>
          <w:tcPr>
            <w:tcW w:w="1998" w:type="pct"/>
            <w:tcBorders>
              <w:top w:val="single" w:color="000000" w:sz="4" w:space="0"/>
              <w:left w:val="single" w:color="000000" w:sz="4" w:space="0"/>
              <w:bottom w:val="single" w:color="000000" w:sz="4" w:space="0"/>
              <w:right w:val="single" w:color="000000" w:sz="4" w:space="0"/>
            </w:tcBorders>
            <w:vAlign w:val="center"/>
          </w:tcPr>
          <w:p w14:paraId="5AF15F39">
            <w:pPr>
              <w:widowControl/>
              <w:spacing w:line="240" w:lineRule="auto"/>
              <w:ind w:firstLine="0" w:firstLineChars="0"/>
              <w:jc w:val="left"/>
              <w:textAlignment w:val="center"/>
              <w:rPr>
                <w:rFonts w:cs="宋体"/>
                <w:color w:val="000000"/>
                <w:sz w:val="20"/>
                <w:szCs w:val="20"/>
                <w:highlight w:val="none"/>
              </w:rPr>
            </w:pPr>
            <w:r>
              <w:rPr>
                <w:rFonts w:hint="eastAsia" w:cs="宋体"/>
                <w:color w:val="000000"/>
                <w:kern w:val="0"/>
                <w:sz w:val="20"/>
                <w:szCs w:val="20"/>
                <w:highlight w:val="none"/>
                <w:lang w:bidi="ar"/>
              </w:rPr>
              <w:t>核查行政处罚决定书的规范性，包括违法事实描述是否详尽准确、时间地点表述是否正确、处罚裁量是否匹配基准并说明理由，以及从重、从轻等处罚调整是否有充分证据支撑。</w:t>
            </w:r>
          </w:p>
        </w:tc>
      </w:tr>
      <w:tr w14:paraId="3710BA6C">
        <w:tblPrEx>
          <w:tblCellMar>
            <w:top w:w="0" w:type="dxa"/>
            <w:left w:w="108" w:type="dxa"/>
            <w:bottom w:w="0" w:type="dxa"/>
            <w:right w:w="108" w:type="dxa"/>
          </w:tblCellMar>
        </w:tblPrEx>
        <w:trPr>
          <w:trHeight w:val="780" w:hRule="atLeast"/>
        </w:trPr>
        <w:tc>
          <w:tcPr>
            <w:tcW w:w="460" w:type="pct"/>
            <w:tcBorders>
              <w:top w:val="single" w:color="000000" w:sz="4" w:space="0"/>
              <w:left w:val="single" w:color="000000" w:sz="4" w:space="0"/>
              <w:bottom w:val="single" w:color="000000" w:sz="4" w:space="0"/>
              <w:right w:val="single" w:color="000000" w:sz="4" w:space="0"/>
            </w:tcBorders>
            <w:noWrap/>
            <w:vAlign w:val="center"/>
          </w:tcPr>
          <w:p w14:paraId="0CB68DD5">
            <w:pPr>
              <w:widowControl/>
              <w:spacing w:line="240" w:lineRule="auto"/>
              <w:ind w:firstLine="0" w:firstLineChars="0"/>
              <w:jc w:val="center"/>
              <w:textAlignment w:val="center"/>
              <w:rPr>
                <w:rFonts w:cs="宋体"/>
                <w:color w:val="000000"/>
                <w:sz w:val="20"/>
                <w:szCs w:val="20"/>
                <w:highlight w:val="none"/>
              </w:rPr>
            </w:pPr>
            <w:r>
              <w:rPr>
                <w:rFonts w:hint="eastAsia" w:cs="宋体"/>
                <w:color w:val="000000"/>
                <w:kern w:val="0"/>
                <w:sz w:val="20"/>
                <w:szCs w:val="20"/>
                <w:highlight w:val="none"/>
                <w:lang w:bidi="ar"/>
              </w:rPr>
              <w:t>42</w:t>
            </w:r>
          </w:p>
        </w:tc>
        <w:tc>
          <w:tcPr>
            <w:tcW w:w="1104" w:type="pct"/>
            <w:tcBorders>
              <w:top w:val="single" w:color="000000" w:sz="4" w:space="0"/>
              <w:left w:val="single" w:color="000000" w:sz="4" w:space="0"/>
              <w:bottom w:val="single" w:color="000000" w:sz="4" w:space="0"/>
              <w:right w:val="single" w:color="000000" w:sz="4" w:space="0"/>
            </w:tcBorders>
            <w:noWrap/>
            <w:vAlign w:val="center"/>
          </w:tcPr>
          <w:p w14:paraId="2E5F5428">
            <w:pPr>
              <w:widowControl/>
              <w:spacing w:line="240" w:lineRule="auto"/>
              <w:ind w:firstLine="0" w:firstLineChars="0"/>
              <w:jc w:val="left"/>
              <w:textAlignment w:val="center"/>
              <w:rPr>
                <w:rFonts w:cs="宋体"/>
                <w:color w:val="000000"/>
                <w:sz w:val="20"/>
                <w:szCs w:val="20"/>
                <w:highlight w:val="none"/>
              </w:rPr>
            </w:pPr>
            <w:r>
              <w:rPr>
                <w:rFonts w:hint="eastAsia" w:cs="宋体"/>
                <w:color w:val="000000"/>
                <w:kern w:val="0"/>
                <w:sz w:val="20"/>
                <w:szCs w:val="20"/>
                <w:highlight w:val="none"/>
                <w:lang w:bidi="ar"/>
              </w:rPr>
              <w:t>综合指挥监管</w:t>
            </w:r>
          </w:p>
        </w:tc>
        <w:tc>
          <w:tcPr>
            <w:tcW w:w="1436" w:type="pct"/>
            <w:tcBorders>
              <w:top w:val="single" w:color="000000" w:sz="4" w:space="0"/>
              <w:left w:val="single" w:color="000000" w:sz="4" w:space="0"/>
              <w:bottom w:val="single" w:color="000000" w:sz="4" w:space="0"/>
              <w:right w:val="single" w:color="000000" w:sz="4" w:space="0"/>
            </w:tcBorders>
            <w:vAlign w:val="center"/>
          </w:tcPr>
          <w:p w14:paraId="555E8818">
            <w:pPr>
              <w:widowControl/>
              <w:spacing w:line="240" w:lineRule="auto"/>
              <w:ind w:firstLine="0" w:firstLineChars="0"/>
              <w:jc w:val="center"/>
              <w:textAlignment w:val="center"/>
              <w:rPr>
                <w:rFonts w:cs="宋体"/>
                <w:color w:val="000000"/>
                <w:sz w:val="20"/>
                <w:szCs w:val="20"/>
                <w:highlight w:val="none"/>
              </w:rPr>
            </w:pPr>
            <w:r>
              <w:rPr>
                <w:rFonts w:hint="eastAsia" w:cs="宋体"/>
                <w:color w:val="000000"/>
                <w:kern w:val="0"/>
                <w:sz w:val="20"/>
                <w:szCs w:val="20"/>
                <w:highlight w:val="none"/>
                <w:lang w:bidi="ar"/>
              </w:rPr>
              <w:t>智能案件监督（新建）-集中评查-集中评查计划与实施</w:t>
            </w:r>
          </w:p>
        </w:tc>
        <w:tc>
          <w:tcPr>
            <w:tcW w:w="1998" w:type="pct"/>
            <w:tcBorders>
              <w:top w:val="single" w:color="000000" w:sz="4" w:space="0"/>
              <w:left w:val="single" w:color="000000" w:sz="4" w:space="0"/>
              <w:bottom w:val="single" w:color="000000" w:sz="4" w:space="0"/>
              <w:right w:val="single" w:color="000000" w:sz="4" w:space="0"/>
            </w:tcBorders>
            <w:vAlign w:val="center"/>
          </w:tcPr>
          <w:p w14:paraId="7F60480B">
            <w:pPr>
              <w:widowControl/>
              <w:spacing w:line="240" w:lineRule="auto"/>
              <w:ind w:firstLine="0" w:firstLineChars="0"/>
              <w:jc w:val="left"/>
              <w:textAlignment w:val="center"/>
              <w:rPr>
                <w:rFonts w:cs="宋体"/>
                <w:color w:val="000000"/>
                <w:sz w:val="20"/>
                <w:szCs w:val="20"/>
                <w:highlight w:val="none"/>
              </w:rPr>
            </w:pPr>
            <w:r>
              <w:rPr>
                <w:rFonts w:hint="eastAsia" w:cs="宋体"/>
                <w:color w:val="000000"/>
                <w:kern w:val="0"/>
                <w:sz w:val="20"/>
                <w:szCs w:val="20"/>
                <w:highlight w:val="none"/>
                <w:lang w:bidi="ar"/>
              </w:rPr>
              <w:t>创建集中评查计划。各区评查人员对导入的非本区案件进行案件评查，支持本区评查结果查看，市局可看到全市评查结果。</w:t>
            </w:r>
          </w:p>
        </w:tc>
      </w:tr>
      <w:tr w14:paraId="0FCF1B36">
        <w:tblPrEx>
          <w:tblCellMar>
            <w:top w:w="0" w:type="dxa"/>
            <w:left w:w="108" w:type="dxa"/>
            <w:bottom w:w="0" w:type="dxa"/>
            <w:right w:w="108" w:type="dxa"/>
          </w:tblCellMar>
        </w:tblPrEx>
        <w:trPr>
          <w:trHeight w:val="520" w:hRule="atLeast"/>
        </w:trPr>
        <w:tc>
          <w:tcPr>
            <w:tcW w:w="460" w:type="pct"/>
            <w:tcBorders>
              <w:top w:val="single" w:color="000000" w:sz="4" w:space="0"/>
              <w:left w:val="single" w:color="000000" w:sz="4" w:space="0"/>
              <w:bottom w:val="single" w:color="000000" w:sz="4" w:space="0"/>
              <w:right w:val="single" w:color="000000" w:sz="4" w:space="0"/>
            </w:tcBorders>
            <w:noWrap/>
            <w:vAlign w:val="center"/>
          </w:tcPr>
          <w:p w14:paraId="44C00001">
            <w:pPr>
              <w:widowControl/>
              <w:spacing w:line="240" w:lineRule="auto"/>
              <w:ind w:firstLine="0" w:firstLineChars="0"/>
              <w:jc w:val="center"/>
              <w:textAlignment w:val="center"/>
              <w:rPr>
                <w:rFonts w:cs="宋体"/>
                <w:color w:val="000000"/>
                <w:sz w:val="20"/>
                <w:szCs w:val="20"/>
                <w:highlight w:val="none"/>
              </w:rPr>
            </w:pPr>
            <w:r>
              <w:rPr>
                <w:rFonts w:hint="eastAsia" w:cs="宋体"/>
                <w:color w:val="000000"/>
                <w:kern w:val="0"/>
                <w:sz w:val="20"/>
                <w:szCs w:val="20"/>
                <w:highlight w:val="none"/>
                <w:lang w:bidi="ar"/>
              </w:rPr>
              <w:t>43</w:t>
            </w:r>
          </w:p>
        </w:tc>
        <w:tc>
          <w:tcPr>
            <w:tcW w:w="1104" w:type="pct"/>
            <w:tcBorders>
              <w:top w:val="single" w:color="000000" w:sz="4" w:space="0"/>
              <w:left w:val="single" w:color="000000" w:sz="4" w:space="0"/>
              <w:bottom w:val="single" w:color="000000" w:sz="4" w:space="0"/>
              <w:right w:val="single" w:color="000000" w:sz="4" w:space="0"/>
            </w:tcBorders>
            <w:noWrap/>
            <w:vAlign w:val="center"/>
          </w:tcPr>
          <w:p w14:paraId="350EE2F1">
            <w:pPr>
              <w:widowControl/>
              <w:spacing w:line="240" w:lineRule="auto"/>
              <w:ind w:firstLine="0" w:firstLineChars="0"/>
              <w:jc w:val="left"/>
              <w:textAlignment w:val="center"/>
              <w:rPr>
                <w:rFonts w:cs="宋体"/>
                <w:color w:val="000000"/>
                <w:sz w:val="20"/>
                <w:szCs w:val="20"/>
                <w:highlight w:val="none"/>
              </w:rPr>
            </w:pPr>
            <w:r>
              <w:rPr>
                <w:rFonts w:hint="eastAsia" w:cs="宋体"/>
                <w:color w:val="000000"/>
                <w:kern w:val="0"/>
                <w:sz w:val="20"/>
                <w:szCs w:val="20"/>
                <w:highlight w:val="none"/>
                <w:lang w:bidi="ar"/>
              </w:rPr>
              <w:t>综合指挥监管</w:t>
            </w:r>
          </w:p>
        </w:tc>
        <w:tc>
          <w:tcPr>
            <w:tcW w:w="1436" w:type="pct"/>
            <w:tcBorders>
              <w:top w:val="single" w:color="000000" w:sz="4" w:space="0"/>
              <w:left w:val="single" w:color="000000" w:sz="4" w:space="0"/>
              <w:bottom w:val="single" w:color="000000" w:sz="4" w:space="0"/>
              <w:right w:val="single" w:color="000000" w:sz="4" w:space="0"/>
            </w:tcBorders>
            <w:vAlign w:val="center"/>
          </w:tcPr>
          <w:p w14:paraId="7D81B84B">
            <w:pPr>
              <w:widowControl/>
              <w:spacing w:line="240" w:lineRule="auto"/>
              <w:ind w:firstLine="0" w:firstLineChars="0"/>
              <w:jc w:val="center"/>
              <w:textAlignment w:val="center"/>
              <w:rPr>
                <w:rFonts w:cs="宋体"/>
                <w:color w:val="000000"/>
                <w:sz w:val="20"/>
                <w:szCs w:val="20"/>
                <w:highlight w:val="none"/>
              </w:rPr>
            </w:pPr>
            <w:r>
              <w:rPr>
                <w:rFonts w:hint="eastAsia" w:cs="宋体"/>
                <w:color w:val="000000"/>
                <w:kern w:val="0"/>
                <w:sz w:val="20"/>
                <w:szCs w:val="20"/>
                <w:highlight w:val="none"/>
                <w:lang w:bidi="ar"/>
              </w:rPr>
              <w:t>智能案件监督（新建）-集中评查-评查汇总</w:t>
            </w:r>
          </w:p>
        </w:tc>
        <w:tc>
          <w:tcPr>
            <w:tcW w:w="1998" w:type="pct"/>
            <w:tcBorders>
              <w:top w:val="single" w:color="000000" w:sz="4" w:space="0"/>
              <w:left w:val="single" w:color="000000" w:sz="4" w:space="0"/>
              <w:bottom w:val="single" w:color="000000" w:sz="4" w:space="0"/>
              <w:right w:val="single" w:color="000000" w:sz="4" w:space="0"/>
            </w:tcBorders>
            <w:vAlign w:val="center"/>
          </w:tcPr>
          <w:p w14:paraId="156E47F8">
            <w:pPr>
              <w:widowControl/>
              <w:spacing w:line="240" w:lineRule="auto"/>
              <w:ind w:firstLine="0" w:firstLineChars="0"/>
              <w:jc w:val="left"/>
              <w:textAlignment w:val="center"/>
              <w:rPr>
                <w:rFonts w:cs="宋体"/>
                <w:color w:val="000000"/>
                <w:sz w:val="20"/>
                <w:szCs w:val="20"/>
                <w:highlight w:val="none"/>
              </w:rPr>
            </w:pPr>
            <w:r>
              <w:rPr>
                <w:rFonts w:hint="eastAsia" w:cs="宋体"/>
                <w:color w:val="000000"/>
                <w:kern w:val="0"/>
                <w:sz w:val="20"/>
                <w:szCs w:val="20"/>
                <w:highlight w:val="none"/>
                <w:lang w:bidi="ar"/>
              </w:rPr>
              <w:t>根据计划内评查的结果，查看各案件各区的评查结果，并统计各案件平均得分。</w:t>
            </w:r>
          </w:p>
        </w:tc>
      </w:tr>
      <w:tr w14:paraId="38BEF557">
        <w:tblPrEx>
          <w:tblCellMar>
            <w:top w:w="0" w:type="dxa"/>
            <w:left w:w="108" w:type="dxa"/>
            <w:bottom w:w="0" w:type="dxa"/>
            <w:right w:w="108" w:type="dxa"/>
          </w:tblCellMar>
        </w:tblPrEx>
        <w:trPr>
          <w:trHeight w:val="780" w:hRule="atLeast"/>
        </w:trPr>
        <w:tc>
          <w:tcPr>
            <w:tcW w:w="460" w:type="pct"/>
            <w:tcBorders>
              <w:top w:val="single" w:color="000000" w:sz="4" w:space="0"/>
              <w:left w:val="single" w:color="000000" w:sz="4" w:space="0"/>
              <w:bottom w:val="single" w:color="000000" w:sz="4" w:space="0"/>
              <w:right w:val="single" w:color="000000" w:sz="4" w:space="0"/>
            </w:tcBorders>
            <w:noWrap/>
            <w:vAlign w:val="center"/>
          </w:tcPr>
          <w:p w14:paraId="758C0C3A">
            <w:pPr>
              <w:widowControl/>
              <w:spacing w:line="240" w:lineRule="auto"/>
              <w:ind w:firstLine="0" w:firstLineChars="0"/>
              <w:jc w:val="center"/>
              <w:textAlignment w:val="center"/>
              <w:rPr>
                <w:rFonts w:cs="宋体"/>
                <w:color w:val="000000"/>
                <w:sz w:val="20"/>
                <w:szCs w:val="20"/>
                <w:highlight w:val="none"/>
              </w:rPr>
            </w:pPr>
            <w:r>
              <w:rPr>
                <w:rFonts w:hint="eastAsia" w:cs="宋体"/>
                <w:color w:val="000000"/>
                <w:kern w:val="0"/>
                <w:sz w:val="20"/>
                <w:szCs w:val="20"/>
                <w:highlight w:val="none"/>
                <w:lang w:bidi="ar"/>
              </w:rPr>
              <w:t>44</w:t>
            </w:r>
          </w:p>
        </w:tc>
        <w:tc>
          <w:tcPr>
            <w:tcW w:w="1104" w:type="pct"/>
            <w:tcBorders>
              <w:top w:val="single" w:color="000000" w:sz="4" w:space="0"/>
              <w:left w:val="single" w:color="000000" w:sz="4" w:space="0"/>
              <w:bottom w:val="single" w:color="000000" w:sz="4" w:space="0"/>
              <w:right w:val="single" w:color="000000" w:sz="4" w:space="0"/>
            </w:tcBorders>
            <w:noWrap/>
            <w:vAlign w:val="center"/>
          </w:tcPr>
          <w:p w14:paraId="11BF8D45">
            <w:pPr>
              <w:widowControl/>
              <w:spacing w:line="240" w:lineRule="auto"/>
              <w:ind w:firstLine="0" w:firstLineChars="0"/>
              <w:jc w:val="left"/>
              <w:textAlignment w:val="center"/>
              <w:rPr>
                <w:rFonts w:cs="宋体"/>
                <w:color w:val="000000"/>
                <w:sz w:val="20"/>
                <w:szCs w:val="20"/>
                <w:highlight w:val="none"/>
              </w:rPr>
            </w:pPr>
            <w:r>
              <w:rPr>
                <w:rFonts w:hint="eastAsia" w:cs="宋体"/>
                <w:color w:val="000000"/>
                <w:kern w:val="0"/>
                <w:sz w:val="20"/>
                <w:szCs w:val="20"/>
                <w:highlight w:val="none"/>
                <w:lang w:bidi="ar"/>
              </w:rPr>
              <w:t>城管执法对象监管</w:t>
            </w:r>
          </w:p>
        </w:tc>
        <w:tc>
          <w:tcPr>
            <w:tcW w:w="1436" w:type="pct"/>
            <w:tcBorders>
              <w:top w:val="single" w:color="000000" w:sz="4" w:space="0"/>
              <w:left w:val="single" w:color="000000" w:sz="4" w:space="0"/>
              <w:bottom w:val="single" w:color="000000" w:sz="4" w:space="0"/>
              <w:right w:val="single" w:color="000000" w:sz="4" w:space="0"/>
            </w:tcBorders>
            <w:vAlign w:val="center"/>
          </w:tcPr>
          <w:p w14:paraId="014ED732">
            <w:pPr>
              <w:widowControl/>
              <w:spacing w:line="240" w:lineRule="auto"/>
              <w:ind w:firstLine="0" w:firstLineChars="0"/>
              <w:jc w:val="center"/>
              <w:textAlignment w:val="center"/>
              <w:rPr>
                <w:rFonts w:cs="宋体"/>
                <w:color w:val="000000"/>
                <w:sz w:val="20"/>
                <w:szCs w:val="20"/>
                <w:highlight w:val="none"/>
              </w:rPr>
            </w:pPr>
            <w:r>
              <w:rPr>
                <w:rFonts w:hint="eastAsia" w:cs="宋体"/>
                <w:color w:val="000000"/>
                <w:kern w:val="0"/>
                <w:sz w:val="20"/>
                <w:szCs w:val="20"/>
                <w:highlight w:val="none"/>
                <w:lang w:bidi="ar"/>
              </w:rPr>
              <w:t>新增对象库（</w:t>
            </w:r>
            <w:r>
              <w:rPr>
                <w:rFonts w:hint="eastAsia" w:ascii="宋体" w:hAnsi="宋体" w:eastAsia="宋体" w:cs="宋体"/>
                <w:color w:val="000000"/>
                <w:kern w:val="0"/>
                <w:sz w:val="20"/>
                <w:szCs w:val="20"/>
                <w:highlight w:val="none"/>
                <w:shd w:val="clear"/>
                <w:lang w:bidi="ar"/>
              </w:rPr>
              <w:t>升级</w:t>
            </w:r>
            <w:r>
              <w:rPr>
                <w:rFonts w:hint="eastAsia" w:ascii="宋体" w:hAnsi="宋体" w:eastAsia="宋体" w:cs="宋体"/>
                <w:color w:val="000000"/>
                <w:kern w:val="0"/>
                <w:sz w:val="20"/>
                <w:szCs w:val="20"/>
                <w:highlight w:val="none"/>
                <w:lang w:bidi="ar"/>
              </w:rPr>
              <w:t>）-</w:t>
            </w:r>
            <w:r>
              <w:rPr>
                <w:rFonts w:hint="eastAsia" w:cs="宋体"/>
                <w:color w:val="000000"/>
                <w:kern w:val="0"/>
                <w:sz w:val="20"/>
                <w:szCs w:val="20"/>
                <w:highlight w:val="none"/>
                <w:lang w:bidi="ar"/>
              </w:rPr>
              <w:t>店招店牌（升级）-对接区局店招备案管理系统</w:t>
            </w:r>
          </w:p>
        </w:tc>
        <w:tc>
          <w:tcPr>
            <w:tcW w:w="1998" w:type="pct"/>
            <w:tcBorders>
              <w:top w:val="single" w:color="000000" w:sz="4" w:space="0"/>
              <w:left w:val="single" w:color="000000" w:sz="4" w:space="0"/>
              <w:bottom w:val="single" w:color="000000" w:sz="4" w:space="0"/>
              <w:right w:val="single" w:color="000000" w:sz="4" w:space="0"/>
            </w:tcBorders>
            <w:vAlign w:val="center"/>
          </w:tcPr>
          <w:p w14:paraId="4100719D">
            <w:pPr>
              <w:widowControl/>
              <w:spacing w:line="240" w:lineRule="auto"/>
              <w:ind w:firstLine="0" w:firstLineChars="0"/>
              <w:jc w:val="left"/>
              <w:textAlignment w:val="center"/>
              <w:rPr>
                <w:rFonts w:cs="宋体"/>
                <w:color w:val="000000"/>
                <w:sz w:val="20"/>
                <w:szCs w:val="20"/>
                <w:highlight w:val="none"/>
              </w:rPr>
            </w:pPr>
            <w:r>
              <w:rPr>
                <w:rFonts w:hint="eastAsia" w:cs="宋体"/>
                <w:color w:val="000000"/>
                <w:kern w:val="0"/>
                <w:sz w:val="20"/>
                <w:szCs w:val="20"/>
                <w:highlight w:val="none"/>
                <w:lang w:bidi="ar"/>
              </w:rPr>
              <w:t>打通市级执法监管对象库与区局店招备案管理系统的基础数据共享。</w:t>
            </w:r>
          </w:p>
        </w:tc>
      </w:tr>
      <w:tr w14:paraId="26B4987C">
        <w:tblPrEx>
          <w:tblCellMar>
            <w:top w:w="0" w:type="dxa"/>
            <w:left w:w="108" w:type="dxa"/>
            <w:bottom w:w="0" w:type="dxa"/>
            <w:right w:w="108" w:type="dxa"/>
          </w:tblCellMar>
        </w:tblPrEx>
        <w:trPr>
          <w:trHeight w:val="780" w:hRule="atLeast"/>
        </w:trPr>
        <w:tc>
          <w:tcPr>
            <w:tcW w:w="460" w:type="pct"/>
            <w:tcBorders>
              <w:top w:val="single" w:color="000000" w:sz="4" w:space="0"/>
              <w:left w:val="single" w:color="000000" w:sz="4" w:space="0"/>
              <w:bottom w:val="single" w:color="000000" w:sz="4" w:space="0"/>
              <w:right w:val="single" w:color="000000" w:sz="4" w:space="0"/>
            </w:tcBorders>
            <w:noWrap/>
            <w:vAlign w:val="center"/>
          </w:tcPr>
          <w:p w14:paraId="4BE1B52C">
            <w:pPr>
              <w:widowControl/>
              <w:spacing w:line="240" w:lineRule="auto"/>
              <w:ind w:firstLine="0" w:firstLineChars="0"/>
              <w:jc w:val="center"/>
              <w:textAlignment w:val="center"/>
              <w:rPr>
                <w:rFonts w:cs="宋体"/>
                <w:color w:val="000000"/>
                <w:sz w:val="20"/>
                <w:szCs w:val="20"/>
                <w:highlight w:val="none"/>
              </w:rPr>
            </w:pPr>
            <w:r>
              <w:rPr>
                <w:rFonts w:hint="eastAsia" w:cs="宋体"/>
                <w:color w:val="000000"/>
                <w:kern w:val="0"/>
                <w:sz w:val="20"/>
                <w:szCs w:val="20"/>
                <w:highlight w:val="none"/>
                <w:lang w:bidi="ar"/>
              </w:rPr>
              <w:t>45</w:t>
            </w:r>
          </w:p>
        </w:tc>
        <w:tc>
          <w:tcPr>
            <w:tcW w:w="1104" w:type="pct"/>
            <w:tcBorders>
              <w:top w:val="single" w:color="000000" w:sz="4" w:space="0"/>
              <w:left w:val="single" w:color="000000" w:sz="4" w:space="0"/>
              <w:bottom w:val="single" w:color="000000" w:sz="4" w:space="0"/>
              <w:right w:val="single" w:color="000000" w:sz="4" w:space="0"/>
            </w:tcBorders>
            <w:noWrap/>
            <w:vAlign w:val="center"/>
          </w:tcPr>
          <w:p w14:paraId="78B09093">
            <w:pPr>
              <w:widowControl/>
              <w:spacing w:line="240" w:lineRule="auto"/>
              <w:ind w:firstLine="0" w:firstLineChars="0"/>
              <w:jc w:val="left"/>
              <w:textAlignment w:val="center"/>
              <w:rPr>
                <w:rFonts w:cs="宋体"/>
                <w:color w:val="000000"/>
                <w:sz w:val="20"/>
                <w:szCs w:val="20"/>
                <w:highlight w:val="none"/>
              </w:rPr>
            </w:pPr>
            <w:r>
              <w:rPr>
                <w:rFonts w:hint="eastAsia" w:cs="宋体"/>
                <w:color w:val="000000"/>
                <w:kern w:val="0"/>
                <w:sz w:val="20"/>
                <w:szCs w:val="20"/>
                <w:highlight w:val="none"/>
                <w:lang w:bidi="ar"/>
              </w:rPr>
              <w:t>城管执法对象监管</w:t>
            </w:r>
          </w:p>
        </w:tc>
        <w:tc>
          <w:tcPr>
            <w:tcW w:w="1436" w:type="pct"/>
            <w:tcBorders>
              <w:top w:val="single" w:color="000000" w:sz="4" w:space="0"/>
              <w:left w:val="single" w:color="000000" w:sz="4" w:space="0"/>
              <w:bottom w:val="single" w:color="000000" w:sz="4" w:space="0"/>
              <w:right w:val="single" w:color="000000" w:sz="4" w:space="0"/>
            </w:tcBorders>
            <w:vAlign w:val="center"/>
          </w:tcPr>
          <w:p w14:paraId="14CC5A40">
            <w:pPr>
              <w:widowControl/>
              <w:spacing w:line="240" w:lineRule="auto"/>
              <w:ind w:firstLine="0" w:firstLineChars="0"/>
              <w:jc w:val="center"/>
              <w:textAlignment w:val="center"/>
              <w:rPr>
                <w:rFonts w:cs="宋体"/>
                <w:color w:val="000000"/>
                <w:sz w:val="20"/>
                <w:szCs w:val="20"/>
                <w:highlight w:val="none"/>
              </w:rPr>
            </w:pPr>
            <w:r>
              <w:rPr>
                <w:rFonts w:hint="eastAsia" w:cs="宋体"/>
                <w:color w:val="000000"/>
                <w:kern w:val="0"/>
                <w:sz w:val="20"/>
                <w:szCs w:val="20"/>
                <w:highlight w:val="none"/>
                <w:lang w:bidi="ar"/>
              </w:rPr>
              <w:t>新增对象库（升级）-店招店牌（升级）-对接市绿化市容局店招备案数据</w:t>
            </w:r>
          </w:p>
        </w:tc>
        <w:tc>
          <w:tcPr>
            <w:tcW w:w="1998" w:type="pct"/>
            <w:tcBorders>
              <w:top w:val="single" w:color="000000" w:sz="4" w:space="0"/>
              <w:left w:val="single" w:color="000000" w:sz="4" w:space="0"/>
              <w:bottom w:val="single" w:color="000000" w:sz="4" w:space="0"/>
              <w:right w:val="single" w:color="000000" w:sz="4" w:space="0"/>
            </w:tcBorders>
            <w:vAlign w:val="center"/>
          </w:tcPr>
          <w:p w14:paraId="73AC9067">
            <w:pPr>
              <w:widowControl/>
              <w:spacing w:line="240" w:lineRule="auto"/>
              <w:ind w:firstLine="0" w:firstLineChars="0"/>
              <w:jc w:val="left"/>
              <w:textAlignment w:val="center"/>
              <w:rPr>
                <w:rFonts w:cs="宋体"/>
                <w:color w:val="000000"/>
                <w:sz w:val="20"/>
                <w:szCs w:val="20"/>
                <w:highlight w:val="none"/>
              </w:rPr>
            </w:pPr>
            <w:r>
              <w:rPr>
                <w:rFonts w:hint="eastAsia" w:cs="宋体"/>
                <w:color w:val="000000"/>
                <w:kern w:val="0"/>
                <w:sz w:val="20"/>
                <w:szCs w:val="20"/>
                <w:highlight w:val="none"/>
                <w:lang w:bidi="ar"/>
              </w:rPr>
              <w:t>打通市绿化市容局店招备案数据，完善市局店招店牌对象库数据。</w:t>
            </w:r>
          </w:p>
        </w:tc>
      </w:tr>
      <w:tr w14:paraId="7C8A5C72">
        <w:tblPrEx>
          <w:tblCellMar>
            <w:top w:w="0" w:type="dxa"/>
            <w:left w:w="108" w:type="dxa"/>
            <w:bottom w:w="0" w:type="dxa"/>
            <w:right w:w="108" w:type="dxa"/>
          </w:tblCellMar>
        </w:tblPrEx>
        <w:trPr>
          <w:trHeight w:val="1300" w:hRule="atLeast"/>
        </w:trPr>
        <w:tc>
          <w:tcPr>
            <w:tcW w:w="460" w:type="pct"/>
            <w:tcBorders>
              <w:top w:val="single" w:color="000000" w:sz="4" w:space="0"/>
              <w:left w:val="single" w:color="000000" w:sz="4" w:space="0"/>
              <w:bottom w:val="single" w:color="000000" w:sz="4" w:space="0"/>
              <w:right w:val="single" w:color="000000" w:sz="4" w:space="0"/>
            </w:tcBorders>
            <w:noWrap/>
            <w:vAlign w:val="center"/>
          </w:tcPr>
          <w:p w14:paraId="74704E24">
            <w:pPr>
              <w:widowControl/>
              <w:spacing w:line="240" w:lineRule="auto"/>
              <w:ind w:firstLine="0" w:firstLineChars="0"/>
              <w:jc w:val="center"/>
              <w:textAlignment w:val="center"/>
              <w:rPr>
                <w:rFonts w:cs="宋体"/>
                <w:color w:val="000000"/>
                <w:sz w:val="20"/>
                <w:szCs w:val="20"/>
                <w:highlight w:val="none"/>
              </w:rPr>
            </w:pPr>
            <w:r>
              <w:rPr>
                <w:rFonts w:hint="eastAsia" w:cs="宋体"/>
                <w:color w:val="000000"/>
                <w:kern w:val="0"/>
                <w:sz w:val="20"/>
                <w:szCs w:val="20"/>
                <w:highlight w:val="none"/>
                <w:lang w:bidi="ar"/>
              </w:rPr>
              <w:t>46</w:t>
            </w:r>
          </w:p>
        </w:tc>
        <w:tc>
          <w:tcPr>
            <w:tcW w:w="1104" w:type="pct"/>
            <w:tcBorders>
              <w:top w:val="single" w:color="000000" w:sz="4" w:space="0"/>
              <w:left w:val="single" w:color="000000" w:sz="4" w:space="0"/>
              <w:bottom w:val="single" w:color="000000" w:sz="4" w:space="0"/>
              <w:right w:val="single" w:color="000000" w:sz="4" w:space="0"/>
            </w:tcBorders>
            <w:noWrap/>
            <w:vAlign w:val="center"/>
          </w:tcPr>
          <w:p w14:paraId="3856278F">
            <w:pPr>
              <w:widowControl/>
              <w:spacing w:line="240" w:lineRule="auto"/>
              <w:ind w:firstLine="0" w:firstLineChars="0"/>
              <w:jc w:val="left"/>
              <w:textAlignment w:val="center"/>
              <w:rPr>
                <w:rFonts w:cs="宋体"/>
                <w:color w:val="000000"/>
                <w:sz w:val="20"/>
                <w:szCs w:val="20"/>
                <w:highlight w:val="none"/>
              </w:rPr>
            </w:pPr>
            <w:r>
              <w:rPr>
                <w:rFonts w:hint="eastAsia" w:cs="宋体"/>
                <w:color w:val="000000"/>
                <w:kern w:val="0"/>
                <w:sz w:val="20"/>
                <w:szCs w:val="20"/>
                <w:highlight w:val="none"/>
                <w:lang w:bidi="ar"/>
              </w:rPr>
              <w:t>城管执法对象监管</w:t>
            </w:r>
          </w:p>
        </w:tc>
        <w:tc>
          <w:tcPr>
            <w:tcW w:w="1436" w:type="pct"/>
            <w:tcBorders>
              <w:top w:val="single" w:color="000000" w:sz="4" w:space="0"/>
              <w:left w:val="single" w:color="000000" w:sz="4" w:space="0"/>
              <w:bottom w:val="single" w:color="000000" w:sz="4" w:space="0"/>
              <w:right w:val="single" w:color="000000" w:sz="4" w:space="0"/>
            </w:tcBorders>
            <w:vAlign w:val="center"/>
          </w:tcPr>
          <w:p w14:paraId="1D14F42A">
            <w:pPr>
              <w:widowControl/>
              <w:spacing w:line="240" w:lineRule="auto"/>
              <w:ind w:firstLine="0" w:firstLineChars="0"/>
              <w:jc w:val="center"/>
              <w:textAlignment w:val="center"/>
              <w:rPr>
                <w:rFonts w:cs="宋体"/>
                <w:color w:val="000000"/>
                <w:sz w:val="20"/>
                <w:szCs w:val="20"/>
                <w:highlight w:val="none"/>
              </w:rPr>
            </w:pPr>
            <w:r>
              <w:rPr>
                <w:rFonts w:hint="eastAsia" w:cs="宋体"/>
                <w:color w:val="000000"/>
                <w:kern w:val="0"/>
                <w:sz w:val="20"/>
                <w:szCs w:val="20"/>
                <w:highlight w:val="none"/>
                <w:lang w:bidi="ar"/>
              </w:rPr>
              <w:t>新增对象库（</w:t>
            </w:r>
            <w:r>
              <w:rPr>
                <w:rFonts w:hint="eastAsia" w:ascii="宋体" w:hAnsi="宋体" w:eastAsia="宋体" w:cs="宋体"/>
                <w:color w:val="000000"/>
                <w:kern w:val="0"/>
                <w:sz w:val="20"/>
                <w:szCs w:val="20"/>
                <w:highlight w:val="none"/>
                <w:shd w:val="clear"/>
                <w:lang w:bidi="ar"/>
              </w:rPr>
              <w:t>升级</w:t>
            </w:r>
            <w:r>
              <w:rPr>
                <w:rFonts w:hint="eastAsia" w:ascii="宋体" w:hAnsi="宋体" w:eastAsia="宋体" w:cs="宋体"/>
                <w:color w:val="000000"/>
                <w:kern w:val="0"/>
                <w:sz w:val="20"/>
                <w:szCs w:val="20"/>
                <w:highlight w:val="none"/>
                <w:lang w:bidi="ar"/>
              </w:rPr>
              <w:t>）</w:t>
            </w:r>
            <w:r>
              <w:rPr>
                <w:rFonts w:hint="eastAsia" w:cs="宋体"/>
                <w:color w:val="000000"/>
                <w:kern w:val="0"/>
                <w:sz w:val="20"/>
                <w:szCs w:val="20"/>
                <w:highlight w:val="none"/>
                <w:lang w:bidi="ar"/>
              </w:rPr>
              <w:t>-水务执法对象库（新建）</w:t>
            </w:r>
          </w:p>
        </w:tc>
        <w:tc>
          <w:tcPr>
            <w:tcW w:w="1998" w:type="pct"/>
            <w:tcBorders>
              <w:top w:val="single" w:color="000000" w:sz="4" w:space="0"/>
              <w:left w:val="single" w:color="000000" w:sz="4" w:space="0"/>
              <w:bottom w:val="single" w:color="000000" w:sz="4" w:space="0"/>
              <w:right w:val="single" w:color="000000" w:sz="4" w:space="0"/>
            </w:tcBorders>
            <w:vAlign w:val="center"/>
          </w:tcPr>
          <w:p w14:paraId="27AA83B8">
            <w:pPr>
              <w:widowControl/>
              <w:spacing w:line="240" w:lineRule="auto"/>
              <w:ind w:firstLine="0" w:firstLineChars="0"/>
              <w:jc w:val="left"/>
              <w:textAlignment w:val="center"/>
              <w:rPr>
                <w:rFonts w:cs="宋体"/>
                <w:color w:val="000000"/>
                <w:sz w:val="20"/>
                <w:szCs w:val="20"/>
                <w:highlight w:val="none"/>
              </w:rPr>
            </w:pPr>
            <w:r>
              <w:rPr>
                <w:rFonts w:hint="eastAsia" w:cs="宋体"/>
                <w:color w:val="000000"/>
                <w:kern w:val="0"/>
                <w:sz w:val="20"/>
                <w:szCs w:val="20"/>
                <w:highlight w:val="none"/>
                <w:lang w:bidi="ar"/>
              </w:rPr>
              <w:t>与市水务局执法总队进行数据对接，获取执法事项清单、监管对象信息、行政许可与审批数据。通过自动比对标记冲突并支持人工复核。建立对象信息更新流程，支持数据同步、定期核验与历史版本追溯。</w:t>
            </w:r>
          </w:p>
        </w:tc>
      </w:tr>
      <w:tr w14:paraId="072E6B8B">
        <w:tblPrEx>
          <w:tblCellMar>
            <w:top w:w="0" w:type="dxa"/>
            <w:left w:w="108" w:type="dxa"/>
            <w:bottom w:w="0" w:type="dxa"/>
            <w:right w:w="108" w:type="dxa"/>
          </w:tblCellMar>
        </w:tblPrEx>
        <w:trPr>
          <w:trHeight w:val="780" w:hRule="atLeast"/>
        </w:trPr>
        <w:tc>
          <w:tcPr>
            <w:tcW w:w="460" w:type="pct"/>
            <w:tcBorders>
              <w:top w:val="single" w:color="000000" w:sz="4" w:space="0"/>
              <w:left w:val="single" w:color="000000" w:sz="4" w:space="0"/>
              <w:bottom w:val="single" w:color="000000" w:sz="4" w:space="0"/>
              <w:right w:val="single" w:color="000000" w:sz="4" w:space="0"/>
            </w:tcBorders>
            <w:noWrap/>
            <w:vAlign w:val="center"/>
          </w:tcPr>
          <w:p w14:paraId="41DA5795">
            <w:pPr>
              <w:widowControl/>
              <w:spacing w:line="240" w:lineRule="auto"/>
              <w:ind w:firstLine="0" w:firstLineChars="0"/>
              <w:jc w:val="center"/>
              <w:textAlignment w:val="center"/>
              <w:rPr>
                <w:rFonts w:cs="宋体"/>
                <w:color w:val="000000"/>
                <w:sz w:val="20"/>
                <w:szCs w:val="20"/>
                <w:highlight w:val="none"/>
              </w:rPr>
            </w:pPr>
            <w:r>
              <w:rPr>
                <w:rFonts w:hint="eastAsia" w:cs="宋体"/>
                <w:color w:val="000000"/>
                <w:kern w:val="0"/>
                <w:sz w:val="20"/>
                <w:szCs w:val="20"/>
                <w:highlight w:val="none"/>
                <w:lang w:bidi="ar"/>
              </w:rPr>
              <w:t>47</w:t>
            </w:r>
          </w:p>
        </w:tc>
        <w:tc>
          <w:tcPr>
            <w:tcW w:w="1104" w:type="pct"/>
            <w:tcBorders>
              <w:top w:val="single" w:color="000000" w:sz="4" w:space="0"/>
              <w:left w:val="single" w:color="000000" w:sz="4" w:space="0"/>
              <w:bottom w:val="single" w:color="000000" w:sz="4" w:space="0"/>
              <w:right w:val="single" w:color="000000" w:sz="4" w:space="0"/>
            </w:tcBorders>
            <w:noWrap/>
            <w:vAlign w:val="center"/>
          </w:tcPr>
          <w:p w14:paraId="44A9FF44">
            <w:pPr>
              <w:widowControl/>
              <w:spacing w:line="240" w:lineRule="auto"/>
              <w:ind w:firstLine="0" w:firstLineChars="0"/>
              <w:jc w:val="left"/>
              <w:textAlignment w:val="center"/>
              <w:rPr>
                <w:rFonts w:cs="宋体"/>
                <w:color w:val="000000"/>
                <w:sz w:val="20"/>
                <w:szCs w:val="20"/>
                <w:highlight w:val="none"/>
              </w:rPr>
            </w:pPr>
            <w:r>
              <w:rPr>
                <w:rFonts w:hint="eastAsia" w:cs="宋体"/>
                <w:color w:val="000000"/>
                <w:kern w:val="0"/>
                <w:sz w:val="20"/>
                <w:szCs w:val="20"/>
                <w:highlight w:val="none"/>
                <w:lang w:bidi="ar"/>
              </w:rPr>
              <w:t>城管执法对象监管</w:t>
            </w:r>
          </w:p>
        </w:tc>
        <w:tc>
          <w:tcPr>
            <w:tcW w:w="1436" w:type="pct"/>
            <w:tcBorders>
              <w:top w:val="single" w:color="000000" w:sz="4" w:space="0"/>
              <w:left w:val="single" w:color="000000" w:sz="4" w:space="0"/>
              <w:bottom w:val="single" w:color="000000" w:sz="4" w:space="0"/>
              <w:right w:val="single" w:color="000000" w:sz="4" w:space="0"/>
            </w:tcBorders>
            <w:vAlign w:val="center"/>
          </w:tcPr>
          <w:p w14:paraId="4592880F">
            <w:pPr>
              <w:widowControl/>
              <w:spacing w:line="240" w:lineRule="auto"/>
              <w:ind w:firstLine="0" w:firstLineChars="0"/>
              <w:jc w:val="center"/>
              <w:textAlignment w:val="center"/>
              <w:rPr>
                <w:rFonts w:cs="宋体"/>
                <w:color w:val="000000"/>
                <w:sz w:val="20"/>
                <w:szCs w:val="20"/>
                <w:highlight w:val="none"/>
              </w:rPr>
            </w:pPr>
            <w:r>
              <w:rPr>
                <w:rFonts w:hint="eastAsia" w:cs="宋体"/>
                <w:color w:val="000000"/>
                <w:kern w:val="0"/>
                <w:sz w:val="20"/>
                <w:szCs w:val="20"/>
                <w:highlight w:val="none"/>
                <w:lang w:bidi="ar"/>
              </w:rPr>
              <w:t>水务执法检查</w:t>
            </w:r>
            <w:r>
              <w:rPr>
                <w:rFonts w:hint="eastAsia" w:ascii="宋体" w:hAnsi="宋体" w:eastAsia="宋体" w:cs="宋体"/>
                <w:color w:val="000000"/>
                <w:kern w:val="0"/>
                <w:sz w:val="20"/>
                <w:szCs w:val="20"/>
                <w:highlight w:val="none"/>
                <w:lang w:bidi="ar"/>
              </w:rPr>
              <w:t>（</w:t>
            </w:r>
            <w:r>
              <w:rPr>
                <w:rFonts w:hint="eastAsia" w:ascii="宋体" w:hAnsi="宋体" w:eastAsia="宋体" w:cs="宋体"/>
                <w:color w:val="000000"/>
                <w:kern w:val="0"/>
                <w:sz w:val="20"/>
                <w:szCs w:val="20"/>
                <w:highlight w:val="none"/>
                <w:shd w:val="clear"/>
                <w:lang w:bidi="ar"/>
              </w:rPr>
              <w:t>新建</w:t>
            </w:r>
            <w:r>
              <w:rPr>
                <w:rFonts w:hint="eastAsia" w:ascii="宋体" w:hAnsi="宋体" w:eastAsia="宋体" w:cs="宋体"/>
                <w:color w:val="000000"/>
                <w:kern w:val="0"/>
                <w:sz w:val="20"/>
                <w:szCs w:val="20"/>
                <w:highlight w:val="none"/>
                <w:lang w:bidi="ar"/>
              </w:rPr>
              <w:t>）-</w:t>
            </w:r>
            <w:r>
              <w:rPr>
                <w:rFonts w:hint="eastAsia" w:cs="宋体"/>
                <w:color w:val="000000"/>
                <w:kern w:val="0"/>
                <w:sz w:val="20"/>
                <w:szCs w:val="20"/>
                <w:highlight w:val="none"/>
                <w:lang w:bidi="ar"/>
              </w:rPr>
              <w:t>对象分类分级</w:t>
            </w:r>
          </w:p>
        </w:tc>
        <w:tc>
          <w:tcPr>
            <w:tcW w:w="1998" w:type="pct"/>
            <w:tcBorders>
              <w:top w:val="single" w:color="000000" w:sz="4" w:space="0"/>
              <w:left w:val="single" w:color="000000" w:sz="4" w:space="0"/>
              <w:bottom w:val="single" w:color="000000" w:sz="4" w:space="0"/>
              <w:right w:val="single" w:color="000000" w:sz="4" w:space="0"/>
            </w:tcBorders>
            <w:vAlign w:val="center"/>
          </w:tcPr>
          <w:p w14:paraId="2CF762D1">
            <w:pPr>
              <w:widowControl/>
              <w:spacing w:line="240" w:lineRule="auto"/>
              <w:ind w:firstLine="0" w:firstLineChars="0"/>
              <w:jc w:val="left"/>
              <w:textAlignment w:val="center"/>
              <w:rPr>
                <w:rFonts w:cs="宋体"/>
                <w:color w:val="000000"/>
                <w:sz w:val="20"/>
                <w:szCs w:val="20"/>
                <w:highlight w:val="none"/>
              </w:rPr>
            </w:pPr>
            <w:r>
              <w:rPr>
                <w:rFonts w:hint="eastAsia" w:cs="宋体"/>
                <w:color w:val="000000"/>
                <w:kern w:val="0"/>
                <w:sz w:val="20"/>
                <w:szCs w:val="20"/>
                <w:highlight w:val="none"/>
                <w:lang w:bidi="ar"/>
              </w:rPr>
              <w:t>实现水务执法对象分类分级规则配置、初始调级管理、颜色使用规则设置、水务执法对象升降级管理、水务执法对象升降级调级频率管理。</w:t>
            </w:r>
          </w:p>
        </w:tc>
      </w:tr>
      <w:tr w14:paraId="10EE0A8F">
        <w:tblPrEx>
          <w:tblCellMar>
            <w:top w:w="0" w:type="dxa"/>
            <w:left w:w="108" w:type="dxa"/>
            <w:bottom w:w="0" w:type="dxa"/>
            <w:right w:w="108" w:type="dxa"/>
          </w:tblCellMar>
        </w:tblPrEx>
        <w:trPr>
          <w:trHeight w:val="780" w:hRule="atLeast"/>
        </w:trPr>
        <w:tc>
          <w:tcPr>
            <w:tcW w:w="460" w:type="pct"/>
            <w:tcBorders>
              <w:top w:val="single" w:color="000000" w:sz="4" w:space="0"/>
              <w:left w:val="single" w:color="000000" w:sz="4" w:space="0"/>
              <w:bottom w:val="single" w:color="000000" w:sz="4" w:space="0"/>
              <w:right w:val="single" w:color="000000" w:sz="4" w:space="0"/>
            </w:tcBorders>
            <w:noWrap/>
            <w:vAlign w:val="center"/>
          </w:tcPr>
          <w:p w14:paraId="575639C0">
            <w:pPr>
              <w:widowControl/>
              <w:spacing w:line="240" w:lineRule="auto"/>
              <w:ind w:firstLine="0" w:firstLineChars="0"/>
              <w:jc w:val="center"/>
              <w:textAlignment w:val="center"/>
              <w:rPr>
                <w:rFonts w:cs="宋体"/>
                <w:color w:val="000000"/>
                <w:sz w:val="20"/>
                <w:szCs w:val="20"/>
                <w:highlight w:val="none"/>
              </w:rPr>
            </w:pPr>
            <w:r>
              <w:rPr>
                <w:rFonts w:hint="eastAsia" w:cs="宋体"/>
                <w:color w:val="000000"/>
                <w:kern w:val="0"/>
                <w:sz w:val="20"/>
                <w:szCs w:val="20"/>
                <w:highlight w:val="none"/>
                <w:lang w:bidi="ar"/>
              </w:rPr>
              <w:t>48</w:t>
            </w:r>
          </w:p>
        </w:tc>
        <w:tc>
          <w:tcPr>
            <w:tcW w:w="1104" w:type="pct"/>
            <w:tcBorders>
              <w:top w:val="single" w:color="000000" w:sz="4" w:space="0"/>
              <w:left w:val="single" w:color="000000" w:sz="4" w:space="0"/>
              <w:bottom w:val="single" w:color="000000" w:sz="4" w:space="0"/>
              <w:right w:val="single" w:color="000000" w:sz="4" w:space="0"/>
            </w:tcBorders>
            <w:noWrap/>
            <w:vAlign w:val="center"/>
          </w:tcPr>
          <w:p w14:paraId="733ECB57">
            <w:pPr>
              <w:widowControl/>
              <w:spacing w:line="240" w:lineRule="auto"/>
              <w:ind w:firstLine="0" w:firstLineChars="0"/>
              <w:jc w:val="left"/>
              <w:textAlignment w:val="center"/>
              <w:rPr>
                <w:rFonts w:cs="宋体"/>
                <w:color w:val="000000"/>
                <w:sz w:val="20"/>
                <w:szCs w:val="20"/>
                <w:highlight w:val="none"/>
              </w:rPr>
            </w:pPr>
            <w:r>
              <w:rPr>
                <w:rFonts w:hint="eastAsia" w:cs="宋体"/>
                <w:color w:val="000000"/>
                <w:kern w:val="0"/>
                <w:sz w:val="20"/>
                <w:szCs w:val="20"/>
                <w:highlight w:val="none"/>
                <w:lang w:bidi="ar"/>
              </w:rPr>
              <w:t>城管执法对象监管</w:t>
            </w:r>
          </w:p>
        </w:tc>
        <w:tc>
          <w:tcPr>
            <w:tcW w:w="1436" w:type="pct"/>
            <w:tcBorders>
              <w:top w:val="single" w:color="000000" w:sz="4" w:space="0"/>
              <w:left w:val="single" w:color="000000" w:sz="4" w:space="0"/>
              <w:bottom w:val="single" w:color="000000" w:sz="4" w:space="0"/>
              <w:right w:val="single" w:color="000000" w:sz="4" w:space="0"/>
            </w:tcBorders>
            <w:vAlign w:val="center"/>
          </w:tcPr>
          <w:p w14:paraId="03F01AA6">
            <w:pPr>
              <w:widowControl/>
              <w:spacing w:line="240" w:lineRule="auto"/>
              <w:ind w:firstLine="0" w:firstLineChars="0"/>
              <w:jc w:val="center"/>
              <w:textAlignment w:val="center"/>
              <w:rPr>
                <w:rFonts w:cs="宋体"/>
                <w:color w:val="000000"/>
                <w:sz w:val="20"/>
                <w:szCs w:val="20"/>
                <w:highlight w:val="none"/>
              </w:rPr>
            </w:pPr>
            <w:r>
              <w:rPr>
                <w:rFonts w:hint="eastAsia" w:cs="宋体"/>
                <w:color w:val="000000"/>
                <w:kern w:val="0"/>
                <w:sz w:val="20"/>
                <w:szCs w:val="20"/>
                <w:highlight w:val="none"/>
                <w:lang w:bidi="ar"/>
              </w:rPr>
              <w:t>水务执法检查（新建）-执法检查管理-检查线索来源管理</w:t>
            </w:r>
          </w:p>
        </w:tc>
        <w:tc>
          <w:tcPr>
            <w:tcW w:w="1998" w:type="pct"/>
            <w:tcBorders>
              <w:top w:val="single" w:color="000000" w:sz="4" w:space="0"/>
              <w:left w:val="single" w:color="000000" w:sz="4" w:space="0"/>
              <w:bottom w:val="single" w:color="000000" w:sz="4" w:space="0"/>
              <w:right w:val="single" w:color="000000" w:sz="4" w:space="0"/>
            </w:tcBorders>
            <w:vAlign w:val="center"/>
          </w:tcPr>
          <w:p w14:paraId="7B4C1F95">
            <w:pPr>
              <w:widowControl/>
              <w:spacing w:line="240" w:lineRule="auto"/>
              <w:ind w:firstLine="0" w:firstLineChars="0"/>
              <w:jc w:val="left"/>
              <w:textAlignment w:val="center"/>
              <w:rPr>
                <w:rFonts w:cs="宋体"/>
                <w:color w:val="000000"/>
                <w:sz w:val="20"/>
                <w:szCs w:val="20"/>
                <w:highlight w:val="none"/>
              </w:rPr>
            </w:pPr>
            <w:r>
              <w:rPr>
                <w:rFonts w:hint="eastAsia" w:cs="宋体"/>
                <w:color w:val="000000"/>
                <w:kern w:val="0"/>
                <w:sz w:val="20"/>
                <w:szCs w:val="20"/>
                <w:highlight w:val="none"/>
                <w:lang w:bidi="ar"/>
              </w:rPr>
              <w:t>市水务执法总队移送线索给市城管局执法总队，城管总队在登记后转检查计划。同时城管总队也可将涉及交界城区的线索移送回市水务总队。</w:t>
            </w:r>
          </w:p>
        </w:tc>
      </w:tr>
      <w:tr w14:paraId="11B75FAF">
        <w:tblPrEx>
          <w:tblCellMar>
            <w:top w:w="0" w:type="dxa"/>
            <w:left w:w="108" w:type="dxa"/>
            <w:bottom w:w="0" w:type="dxa"/>
            <w:right w:w="108" w:type="dxa"/>
          </w:tblCellMar>
        </w:tblPrEx>
        <w:trPr>
          <w:trHeight w:val="1300" w:hRule="atLeast"/>
        </w:trPr>
        <w:tc>
          <w:tcPr>
            <w:tcW w:w="460" w:type="pct"/>
            <w:tcBorders>
              <w:top w:val="single" w:color="000000" w:sz="4" w:space="0"/>
              <w:left w:val="single" w:color="000000" w:sz="4" w:space="0"/>
              <w:bottom w:val="single" w:color="000000" w:sz="4" w:space="0"/>
              <w:right w:val="single" w:color="000000" w:sz="4" w:space="0"/>
            </w:tcBorders>
            <w:noWrap/>
            <w:vAlign w:val="center"/>
          </w:tcPr>
          <w:p w14:paraId="74668DFF">
            <w:pPr>
              <w:widowControl/>
              <w:spacing w:line="240" w:lineRule="auto"/>
              <w:ind w:firstLine="0" w:firstLineChars="0"/>
              <w:jc w:val="center"/>
              <w:textAlignment w:val="center"/>
              <w:rPr>
                <w:rFonts w:cs="宋体"/>
                <w:color w:val="000000"/>
                <w:sz w:val="20"/>
                <w:szCs w:val="20"/>
                <w:highlight w:val="none"/>
              </w:rPr>
            </w:pPr>
            <w:r>
              <w:rPr>
                <w:rFonts w:hint="eastAsia" w:cs="宋体"/>
                <w:color w:val="000000"/>
                <w:kern w:val="0"/>
                <w:sz w:val="20"/>
                <w:szCs w:val="20"/>
                <w:highlight w:val="none"/>
                <w:lang w:bidi="ar"/>
              </w:rPr>
              <w:t>49</w:t>
            </w:r>
          </w:p>
        </w:tc>
        <w:tc>
          <w:tcPr>
            <w:tcW w:w="1104" w:type="pct"/>
            <w:tcBorders>
              <w:top w:val="single" w:color="000000" w:sz="4" w:space="0"/>
              <w:left w:val="single" w:color="000000" w:sz="4" w:space="0"/>
              <w:bottom w:val="single" w:color="000000" w:sz="4" w:space="0"/>
              <w:right w:val="single" w:color="000000" w:sz="4" w:space="0"/>
            </w:tcBorders>
            <w:noWrap/>
            <w:vAlign w:val="center"/>
          </w:tcPr>
          <w:p w14:paraId="070CA031">
            <w:pPr>
              <w:widowControl/>
              <w:spacing w:line="240" w:lineRule="auto"/>
              <w:ind w:firstLine="0" w:firstLineChars="0"/>
              <w:jc w:val="left"/>
              <w:textAlignment w:val="center"/>
              <w:rPr>
                <w:rFonts w:cs="宋体"/>
                <w:color w:val="000000"/>
                <w:sz w:val="20"/>
                <w:szCs w:val="20"/>
                <w:highlight w:val="none"/>
              </w:rPr>
            </w:pPr>
            <w:r>
              <w:rPr>
                <w:rFonts w:hint="eastAsia" w:cs="宋体"/>
                <w:color w:val="000000"/>
                <w:kern w:val="0"/>
                <w:sz w:val="20"/>
                <w:szCs w:val="20"/>
                <w:highlight w:val="none"/>
                <w:lang w:bidi="ar"/>
              </w:rPr>
              <w:t>城管执法对象监管</w:t>
            </w:r>
          </w:p>
        </w:tc>
        <w:tc>
          <w:tcPr>
            <w:tcW w:w="1436" w:type="pct"/>
            <w:tcBorders>
              <w:top w:val="single" w:color="000000" w:sz="4" w:space="0"/>
              <w:left w:val="single" w:color="000000" w:sz="4" w:space="0"/>
              <w:bottom w:val="single" w:color="000000" w:sz="4" w:space="0"/>
              <w:right w:val="single" w:color="000000" w:sz="4" w:space="0"/>
            </w:tcBorders>
            <w:vAlign w:val="center"/>
          </w:tcPr>
          <w:p w14:paraId="026C2960">
            <w:pPr>
              <w:widowControl/>
              <w:spacing w:line="240" w:lineRule="auto"/>
              <w:ind w:firstLine="0" w:firstLineChars="0"/>
              <w:jc w:val="center"/>
              <w:textAlignment w:val="center"/>
              <w:rPr>
                <w:rFonts w:cs="宋体"/>
                <w:color w:val="000000"/>
                <w:sz w:val="20"/>
                <w:szCs w:val="20"/>
                <w:highlight w:val="none"/>
              </w:rPr>
            </w:pPr>
            <w:r>
              <w:rPr>
                <w:rFonts w:hint="eastAsia" w:cs="宋体"/>
                <w:color w:val="000000"/>
                <w:kern w:val="0"/>
                <w:sz w:val="20"/>
                <w:szCs w:val="20"/>
                <w:highlight w:val="none"/>
                <w:lang w:bidi="ar"/>
              </w:rPr>
              <w:t>水务执法检查（新建）-执法检查管理-水务执法检查计划配置</w:t>
            </w:r>
          </w:p>
        </w:tc>
        <w:tc>
          <w:tcPr>
            <w:tcW w:w="1998" w:type="pct"/>
            <w:tcBorders>
              <w:top w:val="single" w:color="000000" w:sz="4" w:space="0"/>
              <w:left w:val="single" w:color="000000" w:sz="4" w:space="0"/>
              <w:bottom w:val="single" w:color="000000" w:sz="4" w:space="0"/>
              <w:right w:val="single" w:color="000000" w:sz="4" w:space="0"/>
            </w:tcBorders>
            <w:vAlign w:val="center"/>
          </w:tcPr>
          <w:p w14:paraId="5A10AB88">
            <w:pPr>
              <w:widowControl/>
              <w:spacing w:line="240" w:lineRule="auto"/>
              <w:ind w:firstLine="0" w:firstLineChars="0"/>
              <w:jc w:val="left"/>
              <w:textAlignment w:val="center"/>
              <w:rPr>
                <w:rFonts w:cs="宋体"/>
                <w:color w:val="000000"/>
                <w:sz w:val="20"/>
                <w:szCs w:val="20"/>
                <w:highlight w:val="none"/>
              </w:rPr>
            </w:pPr>
            <w:r>
              <w:rPr>
                <w:rFonts w:hint="eastAsia" w:cs="宋体"/>
                <w:color w:val="000000"/>
                <w:kern w:val="0"/>
                <w:sz w:val="20"/>
                <w:szCs w:val="20"/>
                <w:highlight w:val="none"/>
                <w:lang w:bidi="ar"/>
              </w:rPr>
              <w:t>系统支持检查内容设置。确定检查方式，制定检查计划。根据检查方式、检查频次、检查对象、检查计划等，生成检查任务。根据每个任务的级别、紧迫性、社会关注度等差异，系统支持设置任务优先度并进行标签设置。</w:t>
            </w:r>
          </w:p>
        </w:tc>
      </w:tr>
      <w:tr w14:paraId="438F9D37">
        <w:tblPrEx>
          <w:tblCellMar>
            <w:top w:w="0" w:type="dxa"/>
            <w:left w:w="108" w:type="dxa"/>
            <w:bottom w:w="0" w:type="dxa"/>
            <w:right w:w="108" w:type="dxa"/>
          </w:tblCellMar>
        </w:tblPrEx>
        <w:trPr>
          <w:trHeight w:val="780" w:hRule="atLeast"/>
        </w:trPr>
        <w:tc>
          <w:tcPr>
            <w:tcW w:w="460" w:type="pct"/>
            <w:tcBorders>
              <w:top w:val="single" w:color="000000" w:sz="4" w:space="0"/>
              <w:left w:val="single" w:color="000000" w:sz="4" w:space="0"/>
              <w:bottom w:val="single" w:color="000000" w:sz="4" w:space="0"/>
              <w:right w:val="single" w:color="000000" w:sz="4" w:space="0"/>
            </w:tcBorders>
            <w:noWrap/>
            <w:vAlign w:val="center"/>
          </w:tcPr>
          <w:p w14:paraId="1F7BE1CA">
            <w:pPr>
              <w:widowControl/>
              <w:spacing w:line="240" w:lineRule="auto"/>
              <w:ind w:firstLine="0" w:firstLineChars="0"/>
              <w:jc w:val="center"/>
              <w:textAlignment w:val="center"/>
              <w:rPr>
                <w:rFonts w:cs="宋体"/>
                <w:color w:val="000000"/>
                <w:sz w:val="20"/>
                <w:szCs w:val="20"/>
                <w:highlight w:val="none"/>
              </w:rPr>
            </w:pPr>
            <w:r>
              <w:rPr>
                <w:rFonts w:hint="eastAsia" w:cs="宋体"/>
                <w:color w:val="000000"/>
                <w:kern w:val="0"/>
                <w:sz w:val="20"/>
                <w:szCs w:val="20"/>
                <w:highlight w:val="none"/>
                <w:lang w:bidi="ar"/>
              </w:rPr>
              <w:t>50</w:t>
            </w:r>
          </w:p>
        </w:tc>
        <w:tc>
          <w:tcPr>
            <w:tcW w:w="1104" w:type="pct"/>
            <w:tcBorders>
              <w:top w:val="single" w:color="000000" w:sz="4" w:space="0"/>
              <w:left w:val="single" w:color="000000" w:sz="4" w:space="0"/>
              <w:bottom w:val="single" w:color="000000" w:sz="4" w:space="0"/>
              <w:right w:val="single" w:color="000000" w:sz="4" w:space="0"/>
            </w:tcBorders>
            <w:noWrap/>
            <w:vAlign w:val="center"/>
          </w:tcPr>
          <w:p w14:paraId="2570C5CA">
            <w:pPr>
              <w:widowControl/>
              <w:spacing w:line="240" w:lineRule="auto"/>
              <w:ind w:firstLine="0" w:firstLineChars="0"/>
              <w:jc w:val="left"/>
              <w:textAlignment w:val="center"/>
              <w:rPr>
                <w:rFonts w:cs="宋体"/>
                <w:color w:val="000000"/>
                <w:sz w:val="20"/>
                <w:szCs w:val="20"/>
                <w:highlight w:val="none"/>
              </w:rPr>
            </w:pPr>
            <w:r>
              <w:rPr>
                <w:rFonts w:hint="eastAsia" w:cs="宋体"/>
                <w:color w:val="000000"/>
                <w:kern w:val="0"/>
                <w:sz w:val="20"/>
                <w:szCs w:val="20"/>
                <w:highlight w:val="none"/>
                <w:lang w:bidi="ar"/>
              </w:rPr>
              <w:t>城管执法对象监管</w:t>
            </w:r>
          </w:p>
        </w:tc>
        <w:tc>
          <w:tcPr>
            <w:tcW w:w="1436" w:type="pct"/>
            <w:tcBorders>
              <w:top w:val="single" w:color="000000" w:sz="4" w:space="0"/>
              <w:left w:val="single" w:color="000000" w:sz="4" w:space="0"/>
              <w:bottom w:val="single" w:color="000000" w:sz="4" w:space="0"/>
              <w:right w:val="single" w:color="000000" w:sz="4" w:space="0"/>
            </w:tcBorders>
            <w:vAlign w:val="center"/>
          </w:tcPr>
          <w:p w14:paraId="75A876BF">
            <w:pPr>
              <w:widowControl/>
              <w:spacing w:line="240" w:lineRule="auto"/>
              <w:ind w:firstLine="0" w:firstLineChars="0"/>
              <w:jc w:val="center"/>
              <w:textAlignment w:val="center"/>
              <w:rPr>
                <w:rFonts w:cs="宋体"/>
                <w:color w:val="000000"/>
                <w:sz w:val="20"/>
                <w:szCs w:val="20"/>
                <w:highlight w:val="none"/>
              </w:rPr>
            </w:pPr>
            <w:r>
              <w:rPr>
                <w:rFonts w:hint="eastAsia" w:cs="宋体"/>
                <w:color w:val="000000"/>
                <w:kern w:val="0"/>
                <w:sz w:val="20"/>
                <w:szCs w:val="20"/>
                <w:highlight w:val="none"/>
                <w:lang w:bidi="ar"/>
              </w:rPr>
              <w:t>水务执法检查（新建）-执法检查管理-水务执法检查任务管理</w:t>
            </w:r>
          </w:p>
        </w:tc>
        <w:tc>
          <w:tcPr>
            <w:tcW w:w="1998" w:type="pct"/>
            <w:tcBorders>
              <w:top w:val="single" w:color="000000" w:sz="4" w:space="0"/>
              <w:left w:val="single" w:color="000000" w:sz="4" w:space="0"/>
              <w:bottom w:val="single" w:color="000000" w:sz="4" w:space="0"/>
              <w:right w:val="single" w:color="000000" w:sz="4" w:space="0"/>
            </w:tcBorders>
            <w:vAlign w:val="center"/>
          </w:tcPr>
          <w:p w14:paraId="4A4DEF5F">
            <w:pPr>
              <w:widowControl/>
              <w:spacing w:line="240" w:lineRule="auto"/>
              <w:ind w:firstLine="0" w:firstLineChars="0"/>
              <w:jc w:val="left"/>
              <w:textAlignment w:val="center"/>
              <w:rPr>
                <w:rFonts w:cs="宋体"/>
                <w:color w:val="000000"/>
                <w:sz w:val="20"/>
                <w:szCs w:val="20"/>
                <w:highlight w:val="none"/>
              </w:rPr>
            </w:pPr>
            <w:r>
              <w:rPr>
                <w:rFonts w:hint="eastAsia" w:cs="宋体"/>
                <w:color w:val="000000"/>
                <w:kern w:val="0"/>
                <w:sz w:val="20"/>
                <w:szCs w:val="20"/>
                <w:highlight w:val="none"/>
                <w:lang w:bidi="ar"/>
              </w:rPr>
              <w:t>实现水务执法检查任务市总队、区局、中队、队员三级派发。</w:t>
            </w:r>
          </w:p>
        </w:tc>
      </w:tr>
      <w:tr w14:paraId="7510A8E9">
        <w:tblPrEx>
          <w:tblCellMar>
            <w:top w:w="0" w:type="dxa"/>
            <w:left w:w="108" w:type="dxa"/>
            <w:bottom w:w="0" w:type="dxa"/>
            <w:right w:w="108" w:type="dxa"/>
          </w:tblCellMar>
        </w:tblPrEx>
        <w:trPr>
          <w:trHeight w:val="1040" w:hRule="atLeast"/>
        </w:trPr>
        <w:tc>
          <w:tcPr>
            <w:tcW w:w="460" w:type="pct"/>
            <w:tcBorders>
              <w:top w:val="single" w:color="000000" w:sz="4" w:space="0"/>
              <w:left w:val="single" w:color="000000" w:sz="4" w:space="0"/>
              <w:bottom w:val="single" w:color="000000" w:sz="4" w:space="0"/>
              <w:right w:val="single" w:color="000000" w:sz="4" w:space="0"/>
            </w:tcBorders>
            <w:noWrap/>
            <w:vAlign w:val="center"/>
          </w:tcPr>
          <w:p w14:paraId="513AC299">
            <w:pPr>
              <w:widowControl/>
              <w:spacing w:line="240" w:lineRule="auto"/>
              <w:ind w:firstLine="0" w:firstLineChars="0"/>
              <w:jc w:val="center"/>
              <w:textAlignment w:val="center"/>
              <w:rPr>
                <w:rFonts w:cs="宋体"/>
                <w:color w:val="000000"/>
                <w:sz w:val="20"/>
                <w:szCs w:val="20"/>
                <w:highlight w:val="none"/>
              </w:rPr>
            </w:pPr>
            <w:r>
              <w:rPr>
                <w:rFonts w:hint="eastAsia" w:cs="宋体"/>
                <w:color w:val="000000"/>
                <w:kern w:val="0"/>
                <w:sz w:val="20"/>
                <w:szCs w:val="20"/>
                <w:highlight w:val="none"/>
                <w:lang w:bidi="ar"/>
              </w:rPr>
              <w:t>51</w:t>
            </w:r>
          </w:p>
        </w:tc>
        <w:tc>
          <w:tcPr>
            <w:tcW w:w="1104" w:type="pct"/>
            <w:tcBorders>
              <w:top w:val="single" w:color="000000" w:sz="4" w:space="0"/>
              <w:left w:val="single" w:color="000000" w:sz="4" w:space="0"/>
              <w:bottom w:val="single" w:color="000000" w:sz="4" w:space="0"/>
              <w:right w:val="single" w:color="000000" w:sz="4" w:space="0"/>
            </w:tcBorders>
            <w:noWrap/>
            <w:vAlign w:val="center"/>
          </w:tcPr>
          <w:p w14:paraId="7ED0456C">
            <w:pPr>
              <w:widowControl/>
              <w:spacing w:line="240" w:lineRule="auto"/>
              <w:ind w:firstLine="0" w:firstLineChars="0"/>
              <w:jc w:val="left"/>
              <w:textAlignment w:val="center"/>
              <w:rPr>
                <w:rFonts w:cs="宋体"/>
                <w:color w:val="000000"/>
                <w:sz w:val="20"/>
                <w:szCs w:val="20"/>
                <w:highlight w:val="none"/>
              </w:rPr>
            </w:pPr>
            <w:r>
              <w:rPr>
                <w:rFonts w:hint="eastAsia" w:cs="宋体"/>
                <w:color w:val="000000"/>
                <w:kern w:val="0"/>
                <w:sz w:val="20"/>
                <w:szCs w:val="20"/>
                <w:highlight w:val="none"/>
                <w:lang w:bidi="ar"/>
              </w:rPr>
              <w:t>城管执法对象监管</w:t>
            </w:r>
          </w:p>
        </w:tc>
        <w:tc>
          <w:tcPr>
            <w:tcW w:w="1436" w:type="pct"/>
            <w:tcBorders>
              <w:top w:val="single" w:color="000000" w:sz="4" w:space="0"/>
              <w:left w:val="single" w:color="000000" w:sz="4" w:space="0"/>
              <w:bottom w:val="single" w:color="000000" w:sz="4" w:space="0"/>
              <w:right w:val="single" w:color="000000" w:sz="4" w:space="0"/>
            </w:tcBorders>
            <w:vAlign w:val="center"/>
          </w:tcPr>
          <w:p w14:paraId="7CA26FEB">
            <w:pPr>
              <w:widowControl/>
              <w:spacing w:line="240" w:lineRule="auto"/>
              <w:ind w:firstLine="0" w:firstLineChars="0"/>
              <w:jc w:val="center"/>
              <w:textAlignment w:val="center"/>
              <w:rPr>
                <w:rFonts w:cs="宋体"/>
                <w:color w:val="000000"/>
                <w:sz w:val="20"/>
                <w:szCs w:val="20"/>
                <w:highlight w:val="none"/>
              </w:rPr>
            </w:pPr>
            <w:r>
              <w:rPr>
                <w:rFonts w:hint="eastAsia" w:cs="宋体"/>
                <w:color w:val="000000"/>
                <w:kern w:val="0"/>
                <w:sz w:val="20"/>
                <w:szCs w:val="20"/>
                <w:highlight w:val="none"/>
                <w:lang w:bidi="ar"/>
              </w:rPr>
              <w:t>水务执法检查（新建）-执法检查管理-水务执法检查任务复核与处置结果反馈</w:t>
            </w:r>
          </w:p>
        </w:tc>
        <w:tc>
          <w:tcPr>
            <w:tcW w:w="1998" w:type="pct"/>
            <w:tcBorders>
              <w:top w:val="single" w:color="000000" w:sz="4" w:space="0"/>
              <w:left w:val="single" w:color="000000" w:sz="4" w:space="0"/>
              <w:bottom w:val="single" w:color="000000" w:sz="4" w:space="0"/>
              <w:right w:val="single" w:color="000000" w:sz="4" w:space="0"/>
            </w:tcBorders>
            <w:vAlign w:val="center"/>
          </w:tcPr>
          <w:p w14:paraId="2A66CB46">
            <w:pPr>
              <w:widowControl/>
              <w:spacing w:line="240" w:lineRule="auto"/>
              <w:ind w:firstLine="0" w:firstLineChars="0"/>
              <w:jc w:val="left"/>
              <w:textAlignment w:val="center"/>
              <w:rPr>
                <w:rFonts w:cs="宋体"/>
                <w:color w:val="000000"/>
                <w:sz w:val="20"/>
                <w:szCs w:val="20"/>
                <w:highlight w:val="none"/>
              </w:rPr>
            </w:pPr>
            <w:r>
              <w:rPr>
                <w:rFonts w:hint="eastAsia" w:cs="宋体"/>
                <w:color w:val="000000"/>
                <w:kern w:val="0"/>
                <w:sz w:val="20"/>
                <w:szCs w:val="20"/>
                <w:highlight w:val="none"/>
                <w:lang w:bidi="ar"/>
              </w:rPr>
              <w:t>支持检查任务处置结果进行复核，区局将检查结果推送至市总队，系统对区局水务执法检查工作进行全留痕。实现市城管执法总队对市水务局执法总队移送线索的处置结果反馈至市水务局执法总队。</w:t>
            </w:r>
          </w:p>
        </w:tc>
      </w:tr>
      <w:tr w14:paraId="363A8C60">
        <w:tblPrEx>
          <w:tblCellMar>
            <w:top w:w="0" w:type="dxa"/>
            <w:left w:w="108" w:type="dxa"/>
            <w:bottom w:w="0" w:type="dxa"/>
            <w:right w:w="108" w:type="dxa"/>
          </w:tblCellMar>
        </w:tblPrEx>
        <w:trPr>
          <w:trHeight w:val="520" w:hRule="atLeast"/>
        </w:trPr>
        <w:tc>
          <w:tcPr>
            <w:tcW w:w="460" w:type="pct"/>
            <w:tcBorders>
              <w:top w:val="single" w:color="000000" w:sz="4" w:space="0"/>
              <w:left w:val="single" w:color="000000" w:sz="4" w:space="0"/>
              <w:bottom w:val="single" w:color="000000" w:sz="4" w:space="0"/>
              <w:right w:val="single" w:color="000000" w:sz="4" w:space="0"/>
            </w:tcBorders>
            <w:noWrap/>
            <w:vAlign w:val="center"/>
          </w:tcPr>
          <w:p w14:paraId="60F437C0">
            <w:pPr>
              <w:widowControl/>
              <w:spacing w:line="240" w:lineRule="auto"/>
              <w:ind w:firstLine="0" w:firstLineChars="0"/>
              <w:jc w:val="center"/>
              <w:textAlignment w:val="center"/>
              <w:rPr>
                <w:rFonts w:cs="宋体"/>
                <w:color w:val="000000"/>
                <w:sz w:val="20"/>
                <w:szCs w:val="20"/>
                <w:highlight w:val="none"/>
              </w:rPr>
            </w:pPr>
            <w:r>
              <w:rPr>
                <w:rFonts w:hint="eastAsia" w:cs="宋体"/>
                <w:color w:val="000000"/>
                <w:kern w:val="0"/>
                <w:sz w:val="20"/>
                <w:szCs w:val="20"/>
                <w:highlight w:val="none"/>
                <w:lang w:bidi="ar"/>
              </w:rPr>
              <w:t>52</w:t>
            </w:r>
          </w:p>
        </w:tc>
        <w:tc>
          <w:tcPr>
            <w:tcW w:w="1104" w:type="pct"/>
            <w:tcBorders>
              <w:top w:val="single" w:color="000000" w:sz="4" w:space="0"/>
              <w:left w:val="single" w:color="000000" w:sz="4" w:space="0"/>
              <w:bottom w:val="single" w:color="000000" w:sz="4" w:space="0"/>
              <w:right w:val="single" w:color="000000" w:sz="4" w:space="0"/>
            </w:tcBorders>
            <w:noWrap/>
            <w:vAlign w:val="center"/>
          </w:tcPr>
          <w:p w14:paraId="6B54F52E">
            <w:pPr>
              <w:widowControl/>
              <w:spacing w:line="240" w:lineRule="auto"/>
              <w:ind w:firstLine="0" w:firstLineChars="0"/>
              <w:jc w:val="left"/>
              <w:textAlignment w:val="center"/>
              <w:rPr>
                <w:rFonts w:cs="宋体"/>
                <w:color w:val="000000"/>
                <w:sz w:val="20"/>
                <w:szCs w:val="20"/>
                <w:highlight w:val="none"/>
              </w:rPr>
            </w:pPr>
            <w:r>
              <w:rPr>
                <w:rFonts w:hint="eastAsia" w:cs="宋体"/>
                <w:color w:val="000000"/>
                <w:kern w:val="0"/>
                <w:sz w:val="20"/>
                <w:szCs w:val="20"/>
                <w:highlight w:val="none"/>
                <w:lang w:bidi="ar"/>
              </w:rPr>
              <w:t>城管执法对象监管</w:t>
            </w:r>
          </w:p>
        </w:tc>
        <w:tc>
          <w:tcPr>
            <w:tcW w:w="1436" w:type="pct"/>
            <w:tcBorders>
              <w:top w:val="single" w:color="000000" w:sz="4" w:space="0"/>
              <w:left w:val="single" w:color="000000" w:sz="4" w:space="0"/>
              <w:bottom w:val="single" w:color="000000" w:sz="4" w:space="0"/>
              <w:right w:val="single" w:color="000000" w:sz="4" w:space="0"/>
            </w:tcBorders>
            <w:vAlign w:val="center"/>
          </w:tcPr>
          <w:p w14:paraId="1D934C56">
            <w:pPr>
              <w:widowControl/>
              <w:spacing w:line="240" w:lineRule="auto"/>
              <w:ind w:firstLine="0" w:firstLineChars="0"/>
              <w:jc w:val="center"/>
              <w:textAlignment w:val="center"/>
              <w:rPr>
                <w:rFonts w:cs="宋体"/>
                <w:color w:val="000000"/>
                <w:sz w:val="20"/>
                <w:szCs w:val="20"/>
                <w:highlight w:val="none"/>
              </w:rPr>
            </w:pPr>
            <w:r>
              <w:rPr>
                <w:rFonts w:hint="eastAsia" w:cs="宋体"/>
                <w:color w:val="000000"/>
                <w:kern w:val="0"/>
                <w:sz w:val="20"/>
                <w:szCs w:val="20"/>
                <w:highlight w:val="none"/>
                <w:lang w:bidi="ar"/>
              </w:rPr>
              <w:t>水务执法检查（新建）-水务执法数据研判</w:t>
            </w:r>
          </w:p>
        </w:tc>
        <w:tc>
          <w:tcPr>
            <w:tcW w:w="1998" w:type="pct"/>
            <w:tcBorders>
              <w:top w:val="single" w:color="000000" w:sz="4" w:space="0"/>
              <w:left w:val="single" w:color="000000" w:sz="4" w:space="0"/>
              <w:bottom w:val="single" w:color="000000" w:sz="4" w:space="0"/>
              <w:right w:val="single" w:color="000000" w:sz="4" w:space="0"/>
            </w:tcBorders>
            <w:vAlign w:val="center"/>
          </w:tcPr>
          <w:p w14:paraId="14819A96">
            <w:pPr>
              <w:widowControl/>
              <w:spacing w:line="240" w:lineRule="auto"/>
              <w:ind w:firstLine="0" w:firstLineChars="0"/>
              <w:jc w:val="left"/>
              <w:textAlignment w:val="center"/>
              <w:rPr>
                <w:rFonts w:cs="宋体"/>
                <w:color w:val="000000"/>
                <w:sz w:val="20"/>
                <w:szCs w:val="20"/>
                <w:highlight w:val="none"/>
              </w:rPr>
            </w:pPr>
            <w:r>
              <w:rPr>
                <w:rFonts w:hint="eastAsia" w:cs="宋体"/>
                <w:color w:val="000000"/>
                <w:kern w:val="0"/>
                <w:sz w:val="20"/>
                <w:szCs w:val="20"/>
                <w:highlight w:val="none"/>
                <w:lang w:bidi="ar"/>
              </w:rPr>
              <w:t>实现水务执法线索移送数据、检查数据、案件数据的分析研判与展示。</w:t>
            </w:r>
          </w:p>
        </w:tc>
      </w:tr>
      <w:tr w14:paraId="1EBF1D71">
        <w:tblPrEx>
          <w:tblCellMar>
            <w:top w:w="0" w:type="dxa"/>
            <w:left w:w="108" w:type="dxa"/>
            <w:bottom w:w="0" w:type="dxa"/>
            <w:right w:w="108" w:type="dxa"/>
          </w:tblCellMar>
        </w:tblPrEx>
        <w:trPr>
          <w:trHeight w:val="780" w:hRule="atLeast"/>
        </w:trPr>
        <w:tc>
          <w:tcPr>
            <w:tcW w:w="460" w:type="pct"/>
            <w:tcBorders>
              <w:top w:val="single" w:color="000000" w:sz="4" w:space="0"/>
              <w:left w:val="single" w:color="000000" w:sz="4" w:space="0"/>
              <w:bottom w:val="single" w:color="000000" w:sz="4" w:space="0"/>
              <w:right w:val="single" w:color="000000" w:sz="4" w:space="0"/>
            </w:tcBorders>
            <w:noWrap/>
            <w:vAlign w:val="center"/>
          </w:tcPr>
          <w:p w14:paraId="06BEF1BF">
            <w:pPr>
              <w:widowControl/>
              <w:spacing w:line="240" w:lineRule="auto"/>
              <w:ind w:firstLine="0" w:firstLineChars="0"/>
              <w:jc w:val="center"/>
              <w:textAlignment w:val="center"/>
              <w:rPr>
                <w:rFonts w:cs="宋体"/>
                <w:color w:val="000000"/>
                <w:sz w:val="20"/>
                <w:szCs w:val="20"/>
                <w:highlight w:val="none"/>
              </w:rPr>
            </w:pPr>
            <w:r>
              <w:rPr>
                <w:rFonts w:hint="eastAsia" w:cs="宋体"/>
                <w:color w:val="000000"/>
                <w:kern w:val="0"/>
                <w:sz w:val="20"/>
                <w:szCs w:val="20"/>
                <w:highlight w:val="none"/>
                <w:lang w:bidi="ar"/>
              </w:rPr>
              <w:t>53</w:t>
            </w:r>
          </w:p>
        </w:tc>
        <w:tc>
          <w:tcPr>
            <w:tcW w:w="1104" w:type="pct"/>
            <w:tcBorders>
              <w:top w:val="single" w:color="000000" w:sz="4" w:space="0"/>
              <w:left w:val="single" w:color="000000" w:sz="4" w:space="0"/>
              <w:bottom w:val="single" w:color="000000" w:sz="4" w:space="0"/>
              <w:right w:val="single" w:color="000000" w:sz="4" w:space="0"/>
            </w:tcBorders>
            <w:noWrap/>
            <w:vAlign w:val="center"/>
          </w:tcPr>
          <w:p w14:paraId="5DFEA90A">
            <w:pPr>
              <w:widowControl/>
              <w:spacing w:line="240" w:lineRule="auto"/>
              <w:ind w:firstLine="0" w:firstLineChars="0"/>
              <w:jc w:val="left"/>
              <w:textAlignment w:val="center"/>
              <w:rPr>
                <w:rFonts w:cs="宋体"/>
                <w:color w:val="000000"/>
                <w:sz w:val="20"/>
                <w:szCs w:val="20"/>
                <w:highlight w:val="none"/>
              </w:rPr>
            </w:pPr>
            <w:r>
              <w:rPr>
                <w:rFonts w:hint="eastAsia" w:cs="宋体"/>
                <w:color w:val="000000"/>
                <w:kern w:val="0"/>
                <w:sz w:val="20"/>
                <w:szCs w:val="20"/>
                <w:highlight w:val="none"/>
                <w:lang w:bidi="ar"/>
              </w:rPr>
              <w:t>城管执法对象监管</w:t>
            </w:r>
          </w:p>
        </w:tc>
        <w:tc>
          <w:tcPr>
            <w:tcW w:w="1436" w:type="pct"/>
            <w:tcBorders>
              <w:top w:val="single" w:color="000000" w:sz="4" w:space="0"/>
              <w:left w:val="single" w:color="000000" w:sz="4" w:space="0"/>
              <w:bottom w:val="single" w:color="000000" w:sz="4" w:space="0"/>
              <w:right w:val="single" w:color="000000" w:sz="4" w:space="0"/>
            </w:tcBorders>
            <w:vAlign w:val="center"/>
          </w:tcPr>
          <w:p w14:paraId="61E33DF0">
            <w:pPr>
              <w:widowControl/>
              <w:spacing w:line="240" w:lineRule="auto"/>
              <w:ind w:firstLine="0" w:firstLineChars="0"/>
              <w:jc w:val="center"/>
              <w:textAlignment w:val="center"/>
              <w:rPr>
                <w:rFonts w:cs="宋体"/>
                <w:color w:val="000000"/>
                <w:sz w:val="20"/>
                <w:szCs w:val="20"/>
                <w:highlight w:val="none"/>
              </w:rPr>
            </w:pPr>
            <w:r>
              <w:rPr>
                <w:rFonts w:hint="eastAsia" w:cs="宋体"/>
                <w:color w:val="000000"/>
                <w:kern w:val="0"/>
                <w:sz w:val="20"/>
                <w:szCs w:val="20"/>
                <w:highlight w:val="none"/>
                <w:lang w:bidi="ar"/>
              </w:rPr>
              <w:t>小区专项检查</w:t>
            </w:r>
            <w:r>
              <w:rPr>
                <w:rFonts w:hint="eastAsia" w:ascii="宋体" w:hAnsi="宋体" w:eastAsia="宋体" w:cs="宋体"/>
                <w:color w:val="000000"/>
                <w:kern w:val="0"/>
                <w:sz w:val="20"/>
                <w:szCs w:val="20"/>
                <w:highlight w:val="none"/>
                <w:lang w:bidi="ar"/>
              </w:rPr>
              <w:t>（</w:t>
            </w:r>
            <w:r>
              <w:rPr>
                <w:rFonts w:hint="eastAsia" w:ascii="宋体" w:hAnsi="宋体" w:eastAsia="宋体" w:cs="宋体"/>
                <w:color w:val="000000"/>
                <w:kern w:val="0"/>
                <w:sz w:val="20"/>
                <w:szCs w:val="20"/>
                <w:highlight w:val="none"/>
                <w:shd w:val="clear"/>
                <w:lang w:bidi="ar"/>
              </w:rPr>
              <w:t>新建</w:t>
            </w:r>
            <w:r>
              <w:rPr>
                <w:rFonts w:hint="eastAsia" w:ascii="宋体" w:hAnsi="宋体" w:eastAsia="宋体" w:cs="宋体"/>
                <w:color w:val="000000"/>
                <w:kern w:val="0"/>
                <w:sz w:val="20"/>
                <w:szCs w:val="20"/>
                <w:highlight w:val="none"/>
                <w:lang w:bidi="ar"/>
              </w:rPr>
              <w:t>）-</w:t>
            </w:r>
            <w:r>
              <w:rPr>
                <w:rFonts w:hint="eastAsia" w:cs="宋体"/>
                <w:color w:val="000000"/>
                <w:kern w:val="0"/>
                <w:sz w:val="20"/>
                <w:szCs w:val="20"/>
                <w:highlight w:val="none"/>
                <w:lang w:bidi="ar"/>
              </w:rPr>
              <w:t>加装电梯专项检查（新建）-加装电梯基础信息对接</w:t>
            </w:r>
          </w:p>
        </w:tc>
        <w:tc>
          <w:tcPr>
            <w:tcW w:w="1998" w:type="pct"/>
            <w:tcBorders>
              <w:top w:val="single" w:color="000000" w:sz="4" w:space="0"/>
              <w:left w:val="single" w:color="000000" w:sz="4" w:space="0"/>
              <w:bottom w:val="single" w:color="000000" w:sz="4" w:space="0"/>
              <w:right w:val="single" w:color="000000" w:sz="4" w:space="0"/>
            </w:tcBorders>
            <w:vAlign w:val="center"/>
          </w:tcPr>
          <w:p w14:paraId="27D5487B">
            <w:pPr>
              <w:widowControl/>
              <w:spacing w:line="240" w:lineRule="auto"/>
              <w:ind w:firstLine="0" w:firstLineChars="0"/>
              <w:jc w:val="left"/>
              <w:textAlignment w:val="center"/>
              <w:rPr>
                <w:rFonts w:cs="宋体"/>
                <w:color w:val="000000"/>
                <w:sz w:val="20"/>
                <w:szCs w:val="20"/>
                <w:highlight w:val="none"/>
              </w:rPr>
            </w:pPr>
            <w:r>
              <w:rPr>
                <w:rFonts w:hint="eastAsia" w:cs="宋体"/>
                <w:color w:val="000000"/>
                <w:kern w:val="0"/>
                <w:sz w:val="20"/>
                <w:szCs w:val="20"/>
                <w:highlight w:val="none"/>
                <w:lang w:bidi="ar"/>
              </w:rPr>
              <w:t>对接房管局系统获取加梯工程基础信息数据。</w:t>
            </w:r>
          </w:p>
        </w:tc>
      </w:tr>
      <w:tr w14:paraId="39D74386">
        <w:tblPrEx>
          <w:tblCellMar>
            <w:top w:w="0" w:type="dxa"/>
            <w:left w:w="108" w:type="dxa"/>
            <w:bottom w:w="0" w:type="dxa"/>
            <w:right w:w="108" w:type="dxa"/>
          </w:tblCellMar>
        </w:tblPrEx>
        <w:trPr>
          <w:trHeight w:val="780" w:hRule="atLeast"/>
        </w:trPr>
        <w:tc>
          <w:tcPr>
            <w:tcW w:w="460" w:type="pct"/>
            <w:tcBorders>
              <w:top w:val="single" w:color="000000" w:sz="4" w:space="0"/>
              <w:left w:val="single" w:color="000000" w:sz="4" w:space="0"/>
              <w:bottom w:val="single" w:color="000000" w:sz="4" w:space="0"/>
              <w:right w:val="single" w:color="000000" w:sz="4" w:space="0"/>
            </w:tcBorders>
            <w:noWrap/>
            <w:vAlign w:val="center"/>
          </w:tcPr>
          <w:p w14:paraId="31A8F15A">
            <w:pPr>
              <w:widowControl/>
              <w:spacing w:line="240" w:lineRule="auto"/>
              <w:ind w:firstLine="0" w:firstLineChars="0"/>
              <w:jc w:val="center"/>
              <w:textAlignment w:val="center"/>
              <w:rPr>
                <w:rFonts w:cs="宋体"/>
                <w:color w:val="000000"/>
                <w:sz w:val="20"/>
                <w:szCs w:val="20"/>
                <w:highlight w:val="none"/>
              </w:rPr>
            </w:pPr>
            <w:r>
              <w:rPr>
                <w:rFonts w:hint="eastAsia" w:cs="宋体"/>
                <w:color w:val="000000"/>
                <w:kern w:val="0"/>
                <w:sz w:val="20"/>
                <w:szCs w:val="20"/>
                <w:highlight w:val="none"/>
                <w:lang w:bidi="ar"/>
              </w:rPr>
              <w:t>54</w:t>
            </w:r>
          </w:p>
        </w:tc>
        <w:tc>
          <w:tcPr>
            <w:tcW w:w="1104" w:type="pct"/>
            <w:tcBorders>
              <w:top w:val="single" w:color="000000" w:sz="4" w:space="0"/>
              <w:left w:val="single" w:color="000000" w:sz="4" w:space="0"/>
              <w:bottom w:val="single" w:color="000000" w:sz="4" w:space="0"/>
              <w:right w:val="single" w:color="000000" w:sz="4" w:space="0"/>
            </w:tcBorders>
            <w:noWrap/>
            <w:vAlign w:val="center"/>
          </w:tcPr>
          <w:p w14:paraId="116F5D33">
            <w:pPr>
              <w:widowControl/>
              <w:spacing w:line="240" w:lineRule="auto"/>
              <w:ind w:firstLine="0" w:firstLineChars="0"/>
              <w:jc w:val="left"/>
              <w:textAlignment w:val="center"/>
              <w:rPr>
                <w:rFonts w:cs="宋体"/>
                <w:color w:val="000000"/>
                <w:sz w:val="20"/>
                <w:szCs w:val="20"/>
                <w:highlight w:val="none"/>
              </w:rPr>
            </w:pPr>
            <w:r>
              <w:rPr>
                <w:rFonts w:hint="eastAsia" w:cs="宋体"/>
                <w:color w:val="000000"/>
                <w:kern w:val="0"/>
                <w:sz w:val="20"/>
                <w:szCs w:val="20"/>
                <w:highlight w:val="none"/>
                <w:lang w:bidi="ar"/>
              </w:rPr>
              <w:t>城管执法对象监管</w:t>
            </w:r>
          </w:p>
        </w:tc>
        <w:tc>
          <w:tcPr>
            <w:tcW w:w="1436" w:type="pct"/>
            <w:tcBorders>
              <w:top w:val="single" w:color="000000" w:sz="4" w:space="0"/>
              <w:left w:val="single" w:color="000000" w:sz="4" w:space="0"/>
              <w:bottom w:val="single" w:color="000000" w:sz="4" w:space="0"/>
              <w:right w:val="single" w:color="000000" w:sz="4" w:space="0"/>
            </w:tcBorders>
            <w:vAlign w:val="center"/>
          </w:tcPr>
          <w:p w14:paraId="2BC93AD9">
            <w:pPr>
              <w:widowControl/>
              <w:spacing w:line="240" w:lineRule="auto"/>
              <w:ind w:firstLine="0" w:firstLineChars="0"/>
              <w:jc w:val="center"/>
              <w:textAlignment w:val="center"/>
              <w:rPr>
                <w:rFonts w:cs="宋体"/>
                <w:color w:val="000000"/>
                <w:sz w:val="20"/>
                <w:szCs w:val="20"/>
                <w:highlight w:val="none"/>
              </w:rPr>
            </w:pPr>
            <w:r>
              <w:rPr>
                <w:rFonts w:hint="eastAsia" w:cs="宋体"/>
                <w:color w:val="000000"/>
                <w:kern w:val="0"/>
                <w:sz w:val="20"/>
                <w:szCs w:val="20"/>
                <w:highlight w:val="none"/>
                <w:lang w:bidi="ar"/>
              </w:rPr>
              <w:t>小区专项检查（新建）-加装电梯专项检查（新建）-抽取规则设置与检查计划制定</w:t>
            </w:r>
          </w:p>
        </w:tc>
        <w:tc>
          <w:tcPr>
            <w:tcW w:w="1998" w:type="pct"/>
            <w:tcBorders>
              <w:top w:val="single" w:color="000000" w:sz="4" w:space="0"/>
              <w:left w:val="single" w:color="000000" w:sz="4" w:space="0"/>
              <w:bottom w:val="single" w:color="000000" w:sz="4" w:space="0"/>
              <w:right w:val="single" w:color="000000" w:sz="4" w:space="0"/>
            </w:tcBorders>
            <w:vAlign w:val="center"/>
          </w:tcPr>
          <w:p w14:paraId="310AAB8D">
            <w:pPr>
              <w:widowControl/>
              <w:spacing w:line="240" w:lineRule="auto"/>
              <w:ind w:firstLine="0" w:firstLineChars="0"/>
              <w:jc w:val="left"/>
              <w:textAlignment w:val="center"/>
              <w:rPr>
                <w:rFonts w:cs="宋体"/>
                <w:color w:val="000000"/>
                <w:sz w:val="20"/>
                <w:szCs w:val="20"/>
                <w:highlight w:val="none"/>
              </w:rPr>
            </w:pPr>
            <w:r>
              <w:rPr>
                <w:rFonts w:hint="eastAsia" w:cs="宋体"/>
                <w:color w:val="000000"/>
                <w:kern w:val="0"/>
                <w:sz w:val="20"/>
                <w:szCs w:val="20"/>
                <w:highlight w:val="none"/>
                <w:lang w:bidi="ar"/>
              </w:rPr>
              <w:t>进行抽取规则设置，实现检查计划制定。</w:t>
            </w:r>
          </w:p>
        </w:tc>
      </w:tr>
      <w:tr w14:paraId="5DBCBFF3">
        <w:tblPrEx>
          <w:tblCellMar>
            <w:top w:w="0" w:type="dxa"/>
            <w:left w:w="108" w:type="dxa"/>
            <w:bottom w:w="0" w:type="dxa"/>
            <w:right w:w="108" w:type="dxa"/>
          </w:tblCellMar>
        </w:tblPrEx>
        <w:trPr>
          <w:trHeight w:val="780" w:hRule="atLeast"/>
        </w:trPr>
        <w:tc>
          <w:tcPr>
            <w:tcW w:w="460" w:type="pct"/>
            <w:tcBorders>
              <w:top w:val="single" w:color="000000" w:sz="4" w:space="0"/>
              <w:left w:val="single" w:color="000000" w:sz="4" w:space="0"/>
              <w:bottom w:val="single" w:color="000000" w:sz="4" w:space="0"/>
              <w:right w:val="single" w:color="000000" w:sz="4" w:space="0"/>
            </w:tcBorders>
            <w:noWrap/>
            <w:vAlign w:val="center"/>
          </w:tcPr>
          <w:p w14:paraId="14DFC085">
            <w:pPr>
              <w:widowControl/>
              <w:spacing w:line="240" w:lineRule="auto"/>
              <w:ind w:firstLine="0" w:firstLineChars="0"/>
              <w:jc w:val="center"/>
              <w:textAlignment w:val="center"/>
              <w:rPr>
                <w:rFonts w:cs="宋体"/>
                <w:color w:val="000000"/>
                <w:sz w:val="20"/>
                <w:szCs w:val="20"/>
                <w:highlight w:val="none"/>
              </w:rPr>
            </w:pPr>
            <w:r>
              <w:rPr>
                <w:rFonts w:hint="eastAsia" w:cs="宋体"/>
                <w:color w:val="000000"/>
                <w:kern w:val="0"/>
                <w:sz w:val="20"/>
                <w:szCs w:val="20"/>
                <w:highlight w:val="none"/>
                <w:lang w:bidi="ar"/>
              </w:rPr>
              <w:t>55</w:t>
            </w:r>
          </w:p>
        </w:tc>
        <w:tc>
          <w:tcPr>
            <w:tcW w:w="1104" w:type="pct"/>
            <w:tcBorders>
              <w:top w:val="single" w:color="000000" w:sz="4" w:space="0"/>
              <w:left w:val="single" w:color="000000" w:sz="4" w:space="0"/>
              <w:bottom w:val="single" w:color="000000" w:sz="4" w:space="0"/>
              <w:right w:val="single" w:color="000000" w:sz="4" w:space="0"/>
            </w:tcBorders>
            <w:noWrap/>
            <w:vAlign w:val="center"/>
          </w:tcPr>
          <w:p w14:paraId="6B943EE3">
            <w:pPr>
              <w:widowControl/>
              <w:spacing w:line="240" w:lineRule="auto"/>
              <w:ind w:firstLine="0" w:firstLineChars="0"/>
              <w:jc w:val="left"/>
              <w:textAlignment w:val="center"/>
              <w:rPr>
                <w:rFonts w:cs="宋体"/>
                <w:color w:val="000000"/>
                <w:sz w:val="20"/>
                <w:szCs w:val="20"/>
                <w:highlight w:val="none"/>
              </w:rPr>
            </w:pPr>
            <w:r>
              <w:rPr>
                <w:rFonts w:hint="eastAsia" w:cs="宋体"/>
                <w:color w:val="000000"/>
                <w:kern w:val="0"/>
                <w:sz w:val="20"/>
                <w:szCs w:val="20"/>
                <w:highlight w:val="none"/>
                <w:lang w:bidi="ar"/>
              </w:rPr>
              <w:t>城管执法对象监管</w:t>
            </w:r>
          </w:p>
        </w:tc>
        <w:tc>
          <w:tcPr>
            <w:tcW w:w="1436" w:type="pct"/>
            <w:tcBorders>
              <w:top w:val="single" w:color="000000" w:sz="4" w:space="0"/>
              <w:left w:val="single" w:color="000000" w:sz="4" w:space="0"/>
              <w:bottom w:val="single" w:color="000000" w:sz="4" w:space="0"/>
              <w:right w:val="single" w:color="000000" w:sz="4" w:space="0"/>
            </w:tcBorders>
            <w:vAlign w:val="center"/>
          </w:tcPr>
          <w:p w14:paraId="460AD661">
            <w:pPr>
              <w:widowControl/>
              <w:spacing w:line="240" w:lineRule="auto"/>
              <w:ind w:firstLine="0" w:firstLineChars="0"/>
              <w:jc w:val="center"/>
              <w:textAlignment w:val="center"/>
              <w:rPr>
                <w:rFonts w:cs="宋体"/>
                <w:color w:val="000000"/>
                <w:sz w:val="20"/>
                <w:szCs w:val="20"/>
                <w:highlight w:val="none"/>
              </w:rPr>
            </w:pPr>
            <w:r>
              <w:rPr>
                <w:rFonts w:hint="eastAsia" w:cs="宋体"/>
                <w:color w:val="000000"/>
                <w:kern w:val="0"/>
                <w:sz w:val="20"/>
                <w:szCs w:val="20"/>
                <w:highlight w:val="none"/>
                <w:lang w:bidi="ar"/>
              </w:rPr>
              <w:t>小区专项检查</w:t>
            </w:r>
            <w:r>
              <w:rPr>
                <w:rFonts w:hint="eastAsia" w:ascii="宋体" w:hAnsi="宋体" w:eastAsia="宋体" w:cs="宋体"/>
                <w:color w:val="000000"/>
                <w:kern w:val="0"/>
                <w:sz w:val="20"/>
                <w:szCs w:val="20"/>
                <w:highlight w:val="none"/>
                <w:lang w:bidi="ar"/>
              </w:rPr>
              <w:t>（</w:t>
            </w:r>
            <w:r>
              <w:rPr>
                <w:rFonts w:hint="eastAsia" w:ascii="宋体" w:hAnsi="宋体" w:eastAsia="宋体" w:cs="宋体"/>
                <w:color w:val="000000"/>
                <w:kern w:val="0"/>
                <w:sz w:val="20"/>
                <w:szCs w:val="20"/>
                <w:highlight w:val="none"/>
                <w:shd w:val="clear"/>
                <w:lang w:bidi="ar"/>
              </w:rPr>
              <w:t>新建</w:t>
            </w:r>
            <w:r>
              <w:rPr>
                <w:rFonts w:hint="eastAsia" w:ascii="宋体" w:hAnsi="宋体" w:eastAsia="宋体" w:cs="宋体"/>
                <w:color w:val="000000"/>
                <w:kern w:val="0"/>
                <w:sz w:val="20"/>
                <w:szCs w:val="20"/>
                <w:highlight w:val="none"/>
                <w:lang w:bidi="ar"/>
              </w:rPr>
              <w:t>）-</w:t>
            </w:r>
            <w:r>
              <w:rPr>
                <w:rFonts w:hint="eastAsia" w:cs="宋体"/>
                <w:color w:val="000000"/>
                <w:kern w:val="0"/>
                <w:sz w:val="20"/>
                <w:szCs w:val="20"/>
                <w:highlight w:val="none"/>
                <w:lang w:bidi="ar"/>
              </w:rPr>
              <w:t>加装电梯专项检查（新建）-现场检查管理、退单审核</w:t>
            </w:r>
          </w:p>
        </w:tc>
        <w:tc>
          <w:tcPr>
            <w:tcW w:w="1998" w:type="pct"/>
            <w:tcBorders>
              <w:top w:val="single" w:color="000000" w:sz="4" w:space="0"/>
              <w:left w:val="single" w:color="000000" w:sz="4" w:space="0"/>
              <w:bottom w:val="single" w:color="000000" w:sz="4" w:space="0"/>
              <w:right w:val="single" w:color="000000" w:sz="4" w:space="0"/>
            </w:tcBorders>
            <w:vAlign w:val="center"/>
          </w:tcPr>
          <w:p w14:paraId="594ABC27">
            <w:pPr>
              <w:widowControl/>
              <w:spacing w:line="240" w:lineRule="auto"/>
              <w:ind w:firstLine="0" w:firstLineChars="0"/>
              <w:jc w:val="left"/>
              <w:textAlignment w:val="center"/>
              <w:rPr>
                <w:rFonts w:cs="宋体"/>
                <w:color w:val="000000"/>
                <w:sz w:val="20"/>
                <w:szCs w:val="20"/>
                <w:highlight w:val="none"/>
              </w:rPr>
            </w:pPr>
            <w:r>
              <w:rPr>
                <w:rFonts w:hint="eastAsia" w:cs="宋体"/>
                <w:color w:val="000000"/>
                <w:kern w:val="0"/>
                <w:sz w:val="20"/>
                <w:szCs w:val="20"/>
                <w:highlight w:val="none"/>
                <w:lang w:bidi="ar"/>
              </w:rPr>
              <w:t>支持移动端信息现场核实和信息更新、检查问题记录。对非辖区任务进行退单，系统支持对退单进行审核并流转。</w:t>
            </w:r>
          </w:p>
        </w:tc>
      </w:tr>
      <w:tr w14:paraId="03C705F2">
        <w:tblPrEx>
          <w:tblCellMar>
            <w:top w:w="0" w:type="dxa"/>
            <w:left w:w="108" w:type="dxa"/>
            <w:bottom w:w="0" w:type="dxa"/>
            <w:right w:w="108" w:type="dxa"/>
          </w:tblCellMar>
        </w:tblPrEx>
        <w:trPr>
          <w:trHeight w:val="780" w:hRule="atLeast"/>
        </w:trPr>
        <w:tc>
          <w:tcPr>
            <w:tcW w:w="460" w:type="pct"/>
            <w:tcBorders>
              <w:top w:val="single" w:color="000000" w:sz="4" w:space="0"/>
              <w:left w:val="single" w:color="000000" w:sz="4" w:space="0"/>
              <w:bottom w:val="single" w:color="000000" w:sz="4" w:space="0"/>
              <w:right w:val="single" w:color="000000" w:sz="4" w:space="0"/>
            </w:tcBorders>
            <w:noWrap/>
            <w:vAlign w:val="center"/>
          </w:tcPr>
          <w:p w14:paraId="59A473DA">
            <w:pPr>
              <w:widowControl/>
              <w:spacing w:line="240" w:lineRule="auto"/>
              <w:ind w:firstLine="0" w:firstLineChars="0"/>
              <w:jc w:val="center"/>
              <w:textAlignment w:val="center"/>
              <w:rPr>
                <w:rFonts w:cs="宋体"/>
                <w:color w:val="000000"/>
                <w:sz w:val="20"/>
                <w:szCs w:val="20"/>
                <w:highlight w:val="none"/>
              </w:rPr>
            </w:pPr>
            <w:r>
              <w:rPr>
                <w:rFonts w:hint="eastAsia" w:cs="宋体"/>
                <w:color w:val="000000"/>
                <w:kern w:val="0"/>
                <w:sz w:val="20"/>
                <w:szCs w:val="20"/>
                <w:highlight w:val="none"/>
                <w:lang w:bidi="ar"/>
              </w:rPr>
              <w:t>56</w:t>
            </w:r>
          </w:p>
        </w:tc>
        <w:tc>
          <w:tcPr>
            <w:tcW w:w="1104" w:type="pct"/>
            <w:tcBorders>
              <w:top w:val="single" w:color="000000" w:sz="4" w:space="0"/>
              <w:left w:val="single" w:color="000000" w:sz="4" w:space="0"/>
              <w:bottom w:val="single" w:color="000000" w:sz="4" w:space="0"/>
              <w:right w:val="single" w:color="000000" w:sz="4" w:space="0"/>
            </w:tcBorders>
            <w:noWrap/>
            <w:vAlign w:val="center"/>
          </w:tcPr>
          <w:p w14:paraId="2ED232F6">
            <w:pPr>
              <w:widowControl/>
              <w:spacing w:line="240" w:lineRule="auto"/>
              <w:ind w:firstLine="0" w:firstLineChars="0"/>
              <w:jc w:val="left"/>
              <w:textAlignment w:val="center"/>
              <w:rPr>
                <w:rFonts w:cs="宋体"/>
                <w:color w:val="000000"/>
                <w:sz w:val="20"/>
                <w:szCs w:val="20"/>
                <w:highlight w:val="none"/>
              </w:rPr>
            </w:pPr>
            <w:r>
              <w:rPr>
                <w:rFonts w:hint="eastAsia" w:cs="宋体"/>
                <w:color w:val="000000"/>
                <w:kern w:val="0"/>
                <w:sz w:val="20"/>
                <w:szCs w:val="20"/>
                <w:highlight w:val="none"/>
                <w:lang w:bidi="ar"/>
              </w:rPr>
              <w:t>城管执法对象监管</w:t>
            </w:r>
          </w:p>
        </w:tc>
        <w:tc>
          <w:tcPr>
            <w:tcW w:w="1436" w:type="pct"/>
            <w:tcBorders>
              <w:top w:val="single" w:color="000000" w:sz="4" w:space="0"/>
              <w:left w:val="single" w:color="000000" w:sz="4" w:space="0"/>
              <w:bottom w:val="single" w:color="000000" w:sz="4" w:space="0"/>
              <w:right w:val="single" w:color="000000" w:sz="4" w:space="0"/>
            </w:tcBorders>
            <w:vAlign w:val="center"/>
          </w:tcPr>
          <w:p w14:paraId="1A44166E">
            <w:pPr>
              <w:widowControl/>
              <w:spacing w:line="240" w:lineRule="auto"/>
              <w:ind w:firstLine="0" w:firstLineChars="0"/>
              <w:jc w:val="center"/>
              <w:textAlignment w:val="center"/>
              <w:rPr>
                <w:rFonts w:cs="宋体"/>
                <w:color w:val="000000"/>
                <w:sz w:val="20"/>
                <w:szCs w:val="20"/>
                <w:highlight w:val="none"/>
              </w:rPr>
            </w:pPr>
            <w:r>
              <w:rPr>
                <w:rFonts w:hint="eastAsia" w:cs="宋体"/>
                <w:color w:val="000000"/>
                <w:kern w:val="0"/>
                <w:sz w:val="20"/>
                <w:szCs w:val="20"/>
                <w:highlight w:val="none"/>
                <w:lang w:bidi="ar"/>
              </w:rPr>
              <w:t>小区专项检查（新建）-加装电梯专项检查（新建）-小区加装电梯情况</w:t>
            </w:r>
          </w:p>
        </w:tc>
        <w:tc>
          <w:tcPr>
            <w:tcW w:w="1998" w:type="pct"/>
            <w:tcBorders>
              <w:top w:val="single" w:color="000000" w:sz="4" w:space="0"/>
              <w:left w:val="single" w:color="000000" w:sz="4" w:space="0"/>
              <w:bottom w:val="single" w:color="000000" w:sz="4" w:space="0"/>
              <w:right w:val="single" w:color="000000" w:sz="4" w:space="0"/>
            </w:tcBorders>
            <w:vAlign w:val="center"/>
          </w:tcPr>
          <w:p w14:paraId="79B57CA4">
            <w:pPr>
              <w:widowControl/>
              <w:spacing w:line="240" w:lineRule="auto"/>
              <w:ind w:firstLine="0" w:firstLineChars="0"/>
              <w:jc w:val="left"/>
              <w:textAlignment w:val="center"/>
              <w:rPr>
                <w:rFonts w:cs="宋体"/>
                <w:color w:val="000000"/>
                <w:sz w:val="20"/>
                <w:szCs w:val="20"/>
                <w:highlight w:val="none"/>
              </w:rPr>
            </w:pPr>
            <w:r>
              <w:rPr>
                <w:rFonts w:hint="eastAsia" w:cs="宋体"/>
                <w:color w:val="000000"/>
                <w:kern w:val="0"/>
                <w:sz w:val="20"/>
                <w:szCs w:val="20"/>
                <w:highlight w:val="none"/>
                <w:lang w:bidi="ar"/>
              </w:rPr>
              <w:t>与住宅小区数据关联，实现按小区维度进行对应小区加装电梯执法数据统计，并支持小区加装电梯数据同步至城管进社区模块进行展示。</w:t>
            </w:r>
          </w:p>
        </w:tc>
      </w:tr>
      <w:tr w14:paraId="13CA4F92">
        <w:tblPrEx>
          <w:tblCellMar>
            <w:top w:w="0" w:type="dxa"/>
            <w:left w:w="108" w:type="dxa"/>
            <w:bottom w:w="0" w:type="dxa"/>
            <w:right w:w="108" w:type="dxa"/>
          </w:tblCellMar>
        </w:tblPrEx>
        <w:trPr>
          <w:trHeight w:val="520" w:hRule="atLeast"/>
        </w:trPr>
        <w:tc>
          <w:tcPr>
            <w:tcW w:w="460" w:type="pct"/>
            <w:tcBorders>
              <w:top w:val="single" w:color="000000" w:sz="4" w:space="0"/>
              <w:left w:val="single" w:color="000000" w:sz="4" w:space="0"/>
              <w:bottom w:val="single" w:color="000000" w:sz="4" w:space="0"/>
              <w:right w:val="single" w:color="000000" w:sz="4" w:space="0"/>
            </w:tcBorders>
            <w:noWrap/>
            <w:vAlign w:val="center"/>
          </w:tcPr>
          <w:p w14:paraId="575382E8">
            <w:pPr>
              <w:widowControl/>
              <w:spacing w:line="240" w:lineRule="auto"/>
              <w:ind w:firstLine="0" w:firstLineChars="0"/>
              <w:jc w:val="center"/>
              <w:textAlignment w:val="center"/>
              <w:rPr>
                <w:rFonts w:cs="宋体"/>
                <w:color w:val="000000"/>
                <w:sz w:val="20"/>
                <w:szCs w:val="20"/>
                <w:highlight w:val="none"/>
              </w:rPr>
            </w:pPr>
            <w:r>
              <w:rPr>
                <w:rFonts w:hint="eastAsia" w:cs="宋体"/>
                <w:color w:val="000000"/>
                <w:kern w:val="0"/>
                <w:sz w:val="20"/>
                <w:szCs w:val="20"/>
                <w:highlight w:val="none"/>
                <w:lang w:bidi="ar"/>
              </w:rPr>
              <w:t>57</w:t>
            </w:r>
          </w:p>
        </w:tc>
        <w:tc>
          <w:tcPr>
            <w:tcW w:w="1104" w:type="pct"/>
            <w:tcBorders>
              <w:top w:val="single" w:color="000000" w:sz="4" w:space="0"/>
              <w:left w:val="single" w:color="000000" w:sz="4" w:space="0"/>
              <w:bottom w:val="single" w:color="000000" w:sz="4" w:space="0"/>
              <w:right w:val="single" w:color="000000" w:sz="4" w:space="0"/>
            </w:tcBorders>
            <w:noWrap/>
            <w:vAlign w:val="center"/>
          </w:tcPr>
          <w:p w14:paraId="05046A5A">
            <w:pPr>
              <w:widowControl/>
              <w:spacing w:line="240" w:lineRule="auto"/>
              <w:ind w:firstLine="0" w:firstLineChars="0"/>
              <w:jc w:val="left"/>
              <w:textAlignment w:val="center"/>
              <w:rPr>
                <w:rFonts w:cs="宋体"/>
                <w:color w:val="000000"/>
                <w:sz w:val="20"/>
                <w:szCs w:val="20"/>
                <w:highlight w:val="none"/>
              </w:rPr>
            </w:pPr>
            <w:r>
              <w:rPr>
                <w:rFonts w:hint="eastAsia" w:cs="宋体"/>
                <w:color w:val="000000"/>
                <w:kern w:val="0"/>
                <w:sz w:val="20"/>
                <w:szCs w:val="20"/>
                <w:highlight w:val="none"/>
                <w:lang w:bidi="ar"/>
              </w:rPr>
              <w:t>城管执法对象监管</w:t>
            </w:r>
          </w:p>
        </w:tc>
        <w:tc>
          <w:tcPr>
            <w:tcW w:w="1436" w:type="pct"/>
            <w:tcBorders>
              <w:top w:val="single" w:color="000000" w:sz="4" w:space="0"/>
              <w:left w:val="single" w:color="000000" w:sz="4" w:space="0"/>
              <w:bottom w:val="single" w:color="000000" w:sz="4" w:space="0"/>
              <w:right w:val="single" w:color="000000" w:sz="4" w:space="0"/>
            </w:tcBorders>
            <w:vAlign w:val="center"/>
          </w:tcPr>
          <w:p w14:paraId="3C879AF6">
            <w:pPr>
              <w:widowControl/>
              <w:spacing w:line="240" w:lineRule="auto"/>
              <w:ind w:firstLine="0" w:firstLineChars="0"/>
              <w:jc w:val="center"/>
              <w:textAlignment w:val="center"/>
              <w:rPr>
                <w:rFonts w:cs="宋体"/>
                <w:color w:val="000000"/>
                <w:sz w:val="20"/>
                <w:szCs w:val="20"/>
                <w:highlight w:val="none"/>
              </w:rPr>
            </w:pPr>
            <w:r>
              <w:rPr>
                <w:rFonts w:hint="eastAsia" w:cs="宋体"/>
                <w:color w:val="000000"/>
                <w:kern w:val="0"/>
                <w:sz w:val="20"/>
                <w:szCs w:val="20"/>
                <w:highlight w:val="none"/>
                <w:lang w:bidi="ar"/>
              </w:rPr>
              <w:t>涉企检查（新建）-全市统一综合执法系统对接</w:t>
            </w:r>
          </w:p>
        </w:tc>
        <w:tc>
          <w:tcPr>
            <w:tcW w:w="1998" w:type="pct"/>
            <w:tcBorders>
              <w:top w:val="single" w:color="000000" w:sz="4" w:space="0"/>
              <w:left w:val="single" w:color="000000" w:sz="4" w:space="0"/>
              <w:bottom w:val="single" w:color="000000" w:sz="4" w:space="0"/>
              <w:right w:val="single" w:color="000000" w:sz="4" w:space="0"/>
            </w:tcBorders>
            <w:vAlign w:val="center"/>
          </w:tcPr>
          <w:p w14:paraId="4DC68BAD">
            <w:pPr>
              <w:widowControl/>
              <w:spacing w:line="240" w:lineRule="auto"/>
              <w:ind w:firstLine="0" w:firstLineChars="0"/>
              <w:jc w:val="left"/>
              <w:textAlignment w:val="center"/>
              <w:rPr>
                <w:rFonts w:cs="宋体"/>
                <w:color w:val="000000"/>
                <w:sz w:val="20"/>
                <w:szCs w:val="20"/>
                <w:highlight w:val="none"/>
              </w:rPr>
            </w:pPr>
            <w:r>
              <w:rPr>
                <w:rFonts w:hint="eastAsia" w:cs="宋体"/>
                <w:color w:val="000000"/>
                <w:kern w:val="0"/>
                <w:sz w:val="20"/>
                <w:szCs w:val="20"/>
                <w:highlight w:val="none"/>
                <w:lang w:bidi="ar"/>
              </w:rPr>
              <w:t>对接全市统一综合执法系统。</w:t>
            </w:r>
          </w:p>
        </w:tc>
      </w:tr>
      <w:tr w14:paraId="4024B121">
        <w:tblPrEx>
          <w:tblCellMar>
            <w:top w:w="0" w:type="dxa"/>
            <w:left w:w="108" w:type="dxa"/>
            <w:bottom w:w="0" w:type="dxa"/>
            <w:right w:w="108" w:type="dxa"/>
          </w:tblCellMar>
        </w:tblPrEx>
        <w:trPr>
          <w:trHeight w:val="780" w:hRule="atLeast"/>
        </w:trPr>
        <w:tc>
          <w:tcPr>
            <w:tcW w:w="460" w:type="pct"/>
            <w:tcBorders>
              <w:top w:val="single" w:color="000000" w:sz="4" w:space="0"/>
              <w:left w:val="single" w:color="000000" w:sz="4" w:space="0"/>
              <w:bottom w:val="single" w:color="000000" w:sz="4" w:space="0"/>
              <w:right w:val="single" w:color="000000" w:sz="4" w:space="0"/>
            </w:tcBorders>
            <w:noWrap/>
            <w:vAlign w:val="center"/>
          </w:tcPr>
          <w:p w14:paraId="34DB3A55">
            <w:pPr>
              <w:widowControl/>
              <w:spacing w:line="240" w:lineRule="auto"/>
              <w:ind w:firstLine="0" w:firstLineChars="0"/>
              <w:jc w:val="center"/>
              <w:textAlignment w:val="center"/>
              <w:rPr>
                <w:rFonts w:cs="宋体"/>
                <w:color w:val="000000"/>
                <w:sz w:val="20"/>
                <w:szCs w:val="20"/>
                <w:highlight w:val="none"/>
              </w:rPr>
            </w:pPr>
            <w:r>
              <w:rPr>
                <w:rFonts w:hint="eastAsia" w:cs="宋体"/>
                <w:color w:val="000000"/>
                <w:kern w:val="0"/>
                <w:sz w:val="20"/>
                <w:szCs w:val="20"/>
                <w:highlight w:val="none"/>
                <w:lang w:bidi="ar"/>
              </w:rPr>
              <w:t>58</w:t>
            </w:r>
          </w:p>
        </w:tc>
        <w:tc>
          <w:tcPr>
            <w:tcW w:w="1104" w:type="pct"/>
            <w:tcBorders>
              <w:top w:val="single" w:color="000000" w:sz="4" w:space="0"/>
              <w:left w:val="single" w:color="000000" w:sz="4" w:space="0"/>
              <w:bottom w:val="single" w:color="000000" w:sz="4" w:space="0"/>
              <w:right w:val="single" w:color="000000" w:sz="4" w:space="0"/>
            </w:tcBorders>
            <w:noWrap/>
            <w:vAlign w:val="center"/>
          </w:tcPr>
          <w:p w14:paraId="0040F8EA">
            <w:pPr>
              <w:widowControl/>
              <w:spacing w:line="240" w:lineRule="auto"/>
              <w:ind w:firstLine="0" w:firstLineChars="0"/>
              <w:jc w:val="left"/>
              <w:textAlignment w:val="center"/>
              <w:rPr>
                <w:rFonts w:cs="宋体"/>
                <w:color w:val="000000"/>
                <w:sz w:val="20"/>
                <w:szCs w:val="20"/>
                <w:highlight w:val="none"/>
              </w:rPr>
            </w:pPr>
            <w:r>
              <w:rPr>
                <w:rFonts w:hint="eastAsia" w:cs="宋体"/>
                <w:color w:val="000000"/>
                <w:kern w:val="0"/>
                <w:sz w:val="20"/>
                <w:szCs w:val="20"/>
                <w:highlight w:val="none"/>
                <w:lang w:bidi="ar"/>
              </w:rPr>
              <w:t>城管执法对象监管</w:t>
            </w:r>
          </w:p>
        </w:tc>
        <w:tc>
          <w:tcPr>
            <w:tcW w:w="1436" w:type="pct"/>
            <w:tcBorders>
              <w:top w:val="single" w:color="000000" w:sz="4" w:space="0"/>
              <w:left w:val="single" w:color="000000" w:sz="4" w:space="0"/>
              <w:bottom w:val="single" w:color="000000" w:sz="4" w:space="0"/>
              <w:right w:val="single" w:color="000000" w:sz="4" w:space="0"/>
            </w:tcBorders>
            <w:vAlign w:val="center"/>
          </w:tcPr>
          <w:p w14:paraId="0855C564">
            <w:pPr>
              <w:widowControl/>
              <w:spacing w:line="240" w:lineRule="auto"/>
              <w:ind w:firstLine="0" w:firstLineChars="0"/>
              <w:jc w:val="center"/>
              <w:textAlignment w:val="center"/>
              <w:rPr>
                <w:rFonts w:cs="宋体"/>
                <w:color w:val="000000"/>
                <w:sz w:val="20"/>
                <w:szCs w:val="20"/>
                <w:highlight w:val="none"/>
              </w:rPr>
            </w:pPr>
            <w:r>
              <w:rPr>
                <w:rFonts w:hint="eastAsia" w:cs="宋体"/>
                <w:color w:val="000000"/>
                <w:kern w:val="0"/>
                <w:sz w:val="20"/>
                <w:szCs w:val="20"/>
                <w:highlight w:val="none"/>
                <w:lang w:bidi="ar"/>
              </w:rPr>
              <w:t>涉企检</w:t>
            </w:r>
            <w:r>
              <w:rPr>
                <w:rFonts w:hint="eastAsia" w:ascii="宋体" w:hAnsi="宋体" w:eastAsia="宋体" w:cs="宋体"/>
                <w:color w:val="000000"/>
                <w:kern w:val="0"/>
                <w:sz w:val="20"/>
                <w:szCs w:val="20"/>
                <w:highlight w:val="none"/>
                <w:lang w:bidi="ar"/>
              </w:rPr>
              <w:t>查（</w:t>
            </w:r>
            <w:r>
              <w:rPr>
                <w:rFonts w:hint="eastAsia" w:ascii="宋体" w:hAnsi="宋体" w:eastAsia="宋体" w:cs="宋体"/>
                <w:color w:val="000000"/>
                <w:kern w:val="0"/>
                <w:sz w:val="20"/>
                <w:szCs w:val="20"/>
                <w:highlight w:val="none"/>
                <w:shd w:val="clear"/>
                <w:lang w:bidi="ar"/>
              </w:rPr>
              <w:t>新建</w:t>
            </w:r>
            <w:r>
              <w:rPr>
                <w:rFonts w:hint="eastAsia" w:ascii="宋体" w:hAnsi="宋体" w:eastAsia="宋体" w:cs="宋体"/>
                <w:color w:val="000000"/>
                <w:kern w:val="0"/>
                <w:sz w:val="20"/>
                <w:szCs w:val="20"/>
                <w:highlight w:val="none"/>
                <w:lang w:bidi="ar"/>
              </w:rPr>
              <w:t>）-</w:t>
            </w:r>
            <w:r>
              <w:rPr>
                <w:rFonts w:hint="eastAsia" w:cs="宋体"/>
                <w:color w:val="000000"/>
                <w:kern w:val="0"/>
                <w:sz w:val="20"/>
                <w:szCs w:val="20"/>
                <w:highlight w:val="none"/>
                <w:lang w:bidi="ar"/>
              </w:rPr>
              <w:t>单部门计划式检查任务管理-企业码对接</w:t>
            </w:r>
          </w:p>
        </w:tc>
        <w:tc>
          <w:tcPr>
            <w:tcW w:w="1998" w:type="pct"/>
            <w:tcBorders>
              <w:top w:val="single" w:color="000000" w:sz="4" w:space="0"/>
              <w:left w:val="single" w:color="000000" w:sz="4" w:space="0"/>
              <w:bottom w:val="single" w:color="000000" w:sz="4" w:space="0"/>
              <w:right w:val="single" w:color="000000" w:sz="4" w:space="0"/>
            </w:tcBorders>
            <w:vAlign w:val="center"/>
          </w:tcPr>
          <w:p w14:paraId="6DDB21D5">
            <w:pPr>
              <w:widowControl/>
              <w:spacing w:line="240" w:lineRule="auto"/>
              <w:ind w:firstLine="0" w:firstLineChars="0"/>
              <w:jc w:val="left"/>
              <w:textAlignment w:val="center"/>
              <w:rPr>
                <w:rFonts w:cs="宋体"/>
                <w:color w:val="000000"/>
                <w:sz w:val="20"/>
                <w:szCs w:val="20"/>
                <w:highlight w:val="none"/>
              </w:rPr>
            </w:pPr>
            <w:r>
              <w:rPr>
                <w:rFonts w:hint="eastAsia" w:cs="宋体"/>
                <w:color w:val="000000"/>
                <w:kern w:val="0"/>
                <w:sz w:val="20"/>
                <w:szCs w:val="20"/>
                <w:highlight w:val="none"/>
                <w:lang w:bidi="ar"/>
              </w:rPr>
              <w:t>通过接口对接企业码数据，获取公司名称、统一社会信用代码。</w:t>
            </w:r>
          </w:p>
        </w:tc>
      </w:tr>
      <w:tr w14:paraId="332863CE">
        <w:tblPrEx>
          <w:tblCellMar>
            <w:top w:w="0" w:type="dxa"/>
            <w:left w:w="108" w:type="dxa"/>
            <w:bottom w:w="0" w:type="dxa"/>
            <w:right w:w="108" w:type="dxa"/>
          </w:tblCellMar>
        </w:tblPrEx>
        <w:trPr>
          <w:trHeight w:val="780" w:hRule="atLeast"/>
        </w:trPr>
        <w:tc>
          <w:tcPr>
            <w:tcW w:w="460" w:type="pct"/>
            <w:tcBorders>
              <w:top w:val="single" w:color="000000" w:sz="4" w:space="0"/>
              <w:left w:val="single" w:color="000000" w:sz="4" w:space="0"/>
              <w:bottom w:val="single" w:color="000000" w:sz="4" w:space="0"/>
              <w:right w:val="single" w:color="000000" w:sz="4" w:space="0"/>
            </w:tcBorders>
            <w:noWrap/>
            <w:vAlign w:val="center"/>
          </w:tcPr>
          <w:p w14:paraId="0923ECF1">
            <w:pPr>
              <w:widowControl/>
              <w:spacing w:line="240" w:lineRule="auto"/>
              <w:ind w:firstLine="0" w:firstLineChars="0"/>
              <w:jc w:val="center"/>
              <w:textAlignment w:val="center"/>
              <w:rPr>
                <w:rFonts w:cs="宋体"/>
                <w:color w:val="000000"/>
                <w:sz w:val="20"/>
                <w:szCs w:val="20"/>
                <w:highlight w:val="none"/>
              </w:rPr>
            </w:pPr>
            <w:r>
              <w:rPr>
                <w:rFonts w:hint="eastAsia" w:cs="宋体"/>
                <w:color w:val="000000"/>
                <w:kern w:val="0"/>
                <w:sz w:val="20"/>
                <w:szCs w:val="20"/>
                <w:highlight w:val="none"/>
                <w:lang w:bidi="ar"/>
              </w:rPr>
              <w:t>59</w:t>
            </w:r>
          </w:p>
        </w:tc>
        <w:tc>
          <w:tcPr>
            <w:tcW w:w="1104" w:type="pct"/>
            <w:tcBorders>
              <w:top w:val="single" w:color="000000" w:sz="4" w:space="0"/>
              <w:left w:val="single" w:color="000000" w:sz="4" w:space="0"/>
              <w:bottom w:val="single" w:color="000000" w:sz="4" w:space="0"/>
              <w:right w:val="single" w:color="000000" w:sz="4" w:space="0"/>
            </w:tcBorders>
            <w:noWrap/>
            <w:vAlign w:val="center"/>
          </w:tcPr>
          <w:p w14:paraId="2B351916">
            <w:pPr>
              <w:widowControl/>
              <w:spacing w:line="240" w:lineRule="auto"/>
              <w:ind w:firstLine="0" w:firstLineChars="0"/>
              <w:jc w:val="left"/>
              <w:textAlignment w:val="center"/>
              <w:rPr>
                <w:rFonts w:cs="宋体"/>
                <w:color w:val="000000"/>
                <w:sz w:val="20"/>
                <w:szCs w:val="20"/>
                <w:highlight w:val="none"/>
              </w:rPr>
            </w:pPr>
            <w:r>
              <w:rPr>
                <w:rFonts w:hint="eastAsia" w:cs="宋体"/>
                <w:color w:val="000000"/>
                <w:kern w:val="0"/>
                <w:sz w:val="20"/>
                <w:szCs w:val="20"/>
                <w:highlight w:val="none"/>
                <w:lang w:bidi="ar"/>
              </w:rPr>
              <w:t>城管执法对象监管</w:t>
            </w:r>
          </w:p>
        </w:tc>
        <w:tc>
          <w:tcPr>
            <w:tcW w:w="1436" w:type="pct"/>
            <w:tcBorders>
              <w:top w:val="single" w:color="000000" w:sz="4" w:space="0"/>
              <w:left w:val="single" w:color="000000" w:sz="4" w:space="0"/>
              <w:bottom w:val="single" w:color="000000" w:sz="4" w:space="0"/>
              <w:right w:val="single" w:color="000000" w:sz="4" w:space="0"/>
            </w:tcBorders>
            <w:vAlign w:val="center"/>
          </w:tcPr>
          <w:p w14:paraId="6C8C9E51">
            <w:pPr>
              <w:widowControl/>
              <w:spacing w:line="240" w:lineRule="auto"/>
              <w:ind w:firstLine="0" w:firstLineChars="0"/>
              <w:jc w:val="center"/>
              <w:textAlignment w:val="center"/>
              <w:rPr>
                <w:rFonts w:cs="宋体"/>
                <w:color w:val="000000"/>
                <w:sz w:val="20"/>
                <w:szCs w:val="20"/>
                <w:highlight w:val="none"/>
              </w:rPr>
            </w:pPr>
            <w:r>
              <w:rPr>
                <w:rFonts w:hint="eastAsia" w:cs="宋体"/>
                <w:color w:val="000000"/>
                <w:kern w:val="0"/>
                <w:sz w:val="20"/>
                <w:szCs w:val="20"/>
                <w:highlight w:val="none"/>
                <w:lang w:bidi="ar"/>
              </w:rPr>
              <w:t>涉企检查（新建）-单部门计划式检查任务管理-检查任务创建</w:t>
            </w:r>
          </w:p>
        </w:tc>
        <w:tc>
          <w:tcPr>
            <w:tcW w:w="1998" w:type="pct"/>
            <w:tcBorders>
              <w:top w:val="single" w:color="000000" w:sz="4" w:space="0"/>
              <w:left w:val="single" w:color="000000" w:sz="4" w:space="0"/>
              <w:bottom w:val="single" w:color="000000" w:sz="4" w:space="0"/>
              <w:right w:val="single" w:color="000000" w:sz="4" w:space="0"/>
            </w:tcBorders>
            <w:vAlign w:val="center"/>
          </w:tcPr>
          <w:p w14:paraId="1716665D">
            <w:pPr>
              <w:widowControl/>
              <w:spacing w:line="240" w:lineRule="auto"/>
              <w:ind w:firstLine="0" w:firstLineChars="0"/>
              <w:jc w:val="left"/>
              <w:textAlignment w:val="center"/>
              <w:rPr>
                <w:rFonts w:cs="宋体"/>
                <w:color w:val="000000"/>
                <w:sz w:val="20"/>
                <w:szCs w:val="20"/>
                <w:highlight w:val="none"/>
              </w:rPr>
            </w:pPr>
            <w:r>
              <w:rPr>
                <w:rFonts w:hint="eastAsia" w:cs="宋体"/>
                <w:color w:val="000000"/>
                <w:kern w:val="0"/>
                <w:sz w:val="20"/>
                <w:szCs w:val="20"/>
                <w:highlight w:val="none"/>
                <w:lang w:bidi="ar"/>
              </w:rPr>
              <w:t>实现检查任务创建时与全市统一综合执法系统检查计划编码进行关联，实现检查计划制定。检查任务创建后，进行检查码申请、调取。</w:t>
            </w:r>
          </w:p>
        </w:tc>
      </w:tr>
      <w:tr w14:paraId="5E54557F">
        <w:tblPrEx>
          <w:tblCellMar>
            <w:top w:w="0" w:type="dxa"/>
            <w:left w:w="108" w:type="dxa"/>
            <w:bottom w:w="0" w:type="dxa"/>
            <w:right w:w="108" w:type="dxa"/>
          </w:tblCellMar>
        </w:tblPrEx>
        <w:trPr>
          <w:trHeight w:val="1560" w:hRule="atLeast"/>
        </w:trPr>
        <w:tc>
          <w:tcPr>
            <w:tcW w:w="460" w:type="pct"/>
            <w:tcBorders>
              <w:top w:val="single" w:color="000000" w:sz="4" w:space="0"/>
              <w:left w:val="single" w:color="000000" w:sz="4" w:space="0"/>
              <w:bottom w:val="single" w:color="000000" w:sz="4" w:space="0"/>
              <w:right w:val="single" w:color="000000" w:sz="4" w:space="0"/>
            </w:tcBorders>
            <w:noWrap/>
            <w:vAlign w:val="center"/>
          </w:tcPr>
          <w:p w14:paraId="25A9CD24">
            <w:pPr>
              <w:widowControl/>
              <w:spacing w:line="240" w:lineRule="auto"/>
              <w:ind w:firstLine="0" w:firstLineChars="0"/>
              <w:jc w:val="center"/>
              <w:textAlignment w:val="center"/>
              <w:rPr>
                <w:rFonts w:cs="宋体"/>
                <w:color w:val="000000"/>
                <w:sz w:val="20"/>
                <w:szCs w:val="20"/>
                <w:highlight w:val="none"/>
              </w:rPr>
            </w:pPr>
            <w:r>
              <w:rPr>
                <w:rFonts w:hint="eastAsia" w:cs="宋体"/>
                <w:color w:val="000000"/>
                <w:kern w:val="0"/>
                <w:sz w:val="20"/>
                <w:szCs w:val="20"/>
                <w:highlight w:val="none"/>
                <w:lang w:bidi="ar"/>
              </w:rPr>
              <w:t>60</w:t>
            </w:r>
          </w:p>
        </w:tc>
        <w:tc>
          <w:tcPr>
            <w:tcW w:w="1104" w:type="pct"/>
            <w:tcBorders>
              <w:top w:val="single" w:color="000000" w:sz="4" w:space="0"/>
              <w:left w:val="single" w:color="000000" w:sz="4" w:space="0"/>
              <w:bottom w:val="single" w:color="000000" w:sz="4" w:space="0"/>
              <w:right w:val="single" w:color="000000" w:sz="4" w:space="0"/>
            </w:tcBorders>
            <w:noWrap/>
            <w:vAlign w:val="center"/>
          </w:tcPr>
          <w:p w14:paraId="6BE64BB5">
            <w:pPr>
              <w:widowControl/>
              <w:spacing w:line="240" w:lineRule="auto"/>
              <w:ind w:firstLine="0" w:firstLineChars="0"/>
              <w:jc w:val="left"/>
              <w:textAlignment w:val="center"/>
              <w:rPr>
                <w:rFonts w:cs="宋体"/>
                <w:color w:val="000000"/>
                <w:sz w:val="20"/>
                <w:szCs w:val="20"/>
                <w:highlight w:val="none"/>
              </w:rPr>
            </w:pPr>
            <w:r>
              <w:rPr>
                <w:rFonts w:hint="eastAsia" w:cs="宋体"/>
                <w:color w:val="000000"/>
                <w:kern w:val="0"/>
                <w:sz w:val="20"/>
                <w:szCs w:val="20"/>
                <w:highlight w:val="none"/>
                <w:lang w:bidi="ar"/>
              </w:rPr>
              <w:t>城管执法对象监管</w:t>
            </w:r>
          </w:p>
        </w:tc>
        <w:tc>
          <w:tcPr>
            <w:tcW w:w="1436" w:type="pct"/>
            <w:tcBorders>
              <w:top w:val="single" w:color="000000" w:sz="4" w:space="0"/>
              <w:left w:val="single" w:color="000000" w:sz="4" w:space="0"/>
              <w:bottom w:val="single" w:color="000000" w:sz="4" w:space="0"/>
              <w:right w:val="single" w:color="000000" w:sz="4" w:space="0"/>
            </w:tcBorders>
            <w:vAlign w:val="center"/>
          </w:tcPr>
          <w:p w14:paraId="3C97EC19">
            <w:pPr>
              <w:widowControl/>
              <w:spacing w:line="240" w:lineRule="auto"/>
              <w:ind w:firstLine="0" w:firstLineChars="0"/>
              <w:jc w:val="center"/>
              <w:textAlignment w:val="center"/>
              <w:rPr>
                <w:rFonts w:cs="宋体"/>
                <w:color w:val="000000"/>
                <w:sz w:val="20"/>
                <w:szCs w:val="20"/>
                <w:highlight w:val="none"/>
              </w:rPr>
            </w:pPr>
            <w:r>
              <w:rPr>
                <w:rFonts w:hint="eastAsia" w:cs="宋体"/>
                <w:color w:val="000000"/>
                <w:kern w:val="0"/>
                <w:sz w:val="20"/>
                <w:szCs w:val="20"/>
                <w:highlight w:val="none"/>
                <w:lang w:bidi="ar"/>
              </w:rPr>
              <w:t>涉企检查（新建）-单部门计划式检查任务管理-检查实施管理</w:t>
            </w:r>
          </w:p>
        </w:tc>
        <w:tc>
          <w:tcPr>
            <w:tcW w:w="1998" w:type="pct"/>
            <w:tcBorders>
              <w:top w:val="single" w:color="000000" w:sz="4" w:space="0"/>
              <w:left w:val="single" w:color="000000" w:sz="4" w:space="0"/>
              <w:bottom w:val="single" w:color="000000" w:sz="4" w:space="0"/>
              <w:right w:val="single" w:color="000000" w:sz="4" w:space="0"/>
            </w:tcBorders>
            <w:vAlign w:val="center"/>
          </w:tcPr>
          <w:p w14:paraId="30319462">
            <w:pPr>
              <w:widowControl/>
              <w:spacing w:line="240" w:lineRule="auto"/>
              <w:ind w:firstLine="0" w:firstLineChars="0"/>
              <w:jc w:val="left"/>
              <w:textAlignment w:val="center"/>
              <w:rPr>
                <w:rFonts w:cs="宋体"/>
                <w:color w:val="000000"/>
                <w:sz w:val="20"/>
                <w:szCs w:val="20"/>
                <w:highlight w:val="none"/>
              </w:rPr>
            </w:pPr>
            <w:r>
              <w:rPr>
                <w:rFonts w:hint="eastAsia" w:cs="宋体"/>
                <w:color w:val="000000"/>
                <w:kern w:val="0"/>
                <w:sz w:val="20"/>
                <w:szCs w:val="20"/>
                <w:highlight w:val="none"/>
                <w:lang w:bidi="ar"/>
              </w:rPr>
              <w:t>实现检查基本信息更新；向现场人员发送检查码；支持执法人员进行检查结果录入；检查情况提示发送当事人；实现发送整改复查相关信息。实现检查完毕后将该条行政检查结果数据更新后任务状态变为已结束。支持检查码注销、作废。实现无证商户管理。</w:t>
            </w:r>
          </w:p>
        </w:tc>
      </w:tr>
      <w:tr w14:paraId="3D69AD89">
        <w:tblPrEx>
          <w:tblCellMar>
            <w:top w:w="0" w:type="dxa"/>
            <w:left w:w="108" w:type="dxa"/>
            <w:bottom w:w="0" w:type="dxa"/>
            <w:right w:w="108" w:type="dxa"/>
          </w:tblCellMar>
        </w:tblPrEx>
        <w:trPr>
          <w:trHeight w:val="780" w:hRule="atLeast"/>
        </w:trPr>
        <w:tc>
          <w:tcPr>
            <w:tcW w:w="460" w:type="pct"/>
            <w:tcBorders>
              <w:top w:val="single" w:color="000000" w:sz="4" w:space="0"/>
              <w:left w:val="single" w:color="000000" w:sz="4" w:space="0"/>
              <w:bottom w:val="single" w:color="000000" w:sz="4" w:space="0"/>
              <w:right w:val="single" w:color="000000" w:sz="4" w:space="0"/>
            </w:tcBorders>
            <w:noWrap/>
            <w:vAlign w:val="center"/>
          </w:tcPr>
          <w:p w14:paraId="5035DB4B">
            <w:pPr>
              <w:widowControl/>
              <w:spacing w:line="240" w:lineRule="auto"/>
              <w:ind w:firstLine="0" w:firstLineChars="0"/>
              <w:jc w:val="center"/>
              <w:textAlignment w:val="center"/>
              <w:rPr>
                <w:rFonts w:cs="宋体"/>
                <w:color w:val="000000"/>
                <w:sz w:val="20"/>
                <w:szCs w:val="20"/>
                <w:highlight w:val="none"/>
              </w:rPr>
            </w:pPr>
            <w:r>
              <w:rPr>
                <w:rFonts w:hint="eastAsia" w:cs="宋体"/>
                <w:color w:val="000000"/>
                <w:kern w:val="0"/>
                <w:sz w:val="20"/>
                <w:szCs w:val="20"/>
                <w:highlight w:val="none"/>
                <w:lang w:bidi="ar"/>
              </w:rPr>
              <w:t>61</w:t>
            </w:r>
          </w:p>
        </w:tc>
        <w:tc>
          <w:tcPr>
            <w:tcW w:w="1104" w:type="pct"/>
            <w:tcBorders>
              <w:top w:val="single" w:color="000000" w:sz="4" w:space="0"/>
              <w:left w:val="single" w:color="000000" w:sz="4" w:space="0"/>
              <w:bottom w:val="single" w:color="000000" w:sz="4" w:space="0"/>
              <w:right w:val="single" w:color="000000" w:sz="4" w:space="0"/>
            </w:tcBorders>
            <w:noWrap/>
            <w:vAlign w:val="center"/>
          </w:tcPr>
          <w:p w14:paraId="7AB49645">
            <w:pPr>
              <w:widowControl/>
              <w:spacing w:line="240" w:lineRule="auto"/>
              <w:ind w:firstLine="0" w:firstLineChars="0"/>
              <w:jc w:val="left"/>
              <w:textAlignment w:val="center"/>
              <w:rPr>
                <w:rFonts w:cs="宋体"/>
                <w:color w:val="000000"/>
                <w:sz w:val="20"/>
                <w:szCs w:val="20"/>
                <w:highlight w:val="none"/>
              </w:rPr>
            </w:pPr>
            <w:r>
              <w:rPr>
                <w:rFonts w:hint="eastAsia" w:cs="宋体"/>
                <w:color w:val="000000"/>
                <w:kern w:val="0"/>
                <w:sz w:val="20"/>
                <w:szCs w:val="20"/>
                <w:highlight w:val="none"/>
                <w:lang w:bidi="ar"/>
              </w:rPr>
              <w:t>城管执法对象监管</w:t>
            </w:r>
          </w:p>
        </w:tc>
        <w:tc>
          <w:tcPr>
            <w:tcW w:w="1436" w:type="pct"/>
            <w:tcBorders>
              <w:top w:val="single" w:color="000000" w:sz="4" w:space="0"/>
              <w:left w:val="single" w:color="000000" w:sz="4" w:space="0"/>
              <w:bottom w:val="single" w:color="000000" w:sz="4" w:space="0"/>
              <w:right w:val="single" w:color="000000" w:sz="4" w:space="0"/>
            </w:tcBorders>
            <w:vAlign w:val="center"/>
          </w:tcPr>
          <w:p w14:paraId="1774671B">
            <w:pPr>
              <w:widowControl/>
              <w:spacing w:line="240" w:lineRule="auto"/>
              <w:ind w:firstLine="0" w:firstLineChars="0"/>
              <w:jc w:val="center"/>
              <w:textAlignment w:val="center"/>
              <w:rPr>
                <w:rFonts w:cs="宋体"/>
                <w:color w:val="000000"/>
                <w:sz w:val="20"/>
                <w:szCs w:val="20"/>
                <w:highlight w:val="none"/>
              </w:rPr>
            </w:pPr>
            <w:r>
              <w:rPr>
                <w:rFonts w:hint="eastAsia" w:cs="宋体"/>
                <w:color w:val="000000"/>
                <w:kern w:val="0"/>
                <w:sz w:val="20"/>
                <w:szCs w:val="20"/>
                <w:highlight w:val="none"/>
                <w:lang w:bidi="ar"/>
              </w:rPr>
              <w:t>涉企检查（新建）-单部门触发式检查管理-诉件初核</w:t>
            </w:r>
          </w:p>
        </w:tc>
        <w:tc>
          <w:tcPr>
            <w:tcW w:w="1998" w:type="pct"/>
            <w:tcBorders>
              <w:top w:val="single" w:color="000000" w:sz="4" w:space="0"/>
              <w:left w:val="single" w:color="000000" w:sz="4" w:space="0"/>
              <w:bottom w:val="single" w:color="000000" w:sz="4" w:space="0"/>
              <w:right w:val="single" w:color="000000" w:sz="4" w:space="0"/>
            </w:tcBorders>
            <w:vAlign w:val="center"/>
          </w:tcPr>
          <w:p w14:paraId="1B956CFB">
            <w:pPr>
              <w:widowControl/>
              <w:spacing w:line="240" w:lineRule="auto"/>
              <w:ind w:firstLine="0" w:firstLineChars="0"/>
              <w:jc w:val="left"/>
              <w:textAlignment w:val="center"/>
              <w:rPr>
                <w:rFonts w:cs="宋体"/>
                <w:color w:val="000000"/>
                <w:sz w:val="20"/>
                <w:szCs w:val="20"/>
                <w:highlight w:val="none"/>
              </w:rPr>
            </w:pPr>
            <w:r>
              <w:rPr>
                <w:rFonts w:hint="eastAsia" w:cs="宋体"/>
                <w:color w:val="000000"/>
                <w:kern w:val="0"/>
                <w:sz w:val="20"/>
                <w:szCs w:val="20"/>
                <w:highlight w:val="none"/>
                <w:lang w:bidi="ar"/>
              </w:rPr>
              <w:t>设置沿街商户分级分类诉件对接规则，进行诉件对接，根据规则同步诉件数据并进行诉件下发至中队进行建筑工地诉件初核。</w:t>
            </w:r>
          </w:p>
        </w:tc>
      </w:tr>
      <w:tr w14:paraId="2976E231">
        <w:tblPrEx>
          <w:tblCellMar>
            <w:top w:w="0" w:type="dxa"/>
            <w:left w:w="108" w:type="dxa"/>
            <w:bottom w:w="0" w:type="dxa"/>
            <w:right w:w="108" w:type="dxa"/>
          </w:tblCellMar>
        </w:tblPrEx>
        <w:trPr>
          <w:trHeight w:val="1040" w:hRule="atLeast"/>
        </w:trPr>
        <w:tc>
          <w:tcPr>
            <w:tcW w:w="460" w:type="pct"/>
            <w:tcBorders>
              <w:top w:val="single" w:color="000000" w:sz="4" w:space="0"/>
              <w:left w:val="single" w:color="000000" w:sz="4" w:space="0"/>
              <w:bottom w:val="single" w:color="000000" w:sz="4" w:space="0"/>
              <w:right w:val="single" w:color="000000" w:sz="4" w:space="0"/>
            </w:tcBorders>
            <w:noWrap/>
            <w:vAlign w:val="center"/>
          </w:tcPr>
          <w:p w14:paraId="24D820B4">
            <w:pPr>
              <w:widowControl/>
              <w:spacing w:line="240" w:lineRule="auto"/>
              <w:ind w:firstLine="0" w:firstLineChars="0"/>
              <w:jc w:val="center"/>
              <w:textAlignment w:val="center"/>
              <w:rPr>
                <w:rFonts w:cs="宋体"/>
                <w:color w:val="000000"/>
                <w:sz w:val="20"/>
                <w:szCs w:val="20"/>
                <w:highlight w:val="none"/>
              </w:rPr>
            </w:pPr>
            <w:r>
              <w:rPr>
                <w:rFonts w:hint="eastAsia" w:cs="宋体"/>
                <w:color w:val="000000"/>
                <w:kern w:val="0"/>
                <w:sz w:val="20"/>
                <w:szCs w:val="20"/>
                <w:highlight w:val="none"/>
                <w:lang w:bidi="ar"/>
              </w:rPr>
              <w:t>62</w:t>
            </w:r>
          </w:p>
        </w:tc>
        <w:tc>
          <w:tcPr>
            <w:tcW w:w="1104" w:type="pct"/>
            <w:tcBorders>
              <w:top w:val="single" w:color="000000" w:sz="4" w:space="0"/>
              <w:left w:val="single" w:color="000000" w:sz="4" w:space="0"/>
              <w:bottom w:val="single" w:color="000000" w:sz="4" w:space="0"/>
              <w:right w:val="single" w:color="000000" w:sz="4" w:space="0"/>
            </w:tcBorders>
            <w:noWrap/>
            <w:vAlign w:val="center"/>
          </w:tcPr>
          <w:p w14:paraId="135F7EE3">
            <w:pPr>
              <w:widowControl/>
              <w:spacing w:line="240" w:lineRule="auto"/>
              <w:ind w:firstLine="0" w:firstLineChars="0"/>
              <w:jc w:val="left"/>
              <w:textAlignment w:val="center"/>
              <w:rPr>
                <w:rFonts w:cs="宋体"/>
                <w:color w:val="000000"/>
                <w:sz w:val="20"/>
                <w:szCs w:val="20"/>
                <w:highlight w:val="none"/>
              </w:rPr>
            </w:pPr>
            <w:r>
              <w:rPr>
                <w:rFonts w:hint="eastAsia" w:cs="宋体"/>
                <w:color w:val="000000"/>
                <w:kern w:val="0"/>
                <w:sz w:val="20"/>
                <w:szCs w:val="20"/>
                <w:highlight w:val="none"/>
                <w:lang w:bidi="ar"/>
              </w:rPr>
              <w:t>城管执法对象监管</w:t>
            </w:r>
          </w:p>
        </w:tc>
        <w:tc>
          <w:tcPr>
            <w:tcW w:w="1436" w:type="pct"/>
            <w:tcBorders>
              <w:top w:val="single" w:color="000000" w:sz="4" w:space="0"/>
              <w:left w:val="single" w:color="000000" w:sz="4" w:space="0"/>
              <w:bottom w:val="single" w:color="000000" w:sz="4" w:space="0"/>
              <w:right w:val="single" w:color="000000" w:sz="4" w:space="0"/>
            </w:tcBorders>
            <w:vAlign w:val="center"/>
          </w:tcPr>
          <w:p w14:paraId="1490D8A9">
            <w:pPr>
              <w:widowControl/>
              <w:spacing w:line="240" w:lineRule="auto"/>
              <w:ind w:firstLine="0" w:firstLineChars="0"/>
              <w:jc w:val="center"/>
              <w:textAlignment w:val="center"/>
              <w:rPr>
                <w:rFonts w:cs="宋体"/>
                <w:color w:val="000000"/>
                <w:sz w:val="20"/>
                <w:szCs w:val="20"/>
                <w:highlight w:val="none"/>
              </w:rPr>
            </w:pPr>
            <w:r>
              <w:rPr>
                <w:rFonts w:hint="eastAsia" w:cs="宋体"/>
                <w:color w:val="000000"/>
                <w:kern w:val="0"/>
                <w:sz w:val="20"/>
                <w:szCs w:val="20"/>
                <w:highlight w:val="none"/>
                <w:lang w:bidi="ar"/>
              </w:rPr>
              <w:t>涉企检查（新建）-单部门触发式检查管理-沿街商户分级分类-沿街商户分级检查</w:t>
            </w:r>
          </w:p>
        </w:tc>
        <w:tc>
          <w:tcPr>
            <w:tcW w:w="1998" w:type="pct"/>
            <w:tcBorders>
              <w:top w:val="single" w:color="000000" w:sz="4" w:space="0"/>
              <w:left w:val="single" w:color="000000" w:sz="4" w:space="0"/>
              <w:bottom w:val="single" w:color="000000" w:sz="4" w:space="0"/>
              <w:right w:val="single" w:color="000000" w:sz="4" w:space="0"/>
            </w:tcBorders>
            <w:vAlign w:val="center"/>
          </w:tcPr>
          <w:p w14:paraId="72C236B8">
            <w:pPr>
              <w:widowControl/>
              <w:spacing w:line="240" w:lineRule="auto"/>
              <w:ind w:firstLine="0" w:firstLineChars="0"/>
              <w:jc w:val="left"/>
              <w:textAlignment w:val="center"/>
              <w:rPr>
                <w:rFonts w:cs="宋体"/>
                <w:color w:val="000000"/>
                <w:sz w:val="20"/>
                <w:szCs w:val="20"/>
                <w:highlight w:val="none"/>
              </w:rPr>
            </w:pPr>
            <w:r>
              <w:rPr>
                <w:rFonts w:hint="eastAsia" w:cs="宋体"/>
                <w:color w:val="000000"/>
                <w:kern w:val="0"/>
                <w:sz w:val="20"/>
                <w:szCs w:val="20"/>
                <w:highlight w:val="none"/>
                <w:lang w:bidi="ar"/>
              </w:rPr>
              <w:t>系统支持生成沿街商户分级分类涉企检查任务。进行分级分类规则调整。在沿街分级监管中，增加智能检索功能，实现按照路段名称搜索后，商户按照门牌号进行自动排列，并支持保留搜索痕迹。</w:t>
            </w:r>
          </w:p>
        </w:tc>
      </w:tr>
      <w:tr w14:paraId="54DA58AF">
        <w:tblPrEx>
          <w:tblCellMar>
            <w:top w:w="0" w:type="dxa"/>
            <w:left w:w="108" w:type="dxa"/>
            <w:bottom w:w="0" w:type="dxa"/>
            <w:right w:w="108" w:type="dxa"/>
          </w:tblCellMar>
        </w:tblPrEx>
        <w:trPr>
          <w:trHeight w:val="780" w:hRule="atLeast"/>
        </w:trPr>
        <w:tc>
          <w:tcPr>
            <w:tcW w:w="460" w:type="pct"/>
            <w:tcBorders>
              <w:top w:val="single" w:color="000000" w:sz="4" w:space="0"/>
              <w:left w:val="single" w:color="000000" w:sz="4" w:space="0"/>
              <w:bottom w:val="single" w:color="000000" w:sz="4" w:space="0"/>
              <w:right w:val="single" w:color="000000" w:sz="4" w:space="0"/>
            </w:tcBorders>
            <w:noWrap/>
            <w:vAlign w:val="center"/>
          </w:tcPr>
          <w:p w14:paraId="752A777A">
            <w:pPr>
              <w:widowControl/>
              <w:spacing w:line="240" w:lineRule="auto"/>
              <w:ind w:firstLine="0" w:firstLineChars="0"/>
              <w:jc w:val="center"/>
              <w:textAlignment w:val="center"/>
              <w:rPr>
                <w:rFonts w:cs="宋体"/>
                <w:color w:val="000000"/>
                <w:sz w:val="20"/>
                <w:szCs w:val="20"/>
                <w:highlight w:val="none"/>
              </w:rPr>
            </w:pPr>
            <w:r>
              <w:rPr>
                <w:rFonts w:hint="eastAsia" w:cs="宋体"/>
                <w:color w:val="000000"/>
                <w:kern w:val="0"/>
                <w:sz w:val="20"/>
                <w:szCs w:val="20"/>
                <w:highlight w:val="none"/>
                <w:lang w:bidi="ar"/>
              </w:rPr>
              <w:t>63</w:t>
            </w:r>
          </w:p>
        </w:tc>
        <w:tc>
          <w:tcPr>
            <w:tcW w:w="1104" w:type="pct"/>
            <w:tcBorders>
              <w:top w:val="single" w:color="000000" w:sz="4" w:space="0"/>
              <w:left w:val="single" w:color="000000" w:sz="4" w:space="0"/>
              <w:bottom w:val="single" w:color="000000" w:sz="4" w:space="0"/>
              <w:right w:val="single" w:color="000000" w:sz="4" w:space="0"/>
            </w:tcBorders>
            <w:noWrap/>
            <w:vAlign w:val="center"/>
          </w:tcPr>
          <w:p w14:paraId="64250BF2">
            <w:pPr>
              <w:widowControl/>
              <w:spacing w:line="240" w:lineRule="auto"/>
              <w:ind w:firstLine="0" w:firstLineChars="0"/>
              <w:jc w:val="left"/>
              <w:textAlignment w:val="center"/>
              <w:rPr>
                <w:rFonts w:cs="宋体"/>
                <w:color w:val="000000"/>
                <w:sz w:val="20"/>
                <w:szCs w:val="20"/>
                <w:highlight w:val="none"/>
              </w:rPr>
            </w:pPr>
            <w:r>
              <w:rPr>
                <w:rFonts w:hint="eastAsia" w:cs="宋体"/>
                <w:color w:val="000000"/>
                <w:kern w:val="0"/>
                <w:sz w:val="20"/>
                <w:szCs w:val="20"/>
                <w:highlight w:val="none"/>
                <w:lang w:bidi="ar"/>
              </w:rPr>
              <w:t>城管执法对象监管</w:t>
            </w:r>
          </w:p>
        </w:tc>
        <w:tc>
          <w:tcPr>
            <w:tcW w:w="1436" w:type="pct"/>
            <w:tcBorders>
              <w:top w:val="single" w:color="000000" w:sz="4" w:space="0"/>
              <w:left w:val="single" w:color="000000" w:sz="4" w:space="0"/>
              <w:bottom w:val="single" w:color="000000" w:sz="4" w:space="0"/>
              <w:right w:val="single" w:color="000000" w:sz="4" w:space="0"/>
            </w:tcBorders>
            <w:vAlign w:val="center"/>
          </w:tcPr>
          <w:p w14:paraId="3A68AED2">
            <w:pPr>
              <w:widowControl/>
              <w:spacing w:line="240" w:lineRule="auto"/>
              <w:ind w:firstLine="0" w:firstLineChars="0"/>
              <w:jc w:val="center"/>
              <w:textAlignment w:val="center"/>
              <w:rPr>
                <w:rFonts w:cs="宋体"/>
                <w:color w:val="000000"/>
                <w:sz w:val="20"/>
                <w:szCs w:val="20"/>
                <w:highlight w:val="none"/>
              </w:rPr>
            </w:pPr>
            <w:r>
              <w:rPr>
                <w:rFonts w:hint="eastAsia" w:cs="宋体"/>
                <w:color w:val="000000"/>
                <w:kern w:val="0"/>
                <w:sz w:val="20"/>
                <w:szCs w:val="20"/>
                <w:highlight w:val="none"/>
                <w:lang w:bidi="ar"/>
              </w:rPr>
              <w:t>涉企检查（新建）-单部门触发式检查管理-沿街商户分级分类-升降级管理与数据研判</w:t>
            </w:r>
          </w:p>
        </w:tc>
        <w:tc>
          <w:tcPr>
            <w:tcW w:w="1998" w:type="pct"/>
            <w:tcBorders>
              <w:top w:val="single" w:color="000000" w:sz="4" w:space="0"/>
              <w:left w:val="single" w:color="000000" w:sz="4" w:space="0"/>
              <w:bottom w:val="single" w:color="000000" w:sz="4" w:space="0"/>
              <w:right w:val="single" w:color="000000" w:sz="4" w:space="0"/>
            </w:tcBorders>
            <w:vAlign w:val="center"/>
          </w:tcPr>
          <w:p w14:paraId="36C1C998">
            <w:pPr>
              <w:widowControl/>
              <w:spacing w:line="240" w:lineRule="auto"/>
              <w:ind w:firstLine="0" w:firstLineChars="0"/>
              <w:jc w:val="left"/>
              <w:textAlignment w:val="center"/>
              <w:rPr>
                <w:rFonts w:cs="宋体"/>
                <w:color w:val="000000"/>
                <w:sz w:val="20"/>
                <w:szCs w:val="20"/>
                <w:highlight w:val="none"/>
              </w:rPr>
            </w:pPr>
            <w:r>
              <w:rPr>
                <w:rFonts w:hint="eastAsia" w:cs="宋体"/>
                <w:color w:val="000000"/>
                <w:kern w:val="0"/>
                <w:sz w:val="20"/>
                <w:szCs w:val="20"/>
                <w:highlight w:val="none"/>
                <w:lang w:bidi="ar"/>
              </w:rPr>
              <w:t>设置沿街商户升降级规则。实现沿街商户分级分类监管任务数据汇总与分析研判，包括诉件核实数量、分级任务检查数据等。</w:t>
            </w:r>
          </w:p>
        </w:tc>
      </w:tr>
      <w:tr w14:paraId="09726BA0">
        <w:tblPrEx>
          <w:tblCellMar>
            <w:top w:w="0" w:type="dxa"/>
            <w:left w:w="108" w:type="dxa"/>
            <w:bottom w:w="0" w:type="dxa"/>
            <w:right w:w="108" w:type="dxa"/>
          </w:tblCellMar>
        </w:tblPrEx>
        <w:trPr>
          <w:trHeight w:val="780" w:hRule="atLeast"/>
        </w:trPr>
        <w:tc>
          <w:tcPr>
            <w:tcW w:w="460" w:type="pct"/>
            <w:tcBorders>
              <w:top w:val="single" w:color="000000" w:sz="4" w:space="0"/>
              <w:left w:val="single" w:color="000000" w:sz="4" w:space="0"/>
              <w:bottom w:val="single" w:color="000000" w:sz="4" w:space="0"/>
              <w:right w:val="single" w:color="000000" w:sz="4" w:space="0"/>
            </w:tcBorders>
            <w:noWrap/>
            <w:vAlign w:val="center"/>
          </w:tcPr>
          <w:p w14:paraId="5434900A">
            <w:pPr>
              <w:widowControl/>
              <w:spacing w:line="240" w:lineRule="auto"/>
              <w:ind w:firstLine="0" w:firstLineChars="0"/>
              <w:jc w:val="center"/>
              <w:textAlignment w:val="center"/>
              <w:rPr>
                <w:rFonts w:cs="宋体"/>
                <w:color w:val="000000"/>
                <w:sz w:val="20"/>
                <w:szCs w:val="20"/>
                <w:highlight w:val="none"/>
              </w:rPr>
            </w:pPr>
            <w:r>
              <w:rPr>
                <w:rFonts w:hint="eastAsia" w:cs="宋体"/>
                <w:color w:val="000000"/>
                <w:kern w:val="0"/>
                <w:sz w:val="20"/>
                <w:szCs w:val="20"/>
                <w:highlight w:val="none"/>
                <w:lang w:bidi="ar"/>
              </w:rPr>
              <w:t>64</w:t>
            </w:r>
          </w:p>
        </w:tc>
        <w:tc>
          <w:tcPr>
            <w:tcW w:w="1104" w:type="pct"/>
            <w:tcBorders>
              <w:top w:val="single" w:color="000000" w:sz="4" w:space="0"/>
              <w:left w:val="single" w:color="000000" w:sz="4" w:space="0"/>
              <w:bottom w:val="single" w:color="000000" w:sz="4" w:space="0"/>
              <w:right w:val="single" w:color="000000" w:sz="4" w:space="0"/>
            </w:tcBorders>
            <w:noWrap/>
            <w:vAlign w:val="center"/>
          </w:tcPr>
          <w:p w14:paraId="7F9191EA">
            <w:pPr>
              <w:widowControl/>
              <w:spacing w:line="240" w:lineRule="auto"/>
              <w:ind w:firstLine="0" w:firstLineChars="0"/>
              <w:jc w:val="left"/>
              <w:textAlignment w:val="center"/>
              <w:rPr>
                <w:rFonts w:cs="宋体"/>
                <w:color w:val="000000"/>
                <w:sz w:val="20"/>
                <w:szCs w:val="20"/>
                <w:highlight w:val="none"/>
              </w:rPr>
            </w:pPr>
            <w:r>
              <w:rPr>
                <w:rFonts w:hint="eastAsia" w:cs="宋体"/>
                <w:color w:val="000000"/>
                <w:kern w:val="0"/>
                <w:sz w:val="20"/>
                <w:szCs w:val="20"/>
                <w:highlight w:val="none"/>
                <w:lang w:bidi="ar"/>
              </w:rPr>
              <w:t>城管执法对象监管</w:t>
            </w:r>
          </w:p>
        </w:tc>
        <w:tc>
          <w:tcPr>
            <w:tcW w:w="1436" w:type="pct"/>
            <w:tcBorders>
              <w:top w:val="single" w:color="000000" w:sz="4" w:space="0"/>
              <w:left w:val="single" w:color="000000" w:sz="4" w:space="0"/>
              <w:bottom w:val="single" w:color="000000" w:sz="4" w:space="0"/>
              <w:right w:val="single" w:color="000000" w:sz="4" w:space="0"/>
            </w:tcBorders>
            <w:vAlign w:val="center"/>
          </w:tcPr>
          <w:p w14:paraId="3C3D24D2">
            <w:pPr>
              <w:widowControl/>
              <w:spacing w:line="240" w:lineRule="auto"/>
              <w:ind w:firstLine="0" w:firstLineChars="0"/>
              <w:jc w:val="center"/>
              <w:textAlignment w:val="center"/>
              <w:rPr>
                <w:rFonts w:cs="宋体"/>
                <w:color w:val="000000"/>
                <w:sz w:val="20"/>
                <w:szCs w:val="20"/>
                <w:highlight w:val="none"/>
              </w:rPr>
            </w:pPr>
            <w:r>
              <w:rPr>
                <w:rFonts w:hint="eastAsia" w:cs="宋体"/>
                <w:color w:val="000000"/>
                <w:kern w:val="0"/>
                <w:sz w:val="20"/>
                <w:szCs w:val="20"/>
                <w:highlight w:val="none"/>
                <w:lang w:bidi="ar"/>
              </w:rPr>
              <w:t>涉企检查（新建）-单部门触发式检查管理-建筑工地分级分类-分级任务管理</w:t>
            </w:r>
          </w:p>
        </w:tc>
        <w:tc>
          <w:tcPr>
            <w:tcW w:w="1998" w:type="pct"/>
            <w:tcBorders>
              <w:top w:val="single" w:color="000000" w:sz="4" w:space="0"/>
              <w:left w:val="single" w:color="000000" w:sz="4" w:space="0"/>
              <w:bottom w:val="single" w:color="000000" w:sz="4" w:space="0"/>
              <w:right w:val="single" w:color="000000" w:sz="4" w:space="0"/>
            </w:tcBorders>
            <w:vAlign w:val="center"/>
          </w:tcPr>
          <w:p w14:paraId="167716F8">
            <w:pPr>
              <w:widowControl/>
              <w:spacing w:line="240" w:lineRule="auto"/>
              <w:ind w:firstLine="0" w:firstLineChars="0"/>
              <w:jc w:val="left"/>
              <w:textAlignment w:val="center"/>
              <w:rPr>
                <w:rFonts w:cs="宋体"/>
                <w:color w:val="000000"/>
                <w:sz w:val="20"/>
                <w:szCs w:val="20"/>
                <w:highlight w:val="none"/>
              </w:rPr>
            </w:pPr>
            <w:r>
              <w:rPr>
                <w:rFonts w:hint="eastAsia" w:cs="宋体"/>
                <w:color w:val="000000"/>
                <w:kern w:val="0"/>
                <w:sz w:val="20"/>
                <w:szCs w:val="20"/>
                <w:highlight w:val="none"/>
                <w:lang w:bidi="ar"/>
              </w:rPr>
              <w:t>新增模板管理功能、任务分配功能、排摸核实功能。优化工地分级规则，进行工地分级规则调整。优化工地升降级规则。并新增分级任务抵消功能。</w:t>
            </w:r>
          </w:p>
        </w:tc>
      </w:tr>
      <w:tr w14:paraId="7F1D296F">
        <w:tblPrEx>
          <w:tblCellMar>
            <w:top w:w="0" w:type="dxa"/>
            <w:left w:w="108" w:type="dxa"/>
            <w:bottom w:w="0" w:type="dxa"/>
            <w:right w:w="108" w:type="dxa"/>
          </w:tblCellMar>
        </w:tblPrEx>
        <w:trPr>
          <w:trHeight w:val="1040" w:hRule="atLeast"/>
        </w:trPr>
        <w:tc>
          <w:tcPr>
            <w:tcW w:w="460" w:type="pct"/>
            <w:tcBorders>
              <w:top w:val="single" w:color="000000" w:sz="4" w:space="0"/>
              <w:left w:val="single" w:color="000000" w:sz="4" w:space="0"/>
              <w:bottom w:val="single" w:color="000000" w:sz="4" w:space="0"/>
              <w:right w:val="single" w:color="000000" w:sz="4" w:space="0"/>
            </w:tcBorders>
            <w:noWrap/>
            <w:vAlign w:val="center"/>
          </w:tcPr>
          <w:p w14:paraId="230FF7D6">
            <w:pPr>
              <w:widowControl/>
              <w:spacing w:line="240" w:lineRule="auto"/>
              <w:ind w:firstLine="0" w:firstLineChars="0"/>
              <w:jc w:val="center"/>
              <w:textAlignment w:val="center"/>
              <w:rPr>
                <w:rFonts w:cs="宋体"/>
                <w:color w:val="000000"/>
                <w:sz w:val="20"/>
                <w:szCs w:val="20"/>
                <w:highlight w:val="none"/>
              </w:rPr>
            </w:pPr>
            <w:r>
              <w:rPr>
                <w:rFonts w:hint="eastAsia" w:cs="宋体"/>
                <w:color w:val="000000"/>
                <w:kern w:val="0"/>
                <w:sz w:val="20"/>
                <w:szCs w:val="20"/>
                <w:highlight w:val="none"/>
                <w:lang w:bidi="ar"/>
              </w:rPr>
              <w:t>65</w:t>
            </w:r>
          </w:p>
        </w:tc>
        <w:tc>
          <w:tcPr>
            <w:tcW w:w="1104" w:type="pct"/>
            <w:tcBorders>
              <w:top w:val="single" w:color="000000" w:sz="4" w:space="0"/>
              <w:left w:val="single" w:color="000000" w:sz="4" w:space="0"/>
              <w:bottom w:val="single" w:color="000000" w:sz="4" w:space="0"/>
              <w:right w:val="single" w:color="000000" w:sz="4" w:space="0"/>
            </w:tcBorders>
            <w:noWrap/>
            <w:vAlign w:val="center"/>
          </w:tcPr>
          <w:p w14:paraId="2807DE7D">
            <w:pPr>
              <w:widowControl/>
              <w:spacing w:line="240" w:lineRule="auto"/>
              <w:ind w:firstLine="0" w:firstLineChars="0"/>
              <w:jc w:val="left"/>
              <w:textAlignment w:val="center"/>
              <w:rPr>
                <w:rFonts w:cs="宋体"/>
                <w:color w:val="000000"/>
                <w:sz w:val="20"/>
                <w:szCs w:val="20"/>
                <w:highlight w:val="none"/>
              </w:rPr>
            </w:pPr>
            <w:r>
              <w:rPr>
                <w:rFonts w:hint="eastAsia" w:cs="宋体"/>
                <w:color w:val="000000"/>
                <w:kern w:val="0"/>
                <w:sz w:val="20"/>
                <w:szCs w:val="20"/>
                <w:highlight w:val="none"/>
                <w:lang w:bidi="ar"/>
              </w:rPr>
              <w:t>城管执法对象监管</w:t>
            </w:r>
          </w:p>
        </w:tc>
        <w:tc>
          <w:tcPr>
            <w:tcW w:w="1436" w:type="pct"/>
            <w:tcBorders>
              <w:top w:val="single" w:color="000000" w:sz="4" w:space="0"/>
              <w:left w:val="single" w:color="000000" w:sz="4" w:space="0"/>
              <w:bottom w:val="single" w:color="000000" w:sz="4" w:space="0"/>
              <w:right w:val="single" w:color="000000" w:sz="4" w:space="0"/>
            </w:tcBorders>
            <w:vAlign w:val="center"/>
          </w:tcPr>
          <w:p w14:paraId="268E4DA4">
            <w:pPr>
              <w:widowControl/>
              <w:spacing w:line="240" w:lineRule="auto"/>
              <w:ind w:firstLine="0" w:firstLineChars="0"/>
              <w:jc w:val="center"/>
              <w:textAlignment w:val="center"/>
              <w:rPr>
                <w:rFonts w:cs="宋体"/>
                <w:color w:val="000000"/>
                <w:sz w:val="20"/>
                <w:szCs w:val="20"/>
                <w:highlight w:val="none"/>
              </w:rPr>
            </w:pPr>
            <w:r>
              <w:rPr>
                <w:rFonts w:hint="eastAsia" w:cs="宋体"/>
                <w:color w:val="000000"/>
                <w:kern w:val="0"/>
                <w:sz w:val="20"/>
                <w:szCs w:val="20"/>
                <w:highlight w:val="none"/>
                <w:lang w:bidi="ar"/>
              </w:rPr>
              <w:t>涉企检查（新建）-单部门触发式检查管理-建筑工地分级分类-移送线索关联</w:t>
            </w:r>
          </w:p>
        </w:tc>
        <w:tc>
          <w:tcPr>
            <w:tcW w:w="1998" w:type="pct"/>
            <w:tcBorders>
              <w:top w:val="single" w:color="000000" w:sz="4" w:space="0"/>
              <w:left w:val="single" w:color="000000" w:sz="4" w:space="0"/>
              <w:bottom w:val="single" w:color="000000" w:sz="4" w:space="0"/>
              <w:right w:val="single" w:color="000000" w:sz="4" w:space="0"/>
            </w:tcBorders>
            <w:vAlign w:val="center"/>
          </w:tcPr>
          <w:p w14:paraId="38ED4659">
            <w:pPr>
              <w:widowControl/>
              <w:spacing w:line="240" w:lineRule="auto"/>
              <w:ind w:firstLine="0" w:firstLineChars="0"/>
              <w:jc w:val="left"/>
              <w:textAlignment w:val="center"/>
              <w:rPr>
                <w:rFonts w:cs="宋体"/>
                <w:color w:val="000000"/>
                <w:sz w:val="20"/>
                <w:szCs w:val="20"/>
                <w:highlight w:val="none"/>
              </w:rPr>
            </w:pPr>
            <w:r>
              <w:rPr>
                <w:rFonts w:hint="eastAsia" w:cs="宋体"/>
                <w:color w:val="000000"/>
                <w:kern w:val="0"/>
                <w:sz w:val="20"/>
                <w:szCs w:val="20"/>
                <w:highlight w:val="none"/>
                <w:lang w:bidi="ar"/>
              </w:rPr>
              <w:t>针对管理部门移送的文明施工工单线索，支持移送工单与工地数据进行自动关联；无法关联的工单支持由队员核实是否与库内工地进行关联，无法关联的，系统自动根据工单信息新建一个工地。</w:t>
            </w:r>
          </w:p>
        </w:tc>
      </w:tr>
      <w:tr w14:paraId="340DAD3D">
        <w:tblPrEx>
          <w:tblCellMar>
            <w:top w:w="0" w:type="dxa"/>
            <w:left w:w="108" w:type="dxa"/>
            <w:bottom w:w="0" w:type="dxa"/>
            <w:right w:w="108" w:type="dxa"/>
          </w:tblCellMar>
        </w:tblPrEx>
        <w:trPr>
          <w:trHeight w:val="1040" w:hRule="atLeast"/>
        </w:trPr>
        <w:tc>
          <w:tcPr>
            <w:tcW w:w="460" w:type="pct"/>
            <w:tcBorders>
              <w:top w:val="single" w:color="000000" w:sz="4" w:space="0"/>
              <w:left w:val="single" w:color="000000" w:sz="4" w:space="0"/>
              <w:bottom w:val="single" w:color="000000" w:sz="4" w:space="0"/>
              <w:right w:val="single" w:color="000000" w:sz="4" w:space="0"/>
            </w:tcBorders>
            <w:noWrap/>
            <w:vAlign w:val="center"/>
          </w:tcPr>
          <w:p w14:paraId="27C74660">
            <w:pPr>
              <w:widowControl/>
              <w:spacing w:line="240" w:lineRule="auto"/>
              <w:ind w:firstLine="0" w:firstLineChars="0"/>
              <w:jc w:val="center"/>
              <w:textAlignment w:val="center"/>
              <w:rPr>
                <w:rFonts w:cs="宋体"/>
                <w:color w:val="000000"/>
                <w:sz w:val="20"/>
                <w:szCs w:val="20"/>
                <w:highlight w:val="none"/>
              </w:rPr>
            </w:pPr>
            <w:r>
              <w:rPr>
                <w:rFonts w:hint="eastAsia" w:cs="宋体"/>
                <w:color w:val="000000"/>
                <w:kern w:val="0"/>
                <w:sz w:val="20"/>
                <w:szCs w:val="20"/>
                <w:highlight w:val="none"/>
                <w:lang w:bidi="ar"/>
              </w:rPr>
              <w:t>66</w:t>
            </w:r>
          </w:p>
        </w:tc>
        <w:tc>
          <w:tcPr>
            <w:tcW w:w="1104" w:type="pct"/>
            <w:tcBorders>
              <w:top w:val="single" w:color="000000" w:sz="4" w:space="0"/>
              <w:left w:val="single" w:color="000000" w:sz="4" w:space="0"/>
              <w:bottom w:val="single" w:color="000000" w:sz="4" w:space="0"/>
              <w:right w:val="single" w:color="000000" w:sz="4" w:space="0"/>
            </w:tcBorders>
            <w:noWrap/>
            <w:vAlign w:val="center"/>
          </w:tcPr>
          <w:p w14:paraId="290942B2">
            <w:pPr>
              <w:widowControl/>
              <w:spacing w:line="240" w:lineRule="auto"/>
              <w:ind w:firstLine="0" w:firstLineChars="0"/>
              <w:jc w:val="left"/>
              <w:textAlignment w:val="center"/>
              <w:rPr>
                <w:rFonts w:cs="宋体"/>
                <w:color w:val="000000"/>
                <w:sz w:val="20"/>
                <w:szCs w:val="20"/>
                <w:highlight w:val="none"/>
              </w:rPr>
            </w:pPr>
            <w:r>
              <w:rPr>
                <w:rFonts w:hint="eastAsia" w:cs="宋体"/>
                <w:color w:val="000000"/>
                <w:kern w:val="0"/>
                <w:sz w:val="20"/>
                <w:szCs w:val="20"/>
                <w:highlight w:val="none"/>
                <w:lang w:bidi="ar"/>
              </w:rPr>
              <w:t>城管执法对象监管</w:t>
            </w:r>
          </w:p>
        </w:tc>
        <w:tc>
          <w:tcPr>
            <w:tcW w:w="1436" w:type="pct"/>
            <w:tcBorders>
              <w:top w:val="single" w:color="000000" w:sz="4" w:space="0"/>
              <w:left w:val="single" w:color="000000" w:sz="4" w:space="0"/>
              <w:bottom w:val="single" w:color="000000" w:sz="4" w:space="0"/>
              <w:right w:val="single" w:color="000000" w:sz="4" w:space="0"/>
            </w:tcBorders>
            <w:vAlign w:val="center"/>
          </w:tcPr>
          <w:p w14:paraId="36767EC1">
            <w:pPr>
              <w:widowControl/>
              <w:spacing w:line="240" w:lineRule="auto"/>
              <w:ind w:firstLine="0" w:firstLineChars="0"/>
              <w:jc w:val="center"/>
              <w:textAlignment w:val="center"/>
              <w:rPr>
                <w:rFonts w:cs="宋体"/>
                <w:color w:val="000000"/>
                <w:sz w:val="20"/>
                <w:szCs w:val="20"/>
                <w:highlight w:val="none"/>
              </w:rPr>
            </w:pPr>
            <w:r>
              <w:rPr>
                <w:rFonts w:hint="eastAsia" w:cs="宋体"/>
                <w:color w:val="000000"/>
                <w:kern w:val="0"/>
                <w:sz w:val="20"/>
                <w:szCs w:val="20"/>
                <w:highlight w:val="none"/>
                <w:lang w:bidi="ar"/>
              </w:rPr>
              <w:t>涉企检查（新建）-单部门触发式检查管理-建筑工地分级分类-视频巡查</w:t>
            </w:r>
          </w:p>
        </w:tc>
        <w:tc>
          <w:tcPr>
            <w:tcW w:w="1998" w:type="pct"/>
            <w:tcBorders>
              <w:top w:val="single" w:color="000000" w:sz="4" w:space="0"/>
              <w:left w:val="single" w:color="000000" w:sz="4" w:space="0"/>
              <w:bottom w:val="single" w:color="000000" w:sz="4" w:space="0"/>
              <w:right w:val="single" w:color="000000" w:sz="4" w:space="0"/>
            </w:tcBorders>
            <w:vAlign w:val="center"/>
          </w:tcPr>
          <w:p w14:paraId="0095B26F">
            <w:pPr>
              <w:widowControl/>
              <w:spacing w:line="240" w:lineRule="auto"/>
              <w:ind w:firstLine="0" w:firstLineChars="0"/>
              <w:jc w:val="left"/>
              <w:textAlignment w:val="center"/>
              <w:rPr>
                <w:rFonts w:cs="宋体"/>
                <w:color w:val="000000"/>
                <w:sz w:val="20"/>
                <w:szCs w:val="20"/>
                <w:highlight w:val="none"/>
              </w:rPr>
            </w:pPr>
            <w:r>
              <w:rPr>
                <w:rFonts w:hint="eastAsia" w:cs="宋体"/>
                <w:color w:val="000000"/>
                <w:kern w:val="0"/>
                <w:sz w:val="20"/>
                <w:szCs w:val="20"/>
                <w:highlight w:val="none"/>
                <w:lang w:bidi="ar"/>
              </w:rPr>
              <w:t>设置视频巡查任务生成规则。按照三级规则生成视频巡查任务。根据分级任务规则生成的视频巡查任务，支持队员录入视频巡查结果。支持PC端、APP端同步操作。</w:t>
            </w:r>
          </w:p>
        </w:tc>
      </w:tr>
      <w:tr w14:paraId="239E2BEF">
        <w:tblPrEx>
          <w:tblCellMar>
            <w:top w:w="0" w:type="dxa"/>
            <w:left w:w="108" w:type="dxa"/>
            <w:bottom w:w="0" w:type="dxa"/>
            <w:right w:w="108" w:type="dxa"/>
          </w:tblCellMar>
        </w:tblPrEx>
        <w:trPr>
          <w:trHeight w:val="1040" w:hRule="atLeast"/>
        </w:trPr>
        <w:tc>
          <w:tcPr>
            <w:tcW w:w="460" w:type="pct"/>
            <w:tcBorders>
              <w:top w:val="single" w:color="000000" w:sz="4" w:space="0"/>
              <w:left w:val="single" w:color="000000" w:sz="4" w:space="0"/>
              <w:bottom w:val="single" w:color="000000" w:sz="4" w:space="0"/>
              <w:right w:val="single" w:color="000000" w:sz="4" w:space="0"/>
            </w:tcBorders>
            <w:noWrap/>
            <w:vAlign w:val="center"/>
          </w:tcPr>
          <w:p w14:paraId="3E8736A2">
            <w:pPr>
              <w:widowControl/>
              <w:spacing w:line="240" w:lineRule="auto"/>
              <w:ind w:firstLine="0" w:firstLineChars="0"/>
              <w:jc w:val="center"/>
              <w:textAlignment w:val="center"/>
              <w:rPr>
                <w:rFonts w:cs="宋体"/>
                <w:color w:val="000000"/>
                <w:sz w:val="20"/>
                <w:szCs w:val="20"/>
                <w:highlight w:val="none"/>
              </w:rPr>
            </w:pPr>
            <w:r>
              <w:rPr>
                <w:rFonts w:hint="eastAsia" w:cs="宋体"/>
                <w:color w:val="000000"/>
                <w:kern w:val="0"/>
                <w:sz w:val="20"/>
                <w:szCs w:val="20"/>
                <w:highlight w:val="none"/>
                <w:lang w:bidi="ar"/>
              </w:rPr>
              <w:t>67</w:t>
            </w:r>
          </w:p>
        </w:tc>
        <w:tc>
          <w:tcPr>
            <w:tcW w:w="1104" w:type="pct"/>
            <w:tcBorders>
              <w:top w:val="single" w:color="000000" w:sz="4" w:space="0"/>
              <w:left w:val="single" w:color="000000" w:sz="4" w:space="0"/>
              <w:bottom w:val="single" w:color="000000" w:sz="4" w:space="0"/>
              <w:right w:val="single" w:color="000000" w:sz="4" w:space="0"/>
            </w:tcBorders>
            <w:noWrap/>
            <w:vAlign w:val="center"/>
          </w:tcPr>
          <w:p w14:paraId="2B9EDFA7">
            <w:pPr>
              <w:widowControl/>
              <w:spacing w:line="240" w:lineRule="auto"/>
              <w:ind w:firstLine="0" w:firstLineChars="0"/>
              <w:jc w:val="left"/>
              <w:textAlignment w:val="center"/>
              <w:rPr>
                <w:rFonts w:cs="宋体"/>
                <w:color w:val="000000"/>
                <w:sz w:val="20"/>
                <w:szCs w:val="20"/>
                <w:highlight w:val="none"/>
              </w:rPr>
            </w:pPr>
            <w:r>
              <w:rPr>
                <w:rFonts w:hint="eastAsia" w:cs="宋体"/>
                <w:color w:val="000000"/>
                <w:kern w:val="0"/>
                <w:sz w:val="20"/>
                <w:szCs w:val="20"/>
                <w:highlight w:val="none"/>
                <w:lang w:bidi="ar"/>
              </w:rPr>
              <w:t>城管执法对象监管</w:t>
            </w:r>
          </w:p>
        </w:tc>
        <w:tc>
          <w:tcPr>
            <w:tcW w:w="1436" w:type="pct"/>
            <w:tcBorders>
              <w:top w:val="single" w:color="000000" w:sz="4" w:space="0"/>
              <w:left w:val="single" w:color="000000" w:sz="4" w:space="0"/>
              <w:bottom w:val="single" w:color="000000" w:sz="4" w:space="0"/>
              <w:right w:val="single" w:color="000000" w:sz="4" w:space="0"/>
            </w:tcBorders>
            <w:vAlign w:val="center"/>
          </w:tcPr>
          <w:p w14:paraId="577BD375">
            <w:pPr>
              <w:widowControl/>
              <w:spacing w:line="240" w:lineRule="auto"/>
              <w:ind w:firstLine="0" w:firstLineChars="0"/>
              <w:jc w:val="center"/>
              <w:textAlignment w:val="center"/>
              <w:rPr>
                <w:rFonts w:cs="宋体"/>
                <w:color w:val="000000"/>
                <w:sz w:val="20"/>
                <w:szCs w:val="20"/>
                <w:highlight w:val="none"/>
              </w:rPr>
            </w:pPr>
            <w:r>
              <w:rPr>
                <w:rFonts w:hint="eastAsia" w:cs="宋体"/>
                <w:color w:val="000000"/>
                <w:kern w:val="0"/>
                <w:sz w:val="20"/>
                <w:szCs w:val="20"/>
                <w:highlight w:val="none"/>
                <w:lang w:bidi="ar"/>
              </w:rPr>
              <w:t>涉企检查（新建）-单部门触发式检查管理-建筑工地分级分类-建筑工地分级监管数据研判</w:t>
            </w:r>
          </w:p>
        </w:tc>
        <w:tc>
          <w:tcPr>
            <w:tcW w:w="1998" w:type="pct"/>
            <w:tcBorders>
              <w:top w:val="single" w:color="000000" w:sz="4" w:space="0"/>
              <w:left w:val="single" w:color="000000" w:sz="4" w:space="0"/>
              <w:bottom w:val="single" w:color="000000" w:sz="4" w:space="0"/>
              <w:right w:val="single" w:color="000000" w:sz="4" w:space="0"/>
            </w:tcBorders>
            <w:vAlign w:val="center"/>
          </w:tcPr>
          <w:p w14:paraId="7E646054">
            <w:pPr>
              <w:widowControl/>
              <w:spacing w:line="240" w:lineRule="auto"/>
              <w:ind w:firstLine="0" w:firstLineChars="0"/>
              <w:jc w:val="left"/>
              <w:textAlignment w:val="center"/>
              <w:rPr>
                <w:rFonts w:cs="宋体"/>
                <w:color w:val="000000"/>
                <w:sz w:val="20"/>
                <w:szCs w:val="20"/>
                <w:highlight w:val="none"/>
              </w:rPr>
            </w:pPr>
            <w:r>
              <w:rPr>
                <w:rFonts w:hint="eastAsia" w:cs="宋体"/>
                <w:color w:val="000000"/>
                <w:kern w:val="0"/>
                <w:sz w:val="20"/>
                <w:szCs w:val="20"/>
                <w:highlight w:val="none"/>
                <w:lang w:bidi="ar"/>
              </w:rPr>
              <w:t>实现建筑工地分级监管任务数据汇总与分析研判、案件数据的汇总与分析研判。</w:t>
            </w:r>
          </w:p>
        </w:tc>
      </w:tr>
      <w:tr w14:paraId="77FE13D9">
        <w:tblPrEx>
          <w:tblCellMar>
            <w:top w:w="0" w:type="dxa"/>
            <w:left w:w="108" w:type="dxa"/>
            <w:bottom w:w="0" w:type="dxa"/>
            <w:right w:w="108" w:type="dxa"/>
          </w:tblCellMar>
        </w:tblPrEx>
        <w:trPr>
          <w:trHeight w:val="1040" w:hRule="atLeast"/>
        </w:trPr>
        <w:tc>
          <w:tcPr>
            <w:tcW w:w="460" w:type="pct"/>
            <w:tcBorders>
              <w:top w:val="single" w:color="000000" w:sz="4" w:space="0"/>
              <w:left w:val="single" w:color="000000" w:sz="4" w:space="0"/>
              <w:bottom w:val="single" w:color="000000" w:sz="4" w:space="0"/>
              <w:right w:val="single" w:color="000000" w:sz="4" w:space="0"/>
            </w:tcBorders>
            <w:noWrap/>
            <w:vAlign w:val="center"/>
          </w:tcPr>
          <w:p w14:paraId="7BC3F00B">
            <w:pPr>
              <w:widowControl/>
              <w:spacing w:line="240" w:lineRule="auto"/>
              <w:ind w:firstLine="0" w:firstLineChars="0"/>
              <w:jc w:val="center"/>
              <w:textAlignment w:val="center"/>
              <w:rPr>
                <w:rFonts w:cs="宋体"/>
                <w:color w:val="000000"/>
                <w:sz w:val="20"/>
                <w:szCs w:val="20"/>
                <w:highlight w:val="none"/>
              </w:rPr>
            </w:pPr>
            <w:r>
              <w:rPr>
                <w:rFonts w:hint="eastAsia" w:cs="宋体"/>
                <w:color w:val="000000"/>
                <w:kern w:val="0"/>
                <w:sz w:val="20"/>
                <w:szCs w:val="20"/>
                <w:highlight w:val="none"/>
                <w:lang w:bidi="ar"/>
              </w:rPr>
              <w:t>68</w:t>
            </w:r>
          </w:p>
        </w:tc>
        <w:tc>
          <w:tcPr>
            <w:tcW w:w="1104" w:type="pct"/>
            <w:tcBorders>
              <w:top w:val="single" w:color="000000" w:sz="4" w:space="0"/>
              <w:left w:val="single" w:color="000000" w:sz="4" w:space="0"/>
              <w:bottom w:val="single" w:color="000000" w:sz="4" w:space="0"/>
              <w:right w:val="single" w:color="000000" w:sz="4" w:space="0"/>
            </w:tcBorders>
            <w:noWrap/>
            <w:vAlign w:val="center"/>
          </w:tcPr>
          <w:p w14:paraId="435971F0">
            <w:pPr>
              <w:widowControl/>
              <w:spacing w:line="240" w:lineRule="auto"/>
              <w:ind w:firstLine="0" w:firstLineChars="0"/>
              <w:jc w:val="left"/>
              <w:textAlignment w:val="center"/>
              <w:rPr>
                <w:rFonts w:cs="宋体"/>
                <w:color w:val="000000"/>
                <w:sz w:val="20"/>
                <w:szCs w:val="20"/>
                <w:highlight w:val="none"/>
              </w:rPr>
            </w:pPr>
            <w:r>
              <w:rPr>
                <w:rFonts w:hint="eastAsia" w:cs="宋体"/>
                <w:color w:val="000000"/>
                <w:kern w:val="0"/>
                <w:sz w:val="20"/>
                <w:szCs w:val="20"/>
                <w:highlight w:val="none"/>
                <w:lang w:bidi="ar"/>
              </w:rPr>
              <w:t>城管执法对象监管</w:t>
            </w:r>
          </w:p>
        </w:tc>
        <w:tc>
          <w:tcPr>
            <w:tcW w:w="1436" w:type="pct"/>
            <w:tcBorders>
              <w:top w:val="single" w:color="000000" w:sz="4" w:space="0"/>
              <w:left w:val="single" w:color="000000" w:sz="4" w:space="0"/>
              <w:bottom w:val="single" w:color="000000" w:sz="4" w:space="0"/>
              <w:right w:val="single" w:color="000000" w:sz="4" w:space="0"/>
            </w:tcBorders>
            <w:vAlign w:val="center"/>
          </w:tcPr>
          <w:p w14:paraId="02A7D9D1">
            <w:pPr>
              <w:widowControl/>
              <w:spacing w:line="240" w:lineRule="auto"/>
              <w:ind w:firstLine="0" w:firstLineChars="0"/>
              <w:jc w:val="center"/>
              <w:textAlignment w:val="center"/>
              <w:rPr>
                <w:rFonts w:cs="宋体"/>
                <w:color w:val="000000"/>
                <w:sz w:val="20"/>
                <w:szCs w:val="20"/>
                <w:highlight w:val="none"/>
              </w:rPr>
            </w:pPr>
            <w:r>
              <w:rPr>
                <w:rFonts w:hint="eastAsia" w:cs="宋体"/>
                <w:color w:val="000000"/>
                <w:kern w:val="0"/>
                <w:sz w:val="20"/>
                <w:szCs w:val="20"/>
                <w:highlight w:val="none"/>
                <w:lang w:bidi="ar"/>
              </w:rPr>
              <w:t>涉企检查（新建）-单部门触发式检查管理-专项涉企检查-专项涉企检查计划创建</w:t>
            </w:r>
          </w:p>
        </w:tc>
        <w:tc>
          <w:tcPr>
            <w:tcW w:w="1998" w:type="pct"/>
            <w:tcBorders>
              <w:top w:val="single" w:color="000000" w:sz="4" w:space="0"/>
              <w:left w:val="single" w:color="000000" w:sz="4" w:space="0"/>
              <w:bottom w:val="single" w:color="000000" w:sz="4" w:space="0"/>
              <w:right w:val="single" w:color="000000" w:sz="4" w:space="0"/>
            </w:tcBorders>
            <w:vAlign w:val="center"/>
          </w:tcPr>
          <w:p w14:paraId="787437E6">
            <w:pPr>
              <w:widowControl/>
              <w:spacing w:line="240" w:lineRule="auto"/>
              <w:ind w:firstLine="0" w:firstLineChars="0"/>
              <w:jc w:val="left"/>
              <w:textAlignment w:val="center"/>
              <w:rPr>
                <w:rFonts w:cs="宋体"/>
                <w:color w:val="000000"/>
                <w:sz w:val="20"/>
                <w:szCs w:val="20"/>
                <w:highlight w:val="none"/>
              </w:rPr>
            </w:pPr>
            <w:r>
              <w:rPr>
                <w:rFonts w:hint="eastAsia" w:cs="宋体"/>
                <w:color w:val="000000"/>
                <w:kern w:val="0"/>
                <w:sz w:val="20"/>
                <w:szCs w:val="20"/>
                <w:highlight w:val="none"/>
                <w:lang w:bidi="ar"/>
              </w:rPr>
              <w:t>支持通过专项模块下发市容环境薄弱点位、街面环境重复投诉点位、小区环境秩序、工地出土场所、消纳处置场所、油烟重点防治区域、油烟扰民、露天焚烧、建筑垃圾、垃圾分类专项涉企检查计划。</w:t>
            </w:r>
          </w:p>
        </w:tc>
      </w:tr>
      <w:tr w14:paraId="7844B8E7">
        <w:tblPrEx>
          <w:tblCellMar>
            <w:top w:w="0" w:type="dxa"/>
            <w:left w:w="108" w:type="dxa"/>
            <w:bottom w:w="0" w:type="dxa"/>
            <w:right w:w="108" w:type="dxa"/>
          </w:tblCellMar>
        </w:tblPrEx>
        <w:trPr>
          <w:trHeight w:val="1040" w:hRule="atLeast"/>
        </w:trPr>
        <w:tc>
          <w:tcPr>
            <w:tcW w:w="460" w:type="pct"/>
            <w:tcBorders>
              <w:top w:val="single" w:color="000000" w:sz="4" w:space="0"/>
              <w:left w:val="single" w:color="000000" w:sz="4" w:space="0"/>
              <w:bottom w:val="single" w:color="000000" w:sz="4" w:space="0"/>
              <w:right w:val="single" w:color="000000" w:sz="4" w:space="0"/>
            </w:tcBorders>
            <w:noWrap/>
            <w:vAlign w:val="center"/>
          </w:tcPr>
          <w:p w14:paraId="0373EF8C">
            <w:pPr>
              <w:widowControl/>
              <w:spacing w:line="240" w:lineRule="auto"/>
              <w:ind w:firstLine="0" w:firstLineChars="0"/>
              <w:jc w:val="center"/>
              <w:textAlignment w:val="center"/>
              <w:rPr>
                <w:rFonts w:cs="宋体"/>
                <w:color w:val="000000"/>
                <w:sz w:val="20"/>
                <w:szCs w:val="20"/>
                <w:highlight w:val="none"/>
              </w:rPr>
            </w:pPr>
            <w:r>
              <w:rPr>
                <w:rFonts w:hint="eastAsia" w:cs="宋体"/>
                <w:color w:val="000000"/>
                <w:kern w:val="0"/>
                <w:sz w:val="20"/>
                <w:szCs w:val="20"/>
                <w:highlight w:val="none"/>
                <w:lang w:bidi="ar"/>
              </w:rPr>
              <w:t>69</w:t>
            </w:r>
          </w:p>
        </w:tc>
        <w:tc>
          <w:tcPr>
            <w:tcW w:w="1104" w:type="pct"/>
            <w:tcBorders>
              <w:top w:val="single" w:color="000000" w:sz="4" w:space="0"/>
              <w:left w:val="single" w:color="000000" w:sz="4" w:space="0"/>
              <w:bottom w:val="single" w:color="000000" w:sz="4" w:space="0"/>
              <w:right w:val="single" w:color="000000" w:sz="4" w:space="0"/>
            </w:tcBorders>
            <w:noWrap/>
            <w:vAlign w:val="center"/>
          </w:tcPr>
          <w:p w14:paraId="2AFB63E3">
            <w:pPr>
              <w:widowControl/>
              <w:spacing w:line="240" w:lineRule="auto"/>
              <w:ind w:firstLine="0" w:firstLineChars="0"/>
              <w:jc w:val="left"/>
              <w:textAlignment w:val="center"/>
              <w:rPr>
                <w:rFonts w:cs="宋体"/>
                <w:color w:val="000000"/>
                <w:sz w:val="20"/>
                <w:szCs w:val="20"/>
                <w:highlight w:val="none"/>
              </w:rPr>
            </w:pPr>
            <w:r>
              <w:rPr>
                <w:rFonts w:hint="eastAsia" w:cs="宋体"/>
                <w:color w:val="000000"/>
                <w:kern w:val="0"/>
                <w:sz w:val="20"/>
                <w:szCs w:val="20"/>
                <w:highlight w:val="none"/>
                <w:lang w:bidi="ar"/>
              </w:rPr>
              <w:t>城管执法对象监管</w:t>
            </w:r>
          </w:p>
        </w:tc>
        <w:tc>
          <w:tcPr>
            <w:tcW w:w="1436" w:type="pct"/>
            <w:tcBorders>
              <w:top w:val="single" w:color="000000" w:sz="4" w:space="0"/>
              <w:left w:val="single" w:color="000000" w:sz="4" w:space="0"/>
              <w:bottom w:val="single" w:color="000000" w:sz="4" w:space="0"/>
              <w:right w:val="single" w:color="000000" w:sz="4" w:space="0"/>
            </w:tcBorders>
            <w:vAlign w:val="center"/>
          </w:tcPr>
          <w:p w14:paraId="6AC9060F">
            <w:pPr>
              <w:widowControl/>
              <w:spacing w:line="240" w:lineRule="auto"/>
              <w:ind w:firstLine="0" w:firstLineChars="0"/>
              <w:jc w:val="center"/>
              <w:textAlignment w:val="center"/>
              <w:rPr>
                <w:rFonts w:cs="宋体"/>
                <w:color w:val="000000"/>
                <w:sz w:val="20"/>
                <w:szCs w:val="20"/>
                <w:highlight w:val="none"/>
              </w:rPr>
            </w:pPr>
            <w:r>
              <w:rPr>
                <w:rFonts w:hint="eastAsia" w:cs="宋体"/>
                <w:color w:val="000000"/>
                <w:kern w:val="0"/>
                <w:sz w:val="20"/>
                <w:szCs w:val="20"/>
                <w:highlight w:val="none"/>
                <w:lang w:bidi="ar"/>
              </w:rPr>
              <w:t>涉企检查（新建）-单部门触发式检查管理-专项涉企检查-专项计划检查</w:t>
            </w:r>
          </w:p>
        </w:tc>
        <w:tc>
          <w:tcPr>
            <w:tcW w:w="1998" w:type="pct"/>
            <w:tcBorders>
              <w:top w:val="single" w:color="000000" w:sz="4" w:space="0"/>
              <w:left w:val="single" w:color="000000" w:sz="4" w:space="0"/>
              <w:bottom w:val="single" w:color="000000" w:sz="4" w:space="0"/>
              <w:right w:val="single" w:color="000000" w:sz="4" w:space="0"/>
            </w:tcBorders>
            <w:vAlign w:val="center"/>
          </w:tcPr>
          <w:p w14:paraId="1115DA0B">
            <w:pPr>
              <w:widowControl/>
              <w:spacing w:line="240" w:lineRule="auto"/>
              <w:ind w:firstLine="0" w:firstLineChars="0"/>
              <w:jc w:val="left"/>
              <w:textAlignment w:val="center"/>
              <w:rPr>
                <w:rFonts w:cs="宋体"/>
                <w:color w:val="000000"/>
                <w:sz w:val="20"/>
                <w:szCs w:val="20"/>
                <w:highlight w:val="none"/>
              </w:rPr>
            </w:pPr>
            <w:r>
              <w:rPr>
                <w:rFonts w:hint="eastAsia" w:cs="宋体"/>
                <w:color w:val="000000"/>
                <w:kern w:val="0"/>
                <w:sz w:val="20"/>
                <w:szCs w:val="20"/>
                <w:highlight w:val="none"/>
                <w:lang w:bidi="ar"/>
              </w:rPr>
              <w:t>根据“是否涉企检查”支持进行不同操作，队员可选择点位检查、涉企检查。实现点位和关联企业的融合检查。根据点位展示该点位的点位检查记录和涉企检查记录。</w:t>
            </w:r>
          </w:p>
        </w:tc>
      </w:tr>
      <w:tr w14:paraId="44DB075D">
        <w:tblPrEx>
          <w:tblCellMar>
            <w:top w:w="0" w:type="dxa"/>
            <w:left w:w="108" w:type="dxa"/>
            <w:bottom w:w="0" w:type="dxa"/>
            <w:right w:w="108" w:type="dxa"/>
          </w:tblCellMar>
        </w:tblPrEx>
        <w:trPr>
          <w:trHeight w:val="780" w:hRule="atLeast"/>
        </w:trPr>
        <w:tc>
          <w:tcPr>
            <w:tcW w:w="460" w:type="pct"/>
            <w:tcBorders>
              <w:top w:val="single" w:color="000000" w:sz="4" w:space="0"/>
              <w:left w:val="single" w:color="000000" w:sz="4" w:space="0"/>
              <w:bottom w:val="single" w:color="000000" w:sz="4" w:space="0"/>
              <w:right w:val="single" w:color="000000" w:sz="4" w:space="0"/>
            </w:tcBorders>
            <w:noWrap/>
            <w:vAlign w:val="center"/>
          </w:tcPr>
          <w:p w14:paraId="47ACBCD7">
            <w:pPr>
              <w:widowControl/>
              <w:spacing w:line="240" w:lineRule="auto"/>
              <w:ind w:firstLine="0" w:firstLineChars="0"/>
              <w:jc w:val="center"/>
              <w:textAlignment w:val="center"/>
              <w:rPr>
                <w:rFonts w:cs="宋体"/>
                <w:color w:val="000000"/>
                <w:sz w:val="20"/>
                <w:szCs w:val="20"/>
                <w:highlight w:val="none"/>
              </w:rPr>
            </w:pPr>
            <w:r>
              <w:rPr>
                <w:rFonts w:hint="eastAsia" w:cs="宋体"/>
                <w:color w:val="000000"/>
                <w:kern w:val="0"/>
                <w:sz w:val="20"/>
                <w:szCs w:val="20"/>
                <w:highlight w:val="none"/>
                <w:lang w:bidi="ar"/>
              </w:rPr>
              <w:t>70</w:t>
            </w:r>
          </w:p>
        </w:tc>
        <w:tc>
          <w:tcPr>
            <w:tcW w:w="1104" w:type="pct"/>
            <w:tcBorders>
              <w:top w:val="single" w:color="000000" w:sz="4" w:space="0"/>
              <w:left w:val="single" w:color="000000" w:sz="4" w:space="0"/>
              <w:bottom w:val="single" w:color="000000" w:sz="4" w:space="0"/>
              <w:right w:val="single" w:color="000000" w:sz="4" w:space="0"/>
            </w:tcBorders>
            <w:noWrap/>
            <w:vAlign w:val="center"/>
          </w:tcPr>
          <w:p w14:paraId="3D052A54">
            <w:pPr>
              <w:widowControl/>
              <w:spacing w:line="240" w:lineRule="auto"/>
              <w:ind w:firstLine="0" w:firstLineChars="0"/>
              <w:jc w:val="left"/>
              <w:textAlignment w:val="center"/>
              <w:rPr>
                <w:rFonts w:cs="宋体"/>
                <w:color w:val="000000"/>
                <w:sz w:val="20"/>
                <w:szCs w:val="20"/>
                <w:highlight w:val="none"/>
              </w:rPr>
            </w:pPr>
            <w:r>
              <w:rPr>
                <w:rFonts w:hint="eastAsia" w:cs="宋体"/>
                <w:color w:val="000000"/>
                <w:kern w:val="0"/>
                <w:sz w:val="20"/>
                <w:szCs w:val="20"/>
                <w:highlight w:val="none"/>
                <w:lang w:bidi="ar"/>
              </w:rPr>
              <w:t>城管执法对象监管</w:t>
            </w:r>
          </w:p>
        </w:tc>
        <w:tc>
          <w:tcPr>
            <w:tcW w:w="1436" w:type="pct"/>
            <w:tcBorders>
              <w:top w:val="single" w:color="000000" w:sz="4" w:space="0"/>
              <w:left w:val="single" w:color="000000" w:sz="4" w:space="0"/>
              <w:bottom w:val="single" w:color="000000" w:sz="4" w:space="0"/>
              <w:right w:val="single" w:color="000000" w:sz="4" w:space="0"/>
            </w:tcBorders>
            <w:vAlign w:val="center"/>
          </w:tcPr>
          <w:p w14:paraId="67D7D20A">
            <w:pPr>
              <w:widowControl/>
              <w:spacing w:line="240" w:lineRule="auto"/>
              <w:ind w:firstLine="0" w:firstLineChars="0"/>
              <w:jc w:val="center"/>
              <w:textAlignment w:val="center"/>
              <w:rPr>
                <w:rFonts w:cs="宋体"/>
                <w:color w:val="000000"/>
                <w:sz w:val="20"/>
                <w:szCs w:val="20"/>
                <w:highlight w:val="none"/>
              </w:rPr>
            </w:pPr>
            <w:r>
              <w:rPr>
                <w:rFonts w:hint="eastAsia" w:cs="宋体"/>
                <w:color w:val="000000"/>
                <w:kern w:val="0"/>
                <w:sz w:val="20"/>
                <w:szCs w:val="20"/>
                <w:highlight w:val="none"/>
                <w:lang w:bidi="ar"/>
              </w:rPr>
              <w:t>涉企检查（新建）-单部门触发式检查管理-专项涉企检查-专项涉企检查统计</w:t>
            </w:r>
          </w:p>
        </w:tc>
        <w:tc>
          <w:tcPr>
            <w:tcW w:w="1998" w:type="pct"/>
            <w:tcBorders>
              <w:top w:val="single" w:color="000000" w:sz="4" w:space="0"/>
              <w:left w:val="single" w:color="000000" w:sz="4" w:space="0"/>
              <w:bottom w:val="single" w:color="000000" w:sz="4" w:space="0"/>
              <w:right w:val="single" w:color="000000" w:sz="4" w:space="0"/>
            </w:tcBorders>
            <w:vAlign w:val="center"/>
          </w:tcPr>
          <w:p w14:paraId="6A6D7816">
            <w:pPr>
              <w:widowControl/>
              <w:spacing w:line="240" w:lineRule="auto"/>
              <w:ind w:firstLine="0" w:firstLineChars="0"/>
              <w:jc w:val="left"/>
              <w:textAlignment w:val="center"/>
              <w:rPr>
                <w:rFonts w:cs="宋体"/>
                <w:color w:val="000000"/>
                <w:sz w:val="20"/>
                <w:szCs w:val="20"/>
                <w:highlight w:val="none"/>
              </w:rPr>
            </w:pPr>
            <w:r>
              <w:rPr>
                <w:rFonts w:hint="eastAsia" w:cs="宋体"/>
                <w:color w:val="000000"/>
                <w:kern w:val="0"/>
                <w:sz w:val="20"/>
                <w:szCs w:val="20"/>
                <w:highlight w:val="none"/>
                <w:lang w:bidi="ar"/>
              </w:rPr>
              <w:t>按照场景类型或专项检查计划，自行选择统计指标项，支持生成全市及各区的专项检查计划情况统计分析结果，并支持统计结果导出功能。</w:t>
            </w:r>
          </w:p>
        </w:tc>
      </w:tr>
      <w:tr w14:paraId="36097A98">
        <w:tblPrEx>
          <w:tblCellMar>
            <w:top w:w="0" w:type="dxa"/>
            <w:left w:w="108" w:type="dxa"/>
            <w:bottom w:w="0" w:type="dxa"/>
            <w:right w:w="108" w:type="dxa"/>
          </w:tblCellMar>
        </w:tblPrEx>
        <w:trPr>
          <w:trHeight w:val="1040" w:hRule="atLeast"/>
        </w:trPr>
        <w:tc>
          <w:tcPr>
            <w:tcW w:w="460" w:type="pct"/>
            <w:tcBorders>
              <w:top w:val="single" w:color="000000" w:sz="4" w:space="0"/>
              <w:left w:val="single" w:color="000000" w:sz="4" w:space="0"/>
              <w:bottom w:val="single" w:color="000000" w:sz="4" w:space="0"/>
              <w:right w:val="single" w:color="000000" w:sz="4" w:space="0"/>
            </w:tcBorders>
            <w:noWrap/>
            <w:vAlign w:val="center"/>
          </w:tcPr>
          <w:p w14:paraId="056CC2BA">
            <w:pPr>
              <w:widowControl/>
              <w:spacing w:line="240" w:lineRule="auto"/>
              <w:ind w:firstLine="0" w:firstLineChars="0"/>
              <w:jc w:val="center"/>
              <w:textAlignment w:val="center"/>
              <w:rPr>
                <w:rFonts w:cs="宋体"/>
                <w:color w:val="000000"/>
                <w:sz w:val="20"/>
                <w:szCs w:val="20"/>
                <w:highlight w:val="none"/>
              </w:rPr>
            </w:pPr>
            <w:r>
              <w:rPr>
                <w:rFonts w:hint="eastAsia" w:cs="宋体"/>
                <w:color w:val="000000"/>
                <w:kern w:val="0"/>
                <w:sz w:val="20"/>
                <w:szCs w:val="20"/>
                <w:highlight w:val="none"/>
                <w:lang w:bidi="ar"/>
              </w:rPr>
              <w:t>71</w:t>
            </w:r>
          </w:p>
        </w:tc>
        <w:tc>
          <w:tcPr>
            <w:tcW w:w="1104" w:type="pct"/>
            <w:tcBorders>
              <w:top w:val="single" w:color="000000" w:sz="4" w:space="0"/>
              <w:left w:val="single" w:color="000000" w:sz="4" w:space="0"/>
              <w:bottom w:val="single" w:color="000000" w:sz="4" w:space="0"/>
              <w:right w:val="single" w:color="000000" w:sz="4" w:space="0"/>
            </w:tcBorders>
            <w:noWrap/>
            <w:vAlign w:val="center"/>
          </w:tcPr>
          <w:p w14:paraId="78EBCC00">
            <w:pPr>
              <w:widowControl/>
              <w:spacing w:line="240" w:lineRule="auto"/>
              <w:ind w:firstLine="0" w:firstLineChars="0"/>
              <w:jc w:val="left"/>
              <w:textAlignment w:val="center"/>
              <w:rPr>
                <w:rFonts w:cs="宋体"/>
                <w:color w:val="000000"/>
                <w:sz w:val="20"/>
                <w:szCs w:val="20"/>
                <w:highlight w:val="none"/>
              </w:rPr>
            </w:pPr>
            <w:r>
              <w:rPr>
                <w:rFonts w:hint="eastAsia" w:cs="宋体"/>
                <w:color w:val="000000"/>
                <w:kern w:val="0"/>
                <w:sz w:val="20"/>
                <w:szCs w:val="20"/>
                <w:highlight w:val="none"/>
                <w:lang w:bidi="ar"/>
              </w:rPr>
              <w:t>城管执法对象监管</w:t>
            </w:r>
          </w:p>
        </w:tc>
        <w:tc>
          <w:tcPr>
            <w:tcW w:w="1436" w:type="pct"/>
            <w:tcBorders>
              <w:top w:val="single" w:color="000000" w:sz="4" w:space="0"/>
              <w:left w:val="single" w:color="000000" w:sz="4" w:space="0"/>
              <w:bottom w:val="single" w:color="000000" w:sz="4" w:space="0"/>
              <w:right w:val="single" w:color="000000" w:sz="4" w:space="0"/>
            </w:tcBorders>
            <w:vAlign w:val="center"/>
          </w:tcPr>
          <w:p w14:paraId="77F8E37F">
            <w:pPr>
              <w:widowControl/>
              <w:spacing w:line="240" w:lineRule="auto"/>
              <w:ind w:firstLine="0" w:firstLineChars="0"/>
              <w:jc w:val="center"/>
              <w:textAlignment w:val="center"/>
              <w:rPr>
                <w:rFonts w:cs="宋体"/>
                <w:color w:val="000000"/>
                <w:sz w:val="20"/>
                <w:szCs w:val="20"/>
                <w:highlight w:val="none"/>
              </w:rPr>
            </w:pPr>
            <w:r>
              <w:rPr>
                <w:rFonts w:hint="eastAsia" w:cs="宋体"/>
                <w:color w:val="000000"/>
                <w:kern w:val="0"/>
                <w:sz w:val="20"/>
                <w:szCs w:val="20"/>
                <w:highlight w:val="none"/>
                <w:lang w:bidi="ar"/>
              </w:rPr>
              <w:t>涉企检查（新建）-单部门触发式检查管理-专项涉企检查-专项事项维护</w:t>
            </w:r>
          </w:p>
        </w:tc>
        <w:tc>
          <w:tcPr>
            <w:tcW w:w="1998" w:type="pct"/>
            <w:tcBorders>
              <w:top w:val="single" w:color="000000" w:sz="4" w:space="0"/>
              <w:left w:val="single" w:color="000000" w:sz="4" w:space="0"/>
              <w:bottom w:val="single" w:color="000000" w:sz="4" w:space="0"/>
              <w:right w:val="single" w:color="000000" w:sz="4" w:space="0"/>
            </w:tcBorders>
            <w:vAlign w:val="center"/>
          </w:tcPr>
          <w:p w14:paraId="2184C519">
            <w:pPr>
              <w:widowControl/>
              <w:spacing w:line="240" w:lineRule="auto"/>
              <w:ind w:firstLine="0" w:firstLineChars="0"/>
              <w:jc w:val="left"/>
              <w:textAlignment w:val="center"/>
              <w:rPr>
                <w:rFonts w:cs="宋体"/>
                <w:color w:val="000000"/>
                <w:sz w:val="20"/>
                <w:szCs w:val="20"/>
                <w:highlight w:val="none"/>
              </w:rPr>
            </w:pPr>
            <w:r>
              <w:rPr>
                <w:rFonts w:hint="eastAsia" w:cs="宋体"/>
                <w:color w:val="000000"/>
                <w:kern w:val="0"/>
                <w:sz w:val="20"/>
                <w:szCs w:val="20"/>
                <w:highlight w:val="none"/>
                <w:lang w:bidi="ar"/>
              </w:rPr>
              <w:t>与全市统一综合执法系统关联，获取检查事项数据，实现系统根据场景类型自定义设定不同的检查内容，实现专项涉企检查结果推送全市统一综合执法系统。</w:t>
            </w:r>
          </w:p>
        </w:tc>
      </w:tr>
      <w:tr w14:paraId="04F8F73C">
        <w:tblPrEx>
          <w:tblCellMar>
            <w:top w:w="0" w:type="dxa"/>
            <w:left w:w="108" w:type="dxa"/>
            <w:bottom w:w="0" w:type="dxa"/>
            <w:right w:w="108" w:type="dxa"/>
          </w:tblCellMar>
        </w:tblPrEx>
        <w:trPr>
          <w:trHeight w:val="1300" w:hRule="atLeast"/>
        </w:trPr>
        <w:tc>
          <w:tcPr>
            <w:tcW w:w="460" w:type="pct"/>
            <w:tcBorders>
              <w:top w:val="single" w:color="000000" w:sz="4" w:space="0"/>
              <w:left w:val="single" w:color="000000" w:sz="4" w:space="0"/>
              <w:bottom w:val="single" w:color="000000" w:sz="4" w:space="0"/>
              <w:right w:val="single" w:color="000000" w:sz="4" w:space="0"/>
            </w:tcBorders>
            <w:noWrap/>
            <w:vAlign w:val="center"/>
          </w:tcPr>
          <w:p w14:paraId="5AD3F60B">
            <w:pPr>
              <w:widowControl/>
              <w:spacing w:line="240" w:lineRule="auto"/>
              <w:ind w:firstLine="0" w:firstLineChars="0"/>
              <w:jc w:val="center"/>
              <w:textAlignment w:val="center"/>
              <w:rPr>
                <w:rFonts w:cs="宋体"/>
                <w:color w:val="000000"/>
                <w:sz w:val="20"/>
                <w:szCs w:val="20"/>
                <w:highlight w:val="none"/>
              </w:rPr>
            </w:pPr>
            <w:r>
              <w:rPr>
                <w:rFonts w:hint="eastAsia" w:cs="宋体"/>
                <w:color w:val="000000"/>
                <w:kern w:val="0"/>
                <w:sz w:val="20"/>
                <w:szCs w:val="20"/>
                <w:highlight w:val="none"/>
                <w:lang w:bidi="ar"/>
              </w:rPr>
              <w:t>72</w:t>
            </w:r>
          </w:p>
        </w:tc>
        <w:tc>
          <w:tcPr>
            <w:tcW w:w="1104" w:type="pct"/>
            <w:tcBorders>
              <w:top w:val="single" w:color="000000" w:sz="4" w:space="0"/>
              <w:left w:val="single" w:color="000000" w:sz="4" w:space="0"/>
              <w:bottom w:val="single" w:color="000000" w:sz="4" w:space="0"/>
              <w:right w:val="single" w:color="000000" w:sz="4" w:space="0"/>
            </w:tcBorders>
            <w:noWrap/>
            <w:vAlign w:val="center"/>
          </w:tcPr>
          <w:p w14:paraId="34DC5391">
            <w:pPr>
              <w:widowControl/>
              <w:spacing w:line="240" w:lineRule="auto"/>
              <w:ind w:firstLine="0" w:firstLineChars="0"/>
              <w:jc w:val="left"/>
              <w:textAlignment w:val="center"/>
              <w:rPr>
                <w:rFonts w:cs="宋体"/>
                <w:color w:val="000000"/>
                <w:sz w:val="20"/>
                <w:szCs w:val="20"/>
                <w:highlight w:val="none"/>
              </w:rPr>
            </w:pPr>
            <w:r>
              <w:rPr>
                <w:rFonts w:hint="eastAsia" w:cs="宋体"/>
                <w:color w:val="000000"/>
                <w:kern w:val="0"/>
                <w:sz w:val="20"/>
                <w:szCs w:val="20"/>
                <w:highlight w:val="none"/>
                <w:lang w:bidi="ar"/>
              </w:rPr>
              <w:t>城管执法对象监管</w:t>
            </w:r>
          </w:p>
        </w:tc>
        <w:tc>
          <w:tcPr>
            <w:tcW w:w="1436" w:type="pct"/>
            <w:tcBorders>
              <w:top w:val="single" w:color="000000" w:sz="4" w:space="0"/>
              <w:left w:val="single" w:color="000000" w:sz="4" w:space="0"/>
              <w:bottom w:val="single" w:color="000000" w:sz="4" w:space="0"/>
              <w:right w:val="single" w:color="000000" w:sz="4" w:space="0"/>
            </w:tcBorders>
            <w:vAlign w:val="center"/>
          </w:tcPr>
          <w:p w14:paraId="017BF825">
            <w:pPr>
              <w:widowControl/>
              <w:spacing w:line="240" w:lineRule="auto"/>
              <w:ind w:firstLine="0" w:firstLineChars="0"/>
              <w:jc w:val="center"/>
              <w:textAlignment w:val="center"/>
              <w:rPr>
                <w:rFonts w:cs="宋体"/>
                <w:color w:val="000000"/>
                <w:sz w:val="20"/>
                <w:szCs w:val="20"/>
                <w:highlight w:val="none"/>
              </w:rPr>
            </w:pPr>
            <w:r>
              <w:rPr>
                <w:rFonts w:hint="eastAsia" w:cs="宋体"/>
                <w:color w:val="000000"/>
                <w:kern w:val="0"/>
                <w:sz w:val="20"/>
                <w:szCs w:val="20"/>
                <w:highlight w:val="none"/>
                <w:lang w:bidi="ar"/>
              </w:rPr>
              <w:t>涉企检查（新建）-单部门触发式检查管理-通用触发式检查</w:t>
            </w:r>
          </w:p>
        </w:tc>
        <w:tc>
          <w:tcPr>
            <w:tcW w:w="1998" w:type="pct"/>
            <w:tcBorders>
              <w:top w:val="single" w:color="000000" w:sz="4" w:space="0"/>
              <w:left w:val="single" w:color="000000" w:sz="4" w:space="0"/>
              <w:bottom w:val="single" w:color="000000" w:sz="4" w:space="0"/>
              <w:right w:val="single" w:color="000000" w:sz="4" w:space="0"/>
            </w:tcBorders>
            <w:vAlign w:val="center"/>
          </w:tcPr>
          <w:p w14:paraId="7B90EF67">
            <w:pPr>
              <w:widowControl/>
              <w:spacing w:line="240" w:lineRule="auto"/>
              <w:ind w:firstLine="0" w:firstLineChars="0"/>
              <w:jc w:val="left"/>
              <w:textAlignment w:val="center"/>
              <w:rPr>
                <w:rFonts w:cs="宋体"/>
                <w:color w:val="000000"/>
                <w:sz w:val="20"/>
                <w:szCs w:val="20"/>
                <w:highlight w:val="none"/>
              </w:rPr>
            </w:pPr>
            <w:r>
              <w:rPr>
                <w:rFonts w:hint="eastAsia" w:cs="宋体"/>
                <w:color w:val="000000"/>
                <w:kern w:val="0"/>
                <w:sz w:val="20"/>
                <w:szCs w:val="20"/>
                <w:highlight w:val="none"/>
                <w:lang w:bidi="ar"/>
              </w:rPr>
              <w:t>实现对象管理。涉及触发式涉企检查的，系统支持选择沿街商户对象，非库内对象进行信息录入并同步至相关对象库。系统支持触发式线索登记，实现登记线索信息时动态展示并选择全市统一综合执法系统的检查事项。</w:t>
            </w:r>
          </w:p>
        </w:tc>
      </w:tr>
      <w:tr w14:paraId="1CD3A3E4">
        <w:tblPrEx>
          <w:tblCellMar>
            <w:top w:w="0" w:type="dxa"/>
            <w:left w:w="108" w:type="dxa"/>
            <w:bottom w:w="0" w:type="dxa"/>
            <w:right w:w="108" w:type="dxa"/>
          </w:tblCellMar>
        </w:tblPrEx>
        <w:trPr>
          <w:trHeight w:val="1560" w:hRule="atLeast"/>
        </w:trPr>
        <w:tc>
          <w:tcPr>
            <w:tcW w:w="460" w:type="pct"/>
            <w:tcBorders>
              <w:top w:val="single" w:color="000000" w:sz="4" w:space="0"/>
              <w:left w:val="single" w:color="000000" w:sz="4" w:space="0"/>
              <w:bottom w:val="single" w:color="000000" w:sz="4" w:space="0"/>
              <w:right w:val="single" w:color="000000" w:sz="4" w:space="0"/>
            </w:tcBorders>
            <w:noWrap/>
            <w:vAlign w:val="center"/>
          </w:tcPr>
          <w:p w14:paraId="1BCCDA87">
            <w:pPr>
              <w:widowControl/>
              <w:spacing w:line="240" w:lineRule="auto"/>
              <w:ind w:firstLine="0" w:firstLineChars="0"/>
              <w:jc w:val="center"/>
              <w:textAlignment w:val="center"/>
              <w:rPr>
                <w:rFonts w:cs="宋体"/>
                <w:color w:val="000000"/>
                <w:sz w:val="20"/>
                <w:szCs w:val="20"/>
                <w:highlight w:val="none"/>
              </w:rPr>
            </w:pPr>
            <w:r>
              <w:rPr>
                <w:rFonts w:hint="eastAsia" w:cs="宋体"/>
                <w:color w:val="000000"/>
                <w:kern w:val="0"/>
                <w:sz w:val="20"/>
                <w:szCs w:val="20"/>
                <w:highlight w:val="none"/>
                <w:lang w:bidi="ar"/>
              </w:rPr>
              <w:t>73</w:t>
            </w:r>
          </w:p>
        </w:tc>
        <w:tc>
          <w:tcPr>
            <w:tcW w:w="1104" w:type="pct"/>
            <w:tcBorders>
              <w:top w:val="single" w:color="000000" w:sz="4" w:space="0"/>
              <w:left w:val="single" w:color="000000" w:sz="4" w:space="0"/>
              <w:bottom w:val="single" w:color="000000" w:sz="4" w:space="0"/>
              <w:right w:val="single" w:color="000000" w:sz="4" w:space="0"/>
            </w:tcBorders>
            <w:noWrap/>
            <w:vAlign w:val="center"/>
          </w:tcPr>
          <w:p w14:paraId="0678A602">
            <w:pPr>
              <w:widowControl/>
              <w:spacing w:line="240" w:lineRule="auto"/>
              <w:ind w:firstLine="0" w:firstLineChars="0"/>
              <w:jc w:val="left"/>
              <w:textAlignment w:val="center"/>
              <w:rPr>
                <w:rFonts w:cs="宋体"/>
                <w:color w:val="000000"/>
                <w:sz w:val="20"/>
                <w:szCs w:val="20"/>
                <w:highlight w:val="none"/>
              </w:rPr>
            </w:pPr>
            <w:r>
              <w:rPr>
                <w:rFonts w:hint="eastAsia" w:cs="宋体"/>
                <w:color w:val="000000"/>
                <w:kern w:val="0"/>
                <w:sz w:val="20"/>
                <w:szCs w:val="20"/>
                <w:highlight w:val="none"/>
                <w:lang w:bidi="ar"/>
              </w:rPr>
              <w:t>城管执法对象监管</w:t>
            </w:r>
          </w:p>
        </w:tc>
        <w:tc>
          <w:tcPr>
            <w:tcW w:w="1436" w:type="pct"/>
            <w:tcBorders>
              <w:top w:val="single" w:color="000000" w:sz="4" w:space="0"/>
              <w:left w:val="single" w:color="000000" w:sz="4" w:space="0"/>
              <w:bottom w:val="single" w:color="000000" w:sz="4" w:space="0"/>
              <w:right w:val="single" w:color="000000" w:sz="4" w:space="0"/>
            </w:tcBorders>
            <w:vAlign w:val="center"/>
          </w:tcPr>
          <w:p w14:paraId="4FBCEC1D">
            <w:pPr>
              <w:widowControl/>
              <w:spacing w:line="240" w:lineRule="auto"/>
              <w:ind w:firstLine="0" w:firstLineChars="0"/>
              <w:jc w:val="center"/>
              <w:textAlignment w:val="center"/>
              <w:rPr>
                <w:rFonts w:cs="宋体"/>
                <w:color w:val="000000"/>
                <w:sz w:val="20"/>
                <w:szCs w:val="20"/>
                <w:highlight w:val="none"/>
              </w:rPr>
            </w:pPr>
            <w:r>
              <w:rPr>
                <w:rFonts w:hint="eastAsia" w:cs="宋体"/>
                <w:color w:val="000000"/>
                <w:kern w:val="0"/>
                <w:sz w:val="20"/>
                <w:szCs w:val="20"/>
                <w:highlight w:val="none"/>
                <w:lang w:bidi="ar"/>
              </w:rPr>
              <w:t>涉企检查（新建）-跨部门联合检查管理-联合检查任务接收、确认与状态更新</w:t>
            </w:r>
          </w:p>
        </w:tc>
        <w:tc>
          <w:tcPr>
            <w:tcW w:w="1998" w:type="pct"/>
            <w:tcBorders>
              <w:top w:val="single" w:color="000000" w:sz="4" w:space="0"/>
              <w:left w:val="single" w:color="000000" w:sz="4" w:space="0"/>
              <w:bottom w:val="single" w:color="000000" w:sz="4" w:space="0"/>
              <w:right w:val="single" w:color="000000" w:sz="4" w:space="0"/>
            </w:tcBorders>
            <w:vAlign w:val="center"/>
          </w:tcPr>
          <w:p w14:paraId="18014458">
            <w:pPr>
              <w:widowControl/>
              <w:spacing w:line="240" w:lineRule="auto"/>
              <w:ind w:firstLine="0" w:firstLineChars="0"/>
              <w:jc w:val="left"/>
              <w:textAlignment w:val="center"/>
              <w:rPr>
                <w:rFonts w:cs="宋体"/>
                <w:color w:val="000000"/>
                <w:sz w:val="20"/>
                <w:szCs w:val="20"/>
                <w:highlight w:val="none"/>
              </w:rPr>
            </w:pPr>
            <w:r>
              <w:rPr>
                <w:rFonts w:hint="eastAsia" w:cs="宋体"/>
                <w:color w:val="000000"/>
                <w:kern w:val="0"/>
                <w:sz w:val="20"/>
                <w:szCs w:val="20"/>
                <w:highlight w:val="none"/>
                <w:lang w:bidi="ar"/>
              </w:rPr>
              <w:t>系统支持区局或中队接收其他委办的联合检查任务，区局或中队反馈联合任务的参与情况。根据各委办的参与情况，获取牵头部门生成的联合检查码。通过PC端或移动端通知统一综合执法平台发送检查码，实现短信和随申办市民云发送联合检查码至法人、商户负责人并支持查看。</w:t>
            </w:r>
          </w:p>
        </w:tc>
      </w:tr>
      <w:tr w14:paraId="72D2125F">
        <w:tblPrEx>
          <w:tblCellMar>
            <w:top w:w="0" w:type="dxa"/>
            <w:left w:w="108" w:type="dxa"/>
            <w:bottom w:w="0" w:type="dxa"/>
            <w:right w:w="108" w:type="dxa"/>
          </w:tblCellMar>
        </w:tblPrEx>
        <w:trPr>
          <w:trHeight w:val="912" w:hRule="atLeast"/>
        </w:trPr>
        <w:tc>
          <w:tcPr>
            <w:tcW w:w="460" w:type="pct"/>
            <w:tcBorders>
              <w:top w:val="single" w:color="000000" w:sz="4" w:space="0"/>
              <w:left w:val="single" w:color="000000" w:sz="4" w:space="0"/>
              <w:bottom w:val="single" w:color="000000" w:sz="4" w:space="0"/>
              <w:right w:val="single" w:color="000000" w:sz="4" w:space="0"/>
            </w:tcBorders>
            <w:noWrap/>
            <w:vAlign w:val="center"/>
          </w:tcPr>
          <w:p w14:paraId="2865EF8E">
            <w:pPr>
              <w:widowControl/>
              <w:spacing w:line="240" w:lineRule="auto"/>
              <w:ind w:firstLine="0" w:firstLineChars="0"/>
              <w:jc w:val="center"/>
              <w:textAlignment w:val="center"/>
              <w:rPr>
                <w:rFonts w:cs="宋体"/>
                <w:color w:val="000000"/>
                <w:sz w:val="20"/>
                <w:szCs w:val="20"/>
                <w:highlight w:val="none"/>
              </w:rPr>
            </w:pPr>
            <w:r>
              <w:rPr>
                <w:rFonts w:hint="eastAsia" w:cs="宋体"/>
                <w:color w:val="000000"/>
                <w:kern w:val="0"/>
                <w:sz w:val="20"/>
                <w:szCs w:val="20"/>
                <w:highlight w:val="none"/>
                <w:lang w:bidi="ar"/>
              </w:rPr>
              <w:t>74</w:t>
            </w:r>
          </w:p>
        </w:tc>
        <w:tc>
          <w:tcPr>
            <w:tcW w:w="1104" w:type="pct"/>
            <w:tcBorders>
              <w:top w:val="single" w:color="000000" w:sz="4" w:space="0"/>
              <w:left w:val="single" w:color="000000" w:sz="4" w:space="0"/>
              <w:bottom w:val="single" w:color="000000" w:sz="4" w:space="0"/>
              <w:right w:val="single" w:color="000000" w:sz="4" w:space="0"/>
            </w:tcBorders>
            <w:noWrap/>
            <w:vAlign w:val="center"/>
          </w:tcPr>
          <w:p w14:paraId="3DF0DCD4">
            <w:pPr>
              <w:widowControl/>
              <w:spacing w:line="240" w:lineRule="auto"/>
              <w:ind w:firstLine="0" w:firstLineChars="0"/>
              <w:jc w:val="left"/>
              <w:textAlignment w:val="center"/>
              <w:rPr>
                <w:rFonts w:cs="宋体"/>
                <w:color w:val="000000"/>
                <w:sz w:val="20"/>
                <w:szCs w:val="20"/>
                <w:highlight w:val="none"/>
              </w:rPr>
            </w:pPr>
            <w:r>
              <w:rPr>
                <w:rFonts w:hint="eastAsia" w:cs="宋体"/>
                <w:color w:val="000000"/>
                <w:kern w:val="0"/>
                <w:sz w:val="20"/>
                <w:szCs w:val="20"/>
                <w:highlight w:val="none"/>
                <w:lang w:bidi="ar"/>
              </w:rPr>
              <w:t>城管执法对象监管</w:t>
            </w:r>
          </w:p>
        </w:tc>
        <w:tc>
          <w:tcPr>
            <w:tcW w:w="1436" w:type="pct"/>
            <w:tcBorders>
              <w:top w:val="single" w:color="000000" w:sz="4" w:space="0"/>
              <w:left w:val="single" w:color="000000" w:sz="4" w:space="0"/>
              <w:bottom w:val="single" w:color="000000" w:sz="4" w:space="0"/>
              <w:right w:val="single" w:color="000000" w:sz="4" w:space="0"/>
            </w:tcBorders>
            <w:vAlign w:val="center"/>
          </w:tcPr>
          <w:p w14:paraId="0303E4AA">
            <w:pPr>
              <w:widowControl/>
              <w:spacing w:line="240" w:lineRule="auto"/>
              <w:ind w:firstLine="0" w:firstLineChars="0"/>
              <w:jc w:val="center"/>
              <w:textAlignment w:val="center"/>
              <w:rPr>
                <w:rFonts w:cs="宋体"/>
                <w:color w:val="000000"/>
                <w:sz w:val="20"/>
                <w:szCs w:val="20"/>
                <w:highlight w:val="none"/>
              </w:rPr>
            </w:pPr>
            <w:r>
              <w:rPr>
                <w:rFonts w:hint="eastAsia" w:cs="宋体"/>
                <w:color w:val="000000"/>
                <w:kern w:val="0"/>
                <w:sz w:val="20"/>
                <w:szCs w:val="20"/>
                <w:highlight w:val="none"/>
                <w:lang w:bidi="ar"/>
              </w:rPr>
              <w:t>涉企检查（新建）-跨部门联合检查管理-联合检查任务创建</w:t>
            </w:r>
          </w:p>
        </w:tc>
        <w:tc>
          <w:tcPr>
            <w:tcW w:w="1998" w:type="pct"/>
            <w:tcBorders>
              <w:top w:val="single" w:color="000000" w:sz="4" w:space="0"/>
              <w:left w:val="single" w:color="000000" w:sz="4" w:space="0"/>
              <w:bottom w:val="single" w:color="000000" w:sz="4" w:space="0"/>
              <w:right w:val="single" w:color="000000" w:sz="4" w:space="0"/>
            </w:tcBorders>
            <w:vAlign w:val="center"/>
          </w:tcPr>
          <w:p w14:paraId="0030AB8E">
            <w:pPr>
              <w:widowControl/>
              <w:spacing w:line="240" w:lineRule="auto"/>
              <w:ind w:firstLine="0" w:firstLineChars="0"/>
              <w:jc w:val="left"/>
              <w:textAlignment w:val="center"/>
              <w:rPr>
                <w:rFonts w:cs="宋体"/>
                <w:color w:val="000000"/>
                <w:sz w:val="20"/>
                <w:szCs w:val="20"/>
                <w:highlight w:val="none"/>
              </w:rPr>
            </w:pPr>
            <w:r>
              <w:rPr>
                <w:rFonts w:hint="eastAsia" w:cs="宋体"/>
                <w:color w:val="000000"/>
                <w:kern w:val="0"/>
                <w:sz w:val="20"/>
                <w:szCs w:val="20"/>
                <w:highlight w:val="none"/>
                <w:lang w:bidi="ar"/>
              </w:rPr>
              <w:t>支持城管局针对联合检查事项，系统初步制定联合检查计划，并发起联合任务给各部门进行联合任务确认，联合检查配合部门确认联合检查任务后，系统自动生成最终的联合检查任务；若配合部门确定不参与联合检查时，系统确定联合检查任务失败并进行标注与任务失败理由记录。</w:t>
            </w:r>
          </w:p>
        </w:tc>
      </w:tr>
      <w:tr w14:paraId="12EAFC5A">
        <w:tblPrEx>
          <w:tblCellMar>
            <w:top w:w="0" w:type="dxa"/>
            <w:left w:w="108" w:type="dxa"/>
            <w:bottom w:w="0" w:type="dxa"/>
            <w:right w:w="108" w:type="dxa"/>
          </w:tblCellMar>
        </w:tblPrEx>
        <w:trPr>
          <w:trHeight w:val="1300" w:hRule="atLeast"/>
        </w:trPr>
        <w:tc>
          <w:tcPr>
            <w:tcW w:w="460" w:type="pct"/>
            <w:tcBorders>
              <w:top w:val="single" w:color="000000" w:sz="4" w:space="0"/>
              <w:left w:val="single" w:color="000000" w:sz="4" w:space="0"/>
              <w:bottom w:val="single" w:color="000000" w:sz="4" w:space="0"/>
              <w:right w:val="single" w:color="000000" w:sz="4" w:space="0"/>
            </w:tcBorders>
            <w:noWrap/>
            <w:vAlign w:val="center"/>
          </w:tcPr>
          <w:p w14:paraId="28B2E335">
            <w:pPr>
              <w:widowControl/>
              <w:spacing w:line="240" w:lineRule="auto"/>
              <w:ind w:firstLine="0" w:firstLineChars="0"/>
              <w:jc w:val="center"/>
              <w:textAlignment w:val="center"/>
              <w:rPr>
                <w:rFonts w:cs="宋体"/>
                <w:color w:val="000000"/>
                <w:sz w:val="20"/>
                <w:szCs w:val="20"/>
                <w:highlight w:val="none"/>
              </w:rPr>
            </w:pPr>
            <w:r>
              <w:rPr>
                <w:rFonts w:hint="eastAsia" w:cs="宋体"/>
                <w:color w:val="000000"/>
                <w:kern w:val="0"/>
                <w:sz w:val="20"/>
                <w:szCs w:val="20"/>
                <w:highlight w:val="none"/>
                <w:lang w:bidi="ar"/>
              </w:rPr>
              <w:t>75</w:t>
            </w:r>
          </w:p>
        </w:tc>
        <w:tc>
          <w:tcPr>
            <w:tcW w:w="1104" w:type="pct"/>
            <w:tcBorders>
              <w:top w:val="single" w:color="000000" w:sz="4" w:space="0"/>
              <w:left w:val="single" w:color="000000" w:sz="4" w:space="0"/>
              <w:bottom w:val="single" w:color="000000" w:sz="4" w:space="0"/>
              <w:right w:val="single" w:color="000000" w:sz="4" w:space="0"/>
            </w:tcBorders>
            <w:noWrap/>
            <w:vAlign w:val="center"/>
          </w:tcPr>
          <w:p w14:paraId="1E264EDE">
            <w:pPr>
              <w:widowControl/>
              <w:spacing w:line="240" w:lineRule="auto"/>
              <w:ind w:firstLine="0" w:firstLineChars="0"/>
              <w:jc w:val="left"/>
              <w:textAlignment w:val="center"/>
              <w:rPr>
                <w:rFonts w:cs="宋体"/>
                <w:color w:val="000000"/>
                <w:sz w:val="20"/>
                <w:szCs w:val="20"/>
                <w:highlight w:val="none"/>
              </w:rPr>
            </w:pPr>
            <w:r>
              <w:rPr>
                <w:rFonts w:hint="eastAsia" w:cs="宋体"/>
                <w:color w:val="000000"/>
                <w:kern w:val="0"/>
                <w:sz w:val="20"/>
                <w:szCs w:val="20"/>
                <w:highlight w:val="none"/>
                <w:lang w:bidi="ar"/>
              </w:rPr>
              <w:t>城管执法对象监管</w:t>
            </w:r>
          </w:p>
        </w:tc>
        <w:tc>
          <w:tcPr>
            <w:tcW w:w="1436" w:type="pct"/>
            <w:tcBorders>
              <w:top w:val="single" w:color="000000" w:sz="4" w:space="0"/>
              <w:left w:val="single" w:color="000000" w:sz="4" w:space="0"/>
              <w:bottom w:val="single" w:color="000000" w:sz="4" w:space="0"/>
              <w:right w:val="single" w:color="000000" w:sz="4" w:space="0"/>
            </w:tcBorders>
            <w:vAlign w:val="center"/>
          </w:tcPr>
          <w:p w14:paraId="48455F5B">
            <w:pPr>
              <w:widowControl/>
              <w:spacing w:line="240" w:lineRule="auto"/>
              <w:ind w:firstLine="0" w:firstLineChars="0"/>
              <w:jc w:val="center"/>
              <w:textAlignment w:val="center"/>
              <w:rPr>
                <w:rFonts w:cs="宋体"/>
                <w:color w:val="000000"/>
                <w:sz w:val="20"/>
                <w:szCs w:val="20"/>
                <w:highlight w:val="none"/>
              </w:rPr>
            </w:pPr>
            <w:r>
              <w:rPr>
                <w:rFonts w:hint="eastAsia" w:cs="宋体"/>
                <w:color w:val="000000"/>
                <w:kern w:val="0"/>
                <w:sz w:val="20"/>
                <w:szCs w:val="20"/>
                <w:highlight w:val="none"/>
                <w:lang w:bidi="ar"/>
              </w:rPr>
              <w:t>涉企检查（新建）-撮合任务检查管理-撮合任务检查码调取与任务获取</w:t>
            </w:r>
          </w:p>
        </w:tc>
        <w:tc>
          <w:tcPr>
            <w:tcW w:w="1998" w:type="pct"/>
            <w:tcBorders>
              <w:top w:val="single" w:color="000000" w:sz="4" w:space="0"/>
              <w:left w:val="single" w:color="000000" w:sz="4" w:space="0"/>
              <w:bottom w:val="single" w:color="000000" w:sz="4" w:space="0"/>
              <w:right w:val="single" w:color="000000" w:sz="4" w:space="0"/>
            </w:tcBorders>
            <w:vAlign w:val="center"/>
          </w:tcPr>
          <w:p w14:paraId="365229D9">
            <w:pPr>
              <w:widowControl/>
              <w:spacing w:line="240" w:lineRule="auto"/>
              <w:ind w:firstLine="0" w:firstLineChars="0"/>
              <w:jc w:val="left"/>
              <w:textAlignment w:val="center"/>
              <w:rPr>
                <w:rFonts w:cs="宋体"/>
                <w:color w:val="000000"/>
                <w:sz w:val="20"/>
                <w:szCs w:val="20"/>
                <w:highlight w:val="none"/>
              </w:rPr>
            </w:pPr>
            <w:r>
              <w:rPr>
                <w:rFonts w:hint="eastAsia" w:cs="宋体"/>
                <w:color w:val="000000"/>
                <w:kern w:val="0"/>
                <w:sz w:val="20"/>
                <w:szCs w:val="20"/>
                <w:highlight w:val="none"/>
                <w:lang w:bidi="ar"/>
              </w:rPr>
              <w:t>实现跨部门检查任务撮合、城管系统内部检查任务撮合。对于队员反馈参与其他委办或城管单位的检查任务的，支持获取任务牵头单位的检查码。支持根据检查时间、检查对象，获取其他委办的检查任务或其他城管单位的检查任务。</w:t>
            </w:r>
          </w:p>
        </w:tc>
      </w:tr>
      <w:tr w14:paraId="532F8134">
        <w:tblPrEx>
          <w:tblCellMar>
            <w:top w:w="0" w:type="dxa"/>
            <w:left w:w="108" w:type="dxa"/>
            <w:bottom w:w="0" w:type="dxa"/>
            <w:right w:w="108" w:type="dxa"/>
          </w:tblCellMar>
        </w:tblPrEx>
        <w:trPr>
          <w:trHeight w:val="520" w:hRule="atLeast"/>
        </w:trPr>
        <w:tc>
          <w:tcPr>
            <w:tcW w:w="460" w:type="pct"/>
            <w:tcBorders>
              <w:top w:val="single" w:color="000000" w:sz="4" w:space="0"/>
              <w:left w:val="single" w:color="000000" w:sz="4" w:space="0"/>
              <w:bottom w:val="single" w:color="000000" w:sz="4" w:space="0"/>
              <w:right w:val="single" w:color="000000" w:sz="4" w:space="0"/>
            </w:tcBorders>
            <w:noWrap/>
            <w:vAlign w:val="center"/>
          </w:tcPr>
          <w:p w14:paraId="2EED0482">
            <w:pPr>
              <w:widowControl/>
              <w:spacing w:line="240" w:lineRule="auto"/>
              <w:ind w:firstLine="0" w:firstLineChars="0"/>
              <w:jc w:val="center"/>
              <w:textAlignment w:val="center"/>
              <w:rPr>
                <w:rFonts w:cs="宋体"/>
                <w:color w:val="000000"/>
                <w:sz w:val="20"/>
                <w:szCs w:val="20"/>
                <w:highlight w:val="none"/>
              </w:rPr>
            </w:pPr>
            <w:r>
              <w:rPr>
                <w:rFonts w:hint="eastAsia" w:cs="宋体"/>
                <w:color w:val="000000"/>
                <w:kern w:val="0"/>
                <w:sz w:val="20"/>
                <w:szCs w:val="20"/>
                <w:highlight w:val="none"/>
                <w:lang w:bidi="ar"/>
              </w:rPr>
              <w:t>76</w:t>
            </w:r>
          </w:p>
        </w:tc>
        <w:tc>
          <w:tcPr>
            <w:tcW w:w="1104" w:type="pct"/>
            <w:tcBorders>
              <w:top w:val="single" w:color="000000" w:sz="4" w:space="0"/>
              <w:left w:val="single" w:color="000000" w:sz="4" w:space="0"/>
              <w:bottom w:val="single" w:color="000000" w:sz="4" w:space="0"/>
              <w:right w:val="single" w:color="000000" w:sz="4" w:space="0"/>
            </w:tcBorders>
            <w:noWrap/>
            <w:vAlign w:val="center"/>
          </w:tcPr>
          <w:p w14:paraId="55FBE9E2">
            <w:pPr>
              <w:widowControl/>
              <w:spacing w:line="240" w:lineRule="auto"/>
              <w:ind w:firstLine="0" w:firstLineChars="0"/>
              <w:jc w:val="left"/>
              <w:textAlignment w:val="center"/>
              <w:rPr>
                <w:rFonts w:cs="宋体"/>
                <w:color w:val="000000"/>
                <w:sz w:val="20"/>
                <w:szCs w:val="20"/>
                <w:highlight w:val="none"/>
              </w:rPr>
            </w:pPr>
            <w:r>
              <w:rPr>
                <w:rFonts w:hint="eastAsia" w:cs="宋体"/>
                <w:color w:val="000000"/>
                <w:kern w:val="0"/>
                <w:sz w:val="20"/>
                <w:szCs w:val="20"/>
                <w:highlight w:val="none"/>
                <w:lang w:bidi="ar"/>
              </w:rPr>
              <w:t>城管执法对象监管</w:t>
            </w:r>
          </w:p>
        </w:tc>
        <w:tc>
          <w:tcPr>
            <w:tcW w:w="1436" w:type="pct"/>
            <w:tcBorders>
              <w:top w:val="single" w:color="000000" w:sz="4" w:space="0"/>
              <w:left w:val="single" w:color="000000" w:sz="4" w:space="0"/>
              <w:bottom w:val="single" w:color="000000" w:sz="4" w:space="0"/>
              <w:right w:val="single" w:color="000000" w:sz="4" w:space="0"/>
            </w:tcBorders>
            <w:vAlign w:val="center"/>
          </w:tcPr>
          <w:p w14:paraId="4AC1CB39">
            <w:pPr>
              <w:widowControl/>
              <w:spacing w:line="240" w:lineRule="auto"/>
              <w:ind w:firstLine="0" w:firstLineChars="0"/>
              <w:jc w:val="center"/>
              <w:textAlignment w:val="center"/>
              <w:rPr>
                <w:rFonts w:cs="宋体"/>
                <w:color w:val="000000"/>
                <w:sz w:val="20"/>
                <w:szCs w:val="20"/>
                <w:highlight w:val="none"/>
              </w:rPr>
            </w:pPr>
            <w:r>
              <w:rPr>
                <w:rFonts w:hint="eastAsia" w:cs="宋体"/>
                <w:color w:val="000000"/>
                <w:kern w:val="0"/>
                <w:sz w:val="20"/>
                <w:szCs w:val="20"/>
                <w:highlight w:val="none"/>
                <w:lang w:bidi="ar"/>
              </w:rPr>
              <w:t>涉企检查（新建）-撮合任务检查管理-撮合检查任务反馈</w:t>
            </w:r>
          </w:p>
        </w:tc>
        <w:tc>
          <w:tcPr>
            <w:tcW w:w="1998" w:type="pct"/>
            <w:tcBorders>
              <w:top w:val="single" w:color="000000" w:sz="4" w:space="0"/>
              <w:left w:val="single" w:color="000000" w:sz="4" w:space="0"/>
              <w:bottom w:val="single" w:color="000000" w:sz="4" w:space="0"/>
              <w:right w:val="single" w:color="000000" w:sz="4" w:space="0"/>
            </w:tcBorders>
            <w:vAlign w:val="center"/>
          </w:tcPr>
          <w:p w14:paraId="5DB4BCDE">
            <w:pPr>
              <w:widowControl/>
              <w:spacing w:line="240" w:lineRule="auto"/>
              <w:ind w:firstLine="0" w:firstLineChars="0"/>
              <w:jc w:val="left"/>
              <w:textAlignment w:val="center"/>
              <w:rPr>
                <w:rFonts w:cs="宋体"/>
                <w:color w:val="000000"/>
                <w:sz w:val="20"/>
                <w:szCs w:val="20"/>
                <w:highlight w:val="none"/>
              </w:rPr>
            </w:pPr>
            <w:r>
              <w:rPr>
                <w:rFonts w:hint="eastAsia" w:cs="宋体"/>
                <w:color w:val="000000"/>
                <w:kern w:val="0"/>
                <w:sz w:val="20"/>
                <w:szCs w:val="20"/>
                <w:highlight w:val="none"/>
                <w:lang w:bidi="ar"/>
              </w:rPr>
              <w:t>其他委办或城管单位存在检查任务时，队员反馈是否参与检查任务撮合。</w:t>
            </w:r>
          </w:p>
        </w:tc>
      </w:tr>
      <w:tr w14:paraId="6B0E7EE2">
        <w:tblPrEx>
          <w:tblCellMar>
            <w:top w:w="0" w:type="dxa"/>
            <w:left w:w="108" w:type="dxa"/>
            <w:bottom w:w="0" w:type="dxa"/>
            <w:right w:w="108" w:type="dxa"/>
          </w:tblCellMar>
        </w:tblPrEx>
        <w:trPr>
          <w:trHeight w:val="520" w:hRule="atLeast"/>
        </w:trPr>
        <w:tc>
          <w:tcPr>
            <w:tcW w:w="460" w:type="pct"/>
            <w:tcBorders>
              <w:top w:val="single" w:color="000000" w:sz="4" w:space="0"/>
              <w:left w:val="single" w:color="000000" w:sz="4" w:space="0"/>
              <w:bottom w:val="single" w:color="000000" w:sz="4" w:space="0"/>
              <w:right w:val="single" w:color="000000" w:sz="4" w:space="0"/>
            </w:tcBorders>
            <w:noWrap/>
            <w:vAlign w:val="center"/>
          </w:tcPr>
          <w:p w14:paraId="347CB20A">
            <w:pPr>
              <w:widowControl/>
              <w:spacing w:line="240" w:lineRule="auto"/>
              <w:ind w:firstLine="0" w:firstLineChars="0"/>
              <w:jc w:val="center"/>
              <w:textAlignment w:val="center"/>
              <w:rPr>
                <w:rFonts w:cs="宋体"/>
                <w:color w:val="000000"/>
                <w:sz w:val="20"/>
                <w:szCs w:val="20"/>
                <w:highlight w:val="none"/>
              </w:rPr>
            </w:pPr>
            <w:r>
              <w:rPr>
                <w:rFonts w:hint="eastAsia" w:cs="宋体"/>
                <w:color w:val="000000"/>
                <w:kern w:val="0"/>
                <w:sz w:val="20"/>
                <w:szCs w:val="20"/>
                <w:highlight w:val="none"/>
                <w:lang w:bidi="ar"/>
              </w:rPr>
              <w:t>77</w:t>
            </w:r>
          </w:p>
        </w:tc>
        <w:tc>
          <w:tcPr>
            <w:tcW w:w="1104" w:type="pct"/>
            <w:tcBorders>
              <w:top w:val="single" w:color="000000" w:sz="4" w:space="0"/>
              <w:left w:val="single" w:color="000000" w:sz="4" w:space="0"/>
              <w:bottom w:val="single" w:color="000000" w:sz="4" w:space="0"/>
              <w:right w:val="single" w:color="000000" w:sz="4" w:space="0"/>
            </w:tcBorders>
            <w:noWrap/>
            <w:vAlign w:val="center"/>
          </w:tcPr>
          <w:p w14:paraId="4A91305B">
            <w:pPr>
              <w:widowControl/>
              <w:spacing w:line="240" w:lineRule="auto"/>
              <w:ind w:firstLine="0" w:firstLineChars="0"/>
              <w:jc w:val="left"/>
              <w:textAlignment w:val="center"/>
              <w:rPr>
                <w:rFonts w:cs="宋体"/>
                <w:color w:val="000000"/>
                <w:sz w:val="20"/>
                <w:szCs w:val="20"/>
                <w:highlight w:val="none"/>
              </w:rPr>
            </w:pPr>
            <w:r>
              <w:rPr>
                <w:rFonts w:hint="eastAsia" w:cs="宋体"/>
                <w:color w:val="000000"/>
                <w:kern w:val="0"/>
                <w:sz w:val="20"/>
                <w:szCs w:val="20"/>
                <w:highlight w:val="none"/>
                <w:lang w:bidi="ar"/>
              </w:rPr>
              <w:t>城管执法对象监管</w:t>
            </w:r>
          </w:p>
        </w:tc>
        <w:tc>
          <w:tcPr>
            <w:tcW w:w="1436" w:type="pct"/>
            <w:tcBorders>
              <w:top w:val="single" w:color="000000" w:sz="4" w:space="0"/>
              <w:left w:val="single" w:color="000000" w:sz="4" w:space="0"/>
              <w:bottom w:val="single" w:color="000000" w:sz="4" w:space="0"/>
              <w:right w:val="single" w:color="000000" w:sz="4" w:space="0"/>
            </w:tcBorders>
            <w:vAlign w:val="center"/>
          </w:tcPr>
          <w:p w14:paraId="26B03D8E">
            <w:pPr>
              <w:widowControl/>
              <w:spacing w:line="240" w:lineRule="auto"/>
              <w:ind w:firstLine="0" w:firstLineChars="0"/>
              <w:jc w:val="center"/>
              <w:textAlignment w:val="center"/>
              <w:rPr>
                <w:rFonts w:cs="宋体"/>
                <w:color w:val="000000"/>
                <w:sz w:val="20"/>
                <w:szCs w:val="20"/>
                <w:highlight w:val="none"/>
              </w:rPr>
            </w:pPr>
            <w:r>
              <w:rPr>
                <w:rFonts w:hint="eastAsia" w:cs="宋体"/>
                <w:color w:val="000000"/>
                <w:kern w:val="0"/>
                <w:sz w:val="20"/>
                <w:szCs w:val="20"/>
                <w:highlight w:val="none"/>
                <w:lang w:bidi="ar"/>
              </w:rPr>
              <w:t>涉企检查（新建）-街镇下沉事项涉企检查</w:t>
            </w:r>
          </w:p>
        </w:tc>
        <w:tc>
          <w:tcPr>
            <w:tcW w:w="1998" w:type="pct"/>
            <w:tcBorders>
              <w:top w:val="single" w:color="000000" w:sz="4" w:space="0"/>
              <w:left w:val="single" w:color="000000" w:sz="4" w:space="0"/>
              <w:bottom w:val="single" w:color="000000" w:sz="4" w:space="0"/>
              <w:right w:val="single" w:color="000000" w:sz="4" w:space="0"/>
            </w:tcBorders>
            <w:vAlign w:val="center"/>
          </w:tcPr>
          <w:p w14:paraId="37C6B7D9">
            <w:pPr>
              <w:widowControl/>
              <w:spacing w:line="240" w:lineRule="auto"/>
              <w:ind w:firstLine="0" w:firstLineChars="0"/>
              <w:jc w:val="left"/>
              <w:textAlignment w:val="center"/>
              <w:rPr>
                <w:rFonts w:cs="宋体"/>
                <w:color w:val="000000"/>
                <w:sz w:val="20"/>
                <w:szCs w:val="20"/>
                <w:highlight w:val="none"/>
              </w:rPr>
            </w:pPr>
            <w:r>
              <w:rPr>
                <w:rFonts w:hint="eastAsia" w:cs="宋体"/>
                <w:color w:val="000000"/>
                <w:kern w:val="0"/>
                <w:sz w:val="20"/>
                <w:szCs w:val="20"/>
                <w:highlight w:val="none"/>
                <w:lang w:bidi="ar"/>
              </w:rPr>
              <w:t>针对下沉街镇的综合执法事项，对接委办下沉检查事项，支持中队通过系统发起检查计划。</w:t>
            </w:r>
          </w:p>
        </w:tc>
      </w:tr>
      <w:tr w14:paraId="27AF58BC">
        <w:tblPrEx>
          <w:tblCellMar>
            <w:top w:w="0" w:type="dxa"/>
            <w:left w:w="108" w:type="dxa"/>
            <w:bottom w:w="0" w:type="dxa"/>
            <w:right w:w="108" w:type="dxa"/>
          </w:tblCellMar>
        </w:tblPrEx>
        <w:trPr>
          <w:trHeight w:val="1040" w:hRule="atLeast"/>
        </w:trPr>
        <w:tc>
          <w:tcPr>
            <w:tcW w:w="460" w:type="pct"/>
            <w:tcBorders>
              <w:top w:val="single" w:color="000000" w:sz="4" w:space="0"/>
              <w:left w:val="single" w:color="000000" w:sz="4" w:space="0"/>
              <w:bottom w:val="single" w:color="000000" w:sz="4" w:space="0"/>
              <w:right w:val="single" w:color="000000" w:sz="4" w:space="0"/>
            </w:tcBorders>
            <w:noWrap/>
            <w:vAlign w:val="center"/>
          </w:tcPr>
          <w:p w14:paraId="6C06ACF7">
            <w:pPr>
              <w:widowControl/>
              <w:spacing w:line="240" w:lineRule="auto"/>
              <w:ind w:firstLine="0" w:firstLineChars="0"/>
              <w:jc w:val="center"/>
              <w:textAlignment w:val="center"/>
              <w:rPr>
                <w:rFonts w:cs="宋体"/>
                <w:color w:val="000000"/>
                <w:sz w:val="20"/>
                <w:szCs w:val="20"/>
                <w:highlight w:val="none"/>
              </w:rPr>
            </w:pPr>
            <w:r>
              <w:rPr>
                <w:rFonts w:hint="eastAsia" w:cs="宋体"/>
                <w:color w:val="000000"/>
                <w:kern w:val="0"/>
                <w:sz w:val="20"/>
                <w:szCs w:val="20"/>
                <w:highlight w:val="none"/>
                <w:lang w:bidi="ar"/>
              </w:rPr>
              <w:t>78</w:t>
            </w:r>
          </w:p>
        </w:tc>
        <w:tc>
          <w:tcPr>
            <w:tcW w:w="1104" w:type="pct"/>
            <w:tcBorders>
              <w:top w:val="single" w:color="000000" w:sz="4" w:space="0"/>
              <w:left w:val="single" w:color="000000" w:sz="4" w:space="0"/>
              <w:bottom w:val="single" w:color="000000" w:sz="4" w:space="0"/>
              <w:right w:val="single" w:color="000000" w:sz="4" w:space="0"/>
            </w:tcBorders>
            <w:noWrap/>
            <w:vAlign w:val="center"/>
          </w:tcPr>
          <w:p w14:paraId="592DD418">
            <w:pPr>
              <w:widowControl/>
              <w:spacing w:line="240" w:lineRule="auto"/>
              <w:ind w:firstLine="0" w:firstLineChars="0"/>
              <w:jc w:val="left"/>
              <w:textAlignment w:val="center"/>
              <w:rPr>
                <w:rFonts w:cs="宋体"/>
                <w:color w:val="000000"/>
                <w:sz w:val="20"/>
                <w:szCs w:val="20"/>
                <w:highlight w:val="none"/>
              </w:rPr>
            </w:pPr>
            <w:r>
              <w:rPr>
                <w:rFonts w:hint="eastAsia" w:cs="宋体"/>
                <w:color w:val="000000"/>
                <w:kern w:val="0"/>
                <w:sz w:val="20"/>
                <w:szCs w:val="20"/>
                <w:highlight w:val="none"/>
                <w:lang w:bidi="ar"/>
              </w:rPr>
              <w:t>城管执法对象监管</w:t>
            </w:r>
          </w:p>
        </w:tc>
        <w:tc>
          <w:tcPr>
            <w:tcW w:w="1436" w:type="pct"/>
            <w:tcBorders>
              <w:top w:val="single" w:color="000000" w:sz="4" w:space="0"/>
              <w:left w:val="single" w:color="000000" w:sz="4" w:space="0"/>
              <w:bottom w:val="single" w:color="000000" w:sz="4" w:space="0"/>
              <w:right w:val="single" w:color="000000" w:sz="4" w:space="0"/>
            </w:tcBorders>
            <w:vAlign w:val="center"/>
          </w:tcPr>
          <w:p w14:paraId="75DBB2EE">
            <w:pPr>
              <w:widowControl/>
              <w:spacing w:line="240" w:lineRule="auto"/>
              <w:ind w:firstLine="0" w:firstLineChars="0"/>
              <w:jc w:val="center"/>
              <w:textAlignment w:val="center"/>
              <w:rPr>
                <w:rFonts w:cs="宋体"/>
                <w:color w:val="000000"/>
                <w:sz w:val="20"/>
                <w:szCs w:val="20"/>
                <w:highlight w:val="none"/>
              </w:rPr>
            </w:pPr>
            <w:r>
              <w:rPr>
                <w:rFonts w:hint="eastAsia" w:cs="宋体"/>
                <w:color w:val="000000"/>
                <w:kern w:val="0"/>
                <w:sz w:val="20"/>
                <w:szCs w:val="20"/>
                <w:highlight w:val="none"/>
                <w:lang w:bidi="ar"/>
              </w:rPr>
              <w:t>涉企检查（新建）-浦东涉企检查数据对接-取码、发码</w:t>
            </w:r>
          </w:p>
        </w:tc>
        <w:tc>
          <w:tcPr>
            <w:tcW w:w="1998" w:type="pct"/>
            <w:tcBorders>
              <w:top w:val="single" w:color="000000" w:sz="4" w:space="0"/>
              <w:left w:val="single" w:color="000000" w:sz="4" w:space="0"/>
              <w:bottom w:val="single" w:color="000000" w:sz="4" w:space="0"/>
              <w:right w:val="single" w:color="000000" w:sz="4" w:space="0"/>
            </w:tcBorders>
            <w:vAlign w:val="center"/>
          </w:tcPr>
          <w:p w14:paraId="454C27C9">
            <w:pPr>
              <w:widowControl/>
              <w:spacing w:line="240" w:lineRule="auto"/>
              <w:ind w:firstLine="0" w:firstLineChars="0"/>
              <w:jc w:val="left"/>
              <w:textAlignment w:val="center"/>
              <w:rPr>
                <w:rFonts w:cs="宋体"/>
                <w:color w:val="000000"/>
                <w:sz w:val="20"/>
                <w:szCs w:val="20"/>
                <w:highlight w:val="none"/>
              </w:rPr>
            </w:pPr>
            <w:r>
              <w:rPr>
                <w:rFonts w:hint="eastAsia" w:cs="宋体"/>
                <w:color w:val="000000"/>
                <w:kern w:val="0"/>
                <w:sz w:val="20"/>
                <w:szCs w:val="20"/>
                <w:highlight w:val="none"/>
                <w:lang w:bidi="ar"/>
              </w:rPr>
              <w:t>开发市局下发给浦东区局涉企检查的“取码”接口；开发市局下发给浦东区局涉企检查的“发码”接口。实现市局系统实时保存记录浦东区局的发码信息，实现取码工作全留痕。</w:t>
            </w:r>
          </w:p>
        </w:tc>
      </w:tr>
      <w:tr w14:paraId="33368DC4">
        <w:tblPrEx>
          <w:tblCellMar>
            <w:top w:w="0" w:type="dxa"/>
            <w:left w:w="108" w:type="dxa"/>
            <w:bottom w:w="0" w:type="dxa"/>
            <w:right w:w="108" w:type="dxa"/>
          </w:tblCellMar>
        </w:tblPrEx>
        <w:trPr>
          <w:trHeight w:val="1040" w:hRule="atLeast"/>
        </w:trPr>
        <w:tc>
          <w:tcPr>
            <w:tcW w:w="460" w:type="pct"/>
            <w:tcBorders>
              <w:top w:val="single" w:color="000000" w:sz="4" w:space="0"/>
              <w:left w:val="single" w:color="000000" w:sz="4" w:space="0"/>
              <w:bottom w:val="single" w:color="000000" w:sz="4" w:space="0"/>
              <w:right w:val="single" w:color="000000" w:sz="4" w:space="0"/>
            </w:tcBorders>
            <w:noWrap/>
            <w:vAlign w:val="center"/>
          </w:tcPr>
          <w:p w14:paraId="68C57F91">
            <w:pPr>
              <w:widowControl/>
              <w:spacing w:line="240" w:lineRule="auto"/>
              <w:ind w:firstLine="0" w:firstLineChars="0"/>
              <w:jc w:val="center"/>
              <w:textAlignment w:val="center"/>
              <w:rPr>
                <w:rFonts w:cs="宋体"/>
                <w:color w:val="000000"/>
                <w:sz w:val="20"/>
                <w:szCs w:val="20"/>
                <w:highlight w:val="none"/>
              </w:rPr>
            </w:pPr>
            <w:r>
              <w:rPr>
                <w:rFonts w:hint="eastAsia" w:cs="宋体"/>
                <w:color w:val="000000"/>
                <w:kern w:val="0"/>
                <w:sz w:val="20"/>
                <w:szCs w:val="20"/>
                <w:highlight w:val="none"/>
                <w:lang w:bidi="ar"/>
              </w:rPr>
              <w:t>79</w:t>
            </w:r>
          </w:p>
        </w:tc>
        <w:tc>
          <w:tcPr>
            <w:tcW w:w="1104" w:type="pct"/>
            <w:tcBorders>
              <w:top w:val="single" w:color="000000" w:sz="4" w:space="0"/>
              <w:left w:val="single" w:color="000000" w:sz="4" w:space="0"/>
              <w:bottom w:val="single" w:color="000000" w:sz="4" w:space="0"/>
              <w:right w:val="single" w:color="000000" w:sz="4" w:space="0"/>
            </w:tcBorders>
            <w:noWrap/>
            <w:vAlign w:val="center"/>
          </w:tcPr>
          <w:p w14:paraId="45438561">
            <w:pPr>
              <w:widowControl/>
              <w:spacing w:line="240" w:lineRule="auto"/>
              <w:ind w:firstLine="0" w:firstLineChars="0"/>
              <w:jc w:val="left"/>
              <w:textAlignment w:val="center"/>
              <w:rPr>
                <w:rFonts w:cs="宋体"/>
                <w:color w:val="000000"/>
                <w:sz w:val="20"/>
                <w:szCs w:val="20"/>
                <w:highlight w:val="none"/>
              </w:rPr>
            </w:pPr>
            <w:r>
              <w:rPr>
                <w:rFonts w:hint="eastAsia" w:cs="宋体"/>
                <w:color w:val="000000"/>
                <w:kern w:val="0"/>
                <w:sz w:val="20"/>
                <w:szCs w:val="20"/>
                <w:highlight w:val="none"/>
                <w:lang w:bidi="ar"/>
              </w:rPr>
              <w:t>城管执法对象监管</w:t>
            </w:r>
          </w:p>
        </w:tc>
        <w:tc>
          <w:tcPr>
            <w:tcW w:w="1436" w:type="pct"/>
            <w:tcBorders>
              <w:top w:val="single" w:color="000000" w:sz="4" w:space="0"/>
              <w:left w:val="single" w:color="000000" w:sz="4" w:space="0"/>
              <w:bottom w:val="single" w:color="000000" w:sz="4" w:space="0"/>
              <w:right w:val="single" w:color="000000" w:sz="4" w:space="0"/>
            </w:tcBorders>
            <w:vAlign w:val="center"/>
          </w:tcPr>
          <w:p w14:paraId="6B83F06C">
            <w:pPr>
              <w:widowControl/>
              <w:spacing w:line="240" w:lineRule="auto"/>
              <w:ind w:firstLine="0" w:firstLineChars="0"/>
              <w:jc w:val="center"/>
              <w:textAlignment w:val="center"/>
              <w:rPr>
                <w:rFonts w:cs="宋体"/>
                <w:color w:val="000000"/>
                <w:sz w:val="20"/>
                <w:szCs w:val="20"/>
                <w:highlight w:val="none"/>
              </w:rPr>
            </w:pPr>
            <w:r>
              <w:rPr>
                <w:rFonts w:hint="eastAsia" w:cs="宋体"/>
                <w:color w:val="000000"/>
                <w:kern w:val="0"/>
                <w:sz w:val="20"/>
                <w:szCs w:val="20"/>
                <w:highlight w:val="none"/>
                <w:lang w:bidi="ar"/>
              </w:rPr>
              <w:t>涉企检查（新建）-浦东涉企检查数据对接-检查结果更新</w:t>
            </w:r>
          </w:p>
        </w:tc>
        <w:tc>
          <w:tcPr>
            <w:tcW w:w="1998" w:type="pct"/>
            <w:tcBorders>
              <w:top w:val="single" w:color="000000" w:sz="4" w:space="0"/>
              <w:left w:val="single" w:color="000000" w:sz="4" w:space="0"/>
              <w:bottom w:val="single" w:color="000000" w:sz="4" w:space="0"/>
              <w:right w:val="single" w:color="000000" w:sz="4" w:space="0"/>
            </w:tcBorders>
            <w:vAlign w:val="center"/>
          </w:tcPr>
          <w:p w14:paraId="6B1CB316">
            <w:pPr>
              <w:widowControl/>
              <w:spacing w:line="240" w:lineRule="auto"/>
              <w:ind w:firstLine="0" w:firstLineChars="0"/>
              <w:jc w:val="left"/>
              <w:textAlignment w:val="center"/>
              <w:rPr>
                <w:rFonts w:cs="宋体"/>
                <w:color w:val="000000"/>
                <w:sz w:val="20"/>
                <w:szCs w:val="20"/>
                <w:highlight w:val="none"/>
              </w:rPr>
            </w:pPr>
            <w:r>
              <w:rPr>
                <w:rFonts w:hint="eastAsia" w:cs="宋体"/>
                <w:color w:val="000000"/>
                <w:kern w:val="0"/>
                <w:sz w:val="20"/>
                <w:szCs w:val="20"/>
                <w:highlight w:val="none"/>
                <w:lang w:bidi="ar"/>
              </w:rPr>
              <w:t>开发浦东区局涉企检查结果更新与反馈推送接口，实现浦东区局通过检查结果更新与反馈推送接口给到市局。实现市局系统实时保存、查看浦东区局的检查情况。</w:t>
            </w:r>
          </w:p>
        </w:tc>
      </w:tr>
      <w:tr w14:paraId="408D4EC0">
        <w:tblPrEx>
          <w:tblCellMar>
            <w:top w:w="0" w:type="dxa"/>
            <w:left w:w="108" w:type="dxa"/>
            <w:bottom w:w="0" w:type="dxa"/>
            <w:right w:w="108" w:type="dxa"/>
          </w:tblCellMar>
        </w:tblPrEx>
        <w:trPr>
          <w:trHeight w:val="2080" w:hRule="atLeast"/>
        </w:trPr>
        <w:tc>
          <w:tcPr>
            <w:tcW w:w="460" w:type="pct"/>
            <w:tcBorders>
              <w:top w:val="single" w:color="000000" w:sz="4" w:space="0"/>
              <w:left w:val="single" w:color="000000" w:sz="4" w:space="0"/>
              <w:bottom w:val="single" w:color="000000" w:sz="4" w:space="0"/>
              <w:right w:val="single" w:color="000000" w:sz="4" w:space="0"/>
            </w:tcBorders>
            <w:noWrap/>
            <w:vAlign w:val="center"/>
          </w:tcPr>
          <w:p w14:paraId="5C6915E9">
            <w:pPr>
              <w:widowControl/>
              <w:spacing w:line="240" w:lineRule="auto"/>
              <w:ind w:firstLine="0" w:firstLineChars="0"/>
              <w:jc w:val="center"/>
              <w:textAlignment w:val="center"/>
              <w:rPr>
                <w:rFonts w:cs="宋体"/>
                <w:color w:val="000000"/>
                <w:sz w:val="20"/>
                <w:szCs w:val="20"/>
                <w:highlight w:val="none"/>
              </w:rPr>
            </w:pPr>
            <w:r>
              <w:rPr>
                <w:rFonts w:hint="eastAsia" w:cs="宋体"/>
                <w:color w:val="000000"/>
                <w:kern w:val="0"/>
                <w:sz w:val="20"/>
                <w:szCs w:val="20"/>
                <w:highlight w:val="none"/>
                <w:lang w:bidi="ar"/>
              </w:rPr>
              <w:t>80</w:t>
            </w:r>
          </w:p>
        </w:tc>
        <w:tc>
          <w:tcPr>
            <w:tcW w:w="1104" w:type="pct"/>
            <w:tcBorders>
              <w:top w:val="single" w:color="000000" w:sz="4" w:space="0"/>
              <w:left w:val="single" w:color="000000" w:sz="4" w:space="0"/>
              <w:bottom w:val="single" w:color="000000" w:sz="4" w:space="0"/>
              <w:right w:val="single" w:color="000000" w:sz="4" w:space="0"/>
            </w:tcBorders>
            <w:noWrap/>
            <w:vAlign w:val="center"/>
          </w:tcPr>
          <w:p w14:paraId="590929B0">
            <w:pPr>
              <w:widowControl/>
              <w:spacing w:line="240" w:lineRule="auto"/>
              <w:ind w:firstLine="0" w:firstLineChars="0"/>
              <w:jc w:val="left"/>
              <w:textAlignment w:val="center"/>
              <w:rPr>
                <w:rFonts w:cs="宋体"/>
                <w:color w:val="000000"/>
                <w:sz w:val="20"/>
                <w:szCs w:val="20"/>
                <w:highlight w:val="none"/>
              </w:rPr>
            </w:pPr>
            <w:r>
              <w:rPr>
                <w:rFonts w:hint="eastAsia" w:cs="宋体"/>
                <w:color w:val="000000"/>
                <w:kern w:val="0"/>
                <w:sz w:val="20"/>
                <w:szCs w:val="20"/>
                <w:highlight w:val="none"/>
                <w:lang w:bidi="ar"/>
              </w:rPr>
              <w:t>城管执法对象监管</w:t>
            </w:r>
          </w:p>
        </w:tc>
        <w:tc>
          <w:tcPr>
            <w:tcW w:w="1436" w:type="pct"/>
            <w:tcBorders>
              <w:top w:val="single" w:color="000000" w:sz="4" w:space="0"/>
              <w:left w:val="single" w:color="000000" w:sz="4" w:space="0"/>
              <w:bottom w:val="single" w:color="000000" w:sz="4" w:space="0"/>
              <w:right w:val="single" w:color="000000" w:sz="4" w:space="0"/>
            </w:tcBorders>
            <w:vAlign w:val="center"/>
          </w:tcPr>
          <w:p w14:paraId="5FC4E427">
            <w:pPr>
              <w:widowControl/>
              <w:spacing w:line="240" w:lineRule="auto"/>
              <w:ind w:firstLine="0" w:firstLineChars="0"/>
              <w:jc w:val="center"/>
              <w:textAlignment w:val="center"/>
              <w:rPr>
                <w:rFonts w:cs="宋体"/>
                <w:color w:val="000000"/>
                <w:sz w:val="20"/>
                <w:szCs w:val="20"/>
                <w:highlight w:val="none"/>
              </w:rPr>
            </w:pPr>
            <w:r>
              <w:rPr>
                <w:rFonts w:hint="eastAsia" w:cs="宋体"/>
                <w:color w:val="000000"/>
                <w:kern w:val="0"/>
                <w:sz w:val="20"/>
                <w:szCs w:val="20"/>
                <w:highlight w:val="none"/>
                <w:lang w:bidi="ar"/>
              </w:rPr>
              <w:t>涉企检查（新建）-浦东涉企检查数据对接-联合检查</w:t>
            </w:r>
          </w:p>
        </w:tc>
        <w:tc>
          <w:tcPr>
            <w:tcW w:w="1998" w:type="pct"/>
            <w:tcBorders>
              <w:top w:val="single" w:color="000000" w:sz="4" w:space="0"/>
              <w:left w:val="single" w:color="000000" w:sz="4" w:space="0"/>
              <w:bottom w:val="single" w:color="000000" w:sz="4" w:space="0"/>
              <w:right w:val="single" w:color="000000" w:sz="4" w:space="0"/>
            </w:tcBorders>
            <w:vAlign w:val="center"/>
          </w:tcPr>
          <w:p w14:paraId="4797476F">
            <w:pPr>
              <w:widowControl/>
              <w:spacing w:line="240" w:lineRule="auto"/>
              <w:ind w:firstLine="0" w:firstLineChars="0"/>
              <w:jc w:val="left"/>
              <w:textAlignment w:val="center"/>
              <w:rPr>
                <w:rFonts w:cs="宋体"/>
                <w:color w:val="000000"/>
                <w:sz w:val="20"/>
                <w:szCs w:val="20"/>
                <w:highlight w:val="none"/>
              </w:rPr>
            </w:pPr>
            <w:r>
              <w:rPr>
                <w:rFonts w:hint="eastAsia" w:cs="宋体"/>
                <w:color w:val="000000"/>
                <w:kern w:val="0"/>
                <w:sz w:val="20"/>
                <w:szCs w:val="20"/>
                <w:highlight w:val="none"/>
                <w:lang w:bidi="ar"/>
              </w:rPr>
              <w:t>开发市局下发给浦东区局的联合检查任务获取接口。浦东区局通过市局开发的联合检查任务反馈接口，推送本区局联合检查任务参与情况。浦东区局通过市局开发的联合检查任务状态获取接口，查询本区局联合检查任务状态。浦东区局通过市局开发的联合检查结果反馈接口，将本区局检查结果推送给市局，并实现市局系统对反馈检查结果的全留痕。</w:t>
            </w:r>
          </w:p>
        </w:tc>
      </w:tr>
      <w:tr w14:paraId="55717034">
        <w:tblPrEx>
          <w:tblCellMar>
            <w:top w:w="0" w:type="dxa"/>
            <w:left w:w="108" w:type="dxa"/>
            <w:bottom w:w="0" w:type="dxa"/>
            <w:right w:w="108" w:type="dxa"/>
          </w:tblCellMar>
        </w:tblPrEx>
        <w:trPr>
          <w:trHeight w:val="1040" w:hRule="atLeast"/>
        </w:trPr>
        <w:tc>
          <w:tcPr>
            <w:tcW w:w="460" w:type="pct"/>
            <w:tcBorders>
              <w:top w:val="single" w:color="000000" w:sz="4" w:space="0"/>
              <w:left w:val="single" w:color="000000" w:sz="4" w:space="0"/>
              <w:bottom w:val="single" w:color="000000" w:sz="4" w:space="0"/>
              <w:right w:val="single" w:color="000000" w:sz="4" w:space="0"/>
            </w:tcBorders>
            <w:noWrap/>
            <w:vAlign w:val="center"/>
          </w:tcPr>
          <w:p w14:paraId="3F2F32CC">
            <w:pPr>
              <w:widowControl/>
              <w:spacing w:line="240" w:lineRule="auto"/>
              <w:ind w:firstLine="0" w:firstLineChars="0"/>
              <w:jc w:val="center"/>
              <w:textAlignment w:val="center"/>
              <w:rPr>
                <w:rFonts w:cs="宋体"/>
                <w:color w:val="000000"/>
                <w:sz w:val="20"/>
                <w:szCs w:val="20"/>
                <w:highlight w:val="none"/>
              </w:rPr>
            </w:pPr>
            <w:r>
              <w:rPr>
                <w:rFonts w:hint="eastAsia" w:cs="宋体"/>
                <w:color w:val="000000"/>
                <w:kern w:val="0"/>
                <w:sz w:val="20"/>
                <w:szCs w:val="20"/>
                <w:highlight w:val="none"/>
                <w:lang w:bidi="ar"/>
              </w:rPr>
              <w:t>81</w:t>
            </w:r>
          </w:p>
        </w:tc>
        <w:tc>
          <w:tcPr>
            <w:tcW w:w="1104" w:type="pct"/>
            <w:tcBorders>
              <w:top w:val="single" w:color="000000" w:sz="4" w:space="0"/>
              <w:left w:val="single" w:color="000000" w:sz="4" w:space="0"/>
              <w:bottom w:val="single" w:color="000000" w:sz="4" w:space="0"/>
              <w:right w:val="single" w:color="000000" w:sz="4" w:space="0"/>
            </w:tcBorders>
            <w:noWrap/>
            <w:vAlign w:val="center"/>
          </w:tcPr>
          <w:p w14:paraId="7A39C645">
            <w:pPr>
              <w:widowControl/>
              <w:spacing w:line="240" w:lineRule="auto"/>
              <w:ind w:firstLine="0" w:firstLineChars="0"/>
              <w:jc w:val="left"/>
              <w:textAlignment w:val="center"/>
              <w:rPr>
                <w:rFonts w:cs="宋体"/>
                <w:color w:val="000000"/>
                <w:sz w:val="20"/>
                <w:szCs w:val="20"/>
                <w:highlight w:val="none"/>
              </w:rPr>
            </w:pPr>
            <w:r>
              <w:rPr>
                <w:rFonts w:hint="eastAsia" w:cs="宋体"/>
                <w:color w:val="000000"/>
                <w:kern w:val="0"/>
                <w:sz w:val="20"/>
                <w:szCs w:val="20"/>
                <w:highlight w:val="none"/>
                <w:lang w:bidi="ar"/>
              </w:rPr>
              <w:t>城管执法对象监管</w:t>
            </w:r>
          </w:p>
        </w:tc>
        <w:tc>
          <w:tcPr>
            <w:tcW w:w="1436" w:type="pct"/>
            <w:tcBorders>
              <w:top w:val="single" w:color="000000" w:sz="4" w:space="0"/>
              <w:left w:val="single" w:color="000000" w:sz="4" w:space="0"/>
              <w:bottom w:val="single" w:color="000000" w:sz="4" w:space="0"/>
              <w:right w:val="single" w:color="000000" w:sz="4" w:space="0"/>
            </w:tcBorders>
            <w:vAlign w:val="center"/>
          </w:tcPr>
          <w:p w14:paraId="658BF588">
            <w:pPr>
              <w:widowControl/>
              <w:spacing w:line="240" w:lineRule="auto"/>
              <w:ind w:firstLine="0" w:firstLineChars="0"/>
              <w:jc w:val="center"/>
              <w:textAlignment w:val="center"/>
              <w:rPr>
                <w:rFonts w:cs="宋体"/>
                <w:color w:val="000000"/>
                <w:sz w:val="20"/>
                <w:szCs w:val="20"/>
                <w:highlight w:val="none"/>
              </w:rPr>
            </w:pPr>
            <w:r>
              <w:rPr>
                <w:rFonts w:hint="eastAsia" w:cs="宋体"/>
                <w:color w:val="000000"/>
                <w:kern w:val="0"/>
                <w:sz w:val="20"/>
                <w:szCs w:val="20"/>
                <w:highlight w:val="none"/>
                <w:lang w:bidi="ar"/>
              </w:rPr>
              <w:t>涉企检查（新建）-浦东涉企检查数据对接-检查码注销、作废</w:t>
            </w:r>
          </w:p>
        </w:tc>
        <w:tc>
          <w:tcPr>
            <w:tcW w:w="1998" w:type="pct"/>
            <w:tcBorders>
              <w:top w:val="single" w:color="000000" w:sz="4" w:space="0"/>
              <w:left w:val="single" w:color="000000" w:sz="4" w:space="0"/>
              <w:bottom w:val="single" w:color="000000" w:sz="4" w:space="0"/>
              <w:right w:val="single" w:color="000000" w:sz="4" w:space="0"/>
            </w:tcBorders>
            <w:vAlign w:val="center"/>
          </w:tcPr>
          <w:p w14:paraId="799135B8">
            <w:pPr>
              <w:widowControl/>
              <w:spacing w:line="240" w:lineRule="auto"/>
              <w:ind w:firstLine="0" w:firstLineChars="0"/>
              <w:jc w:val="left"/>
              <w:textAlignment w:val="center"/>
              <w:rPr>
                <w:rFonts w:cs="宋体"/>
                <w:color w:val="000000"/>
                <w:sz w:val="20"/>
                <w:szCs w:val="20"/>
                <w:highlight w:val="none"/>
              </w:rPr>
            </w:pPr>
            <w:r>
              <w:rPr>
                <w:rFonts w:hint="eastAsia" w:cs="宋体"/>
                <w:color w:val="000000"/>
                <w:kern w:val="0"/>
                <w:sz w:val="20"/>
                <w:szCs w:val="20"/>
                <w:highlight w:val="none"/>
                <w:lang w:bidi="ar"/>
              </w:rPr>
              <w:t>浦东通过调用市局开发的检查码注销接口，实现取码后检查码发送之前注销对应检查码。浦东通过调用市局开发的检查码作废接口，实现检查码发送之后作废对应检查码。</w:t>
            </w:r>
          </w:p>
        </w:tc>
      </w:tr>
      <w:tr w14:paraId="782F4665">
        <w:tblPrEx>
          <w:tblCellMar>
            <w:top w:w="0" w:type="dxa"/>
            <w:left w:w="108" w:type="dxa"/>
            <w:bottom w:w="0" w:type="dxa"/>
            <w:right w:w="108" w:type="dxa"/>
          </w:tblCellMar>
        </w:tblPrEx>
        <w:trPr>
          <w:trHeight w:val="780" w:hRule="atLeast"/>
        </w:trPr>
        <w:tc>
          <w:tcPr>
            <w:tcW w:w="460" w:type="pct"/>
            <w:tcBorders>
              <w:top w:val="single" w:color="000000" w:sz="4" w:space="0"/>
              <w:left w:val="single" w:color="000000" w:sz="4" w:space="0"/>
              <w:bottom w:val="single" w:color="000000" w:sz="4" w:space="0"/>
              <w:right w:val="single" w:color="000000" w:sz="4" w:space="0"/>
            </w:tcBorders>
            <w:noWrap/>
            <w:vAlign w:val="center"/>
          </w:tcPr>
          <w:p w14:paraId="42BAB5FE">
            <w:pPr>
              <w:widowControl/>
              <w:spacing w:line="240" w:lineRule="auto"/>
              <w:ind w:firstLine="0" w:firstLineChars="0"/>
              <w:jc w:val="center"/>
              <w:textAlignment w:val="center"/>
              <w:rPr>
                <w:rFonts w:cs="宋体"/>
                <w:color w:val="000000"/>
                <w:sz w:val="20"/>
                <w:szCs w:val="20"/>
                <w:highlight w:val="none"/>
              </w:rPr>
            </w:pPr>
            <w:r>
              <w:rPr>
                <w:rFonts w:hint="eastAsia" w:cs="宋体"/>
                <w:color w:val="000000"/>
                <w:kern w:val="0"/>
                <w:sz w:val="20"/>
                <w:szCs w:val="20"/>
                <w:highlight w:val="none"/>
                <w:lang w:bidi="ar"/>
              </w:rPr>
              <w:t>82</w:t>
            </w:r>
          </w:p>
        </w:tc>
        <w:tc>
          <w:tcPr>
            <w:tcW w:w="1104" w:type="pct"/>
            <w:tcBorders>
              <w:top w:val="single" w:color="000000" w:sz="4" w:space="0"/>
              <w:left w:val="single" w:color="000000" w:sz="4" w:space="0"/>
              <w:bottom w:val="single" w:color="000000" w:sz="4" w:space="0"/>
              <w:right w:val="single" w:color="000000" w:sz="4" w:space="0"/>
            </w:tcBorders>
            <w:noWrap/>
            <w:vAlign w:val="center"/>
          </w:tcPr>
          <w:p w14:paraId="7A962DCA">
            <w:pPr>
              <w:widowControl/>
              <w:spacing w:line="240" w:lineRule="auto"/>
              <w:ind w:firstLine="0" w:firstLineChars="0"/>
              <w:jc w:val="left"/>
              <w:textAlignment w:val="center"/>
              <w:rPr>
                <w:rFonts w:cs="宋体"/>
                <w:color w:val="000000"/>
                <w:sz w:val="20"/>
                <w:szCs w:val="20"/>
                <w:highlight w:val="none"/>
              </w:rPr>
            </w:pPr>
            <w:r>
              <w:rPr>
                <w:rFonts w:hint="eastAsia" w:cs="宋体"/>
                <w:color w:val="000000"/>
                <w:kern w:val="0"/>
                <w:sz w:val="20"/>
                <w:szCs w:val="20"/>
                <w:highlight w:val="none"/>
                <w:lang w:bidi="ar"/>
              </w:rPr>
              <w:t>城管执法对象监管</w:t>
            </w:r>
          </w:p>
        </w:tc>
        <w:tc>
          <w:tcPr>
            <w:tcW w:w="1436" w:type="pct"/>
            <w:tcBorders>
              <w:top w:val="single" w:color="000000" w:sz="4" w:space="0"/>
              <w:left w:val="single" w:color="000000" w:sz="4" w:space="0"/>
              <w:bottom w:val="single" w:color="000000" w:sz="4" w:space="0"/>
              <w:right w:val="single" w:color="000000" w:sz="4" w:space="0"/>
            </w:tcBorders>
            <w:vAlign w:val="center"/>
          </w:tcPr>
          <w:p w14:paraId="16EFD33B">
            <w:pPr>
              <w:widowControl/>
              <w:spacing w:line="240" w:lineRule="auto"/>
              <w:ind w:firstLine="0" w:firstLineChars="0"/>
              <w:jc w:val="center"/>
              <w:textAlignment w:val="center"/>
              <w:rPr>
                <w:rFonts w:cs="宋体"/>
                <w:color w:val="000000"/>
                <w:sz w:val="20"/>
                <w:szCs w:val="20"/>
                <w:highlight w:val="none"/>
              </w:rPr>
            </w:pPr>
            <w:r>
              <w:rPr>
                <w:rFonts w:hint="eastAsia" w:cs="宋体"/>
                <w:color w:val="000000"/>
                <w:kern w:val="0"/>
                <w:sz w:val="20"/>
                <w:szCs w:val="20"/>
                <w:highlight w:val="none"/>
                <w:lang w:bidi="ar"/>
              </w:rPr>
              <w:t>涉企检查（新建）-浦东涉企检查数据对接-检查码扫码相关人信息获取</w:t>
            </w:r>
          </w:p>
        </w:tc>
        <w:tc>
          <w:tcPr>
            <w:tcW w:w="1998" w:type="pct"/>
            <w:tcBorders>
              <w:top w:val="single" w:color="000000" w:sz="4" w:space="0"/>
              <w:left w:val="single" w:color="000000" w:sz="4" w:space="0"/>
              <w:bottom w:val="single" w:color="000000" w:sz="4" w:space="0"/>
              <w:right w:val="single" w:color="000000" w:sz="4" w:space="0"/>
            </w:tcBorders>
            <w:vAlign w:val="center"/>
          </w:tcPr>
          <w:p w14:paraId="7E689290">
            <w:pPr>
              <w:widowControl/>
              <w:spacing w:line="240" w:lineRule="auto"/>
              <w:ind w:firstLine="0" w:firstLineChars="0"/>
              <w:jc w:val="left"/>
              <w:textAlignment w:val="center"/>
              <w:rPr>
                <w:rFonts w:cs="宋体"/>
                <w:color w:val="000000"/>
                <w:sz w:val="20"/>
                <w:szCs w:val="20"/>
                <w:highlight w:val="none"/>
              </w:rPr>
            </w:pPr>
            <w:r>
              <w:rPr>
                <w:rFonts w:hint="eastAsia" w:cs="宋体"/>
                <w:color w:val="000000"/>
                <w:kern w:val="0"/>
                <w:sz w:val="20"/>
                <w:szCs w:val="20"/>
                <w:highlight w:val="none"/>
                <w:lang w:bidi="ar"/>
              </w:rPr>
              <w:t>浦东通过调用市局开发的检查码扫码相关人信息获取接口，获取检查码扫码相关人信息。</w:t>
            </w:r>
          </w:p>
        </w:tc>
      </w:tr>
      <w:tr w14:paraId="400CE2F8">
        <w:tblPrEx>
          <w:tblCellMar>
            <w:top w:w="0" w:type="dxa"/>
            <w:left w:w="108" w:type="dxa"/>
            <w:bottom w:w="0" w:type="dxa"/>
            <w:right w:w="108" w:type="dxa"/>
          </w:tblCellMar>
        </w:tblPrEx>
        <w:trPr>
          <w:trHeight w:val="780" w:hRule="atLeast"/>
        </w:trPr>
        <w:tc>
          <w:tcPr>
            <w:tcW w:w="460" w:type="pct"/>
            <w:tcBorders>
              <w:top w:val="single" w:color="000000" w:sz="4" w:space="0"/>
              <w:left w:val="single" w:color="000000" w:sz="4" w:space="0"/>
              <w:bottom w:val="single" w:color="000000" w:sz="4" w:space="0"/>
              <w:right w:val="single" w:color="000000" w:sz="4" w:space="0"/>
            </w:tcBorders>
            <w:noWrap/>
            <w:vAlign w:val="center"/>
          </w:tcPr>
          <w:p w14:paraId="59EC983A">
            <w:pPr>
              <w:widowControl/>
              <w:spacing w:line="240" w:lineRule="auto"/>
              <w:ind w:firstLine="0" w:firstLineChars="0"/>
              <w:jc w:val="center"/>
              <w:textAlignment w:val="center"/>
              <w:rPr>
                <w:rFonts w:cs="宋体"/>
                <w:color w:val="000000"/>
                <w:sz w:val="20"/>
                <w:szCs w:val="20"/>
                <w:highlight w:val="none"/>
              </w:rPr>
            </w:pPr>
            <w:r>
              <w:rPr>
                <w:rFonts w:hint="eastAsia" w:cs="宋体"/>
                <w:color w:val="000000"/>
                <w:kern w:val="0"/>
                <w:sz w:val="20"/>
                <w:szCs w:val="20"/>
                <w:highlight w:val="none"/>
                <w:lang w:bidi="ar"/>
              </w:rPr>
              <w:t>83</w:t>
            </w:r>
          </w:p>
        </w:tc>
        <w:tc>
          <w:tcPr>
            <w:tcW w:w="1104" w:type="pct"/>
            <w:tcBorders>
              <w:top w:val="single" w:color="000000" w:sz="4" w:space="0"/>
              <w:left w:val="single" w:color="000000" w:sz="4" w:space="0"/>
              <w:bottom w:val="single" w:color="000000" w:sz="4" w:space="0"/>
              <w:right w:val="single" w:color="000000" w:sz="4" w:space="0"/>
            </w:tcBorders>
            <w:noWrap/>
            <w:vAlign w:val="center"/>
          </w:tcPr>
          <w:p w14:paraId="63414F64">
            <w:pPr>
              <w:widowControl/>
              <w:spacing w:line="240" w:lineRule="auto"/>
              <w:ind w:firstLine="0" w:firstLineChars="0"/>
              <w:jc w:val="left"/>
              <w:textAlignment w:val="center"/>
              <w:rPr>
                <w:rFonts w:cs="宋体"/>
                <w:color w:val="000000"/>
                <w:sz w:val="20"/>
                <w:szCs w:val="20"/>
                <w:highlight w:val="none"/>
              </w:rPr>
            </w:pPr>
            <w:r>
              <w:rPr>
                <w:rFonts w:hint="eastAsia" w:cs="宋体"/>
                <w:color w:val="000000"/>
                <w:kern w:val="0"/>
                <w:sz w:val="20"/>
                <w:szCs w:val="20"/>
                <w:highlight w:val="none"/>
                <w:lang w:bidi="ar"/>
              </w:rPr>
              <w:t>城管执法对象监管</w:t>
            </w:r>
          </w:p>
        </w:tc>
        <w:tc>
          <w:tcPr>
            <w:tcW w:w="1436" w:type="pct"/>
            <w:tcBorders>
              <w:top w:val="single" w:color="000000" w:sz="4" w:space="0"/>
              <w:left w:val="single" w:color="000000" w:sz="4" w:space="0"/>
              <w:bottom w:val="single" w:color="000000" w:sz="4" w:space="0"/>
              <w:right w:val="single" w:color="000000" w:sz="4" w:space="0"/>
            </w:tcBorders>
            <w:vAlign w:val="center"/>
          </w:tcPr>
          <w:p w14:paraId="4658218C">
            <w:pPr>
              <w:widowControl/>
              <w:spacing w:line="240" w:lineRule="auto"/>
              <w:ind w:firstLine="0" w:firstLineChars="0"/>
              <w:jc w:val="center"/>
              <w:textAlignment w:val="center"/>
              <w:rPr>
                <w:rFonts w:cs="宋体"/>
                <w:color w:val="000000"/>
                <w:sz w:val="20"/>
                <w:szCs w:val="20"/>
                <w:highlight w:val="none"/>
              </w:rPr>
            </w:pPr>
            <w:r>
              <w:rPr>
                <w:rFonts w:hint="eastAsia" w:cs="宋体"/>
                <w:color w:val="000000"/>
                <w:kern w:val="0"/>
                <w:sz w:val="20"/>
                <w:szCs w:val="20"/>
                <w:highlight w:val="none"/>
                <w:lang w:bidi="ar"/>
              </w:rPr>
              <w:t>涉企检查（新建）-普法宣传（新建）-线上普法-普法资料库</w:t>
            </w:r>
          </w:p>
        </w:tc>
        <w:tc>
          <w:tcPr>
            <w:tcW w:w="1998" w:type="pct"/>
            <w:tcBorders>
              <w:top w:val="single" w:color="000000" w:sz="4" w:space="0"/>
              <w:left w:val="single" w:color="000000" w:sz="4" w:space="0"/>
              <w:bottom w:val="single" w:color="000000" w:sz="4" w:space="0"/>
              <w:right w:val="single" w:color="000000" w:sz="4" w:space="0"/>
            </w:tcBorders>
            <w:vAlign w:val="center"/>
          </w:tcPr>
          <w:p w14:paraId="0A831775">
            <w:pPr>
              <w:widowControl/>
              <w:spacing w:line="240" w:lineRule="auto"/>
              <w:ind w:firstLine="0" w:firstLineChars="0"/>
              <w:jc w:val="left"/>
              <w:textAlignment w:val="center"/>
              <w:rPr>
                <w:rFonts w:cs="宋体"/>
                <w:color w:val="000000"/>
                <w:sz w:val="20"/>
                <w:szCs w:val="20"/>
                <w:highlight w:val="none"/>
              </w:rPr>
            </w:pPr>
            <w:r>
              <w:rPr>
                <w:rFonts w:hint="eastAsia" w:cs="宋体"/>
                <w:color w:val="000000"/>
                <w:kern w:val="0"/>
                <w:sz w:val="20"/>
                <w:szCs w:val="20"/>
                <w:highlight w:val="none"/>
                <w:lang w:bidi="ar"/>
              </w:rPr>
              <w:t>对普法资源进行分类整合，并实现普法资料的上传、编辑、管理及与执法事项关联。</w:t>
            </w:r>
          </w:p>
        </w:tc>
      </w:tr>
      <w:tr w14:paraId="5F9B6EB8">
        <w:tblPrEx>
          <w:tblCellMar>
            <w:top w:w="0" w:type="dxa"/>
            <w:left w:w="108" w:type="dxa"/>
            <w:bottom w:w="0" w:type="dxa"/>
            <w:right w:w="108" w:type="dxa"/>
          </w:tblCellMar>
        </w:tblPrEx>
        <w:trPr>
          <w:trHeight w:val="1040" w:hRule="atLeast"/>
        </w:trPr>
        <w:tc>
          <w:tcPr>
            <w:tcW w:w="460" w:type="pct"/>
            <w:tcBorders>
              <w:top w:val="single" w:color="000000" w:sz="4" w:space="0"/>
              <w:left w:val="single" w:color="000000" w:sz="4" w:space="0"/>
              <w:bottom w:val="single" w:color="000000" w:sz="4" w:space="0"/>
              <w:right w:val="single" w:color="000000" w:sz="4" w:space="0"/>
            </w:tcBorders>
            <w:noWrap/>
            <w:vAlign w:val="center"/>
          </w:tcPr>
          <w:p w14:paraId="6236F13C">
            <w:pPr>
              <w:widowControl/>
              <w:spacing w:line="240" w:lineRule="auto"/>
              <w:ind w:firstLine="0" w:firstLineChars="0"/>
              <w:jc w:val="center"/>
              <w:textAlignment w:val="center"/>
              <w:rPr>
                <w:rFonts w:cs="宋体"/>
                <w:color w:val="000000"/>
                <w:sz w:val="20"/>
                <w:szCs w:val="20"/>
                <w:highlight w:val="none"/>
              </w:rPr>
            </w:pPr>
            <w:r>
              <w:rPr>
                <w:rFonts w:hint="eastAsia" w:cs="宋体"/>
                <w:color w:val="000000"/>
                <w:kern w:val="0"/>
                <w:sz w:val="20"/>
                <w:szCs w:val="20"/>
                <w:highlight w:val="none"/>
                <w:lang w:bidi="ar"/>
              </w:rPr>
              <w:t>84</w:t>
            </w:r>
          </w:p>
        </w:tc>
        <w:tc>
          <w:tcPr>
            <w:tcW w:w="1104" w:type="pct"/>
            <w:tcBorders>
              <w:top w:val="single" w:color="000000" w:sz="4" w:space="0"/>
              <w:left w:val="single" w:color="000000" w:sz="4" w:space="0"/>
              <w:bottom w:val="single" w:color="000000" w:sz="4" w:space="0"/>
              <w:right w:val="single" w:color="000000" w:sz="4" w:space="0"/>
            </w:tcBorders>
            <w:noWrap/>
            <w:vAlign w:val="center"/>
          </w:tcPr>
          <w:p w14:paraId="0E398169">
            <w:pPr>
              <w:widowControl/>
              <w:spacing w:line="240" w:lineRule="auto"/>
              <w:ind w:firstLine="0" w:firstLineChars="0"/>
              <w:jc w:val="left"/>
              <w:textAlignment w:val="center"/>
              <w:rPr>
                <w:rFonts w:cs="宋体"/>
                <w:color w:val="000000"/>
                <w:sz w:val="20"/>
                <w:szCs w:val="20"/>
                <w:highlight w:val="none"/>
              </w:rPr>
            </w:pPr>
            <w:r>
              <w:rPr>
                <w:rFonts w:hint="eastAsia" w:cs="宋体"/>
                <w:color w:val="000000"/>
                <w:kern w:val="0"/>
                <w:sz w:val="20"/>
                <w:szCs w:val="20"/>
                <w:highlight w:val="none"/>
                <w:lang w:bidi="ar"/>
              </w:rPr>
              <w:t>城管执法对象监管</w:t>
            </w:r>
          </w:p>
        </w:tc>
        <w:tc>
          <w:tcPr>
            <w:tcW w:w="1436" w:type="pct"/>
            <w:tcBorders>
              <w:top w:val="single" w:color="000000" w:sz="4" w:space="0"/>
              <w:left w:val="single" w:color="000000" w:sz="4" w:space="0"/>
              <w:bottom w:val="single" w:color="000000" w:sz="4" w:space="0"/>
              <w:right w:val="single" w:color="000000" w:sz="4" w:space="0"/>
            </w:tcBorders>
            <w:vAlign w:val="center"/>
          </w:tcPr>
          <w:p w14:paraId="67407F9B">
            <w:pPr>
              <w:widowControl/>
              <w:spacing w:line="240" w:lineRule="auto"/>
              <w:ind w:firstLine="0" w:firstLineChars="0"/>
              <w:jc w:val="center"/>
              <w:textAlignment w:val="center"/>
              <w:rPr>
                <w:rFonts w:cs="宋体"/>
                <w:color w:val="000000"/>
                <w:sz w:val="20"/>
                <w:szCs w:val="20"/>
                <w:highlight w:val="none"/>
              </w:rPr>
            </w:pPr>
            <w:r>
              <w:rPr>
                <w:rFonts w:hint="eastAsia" w:cs="宋体"/>
                <w:color w:val="000000"/>
                <w:kern w:val="0"/>
                <w:sz w:val="20"/>
                <w:szCs w:val="20"/>
                <w:highlight w:val="none"/>
                <w:lang w:bidi="ar"/>
              </w:rPr>
              <w:t>涉企检查（新建）-普法宣传（新建）-线上普法-普法二维码生成与应用</w:t>
            </w:r>
          </w:p>
        </w:tc>
        <w:tc>
          <w:tcPr>
            <w:tcW w:w="1998" w:type="pct"/>
            <w:tcBorders>
              <w:top w:val="single" w:color="000000" w:sz="4" w:space="0"/>
              <w:left w:val="single" w:color="000000" w:sz="4" w:space="0"/>
              <w:bottom w:val="single" w:color="000000" w:sz="4" w:space="0"/>
              <w:right w:val="single" w:color="000000" w:sz="4" w:space="0"/>
            </w:tcBorders>
            <w:vAlign w:val="center"/>
          </w:tcPr>
          <w:p w14:paraId="3D9846B0">
            <w:pPr>
              <w:widowControl/>
              <w:spacing w:line="240" w:lineRule="auto"/>
              <w:ind w:firstLine="0" w:firstLineChars="0"/>
              <w:jc w:val="left"/>
              <w:textAlignment w:val="center"/>
              <w:rPr>
                <w:rFonts w:cs="宋体"/>
                <w:color w:val="000000"/>
                <w:sz w:val="20"/>
                <w:szCs w:val="20"/>
                <w:highlight w:val="none"/>
              </w:rPr>
            </w:pPr>
            <w:r>
              <w:rPr>
                <w:rFonts w:hint="eastAsia" w:cs="宋体"/>
                <w:color w:val="000000"/>
                <w:kern w:val="0"/>
                <w:sz w:val="20"/>
                <w:szCs w:val="20"/>
                <w:highlight w:val="none"/>
                <w:lang w:bidi="ar"/>
              </w:rPr>
              <w:t>支持按行业类别、对象等，选择相应的普法资料与普法内容，并生成对应的二维码。实现现场二维码普法宣传。实现市民移动端扫码可查看普法宣传内容。</w:t>
            </w:r>
          </w:p>
        </w:tc>
      </w:tr>
      <w:tr w14:paraId="49650682">
        <w:tblPrEx>
          <w:tblCellMar>
            <w:top w:w="0" w:type="dxa"/>
            <w:left w:w="108" w:type="dxa"/>
            <w:bottom w:w="0" w:type="dxa"/>
            <w:right w:w="108" w:type="dxa"/>
          </w:tblCellMar>
        </w:tblPrEx>
        <w:trPr>
          <w:trHeight w:val="780" w:hRule="atLeast"/>
        </w:trPr>
        <w:tc>
          <w:tcPr>
            <w:tcW w:w="460" w:type="pct"/>
            <w:tcBorders>
              <w:top w:val="single" w:color="000000" w:sz="4" w:space="0"/>
              <w:left w:val="single" w:color="000000" w:sz="4" w:space="0"/>
              <w:bottom w:val="single" w:color="000000" w:sz="4" w:space="0"/>
              <w:right w:val="single" w:color="000000" w:sz="4" w:space="0"/>
            </w:tcBorders>
            <w:noWrap/>
            <w:vAlign w:val="center"/>
          </w:tcPr>
          <w:p w14:paraId="792BDA2D">
            <w:pPr>
              <w:widowControl/>
              <w:spacing w:line="240" w:lineRule="auto"/>
              <w:ind w:firstLine="0" w:firstLineChars="0"/>
              <w:jc w:val="center"/>
              <w:textAlignment w:val="center"/>
              <w:rPr>
                <w:rFonts w:cs="宋体"/>
                <w:color w:val="000000"/>
                <w:sz w:val="20"/>
                <w:szCs w:val="20"/>
                <w:highlight w:val="none"/>
              </w:rPr>
            </w:pPr>
            <w:r>
              <w:rPr>
                <w:rFonts w:hint="eastAsia" w:cs="宋体"/>
                <w:color w:val="000000"/>
                <w:kern w:val="0"/>
                <w:sz w:val="20"/>
                <w:szCs w:val="20"/>
                <w:highlight w:val="none"/>
                <w:lang w:bidi="ar"/>
              </w:rPr>
              <w:t>85</w:t>
            </w:r>
          </w:p>
        </w:tc>
        <w:tc>
          <w:tcPr>
            <w:tcW w:w="1104" w:type="pct"/>
            <w:tcBorders>
              <w:top w:val="single" w:color="000000" w:sz="4" w:space="0"/>
              <w:left w:val="single" w:color="000000" w:sz="4" w:space="0"/>
              <w:bottom w:val="single" w:color="000000" w:sz="4" w:space="0"/>
              <w:right w:val="single" w:color="000000" w:sz="4" w:space="0"/>
            </w:tcBorders>
            <w:noWrap/>
            <w:vAlign w:val="center"/>
          </w:tcPr>
          <w:p w14:paraId="7A61DDA6">
            <w:pPr>
              <w:widowControl/>
              <w:spacing w:line="240" w:lineRule="auto"/>
              <w:ind w:firstLine="0" w:firstLineChars="0"/>
              <w:jc w:val="left"/>
              <w:textAlignment w:val="center"/>
              <w:rPr>
                <w:rFonts w:cs="宋体"/>
                <w:color w:val="000000"/>
                <w:sz w:val="20"/>
                <w:szCs w:val="20"/>
                <w:highlight w:val="none"/>
              </w:rPr>
            </w:pPr>
            <w:r>
              <w:rPr>
                <w:rFonts w:hint="eastAsia" w:cs="宋体"/>
                <w:color w:val="000000"/>
                <w:kern w:val="0"/>
                <w:sz w:val="20"/>
                <w:szCs w:val="20"/>
                <w:highlight w:val="none"/>
                <w:lang w:bidi="ar"/>
              </w:rPr>
              <w:t>城管执法对象监管</w:t>
            </w:r>
          </w:p>
        </w:tc>
        <w:tc>
          <w:tcPr>
            <w:tcW w:w="1436" w:type="pct"/>
            <w:tcBorders>
              <w:top w:val="single" w:color="000000" w:sz="4" w:space="0"/>
              <w:left w:val="single" w:color="000000" w:sz="4" w:space="0"/>
              <w:bottom w:val="single" w:color="000000" w:sz="4" w:space="0"/>
              <w:right w:val="single" w:color="000000" w:sz="4" w:space="0"/>
            </w:tcBorders>
            <w:vAlign w:val="center"/>
          </w:tcPr>
          <w:p w14:paraId="23BC6833">
            <w:pPr>
              <w:widowControl/>
              <w:spacing w:line="240" w:lineRule="auto"/>
              <w:ind w:firstLine="0" w:firstLineChars="0"/>
              <w:jc w:val="center"/>
              <w:textAlignment w:val="center"/>
              <w:rPr>
                <w:rFonts w:cs="宋体"/>
                <w:color w:val="000000"/>
                <w:sz w:val="20"/>
                <w:szCs w:val="20"/>
                <w:highlight w:val="none"/>
              </w:rPr>
            </w:pPr>
            <w:r>
              <w:rPr>
                <w:rFonts w:hint="eastAsia" w:cs="宋体"/>
                <w:color w:val="000000"/>
                <w:kern w:val="0"/>
                <w:sz w:val="20"/>
                <w:szCs w:val="20"/>
                <w:highlight w:val="none"/>
                <w:lang w:bidi="ar"/>
              </w:rPr>
              <w:t>涉企检查（新建）-普法宣传（新建）-线上普法-关联网办系统</w:t>
            </w:r>
          </w:p>
        </w:tc>
        <w:tc>
          <w:tcPr>
            <w:tcW w:w="1998" w:type="pct"/>
            <w:tcBorders>
              <w:top w:val="single" w:color="000000" w:sz="4" w:space="0"/>
              <w:left w:val="single" w:color="000000" w:sz="4" w:space="0"/>
              <w:bottom w:val="single" w:color="000000" w:sz="4" w:space="0"/>
              <w:right w:val="single" w:color="000000" w:sz="4" w:space="0"/>
            </w:tcBorders>
            <w:vAlign w:val="center"/>
          </w:tcPr>
          <w:p w14:paraId="223D0DF0">
            <w:pPr>
              <w:widowControl/>
              <w:spacing w:line="240" w:lineRule="auto"/>
              <w:ind w:firstLine="0" w:firstLineChars="0"/>
              <w:jc w:val="left"/>
              <w:textAlignment w:val="center"/>
              <w:rPr>
                <w:rFonts w:cs="宋体"/>
                <w:color w:val="000000"/>
                <w:sz w:val="20"/>
                <w:szCs w:val="20"/>
                <w:highlight w:val="none"/>
              </w:rPr>
            </w:pPr>
            <w:r>
              <w:rPr>
                <w:rFonts w:hint="eastAsia" w:cs="宋体"/>
                <w:color w:val="000000"/>
                <w:kern w:val="0"/>
                <w:sz w:val="20"/>
                <w:szCs w:val="20"/>
                <w:highlight w:val="none"/>
                <w:lang w:bidi="ar"/>
              </w:rPr>
              <w:t>实现普法宣传工作执法办案应用，支持给当事人发告知书时增加普法二维码，同步开展普法工作。</w:t>
            </w:r>
          </w:p>
        </w:tc>
      </w:tr>
      <w:tr w14:paraId="09C30F48">
        <w:tblPrEx>
          <w:tblCellMar>
            <w:top w:w="0" w:type="dxa"/>
            <w:left w:w="108" w:type="dxa"/>
            <w:bottom w:w="0" w:type="dxa"/>
            <w:right w:w="108" w:type="dxa"/>
          </w:tblCellMar>
        </w:tblPrEx>
        <w:trPr>
          <w:trHeight w:val="780" w:hRule="atLeast"/>
        </w:trPr>
        <w:tc>
          <w:tcPr>
            <w:tcW w:w="460" w:type="pct"/>
            <w:tcBorders>
              <w:top w:val="single" w:color="000000" w:sz="4" w:space="0"/>
              <w:left w:val="single" w:color="000000" w:sz="4" w:space="0"/>
              <w:bottom w:val="single" w:color="000000" w:sz="4" w:space="0"/>
              <w:right w:val="single" w:color="000000" w:sz="4" w:space="0"/>
            </w:tcBorders>
            <w:noWrap/>
            <w:vAlign w:val="center"/>
          </w:tcPr>
          <w:p w14:paraId="3EB1FBC6">
            <w:pPr>
              <w:widowControl/>
              <w:spacing w:line="240" w:lineRule="auto"/>
              <w:ind w:firstLine="0" w:firstLineChars="0"/>
              <w:jc w:val="center"/>
              <w:textAlignment w:val="center"/>
              <w:rPr>
                <w:rFonts w:cs="宋体"/>
                <w:color w:val="000000"/>
                <w:sz w:val="20"/>
                <w:szCs w:val="20"/>
                <w:highlight w:val="none"/>
              </w:rPr>
            </w:pPr>
            <w:r>
              <w:rPr>
                <w:rFonts w:hint="eastAsia" w:cs="宋体"/>
                <w:color w:val="000000"/>
                <w:kern w:val="0"/>
                <w:sz w:val="20"/>
                <w:szCs w:val="20"/>
                <w:highlight w:val="none"/>
                <w:lang w:bidi="ar"/>
              </w:rPr>
              <w:t>86</w:t>
            </w:r>
          </w:p>
        </w:tc>
        <w:tc>
          <w:tcPr>
            <w:tcW w:w="1104" w:type="pct"/>
            <w:tcBorders>
              <w:top w:val="single" w:color="000000" w:sz="4" w:space="0"/>
              <w:left w:val="single" w:color="000000" w:sz="4" w:space="0"/>
              <w:bottom w:val="single" w:color="000000" w:sz="4" w:space="0"/>
              <w:right w:val="single" w:color="000000" w:sz="4" w:space="0"/>
            </w:tcBorders>
            <w:noWrap/>
            <w:vAlign w:val="center"/>
          </w:tcPr>
          <w:p w14:paraId="4A37EE53">
            <w:pPr>
              <w:widowControl/>
              <w:spacing w:line="240" w:lineRule="auto"/>
              <w:ind w:firstLine="0" w:firstLineChars="0"/>
              <w:jc w:val="left"/>
              <w:textAlignment w:val="center"/>
              <w:rPr>
                <w:rFonts w:cs="宋体"/>
                <w:color w:val="000000"/>
                <w:sz w:val="20"/>
                <w:szCs w:val="20"/>
                <w:highlight w:val="none"/>
              </w:rPr>
            </w:pPr>
            <w:r>
              <w:rPr>
                <w:rFonts w:hint="eastAsia" w:cs="宋体"/>
                <w:color w:val="000000"/>
                <w:kern w:val="0"/>
                <w:sz w:val="20"/>
                <w:szCs w:val="20"/>
                <w:highlight w:val="none"/>
                <w:lang w:bidi="ar"/>
              </w:rPr>
              <w:t>城管执法对象监管</w:t>
            </w:r>
          </w:p>
        </w:tc>
        <w:tc>
          <w:tcPr>
            <w:tcW w:w="1436" w:type="pct"/>
            <w:tcBorders>
              <w:top w:val="single" w:color="000000" w:sz="4" w:space="0"/>
              <w:left w:val="single" w:color="000000" w:sz="4" w:space="0"/>
              <w:bottom w:val="single" w:color="000000" w:sz="4" w:space="0"/>
              <w:right w:val="single" w:color="000000" w:sz="4" w:space="0"/>
            </w:tcBorders>
            <w:vAlign w:val="center"/>
          </w:tcPr>
          <w:p w14:paraId="72442F04">
            <w:pPr>
              <w:widowControl/>
              <w:spacing w:line="240" w:lineRule="auto"/>
              <w:ind w:firstLine="0" w:firstLineChars="0"/>
              <w:jc w:val="center"/>
              <w:textAlignment w:val="center"/>
              <w:rPr>
                <w:rFonts w:cs="宋体"/>
                <w:color w:val="000000"/>
                <w:sz w:val="20"/>
                <w:szCs w:val="20"/>
                <w:highlight w:val="none"/>
              </w:rPr>
            </w:pPr>
            <w:r>
              <w:rPr>
                <w:rFonts w:hint="eastAsia" w:cs="宋体"/>
                <w:color w:val="000000"/>
                <w:kern w:val="0"/>
                <w:sz w:val="20"/>
                <w:szCs w:val="20"/>
                <w:highlight w:val="none"/>
                <w:lang w:bidi="ar"/>
              </w:rPr>
              <w:t>涉企检查（新建）-普法宣传（新建）-短信普法服务</w:t>
            </w:r>
          </w:p>
        </w:tc>
        <w:tc>
          <w:tcPr>
            <w:tcW w:w="1998" w:type="pct"/>
            <w:tcBorders>
              <w:top w:val="single" w:color="000000" w:sz="4" w:space="0"/>
              <w:left w:val="single" w:color="000000" w:sz="4" w:space="0"/>
              <w:bottom w:val="single" w:color="000000" w:sz="4" w:space="0"/>
              <w:right w:val="single" w:color="000000" w:sz="4" w:space="0"/>
            </w:tcBorders>
            <w:vAlign w:val="center"/>
          </w:tcPr>
          <w:p w14:paraId="068D4899">
            <w:pPr>
              <w:widowControl/>
              <w:spacing w:line="240" w:lineRule="auto"/>
              <w:ind w:firstLine="0" w:firstLineChars="0"/>
              <w:jc w:val="left"/>
              <w:textAlignment w:val="center"/>
              <w:rPr>
                <w:rFonts w:cs="宋体"/>
                <w:color w:val="000000"/>
                <w:sz w:val="20"/>
                <w:szCs w:val="20"/>
                <w:highlight w:val="none"/>
              </w:rPr>
            </w:pPr>
            <w:r>
              <w:rPr>
                <w:rFonts w:hint="eastAsia" w:cs="宋体"/>
                <w:color w:val="000000"/>
                <w:kern w:val="0"/>
                <w:sz w:val="20"/>
                <w:szCs w:val="20"/>
                <w:highlight w:val="none"/>
                <w:lang w:bidi="ar"/>
              </w:rPr>
              <w:t>设置普法宣传短信模版，支持模板的新建、编辑、修改、删除。根据不同普法对象，通过短信形式对普法对象进行普法宣传。</w:t>
            </w:r>
          </w:p>
        </w:tc>
      </w:tr>
      <w:tr w14:paraId="0406CD74">
        <w:tblPrEx>
          <w:tblCellMar>
            <w:top w:w="0" w:type="dxa"/>
            <w:left w:w="108" w:type="dxa"/>
            <w:bottom w:w="0" w:type="dxa"/>
            <w:right w:w="108" w:type="dxa"/>
          </w:tblCellMar>
        </w:tblPrEx>
        <w:trPr>
          <w:trHeight w:val="520" w:hRule="atLeast"/>
        </w:trPr>
        <w:tc>
          <w:tcPr>
            <w:tcW w:w="460" w:type="pct"/>
            <w:tcBorders>
              <w:top w:val="single" w:color="000000" w:sz="4" w:space="0"/>
              <w:left w:val="single" w:color="000000" w:sz="4" w:space="0"/>
              <w:bottom w:val="single" w:color="000000" w:sz="4" w:space="0"/>
              <w:right w:val="single" w:color="000000" w:sz="4" w:space="0"/>
            </w:tcBorders>
            <w:noWrap/>
            <w:vAlign w:val="center"/>
          </w:tcPr>
          <w:p w14:paraId="7DC86EBE">
            <w:pPr>
              <w:widowControl/>
              <w:spacing w:line="240" w:lineRule="auto"/>
              <w:ind w:firstLine="0" w:firstLineChars="0"/>
              <w:jc w:val="center"/>
              <w:textAlignment w:val="center"/>
              <w:rPr>
                <w:rFonts w:cs="宋体"/>
                <w:color w:val="000000"/>
                <w:sz w:val="20"/>
                <w:szCs w:val="20"/>
                <w:highlight w:val="none"/>
              </w:rPr>
            </w:pPr>
            <w:r>
              <w:rPr>
                <w:rFonts w:hint="eastAsia" w:cs="宋体"/>
                <w:color w:val="000000"/>
                <w:kern w:val="0"/>
                <w:sz w:val="20"/>
                <w:szCs w:val="20"/>
                <w:highlight w:val="none"/>
                <w:lang w:bidi="ar"/>
              </w:rPr>
              <w:t>87</w:t>
            </w:r>
          </w:p>
        </w:tc>
        <w:tc>
          <w:tcPr>
            <w:tcW w:w="1104" w:type="pct"/>
            <w:tcBorders>
              <w:top w:val="single" w:color="000000" w:sz="4" w:space="0"/>
              <w:left w:val="single" w:color="000000" w:sz="4" w:space="0"/>
              <w:bottom w:val="single" w:color="000000" w:sz="4" w:space="0"/>
              <w:right w:val="single" w:color="000000" w:sz="4" w:space="0"/>
            </w:tcBorders>
            <w:noWrap/>
            <w:vAlign w:val="center"/>
          </w:tcPr>
          <w:p w14:paraId="316EAAE0">
            <w:pPr>
              <w:widowControl/>
              <w:spacing w:line="240" w:lineRule="auto"/>
              <w:ind w:firstLine="0" w:firstLineChars="0"/>
              <w:jc w:val="left"/>
              <w:textAlignment w:val="center"/>
              <w:rPr>
                <w:rFonts w:cs="宋体"/>
                <w:color w:val="000000"/>
                <w:sz w:val="20"/>
                <w:szCs w:val="20"/>
                <w:highlight w:val="none"/>
              </w:rPr>
            </w:pPr>
            <w:r>
              <w:rPr>
                <w:rFonts w:hint="eastAsia" w:cs="宋体"/>
                <w:color w:val="000000"/>
                <w:kern w:val="0"/>
                <w:sz w:val="20"/>
                <w:szCs w:val="20"/>
                <w:highlight w:val="none"/>
                <w:lang w:bidi="ar"/>
              </w:rPr>
              <w:t>城管执法对象监管</w:t>
            </w:r>
          </w:p>
        </w:tc>
        <w:tc>
          <w:tcPr>
            <w:tcW w:w="1436" w:type="pct"/>
            <w:tcBorders>
              <w:top w:val="single" w:color="000000" w:sz="4" w:space="0"/>
              <w:left w:val="single" w:color="000000" w:sz="4" w:space="0"/>
              <w:bottom w:val="single" w:color="000000" w:sz="4" w:space="0"/>
              <w:right w:val="single" w:color="000000" w:sz="4" w:space="0"/>
            </w:tcBorders>
            <w:vAlign w:val="center"/>
          </w:tcPr>
          <w:p w14:paraId="203811CF">
            <w:pPr>
              <w:widowControl/>
              <w:spacing w:line="240" w:lineRule="auto"/>
              <w:ind w:firstLine="0" w:firstLineChars="0"/>
              <w:jc w:val="center"/>
              <w:textAlignment w:val="center"/>
              <w:rPr>
                <w:rFonts w:cs="宋体"/>
                <w:color w:val="000000"/>
                <w:sz w:val="20"/>
                <w:szCs w:val="20"/>
                <w:highlight w:val="none"/>
              </w:rPr>
            </w:pPr>
            <w:r>
              <w:rPr>
                <w:rFonts w:hint="eastAsia" w:cs="宋体"/>
                <w:color w:val="000000"/>
                <w:kern w:val="0"/>
                <w:sz w:val="20"/>
                <w:szCs w:val="20"/>
                <w:highlight w:val="none"/>
                <w:lang w:bidi="ar"/>
              </w:rPr>
              <w:t>涉企检查（新建）-普法宣传（新建）-执法检查普法宣传</w:t>
            </w:r>
          </w:p>
        </w:tc>
        <w:tc>
          <w:tcPr>
            <w:tcW w:w="1998" w:type="pct"/>
            <w:tcBorders>
              <w:top w:val="single" w:color="000000" w:sz="4" w:space="0"/>
              <w:left w:val="single" w:color="000000" w:sz="4" w:space="0"/>
              <w:bottom w:val="single" w:color="000000" w:sz="4" w:space="0"/>
              <w:right w:val="single" w:color="000000" w:sz="4" w:space="0"/>
            </w:tcBorders>
            <w:vAlign w:val="center"/>
          </w:tcPr>
          <w:p w14:paraId="0B9D115B">
            <w:pPr>
              <w:widowControl/>
              <w:spacing w:line="240" w:lineRule="auto"/>
              <w:ind w:firstLine="0" w:firstLineChars="0"/>
              <w:jc w:val="left"/>
              <w:textAlignment w:val="center"/>
              <w:rPr>
                <w:rFonts w:cs="宋体"/>
                <w:color w:val="000000"/>
                <w:sz w:val="20"/>
                <w:szCs w:val="20"/>
                <w:highlight w:val="none"/>
              </w:rPr>
            </w:pPr>
            <w:r>
              <w:rPr>
                <w:rFonts w:hint="eastAsia" w:cs="宋体"/>
                <w:color w:val="000000"/>
                <w:kern w:val="0"/>
                <w:sz w:val="20"/>
                <w:szCs w:val="20"/>
                <w:highlight w:val="none"/>
                <w:lang w:bidi="ar"/>
              </w:rPr>
              <w:t>在专项执法检查、分级分类检查、新业态检查功能模块中增加普法宣传功能。</w:t>
            </w:r>
          </w:p>
        </w:tc>
      </w:tr>
      <w:tr w14:paraId="3C3FAD1C">
        <w:tblPrEx>
          <w:tblCellMar>
            <w:top w:w="0" w:type="dxa"/>
            <w:left w:w="108" w:type="dxa"/>
            <w:bottom w:w="0" w:type="dxa"/>
            <w:right w:w="108" w:type="dxa"/>
          </w:tblCellMar>
        </w:tblPrEx>
        <w:trPr>
          <w:trHeight w:val="520" w:hRule="atLeast"/>
        </w:trPr>
        <w:tc>
          <w:tcPr>
            <w:tcW w:w="460" w:type="pct"/>
            <w:tcBorders>
              <w:top w:val="single" w:color="000000" w:sz="4" w:space="0"/>
              <w:left w:val="single" w:color="000000" w:sz="4" w:space="0"/>
              <w:bottom w:val="single" w:color="000000" w:sz="4" w:space="0"/>
              <w:right w:val="single" w:color="000000" w:sz="4" w:space="0"/>
            </w:tcBorders>
            <w:noWrap/>
            <w:vAlign w:val="center"/>
          </w:tcPr>
          <w:p w14:paraId="786B18E2">
            <w:pPr>
              <w:widowControl/>
              <w:spacing w:line="240" w:lineRule="auto"/>
              <w:ind w:firstLine="0" w:firstLineChars="0"/>
              <w:jc w:val="center"/>
              <w:textAlignment w:val="center"/>
              <w:rPr>
                <w:rFonts w:cs="宋体"/>
                <w:color w:val="000000"/>
                <w:sz w:val="20"/>
                <w:szCs w:val="20"/>
                <w:highlight w:val="none"/>
              </w:rPr>
            </w:pPr>
            <w:r>
              <w:rPr>
                <w:rFonts w:hint="eastAsia" w:cs="宋体"/>
                <w:color w:val="000000"/>
                <w:kern w:val="0"/>
                <w:sz w:val="20"/>
                <w:szCs w:val="20"/>
                <w:highlight w:val="none"/>
                <w:lang w:bidi="ar"/>
              </w:rPr>
              <w:t>88</w:t>
            </w:r>
          </w:p>
        </w:tc>
        <w:tc>
          <w:tcPr>
            <w:tcW w:w="1104" w:type="pct"/>
            <w:tcBorders>
              <w:top w:val="single" w:color="000000" w:sz="4" w:space="0"/>
              <w:left w:val="single" w:color="000000" w:sz="4" w:space="0"/>
              <w:bottom w:val="single" w:color="000000" w:sz="4" w:space="0"/>
              <w:right w:val="single" w:color="000000" w:sz="4" w:space="0"/>
            </w:tcBorders>
            <w:noWrap/>
            <w:vAlign w:val="center"/>
          </w:tcPr>
          <w:p w14:paraId="1CEFB4FE">
            <w:pPr>
              <w:widowControl/>
              <w:spacing w:line="240" w:lineRule="auto"/>
              <w:ind w:firstLine="0" w:firstLineChars="0"/>
              <w:jc w:val="left"/>
              <w:textAlignment w:val="center"/>
              <w:rPr>
                <w:rFonts w:cs="宋体"/>
                <w:color w:val="000000"/>
                <w:sz w:val="20"/>
                <w:szCs w:val="20"/>
                <w:highlight w:val="none"/>
              </w:rPr>
            </w:pPr>
            <w:r>
              <w:rPr>
                <w:rFonts w:hint="eastAsia" w:cs="宋体"/>
                <w:color w:val="000000"/>
                <w:kern w:val="0"/>
                <w:sz w:val="20"/>
                <w:szCs w:val="20"/>
                <w:highlight w:val="none"/>
                <w:lang w:bidi="ar"/>
              </w:rPr>
              <w:t>城管执法对象监管</w:t>
            </w:r>
          </w:p>
        </w:tc>
        <w:tc>
          <w:tcPr>
            <w:tcW w:w="1436" w:type="pct"/>
            <w:tcBorders>
              <w:top w:val="single" w:color="000000" w:sz="4" w:space="0"/>
              <w:left w:val="single" w:color="000000" w:sz="4" w:space="0"/>
              <w:bottom w:val="single" w:color="000000" w:sz="4" w:space="0"/>
              <w:right w:val="single" w:color="000000" w:sz="4" w:space="0"/>
            </w:tcBorders>
            <w:vAlign w:val="center"/>
          </w:tcPr>
          <w:p w14:paraId="34286749">
            <w:pPr>
              <w:widowControl/>
              <w:spacing w:line="240" w:lineRule="auto"/>
              <w:ind w:firstLine="0" w:firstLineChars="0"/>
              <w:jc w:val="center"/>
              <w:textAlignment w:val="center"/>
              <w:rPr>
                <w:rFonts w:cs="宋体"/>
                <w:color w:val="000000"/>
                <w:sz w:val="20"/>
                <w:szCs w:val="20"/>
                <w:highlight w:val="none"/>
              </w:rPr>
            </w:pPr>
            <w:r>
              <w:rPr>
                <w:rFonts w:hint="eastAsia" w:cs="宋体"/>
                <w:color w:val="000000"/>
                <w:kern w:val="0"/>
                <w:sz w:val="20"/>
                <w:szCs w:val="20"/>
                <w:highlight w:val="none"/>
                <w:lang w:bidi="ar"/>
              </w:rPr>
              <w:t>燃气执法检查（</w:t>
            </w:r>
            <w:r>
              <w:rPr>
                <w:rFonts w:hint="eastAsia" w:ascii="宋体" w:hAnsi="宋体" w:eastAsia="宋体" w:cs="宋体"/>
                <w:color w:val="000000"/>
                <w:kern w:val="0"/>
                <w:sz w:val="20"/>
                <w:szCs w:val="20"/>
                <w:highlight w:val="none"/>
                <w:shd w:val="clear"/>
                <w:lang w:bidi="ar"/>
              </w:rPr>
              <w:t>新建</w:t>
            </w:r>
            <w:r>
              <w:rPr>
                <w:rFonts w:hint="eastAsia" w:ascii="宋体" w:hAnsi="宋体" w:eastAsia="宋体" w:cs="宋体"/>
                <w:color w:val="000000"/>
                <w:kern w:val="0"/>
                <w:sz w:val="20"/>
                <w:szCs w:val="20"/>
                <w:highlight w:val="none"/>
                <w:lang w:bidi="ar"/>
              </w:rPr>
              <w:t>）</w:t>
            </w:r>
            <w:r>
              <w:rPr>
                <w:rFonts w:hint="eastAsia" w:cs="宋体"/>
                <w:color w:val="000000"/>
                <w:kern w:val="0"/>
                <w:sz w:val="20"/>
                <w:szCs w:val="20"/>
                <w:highlight w:val="none"/>
                <w:lang w:bidi="ar"/>
              </w:rPr>
              <w:t>-对接委燃气中心</w:t>
            </w:r>
          </w:p>
        </w:tc>
        <w:tc>
          <w:tcPr>
            <w:tcW w:w="1998" w:type="pct"/>
            <w:tcBorders>
              <w:top w:val="single" w:color="000000" w:sz="4" w:space="0"/>
              <w:left w:val="single" w:color="000000" w:sz="4" w:space="0"/>
              <w:bottom w:val="single" w:color="000000" w:sz="4" w:space="0"/>
              <w:right w:val="single" w:color="000000" w:sz="4" w:space="0"/>
            </w:tcBorders>
            <w:vAlign w:val="center"/>
          </w:tcPr>
          <w:p w14:paraId="2FAEF986">
            <w:pPr>
              <w:widowControl/>
              <w:spacing w:line="240" w:lineRule="auto"/>
              <w:ind w:firstLine="0" w:firstLineChars="0"/>
              <w:jc w:val="left"/>
              <w:textAlignment w:val="center"/>
              <w:rPr>
                <w:rFonts w:cs="宋体"/>
                <w:color w:val="000000"/>
                <w:sz w:val="20"/>
                <w:szCs w:val="20"/>
                <w:highlight w:val="none"/>
              </w:rPr>
            </w:pPr>
            <w:r>
              <w:rPr>
                <w:rFonts w:hint="eastAsia" w:cs="宋体"/>
                <w:color w:val="000000"/>
                <w:kern w:val="0"/>
                <w:sz w:val="20"/>
                <w:szCs w:val="20"/>
                <w:highlight w:val="none"/>
                <w:lang w:bidi="ar"/>
              </w:rPr>
              <w:t>对接住建委燃气中心，获取燃气气瓶业务数据。</w:t>
            </w:r>
          </w:p>
        </w:tc>
      </w:tr>
      <w:tr w14:paraId="450BADFD">
        <w:tblPrEx>
          <w:tblCellMar>
            <w:top w:w="0" w:type="dxa"/>
            <w:left w:w="108" w:type="dxa"/>
            <w:bottom w:w="0" w:type="dxa"/>
            <w:right w:w="108" w:type="dxa"/>
          </w:tblCellMar>
        </w:tblPrEx>
        <w:trPr>
          <w:trHeight w:val="1300" w:hRule="atLeast"/>
        </w:trPr>
        <w:tc>
          <w:tcPr>
            <w:tcW w:w="460" w:type="pct"/>
            <w:tcBorders>
              <w:top w:val="single" w:color="000000" w:sz="4" w:space="0"/>
              <w:left w:val="single" w:color="000000" w:sz="4" w:space="0"/>
              <w:bottom w:val="single" w:color="000000" w:sz="4" w:space="0"/>
              <w:right w:val="single" w:color="000000" w:sz="4" w:space="0"/>
            </w:tcBorders>
            <w:noWrap/>
            <w:vAlign w:val="center"/>
          </w:tcPr>
          <w:p w14:paraId="65C42AE3">
            <w:pPr>
              <w:widowControl/>
              <w:spacing w:line="240" w:lineRule="auto"/>
              <w:ind w:firstLine="0" w:firstLineChars="0"/>
              <w:jc w:val="center"/>
              <w:textAlignment w:val="center"/>
              <w:rPr>
                <w:rFonts w:cs="宋体"/>
                <w:color w:val="000000"/>
                <w:sz w:val="20"/>
                <w:szCs w:val="20"/>
                <w:highlight w:val="none"/>
              </w:rPr>
            </w:pPr>
            <w:r>
              <w:rPr>
                <w:rFonts w:hint="eastAsia" w:cs="宋体"/>
                <w:color w:val="000000"/>
                <w:kern w:val="0"/>
                <w:sz w:val="20"/>
                <w:szCs w:val="20"/>
                <w:highlight w:val="none"/>
                <w:lang w:bidi="ar"/>
              </w:rPr>
              <w:t>89</w:t>
            </w:r>
          </w:p>
        </w:tc>
        <w:tc>
          <w:tcPr>
            <w:tcW w:w="1104" w:type="pct"/>
            <w:tcBorders>
              <w:top w:val="single" w:color="000000" w:sz="4" w:space="0"/>
              <w:left w:val="single" w:color="000000" w:sz="4" w:space="0"/>
              <w:bottom w:val="single" w:color="000000" w:sz="4" w:space="0"/>
              <w:right w:val="single" w:color="000000" w:sz="4" w:space="0"/>
            </w:tcBorders>
            <w:noWrap/>
            <w:vAlign w:val="center"/>
          </w:tcPr>
          <w:p w14:paraId="21299D46">
            <w:pPr>
              <w:widowControl/>
              <w:spacing w:line="240" w:lineRule="auto"/>
              <w:ind w:firstLine="0" w:firstLineChars="0"/>
              <w:jc w:val="left"/>
              <w:textAlignment w:val="center"/>
              <w:rPr>
                <w:rFonts w:cs="宋体"/>
                <w:color w:val="000000"/>
                <w:sz w:val="20"/>
                <w:szCs w:val="20"/>
                <w:highlight w:val="none"/>
              </w:rPr>
            </w:pPr>
            <w:r>
              <w:rPr>
                <w:rFonts w:hint="eastAsia" w:cs="宋体"/>
                <w:color w:val="000000"/>
                <w:kern w:val="0"/>
                <w:sz w:val="20"/>
                <w:szCs w:val="20"/>
                <w:highlight w:val="none"/>
                <w:lang w:bidi="ar"/>
              </w:rPr>
              <w:t>城管执法对象监管</w:t>
            </w:r>
          </w:p>
        </w:tc>
        <w:tc>
          <w:tcPr>
            <w:tcW w:w="1436" w:type="pct"/>
            <w:tcBorders>
              <w:top w:val="single" w:color="000000" w:sz="4" w:space="0"/>
              <w:left w:val="single" w:color="000000" w:sz="4" w:space="0"/>
              <w:bottom w:val="single" w:color="000000" w:sz="4" w:space="0"/>
              <w:right w:val="single" w:color="000000" w:sz="4" w:space="0"/>
            </w:tcBorders>
            <w:vAlign w:val="center"/>
          </w:tcPr>
          <w:p w14:paraId="2C2E2406">
            <w:pPr>
              <w:widowControl/>
              <w:spacing w:line="240" w:lineRule="auto"/>
              <w:ind w:firstLine="0" w:firstLineChars="0"/>
              <w:jc w:val="center"/>
              <w:textAlignment w:val="center"/>
              <w:rPr>
                <w:rFonts w:cs="宋体"/>
                <w:color w:val="000000"/>
                <w:sz w:val="20"/>
                <w:szCs w:val="20"/>
                <w:highlight w:val="none"/>
              </w:rPr>
            </w:pPr>
            <w:r>
              <w:rPr>
                <w:rFonts w:hint="eastAsia" w:cs="宋体"/>
                <w:color w:val="000000"/>
                <w:kern w:val="0"/>
                <w:sz w:val="20"/>
                <w:szCs w:val="20"/>
                <w:highlight w:val="none"/>
                <w:lang w:bidi="ar"/>
              </w:rPr>
              <w:t>燃气执法检查（新建）-燃气执法检查管理-检查计划创建与实施管理</w:t>
            </w:r>
          </w:p>
        </w:tc>
        <w:tc>
          <w:tcPr>
            <w:tcW w:w="1998" w:type="pct"/>
            <w:tcBorders>
              <w:top w:val="single" w:color="000000" w:sz="4" w:space="0"/>
              <w:left w:val="single" w:color="000000" w:sz="4" w:space="0"/>
              <w:bottom w:val="single" w:color="000000" w:sz="4" w:space="0"/>
              <w:right w:val="single" w:color="000000" w:sz="4" w:space="0"/>
            </w:tcBorders>
            <w:vAlign w:val="center"/>
          </w:tcPr>
          <w:p w14:paraId="0011BCAD">
            <w:pPr>
              <w:widowControl/>
              <w:spacing w:line="240" w:lineRule="auto"/>
              <w:ind w:firstLine="0" w:firstLineChars="0"/>
              <w:jc w:val="left"/>
              <w:textAlignment w:val="center"/>
              <w:rPr>
                <w:rFonts w:cs="宋体"/>
                <w:color w:val="000000"/>
                <w:sz w:val="20"/>
                <w:szCs w:val="20"/>
                <w:highlight w:val="none"/>
              </w:rPr>
            </w:pPr>
            <w:r>
              <w:rPr>
                <w:rFonts w:hint="eastAsia" w:cs="宋体"/>
                <w:color w:val="000000"/>
                <w:kern w:val="0"/>
                <w:sz w:val="20"/>
                <w:szCs w:val="20"/>
                <w:highlight w:val="none"/>
                <w:lang w:bidi="ar"/>
              </w:rPr>
              <w:t>根据城管燃气执法事项、执法对象，系统支持检查内容设置。根据燃气执法事项、检查内容，制定燃气执法检查计划，开展双随机检查或专项检查。根据燃气检查计划，生成燃气检查任务，实现队员直接通过移动端进行现场检查处置与结果反馈。</w:t>
            </w:r>
          </w:p>
        </w:tc>
      </w:tr>
      <w:tr w14:paraId="0398442E">
        <w:tblPrEx>
          <w:tblCellMar>
            <w:top w:w="0" w:type="dxa"/>
            <w:left w:w="108" w:type="dxa"/>
            <w:bottom w:w="0" w:type="dxa"/>
            <w:right w:w="108" w:type="dxa"/>
          </w:tblCellMar>
        </w:tblPrEx>
        <w:trPr>
          <w:trHeight w:val="1300" w:hRule="atLeast"/>
        </w:trPr>
        <w:tc>
          <w:tcPr>
            <w:tcW w:w="460" w:type="pct"/>
            <w:tcBorders>
              <w:top w:val="single" w:color="000000" w:sz="4" w:space="0"/>
              <w:left w:val="single" w:color="000000" w:sz="4" w:space="0"/>
              <w:bottom w:val="single" w:color="000000" w:sz="4" w:space="0"/>
              <w:right w:val="single" w:color="000000" w:sz="4" w:space="0"/>
            </w:tcBorders>
            <w:noWrap/>
            <w:vAlign w:val="center"/>
          </w:tcPr>
          <w:p w14:paraId="44D4BE8F">
            <w:pPr>
              <w:widowControl/>
              <w:spacing w:line="240" w:lineRule="auto"/>
              <w:ind w:firstLine="0" w:firstLineChars="0"/>
              <w:jc w:val="center"/>
              <w:textAlignment w:val="center"/>
              <w:rPr>
                <w:rFonts w:cs="宋体"/>
                <w:color w:val="000000"/>
                <w:sz w:val="20"/>
                <w:szCs w:val="20"/>
                <w:highlight w:val="none"/>
              </w:rPr>
            </w:pPr>
            <w:r>
              <w:rPr>
                <w:rFonts w:hint="eastAsia" w:cs="宋体"/>
                <w:color w:val="000000"/>
                <w:kern w:val="0"/>
                <w:sz w:val="20"/>
                <w:szCs w:val="20"/>
                <w:highlight w:val="none"/>
                <w:lang w:bidi="ar"/>
              </w:rPr>
              <w:t>90</w:t>
            </w:r>
          </w:p>
        </w:tc>
        <w:tc>
          <w:tcPr>
            <w:tcW w:w="1104" w:type="pct"/>
            <w:tcBorders>
              <w:top w:val="single" w:color="000000" w:sz="4" w:space="0"/>
              <w:left w:val="single" w:color="000000" w:sz="4" w:space="0"/>
              <w:bottom w:val="single" w:color="000000" w:sz="4" w:space="0"/>
              <w:right w:val="single" w:color="000000" w:sz="4" w:space="0"/>
            </w:tcBorders>
            <w:noWrap/>
            <w:vAlign w:val="center"/>
          </w:tcPr>
          <w:p w14:paraId="296B258C">
            <w:pPr>
              <w:widowControl/>
              <w:spacing w:line="240" w:lineRule="auto"/>
              <w:ind w:firstLine="0" w:firstLineChars="0"/>
              <w:jc w:val="left"/>
              <w:textAlignment w:val="center"/>
              <w:rPr>
                <w:rFonts w:cs="宋体"/>
                <w:color w:val="000000"/>
                <w:sz w:val="20"/>
                <w:szCs w:val="20"/>
                <w:highlight w:val="none"/>
              </w:rPr>
            </w:pPr>
            <w:r>
              <w:rPr>
                <w:rFonts w:hint="eastAsia" w:cs="宋体"/>
                <w:color w:val="000000"/>
                <w:kern w:val="0"/>
                <w:sz w:val="20"/>
                <w:szCs w:val="20"/>
                <w:highlight w:val="none"/>
                <w:lang w:bidi="ar"/>
              </w:rPr>
              <w:t>城管执法对象监管</w:t>
            </w:r>
          </w:p>
        </w:tc>
        <w:tc>
          <w:tcPr>
            <w:tcW w:w="1436" w:type="pct"/>
            <w:tcBorders>
              <w:top w:val="single" w:color="000000" w:sz="4" w:space="0"/>
              <w:left w:val="single" w:color="000000" w:sz="4" w:space="0"/>
              <w:bottom w:val="single" w:color="000000" w:sz="4" w:space="0"/>
              <w:right w:val="single" w:color="000000" w:sz="4" w:space="0"/>
            </w:tcBorders>
            <w:vAlign w:val="center"/>
          </w:tcPr>
          <w:p w14:paraId="5181F13B">
            <w:pPr>
              <w:widowControl/>
              <w:spacing w:line="240" w:lineRule="auto"/>
              <w:ind w:firstLine="0" w:firstLineChars="0"/>
              <w:jc w:val="center"/>
              <w:textAlignment w:val="center"/>
              <w:rPr>
                <w:rFonts w:cs="宋体"/>
                <w:color w:val="000000"/>
                <w:sz w:val="20"/>
                <w:szCs w:val="20"/>
                <w:highlight w:val="none"/>
              </w:rPr>
            </w:pPr>
            <w:r>
              <w:rPr>
                <w:rFonts w:hint="eastAsia" w:cs="宋体"/>
                <w:color w:val="000000"/>
                <w:kern w:val="0"/>
                <w:sz w:val="20"/>
                <w:szCs w:val="20"/>
                <w:highlight w:val="none"/>
                <w:lang w:bidi="ar"/>
              </w:rPr>
              <w:t>燃气执法检查（新建）-燃气执法检查管理-燃气移送线索管理</w:t>
            </w:r>
          </w:p>
        </w:tc>
        <w:tc>
          <w:tcPr>
            <w:tcW w:w="1998" w:type="pct"/>
            <w:tcBorders>
              <w:top w:val="single" w:color="000000" w:sz="4" w:space="0"/>
              <w:left w:val="single" w:color="000000" w:sz="4" w:space="0"/>
              <w:bottom w:val="single" w:color="000000" w:sz="4" w:space="0"/>
              <w:right w:val="single" w:color="000000" w:sz="4" w:space="0"/>
            </w:tcBorders>
            <w:vAlign w:val="center"/>
          </w:tcPr>
          <w:p w14:paraId="636B57F9">
            <w:pPr>
              <w:widowControl/>
              <w:spacing w:line="240" w:lineRule="auto"/>
              <w:ind w:firstLine="0" w:firstLineChars="0"/>
              <w:jc w:val="left"/>
              <w:textAlignment w:val="center"/>
              <w:rPr>
                <w:rFonts w:cs="宋体"/>
                <w:color w:val="000000"/>
                <w:sz w:val="20"/>
                <w:szCs w:val="20"/>
                <w:highlight w:val="none"/>
              </w:rPr>
            </w:pPr>
            <w:r>
              <w:rPr>
                <w:rFonts w:hint="eastAsia" w:cs="宋体"/>
                <w:color w:val="000000"/>
                <w:kern w:val="0"/>
                <w:sz w:val="20"/>
                <w:szCs w:val="20"/>
                <w:highlight w:val="none"/>
                <w:lang w:bidi="ar"/>
              </w:rPr>
              <w:t>实现城管对多渠道来源移送的线索进行登记、核实处置。实现移送案件线索自动编号。实现对核实无误的线索转检查任务并支持线索工单处置结果反馈至来源部门。实现队员在执法检查中涉及管理部门的线索工单移交给管理部门。</w:t>
            </w:r>
          </w:p>
        </w:tc>
      </w:tr>
      <w:tr w14:paraId="66A8DBF8">
        <w:tblPrEx>
          <w:tblCellMar>
            <w:top w:w="0" w:type="dxa"/>
            <w:left w:w="108" w:type="dxa"/>
            <w:bottom w:w="0" w:type="dxa"/>
            <w:right w:w="108" w:type="dxa"/>
          </w:tblCellMar>
        </w:tblPrEx>
        <w:trPr>
          <w:trHeight w:val="280" w:hRule="atLeast"/>
        </w:trPr>
        <w:tc>
          <w:tcPr>
            <w:tcW w:w="460" w:type="pct"/>
            <w:tcBorders>
              <w:top w:val="single" w:color="000000" w:sz="4" w:space="0"/>
              <w:left w:val="single" w:color="000000" w:sz="4" w:space="0"/>
              <w:bottom w:val="single" w:color="000000" w:sz="4" w:space="0"/>
              <w:right w:val="single" w:color="000000" w:sz="4" w:space="0"/>
            </w:tcBorders>
            <w:noWrap/>
            <w:vAlign w:val="center"/>
          </w:tcPr>
          <w:p w14:paraId="4633F42B">
            <w:pPr>
              <w:widowControl/>
              <w:spacing w:line="240" w:lineRule="auto"/>
              <w:ind w:firstLine="0" w:firstLineChars="0"/>
              <w:jc w:val="center"/>
              <w:textAlignment w:val="center"/>
              <w:rPr>
                <w:rFonts w:cs="宋体"/>
                <w:color w:val="000000"/>
                <w:sz w:val="20"/>
                <w:szCs w:val="20"/>
                <w:highlight w:val="none"/>
              </w:rPr>
            </w:pPr>
            <w:r>
              <w:rPr>
                <w:rFonts w:hint="eastAsia" w:cs="宋体"/>
                <w:color w:val="000000"/>
                <w:kern w:val="0"/>
                <w:sz w:val="20"/>
                <w:szCs w:val="20"/>
                <w:highlight w:val="none"/>
                <w:lang w:bidi="ar"/>
              </w:rPr>
              <w:t>91</w:t>
            </w:r>
          </w:p>
        </w:tc>
        <w:tc>
          <w:tcPr>
            <w:tcW w:w="1104" w:type="pct"/>
            <w:tcBorders>
              <w:top w:val="single" w:color="000000" w:sz="4" w:space="0"/>
              <w:left w:val="single" w:color="000000" w:sz="4" w:space="0"/>
              <w:bottom w:val="single" w:color="000000" w:sz="4" w:space="0"/>
              <w:right w:val="single" w:color="000000" w:sz="4" w:space="0"/>
            </w:tcBorders>
            <w:noWrap/>
            <w:vAlign w:val="center"/>
          </w:tcPr>
          <w:p w14:paraId="034B4E6A">
            <w:pPr>
              <w:widowControl/>
              <w:spacing w:line="240" w:lineRule="auto"/>
              <w:ind w:firstLine="0" w:firstLineChars="0"/>
              <w:jc w:val="left"/>
              <w:textAlignment w:val="center"/>
              <w:rPr>
                <w:rFonts w:cs="宋体"/>
                <w:color w:val="000000"/>
                <w:sz w:val="20"/>
                <w:szCs w:val="20"/>
                <w:highlight w:val="none"/>
              </w:rPr>
            </w:pPr>
            <w:r>
              <w:rPr>
                <w:rFonts w:hint="eastAsia" w:cs="宋体"/>
                <w:color w:val="000000"/>
                <w:kern w:val="0"/>
                <w:sz w:val="20"/>
                <w:szCs w:val="20"/>
                <w:highlight w:val="none"/>
                <w:lang w:bidi="ar"/>
              </w:rPr>
              <w:t>密码应用建设</w:t>
            </w:r>
          </w:p>
        </w:tc>
        <w:tc>
          <w:tcPr>
            <w:tcW w:w="1436" w:type="pct"/>
            <w:tcBorders>
              <w:top w:val="single" w:color="000000" w:sz="4" w:space="0"/>
              <w:left w:val="single" w:color="000000" w:sz="4" w:space="0"/>
              <w:bottom w:val="single" w:color="000000" w:sz="4" w:space="0"/>
              <w:right w:val="single" w:color="000000" w:sz="4" w:space="0"/>
            </w:tcBorders>
            <w:vAlign w:val="center"/>
          </w:tcPr>
          <w:p w14:paraId="696F99EF">
            <w:pPr>
              <w:widowControl/>
              <w:spacing w:line="240" w:lineRule="auto"/>
              <w:ind w:firstLine="0" w:firstLineChars="0"/>
              <w:jc w:val="center"/>
              <w:textAlignment w:val="center"/>
              <w:rPr>
                <w:rFonts w:cs="宋体"/>
                <w:color w:val="000000"/>
                <w:sz w:val="20"/>
                <w:szCs w:val="20"/>
                <w:highlight w:val="none"/>
              </w:rPr>
            </w:pPr>
            <w:r>
              <w:rPr>
                <w:rFonts w:hint="eastAsia" w:cs="宋体"/>
                <w:color w:val="000000"/>
                <w:kern w:val="0"/>
                <w:sz w:val="20"/>
                <w:szCs w:val="20"/>
                <w:highlight w:val="none"/>
                <w:lang w:bidi="ar"/>
              </w:rPr>
              <w:t>密码应用建设</w:t>
            </w:r>
          </w:p>
        </w:tc>
        <w:tc>
          <w:tcPr>
            <w:tcW w:w="1998" w:type="pct"/>
            <w:tcBorders>
              <w:top w:val="single" w:color="000000" w:sz="4" w:space="0"/>
              <w:left w:val="single" w:color="000000" w:sz="4" w:space="0"/>
              <w:bottom w:val="single" w:color="000000" w:sz="4" w:space="0"/>
              <w:right w:val="single" w:color="000000" w:sz="4" w:space="0"/>
            </w:tcBorders>
            <w:vAlign w:val="center"/>
          </w:tcPr>
          <w:p w14:paraId="5EA3EB07">
            <w:pPr>
              <w:widowControl/>
              <w:spacing w:line="240" w:lineRule="auto"/>
              <w:ind w:firstLine="0" w:firstLineChars="0"/>
              <w:jc w:val="left"/>
              <w:textAlignment w:val="center"/>
              <w:rPr>
                <w:rFonts w:cs="宋体"/>
                <w:color w:val="000000"/>
                <w:sz w:val="20"/>
                <w:szCs w:val="20"/>
                <w:highlight w:val="none"/>
              </w:rPr>
            </w:pPr>
            <w:r>
              <w:rPr>
                <w:rFonts w:hint="eastAsia" w:cs="宋体"/>
                <w:color w:val="000000"/>
                <w:kern w:val="0"/>
                <w:sz w:val="20"/>
                <w:szCs w:val="20"/>
                <w:highlight w:val="none"/>
                <w:lang w:bidi="ar"/>
              </w:rPr>
              <w:t>密码应用功能模块开发</w:t>
            </w:r>
          </w:p>
        </w:tc>
      </w:tr>
    </w:tbl>
    <w:p w14:paraId="04433D0E">
      <w:pPr>
        <w:pStyle w:val="9"/>
        <w:spacing w:line="240" w:lineRule="auto"/>
        <w:ind w:firstLine="0" w:firstLineChars="0"/>
        <w:rPr>
          <w:highlight w:val="none"/>
        </w:rPr>
      </w:pPr>
    </w:p>
    <w:p w14:paraId="3C7DAC51">
      <w:pPr>
        <w:pStyle w:val="2"/>
        <w:rPr>
          <w:highlight w:val="none"/>
        </w:rPr>
      </w:pPr>
      <w:bookmarkStart w:id="17" w:name="_Toc63785503"/>
      <w:r>
        <w:rPr>
          <w:rFonts w:hint="eastAsia"/>
          <w:highlight w:val="none"/>
        </w:rPr>
        <w:t>其他工作要求</w:t>
      </w:r>
      <w:bookmarkEnd w:id="17"/>
    </w:p>
    <w:p w14:paraId="1EF1F7F3">
      <w:pPr>
        <w:pStyle w:val="3"/>
        <w:ind w:hanging="1135"/>
        <w:rPr>
          <w:rFonts w:hint="eastAsia"/>
          <w:highlight w:val="none"/>
        </w:rPr>
      </w:pPr>
      <w:bookmarkStart w:id="18" w:name="_Toc62219358"/>
      <w:bookmarkEnd w:id="18"/>
      <w:bookmarkStart w:id="19" w:name="_Toc63151871"/>
      <w:bookmarkEnd w:id="19"/>
      <w:bookmarkStart w:id="20" w:name="_Toc63762370"/>
      <w:bookmarkEnd w:id="20"/>
      <w:bookmarkStart w:id="21" w:name="_Toc63785439"/>
      <w:bookmarkEnd w:id="21"/>
      <w:bookmarkStart w:id="22" w:name="_Toc63785504"/>
      <w:bookmarkEnd w:id="22"/>
      <w:bookmarkStart w:id="23" w:name="_Toc62209488"/>
      <w:bookmarkEnd w:id="23"/>
      <w:bookmarkStart w:id="24" w:name="_Toc63585480"/>
      <w:bookmarkEnd w:id="24"/>
      <w:bookmarkStart w:id="25" w:name="_Toc61968111"/>
      <w:bookmarkEnd w:id="25"/>
      <w:bookmarkStart w:id="26" w:name="_Toc63785505"/>
      <w:r>
        <w:rPr>
          <w:rFonts w:hint="eastAsia"/>
          <w:highlight w:val="none"/>
        </w:rPr>
        <w:t>售后服务要求</w:t>
      </w:r>
      <w:bookmarkEnd w:id="26"/>
    </w:p>
    <w:p w14:paraId="3946D09F">
      <w:pPr>
        <w:pStyle w:val="16"/>
        <w:snapToGrid w:val="0"/>
        <w:spacing w:line="360" w:lineRule="auto"/>
        <w:ind w:firstLine="480"/>
        <w:rPr>
          <w:rFonts w:ascii="宋体" w:hAnsi="宋体"/>
          <w:sz w:val="24"/>
          <w:szCs w:val="24"/>
          <w:highlight w:val="none"/>
        </w:rPr>
      </w:pPr>
      <w:r>
        <w:rPr>
          <w:rFonts w:hint="eastAsia" w:ascii="宋体" w:hAnsi="宋体"/>
          <w:sz w:val="24"/>
          <w:szCs w:val="24"/>
          <w:highlight w:val="none"/>
        </w:rPr>
        <w:t>本项目</w:t>
      </w:r>
      <w:r>
        <w:rPr>
          <w:rFonts w:hint="eastAsia" w:ascii="宋体" w:hAnsi="宋体"/>
          <w:sz w:val="24"/>
          <w:szCs w:val="24"/>
          <w:highlight w:val="none"/>
          <w:lang w:eastAsia="zh-CN"/>
        </w:rPr>
        <w:t>质保期内提供</w:t>
      </w:r>
      <w:bookmarkStart w:id="34" w:name="_GoBack"/>
      <w:bookmarkEnd w:id="34"/>
      <w:r>
        <w:rPr>
          <w:rFonts w:ascii="宋体" w:hAnsi="宋体"/>
          <w:sz w:val="24"/>
          <w:szCs w:val="24"/>
          <w:highlight w:val="none"/>
        </w:rPr>
        <w:t>7*24小时免费技术支持</w:t>
      </w:r>
      <w:r>
        <w:rPr>
          <w:rFonts w:hint="eastAsia" w:ascii="宋体" w:hAnsi="宋体"/>
          <w:sz w:val="24"/>
          <w:szCs w:val="24"/>
          <w:highlight w:val="none"/>
        </w:rPr>
        <w:t>和售后服务。</w:t>
      </w:r>
    </w:p>
    <w:p w14:paraId="36CB5EC1">
      <w:pPr>
        <w:pStyle w:val="16"/>
        <w:snapToGrid w:val="0"/>
        <w:spacing w:line="360" w:lineRule="auto"/>
        <w:ind w:firstLine="480"/>
        <w:rPr>
          <w:rFonts w:ascii="宋体" w:hAnsi="宋体"/>
          <w:sz w:val="24"/>
          <w:szCs w:val="24"/>
          <w:highlight w:val="none"/>
        </w:rPr>
      </w:pPr>
      <w:r>
        <w:rPr>
          <w:rFonts w:hint="eastAsia" w:ascii="宋体" w:hAnsi="宋体"/>
          <w:sz w:val="24"/>
          <w:szCs w:val="24"/>
          <w:highlight w:val="none"/>
        </w:rPr>
        <w:t>在质量保证期内，供应商将按照售后服务的承诺提供保修和运行维护服务，如果厂商对信息系统中软、硬件设备等产品中的部分保修期超过上述期限的，则按照厂商的规定进行免费保修。</w:t>
      </w:r>
    </w:p>
    <w:p w14:paraId="3A2BFCB3">
      <w:pPr>
        <w:pStyle w:val="16"/>
        <w:snapToGrid w:val="0"/>
        <w:spacing w:line="360" w:lineRule="auto"/>
        <w:ind w:firstLine="480"/>
        <w:rPr>
          <w:rFonts w:ascii="宋体" w:hAnsi="宋体"/>
          <w:sz w:val="24"/>
          <w:szCs w:val="24"/>
          <w:highlight w:val="none"/>
        </w:rPr>
      </w:pPr>
      <w:r>
        <w:rPr>
          <w:rFonts w:hint="eastAsia" w:ascii="宋体" w:hAnsi="宋体"/>
          <w:sz w:val="24"/>
          <w:szCs w:val="24"/>
          <w:highlight w:val="none"/>
        </w:rPr>
        <w:t>在质量保证期内，供应商负责信息系统的运行维护工作，确保信息系统安全、稳定、可靠地运行。本项目涉及的运行维护工作范围为：本期软件开发全部功能点。</w:t>
      </w:r>
    </w:p>
    <w:p w14:paraId="1CC5DB87">
      <w:pPr>
        <w:pStyle w:val="3"/>
        <w:ind w:hanging="1135"/>
        <w:rPr>
          <w:rFonts w:hint="eastAsia"/>
          <w:highlight w:val="none"/>
        </w:rPr>
      </w:pPr>
      <w:bookmarkStart w:id="27" w:name="_Toc63785506"/>
      <w:r>
        <w:rPr>
          <w:rFonts w:hint="eastAsia"/>
          <w:highlight w:val="none"/>
        </w:rPr>
        <w:t>应急响应要求</w:t>
      </w:r>
      <w:bookmarkEnd w:id="27"/>
    </w:p>
    <w:p w14:paraId="411F694F">
      <w:pPr>
        <w:pStyle w:val="16"/>
        <w:snapToGrid w:val="0"/>
        <w:spacing w:line="360" w:lineRule="auto"/>
        <w:ind w:firstLine="480"/>
        <w:rPr>
          <w:rFonts w:ascii="宋体" w:hAnsi="宋体"/>
          <w:sz w:val="24"/>
          <w:szCs w:val="24"/>
          <w:highlight w:val="none"/>
        </w:rPr>
      </w:pPr>
      <w:r>
        <w:rPr>
          <w:rFonts w:hint="eastAsia" w:ascii="宋体" w:hAnsi="宋体"/>
          <w:sz w:val="24"/>
          <w:szCs w:val="24"/>
          <w:highlight w:val="none"/>
        </w:rPr>
        <w:t>供应商对系统故障应能够实时响应，若系统发生故障，接到通知后30分钟之内响应，专业工程师2小时内到达现场。特殊故障与采购人沟通协商后，按照协商的方式制定解决方案并进行处理。</w:t>
      </w:r>
    </w:p>
    <w:p w14:paraId="3EF35A3B">
      <w:pPr>
        <w:pStyle w:val="16"/>
        <w:snapToGrid w:val="0"/>
        <w:spacing w:line="360" w:lineRule="auto"/>
        <w:ind w:firstLine="480"/>
        <w:rPr>
          <w:rFonts w:ascii="宋体" w:hAnsi="宋体"/>
          <w:sz w:val="24"/>
          <w:szCs w:val="24"/>
          <w:highlight w:val="none"/>
        </w:rPr>
      </w:pPr>
      <w:r>
        <w:rPr>
          <w:rFonts w:hint="eastAsia" w:ascii="宋体" w:hAnsi="宋体"/>
          <w:sz w:val="24"/>
          <w:szCs w:val="24"/>
          <w:highlight w:val="none"/>
        </w:rPr>
        <w:t>具体故障级别及对应的应急响应要求如下：</w:t>
      </w:r>
    </w:p>
    <w:p w14:paraId="39CD285D">
      <w:pPr>
        <w:pStyle w:val="16"/>
        <w:snapToGrid w:val="0"/>
        <w:spacing w:line="360" w:lineRule="auto"/>
        <w:ind w:firstLine="480"/>
        <w:rPr>
          <w:rFonts w:ascii="宋体" w:hAnsi="宋体"/>
          <w:sz w:val="24"/>
          <w:szCs w:val="24"/>
          <w:highlight w:val="none"/>
        </w:rPr>
      </w:pPr>
      <w:r>
        <w:rPr>
          <w:rFonts w:hint="eastAsia" w:ascii="宋体" w:hAnsi="宋体"/>
          <w:sz w:val="24"/>
          <w:szCs w:val="24"/>
          <w:highlight w:val="none"/>
        </w:rPr>
        <w:t>一级故障：在1小时内确诊，总故障解决时间不超过4小时。</w:t>
      </w:r>
    </w:p>
    <w:p w14:paraId="073C804C">
      <w:pPr>
        <w:pStyle w:val="16"/>
        <w:snapToGrid w:val="0"/>
        <w:spacing w:line="360" w:lineRule="auto"/>
        <w:ind w:firstLine="480"/>
        <w:rPr>
          <w:rFonts w:ascii="宋体" w:hAnsi="宋体"/>
          <w:sz w:val="24"/>
          <w:szCs w:val="24"/>
          <w:highlight w:val="none"/>
        </w:rPr>
      </w:pPr>
      <w:r>
        <w:rPr>
          <w:rFonts w:hint="eastAsia" w:ascii="宋体" w:hAnsi="宋体"/>
          <w:sz w:val="24"/>
          <w:szCs w:val="24"/>
          <w:highlight w:val="none"/>
        </w:rPr>
        <w:t>二级故障：在2小时内确诊，并在4小时内由专家到达现场确诊并解决，总故障解决时间不超过8小时；</w:t>
      </w:r>
    </w:p>
    <w:p w14:paraId="50723CEC">
      <w:pPr>
        <w:pStyle w:val="16"/>
        <w:snapToGrid w:val="0"/>
        <w:spacing w:line="360" w:lineRule="auto"/>
        <w:ind w:firstLine="480"/>
        <w:rPr>
          <w:rFonts w:ascii="宋体" w:hAnsi="宋体"/>
          <w:sz w:val="24"/>
          <w:szCs w:val="24"/>
          <w:highlight w:val="none"/>
        </w:rPr>
      </w:pPr>
      <w:r>
        <w:rPr>
          <w:rFonts w:hint="eastAsia" w:ascii="宋体" w:hAnsi="宋体"/>
          <w:sz w:val="24"/>
          <w:szCs w:val="24"/>
          <w:highlight w:val="none"/>
        </w:rPr>
        <w:t>三、四级故障：在4小时内确诊故障，总故障解决时间不超过16小时。</w:t>
      </w:r>
    </w:p>
    <w:p w14:paraId="23051BFD">
      <w:pPr>
        <w:pStyle w:val="16"/>
        <w:snapToGrid w:val="0"/>
        <w:spacing w:line="360" w:lineRule="auto"/>
        <w:ind w:firstLine="480"/>
        <w:rPr>
          <w:rFonts w:ascii="宋体" w:hAnsi="宋体"/>
          <w:sz w:val="24"/>
          <w:szCs w:val="24"/>
          <w:highlight w:val="none"/>
        </w:rPr>
      </w:pPr>
      <w:r>
        <w:rPr>
          <w:rFonts w:hint="eastAsia" w:ascii="宋体" w:hAnsi="宋体"/>
          <w:sz w:val="24"/>
          <w:szCs w:val="24"/>
          <w:highlight w:val="none"/>
        </w:rPr>
        <w:t>依据故障时间及故障范围划分故障级别，故障级别分为四级，依次为Ⅰ级（紧急）、Ⅱ级（严重）、Ⅲ级（较大）和Ⅳ级（一般），分别定义如下：</w:t>
      </w:r>
    </w:p>
    <w:p w14:paraId="259C2783">
      <w:pPr>
        <w:pStyle w:val="16"/>
        <w:snapToGrid w:val="0"/>
        <w:spacing w:line="360" w:lineRule="auto"/>
        <w:ind w:firstLine="480"/>
        <w:rPr>
          <w:rFonts w:ascii="宋体" w:hAnsi="宋体"/>
          <w:sz w:val="24"/>
          <w:szCs w:val="24"/>
          <w:highlight w:val="none"/>
        </w:rPr>
      </w:pPr>
      <w:r>
        <w:rPr>
          <w:rFonts w:hint="eastAsia" w:ascii="宋体" w:hAnsi="宋体"/>
          <w:sz w:val="24"/>
          <w:szCs w:val="24"/>
          <w:highlight w:val="none"/>
        </w:rPr>
        <w:t>Ⅰ级（紧急）故障为工作时间段（8:30——17:30）内大范围故障；</w:t>
      </w:r>
    </w:p>
    <w:p w14:paraId="2DA85023">
      <w:pPr>
        <w:pStyle w:val="16"/>
        <w:snapToGrid w:val="0"/>
        <w:spacing w:line="360" w:lineRule="auto"/>
        <w:ind w:firstLine="480"/>
        <w:rPr>
          <w:rFonts w:ascii="宋体" w:hAnsi="宋体"/>
          <w:sz w:val="24"/>
          <w:szCs w:val="24"/>
          <w:highlight w:val="none"/>
        </w:rPr>
      </w:pPr>
      <w:r>
        <w:rPr>
          <w:rFonts w:hint="eastAsia" w:ascii="宋体" w:hAnsi="宋体"/>
          <w:sz w:val="24"/>
          <w:szCs w:val="24"/>
          <w:highlight w:val="none"/>
        </w:rPr>
        <w:t>Ⅱ级（严重）故障为非工作时间段（17:30——次日8:30）内大范围故障；</w:t>
      </w:r>
    </w:p>
    <w:p w14:paraId="2CCB7F10">
      <w:pPr>
        <w:pStyle w:val="16"/>
        <w:snapToGrid w:val="0"/>
        <w:spacing w:line="360" w:lineRule="auto"/>
        <w:ind w:firstLine="480"/>
        <w:rPr>
          <w:rFonts w:ascii="宋体" w:hAnsi="宋体"/>
          <w:sz w:val="24"/>
          <w:szCs w:val="24"/>
          <w:highlight w:val="none"/>
        </w:rPr>
      </w:pPr>
      <w:r>
        <w:rPr>
          <w:rFonts w:hint="eastAsia" w:ascii="宋体" w:hAnsi="宋体"/>
          <w:sz w:val="24"/>
          <w:szCs w:val="24"/>
          <w:highlight w:val="none"/>
        </w:rPr>
        <w:t>Ⅲ级（较大）故障为工作时间段（8:30——17:30）内小范围故障；</w:t>
      </w:r>
    </w:p>
    <w:p w14:paraId="5CA90CEA">
      <w:pPr>
        <w:pStyle w:val="16"/>
        <w:snapToGrid w:val="0"/>
        <w:spacing w:line="360" w:lineRule="auto"/>
        <w:ind w:firstLine="480"/>
        <w:rPr>
          <w:rFonts w:ascii="宋体" w:hAnsi="宋体"/>
          <w:sz w:val="24"/>
          <w:szCs w:val="24"/>
          <w:highlight w:val="none"/>
        </w:rPr>
      </w:pPr>
      <w:r>
        <w:rPr>
          <w:rFonts w:hint="eastAsia" w:ascii="宋体" w:hAnsi="宋体"/>
          <w:sz w:val="24"/>
          <w:szCs w:val="24"/>
          <w:highlight w:val="none"/>
        </w:rPr>
        <w:t>Ⅳ级（一般）故障为非工作时间段（17:30——次日8:30）内小范围故障；</w:t>
      </w:r>
    </w:p>
    <w:p w14:paraId="340C0AAD">
      <w:pPr>
        <w:pStyle w:val="3"/>
        <w:ind w:hanging="1135"/>
        <w:rPr>
          <w:rFonts w:hint="eastAsia"/>
          <w:highlight w:val="none"/>
        </w:rPr>
      </w:pPr>
      <w:r>
        <w:rPr>
          <w:rFonts w:hint="eastAsia"/>
          <w:highlight w:val="none"/>
        </w:rPr>
        <w:t>网络与数据安全</w:t>
      </w:r>
    </w:p>
    <w:p w14:paraId="698C51DD">
      <w:pPr>
        <w:pStyle w:val="16"/>
        <w:snapToGrid w:val="0"/>
        <w:spacing w:line="360" w:lineRule="auto"/>
        <w:ind w:firstLine="480"/>
        <w:rPr>
          <w:rFonts w:ascii="宋体" w:hAnsi="宋体"/>
          <w:sz w:val="24"/>
          <w:szCs w:val="24"/>
          <w:highlight w:val="none"/>
        </w:rPr>
      </w:pPr>
      <w:r>
        <w:rPr>
          <w:rFonts w:hint="eastAsia" w:ascii="宋体" w:hAnsi="宋体"/>
          <w:sz w:val="24"/>
          <w:szCs w:val="24"/>
          <w:highlight w:val="none"/>
        </w:rPr>
        <w:t>(1)供应商应在项目深化设计阶段，应开展安全需求调研和数据分类分级工作，制定网络和数据安全设计方案，制定总体安全技术架构，明确边界防护、访问控制、权限管理、系统安全配置、身份鉴别、入侵防范等系统安全防护措施，制定差异化的数据安全防护手段，确保数据全生命周期安全。</w:t>
      </w:r>
    </w:p>
    <w:p w14:paraId="383748A8">
      <w:pPr>
        <w:pStyle w:val="16"/>
        <w:snapToGrid w:val="0"/>
        <w:spacing w:line="360" w:lineRule="auto"/>
        <w:ind w:firstLine="480"/>
        <w:rPr>
          <w:rFonts w:ascii="宋体" w:hAnsi="宋体"/>
          <w:sz w:val="24"/>
          <w:szCs w:val="24"/>
          <w:highlight w:val="none"/>
        </w:rPr>
      </w:pPr>
      <w:r>
        <w:rPr>
          <w:rFonts w:hint="eastAsia" w:ascii="宋体" w:hAnsi="宋体"/>
          <w:sz w:val="24"/>
          <w:szCs w:val="24"/>
          <w:highlight w:val="none"/>
        </w:rPr>
        <w:t>(2)供应商应配合采购人开展相关安全制度和规范的制定，并根据项目实际，制定项目实施过程安全管理方案。</w:t>
      </w:r>
    </w:p>
    <w:p w14:paraId="081B105A">
      <w:pPr>
        <w:pStyle w:val="16"/>
        <w:snapToGrid w:val="0"/>
        <w:spacing w:line="360" w:lineRule="auto"/>
        <w:ind w:firstLine="480"/>
        <w:rPr>
          <w:rFonts w:ascii="宋体" w:hAnsi="宋体"/>
          <w:sz w:val="24"/>
          <w:szCs w:val="24"/>
          <w:highlight w:val="none"/>
        </w:rPr>
      </w:pPr>
      <w:r>
        <w:rPr>
          <w:rFonts w:hint="eastAsia" w:ascii="宋体" w:hAnsi="宋体"/>
          <w:sz w:val="24"/>
          <w:szCs w:val="24"/>
          <w:highlight w:val="none"/>
        </w:rPr>
        <w:t>(3)供应商应确保所提供的软件产品和定制开发内容所涉及的供应链满足采购人的管理要求，提供供应链物料清单，落实供应链安全控制措施，包括代码安全检测和质量评估、漏洞扫描、第三方组件评估等工作，并于系统上线前，完成信息化资产的梳理。</w:t>
      </w:r>
    </w:p>
    <w:p w14:paraId="7D86B49C">
      <w:pPr>
        <w:pStyle w:val="16"/>
        <w:snapToGrid w:val="0"/>
        <w:spacing w:line="360" w:lineRule="auto"/>
        <w:ind w:firstLine="480"/>
        <w:rPr>
          <w:rFonts w:ascii="宋体" w:hAnsi="宋体"/>
          <w:sz w:val="24"/>
          <w:szCs w:val="24"/>
          <w:highlight w:val="none"/>
        </w:rPr>
      </w:pPr>
      <w:r>
        <w:rPr>
          <w:rFonts w:hint="eastAsia" w:ascii="宋体" w:hAnsi="宋体"/>
          <w:sz w:val="24"/>
          <w:szCs w:val="24"/>
          <w:highlight w:val="none"/>
        </w:rPr>
        <w:t>(4)供应商应在项目实施过程中，推动安全开发控制工作的实施，按照安全设计方案和采购人安全开发要求，落实安全开发规范，确保代码质量和安全性。供应商应确保系统开发及生产环境安全，落实安全管理策略及安全配置。</w:t>
      </w:r>
    </w:p>
    <w:p w14:paraId="06A7ED51">
      <w:pPr>
        <w:pStyle w:val="16"/>
        <w:snapToGrid w:val="0"/>
        <w:spacing w:line="360" w:lineRule="auto"/>
        <w:ind w:firstLine="480"/>
        <w:rPr>
          <w:rFonts w:ascii="宋体" w:hAnsi="宋体"/>
          <w:sz w:val="24"/>
          <w:szCs w:val="24"/>
          <w:highlight w:val="none"/>
        </w:rPr>
      </w:pPr>
      <w:r>
        <w:rPr>
          <w:rFonts w:hint="eastAsia" w:ascii="宋体" w:hAnsi="宋体"/>
          <w:sz w:val="24"/>
          <w:szCs w:val="24"/>
          <w:highlight w:val="none"/>
        </w:rPr>
        <w:t>(5)供应商应在项目实施过程中，按照数据差异化安全防护策略，根据系统需要采取数据加密、数据访问控制、日志记录、流转监测等防护能力及相关管理流程，切实保障数据安全。</w:t>
      </w:r>
    </w:p>
    <w:p w14:paraId="2424BF21">
      <w:pPr>
        <w:pStyle w:val="16"/>
        <w:snapToGrid w:val="0"/>
        <w:spacing w:line="360" w:lineRule="auto"/>
        <w:ind w:firstLine="480"/>
        <w:rPr>
          <w:rFonts w:ascii="宋体" w:hAnsi="宋体"/>
          <w:sz w:val="24"/>
          <w:szCs w:val="24"/>
          <w:highlight w:val="none"/>
        </w:rPr>
      </w:pPr>
      <w:r>
        <w:rPr>
          <w:rFonts w:hint="eastAsia" w:ascii="宋体" w:hAnsi="宋体"/>
          <w:sz w:val="24"/>
          <w:szCs w:val="24"/>
          <w:highlight w:val="none"/>
        </w:rPr>
        <w:t>(6)供应商应按照采购人场地及人员安全管理制度，加强人员管理，配合采购人落实人员背调、入离场、终端管理、网络限制、数据权限最小化等管控措施。</w:t>
      </w:r>
    </w:p>
    <w:p w14:paraId="7CC49E88">
      <w:pPr>
        <w:pStyle w:val="16"/>
        <w:snapToGrid w:val="0"/>
        <w:spacing w:line="360" w:lineRule="auto"/>
        <w:ind w:firstLine="480"/>
        <w:rPr>
          <w:rFonts w:ascii="宋体" w:hAnsi="宋体"/>
          <w:sz w:val="24"/>
          <w:szCs w:val="24"/>
          <w:highlight w:val="none"/>
        </w:rPr>
      </w:pPr>
      <w:r>
        <w:rPr>
          <w:rFonts w:hint="eastAsia" w:ascii="宋体" w:hAnsi="宋体"/>
          <w:sz w:val="24"/>
          <w:szCs w:val="24"/>
          <w:highlight w:val="none"/>
        </w:rPr>
        <w:t>(7)供应商应于系统上线部署前对系统运行环境、应用软件等开展安全自查，并于项目初验及系统试运行阶段，配合采购人开展安测、密测、等保、密评、数据安全风险评估等系列安全测试、评估工作，针对发现的问题及时完成整改，确保系统上线安全。</w:t>
      </w:r>
    </w:p>
    <w:p w14:paraId="19C903A4">
      <w:pPr>
        <w:pStyle w:val="16"/>
        <w:snapToGrid w:val="0"/>
        <w:spacing w:line="360" w:lineRule="auto"/>
        <w:ind w:firstLine="480"/>
        <w:rPr>
          <w:rFonts w:ascii="宋体" w:hAnsi="宋体"/>
          <w:sz w:val="24"/>
          <w:szCs w:val="24"/>
          <w:highlight w:val="none"/>
        </w:rPr>
      </w:pPr>
      <w:r>
        <w:rPr>
          <w:rFonts w:hint="eastAsia" w:ascii="宋体" w:hAnsi="宋体"/>
          <w:sz w:val="24"/>
          <w:szCs w:val="24"/>
          <w:highlight w:val="none"/>
        </w:rPr>
        <w:t>(8)供应商应在系统免维期内承担系统安全运维管理责任，落实安全管理保障措施，包括但不限于制度修订、风险排查、应急响应、漏洞修复、重保等工作。</w:t>
      </w:r>
    </w:p>
    <w:p w14:paraId="44CB34FD">
      <w:pPr>
        <w:pStyle w:val="3"/>
        <w:ind w:hanging="1135"/>
        <w:rPr>
          <w:rFonts w:hint="eastAsia"/>
          <w:highlight w:val="none"/>
        </w:rPr>
      </w:pPr>
      <w:bookmarkStart w:id="28" w:name="_Toc63785507"/>
      <w:r>
        <w:rPr>
          <w:rFonts w:hint="eastAsia"/>
          <w:highlight w:val="none"/>
        </w:rPr>
        <w:t>培训要求</w:t>
      </w:r>
      <w:bookmarkEnd w:id="28"/>
    </w:p>
    <w:p w14:paraId="69F34653">
      <w:pPr>
        <w:rPr>
          <w:highlight w:val="none"/>
        </w:rPr>
      </w:pPr>
      <w:r>
        <w:rPr>
          <w:rFonts w:hint="eastAsia"/>
          <w:highlight w:val="none"/>
        </w:rPr>
        <w:t>对系统使用单位提供业务操作培训，应提供详细培训方案。</w:t>
      </w:r>
    </w:p>
    <w:p w14:paraId="41653257">
      <w:pPr>
        <w:rPr>
          <w:highlight w:val="none"/>
        </w:rPr>
      </w:pPr>
      <w:r>
        <w:rPr>
          <w:rFonts w:hint="eastAsia"/>
          <w:highlight w:val="none"/>
        </w:rPr>
        <w:t>(1)</w:t>
      </w:r>
      <w:r>
        <w:rPr>
          <w:rFonts w:hint="eastAsia"/>
          <w:highlight w:val="none"/>
          <w:lang w:eastAsia="zh-CN"/>
        </w:rPr>
        <w:t>自合同签订之日起</w:t>
      </w:r>
      <w:r>
        <w:rPr>
          <w:rFonts w:hint="eastAsia"/>
          <w:highlight w:val="none"/>
        </w:rPr>
        <w:t>12个月内，提供2次与项目相关的必要培训。</w:t>
      </w:r>
    </w:p>
    <w:p w14:paraId="66521B23">
      <w:pPr>
        <w:rPr>
          <w:highlight w:val="none"/>
        </w:rPr>
      </w:pPr>
      <w:r>
        <w:rPr>
          <w:rFonts w:hint="eastAsia"/>
          <w:highlight w:val="none"/>
        </w:rPr>
        <w:t>(2)供应商需要开展分层次的人员培训工作，每次培训后应对参加培训人员进行测试，评估培训成果。培训应具有培训教材、培训环境和高水平的培训讲师。</w:t>
      </w:r>
    </w:p>
    <w:p w14:paraId="40959EF3">
      <w:pPr>
        <w:rPr>
          <w:highlight w:val="none"/>
        </w:rPr>
      </w:pPr>
      <w:r>
        <w:rPr>
          <w:rFonts w:hint="eastAsia"/>
          <w:highlight w:val="none"/>
        </w:rPr>
        <w:t>(3)供应商应提供一般用户的基础操作培训和部门信息管理员的日常应用维护的培训，确保用户对象能够掌握对应的操作技能。</w:t>
      </w:r>
    </w:p>
    <w:p w14:paraId="0DE06C85">
      <w:pPr>
        <w:pStyle w:val="3"/>
        <w:ind w:hanging="1135"/>
        <w:rPr>
          <w:rFonts w:hint="eastAsia"/>
          <w:highlight w:val="none"/>
        </w:rPr>
      </w:pPr>
      <w:bookmarkStart w:id="29" w:name="_Toc63785508"/>
      <w:r>
        <w:rPr>
          <w:rFonts w:hint="eastAsia"/>
          <w:highlight w:val="none"/>
        </w:rPr>
        <w:t>验收要求</w:t>
      </w:r>
      <w:bookmarkEnd w:id="29"/>
    </w:p>
    <w:p w14:paraId="1FEA7388">
      <w:pPr>
        <w:rPr>
          <w:szCs w:val="21"/>
          <w:highlight w:val="none"/>
        </w:rPr>
      </w:pPr>
      <w:r>
        <w:rPr>
          <w:rFonts w:hint="eastAsia"/>
          <w:szCs w:val="21"/>
          <w:highlight w:val="none"/>
        </w:rPr>
        <w:t>本项目按下述方式开展验收。</w:t>
      </w:r>
    </w:p>
    <w:p w14:paraId="448D92C4">
      <w:pPr>
        <w:rPr>
          <w:szCs w:val="21"/>
          <w:highlight w:val="none"/>
        </w:rPr>
      </w:pPr>
      <w:r>
        <w:rPr>
          <w:rFonts w:hint="eastAsia"/>
          <w:szCs w:val="21"/>
          <w:highlight w:val="none"/>
        </w:rPr>
        <w:t>（</w:t>
      </w:r>
      <w:r>
        <w:rPr>
          <w:szCs w:val="21"/>
          <w:highlight w:val="none"/>
        </w:rPr>
        <w:t>1）验收分初验和终验。</w:t>
      </w:r>
    </w:p>
    <w:p w14:paraId="36E54AC2">
      <w:pPr>
        <w:rPr>
          <w:szCs w:val="21"/>
          <w:highlight w:val="none"/>
        </w:rPr>
      </w:pPr>
      <w:r>
        <w:rPr>
          <w:rFonts w:hint="eastAsia"/>
          <w:szCs w:val="21"/>
          <w:highlight w:val="none"/>
        </w:rPr>
        <w:t>（</w:t>
      </w:r>
      <w:r>
        <w:rPr>
          <w:szCs w:val="21"/>
          <w:highlight w:val="none"/>
        </w:rPr>
        <w:t>2）初验前，供应商须完成软件开发、软硬件安装和信息系统的调试等，并对本项目进行功能和运行检测，确保所有信息系统功能模块能够正常运行且已达到本项目约定的各类标准要求。供应商应以书面形式向</w:t>
      </w:r>
      <w:r>
        <w:rPr>
          <w:rFonts w:hint="eastAsia"/>
          <w:szCs w:val="21"/>
          <w:highlight w:val="none"/>
          <w:lang w:eastAsia="zh-CN"/>
        </w:rPr>
        <w:t>采购人</w:t>
      </w:r>
      <w:r>
        <w:rPr>
          <w:szCs w:val="21"/>
          <w:highlight w:val="none"/>
        </w:rPr>
        <w:t>递交初验通知书。</w:t>
      </w:r>
      <w:r>
        <w:rPr>
          <w:rFonts w:hint="eastAsia"/>
          <w:szCs w:val="21"/>
          <w:highlight w:val="none"/>
          <w:lang w:eastAsia="zh-CN"/>
        </w:rPr>
        <w:t>采购人</w:t>
      </w:r>
      <w:r>
        <w:rPr>
          <w:szCs w:val="21"/>
          <w:highlight w:val="none"/>
        </w:rPr>
        <w:t>应当在接到通知后的5个工作日内确定初验的具体日期，由双方按照本项目的约定完成本项目的初验。</w:t>
      </w:r>
      <w:r>
        <w:rPr>
          <w:rFonts w:hint="eastAsia"/>
          <w:szCs w:val="21"/>
          <w:highlight w:val="none"/>
          <w:lang w:eastAsia="zh-CN"/>
        </w:rPr>
        <w:t>采购人</w:t>
      </w:r>
      <w:r>
        <w:rPr>
          <w:szCs w:val="21"/>
          <w:highlight w:val="none"/>
        </w:rPr>
        <w:t>有权委托第三方检测机构进行验收，对此供应商应当配合。</w:t>
      </w:r>
    </w:p>
    <w:p w14:paraId="47CEF594">
      <w:pPr>
        <w:rPr>
          <w:szCs w:val="21"/>
          <w:highlight w:val="none"/>
        </w:rPr>
      </w:pPr>
      <w:r>
        <w:rPr>
          <w:rFonts w:hint="eastAsia"/>
          <w:szCs w:val="21"/>
          <w:highlight w:val="none"/>
        </w:rPr>
        <w:t>（</w:t>
      </w:r>
      <w:r>
        <w:rPr>
          <w:szCs w:val="21"/>
          <w:highlight w:val="none"/>
        </w:rPr>
        <w:t>3）初验时，供应商须提供软件文档包括《用户需求说明书》、《系统概要设计说明书》、《系统详细设计说明书》、</w:t>
      </w:r>
      <w:r>
        <w:rPr>
          <w:rFonts w:hint="eastAsia"/>
          <w:szCs w:val="21"/>
          <w:highlight w:val="none"/>
        </w:rPr>
        <w:t>《三方功能需求确认单》、</w:t>
      </w:r>
      <w:r>
        <w:rPr>
          <w:szCs w:val="21"/>
          <w:highlight w:val="none"/>
        </w:rPr>
        <w:t>《测试报告》、《用户使用手册》、《系统部署文档》等）及可安装的程序运行文件。所交付的文档与文件应当是可供自然人阅读的书面和电子文档。软件文档及可安装的程序运行文件验收通过后，视为初验通过。如有缺陷，</w:t>
      </w:r>
      <w:r>
        <w:rPr>
          <w:rFonts w:hint="eastAsia"/>
          <w:szCs w:val="21"/>
          <w:highlight w:val="none"/>
          <w:lang w:eastAsia="zh-CN"/>
        </w:rPr>
        <w:t>采购人</w:t>
      </w:r>
      <w:r>
        <w:rPr>
          <w:szCs w:val="21"/>
          <w:highlight w:val="none"/>
        </w:rPr>
        <w:t>应向供应商出具书面报告，陈述需要改进的缺陷。供应商应立即严格依照</w:t>
      </w:r>
      <w:r>
        <w:rPr>
          <w:rFonts w:hint="eastAsia"/>
          <w:szCs w:val="21"/>
          <w:highlight w:val="none"/>
          <w:lang w:eastAsia="zh-CN"/>
        </w:rPr>
        <w:t>采购人</w:t>
      </w:r>
      <w:r>
        <w:rPr>
          <w:szCs w:val="21"/>
          <w:highlight w:val="none"/>
        </w:rPr>
        <w:t>的书面报告中的要求改进缺陷，并再次进行初验。</w:t>
      </w:r>
    </w:p>
    <w:p w14:paraId="66483170">
      <w:pPr>
        <w:rPr>
          <w:szCs w:val="21"/>
          <w:highlight w:val="none"/>
        </w:rPr>
      </w:pPr>
      <w:r>
        <w:rPr>
          <w:rFonts w:hint="eastAsia"/>
          <w:szCs w:val="21"/>
          <w:highlight w:val="none"/>
        </w:rPr>
        <w:t>（</w:t>
      </w:r>
      <w:r>
        <w:rPr>
          <w:szCs w:val="21"/>
          <w:highlight w:val="none"/>
        </w:rPr>
        <w:t>4）自初验通过之日起，</w:t>
      </w:r>
      <w:r>
        <w:rPr>
          <w:rFonts w:hint="eastAsia"/>
          <w:szCs w:val="21"/>
          <w:highlight w:val="none"/>
          <w:lang w:eastAsia="zh-CN"/>
        </w:rPr>
        <w:t>采购人</w:t>
      </w:r>
      <w:r>
        <w:rPr>
          <w:szCs w:val="21"/>
          <w:highlight w:val="none"/>
        </w:rPr>
        <w:t>享有供应商免费提供的</w:t>
      </w:r>
      <w:r>
        <w:rPr>
          <w:rFonts w:hint="eastAsia"/>
          <w:szCs w:val="21"/>
          <w:highlight w:val="none"/>
        </w:rPr>
        <w:t>30</w:t>
      </w:r>
      <w:r>
        <w:rPr>
          <w:szCs w:val="21"/>
          <w:highlight w:val="none"/>
        </w:rPr>
        <w:t>天的信息系统试运行现场驻场服务期。该期间内，供应商应当按照</w:t>
      </w:r>
      <w:r>
        <w:rPr>
          <w:rFonts w:hint="eastAsia"/>
          <w:szCs w:val="21"/>
          <w:highlight w:val="none"/>
          <w:lang w:eastAsia="zh-CN"/>
        </w:rPr>
        <w:t>采购人</w:t>
      </w:r>
      <w:r>
        <w:rPr>
          <w:szCs w:val="21"/>
          <w:highlight w:val="none"/>
        </w:rPr>
        <w:t>的要求提供现场技术支持服务，解决信息系统试运行期间可能出现的各类问题，或进一步提高与完善信息系统运行水平。</w:t>
      </w:r>
    </w:p>
    <w:p w14:paraId="329B11F5">
      <w:pPr>
        <w:rPr>
          <w:szCs w:val="21"/>
          <w:highlight w:val="none"/>
        </w:rPr>
      </w:pPr>
      <w:r>
        <w:rPr>
          <w:rFonts w:hint="eastAsia"/>
          <w:szCs w:val="21"/>
          <w:highlight w:val="none"/>
        </w:rPr>
        <w:t>（</w:t>
      </w:r>
      <w:r>
        <w:rPr>
          <w:szCs w:val="21"/>
          <w:highlight w:val="none"/>
        </w:rPr>
        <w:t>5）初验通过且信息系统试运行期已经达到本项目约定的时间，经供应商确认信息系统具备正常运行条件，且信息系统通过运行测试，供应商应以书面形式通知</w:t>
      </w:r>
      <w:r>
        <w:rPr>
          <w:rFonts w:hint="eastAsia"/>
          <w:szCs w:val="21"/>
          <w:highlight w:val="none"/>
          <w:lang w:eastAsia="zh-CN"/>
        </w:rPr>
        <w:t>采购人</w:t>
      </w:r>
      <w:r>
        <w:rPr>
          <w:szCs w:val="21"/>
          <w:highlight w:val="none"/>
        </w:rPr>
        <w:t>信息系统已准备就绪等待终验。</w:t>
      </w:r>
      <w:r>
        <w:rPr>
          <w:rFonts w:hint="eastAsia"/>
          <w:szCs w:val="21"/>
          <w:highlight w:val="none"/>
          <w:lang w:eastAsia="zh-CN"/>
        </w:rPr>
        <w:t>采购人</w:t>
      </w:r>
      <w:r>
        <w:rPr>
          <w:szCs w:val="21"/>
          <w:highlight w:val="none"/>
        </w:rPr>
        <w:t>在收到终验通知后的</w:t>
      </w:r>
      <w:r>
        <w:rPr>
          <w:rFonts w:hint="eastAsia"/>
          <w:szCs w:val="21"/>
          <w:highlight w:val="none"/>
        </w:rPr>
        <w:t>10</w:t>
      </w:r>
      <w:r>
        <w:rPr>
          <w:szCs w:val="21"/>
          <w:highlight w:val="none"/>
        </w:rPr>
        <w:t>个工作日内发起组织专家验收会。</w:t>
      </w:r>
    </w:p>
    <w:p w14:paraId="668FB9D7">
      <w:pPr>
        <w:rPr>
          <w:szCs w:val="21"/>
          <w:highlight w:val="none"/>
        </w:rPr>
      </w:pPr>
      <w:r>
        <w:rPr>
          <w:rFonts w:hint="eastAsia"/>
          <w:szCs w:val="21"/>
          <w:highlight w:val="none"/>
        </w:rPr>
        <w:t>（6</w:t>
      </w:r>
      <w:r>
        <w:rPr>
          <w:szCs w:val="21"/>
          <w:highlight w:val="none"/>
        </w:rPr>
        <w:t>）如果属于供应商原因致使本项目未能通过终验，供应商应当排除缺陷，直至本项目完全符合验收标准，由上述情形而产生的相关费用应由供应商自行承担。</w:t>
      </w:r>
    </w:p>
    <w:p w14:paraId="006A2B88">
      <w:pPr>
        <w:rPr>
          <w:szCs w:val="21"/>
          <w:highlight w:val="none"/>
        </w:rPr>
      </w:pPr>
      <w:r>
        <w:rPr>
          <w:rFonts w:hint="eastAsia"/>
          <w:szCs w:val="21"/>
          <w:highlight w:val="none"/>
        </w:rPr>
        <w:t>（7</w:t>
      </w:r>
      <w:r>
        <w:rPr>
          <w:szCs w:val="21"/>
          <w:highlight w:val="none"/>
        </w:rPr>
        <w:t>）如果由于</w:t>
      </w:r>
      <w:r>
        <w:rPr>
          <w:rFonts w:hint="eastAsia"/>
          <w:szCs w:val="21"/>
          <w:highlight w:val="none"/>
          <w:lang w:eastAsia="zh-CN"/>
        </w:rPr>
        <w:t>采购人</w:t>
      </w:r>
      <w:r>
        <w:rPr>
          <w:szCs w:val="21"/>
          <w:highlight w:val="none"/>
        </w:rPr>
        <w:t>原因导致本项目在终验通过前出现故障或问题，供应商应及时配合排除该方面的故障或问题。</w:t>
      </w:r>
    </w:p>
    <w:p w14:paraId="4CFBF2FB">
      <w:pPr>
        <w:rPr>
          <w:szCs w:val="21"/>
          <w:highlight w:val="none"/>
        </w:rPr>
      </w:pPr>
      <w:r>
        <w:rPr>
          <w:rFonts w:hint="eastAsia"/>
          <w:szCs w:val="21"/>
          <w:highlight w:val="none"/>
        </w:rPr>
        <w:t>（8</w:t>
      </w:r>
      <w:r>
        <w:rPr>
          <w:szCs w:val="21"/>
          <w:highlight w:val="none"/>
        </w:rPr>
        <w:t>）如本项目连续3次验收未通过（含初验未通过或终验未通过），</w:t>
      </w:r>
      <w:r>
        <w:rPr>
          <w:rFonts w:hint="eastAsia"/>
          <w:szCs w:val="21"/>
          <w:highlight w:val="none"/>
          <w:lang w:eastAsia="zh-CN"/>
        </w:rPr>
        <w:t>采购人</w:t>
      </w:r>
      <w:r>
        <w:rPr>
          <w:szCs w:val="21"/>
          <w:highlight w:val="none"/>
        </w:rPr>
        <w:t>有权解除项目，并有权依照本项目约定的违约条款追究供应商的违约责任。</w:t>
      </w:r>
    </w:p>
    <w:p w14:paraId="38EAE3F6">
      <w:pPr>
        <w:pStyle w:val="3"/>
        <w:ind w:hanging="1135"/>
        <w:rPr>
          <w:rFonts w:hint="eastAsia"/>
          <w:highlight w:val="none"/>
        </w:rPr>
      </w:pPr>
      <w:bookmarkStart w:id="30" w:name="_Toc63785509"/>
      <w:r>
        <w:rPr>
          <w:rFonts w:hint="eastAsia"/>
          <w:highlight w:val="none"/>
        </w:rPr>
        <w:t>进度要求</w:t>
      </w:r>
      <w:bookmarkEnd w:id="30"/>
    </w:p>
    <w:p w14:paraId="197DAB03">
      <w:pPr>
        <w:rPr>
          <w:highlight w:val="none"/>
        </w:rPr>
      </w:pPr>
      <w:r>
        <w:rPr>
          <w:rFonts w:hint="eastAsia"/>
          <w:highlight w:val="none"/>
          <w:lang w:eastAsia="zh-CN"/>
        </w:rPr>
        <w:t>响应供应商</w:t>
      </w:r>
      <w:r>
        <w:rPr>
          <w:rFonts w:hint="eastAsia"/>
          <w:highlight w:val="none"/>
        </w:rPr>
        <w:t>应根据建设内容，分阶段制定合理的时间进度，并且应根据</w:t>
      </w:r>
      <w:r>
        <w:rPr>
          <w:rFonts w:hint="eastAsia"/>
          <w:highlight w:val="none"/>
          <w:lang w:eastAsia="zh-CN"/>
        </w:rPr>
        <w:t>采购人</w:t>
      </w:r>
      <w:r>
        <w:rPr>
          <w:rFonts w:hint="eastAsia"/>
          <w:highlight w:val="none"/>
        </w:rPr>
        <w:t>要求进行调整和细化。</w:t>
      </w:r>
    </w:p>
    <w:p w14:paraId="179BFED6">
      <w:pPr>
        <w:rPr>
          <w:highlight w:val="none"/>
        </w:rPr>
      </w:pPr>
      <w:r>
        <w:rPr>
          <w:rFonts w:hint="eastAsia"/>
          <w:highlight w:val="none"/>
        </w:rPr>
        <w:t>总建设周期为8个月，分为3个阶段。</w:t>
      </w:r>
    </w:p>
    <w:p w14:paraId="1747A931">
      <w:pPr>
        <w:rPr>
          <w:highlight w:val="none"/>
        </w:rPr>
      </w:pPr>
      <w:r>
        <w:rPr>
          <w:rFonts w:hint="eastAsia"/>
          <w:highlight w:val="none"/>
        </w:rPr>
        <w:t>第一阶段</w:t>
      </w:r>
      <w:r>
        <w:rPr>
          <w:rFonts w:hint="eastAsia"/>
          <w:szCs w:val="22"/>
          <w:highlight w:val="none"/>
        </w:rPr>
        <w:t>（2个月）</w:t>
      </w:r>
      <w:r>
        <w:rPr>
          <w:rFonts w:hint="eastAsia"/>
          <w:highlight w:val="none"/>
        </w:rPr>
        <w:t>：完成需求细化及系统详细设计；</w:t>
      </w:r>
    </w:p>
    <w:p w14:paraId="1767D159">
      <w:pPr>
        <w:rPr>
          <w:highlight w:val="none"/>
        </w:rPr>
      </w:pPr>
      <w:r>
        <w:rPr>
          <w:rFonts w:hint="eastAsia"/>
          <w:highlight w:val="none"/>
        </w:rPr>
        <w:t>第二阶段</w:t>
      </w:r>
      <w:r>
        <w:rPr>
          <w:rFonts w:hint="eastAsia"/>
          <w:szCs w:val="22"/>
          <w:highlight w:val="none"/>
        </w:rPr>
        <w:t>（4个月）</w:t>
      </w:r>
      <w:r>
        <w:rPr>
          <w:rFonts w:hint="eastAsia"/>
          <w:highlight w:val="none"/>
        </w:rPr>
        <w:t>：完成系统功能的开发与测试；</w:t>
      </w:r>
    </w:p>
    <w:p w14:paraId="64254E52">
      <w:pPr>
        <w:rPr>
          <w:rFonts w:hint="eastAsia"/>
          <w:highlight w:val="none"/>
        </w:rPr>
      </w:pPr>
      <w:r>
        <w:rPr>
          <w:rFonts w:hint="eastAsia"/>
          <w:highlight w:val="none"/>
        </w:rPr>
        <w:t>第二阶段</w:t>
      </w:r>
      <w:r>
        <w:rPr>
          <w:rFonts w:hint="eastAsia"/>
          <w:szCs w:val="22"/>
          <w:highlight w:val="none"/>
        </w:rPr>
        <w:t>（2个月）</w:t>
      </w:r>
      <w:r>
        <w:rPr>
          <w:rFonts w:hint="eastAsia"/>
          <w:highlight w:val="none"/>
        </w:rPr>
        <w:t>：系统上线试运行，完成验收。</w:t>
      </w:r>
    </w:p>
    <w:p w14:paraId="222D9A00">
      <w:pPr>
        <w:pStyle w:val="3"/>
        <w:ind w:hanging="1135"/>
        <w:rPr>
          <w:rFonts w:hint="eastAsia" w:ascii="宋体" w:hAnsi="宋体" w:eastAsia="宋体"/>
          <w:highlight w:val="none"/>
        </w:rPr>
      </w:pPr>
      <w:r>
        <w:rPr>
          <w:rFonts w:hint="eastAsia" w:ascii="宋体" w:hAnsi="宋体" w:eastAsia="宋体"/>
          <w:highlight w:val="none"/>
          <w:lang w:eastAsia="zh-CN"/>
        </w:rPr>
        <w:t>企业综合实力要求</w:t>
      </w:r>
    </w:p>
    <w:p w14:paraId="227FF403">
      <w:pPr>
        <w:rPr>
          <w:rFonts w:hint="eastAsia" w:ascii="宋体" w:hAnsi="宋体" w:eastAsia="宋体"/>
          <w:highlight w:val="none"/>
        </w:rPr>
      </w:pPr>
      <w:r>
        <w:rPr>
          <w:rFonts w:hint="eastAsia" w:ascii="宋体" w:hAnsi="宋体" w:eastAsia="宋体"/>
          <w:highlight w:val="none"/>
          <w:lang w:val="en-US" w:eastAsia="zh-CN"/>
        </w:rPr>
        <w:t>1.</w:t>
      </w:r>
      <w:r>
        <w:rPr>
          <w:rFonts w:hint="eastAsia" w:ascii="宋体" w:hAnsi="宋体" w:eastAsia="宋体"/>
          <w:highlight w:val="none"/>
        </w:rPr>
        <w:t>供应商具有与本项目需求相关的软件著作权证书</w:t>
      </w:r>
      <w:r>
        <w:rPr>
          <w:rFonts w:hint="eastAsia" w:ascii="宋体" w:hAnsi="宋体" w:eastAsia="宋体"/>
          <w:highlight w:val="none"/>
          <w:lang w:eastAsia="zh-CN"/>
        </w:rPr>
        <w:t>，包括行政执法处置类、行政执法监督类、建筑垃圾监管类的优先考虑</w:t>
      </w:r>
      <w:r>
        <w:rPr>
          <w:rFonts w:hint="eastAsia" w:ascii="宋体" w:hAnsi="宋体" w:eastAsia="宋体"/>
          <w:highlight w:val="none"/>
        </w:rPr>
        <w:t>。</w:t>
      </w:r>
    </w:p>
    <w:p w14:paraId="5FA5FE51">
      <w:pPr>
        <w:spacing w:line="360" w:lineRule="auto"/>
        <w:ind w:firstLine="600" w:firstLineChars="250"/>
        <w:rPr>
          <w:rFonts w:hint="eastAsia" w:ascii="宋体"/>
          <w:szCs w:val="21"/>
        </w:rPr>
      </w:pPr>
      <w:r>
        <w:rPr>
          <w:rFonts w:hint="eastAsia" w:ascii="宋体" w:hAnsi="宋体" w:eastAsia="宋体"/>
          <w:highlight w:val="none"/>
          <w:lang w:val="en-US" w:eastAsia="zh-CN"/>
        </w:rPr>
        <w:t>2.</w:t>
      </w:r>
      <w:r>
        <w:rPr>
          <w:rFonts w:hint="eastAsia" w:ascii="宋体"/>
          <w:szCs w:val="21"/>
        </w:rPr>
        <w:t>供应商具有近三年政务类信息化系统开发或升级改造项目业绩的，并提供有效项目业绩的业主满意度评价，且评价内容无负面评价的优先考虑。</w:t>
      </w:r>
    </w:p>
    <w:p w14:paraId="012B76AA">
      <w:pPr>
        <w:pStyle w:val="3"/>
        <w:ind w:hanging="1135"/>
        <w:rPr>
          <w:rFonts w:hint="eastAsia"/>
          <w:highlight w:val="none"/>
        </w:rPr>
      </w:pPr>
      <w:bookmarkStart w:id="31" w:name="_Toc63785510"/>
      <w:r>
        <w:rPr>
          <w:rFonts w:hint="eastAsia"/>
          <w:highlight w:val="none"/>
        </w:rPr>
        <w:t>项目团队及驻场人员要求</w:t>
      </w:r>
      <w:bookmarkEnd w:id="31"/>
    </w:p>
    <w:p w14:paraId="46C6315D">
      <w:pPr>
        <w:rPr>
          <w:highlight w:val="none"/>
        </w:rPr>
      </w:pPr>
      <w:r>
        <w:rPr>
          <w:highlight w:val="none"/>
        </w:rPr>
        <w:t>1）</w:t>
      </w:r>
      <w:r>
        <w:rPr>
          <w:rFonts w:hint="eastAsia"/>
          <w:highlight w:val="none"/>
          <w:lang w:eastAsia="zh-CN"/>
        </w:rPr>
        <w:t>响应供应商</w:t>
      </w:r>
      <w:r>
        <w:rPr>
          <w:highlight w:val="none"/>
        </w:rPr>
        <w:t>须具有稳定的在职技术保障力量，能够提供及时的技术支援或服务，应针对本项目提供不少于</w:t>
      </w:r>
      <w:r>
        <w:rPr>
          <w:rFonts w:hint="eastAsia"/>
          <w:highlight w:val="none"/>
        </w:rPr>
        <w:t>13</w:t>
      </w:r>
      <w:r>
        <w:rPr>
          <w:highlight w:val="none"/>
        </w:rPr>
        <w:t>人的项目</w:t>
      </w:r>
      <w:r>
        <w:rPr>
          <w:rFonts w:hint="eastAsia"/>
          <w:highlight w:val="none"/>
          <w:lang w:eastAsia="zh-CN"/>
        </w:rPr>
        <w:t>开发</w:t>
      </w:r>
      <w:r>
        <w:rPr>
          <w:highlight w:val="none"/>
        </w:rPr>
        <w:t>服务团队（包括项目经理、产品经理、</w:t>
      </w:r>
      <w:r>
        <w:rPr>
          <w:rFonts w:hint="eastAsia"/>
          <w:highlight w:val="none"/>
        </w:rPr>
        <w:t>技术工程师</w:t>
      </w:r>
      <w:r>
        <w:rPr>
          <w:highlight w:val="none"/>
        </w:rPr>
        <w:t>等），</w:t>
      </w:r>
      <w:r>
        <w:rPr>
          <w:rFonts w:hint="eastAsia"/>
          <w:highlight w:val="none"/>
          <w:lang w:eastAsia="zh-CN"/>
        </w:rPr>
        <w:t>响应供应商</w:t>
      </w:r>
      <w:r>
        <w:rPr>
          <w:highlight w:val="none"/>
        </w:rPr>
        <w:t>的相关服务人员需具备相应的服务能力，需提供相关证明。</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6"/>
        <w:gridCol w:w="2714"/>
        <w:gridCol w:w="1387"/>
        <w:gridCol w:w="1636"/>
        <w:gridCol w:w="1375"/>
      </w:tblGrid>
      <w:tr w14:paraId="02E74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16" w:type="dxa"/>
            <w:noWrap/>
            <w:vAlign w:val="center"/>
          </w:tcPr>
          <w:p w14:paraId="191EE9FB">
            <w:pPr>
              <w:widowControl/>
              <w:spacing w:line="240" w:lineRule="auto"/>
              <w:ind w:firstLine="0" w:firstLineChars="0"/>
              <w:jc w:val="center"/>
              <w:rPr>
                <w:b/>
                <w:highlight w:val="none"/>
              </w:rPr>
            </w:pPr>
            <w:r>
              <w:rPr>
                <w:rFonts w:hint="eastAsia"/>
                <w:b/>
                <w:highlight w:val="none"/>
              </w:rPr>
              <w:t>角色</w:t>
            </w:r>
          </w:p>
        </w:tc>
        <w:tc>
          <w:tcPr>
            <w:tcW w:w="2714" w:type="dxa"/>
            <w:noWrap/>
            <w:vAlign w:val="center"/>
          </w:tcPr>
          <w:p w14:paraId="2F01193D">
            <w:pPr>
              <w:widowControl/>
              <w:spacing w:line="240" w:lineRule="auto"/>
              <w:ind w:firstLine="0" w:firstLineChars="0"/>
              <w:jc w:val="center"/>
              <w:rPr>
                <w:b/>
                <w:highlight w:val="none"/>
              </w:rPr>
            </w:pPr>
            <w:r>
              <w:rPr>
                <w:rFonts w:hint="eastAsia"/>
                <w:b/>
                <w:highlight w:val="none"/>
              </w:rPr>
              <w:t>主要职责</w:t>
            </w:r>
          </w:p>
        </w:tc>
        <w:tc>
          <w:tcPr>
            <w:tcW w:w="1387" w:type="dxa"/>
            <w:noWrap/>
            <w:vAlign w:val="center"/>
          </w:tcPr>
          <w:p w14:paraId="49308978">
            <w:pPr>
              <w:widowControl/>
              <w:spacing w:line="240" w:lineRule="auto"/>
              <w:ind w:firstLine="0" w:firstLineChars="0"/>
              <w:jc w:val="center"/>
              <w:rPr>
                <w:b/>
                <w:highlight w:val="none"/>
              </w:rPr>
            </w:pPr>
            <w:r>
              <w:rPr>
                <w:rFonts w:hint="eastAsia"/>
                <w:b/>
                <w:highlight w:val="none"/>
              </w:rPr>
              <w:t>人员数量</w:t>
            </w:r>
          </w:p>
        </w:tc>
        <w:tc>
          <w:tcPr>
            <w:tcW w:w="1636" w:type="dxa"/>
            <w:vAlign w:val="center"/>
          </w:tcPr>
          <w:p w14:paraId="69D9973B">
            <w:pPr>
              <w:widowControl/>
              <w:spacing w:line="240" w:lineRule="auto"/>
              <w:ind w:firstLine="0" w:firstLineChars="0"/>
              <w:jc w:val="center"/>
              <w:rPr>
                <w:b/>
                <w:highlight w:val="none"/>
              </w:rPr>
            </w:pPr>
            <w:r>
              <w:rPr>
                <w:rFonts w:hint="eastAsia"/>
                <w:b/>
                <w:highlight w:val="none"/>
              </w:rPr>
              <w:t>人员要求</w:t>
            </w:r>
          </w:p>
        </w:tc>
        <w:tc>
          <w:tcPr>
            <w:tcW w:w="1375" w:type="dxa"/>
            <w:noWrap/>
            <w:vAlign w:val="center"/>
          </w:tcPr>
          <w:p w14:paraId="5918F506">
            <w:pPr>
              <w:widowControl/>
              <w:spacing w:line="240" w:lineRule="auto"/>
              <w:ind w:firstLine="0" w:firstLineChars="0"/>
              <w:jc w:val="center"/>
              <w:rPr>
                <w:b/>
                <w:highlight w:val="none"/>
              </w:rPr>
            </w:pPr>
            <w:r>
              <w:rPr>
                <w:rFonts w:hint="eastAsia"/>
                <w:b/>
                <w:highlight w:val="none"/>
              </w:rPr>
              <w:t>驻场要求</w:t>
            </w:r>
          </w:p>
        </w:tc>
      </w:tr>
      <w:tr w14:paraId="2A5FF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16" w:type="dxa"/>
            <w:noWrap/>
            <w:vAlign w:val="center"/>
          </w:tcPr>
          <w:p w14:paraId="1CB757CD">
            <w:pPr>
              <w:widowControl/>
              <w:spacing w:line="240" w:lineRule="auto"/>
              <w:ind w:firstLine="0" w:firstLineChars="0"/>
              <w:jc w:val="center"/>
              <w:rPr>
                <w:highlight w:val="none"/>
              </w:rPr>
            </w:pPr>
            <w:r>
              <w:rPr>
                <w:rFonts w:hint="eastAsia"/>
                <w:highlight w:val="none"/>
              </w:rPr>
              <w:t>项目经理</w:t>
            </w:r>
          </w:p>
        </w:tc>
        <w:tc>
          <w:tcPr>
            <w:tcW w:w="2714" w:type="dxa"/>
            <w:vAlign w:val="center"/>
          </w:tcPr>
          <w:p w14:paraId="1B789BB0">
            <w:pPr>
              <w:widowControl/>
              <w:spacing w:line="240" w:lineRule="auto"/>
              <w:ind w:firstLine="0" w:firstLineChars="0"/>
              <w:jc w:val="center"/>
              <w:rPr>
                <w:highlight w:val="none"/>
              </w:rPr>
            </w:pPr>
            <w:r>
              <w:rPr>
                <w:rFonts w:hint="eastAsia"/>
                <w:highlight w:val="none"/>
              </w:rPr>
              <w:t>负责项目质量和进度控制</w:t>
            </w:r>
          </w:p>
        </w:tc>
        <w:tc>
          <w:tcPr>
            <w:tcW w:w="1387" w:type="dxa"/>
            <w:noWrap/>
            <w:vAlign w:val="center"/>
          </w:tcPr>
          <w:p w14:paraId="5CA9E163">
            <w:pPr>
              <w:widowControl/>
              <w:spacing w:line="240" w:lineRule="auto"/>
              <w:ind w:firstLine="0" w:firstLineChars="0"/>
              <w:jc w:val="center"/>
              <w:rPr>
                <w:highlight w:val="none"/>
              </w:rPr>
            </w:pPr>
            <w:r>
              <w:rPr>
                <w:rFonts w:hint="eastAsia"/>
                <w:highlight w:val="none"/>
              </w:rPr>
              <w:t>1人</w:t>
            </w:r>
          </w:p>
        </w:tc>
        <w:tc>
          <w:tcPr>
            <w:tcW w:w="1636" w:type="dxa"/>
            <w:vAlign w:val="center"/>
          </w:tcPr>
          <w:p w14:paraId="1442128A">
            <w:pPr>
              <w:widowControl/>
              <w:spacing w:line="240" w:lineRule="auto"/>
              <w:ind w:firstLine="0" w:firstLineChars="0"/>
              <w:jc w:val="center"/>
              <w:rPr>
                <w:highlight w:val="none"/>
              </w:rPr>
            </w:pPr>
            <w:r>
              <w:rPr>
                <w:rFonts w:hint="eastAsia"/>
                <w:highlight w:val="none"/>
              </w:rPr>
              <w:t>1.硕士及以上学历；</w:t>
            </w:r>
          </w:p>
          <w:p w14:paraId="2D20518F">
            <w:pPr>
              <w:widowControl/>
              <w:spacing w:line="240" w:lineRule="auto"/>
              <w:ind w:firstLine="0" w:firstLineChars="0"/>
              <w:jc w:val="center"/>
              <w:rPr>
                <w:highlight w:val="none"/>
              </w:rPr>
            </w:pPr>
            <w:r>
              <w:rPr>
                <w:rFonts w:hint="eastAsia"/>
                <w:highlight w:val="none"/>
              </w:rPr>
              <w:t>2.具备计算机技术与软件专业技术资格高级证书或计算机类高级</w:t>
            </w:r>
            <w:r>
              <w:rPr>
                <w:rFonts w:hint="eastAsia"/>
                <w:highlight w:val="none"/>
                <w:lang w:eastAsia="zh-CN"/>
              </w:rPr>
              <w:t>工程师</w:t>
            </w:r>
            <w:r>
              <w:rPr>
                <w:rFonts w:hint="eastAsia"/>
                <w:highlight w:val="none"/>
              </w:rPr>
              <w:t>职称</w:t>
            </w:r>
          </w:p>
        </w:tc>
        <w:tc>
          <w:tcPr>
            <w:tcW w:w="1375" w:type="dxa"/>
            <w:noWrap/>
            <w:vAlign w:val="center"/>
          </w:tcPr>
          <w:p w14:paraId="182050DC">
            <w:pPr>
              <w:widowControl/>
              <w:spacing w:line="240" w:lineRule="auto"/>
              <w:ind w:firstLine="0" w:firstLineChars="0"/>
              <w:jc w:val="center"/>
              <w:rPr>
                <w:highlight w:val="none"/>
              </w:rPr>
            </w:pPr>
            <w:r>
              <w:rPr>
                <w:rFonts w:hint="eastAsia"/>
                <w:highlight w:val="none"/>
              </w:rPr>
              <w:t>不驻场</w:t>
            </w:r>
          </w:p>
        </w:tc>
      </w:tr>
      <w:tr w14:paraId="47B98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16" w:type="dxa"/>
            <w:noWrap/>
            <w:vAlign w:val="center"/>
          </w:tcPr>
          <w:p w14:paraId="78F5D1D8">
            <w:pPr>
              <w:widowControl/>
              <w:spacing w:line="240" w:lineRule="auto"/>
              <w:ind w:firstLine="0" w:firstLineChars="0"/>
              <w:jc w:val="center"/>
              <w:rPr>
                <w:highlight w:val="none"/>
              </w:rPr>
            </w:pPr>
            <w:r>
              <w:rPr>
                <w:rFonts w:hint="eastAsia"/>
                <w:highlight w:val="none"/>
              </w:rPr>
              <w:t>产品经理</w:t>
            </w:r>
          </w:p>
        </w:tc>
        <w:tc>
          <w:tcPr>
            <w:tcW w:w="2714" w:type="dxa"/>
            <w:vAlign w:val="center"/>
          </w:tcPr>
          <w:p w14:paraId="5FD2B3A0">
            <w:pPr>
              <w:widowControl/>
              <w:spacing w:line="240" w:lineRule="auto"/>
              <w:ind w:firstLine="0" w:firstLineChars="0"/>
              <w:jc w:val="center"/>
              <w:rPr>
                <w:highlight w:val="none"/>
              </w:rPr>
            </w:pPr>
            <w:r>
              <w:rPr>
                <w:rFonts w:hint="eastAsia"/>
                <w:highlight w:val="none"/>
              </w:rPr>
              <w:t>负责项目需求评估与产品设计</w:t>
            </w:r>
          </w:p>
        </w:tc>
        <w:tc>
          <w:tcPr>
            <w:tcW w:w="1387" w:type="dxa"/>
            <w:noWrap/>
            <w:vAlign w:val="center"/>
          </w:tcPr>
          <w:p w14:paraId="56C76803">
            <w:pPr>
              <w:widowControl/>
              <w:spacing w:line="240" w:lineRule="auto"/>
              <w:ind w:firstLine="0" w:firstLineChars="0"/>
              <w:jc w:val="center"/>
              <w:rPr>
                <w:highlight w:val="none"/>
              </w:rPr>
            </w:pPr>
            <w:r>
              <w:rPr>
                <w:rFonts w:hint="eastAsia"/>
                <w:highlight w:val="none"/>
              </w:rPr>
              <w:t>3人</w:t>
            </w:r>
          </w:p>
        </w:tc>
        <w:tc>
          <w:tcPr>
            <w:tcW w:w="1636" w:type="dxa"/>
            <w:vAlign w:val="center"/>
          </w:tcPr>
          <w:p w14:paraId="63F88475">
            <w:pPr>
              <w:widowControl/>
              <w:spacing w:line="240" w:lineRule="auto"/>
              <w:ind w:firstLine="0" w:firstLineChars="0"/>
              <w:jc w:val="center"/>
              <w:rPr>
                <w:highlight w:val="none"/>
              </w:rPr>
            </w:pPr>
          </w:p>
        </w:tc>
        <w:tc>
          <w:tcPr>
            <w:tcW w:w="1375" w:type="dxa"/>
            <w:noWrap/>
            <w:vAlign w:val="center"/>
          </w:tcPr>
          <w:p w14:paraId="7182C60B">
            <w:pPr>
              <w:widowControl/>
              <w:spacing w:line="240" w:lineRule="auto"/>
              <w:ind w:firstLine="0" w:firstLineChars="0"/>
              <w:jc w:val="center"/>
              <w:rPr>
                <w:highlight w:val="none"/>
              </w:rPr>
            </w:pPr>
            <w:r>
              <w:rPr>
                <w:rFonts w:hint="eastAsia"/>
                <w:highlight w:val="none"/>
              </w:rPr>
              <w:t>不驻场</w:t>
            </w:r>
          </w:p>
        </w:tc>
      </w:tr>
      <w:tr w14:paraId="0B55F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16" w:type="dxa"/>
            <w:noWrap/>
            <w:vAlign w:val="center"/>
          </w:tcPr>
          <w:p w14:paraId="0988B4E4">
            <w:pPr>
              <w:widowControl/>
              <w:spacing w:line="240" w:lineRule="auto"/>
              <w:ind w:firstLine="0" w:firstLineChars="0"/>
              <w:jc w:val="center"/>
              <w:rPr>
                <w:highlight w:val="none"/>
              </w:rPr>
            </w:pPr>
            <w:r>
              <w:rPr>
                <w:rFonts w:hint="eastAsia"/>
                <w:highlight w:val="none"/>
              </w:rPr>
              <w:t>技术工程师</w:t>
            </w:r>
          </w:p>
        </w:tc>
        <w:tc>
          <w:tcPr>
            <w:tcW w:w="2714" w:type="dxa"/>
            <w:noWrap/>
            <w:vAlign w:val="center"/>
          </w:tcPr>
          <w:p w14:paraId="508C0F38">
            <w:pPr>
              <w:widowControl/>
              <w:spacing w:line="240" w:lineRule="auto"/>
              <w:ind w:firstLine="0" w:firstLineChars="0"/>
              <w:jc w:val="center"/>
              <w:rPr>
                <w:highlight w:val="none"/>
              </w:rPr>
            </w:pPr>
            <w:r>
              <w:rPr>
                <w:rFonts w:hint="eastAsia"/>
                <w:highlight w:val="none"/>
              </w:rPr>
              <w:t>负责项目具体开发与实施</w:t>
            </w:r>
          </w:p>
        </w:tc>
        <w:tc>
          <w:tcPr>
            <w:tcW w:w="1387" w:type="dxa"/>
            <w:noWrap/>
            <w:vAlign w:val="center"/>
          </w:tcPr>
          <w:p w14:paraId="32BCBF5D">
            <w:pPr>
              <w:widowControl/>
              <w:spacing w:line="240" w:lineRule="auto"/>
              <w:ind w:firstLine="0" w:firstLineChars="0"/>
              <w:jc w:val="center"/>
              <w:rPr>
                <w:highlight w:val="none"/>
              </w:rPr>
            </w:pPr>
            <w:r>
              <w:rPr>
                <w:rFonts w:hint="eastAsia"/>
                <w:highlight w:val="none"/>
              </w:rPr>
              <w:t>9人</w:t>
            </w:r>
          </w:p>
        </w:tc>
        <w:tc>
          <w:tcPr>
            <w:tcW w:w="1636" w:type="dxa"/>
            <w:vAlign w:val="center"/>
          </w:tcPr>
          <w:p w14:paraId="107E1BD9">
            <w:pPr>
              <w:widowControl/>
              <w:spacing w:line="240" w:lineRule="auto"/>
              <w:ind w:firstLine="0" w:firstLineChars="0"/>
              <w:jc w:val="center"/>
              <w:rPr>
                <w:highlight w:val="none"/>
              </w:rPr>
            </w:pPr>
          </w:p>
        </w:tc>
        <w:tc>
          <w:tcPr>
            <w:tcW w:w="1375" w:type="dxa"/>
            <w:noWrap/>
            <w:vAlign w:val="center"/>
          </w:tcPr>
          <w:p w14:paraId="44FC9164">
            <w:pPr>
              <w:widowControl/>
              <w:spacing w:line="240" w:lineRule="auto"/>
              <w:ind w:firstLine="0" w:firstLineChars="0"/>
              <w:jc w:val="center"/>
              <w:rPr>
                <w:highlight w:val="none"/>
              </w:rPr>
            </w:pPr>
            <w:r>
              <w:rPr>
                <w:rFonts w:hint="eastAsia"/>
                <w:highlight w:val="none"/>
              </w:rPr>
              <w:t>至少4人驻场</w:t>
            </w:r>
          </w:p>
        </w:tc>
      </w:tr>
    </w:tbl>
    <w:p w14:paraId="7F346448">
      <w:pPr>
        <w:rPr>
          <w:highlight w:val="none"/>
        </w:rPr>
      </w:pPr>
      <w:r>
        <w:rPr>
          <w:highlight w:val="none"/>
        </w:rPr>
        <w:t>2）</w:t>
      </w:r>
      <w:r>
        <w:rPr>
          <w:rFonts w:hint="eastAsia"/>
          <w:highlight w:val="none"/>
          <w:lang w:eastAsia="zh-CN"/>
        </w:rPr>
        <w:t>响应供应商</w:t>
      </w:r>
      <w:r>
        <w:rPr>
          <w:highlight w:val="none"/>
        </w:rPr>
        <w:t>应针对本项目提供不少于</w:t>
      </w:r>
      <w:r>
        <w:rPr>
          <w:rFonts w:hint="eastAsia"/>
          <w:highlight w:val="none"/>
        </w:rPr>
        <w:t>4</w:t>
      </w:r>
      <w:r>
        <w:rPr>
          <w:highlight w:val="none"/>
        </w:rPr>
        <w:t>人的质保期间支撑团队（其中</w:t>
      </w:r>
      <w:r>
        <w:rPr>
          <w:rFonts w:hint="eastAsia"/>
          <w:highlight w:val="none"/>
        </w:rPr>
        <w:t>项目</w:t>
      </w:r>
      <w:r>
        <w:rPr>
          <w:highlight w:val="none"/>
        </w:rPr>
        <w:t>经理</w:t>
      </w:r>
      <w:r>
        <w:rPr>
          <w:rFonts w:hint="eastAsia"/>
          <w:highlight w:val="none"/>
        </w:rPr>
        <w:t>1</w:t>
      </w:r>
      <w:r>
        <w:rPr>
          <w:highlight w:val="none"/>
        </w:rPr>
        <w:t>人，产品经理</w:t>
      </w:r>
      <w:r>
        <w:rPr>
          <w:rFonts w:hint="eastAsia"/>
          <w:highlight w:val="none"/>
        </w:rPr>
        <w:t>1</w:t>
      </w:r>
      <w:r>
        <w:rPr>
          <w:highlight w:val="none"/>
        </w:rPr>
        <w:t>人，技术工程师不少于</w:t>
      </w:r>
      <w:r>
        <w:rPr>
          <w:rFonts w:hint="eastAsia"/>
          <w:highlight w:val="none"/>
        </w:rPr>
        <w:t>2</w:t>
      </w:r>
      <w:r>
        <w:rPr>
          <w:highlight w:val="none"/>
        </w:rPr>
        <w:t>人）；</w:t>
      </w:r>
      <w:r>
        <w:rPr>
          <w:rFonts w:hint="eastAsia"/>
          <w:highlight w:val="none"/>
          <w:lang w:eastAsia="zh-CN"/>
        </w:rPr>
        <w:t>响应供应商</w:t>
      </w:r>
      <w:r>
        <w:rPr>
          <w:highlight w:val="none"/>
        </w:rPr>
        <w:t>的相关服务人员需具备相应的服务能力，需提供相关证明（最近一个季度依法缴纳社保费的证明）。</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6"/>
        <w:gridCol w:w="2698"/>
        <w:gridCol w:w="1408"/>
        <w:gridCol w:w="1639"/>
        <w:gridCol w:w="1367"/>
      </w:tblGrid>
      <w:tr w14:paraId="1D401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16" w:type="dxa"/>
            <w:noWrap/>
            <w:vAlign w:val="center"/>
          </w:tcPr>
          <w:p w14:paraId="01A343B4">
            <w:pPr>
              <w:widowControl/>
              <w:spacing w:line="240" w:lineRule="auto"/>
              <w:ind w:firstLine="0" w:firstLineChars="0"/>
              <w:jc w:val="center"/>
              <w:rPr>
                <w:b/>
                <w:highlight w:val="none"/>
              </w:rPr>
            </w:pPr>
            <w:r>
              <w:rPr>
                <w:rFonts w:hint="eastAsia"/>
                <w:b/>
                <w:highlight w:val="none"/>
              </w:rPr>
              <w:t>角色</w:t>
            </w:r>
          </w:p>
        </w:tc>
        <w:tc>
          <w:tcPr>
            <w:tcW w:w="2698" w:type="dxa"/>
            <w:noWrap/>
            <w:vAlign w:val="center"/>
          </w:tcPr>
          <w:p w14:paraId="0656287F">
            <w:pPr>
              <w:widowControl/>
              <w:spacing w:line="240" w:lineRule="auto"/>
              <w:ind w:firstLine="0" w:firstLineChars="0"/>
              <w:jc w:val="center"/>
              <w:rPr>
                <w:b/>
                <w:highlight w:val="none"/>
              </w:rPr>
            </w:pPr>
            <w:r>
              <w:rPr>
                <w:rFonts w:hint="eastAsia"/>
                <w:b/>
                <w:highlight w:val="none"/>
              </w:rPr>
              <w:t>主要职责</w:t>
            </w:r>
          </w:p>
        </w:tc>
        <w:tc>
          <w:tcPr>
            <w:tcW w:w="1408" w:type="dxa"/>
            <w:noWrap/>
            <w:vAlign w:val="center"/>
          </w:tcPr>
          <w:p w14:paraId="448DC546">
            <w:pPr>
              <w:widowControl/>
              <w:spacing w:line="240" w:lineRule="auto"/>
              <w:ind w:firstLine="0" w:firstLineChars="0"/>
              <w:jc w:val="center"/>
              <w:rPr>
                <w:b/>
                <w:highlight w:val="none"/>
              </w:rPr>
            </w:pPr>
            <w:r>
              <w:rPr>
                <w:rFonts w:hint="eastAsia"/>
                <w:b/>
                <w:highlight w:val="none"/>
              </w:rPr>
              <w:t>人员数量</w:t>
            </w:r>
          </w:p>
        </w:tc>
        <w:tc>
          <w:tcPr>
            <w:tcW w:w="1639" w:type="dxa"/>
            <w:vAlign w:val="center"/>
          </w:tcPr>
          <w:p w14:paraId="1486C1A3">
            <w:pPr>
              <w:widowControl/>
              <w:spacing w:line="240" w:lineRule="auto"/>
              <w:ind w:firstLine="0" w:firstLineChars="0"/>
              <w:jc w:val="center"/>
              <w:rPr>
                <w:b/>
                <w:highlight w:val="none"/>
              </w:rPr>
            </w:pPr>
            <w:r>
              <w:rPr>
                <w:rFonts w:hint="eastAsia"/>
                <w:b/>
                <w:highlight w:val="none"/>
              </w:rPr>
              <w:t>人员要求</w:t>
            </w:r>
          </w:p>
        </w:tc>
        <w:tc>
          <w:tcPr>
            <w:tcW w:w="1367" w:type="dxa"/>
            <w:noWrap/>
            <w:vAlign w:val="center"/>
          </w:tcPr>
          <w:p w14:paraId="1F031D17">
            <w:pPr>
              <w:widowControl/>
              <w:spacing w:line="240" w:lineRule="auto"/>
              <w:ind w:firstLine="0" w:firstLineChars="0"/>
              <w:jc w:val="center"/>
              <w:rPr>
                <w:b/>
                <w:highlight w:val="none"/>
              </w:rPr>
            </w:pPr>
            <w:r>
              <w:rPr>
                <w:rFonts w:hint="eastAsia"/>
                <w:b/>
                <w:highlight w:val="none"/>
              </w:rPr>
              <w:t>驻场要求</w:t>
            </w:r>
          </w:p>
        </w:tc>
      </w:tr>
      <w:tr w14:paraId="6BFE7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16" w:type="dxa"/>
            <w:noWrap/>
            <w:vAlign w:val="center"/>
          </w:tcPr>
          <w:p w14:paraId="315349CC">
            <w:pPr>
              <w:widowControl/>
              <w:spacing w:line="240" w:lineRule="auto"/>
              <w:ind w:firstLine="0" w:firstLineChars="0"/>
              <w:jc w:val="center"/>
              <w:rPr>
                <w:highlight w:val="none"/>
              </w:rPr>
            </w:pPr>
            <w:r>
              <w:rPr>
                <w:rFonts w:hint="eastAsia"/>
                <w:highlight w:val="none"/>
              </w:rPr>
              <w:t>项目经理</w:t>
            </w:r>
          </w:p>
        </w:tc>
        <w:tc>
          <w:tcPr>
            <w:tcW w:w="2698" w:type="dxa"/>
            <w:vAlign w:val="center"/>
          </w:tcPr>
          <w:p w14:paraId="2D7F368F">
            <w:pPr>
              <w:widowControl/>
              <w:spacing w:line="240" w:lineRule="auto"/>
              <w:ind w:firstLine="0" w:firstLineChars="0"/>
              <w:jc w:val="center"/>
              <w:rPr>
                <w:highlight w:val="none"/>
              </w:rPr>
            </w:pPr>
            <w:r>
              <w:rPr>
                <w:rFonts w:hint="eastAsia"/>
                <w:highlight w:val="none"/>
              </w:rPr>
              <w:t>负责项目质量和进度控制</w:t>
            </w:r>
          </w:p>
        </w:tc>
        <w:tc>
          <w:tcPr>
            <w:tcW w:w="1408" w:type="dxa"/>
            <w:noWrap/>
            <w:vAlign w:val="center"/>
          </w:tcPr>
          <w:p w14:paraId="5F43B6BC">
            <w:pPr>
              <w:widowControl/>
              <w:spacing w:line="240" w:lineRule="auto"/>
              <w:ind w:firstLine="0" w:firstLineChars="0"/>
              <w:jc w:val="center"/>
              <w:rPr>
                <w:highlight w:val="none"/>
              </w:rPr>
            </w:pPr>
            <w:r>
              <w:rPr>
                <w:rFonts w:hint="eastAsia"/>
                <w:highlight w:val="none"/>
              </w:rPr>
              <w:t>1人</w:t>
            </w:r>
          </w:p>
        </w:tc>
        <w:tc>
          <w:tcPr>
            <w:tcW w:w="1639" w:type="dxa"/>
            <w:vAlign w:val="center"/>
          </w:tcPr>
          <w:p w14:paraId="59A9B096">
            <w:pPr>
              <w:widowControl/>
              <w:spacing w:line="240" w:lineRule="auto"/>
              <w:ind w:firstLine="0" w:firstLineChars="0"/>
              <w:jc w:val="center"/>
              <w:rPr>
                <w:highlight w:val="none"/>
              </w:rPr>
            </w:pPr>
            <w:r>
              <w:rPr>
                <w:rFonts w:hint="eastAsia"/>
                <w:highlight w:val="none"/>
              </w:rPr>
              <w:t>1.硕士及以上学历；</w:t>
            </w:r>
          </w:p>
          <w:p w14:paraId="276C7405">
            <w:pPr>
              <w:widowControl/>
              <w:spacing w:line="240" w:lineRule="auto"/>
              <w:ind w:firstLine="0" w:firstLineChars="0"/>
              <w:jc w:val="center"/>
              <w:rPr>
                <w:highlight w:val="none"/>
              </w:rPr>
            </w:pPr>
            <w:r>
              <w:rPr>
                <w:rFonts w:hint="eastAsia"/>
                <w:highlight w:val="none"/>
              </w:rPr>
              <w:t>2.具备计算机技术与软件专业技术资格高级及以上证书或计算机类高级</w:t>
            </w:r>
            <w:r>
              <w:rPr>
                <w:rFonts w:hint="eastAsia"/>
                <w:highlight w:val="none"/>
                <w:lang w:eastAsia="zh-CN"/>
              </w:rPr>
              <w:t>工程师</w:t>
            </w:r>
            <w:r>
              <w:rPr>
                <w:rFonts w:hint="eastAsia"/>
                <w:highlight w:val="none"/>
              </w:rPr>
              <w:t>职称</w:t>
            </w:r>
          </w:p>
        </w:tc>
        <w:tc>
          <w:tcPr>
            <w:tcW w:w="1367" w:type="dxa"/>
            <w:noWrap/>
            <w:vAlign w:val="center"/>
          </w:tcPr>
          <w:p w14:paraId="54291114">
            <w:pPr>
              <w:widowControl/>
              <w:spacing w:line="240" w:lineRule="auto"/>
              <w:ind w:firstLine="0" w:firstLineChars="0"/>
              <w:jc w:val="center"/>
              <w:rPr>
                <w:highlight w:val="none"/>
              </w:rPr>
            </w:pPr>
            <w:r>
              <w:rPr>
                <w:rFonts w:hint="eastAsia"/>
                <w:highlight w:val="none"/>
              </w:rPr>
              <w:t>不驻场</w:t>
            </w:r>
          </w:p>
        </w:tc>
      </w:tr>
      <w:tr w14:paraId="43DFB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16" w:type="dxa"/>
            <w:noWrap/>
            <w:vAlign w:val="center"/>
          </w:tcPr>
          <w:p w14:paraId="4A60C76A">
            <w:pPr>
              <w:widowControl/>
              <w:spacing w:line="240" w:lineRule="auto"/>
              <w:ind w:firstLine="0" w:firstLineChars="0"/>
              <w:jc w:val="center"/>
              <w:rPr>
                <w:highlight w:val="none"/>
              </w:rPr>
            </w:pPr>
            <w:r>
              <w:rPr>
                <w:rFonts w:hint="eastAsia"/>
                <w:highlight w:val="none"/>
              </w:rPr>
              <w:t>产品经理</w:t>
            </w:r>
          </w:p>
        </w:tc>
        <w:tc>
          <w:tcPr>
            <w:tcW w:w="2698" w:type="dxa"/>
            <w:vAlign w:val="center"/>
          </w:tcPr>
          <w:p w14:paraId="53EAE1E8">
            <w:pPr>
              <w:widowControl/>
              <w:spacing w:line="240" w:lineRule="auto"/>
              <w:ind w:firstLine="0" w:firstLineChars="0"/>
              <w:jc w:val="center"/>
              <w:rPr>
                <w:highlight w:val="none"/>
              </w:rPr>
            </w:pPr>
            <w:r>
              <w:rPr>
                <w:rFonts w:hint="eastAsia"/>
                <w:highlight w:val="none"/>
              </w:rPr>
              <w:t>负责项目需求评估与产品设计</w:t>
            </w:r>
          </w:p>
        </w:tc>
        <w:tc>
          <w:tcPr>
            <w:tcW w:w="1408" w:type="dxa"/>
            <w:noWrap/>
            <w:vAlign w:val="center"/>
          </w:tcPr>
          <w:p w14:paraId="7BB03613">
            <w:pPr>
              <w:widowControl/>
              <w:spacing w:line="240" w:lineRule="auto"/>
              <w:ind w:firstLine="0" w:firstLineChars="0"/>
              <w:jc w:val="center"/>
              <w:rPr>
                <w:highlight w:val="none"/>
              </w:rPr>
            </w:pPr>
            <w:r>
              <w:rPr>
                <w:rFonts w:hint="eastAsia"/>
                <w:highlight w:val="none"/>
              </w:rPr>
              <w:t>1人</w:t>
            </w:r>
          </w:p>
        </w:tc>
        <w:tc>
          <w:tcPr>
            <w:tcW w:w="1639" w:type="dxa"/>
            <w:vAlign w:val="center"/>
          </w:tcPr>
          <w:p w14:paraId="2097181C">
            <w:pPr>
              <w:widowControl/>
              <w:spacing w:line="240" w:lineRule="auto"/>
              <w:ind w:firstLine="0" w:firstLineChars="0"/>
              <w:jc w:val="left"/>
              <w:rPr>
                <w:highlight w:val="none"/>
              </w:rPr>
            </w:pPr>
          </w:p>
        </w:tc>
        <w:tc>
          <w:tcPr>
            <w:tcW w:w="1367" w:type="dxa"/>
            <w:noWrap/>
            <w:vAlign w:val="center"/>
          </w:tcPr>
          <w:p w14:paraId="50F66DAA">
            <w:pPr>
              <w:widowControl/>
              <w:spacing w:line="240" w:lineRule="auto"/>
              <w:ind w:firstLine="0" w:firstLineChars="0"/>
              <w:jc w:val="center"/>
              <w:rPr>
                <w:highlight w:val="none"/>
              </w:rPr>
            </w:pPr>
            <w:r>
              <w:rPr>
                <w:rFonts w:hint="eastAsia"/>
                <w:highlight w:val="none"/>
              </w:rPr>
              <w:t>不驻场</w:t>
            </w:r>
          </w:p>
        </w:tc>
      </w:tr>
      <w:tr w14:paraId="48B1C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16" w:type="dxa"/>
            <w:noWrap/>
            <w:vAlign w:val="center"/>
          </w:tcPr>
          <w:p w14:paraId="716926DF">
            <w:pPr>
              <w:widowControl/>
              <w:spacing w:line="240" w:lineRule="auto"/>
              <w:ind w:firstLine="0" w:firstLineChars="0"/>
              <w:jc w:val="center"/>
              <w:rPr>
                <w:highlight w:val="none"/>
              </w:rPr>
            </w:pPr>
            <w:r>
              <w:rPr>
                <w:rFonts w:hint="eastAsia"/>
                <w:highlight w:val="none"/>
              </w:rPr>
              <w:t>技术工程师</w:t>
            </w:r>
          </w:p>
        </w:tc>
        <w:tc>
          <w:tcPr>
            <w:tcW w:w="2698" w:type="dxa"/>
            <w:noWrap/>
            <w:vAlign w:val="center"/>
          </w:tcPr>
          <w:p w14:paraId="34A2D2FF">
            <w:pPr>
              <w:widowControl/>
              <w:spacing w:line="240" w:lineRule="auto"/>
              <w:ind w:firstLine="0" w:firstLineChars="0"/>
              <w:jc w:val="center"/>
              <w:rPr>
                <w:highlight w:val="none"/>
              </w:rPr>
            </w:pPr>
            <w:r>
              <w:rPr>
                <w:rFonts w:hint="eastAsia"/>
                <w:highlight w:val="none"/>
              </w:rPr>
              <w:t>负责项目运行维护</w:t>
            </w:r>
          </w:p>
        </w:tc>
        <w:tc>
          <w:tcPr>
            <w:tcW w:w="1408" w:type="dxa"/>
            <w:noWrap/>
            <w:vAlign w:val="center"/>
          </w:tcPr>
          <w:p w14:paraId="6A0A2129">
            <w:pPr>
              <w:widowControl/>
              <w:spacing w:line="240" w:lineRule="auto"/>
              <w:ind w:firstLine="0" w:firstLineChars="0"/>
              <w:jc w:val="center"/>
              <w:rPr>
                <w:highlight w:val="none"/>
              </w:rPr>
            </w:pPr>
            <w:r>
              <w:rPr>
                <w:rFonts w:hint="eastAsia"/>
                <w:highlight w:val="none"/>
              </w:rPr>
              <w:t>2人</w:t>
            </w:r>
          </w:p>
        </w:tc>
        <w:tc>
          <w:tcPr>
            <w:tcW w:w="1639" w:type="dxa"/>
            <w:vAlign w:val="center"/>
          </w:tcPr>
          <w:p w14:paraId="56F8DEAD">
            <w:pPr>
              <w:widowControl/>
              <w:spacing w:line="240" w:lineRule="auto"/>
              <w:ind w:firstLine="0" w:firstLineChars="0"/>
              <w:jc w:val="center"/>
              <w:rPr>
                <w:highlight w:val="none"/>
              </w:rPr>
            </w:pPr>
          </w:p>
        </w:tc>
        <w:tc>
          <w:tcPr>
            <w:tcW w:w="1367" w:type="dxa"/>
            <w:noWrap/>
            <w:vAlign w:val="center"/>
          </w:tcPr>
          <w:p w14:paraId="0E6149AE">
            <w:pPr>
              <w:widowControl/>
              <w:spacing w:line="240" w:lineRule="auto"/>
              <w:ind w:firstLine="0" w:firstLineChars="0"/>
              <w:jc w:val="center"/>
              <w:rPr>
                <w:highlight w:val="none"/>
              </w:rPr>
            </w:pPr>
            <w:r>
              <w:rPr>
                <w:rFonts w:hint="eastAsia"/>
                <w:highlight w:val="none"/>
              </w:rPr>
              <w:t>驻场</w:t>
            </w:r>
          </w:p>
        </w:tc>
      </w:tr>
    </w:tbl>
    <w:p w14:paraId="748847E6">
      <w:pPr>
        <w:pStyle w:val="3"/>
        <w:ind w:hanging="1135"/>
        <w:rPr>
          <w:rFonts w:hint="eastAsia"/>
          <w:highlight w:val="none"/>
        </w:rPr>
      </w:pPr>
      <w:bookmarkStart w:id="32" w:name="_Toc63785511"/>
      <w:r>
        <w:rPr>
          <w:rFonts w:hint="eastAsia"/>
          <w:highlight w:val="none"/>
        </w:rPr>
        <w:t>等级保护要求</w:t>
      </w:r>
      <w:bookmarkEnd w:id="32"/>
    </w:p>
    <w:p w14:paraId="10B01E74">
      <w:pPr>
        <w:rPr>
          <w:highlight w:val="none"/>
        </w:rPr>
      </w:pPr>
      <w:r>
        <w:rPr>
          <w:highlight w:val="none"/>
        </w:rPr>
        <w:t>本项目等级保护要求：</w:t>
      </w:r>
      <w:r>
        <w:rPr>
          <w:rFonts w:hint="eastAsia"/>
          <w:highlight w:val="none"/>
        </w:rPr>
        <w:t>参照等保二级要求建设。</w:t>
      </w:r>
    </w:p>
    <w:p w14:paraId="439FAD28">
      <w:pPr>
        <w:pStyle w:val="3"/>
        <w:ind w:hanging="1135"/>
        <w:rPr>
          <w:rFonts w:hint="eastAsia"/>
          <w:highlight w:val="none"/>
        </w:rPr>
      </w:pPr>
      <w:r>
        <w:rPr>
          <w:rFonts w:hint="eastAsia"/>
          <w:highlight w:val="none"/>
        </w:rPr>
        <w:t>商用密码应用需求</w:t>
      </w:r>
    </w:p>
    <w:p w14:paraId="734BAD8A">
      <w:pPr>
        <w:rPr>
          <w:rFonts w:hint="eastAsia" w:eastAsia="宋体"/>
          <w:highlight w:val="none"/>
          <w:lang w:eastAsia="zh-CN"/>
        </w:rPr>
      </w:pPr>
      <w:r>
        <w:rPr>
          <w:rFonts w:hint="eastAsia"/>
          <w:highlight w:val="none"/>
        </w:rPr>
        <w:t>本项目需要进行密码功能模块开发。具体包括开发用户身份认证机制模块、业务重要数据安全传输模块、服务器虚拟机设备日志/访问控制信息完整性模块、用户访问控制信息签名验签模块、应用系统重要数据加解密模块、应用系统重要数据签名验签模块。</w:t>
      </w:r>
      <w:r>
        <w:rPr>
          <w:rFonts w:hint="eastAsia"/>
          <w:highlight w:val="none"/>
          <w:lang w:eastAsia="zh-CN"/>
        </w:rPr>
        <w:t>响应供应商</w:t>
      </w:r>
      <w:r>
        <w:rPr>
          <w:rFonts w:hint="eastAsia"/>
          <w:highlight w:val="none"/>
        </w:rPr>
        <w:t>须提供完整的密码应用方案。</w:t>
      </w:r>
      <w:r>
        <w:rPr>
          <w:rFonts w:hint="eastAsia"/>
          <w:highlight w:val="none"/>
          <w:lang w:eastAsia="zh-CN"/>
        </w:rPr>
        <w:t>本系统密码应用需求清单如下：</w:t>
      </w:r>
    </w:p>
    <w:tbl>
      <w:tblPr>
        <w:tblStyle w:val="13"/>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08"/>
        <w:gridCol w:w="612"/>
        <w:gridCol w:w="1872"/>
        <w:gridCol w:w="4038"/>
        <w:gridCol w:w="1398"/>
      </w:tblGrid>
      <w:tr w14:paraId="58274B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Header/>
        </w:trPr>
        <w:tc>
          <w:tcPr>
            <w:tcW w:w="1270" w:type="dxa"/>
            <w:gridSpan w:val="2"/>
            <w:shd w:val="clear" w:color="auto" w:fill="FFFFFF"/>
            <w:vAlign w:val="center"/>
          </w:tcPr>
          <w:p w14:paraId="6FEBEE54">
            <w:pPr>
              <w:pStyle w:val="9"/>
              <w:spacing w:line="240" w:lineRule="auto"/>
              <w:ind w:firstLine="0" w:firstLineChars="0"/>
              <w:rPr>
                <w:rFonts w:ascii="仿宋" w:hAnsi="仿宋"/>
                <w:sz w:val="22"/>
                <w:szCs w:val="21"/>
                <w:highlight w:val="none"/>
              </w:rPr>
            </w:pPr>
            <w:r>
              <w:rPr>
                <w:rFonts w:hint="eastAsia" w:ascii="仿宋" w:hAnsi="仿宋"/>
                <w:sz w:val="22"/>
                <w:szCs w:val="21"/>
                <w:highlight w:val="none"/>
              </w:rPr>
              <w:t>安全层面</w:t>
            </w:r>
          </w:p>
        </w:tc>
        <w:tc>
          <w:tcPr>
            <w:tcW w:w="2078" w:type="dxa"/>
            <w:shd w:val="clear" w:color="auto" w:fill="FFFFFF"/>
            <w:vAlign w:val="center"/>
          </w:tcPr>
          <w:p w14:paraId="0A1450AC">
            <w:pPr>
              <w:pStyle w:val="9"/>
              <w:spacing w:line="240" w:lineRule="auto"/>
              <w:ind w:firstLine="0" w:firstLineChars="0"/>
              <w:rPr>
                <w:rFonts w:ascii="仿宋" w:hAnsi="仿宋"/>
                <w:sz w:val="22"/>
                <w:szCs w:val="21"/>
                <w:highlight w:val="none"/>
              </w:rPr>
            </w:pPr>
            <w:r>
              <w:rPr>
                <w:rFonts w:hint="eastAsia" w:ascii="仿宋" w:hAnsi="仿宋"/>
                <w:sz w:val="22"/>
                <w:szCs w:val="21"/>
                <w:highlight w:val="none"/>
              </w:rPr>
              <w:t>指标要求</w:t>
            </w:r>
          </w:p>
        </w:tc>
        <w:tc>
          <w:tcPr>
            <w:tcW w:w="4428" w:type="dxa"/>
            <w:shd w:val="clear" w:color="auto" w:fill="FFFFFF"/>
            <w:vAlign w:val="center"/>
          </w:tcPr>
          <w:p w14:paraId="3336291E">
            <w:pPr>
              <w:pStyle w:val="9"/>
              <w:spacing w:line="240" w:lineRule="auto"/>
              <w:ind w:firstLine="0" w:firstLineChars="0"/>
              <w:rPr>
                <w:rFonts w:ascii="仿宋" w:hAnsi="仿宋"/>
                <w:sz w:val="22"/>
                <w:szCs w:val="21"/>
                <w:highlight w:val="none"/>
              </w:rPr>
            </w:pPr>
            <w:r>
              <w:rPr>
                <w:rFonts w:hint="eastAsia" w:ascii="仿宋" w:hAnsi="仿宋"/>
                <w:sz w:val="22"/>
                <w:szCs w:val="21"/>
                <w:highlight w:val="none"/>
              </w:rPr>
              <w:t>系统密码应用需求</w:t>
            </w:r>
          </w:p>
        </w:tc>
        <w:tc>
          <w:tcPr>
            <w:tcW w:w="1505" w:type="dxa"/>
            <w:shd w:val="clear" w:color="auto" w:fill="FFFFFF"/>
            <w:vAlign w:val="center"/>
          </w:tcPr>
          <w:p w14:paraId="16701A20">
            <w:pPr>
              <w:pStyle w:val="9"/>
              <w:spacing w:line="240" w:lineRule="auto"/>
              <w:ind w:firstLine="0" w:firstLineChars="0"/>
              <w:rPr>
                <w:rFonts w:ascii="仿宋" w:hAnsi="仿宋"/>
                <w:sz w:val="22"/>
                <w:szCs w:val="21"/>
                <w:highlight w:val="none"/>
              </w:rPr>
            </w:pPr>
            <w:r>
              <w:rPr>
                <w:rFonts w:hint="eastAsia" w:ascii="仿宋" w:hAnsi="仿宋"/>
                <w:sz w:val="22"/>
                <w:szCs w:val="21"/>
                <w:highlight w:val="none"/>
              </w:rPr>
              <w:t>不适用说明</w:t>
            </w:r>
          </w:p>
        </w:tc>
      </w:tr>
      <w:tr w14:paraId="7D2FEA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3" w:type="dxa"/>
            <w:vMerge w:val="restart"/>
            <w:shd w:val="clear" w:color="auto" w:fill="FFFFFF"/>
          </w:tcPr>
          <w:p w14:paraId="08C7A3BB">
            <w:pPr>
              <w:pStyle w:val="9"/>
              <w:spacing w:line="240" w:lineRule="auto"/>
              <w:ind w:firstLine="0" w:firstLineChars="0"/>
              <w:rPr>
                <w:rFonts w:ascii="仿宋" w:hAnsi="仿宋"/>
                <w:sz w:val="22"/>
                <w:szCs w:val="21"/>
                <w:highlight w:val="none"/>
              </w:rPr>
            </w:pPr>
            <w:r>
              <w:rPr>
                <w:rFonts w:hint="eastAsia" w:ascii="仿宋" w:hAnsi="仿宋"/>
                <w:sz w:val="22"/>
                <w:szCs w:val="21"/>
                <w:highlight w:val="none"/>
              </w:rPr>
              <w:t>计算平台安全</w:t>
            </w:r>
          </w:p>
        </w:tc>
        <w:tc>
          <w:tcPr>
            <w:tcW w:w="637" w:type="dxa"/>
            <w:vMerge w:val="restart"/>
            <w:shd w:val="clear" w:color="auto" w:fill="FFFFFF"/>
            <w:vAlign w:val="center"/>
          </w:tcPr>
          <w:p w14:paraId="2842B840">
            <w:pPr>
              <w:pStyle w:val="9"/>
              <w:spacing w:line="240" w:lineRule="auto"/>
              <w:ind w:firstLine="0" w:firstLineChars="0"/>
              <w:rPr>
                <w:rFonts w:ascii="仿宋" w:hAnsi="仿宋"/>
                <w:sz w:val="22"/>
                <w:szCs w:val="21"/>
                <w:highlight w:val="none"/>
              </w:rPr>
            </w:pPr>
            <w:r>
              <w:rPr>
                <w:rFonts w:hint="eastAsia" w:ascii="仿宋" w:hAnsi="仿宋"/>
                <w:sz w:val="22"/>
                <w:szCs w:val="21"/>
                <w:highlight w:val="none"/>
              </w:rPr>
              <w:t>物理和环境安全</w:t>
            </w:r>
          </w:p>
        </w:tc>
        <w:tc>
          <w:tcPr>
            <w:tcW w:w="2078" w:type="dxa"/>
            <w:shd w:val="clear" w:color="auto" w:fill="FFFFFF"/>
            <w:vAlign w:val="center"/>
          </w:tcPr>
          <w:p w14:paraId="37BC3FFC">
            <w:pPr>
              <w:pStyle w:val="9"/>
              <w:spacing w:line="240" w:lineRule="auto"/>
              <w:ind w:firstLine="0" w:firstLineChars="0"/>
              <w:rPr>
                <w:rFonts w:ascii="仿宋" w:hAnsi="仿宋"/>
                <w:sz w:val="22"/>
                <w:szCs w:val="21"/>
                <w:highlight w:val="none"/>
              </w:rPr>
            </w:pPr>
            <w:r>
              <w:rPr>
                <w:rFonts w:hint="eastAsia" w:ascii="仿宋" w:hAnsi="仿宋"/>
                <w:sz w:val="22"/>
                <w:szCs w:val="21"/>
                <w:highlight w:val="none"/>
              </w:rPr>
              <w:t>身份鉴别</w:t>
            </w:r>
          </w:p>
        </w:tc>
        <w:tc>
          <w:tcPr>
            <w:tcW w:w="4428" w:type="dxa"/>
            <w:shd w:val="clear" w:color="auto" w:fill="FFFFFF"/>
            <w:vAlign w:val="center"/>
          </w:tcPr>
          <w:p w14:paraId="05A6B51E">
            <w:pPr>
              <w:pStyle w:val="9"/>
              <w:spacing w:line="240" w:lineRule="auto"/>
              <w:ind w:firstLine="0" w:firstLineChars="0"/>
              <w:rPr>
                <w:rFonts w:ascii="仿宋" w:hAnsi="仿宋"/>
                <w:sz w:val="22"/>
                <w:szCs w:val="21"/>
                <w:highlight w:val="none"/>
              </w:rPr>
            </w:pPr>
            <w:r>
              <w:rPr>
                <w:rFonts w:hint="eastAsia" w:ascii="仿宋" w:hAnsi="仿宋"/>
                <w:sz w:val="22"/>
                <w:szCs w:val="21"/>
                <w:highlight w:val="none"/>
              </w:rPr>
              <w:t>确认进入机房人员身份的真实性，防止假冒人员进入。</w:t>
            </w:r>
          </w:p>
        </w:tc>
        <w:tc>
          <w:tcPr>
            <w:tcW w:w="1505" w:type="dxa"/>
            <w:vMerge w:val="restart"/>
            <w:shd w:val="clear" w:color="auto" w:fill="FFFFFF"/>
            <w:vAlign w:val="center"/>
          </w:tcPr>
          <w:p w14:paraId="203EE4AB">
            <w:pPr>
              <w:pStyle w:val="9"/>
              <w:spacing w:line="240" w:lineRule="auto"/>
              <w:ind w:firstLine="0" w:firstLineChars="0"/>
              <w:rPr>
                <w:rFonts w:ascii="仿宋" w:hAnsi="仿宋"/>
                <w:sz w:val="22"/>
                <w:szCs w:val="21"/>
                <w:highlight w:val="none"/>
              </w:rPr>
            </w:pPr>
            <w:r>
              <w:rPr>
                <w:rFonts w:hint="eastAsia" w:ascii="仿宋" w:hAnsi="仿宋"/>
                <w:sz w:val="22"/>
                <w:szCs w:val="21"/>
                <w:highlight w:val="none"/>
              </w:rPr>
              <w:t>系统的物理和环境安全由云平台提供安全保障。</w:t>
            </w:r>
          </w:p>
        </w:tc>
      </w:tr>
      <w:tr w14:paraId="2458B5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3" w:type="dxa"/>
            <w:vMerge w:val="continue"/>
            <w:shd w:val="clear" w:color="auto" w:fill="FFFFFF"/>
          </w:tcPr>
          <w:p w14:paraId="6C3364A7">
            <w:pPr>
              <w:pStyle w:val="9"/>
              <w:spacing w:line="240" w:lineRule="auto"/>
              <w:ind w:firstLine="0" w:firstLineChars="0"/>
              <w:rPr>
                <w:rFonts w:ascii="仿宋" w:hAnsi="仿宋"/>
                <w:sz w:val="22"/>
                <w:szCs w:val="21"/>
                <w:highlight w:val="none"/>
              </w:rPr>
            </w:pPr>
          </w:p>
        </w:tc>
        <w:tc>
          <w:tcPr>
            <w:tcW w:w="637" w:type="dxa"/>
            <w:vMerge w:val="continue"/>
            <w:shd w:val="clear" w:color="auto" w:fill="FFFFFF"/>
            <w:vAlign w:val="center"/>
          </w:tcPr>
          <w:p w14:paraId="6B4A13EB">
            <w:pPr>
              <w:pStyle w:val="9"/>
              <w:spacing w:line="240" w:lineRule="auto"/>
              <w:ind w:firstLine="0" w:firstLineChars="0"/>
              <w:rPr>
                <w:rFonts w:ascii="仿宋" w:hAnsi="仿宋"/>
                <w:sz w:val="22"/>
                <w:szCs w:val="21"/>
                <w:highlight w:val="none"/>
              </w:rPr>
            </w:pPr>
          </w:p>
        </w:tc>
        <w:tc>
          <w:tcPr>
            <w:tcW w:w="2078" w:type="dxa"/>
            <w:shd w:val="clear" w:color="auto" w:fill="FFFFFF"/>
            <w:vAlign w:val="center"/>
          </w:tcPr>
          <w:p w14:paraId="433D8E84">
            <w:pPr>
              <w:pStyle w:val="9"/>
              <w:spacing w:line="240" w:lineRule="auto"/>
              <w:ind w:firstLine="0" w:firstLineChars="0"/>
              <w:rPr>
                <w:rFonts w:ascii="仿宋" w:hAnsi="仿宋"/>
                <w:sz w:val="22"/>
                <w:szCs w:val="21"/>
                <w:highlight w:val="none"/>
              </w:rPr>
            </w:pPr>
            <w:r>
              <w:rPr>
                <w:rFonts w:hint="eastAsia" w:ascii="仿宋" w:hAnsi="仿宋"/>
                <w:sz w:val="22"/>
                <w:szCs w:val="21"/>
                <w:highlight w:val="none"/>
              </w:rPr>
              <w:t>电子门禁记录数据完整性</w:t>
            </w:r>
          </w:p>
        </w:tc>
        <w:tc>
          <w:tcPr>
            <w:tcW w:w="4428" w:type="dxa"/>
            <w:shd w:val="clear" w:color="auto" w:fill="FFFFFF"/>
            <w:vAlign w:val="center"/>
          </w:tcPr>
          <w:p w14:paraId="76B6D9E1">
            <w:pPr>
              <w:pStyle w:val="9"/>
              <w:spacing w:line="240" w:lineRule="auto"/>
              <w:ind w:firstLine="0" w:firstLineChars="0"/>
              <w:rPr>
                <w:rFonts w:ascii="仿宋" w:hAnsi="仿宋"/>
                <w:sz w:val="22"/>
                <w:szCs w:val="21"/>
                <w:highlight w:val="none"/>
              </w:rPr>
            </w:pPr>
            <w:r>
              <w:rPr>
                <w:rFonts w:hint="eastAsia" w:ascii="仿宋" w:hAnsi="仿宋"/>
                <w:sz w:val="22"/>
                <w:szCs w:val="21"/>
                <w:highlight w:val="none"/>
              </w:rPr>
              <w:t>保护电子门禁系统进出记录的完整性，防止被非授权篡改。</w:t>
            </w:r>
          </w:p>
        </w:tc>
        <w:tc>
          <w:tcPr>
            <w:tcW w:w="1505" w:type="dxa"/>
            <w:vMerge w:val="continue"/>
            <w:shd w:val="clear" w:color="auto" w:fill="FFFFFF"/>
            <w:vAlign w:val="center"/>
          </w:tcPr>
          <w:p w14:paraId="2A316734">
            <w:pPr>
              <w:pStyle w:val="9"/>
              <w:spacing w:line="240" w:lineRule="auto"/>
              <w:ind w:firstLine="0" w:firstLineChars="0"/>
              <w:rPr>
                <w:rFonts w:ascii="仿宋" w:hAnsi="仿宋"/>
                <w:sz w:val="22"/>
                <w:szCs w:val="21"/>
                <w:highlight w:val="none"/>
              </w:rPr>
            </w:pPr>
          </w:p>
        </w:tc>
      </w:tr>
      <w:tr w14:paraId="7ADC06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633" w:type="dxa"/>
            <w:vMerge w:val="continue"/>
            <w:shd w:val="clear" w:color="auto" w:fill="FFFFFF"/>
          </w:tcPr>
          <w:p w14:paraId="06ACCF5A">
            <w:pPr>
              <w:pStyle w:val="9"/>
              <w:spacing w:line="240" w:lineRule="auto"/>
              <w:ind w:firstLine="0" w:firstLineChars="0"/>
              <w:rPr>
                <w:rFonts w:ascii="仿宋" w:hAnsi="仿宋"/>
                <w:sz w:val="22"/>
                <w:szCs w:val="21"/>
                <w:highlight w:val="none"/>
              </w:rPr>
            </w:pPr>
          </w:p>
        </w:tc>
        <w:tc>
          <w:tcPr>
            <w:tcW w:w="637" w:type="dxa"/>
            <w:vMerge w:val="continue"/>
            <w:shd w:val="clear" w:color="auto" w:fill="FFFFFF"/>
            <w:vAlign w:val="center"/>
          </w:tcPr>
          <w:p w14:paraId="75305111">
            <w:pPr>
              <w:pStyle w:val="9"/>
              <w:spacing w:line="240" w:lineRule="auto"/>
              <w:ind w:firstLine="0" w:firstLineChars="0"/>
              <w:rPr>
                <w:rFonts w:ascii="仿宋" w:hAnsi="仿宋"/>
                <w:sz w:val="22"/>
                <w:szCs w:val="21"/>
                <w:highlight w:val="none"/>
              </w:rPr>
            </w:pPr>
          </w:p>
        </w:tc>
        <w:tc>
          <w:tcPr>
            <w:tcW w:w="2078" w:type="dxa"/>
            <w:shd w:val="clear" w:color="auto" w:fill="FFFFFF"/>
            <w:vAlign w:val="center"/>
          </w:tcPr>
          <w:p w14:paraId="04529173">
            <w:pPr>
              <w:pStyle w:val="9"/>
              <w:spacing w:line="240" w:lineRule="auto"/>
              <w:ind w:firstLine="0" w:firstLineChars="0"/>
              <w:rPr>
                <w:rFonts w:ascii="仿宋" w:hAnsi="仿宋"/>
                <w:sz w:val="22"/>
                <w:szCs w:val="21"/>
                <w:highlight w:val="none"/>
              </w:rPr>
            </w:pPr>
            <w:r>
              <w:rPr>
                <w:rFonts w:hint="eastAsia" w:ascii="仿宋" w:hAnsi="仿宋"/>
                <w:sz w:val="22"/>
                <w:szCs w:val="21"/>
                <w:highlight w:val="none"/>
              </w:rPr>
              <w:t>密码服务</w:t>
            </w:r>
          </w:p>
        </w:tc>
        <w:tc>
          <w:tcPr>
            <w:tcW w:w="4428" w:type="dxa"/>
            <w:shd w:val="clear" w:color="auto" w:fill="FFFFFF"/>
            <w:vAlign w:val="center"/>
          </w:tcPr>
          <w:p w14:paraId="4E0BCD5F">
            <w:pPr>
              <w:pStyle w:val="9"/>
              <w:spacing w:line="240" w:lineRule="auto"/>
              <w:ind w:firstLine="0" w:firstLineChars="0"/>
              <w:rPr>
                <w:rFonts w:ascii="仿宋" w:hAnsi="仿宋"/>
                <w:sz w:val="22"/>
                <w:szCs w:val="21"/>
                <w:highlight w:val="none"/>
              </w:rPr>
            </w:pPr>
            <w:r>
              <w:rPr>
                <w:rFonts w:hint="eastAsia" w:ascii="仿宋" w:hAnsi="仿宋"/>
                <w:sz w:val="22"/>
                <w:szCs w:val="21"/>
                <w:highlight w:val="none"/>
              </w:rPr>
              <w:t>不适用</w:t>
            </w:r>
          </w:p>
        </w:tc>
        <w:tc>
          <w:tcPr>
            <w:tcW w:w="1505" w:type="dxa"/>
            <w:vMerge w:val="continue"/>
            <w:shd w:val="clear" w:color="auto" w:fill="FFFFFF"/>
            <w:vAlign w:val="center"/>
          </w:tcPr>
          <w:p w14:paraId="14E07374">
            <w:pPr>
              <w:pStyle w:val="9"/>
              <w:spacing w:line="240" w:lineRule="auto"/>
              <w:ind w:firstLine="0" w:firstLineChars="0"/>
              <w:rPr>
                <w:rFonts w:ascii="仿宋" w:hAnsi="仿宋"/>
                <w:sz w:val="22"/>
                <w:szCs w:val="21"/>
                <w:highlight w:val="none"/>
              </w:rPr>
            </w:pPr>
          </w:p>
        </w:tc>
      </w:tr>
      <w:tr w14:paraId="024500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3" w:type="dxa"/>
            <w:vMerge w:val="continue"/>
            <w:shd w:val="clear" w:color="auto" w:fill="FFFFFF"/>
          </w:tcPr>
          <w:p w14:paraId="4B28F901">
            <w:pPr>
              <w:pStyle w:val="9"/>
              <w:spacing w:line="240" w:lineRule="auto"/>
              <w:ind w:firstLine="0" w:firstLineChars="0"/>
              <w:rPr>
                <w:rFonts w:ascii="仿宋" w:hAnsi="仿宋"/>
                <w:sz w:val="22"/>
                <w:szCs w:val="21"/>
                <w:highlight w:val="none"/>
              </w:rPr>
            </w:pPr>
          </w:p>
        </w:tc>
        <w:tc>
          <w:tcPr>
            <w:tcW w:w="637" w:type="dxa"/>
            <w:vMerge w:val="continue"/>
            <w:shd w:val="clear" w:color="auto" w:fill="FFFFFF"/>
            <w:vAlign w:val="center"/>
          </w:tcPr>
          <w:p w14:paraId="7EEE5E59">
            <w:pPr>
              <w:pStyle w:val="9"/>
              <w:spacing w:line="240" w:lineRule="auto"/>
              <w:ind w:firstLine="0" w:firstLineChars="0"/>
              <w:rPr>
                <w:rFonts w:ascii="仿宋" w:hAnsi="仿宋"/>
                <w:sz w:val="22"/>
                <w:szCs w:val="21"/>
                <w:highlight w:val="none"/>
              </w:rPr>
            </w:pPr>
          </w:p>
        </w:tc>
        <w:tc>
          <w:tcPr>
            <w:tcW w:w="2078" w:type="dxa"/>
            <w:shd w:val="clear" w:color="auto" w:fill="FFFFFF"/>
            <w:vAlign w:val="center"/>
          </w:tcPr>
          <w:p w14:paraId="2A7AD89A">
            <w:pPr>
              <w:pStyle w:val="9"/>
              <w:spacing w:line="240" w:lineRule="auto"/>
              <w:ind w:firstLine="0" w:firstLineChars="0"/>
              <w:rPr>
                <w:rFonts w:ascii="仿宋" w:hAnsi="仿宋"/>
                <w:sz w:val="22"/>
                <w:szCs w:val="21"/>
                <w:highlight w:val="none"/>
              </w:rPr>
            </w:pPr>
            <w:r>
              <w:rPr>
                <w:rFonts w:hint="eastAsia" w:ascii="仿宋" w:hAnsi="仿宋"/>
                <w:sz w:val="22"/>
                <w:szCs w:val="21"/>
                <w:highlight w:val="none"/>
              </w:rPr>
              <w:t>密码产品</w:t>
            </w:r>
          </w:p>
        </w:tc>
        <w:tc>
          <w:tcPr>
            <w:tcW w:w="4428" w:type="dxa"/>
            <w:shd w:val="clear" w:color="auto" w:fill="FFFFFF"/>
            <w:vAlign w:val="center"/>
          </w:tcPr>
          <w:p w14:paraId="3041D041">
            <w:pPr>
              <w:pStyle w:val="9"/>
              <w:spacing w:line="240" w:lineRule="auto"/>
              <w:ind w:firstLine="0" w:firstLineChars="0"/>
              <w:rPr>
                <w:rFonts w:ascii="仿宋" w:hAnsi="仿宋"/>
                <w:sz w:val="22"/>
                <w:szCs w:val="21"/>
                <w:highlight w:val="none"/>
              </w:rPr>
            </w:pPr>
            <w:r>
              <w:rPr>
                <w:rFonts w:hint="eastAsia" w:ascii="仿宋" w:hAnsi="仿宋"/>
                <w:sz w:val="22"/>
                <w:szCs w:val="21"/>
                <w:highlight w:val="none"/>
              </w:rPr>
              <w:t>采用的密码产品应达到GB/T 37092-2018二级及以上安全要求。</w:t>
            </w:r>
          </w:p>
        </w:tc>
        <w:tc>
          <w:tcPr>
            <w:tcW w:w="1505" w:type="dxa"/>
            <w:vMerge w:val="continue"/>
            <w:shd w:val="clear" w:color="auto" w:fill="FFFFFF"/>
            <w:vAlign w:val="center"/>
          </w:tcPr>
          <w:p w14:paraId="4C844279">
            <w:pPr>
              <w:pStyle w:val="9"/>
              <w:spacing w:line="240" w:lineRule="auto"/>
              <w:ind w:firstLine="0" w:firstLineChars="0"/>
              <w:rPr>
                <w:rFonts w:ascii="仿宋" w:hAnsi="仿宋"/>
                <w:sz w:val="22"/>
                <w:szCs w:val="21"/>
                <w:highlight w:val="none"/>
              </w:rPr>
            </w:pPr>
          </w:p>
        </w:tc>
      </w:tr>
      <w:tr w14:paraId="0F36A4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3" w:type="dxa"/>
            <w:vMerge w:val="continue"/>
            <w:shd w:val="clear" w:color="auto" w:fill="FFFFFF"/>
          </w:tcPr>
          <w:p w14:paraId="784D57DB">
            <w:pPr>
              <w:pStyle w:val="9"/>
              <w:spacing w:line="240" w:lineRule="auto"/>
              <w:ind w:firstLine="0" w:firstLineChars="0"/>
              <w:rPr>
                <w:rFonts w:ascii="仿宋" w:hAnsi="仿宋"/>
                <w:sz w:val="22"/>
                <w:szCs w:val="21"/>
                <w:highlight w:val="none"/>
              </w:rPr>
            </w:pPr>
          </w:p>
        </w:tc>
        <w:tc>
          <w:tcPr>
            <w:tcW w:w="637" w:type="dxa"/>
            <w:vMerge w:val="restart"/>
            <w:shd w:val="clear" w:color="auto" w:fill="FFFFFF"/>
            <w:vAlign w:val="center"/>
          </w:tcPr>
          <w:p w14:paraId="14FA78ED">
            <w:pPr>
              <w:pStyle w:val="9"/>
              <w:spacing w:line="240" w:lineRule="auto"/>
              <w:ind w:firstLine="0" w:firstLineChars="0"/>
              <w:rPr>
                <w:rFonts w:ascii="仿宋" w:hAnsi="仿宋"/>
                <w:sz w:val="22"/>
                <w:szCs w:val="21"/>
                <w:highlight w:val="none"/>
              </w:rPr>
            </w:pPr>
            <w:r>
              <w:rPr>
                <w:rFonts w:hint="eastAsia" w:ascii="仿宋" w:hAnsi="仿宋"/>
                <w:sz w:val="22"/>
                <w:szCs w:val="21"/>
                <w:highlight w:val="none"/>
              </w:rPr>
              <w:t>网络和通信安全</w:t>
            </w:r>
          </w:p>
        </w:tc>
        <w:tc>
          <w:tcPr>
            <w:tcW w:w="2078" w:type="dxa"/>
            <w:vMerge w:val="restart"/>
            <w:shd w:val="clear" w:color="auto" w:fill="FFFFFF"/>
            <w:vAlign w:val="center"/>
          </w:tcPr>
          <w:p w14:paraId="38E46865">
            <w:pPr>
              <w:pStyle w:val="9"/>
              <w:spacing w:line="240" w:lineRule="auto"/>
              <w:ind w:firstLine="0" w:firstLineChars="0"/>
              <w:rPr>
                <w:rFonts w:ascii="仿宋" w:hAnsi="仿宋"/>
                <w:sz w:val="22"/>
                <w:szCs w:val="21"/>
                <w:highlight w:val="none"/>
              </w:rPr>
            </w:pPr>
            <w:r>
              <w:rPr>
                <w:rFonts w:hint="eastAsia" w:ascii="仿宋" w:hAnsi="仿宋"/>
                <w:sz w:val="22"/>
                <w:szCs w:val="21"/>
                <w:highlight w:val="none"/>
              </w:rPr>
              <w:t>身份鉴别</w:t>
            </w:r>
          </w:p>
        </w:tc>
        <w:tc>
          <w:tcPr>
            <w:tcW w:w="4428" w:type="dxa"/>
            <w:shd w:val="clear" w:color="auto" w:fill="FFFFFF"/>
            <w:vAlign w:val="center"/>
          </w:tcPr>
          <w:p w14:paraId="0100BCC5">
            <w:pPr>
              <w:pStyle w:val="9"/>
              <w:spacing w:line="240" w:lineRule="auto"/>
              <w:ind w:firstLine="0" w:firstLineChars="0"/>
              <w:rPr>
                <w:rFonts w:ascii="仿宋" w:hAnsi="仿宋"/>
                <w:sz w:val="22"/>
                <w:szCs w:val="21"/>
                <w:highlight w:val="none"/>
              </w:rPr>
            </w:pPr>
            <w:r>
              <w:rPr>
                <w:rFonts w:hint="eastAsia" w:ascii="仿宋" w:hAnsi="仿宋"/>
                <w:sz w:val="22"/>
                <w:szCs w:val="21"/>
                <w:highlight w:val="none"/>
              </w:rPr>
              <w:t>确保PC端、移动端和服务端通信实体身份的真实性，防止与假冒实体进行通信。</w:t>
            </w:r>
          </w:p>
        </w:tc>
        <w:tc>
          <w:tcPr>
            <w:tcW w:w="1505" w:type="dxa"/>
            <w:shd w:val="clear" w:color="auto" w:fill="FFFFFF"/>
            <w:vAlign w:val="center"/>
          </w:tcPr>
          <w:p w14:paraId="043E0740">
            <w:pPr>
              <w:pStyle w:val="9"/>
              <w:spacing w:line="240" w:lineRule="auto"/>
              <w:ind w:firstLine="0" w:firstLineChars="0"/>
              <w:rPr>
                <w:rFonts w:ascii="仿宋" w:hAnsi="仿宋"/>
                <w:sz w:val="22"/>
                <w:szCs w:val="21"/>
                <w:highlight w:val="none"/>
              </w:rPr>
            </w:pPr>
            <w:r>
              <w:rPr>
                <w:rFonts w:hint="eastAsia" w:ascii="仿宋" w:hAnsi="仿宋"/>
                <w:sz w:val="22"/>
                <w:szCs w:val="21"/>
                <w:highlight w:val="none"/>
              </w:rPr>
              <w:t>无</w:t>
            </w:r>
          </w:p>
        </w:tc>
      </w:tr>
      <w:tr w14:paraId="22ABCC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3" w:type="dxa"/>
            <w:vMerge w:val="continue"/>
            <w:shd w:val="clear" w:color="auto" w:fill="FFFFFF"/>
          </w:tcPr>
          <w:p w14:paraId="6C939B23">
            <w:pPr>
              <w:pStyle w:val="9"/>
              <w:spacing w:line="240" w:lineRule="auto"/>
              <w:ind w:firstLine="0" w:firstLineChars="0"/>
              <w:rPr>
                <w:rFonts w:ascii="仿宋" w:hAnsi="仿宋"/>
                <w:sz w:val="22"/>
                <w:szCs w:val="21"/>
                <w:highlight w:val="none"/>
              </w:rPr>
            </w:pPr>
          </w:p>
        </w:tc>
        <w:tc>
          <w:tcPr>
            <w:tcW w:w="637" w:type="dxa"/>
            <w:vMerge w:val="continue"/>
            <w:shd w:val="clear" w:color="auto" w:fill="FFFFFF"/>
            <w:vAlign w:val="center"/>
          </w:tcPr>
          <w:p w14:paraId="1357B349">
            <w:pPr>
              <w:pStyle w:val="9"/>
              <w:spacing w:line="240" w:lineRule="auto"/>
              <w:ind w:firstLine="0" w:firstLineChars="0"/>
              <w:rPr>
                <w:rFonts w:ascii="仿宋" w:hAnsi="仿宋"/>
                <w:sz w:val="22"/>
                <w:szCs w:val="21"/>
                <w:highlight w:val="none"/>
              </w:rPr>
            </w:pPr>
          </w:p>
        </w:tc>
        <w:tc>
          <w:tcPr>
            <w:tcW w:w="2078" w:type="dxa"/>
            <w:vMerge w:val="continue"/>
            <w:shd w:val="clear" w:color="auto" w:fill="FFFFFF"/>
            <w:vAlign w:val="center"/>
          </w:tcPr>
          <w:p w14:paraId="2DEBA18F">
            <w:pPr>
              <w:pStyle w:val="9"/>
              <w:spacing w:line="240" w:lineRule="auto"/>
              <w:ind w:firstLine="0" w:firstLineChars="0"/>
              <w:rPr>
                <w:rFonts w:ascii="仿宋" w:hAnsi="仿宋"/>
                <w:sz w:val="22"/>
                <w:szCs w:val="21"/>
                <w:highlight w:val="none"/>
              </w:rPr>
            </w:pPr>
          </w:p>
        </w:tc>
        <w:tc>
          <w:tcPr>
            <w:tcW w:w="4428" w:type="dxa"/>
            <w:shd w:val="clear" w:color="auto" w:fill="FFFFFF"/>
            <w:vAlign w:val="center"/>
          </w:tcPr>
          <w:p w14:paraId="5AF159B2">
            <w:pPr>
              <w:pStyle w:val="9"/>
              <w:spacing w:line="240" w:lineRule="auto"/>
              <w:ind w:firstLine="0" w:firstLineChars="0"/>
              <w:rPr>
                <w:rFonts w:ascii="仿宋" w:hAnsi="仿宋"/>
                <w:sz w:val="22"/>
                <w:szCs w:val="21"/>
                <w:highlight w:val="none"/>
              </w:rPr>
            </w:pPr>
            <w:r>
              <w:rPr>
                <w:rFonts w:hint="eastAsia" w:ascii="仿宋" w:hAnsi="仿宋"/>
                <w:sz w:val="22"/>
                <w:szCs w:val="21"/>
                <w:highlight w:val="none"/>
              </w:rPr>
              <w:t>管理端的身份鉴别由云平台提供安全保障。</w:t>
            </w:r>
          </w:p>
        </w:tc>
        <w:tc>
          <w:tcPr>
            <w:tcW w:w="1505" w:type="dxa"/>
            <w:shd w:val="clear" w:color="auto" w:fill="FFFFFF"/>
            <w:vAlign w:val="center"/>
          </w:tcPr>
          <w:p w14:paraId="053CB140">
            <w:pPr>
              <w:pStyle w:val="9"/>
              <w:spacing w:line="240" w:lineRule="auto"/>
              <w:ind w:firstLine="0" w:firstLineChars="0"/>
              <w:rPr>
                <w:rFonts w:ascii="仿宋" w:hAnsi="仿宋"/>
                <w:sz w:val="22"/>
                <w:szCs w:val="21"/>
                <w:highlight w:val="none"/>
              </w:rPr>
            </w:pPr>
            <w:r>
              <w:rPr>
                <w:rFonts w:hint="eastAsia" w:ascii="仿宋" w:hAnsi="仿宋"/>
                <w:sz w:val="22"/>
                <w:szCs w:val="21"/>
                <w:highlight w:val="none"/>
              </w:rPr>
              <w:t>云平台通过密评，已被完全评估。</w:t>
            </w:r>
          </w:p>
        </w:tc>
      </w:tr>
      <w:tr w14:paraId="392A7A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633" w:type="dxa"/>
            <w:vMerge w:val="continue"/>
            <w:shd w:val="clear" w:color="auto" w:fill="FFFFFF"/>
          </w:tcPr>
          <w:p w14:paraId="4425410C">
            <w:pPr>
              <w:pStyle w:val="9"/>
              <w:spacing w:line="240" w:lineRule="auto"/>
              <w:ind w:firstLine="0" w:firstLineChars="0"/>
              <w:rPr>
                <w:rFonts w:ascii="仿宋" w:hAnsi="仿宋"/>
                <w:sz w:val="22"/>
                <w:szCs w:val="21"/>
                <w:highlight w:val="none"/>
              </w:rPr>
            </w:pPr>
          </w:p>
        </w:tc>
        <w:tc>
          <w:tcPr>
            <w:tcW w:w="637" w:type="dxa"/>
            <w:vMerge w:val="continue"/>
            <w:shd w:val="clear" w:color="auto" w:fill="FFFFFF"/>
            <w:vAlign w:val="center"/>
          </w:tcPr>
          <w:p w14:paraId="27B49D3E">
            <w:pPr>
              <w:pStyle w:val="9"/>
              <w:spacing w:line="240" w:lineRule="auto"/>
              <w:ind w:firstLine="0" w:firstLineChars="0"/>
              <w:rPr>
                <w:rFonts w:ascii="仿宋" w:hAnsi="仿宋"/>
                <w:sz w:val="22"/>
                <w:szCs w:val="21"/>
                <w:highlight w:val="none"/>
              </w:rPr>
            </w:pPr>
          </w:p>
        </w:tc>
        <w:tc>
          <w:tcPr>
            <w:tcW w:w="2078" w:type="dxa"/>
            <w:shd w:val="clear" w:color="auto" w:fill="FFFFFF"/>
            <w:vAlign w:val="center"/>
          </w:tcPr>
          <w:p w14:paraId="6B2DB86C">
            <w:pPr>
              <w:pStyle w:val="9"/>
              <w:spacing w:line="240" w:lineRule="auto"/>
              <w:ind w:firstLine="0" w:firstLineChars="0"/>
              <w:rPr>
                <w:rFonts w:ascii="仿宋" w:hAnsi="仿宋"/>
                <w:sz w:val="22"/>
                <w:szCs w:val="21"/>
                <w:highlight w:val="none"/>
              </w:rPr>
            </w:pPr>
            <w:r>
              <w:rPr>
                <w:rFonts w:hint="eastAsia" w:ascii="仿宋" w:hAnsi="仿宋"/>
                <w:sz w:val="22"/>
                <w:szCs w:val="21"/>
                <w:highlight w:val="none"/>
              </w:rPr>
              <w:t>通信数据完整性</w:t>
            </w:r>
          </w:p>
        </w:tc>
        <w:tc>
          <w:tcPr>
            <w:tcW w:w="4428" w:type="dxa"/>
            <w:vMerge w:val="restart"/>
            <w:shd w:val="clear" w:color="auto" w:fill="FFFFFF"/>
            <w:vAlign w:val="center"/>
          </w:tcPr>
          <w:p w14:paraId="77DF7EFC">
            <w:pPr>
              <w:pStyle w:val="9"/>
              <w:spacing w:line="240" w:lineRule="auto"/>
              <w:ind w:firstLine="0" w:firstLineChars="0"/>
              <w:rPr>
                <w:rFonts w:ascii="仿宋" w:hAnsi="仿宋"/>
                <w:sz w:val="22"/>
                <w:szCs w:val="21"/>
                <w:highlight w:val="none"/>
              </w:rPr>
            </w:pPr>
            <w:r>
              <w:rPr>
                <w:rFonts w:hint="eastAsia" w:ascii="仿宋" w:hAnsi="仿宋"/>
                <w:sz w:val="22"/>
                <w:szCs w:val="21"/>
                <w:highlight w:val="none"/>
              </w:rPr>
              <w:t>保护通信过程中重要业务数据的完整性和机密性， 防止数据被非授权篡改， 防止重要数据泄露。</w:t>
            </w:r>
          </w:p>
        </w:tc>
        <w:tc>
          <w:tcPr>
            <w:tcW w:w="1505" w:type="dxa"/>
            <w:shd w:val="clear" w:color="auto" w:fill="FFFFFF"/>
            <w:vAlign w:val="center"/>
          </w:tcPr>
          <w:p w14:paraId="26B1471A">
            <w:pPr>
              <w:pStyle w:val="9"/>
              <w:spacing w:line="240" w:lineRule="auto"/>
              <w:ind w:firstLine="0" w:firstLineChars="0"/>
              <w:rPr>
                <w:rFonts w:ascii="仿宋" w:hAnsi="仿宋"/>
                <w:sz w:val="22"/>
                <w:szCs w:val="21"/>
                <w:highlight w:val="none"/>
              </w:rPr>
            </w:pPr>
            <w:r>
              <w:rPr>
                <w:rFonts w:hint="eastAsia" w:ascii="仿宋" w:hAnsi="仿宋"/>
                <w:sz w:val="22"/>
                <w:szCs w:val="21"/>
                <w:highlight w:val="none"/>
              </w:rPr>
              <w:t>无</w:t>
            </w:r>
          </w:p>
        </w:tc>
      </w:tr>
      <w:tr w14:paraId="280269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3" w:type="dxa"/>
            <w:vMerge w:val="continue"/>
            <w:shd w:val="clear" w:color="auto" w:fill="FFFFFF"/>
          </w:tcPr>
          <w:p w14:paraId="6343E3A6">
            <w:pPr>
              <w:pStyle w:val="9"/>
              <w:spacing w:line="240" w:lineRule="auto"/>
              <w:ind w:firstLine="0" w:firstLineChars="0"/>
              <w:rPr>
                <w:rFonts w:ascii="仿宋" w:hAnsi="仿宋"/>
                <w:sz w:val="22"/>
                <w:szCs w:val="21"/>
                <w:highlight w:val="none"/>
              </w:rPr>
            </w:pPr>
          </w:p>
        </w:tc>
        <w:tc>
          <w:tcPr>
            <w:tcW w:w="637" w:type="dxa"/>
            <w:vMerge w:val="continue"/>
            <w:shd w:val="clear" w:color="auto" w:fill="FFFFFF"/>
            <w:vAlign w:val="center"/>
          </w:tcPr>
          <w:p w14:paraId="466B4813">
            <w:pPr>
              <w:pStyle w:val="9"/>
              <w:spacing w:line="240" w:lineRule="auto"/>
              <w:ind w:firstLine="0" w:firstLineChars="0"/>
              <w:rPr>
                <w:rFonts w:ascii="仿宋" w:hAnsi="仿宋"/>
                <w:sz w:val="22"/>
                <w:szCs w:val="21"/>
                <w:highlight w:val="none"/>
              </w:rPr>
            </w:pPr>
          </w:p>
        </w:tc>
        <w:tc>
          <w:tcPr>
            <w:tcW w:w="2078" w:type="dxa"/>
            <w:shd w:val="clear" w:color="auto" w:fill="FFFFFF"/>
            <w:vAlign w:val="center"/>
          </w:tcPr>
          <w:p w14:paraId="0B59881F">
            <w:pPr>
              <w:pStyle w:val="9"/>
              <w:spacing w:line="240" w:lineRule="auto"/>
              <w:ind w:firstLine="0" w:firstLineChars="0"/>
              <w:rPr>
                <w:rFonts w:ascii="仿宋" w:hAnsi="仿宋"/>
                <w:sz w:val="22"/>
                <w:szCs w:val="21"/>
                <w:highlight w:val="none"/>
              </w:rPr>
            </w:pPr>
            <w:r>
              <w:rPr>
                <w:rFonts w:hint="eastAsia" w:ascii="仿宋" w:hAnsi="仿宋"/>
                <w:sz w:val="22"/>
                <w:szCs w:val="21"/>
                <w:highlight w:val="none"/>
              </w:rPr>
              <w:t>通信过程中重要数据的机密性</w:t>
            </w:r>
          </w:p>
        </w:tc>
        <w:tc>
          <w:tcPr>
            <w:tcW w:w="4428" w:type="dxa"/>
            <w:vMerge w:val="continue"/>
            <w:shd w:val="clear" w:color="auto" w:fill="FFFFFF"/>
            <w:vAlign w:val="center"/>
          </w:tcPr>
          <w:p w14:paraId="3AC7E0FA">
            <w:pPr>
              <w:pStyle w:val="9"/>
              <w:spacing w:line="240" w:lineRule="auto"/>
              <w:ind w:firstLine="0" w:firstLineChars="0"/>
              <w:rPr>
                <w:rFonts w:ascii="仿宋" w:hAnsi="仿宋"/>
                <w:sz w:val="22"/>
                <w:szCs w:val="21"/>
                <w:highlight w:val="none"/>
              </w:rPr>
            </w:pPr>
          </w:p>
        </w:tc>
        <w:tc>
          <w:tcPr>
            <w:tcW w:w="1505" w:type="dxa"/>
            <w:shd w:val="clear" w:color="auto" w:fill="FFFFFF"/>
            <w:vAlign w:val="center"/>
          </w:tcPr>
          <w:p w14:paraId="1A6CA9ED">
            <w:pPr>
              <w:pStyle w:val="9"/>
              <w:spacing w:line="240" w:lineRule="auto"/>
              <w:ind w:firstLine="0" w:firstLineChars="0"/>
              <w:rPr>
                <w:rFonts w:ascii="仿宋" w:hAnsi="仿宋"/>
                <w:sz w:val="22"/>
                <w:szCs w:val="21"/>
                <w:highlight w:val="none"/>
              </w:rPr>
            </w:pPr>
            <w:r>
              <w:rPr>
                <w:rFonts w:hint="eastAsia" w:ascii="仿宋" w:hAnsi="仿宋"/>
                <w:sz w:val="22"/>
                <w:szCs w:val="21"/>
                <w:highlight w:val="none"/>
              </w:rPr>
              <w:t>无</w:t>
            </w:r>
          </w:p>
        </w:tc>
      </w:tr>
      <w:tr w14:paraId="5B72E3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3" w:type="dxa"/>
            <w:vMerge w:val="continue"/>
            <w:shd w:val="clear" w:color="auto" w:fill="FFFFFF"/>
          </w:tcPr>
          <w:p w14:paraId="6DC769FF">
            <w:pPr>
              <w:pStyle w:val="9"/>
              <w:spacing w:line="240" w:lineRule="auto"/>
              <w:ind w:firstLine="0" w:firstLineChars="0"/>
              <w:rPr>
                <w:rFonts w:ascii="仿宋" w:hAnsi="仿宋"/>
                <w:sz w:val="22"/>
                <w:szCs w:val="21"/>
                <w:highlight w:val="none"/>
              </w:rPr>
            </w:pPr>
          </w:p>
        </w:tc>
        <w:tc>
          <w:tcPr>
            <w:tcW w:w="637" w:type="dxa"/>
            <w:vMerge w:val="continue"/>
            <w:shd w:val="clear" w:color="auto" w:fill="FFFFFF"/>
            <w:vAlign w:val="center"/>
          </w:tcPr>
          <w:p w14:paraId="48456880">
            <w:pPr>
              <w:pStyle w:val="9"/>
              <w:spacing w:line="240" w:lineRule="auto"/>
              <w:ind w:firstLine="0" w:firstLineChars="0"/>
              <w:rPr>
                <w:rFonts w:ascii="仿宋" w:hAnsi="仿宋"/>
                <w:sz w:val="22"/>
                <w:szCs w:val="21"/>
                <w:highlight w:val="none"/>
              </w:rPr>
            </w:pPr>
          </w:p>
        </w:tc>
        <w:tc>
          <w:tcPr>
            <w:tcW w:w="2078" w:type="dxa"/>
            <w:vMerge w:val="restart"/>
            <w:shd w:val="clear" w:color="auto" w:fill="FFFFFF"/>
            <w:vAlign w:val="center"/>
          </w:tcPr>
          <w:p w14:paraId="7168AB60">
            <w:pPr>
              <w:pStyle w:val="9"/>
              <w:spacing w:line="240" w:lineRule="auto"/>
              <w:ind w:firstLine="0" w:firstLineChars="0"/>
              <w:rPr>
                <w:rFonts w:ascii="仿宋" w:hAnsi="仿宋"/>
                <w:sz w:val="22"/>
                <w:szCs w:val="21"/>
                <w:highlight w:val="none"/>
              </w:rPr>
            </w:pPr>
            <w:r>
              <w:rPr>
                <w:rFonts w:hint="eastAsia" w:ascii="仿宋" w:hAnsi="仿宋"/>
                <w:sz w:val="22"/>
                <w:szCs w:val="21"/>
                <w:highlight w:val="none"/>
              </w:rPr>
              <w:t>网络边界访问控制信息的完整性</w:t>
            </w:r>
          </w:p>
        </w:tc>
        <w:tc>
          <w:tcPr>
            <w:tcW w:w="4428" w:type="dxa"/>
            <w:shd w:val="clear" w:color="auto" w:fill="FFFFFF"/>
            <w:vAlign w:val="center"/>
          </w:tcPr>
          <w:p w14:paraId="0F72E8E0">
            <w:pPr>
              <w:pStyle w:val="9"/>
              <w:spacing w:line="240" w:lineRule="auto"/>
              <w:ind w:firstLine="0" w:firstLineChars="0"/>
              <w:rPr>
                <w:rFonts w:ascii="仿宋" w:hAnsi="仿宋"/>
                <w:sz w:val="22"/>
                <w:szCs w:val="21"/>
                <w:highlight w:val="none"/>
              </w:rPr>
            </w:pPr>
            <w:r>
              <w:rPr>
                <w:rFonts w:hint="eastAsia" w:ascii="仿宋" w:hAnsi="仿宋"/>
                <w:sz w:val="22"/>
                <w:szCs w:val="21"/>
                <w:highlight w:val="none"/>
              </w:rPr>
              <w:t>保护PC端、移动端和服务端通信过程中网络边界访问控制信息的完整性，防止被非授权篡改。</w:t>
            </w:r>
          </w:p>
        </w:tc>
        <w:tc>
          <w:tcPr>
            <w:tcW w:w="1505" w:type="dxa"/>
            <w:shd w:val="clear" w:color="auto" w:fill="FFFFFF"/>
            <w:vAlign w:val="center"/>
          </w:tcPr>
          <w:p w14:paraId="5090D357">
            <w:pPr>
              <w:pStyle w:val="9"/>
              <w:spacing w:line="240" w:lineRule="auto"/>
              <w:ind w:firstLine="0" w:firstLineChars="0"/>
              <w:rPr>
                <w:rFonts w:ascii="仿宋" w:hAnsi="仿宋"/>
                <w:sz w:val="22"/>
                <w:szCs w:val="21"/>
                <w:highlight w:val="none"/>
              </w:rPr>
            </w:pPr>
            <w:r>
              <w:rPr>
                <w:rFonts w:hint="eastAsia" w:ascii="仿宋" w:hAnsi="仿宋"/>
                <w:sz w:val="22"/>
                <w:szCs w:val="21"/>
                <w:highlight w:val="none"/>
              </w:rPr>
              <w:t>无</w:t>
            </w:r>
          </w:p>
        </w:tc>
      </w:tr>
      <w:tr w14:paraId="592DA2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3" w:type="dxa"/>
            <w:vMerge w:val="continue"/>
            <w:shd w:val="clear" w:color="auto" w:fill="FFFFFF"/>
          </w:tcPr>
          <w:p w14:paraId="727EC971">
            <w:pPr>
              <w:pStyle w:val="9"/>
              <w:spacing w:line="240" w:lineRule="auto"/>
              <w:ind w:firstLine="0" w:firstLineChars="0"/>
              <w:rPr>
                <w:rFonts w:ascii="仿宋" w:hAnsi="仿宋"/>
                <w:sz w:val="22"/>
                <w:szCs w:val="21"/>
                <w:highlight w:val="none"/>
              </w:rPr>
            </w:pPr>
          </w:p>
        </w:tc>
        <w:tc>
          <w:tcPr>
            <w:tcW w:w="637" w:type="dxa"/>
            <w:vMerge w:val="continue"/>
            <w:shd w:val="clear" w:color="auto" w:fill="FFFFFF"/>
            <w:vAlign w:val="center"/>
          </w:tcPr>
          <w:p w14:paraId="4942B04E">
            <w:pPr>
              <w:pStyle w:val="9"/>
              <w:spacing w:line="240" w:lineRule="auto"/>
              <w:ind w:firstLine="0" w:firstLineChars="0"/>
              <w:rPr>
                <w:rFonts w:ascii="仿宋" w:hAnsi="仿宋"/>
                <w:sz w:val="22"/>
                <w:szCs w:val="21"/>
                <w:highlight w:val="none"/>
              </w:rPr>
            </w:pPr>
          </w:p>
        </w:tc>
        <w:tc>
          <w:tcPr>
            <w:tcW w:w="2078" w:type="dxa"/>
            <w:vMerge w:val="continue"/>
            <w:shd w:val="clear" w:color="auto" w:fill="FFFFFF"/>
            <w:vAlign w:val="center"/>
          </w:tcPr>
          <w:p w14:paraId="500EF11C">
            <w:pPr>
              <w:pStyle w:val="9"/>
              <w:spacing w:line="240" w:lineRule="auto"/>
              <w:ind w:firstLine="0" w:firstLineChars="0"/>
              <w:rPr>
                <w:rFonts w:ascii="仿宋" w:hAnsi="仿宋"/>
                <w:sz w:val="22"/>
                <w:szCs w:val="21"/>
                <w:highlight w:val="none"/>
              </w:rPr>
            </w:pPr>
          </w:p>
        </w:tc>
        <w:tc>
          <w:tcPr>
            <w:tcW w:w="4428" w:type="dxa"/>
            <w:shd w:val="clear" w:color="auto" w:fill="FFFFFF"/>
            <w:vAlign w:val="center"/>
          </w:tcPr>
          <w:p w14:paraId="34771C1D">
            <w:pPr>
              <w:pStyle w:val="9"/>
              <w:spacing w:line="240" w:lineRule="auto"/>
              <w:ind w:firstLine="0" w:firstLineChars="0"/>
              <w:rPr>
                <w:rFonts w:ascii="仿宋" w:hAnsi="仿宋"/>
                <w:sz w:val="22"/>
                <w:szCs w:val="21"/>
                <w:highlight w:val="none"/>
              </w:rPr>
            </w:pPr>
            <w:r>
              <w:rPr>
                <w:rFonts w:hint="eastAsia" w:ascii="仿宋" w:hAnsi="仿宋"/>
                <w:sz w:val="22"/>
                <w:szCs w:val="21"/>
                <w:highlight w:val="none"/>
              </w:rPr>
              <w:t>系统网络拓扑中不同区域网络边界访问控制信息的完整性保护由云平台提供。</w:t>
            </w:r>
          </w:p>
        </w:tc>
        <w:tc>
          <w:tcPr>
            <w:tcW w:w="1505" w:type="dxa"/>
            <w:shd w:val="clear" w:color="auto" w:fill="FFFFFF"/>
            <w:vAlign w:val="center"/>
          </w:tcPr>
          <w:p w14:paraId="3A2AA831">
            <w:pPr>
              <w:pStyle w:val="9"/>
              <w:spacing w:line="240" w:lineRule="auto"/>
              <w:ind w:firstLine="0" w:firstLineChars="0"/>
              <w:rPr>
                <w:rFonts w:ascii="仿宋" w:hAnsi="仿宋"/>
                <w:sz w:val="22"/>
                <w:szCs w:val="21"/>
                <w:highlight w:val="none"/>
              </w:rPr>
            </w:pPr>
            <w:r>
              <w:rPr>
                <w:rFonts w:hint="eastAsia" w:ascii="仿宋" w:hAnsi="仿宋"/>
                <w:sz w:val="22"/>
                <w:szCs w:val="21"/>
                <w:highlight w:val="none"/>
              </w:rPr>
              <w:t>云平台通过密评，已被完全评估。</w:t>
            </w:r>
          </w:p>
        </w:tc>
      </w:tr>
      <w:tr w14:paraId="16BB21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633" w:type="dxa"/>
            <w:vMerge w:val="continue"/>
            <w:shd w:val="clear" w:color="auto" w:fill="FFFFFF"/>
          </w:tcPr>
          <w:p w14:paraId="50EAACCF">
            <w:pPr>
              <w:pStyle w:val="9"/>
              <w:spacing w:line="240" w:lineRule="auto"/>
              <w:ind w:firstLine="0" w:firstLineChars="0"/>
              <w:rPr>
                <w:rFonts w:ascii="仿宋" w:hAnsi="仿宋"/>
                <w:sz w:val="22"/>
                <w:szCs w:val="21"/>
                <w:highlight w:val="none"/>
              </w:rPr>
            </w:pPr>
          </w:p>
        </w:tc>
        <w:tc>
          <w:tcPr>
            <w:tcW w:w="637" w:type="dxa"/>
            <w:vMerge w:val="continue"/>
            <w:shd w:val="clear" w:color="auto" w:fill="FFFFFF"/>
            <w:vAlign w:val="center"/>
          </w:tcPr>
          <w:p w14:paraId="63E80F1B">
            <w:pPr>
              <w:pStyle w:val="9"/>
              <w:spacing w:line="240" w:lineRule="auto"/>
              <w:ind w:firstLine="0" w:firstLineChars="0"/>
              <w:rPr>
                <w:rFonts w:ascii="仿宋" w:hAnsi="仿宋"/>
                <w:sz w:val="22"/>
                <w:szCs w:val="21"/>
                <w:highlight w:val="none"/>
              </w:rPr>
            </w:pPr>
          </w:p>
        </w:tc>
        <w:tc>
          <w:tcPr>
            <w:tcW w:w="2078" w:type="dxa"/>
            <w:shd w:val="clear" w:color="auto" w:fill="FFFFFF"/>
            <w:vAlign w:val="center"/>
          </w:tcPr>
          <w:p w14:paraId="678DEFFD">
            <w:pPr>
              <w:pStyle w:val="9"/>
              <w:spacing w:line="240" w:lineRule="auto"/>
              <w:ind w:firstLine="0" w:firstLineChars="0"/>
              <w:rPr>
                <w:rFonts w:ascii="仿宋" w:hAnsi="仿宋"/>
                <w:sz w:val="22"/>
                <w:szCs w:val="21"/>
                <w:highlight w:val="none"/>
              </w:rPr>
            </w:pPr>
            <w:r>
              <w:rPr>
                <w:rFonts w:hint="eastAsia" w:ascii="仿宋" w:hAnsi="仿宋"/>
                <w:sz w:val="22"/>
                <w:szCs w:val="21"/>
                <w:highlight w:val="none"/>
              </w:rPr>
              <w:t>密码服务</w:t>
            </w:r>
          </w:p>
        </w:tc>
        <w:tc>
          <w:tcPr>
            <w:tcW w:w="4428" w:type="dxa"/>
            <w:shd w:val="clear" w:color="auto" w:fill="FFFFFF"/>
            <w:vAlign w:val="center"/>
          </w:tcPr>
          <w:p w14:paraId="05253692">
            <w:pPr>
              <w:pStyle w:val="9"/>
              <w:spacing w:line="240" w:lineRule="auto"/>
              <w:ind w:firstLine="0" w:firstLineChars="0"/>
              <w:rPr>
                <w:rFonts w:ascii="仿宋" w:hAnsi="仿宋"/>
                <w:sz w:val="22"/>
                <w:szCs w:val="21"/>
                <w:highlight w:val="none"/>
              </w:rPr>
            </w:pPr>
            <w:r>
              <w:rPr>
                <w:rFonts w:hint="eastAsia" w:ascii="仿宋" w:hAnsi="仿宋"/>
                <w:sz w:val="22"/>
                <w:szCs w:val="21"/>
                <w:highlight w:val="none"/>
              </w:rPr>
              <w:t>采用的数字证书由具备资质的电子认证服务机构签发。</w:t>
            </w:r>
          </w:p>
        </w:tc>
        <w:tc>
          <w:tcPr>
            <w:tcW w:w="1505" w:type="dxa"/>
            <w:shd w:val="clear" w:color="auto" w:fill="FFFFFF"/>
            <w:vAlign w:val="center"/>
          </w:tcPr>
          <w:p w14:paraId="12971BCD">
            <w:pPr>
              <w:pStyle w:val="9"/>
              <w:spacing w:line="240" w:lineRule="auto"/>
              <w:ind w:firstLine="0" w:firstLineChars="0"/>
              <w:rPr>
                <w:rFonts w:ascii="仿宋" w:hAnsi="仿宋"/>
                <w:sz w:val="22"/>
                <w:szCs w:val="21"/>
                <w:highlight w:val="none"/>
              </w:rPr>
            </w:pPr>
            <w:r>
              <w:rPr>
                <w:rFonts w:hint="eastAsia" w:ascii="仿宋" w:hAnsi="仿宋"/>
                <w:sz w:val="22"/>
                <w:szCs w:val="21"/>
                <w:highlight w:val="none"/>
              </w:rPr>
              <w:t>无</w:t>
            </w:r>
          </w:p>
        </w:tc>
      </w:tr>
      <w:tr w14:paraId="6CDB44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3" w:type="dxa"/>
            <w:vMerge w:val="continue"/>
            <w:shd w:val="clear" w:color="auto" w:fill="FFFFFF"/>
          </w:tcPr>
          <w:p w14:paraId="5036B8F2">
            <w:pPr>
              <w:pStyle w:val="9"/>
              <w:spacing w:line="240" w:lineRule="auto"/>
              <w:ind w:firstLine="0" w:firstLineChars="0"/>
              <w:rPr>
                <w:rFonts w:ascii="仿宋" w:hAnsi="仿宋"/>
                <w:sz w:val="22"/>
                <w:szCs w:val="21"/>
                <w:highlight w:val="none"/>
              </w:rPr>
            </w:pPr>
          </w:p>
        </w:tc>
        <w:tc>
          <w:tcPr>
            <w:tcW w:w="637" w:type="dxa"/>
            <w:vMerge w:val="continue"/>
            <w:shd w:val="clear" w:color="auto" w:fill="FFFFFF"/>
            <w:vAlign w:val="center"/>
          </w:tcPr>
          <w:p w14:paraId="42B8AA8C">
            <w:pPr>
              <w:pStyle w:val="9"/>
              <w:spacing w:line="240" w:lineRule="auto"/>
              <w:ind w:firstLine="0" w:firstLineChars="0"/>
              <w:rPr>
                <w:rFonts w:ascii="仿宋" w:hAnsi="仿宋"/>
                <w:sz w:val="22"/>
                <w:szCs w:val="21"/>
                <w:highlight w:val="none"/>
              </w:rPr>
            </w:pPr>
          </w:p>
        </w:tc>
        <w:tc>
          <w:tcPr>
            <w:tcW w:w="2078" w:type="dxa"/>
            <w:shd w:val="clear" w:color="auto" w:fill="FFFFFF"/>
            <w:vAlign w:val="center"/>
          </w:tcPr>
          <w:p w14:paraId="0C6C2C56">
            <w:pPr>
              <w:pStyle w:val="9"/>
              <w:spacing w:line="240" w:lineRule="auto"/>
              <w:ind w:firstLine="0" w:firstLineChars="0"/>
              <w:rPr>
                <w:rFonts w:ascii="仿宋" w:hAnsi="仿宋"/>
                <w:sz w:val="22"/>
                <w:szCs w:val="21"/>
                <w:highlight w:val="none"/>
              </w:rPr>
            </w:pPr>
            <w:r>
              <w:rPr>
                <w:rFonts w:hint="eastAsia" w:ascii="仿宋" w:hAnsi="仿宋"/>
                <w:sz w:val="22"/>
                <w:szCs w:val="21"/>
                <w:highlight w:val="none"/>
              </w:rPr>
              <w:t>密码产品</w:t>
            </w:r>
          </w:p>
        </w:tc>
        <w:tc>
          <w:tcPr>
            <w:tcW w:w="4428" w:type="dxa"/>
            <w:shd w:val="clear" w:color="auto" w:fill="FFFFFF"/>
            <w:vAlign w:val="center"/>
          </w:tcPr>
          <w:p w14:paraId="1E6C24D1">
            <w:pPr>
              <w:pStyle w:val="9"/>
              <w:spacing w:line="240" w:lineRule="auto"/>
              <w:ind w:firstLine="0" w:firstLineChars="0"/>
              <w:rPr>
                <w:rFonts w:ascii="仿宋" w:hAnsi="仿宋"/>
                <w:sz w:val="22"/>
                <w:szCs w:val="21"/>
                <w:highlight w:val="none"/>
              </w:rPr>
            </w:pPr>
            <w:r>
              <w:rPr>
                <w:rFonts w:hint="eastAsia" w:ascii="仿宋" w:hAnsi="仿宋"/>
                <w:sz w:val="22"/>
                <w:szCs w:val="21"/>
                <w:highlight w:val="none"/>
              </w:rPr>
              <w:t>客户端采用的安全浏览器、密码模块（二级）、USBKey达到GB/T 37092二级安全要求。</w:t>
            </w:r>
          </w:p>
        </w:tc>
        <w:tc>
          <w:tcPr>
            <w:tcW w:w="1505" w:type="dxa"/>
            <w:shd w:val="clear" w:color="auto" w:fill="FFFFFF"/>
            <w:vAlign w:val="center"/>
          </w:tcPr>
          <w:p w14:paraId="7C492757">
            <w:pPr>
              <w:pStyle w:val="9"/>
              <w:spacing w:line="240" w:lineRule="auto"/>
              <w:ind w:firstLine="0" w:firstLineChars="0"/>
              <w:rPr>
                <w:rFonts w:ascii="仿宋" w:hAnsi="仿宋"/>
                <w:sz w:val="22"/>
                <w:szCs w:val="21"/>
                <w:highlight w:val="none"/>
              </w:rPr>
            </w:pPr>
            <w:r>
              <w:rPr>
                <w:rFonts w:hint="eastAsia" w:ascii="仿宋" w:hAnsi="仿宋"/>
                <w:sz w:val="22"/>
                <w:szCs w:val="21"/>
                <w:highlight w:val="none"/>
              </w:rPr>
              <w:t>无</w:t>
            </w:r>
          </w:p>
        </w:tc>
      </w:tr>
      <w:tr w14:paraId="4F208C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3" w:type="dxa"/>
            <w:vMerge w:val="continue"/>
            <w:shd w:val="clear" w:color="auto" w:fill="FFFFFF"/>
          </w:tcPr>
          <w:p w14:paraId="4E704DCD">
            <w:pPr>
              <w:pStyle w:val="9"/>
              <w:spacing w:line="240" w:lineRule="auto"/>
              <w:ind w:firstLine="0" w:firstLineChars="0"/>
              <w:rPr>
                <w:rFonts w:ascii="仿宋" w:hAnsi="仿宋"/>
                <w:sz w:val="22"/>
                <w:szCs w:val="21"/>
                <w:highlight w:val="none"/>
              </w:rPr>
            </w:pPr>
          </w:p>
        </w:tc>
        <w:tc>
          <w:tcPr>
            <w:tcW w:w="637" w:type="dxa"/>
            <w:vMerge w:val="restart"/>
            <w:shd w:val="clear" w:color="auto" w:fill="FFFFFF"/>
            <w:vAlign w:val="center"/>
          </w:tcPr>
          <w:p w14:paraId="75305D64">
            <w:pPr>
              <w:pStyle w:val="9"/>
              <w:spacing w:line="240" w:lineRule="auto"/>
              <w:ind w:firstLine="0" w:firstLineChars="0"/>
              <w:rPr>
                <w:rFonts w:ascii="仿宋" w:hAnsi="仿宋"/>
                <w:sz w:val="22"/>
                <w:szCs w:val="21"/>
                <w:highlight w:val="none"/>
              </w:rPr>
            </w:pPr>
            <w:r>
              <w:rPr>
                <w:rFonts w:hint="eastAsia" w:ascii="仿宋" w:hAnsi="仿宋"/>
                <w:sz w:val="22"/>
                <w:szCs w:val="21"/>
                <w:highlight w:val="none"/>
              </w:rPr>
              <w:t>设备和计算安全</w:t>
            </w:r>
          </w:p>
        </w:tc>
        <w:tc>
          <w:tcPr>
            <w:tcW w:w="2078" w:type="dxa"/>
            <w:shd w:val="clear" w:color="auto" w:fill="FFFFFF"/>
            <w:vAlign w:val="center"/>
          </w:tcPr>
          <w:p w14:paraId="58FBEBD5">
            <w:pPr>
              <w:pStyle w:val="9"/>
              <w:spacing w:line="240" w:lineRule="auto"/>
              <w:ind w:firstLine="0" w:firstLineChars="0"/>
              <w:rPr>
                <w:rFonts w:ascii="仿宋" w:hAnsi="仿宋"/>
                <w:sz w:val="22"/>
                <w:szCs w:val="21"/>
                <w:highlight w:val="none"/>
              </w:rPr>
            </w:pPr>
            <w:r>
              <w:rPr>
                <w:rFonts w:hint="eastAsia" w:ascii="仿宋" w:hAnsi="仿宋"/>
                <w:sz w:val="22"/>
                <w:szCs w:val="21"/>
                <w:highlight w:val="none"/>
              </w:rPr>
              <w:t>身份鉴别</w:t>
            </w:r>
          </w:p>
        </w:tc>
        <w:tc>
          <w:tcPr>
            <w:tcW w:w="4428" w:type="dxa"/>
            <w:shd w:val="clear" w:color="auto" w:fill="FFFFFF"/>
            <w:vAlign w:val="center"/>
          </w:tcPr>
          <w:p w14:paraId="4C9761AC">
            <w:pPr>
              <w:pStyle w:val="9"/>
              <w:spacing w:line="240" w:lineRule="auto"/>
              <w:ind w:firstLine="0" w:firstLineChars="0"/>
              <w:rPr>
                <w:rFonts w:ascii="仿宋" w:hAnsi="仿宋"/>
                <w:sz w:val="22"/>
                <w:szCs w:val="21"/>
                <w:highlight w:val="none"/>
              </w:rPr>
            </w:pPr>
            <w:r>
              <w:rPr>
                <w:rFonts w:hint="eastAsia" w:ascii="仿宋" w:hAnsi="仿宋"/>
                <w:sz w:val="22"/>
                <w:szCs w:val="21"/>
                <w:highlight w:val="none"/>
              </w:rPr>
              <w:t>管理员通过远程运维管理终端访问堡垒机、服务器虚拟机、数据库、密码服务时，对其身份真实性进行识别和确认， 防止假冒人员登录。</w:t>
            </w:r>
          </w:p>
        </w:tc>
        <w:tc>
          <w:tcPr>
            <w:tcW w:w="1505" w:type="dxa"/>
            <w:shd w:val="clear" w:color="auto" w:fill="FFFFFF"/>
            <w:vAlign w:val="center"/>
          </w:tcPr>
          <w:p w14:paraId="5E90585D">
            <w:pPr>
              <w:pStyle w:val="9"/>
              <w:spacing w:line="240" w:lineRule="auto"/>
              <w:ind w:firstLine="0" w:firstLineChars="0"/>
              <w:rPr>
                <w:rFonts w:ascii="仿宋" w:hAnsi="仿宋"/>
                <w:sz w:val="22"/>
                <w:szCs w:val="21"/>
                <w:highlight w:val="none"/>
              </w:rPr>
            </w:pPr>
            <w:r>
              <w:rPr>
                <w:rFonts w:hint="eastAsia" w:ascii="仿宋" w:hAnsi="仿宋"/>
                <w:sz w:val="22"/>
                <w:szCs w:val="21"/>
                <w:highlight w:val="none"/>
              </w:rPr>
              <w:t>无</w:t>
            </w:r>
          </w:p>
        </w:tc>
      </w:tr>
      <w:tr w14:paraId="69E734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3" w:type="dxa"/>
            <w:vMerge w:val="continue"/>
            <w:shd w:val="clear" w:color="auto" w:fill="FFFFFF"/>
          </w:tcPr>
          <w:p w14:paraId="686595D4">
            <w:pPr>
              <w:pStyle w:val="9"/>
              <w:spacing w:line="240" w:lineRule="auto"/>
              <w:ind w:firstLine="0" w:firstLineChars="0"/>
              <w:rPr>
                <w:rFonts w:ascii="仿宋" w:hAnsi="仿宋"/>
                <w:sz w:val="22"/>
                <w:szCs w:val="21"/>
                <w:highlight w:val="none"/>
              </w:rPr>
            </w:pPr>
          </w:p>
        </w:tc>
        <w:tc>
          <w:tcPr>
            <w:tcW w:w="637" w:type="dxa"/>
            <w:vMerge w:val="continue"/>
            <w:shd w:val="clear" w:color="auto" w:fill="FFFFFF"/>
            <w:vAlign w:val="center"/>
          </w:tcPr>
          <w:p w14:paraId="0DC1129E">
            <w:pPr>
              <w:pStyle w:val="9"/>
              <w:spacing w:line="240" w:lineRule="auto"/>
              <w:ind w:firstLine="0" w:firstLineChars="0"/>
              <w:rPr>
                <w:rFonts w:ascii="仿宋" w:hAnsi="仿宋"/>
                <w:sz w:val="22"/>
                <w:szCs w:val="21"/>
                <w:highlight w:val="none"/>
              </w:rPr>
            </w:pPr>
          </w:p>
        </w:tc>
        <w:tc>
          <w:tcPr>
            <w:tcW w:w="2078" w:type="dxa"/>
            <w:shd w:val="clear" w:color="auto" w:fill="FFFFFF"/>
            <w:vAlign w:val="center"/>
          </w:tcPr>
          <w:p w14:paraId="6CDC92F0">
            <w:pPr>
              <w:pStyle w:val="9"/>
              <w:spacing w:line="240" w:lineRule="auto"/>
              <w:ind w:firstLine="0" w:firstLineChars="0"/>
              <w:rPr>
                <w:rFonts w:ascii="仿宋" w:hAnsi="仿宋"/>
                <w:sz w:val="22"/>
                <w:szCs w:val="21"/>
                <w:highlight w:val="none"/>
              </w:rPr>
            </w:pPr>
            <w:r>
              <w:rPr>
                <w:rFonts w:hint="eastAsia" w:ascii="仿宋" w:hAnsi="仿宋"/>
                <w:sz w:val="22"/>
                <w:szCs w:val="21"/>
                <w:highlight w:val="none"/>
              </w:rPr>
              <w:t>系统资源访问控制信息完整性</w:t>
            </w:r>
          </w:p>
        </w:tc>
        <w:tc>
          <w:tcPr>
            <w:tcW w:w="4428" w:type="dxa"/>
            <w:shd w:val="clear" w:color="auto" w:fill="FFFFFF"/>
            <w:vAlign w:val="center"/>
          </w:tcPr>
          <w:p w14:paraId="6584E6CA">
            <w:pPr>
              <w:pStyle w:val="9"/>
              <w:spacing w:line="240" w:lineRule="auto"/>
              <w:ind w:firstLine="0" w:firstLineChars="0"/>
              <w:rPr>
                <w:rFonts w:ascii="仿宋" w:hAnsi="仿宋"/>
                <w:sz w:val="22"/>
                <w:szCs w:val="21"/>
                <w:highlight w:val="none"/>
              </w:rPr>
            </w:pPr>
            <w:r>
              <w:rPr>
                <w:rFonts w:hint="eastAsia" w:ascii="仿宋" w:hAnsi="仿宋"/>
                <w:sz w:val="22"/>
                <w:szCs w:val="21"/>
                <w:highlight w:val="none"/>
              </w:rPr>
              <w:t>保护服务器虚拟机、数据库等设备访问控制信息的完整性，防止被非授权篡改。</w:t>
            </w:r>
          </w:p>
        </w:tc>
        <w:tc>
          <w:tcPr>
            <w:tcW w:w="1505" w:type="dxa"/>
            <w:shd w:val="clear" w:color="auto" w:fill="FFFFFF"/>
            <w:vAlign w:val="center"/>
          </w:tcPr>
          <w:p w14:paraId="1871ABCA">
            <w:pPr>
              <w:pStyle w:val="9"/>
              <w:spacing w:line="240" w:lineRule="auto"/>
              <w:ind w:firstLine="0" w:firstLineChars="0"/>
              <w:rPr>
                <w:rFonts w:ascii="仿宋" w:hAnsi="仿宋"/>
                <w:sz w:val="22"/>
                <w:szCs w:val="21"/>
                <w:highlight w:val="none"/>
              </w:rPr>
            </w:pPr>
            <w:r>
              <w:rPr>
                <w:rFonts w:hint="eastAsia" w:ascii="仿宋" w:hAnsi="仿宋"/>
                <w:sz w:val="22"/>
                <w:szCs w:val="21"/>
                <w:highlight w:val="none"/>
              </w:rPr>
              <w:t>无</w:t>
            </w:r>
          </w:p>
        </w:tc>
      </w:tr>
      <w:tr w14:paraId="152C41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633" w:type="dxa"/>
            <w:vMerge w:val="continue"/>
            <w:shd w:val="clear" w:color="auto" w:fill="FFFFFF"/>
          </w:tcPr>
          <w:p w14:paraId="14A0853C">
            <w:pPr>
              <w:pStyle w:val="9"/>
              <w:spacing w:line="240" w:lineRule="auto"/>
              <w:ind w:firstLine="0" w:firstLineChars="0"/>
              <w:rPr>
                <w:rFonts w:ascii="仿宋" w:hAnsi="仿宋"/>
                <w:sz w:val="22"/>
                <w:szCs w:val="21"/>
                <w:highlight w:val="none"/>
              </w:rPr>
            </w:pPr>
          </w:p>
        </w:tc>
        <w:tc>
          <w:tcPr>
            <w:tcW w:w="637" w:type="dxa"/>
            <w:vMerge w:val="continue"/>
            <w:shd w:val="clear" w:color="auto" w:fill="FFFFFF"/>
            <w:vAlign w:val="center"/>
          </w:tcPr>
          <w:p w14:paraId="6DF21C58">
            <w:pPr>
              <w:pStyle w:val="9"/>
              <w:spacing w:line="240" w:lineRule="auto"/>
              <w:ind w:firstLine="0" w:firstLineChars="0"/>
              <w:rPr>
                <w:rFonts w:ascii="仿宋" w:hAnsi="仿宋"/>
                <w:sz w:val="22"/>
                <w:szCs w:val="21"/>
                <w:highlight w:val="none"/>
              </w:rPr>
            </w:pPr>
          </w:p>
        </w:tc>
        <w:tc>
          <w:tcPr>
            <w:tcW w:w="2078" w:type="dxa"/>
            <w:shd w:val="clear" w:color="auto" w:fill="FFFFFF"/>
            <w:vAlign w:val="center"/>
          </w:tcPr>
          <w:p w14:paraId="40BB3F89">
            <w:pPr>
              <w:pStyle w:val="9"/>
              <w:spacing w:line="240" w:lineRule="auto"/>
              <w:ind w:firstLine="0" w:firstLineChars="0"/>
              <w:rPr>
                <w:rFonts w:ascii="仿宋" w:hAnsi="仿宋"/>
                <w:sz w:val="22"/>
                <w:szCs w:val="21"/>
                <w:highlight w:val="none"/>
              </w:rPr>
            </w:pPr>
            <w:r>
              <w:rPr>
                <w:rFonts w:hint="eastAsia" w:ascii="仿宋" w:hAnsi="仿宋"/>
                <w:sz w:val="22"/>
                <w:szCs w:val="21"/>
                <w:highlight w:val="none"/>
              </w:rPr>
              <w:t>日志记录完整性</w:t>
            </w:r>
          </w:p>
        </w:tc>
        <w:tc>
          <w:tcPr>
            <w:tcW w:w="4428" w:type="dxa"/>
            <w:shd w:val="clear" w:color="auto" w:fill="FFFFFF"/>
            <w:vAlign w:val="center"/>
          </w:tcPr>
          <w:p w14:paraId="07C65E2E">
            <w:pPr>
              <w:pStyle w:val="9"/>
              <w:spacing w:line="240" w:lineRule="auto"/>
              <w:ind w:firstLine="0" w:firstLineChars="0"/>
              <w:rPr>
                <w:rFonts w:ascii="仿宋" w:hAnsi="仿宋"/>
                <w:sz w:val="22"/>
                <w:szCs w:val="21"/>
                <w:highlight w:val="none"/>
              </w:rPr>
            </w:pPr>
            <w:r>
              <w:rPr>
                <w:rFonts w:hint="eastAsia" w:ascii="仿宋" w:hAnsi="仿宋"/>
                <w:sz w:val="22"/>
                <w:szCs w:val="21"/>
                <w:highlight w:val="none"/>
              </w:rPr>
              <w:t>保护系统中服务器虚拟机、数据库、密码服务的日志记录的完整性，防止被非授权篡改。</w:t>
            </w:r>
          </w:p>
        </w:tc>
        <w:tc>
          <w:tcPr>
            <w:tcW w:w="1505" w:type="dxa"/>
            <w:shd w:val="clear" w:color="auto" w:fill="FFFFFF"/>
            <w:vAlign w:val="center"/>
          </w:tcPr>
          <w:p w14:paraId="67E9A1D3">
            <w:pPr>
              <w:pStyle w:val="9"/>
              <w:spacing w:line="240" w:lineRule="auto"/>
              <w:ind w:firstLine="0" w:firstLineChars="0"/>
              <w:rPr>
                <w:rFonts w:ascii="仿宋" w:hAnsi="仿宋"/>
                <w:sz w:val="22"/>
                <w:szCs w:val="21"/>
                <w:highlight w:val="none"/>
              </w:rPr>
            </w:pPr>
            <w:r>
              <w:rPr>
                <w:rFonts w:hint="eastAsia" w:ascii="仿宋" w:hAnsi="仿宋"/>
                <w:sz w:val="22"/>
                <w:szCs w:val="21"/>
                <w:highlight w:val="none"/>
              </w:rPr>
              <w:t>无</w:t>
            </w:r>
          </w:p>
        </w:tc>
      </w:tr>
      <w:tr w14:paraId="472160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3" w:type="dxa"/>
            <w:vMerge w:val="continue"/>
            <w:shd w:val="clear" w:color="auto" w:fill="FFFFFF"/>
          </w:tcPr>
          <w:p w14:paraId="3E45F4E3">
            <w:pPr>
              <w:pStyle w:val="9"/>
              <w:spacing w:line="240" w:lineRule="auto"/>
              <w:ind w:firstLine="0" w:firstLineChars="0"/>
              <w:rPr>
                <w:rFonts w:ascii="仿宋" w:hAnsi="仿宋"/>
                <w:sz w:val="22"/>
                <w:szCs w:val="21"/>
                <w:highlight w:val="none"/>
              </w:rPr>
            </w:pPr>
          </w:p>
        </w:tc>
        <w:tc>
          <w:tcPr>
            <w:tcW w:w="637" w:type="dxa"/>
            <w:vMerge w:val="continue"/>
            <w:shd w:val="clear" w:color="auto" w:fill="FFFFFF"/>
            <w:vAlign w:val="center"/>
          </w:tcPr>
          <w:p w14:paraId="748A6D13">
            <w:pPr>
              <w:pStyle w:val="9"/>
              <w:spacing w:line="240" w:lineRule="auto"/>
              <w:ind w:firstLine="0" w:firstLineChars="0"/>
              <w:rPr>
                <w:rFonts w:ascii="仿宋" w:hAnsi="仿宋"/>
                <w:sz w:val="22"/>
                <w:szCs w:val="21"/>
                <w:highlight w:val="none"/>
              </w:rPr>
            </w:pPr>
          </w:p>
        </w:tc>
        <w:tc>
          <w:tcPr>
            <w:tcW w:w="2078" w:type="dxa"/>
            <w:shd w:val="clear" w:color="auto" w:fill="FFFFFF"/>
            <w:vAlign w:val="center"/>
          </w:tcPr>
          <w:p w14:paraId="5DA715AC">
            <w:pPr>
              <w:pStyle w:val="9"/>
              <w:spacing w:line="240" w:lineRule="auto"/>
              <w:ind w:firstLine="0" w:firstLineChars="0"/>
              <w:rPr>
                <w:rFonts w:ascii="仿宋" w:hAnsi="仿宋"/>
                <w:sz w:val="22"/>
                <w:szCs w:val="21"/>
                <w:highlight w:val="none"/>
              </w:rPr>
            </w:pPr>
            <w:r>
              <w:rPr>
                <w:rFonts w:hint="eastAsia" w:ascii="仿宋" w:hAnsi="仿宋"/>
                <w:sz w:val="22"/>
                <w:szCs w:val="21"/>
                <w:highlight w:val="none"/>
              </w:rPr>
              <w:t>密码服务</w:t>
            </w:r>
          </w:p>
        </w:tc>
        <w:tc>
          <w:tcPr>
            <w:tcW w:w="4428" w:type="dxa"/>
            <w:shd w:val="clear" w:color="auto" w:fill="FFFFFF"/>
            <w:vAlign w:val="center"/>
          </w:tcPr>
          <w:p w14:paraId="397175AE">
            <w:pPr>
              <w:pStyle w:val="9"/>
              <w:spacing w:line="240" w:lineRule="auto"/>
              <w:ind w:firstLine="0" w:firstLineChars="0"/>
              <w:rPr>
                <w:rFonts w:ascii="仿宋" w:hAnsi="仿宋"/>
                <w:sz w:val="22"/>
                <w:szCs w:val="21"/>
                <w:highlight w:val="none"/>
              </w:rPr>
            </w:pPr>
            <w:r>
              <w:rPr>
                <w:rFonts w:hint="eastAsia" w:ascii="仿宋" w:hAnsi="仿宋"/>
                <w:sz w:val="22"/>
                <w:szCs w:val="21"/>
                <w:highlight w:val="none"/>
              </w:rPr>
              <w:t>采用的云密码服务由云平台提供。</w:t>
            </w:r>
          </w:p>
        </w:tc>
        <w:tc>
          <w:tcPr>
            <w:tcW w:w="1505" w:type="dxa"/>
            <w:shd w:val="clear" w:color="auto" w:fill="FFFFFF"/>
            <w:vAlign w:val="center"/>
          </w:tcPr>
          <w:p w14:paraId="6262BE76">
            <w:pPr>
              <w:pStyle w:val="9"/>
              <w:spacing w:line="240" w:lineRule="auto"/>
              <w:ind w:firstLine="0" w:firstLineChars="0"/>
              <w:rPr>
                <w:rFonts w:ascii="仿宋" w:hAnsi="仿宋"/>
                <w:sz w:val="22"/>
                <w:szCs w:val="21"/>
                <w:highlight w:val="none"/>
              </w:rPr>
            </w:pPr>
            <w:r>
              <w:rPr>
                <w:rFonts w:hint="eastAsia" w:ascii="仿宋" w:hAnsi="仿宋"/>
                <w:sz w:val="22"/>
                <w:szCs w:val="21"/>
                <w:highlight w:val="none"/>
              </w:rPr>
              <w:t>云平台通过密评，已被完全评估。</w:t>
            </w:r>
          </w:p>
        </w:tc>
      </w:tr>
      <w:tr w14:paraId="053956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3" w:type="dxa"/>
            <w:vMerge w:val="continue"/>
            <w:shd w:val="clear" w:color="auto" w:fill="FFFFFF"/>
          </w:tcPr>
          <w:p w14:paraId="749DECF6">
            <w:pPr>
              <w:pStyle w:val="9"/>
              <w:spacing w:line="240" w:lineRule="auto"/>
              <w:ind w:firstLine="0" w:firstLineChars="0"/>
              <w:rPr>
                <w:rFonts w:ascii="仿宋" w:hAnsi="仿宋"/>
                <w:sz w:val="22"/>
                <w:szCs w:val="21"/>
                <w:highlight w:val="none"/>
              </w:rPr>
            </w:pPr>
          </w:p>
        </w:tc>
        <w:tc>
          <w:tcPr>
            <w:tcW w:w="637" w:type="dxa"/>
            <w:vMerge w:val="continue"/>
            <w:shd w:val="clear" w:color="auto" w:fill="FFFFFF"/>
            <w:vAlign w:val="center"/>
          </w:tcPr>
          <w:p w14:paraId="76646FC6">
            <w:pPr>
              <w:pStyle w:val="9"/>
              <w:spacing w:line="240" w:lineRule="auto"/>
              <w:ind w:firstLine="0" w:firstLineChars="0"/>
              <w:rPr>
                <w:rFonts w:ascii="仿宋" w:hAnsi="仿宋"/>
                <w:sz w:val="22"/>
                <w:szCs w:val="21"/>
                <w:highlight w:val="none"/>
              </w:rPr>
            </w:pPr>
          </w:p>
        </w:tc>
        <w:tc>
          <w:tcPr>
            <w:tcW w:w="2078" w:type="dxa"/>
            <w:shd w:val="clear" w:color="auto" w:fill="FFFFFF"/>
            <w:vAlign w:val="center"/>
          </w:tcPr>
          <w:p w14:paraId="620E4C6E">
            <w:pPr>
              <w:pStyle w:val="9"/>
              <w:spacing w:line="240" w:lineRule="auto"/>
              <w:ind w:firstLine="0" w:firstLineChars="0"/>
              <w:rPr>
                <w:rFonts w:ascii="仿宋" w:hAnsi="仿宋"/>
                <w:sz w:val="22"/>
                <w:szCs w:val="21"/>
                <w:highlight w:val="none"/>
              </w:rPr>
            </w:pPr>
            <w:r>
              <w:rPr>
                <w:rFonts w:hint="eastAsia" w:ascii="仿宋" w:hAnsi="仿宋"/>
                <w:sz w:val="22"/>
                <w:szCs w:val="21"/>
                <w:highlight w:val="none"/>
              </w:rPr>
              <w:t>密码产品</w:t>
            </w:r>
          </w:p>
        </w:tc>
        <w:tc>
          <w:tcPr>
            <w:tcW w:w="4428" w:type="dxa"/>
            <w:shd w:val="clear" w:color="auto" w:fill="FFFFFF"/>
            <w:vAlign w:val="center"/>
          </w:tcPr>
          <w:p w14:paraId="192DA6F2">
            <w:pPr>
              <w:pStyle w:val="9"/>
              <w:spacing w:line="240" w:lineRule="auto"/>
              <w:ind w:firstLine="0" w:firstLineChars="0"/>
              <w:rPr>
                <w:rFonts w:ascii="仿宋" w:hAnsi="仿宋"/>
                <w:sz w:val="22"/>
                <w:szCs w:val="21"/>
                <w:highlight w:val="none"/>
              </w:rPr>
            </w:pPr>
            <w:r>
              <w:rPr>
                <w:rFonts w:hint="eastAsia" w:ascii="仿宋" w:hAnsi="仿宋"/>
                <w:sz w:val="22"/>
                <w:szCs w:val="21"/>
                <w:highlight w:val="none"/>
              </w:rPr>
              <w:t>服务端相关的密码产品由云平台提供安全保障。</w:t>
            </w:r>
          </w:p>
        </w:tc>
        <w:tc>
          <w:tcPr>
            <w:tcW w:w="1505" w:type="dxa"/>
            <w:shd w:val="clear" w:color="auto" w:fill="FFFFFF"/>
            <w:vAlign w:val="center"/>
          </w:tcPr>
          <w:p w14:paraId="75D01A4A">
            <w:pPr>
              <w:pStyle w:val="9"/>
              <w:spacing w:line="240" w:lineRule="auto"/>
              <w:ind w:firstLine="0" w:firstLineChars="0"/>
              <w:rPr>
                <w:rFonts w:ascii="仿宋" w:hAnsi="仿宋"/>
                <w:sz w:val="22"/>
                <w:szCs w:val="21"/>
                <w:highlight w:val="none"/>
              </w:rPr>
            </w:pPr>
            <w:r>
              <w:rPr>
                <w:rFonts w:hint="eastAsia" w:ascii="仿宋" w:hAnsi="仿宋"/>
                <w:sz w:val="22"/>
                <w:szCs w:val="21"/>
                <w:highlight w:val="none"/>
              </w:rPr>
              <w:t>云平台通过密评，已被完全评估。</w:t>
            </w:r>
          </w:p>
        </w:tc>
      </w:tr>
      <w:tr w14:paraId="6A614F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3" w:type="dxa"/>
            <w:vMerge w:val="restart"/>
            <w:shd w:val="clear" w:color="auto" w:fill="FFFFFF"/>
          </w:tcPr>
          <w:p w14:paraId="708C7D08">
            <w:pPr>
              <w:pStyle w:val="9"/>
              <w:spacing w:line="240" w:lineRule="auto"/>
              <w:ind w:firstLine="0" w:firstLineChars="0"/>
              <w:rPr>
                <w:rFonts w:ascii="仿宋" w:hAnsi="仿宋"/>
                <w:sz w:val="22"/>
                <w:szCs w:val="21"/>
                <w:highlight w:val="none"/>
              </w:rPr>
            </w:pPr>
            <w:r>
              <w:rPr>
                <w:rFonts w:hint="eastAsia" w:ascii="仿宋" w:hAnsi="仿宋"/>
                <w:sz w:val="22"/>
                <w:szCs w:val="21"/>
                <w:highlight w:val="none"/>
              </w:rPr>
              <w:t>业 务应 用安全</w:t>
            </w:r>
          </w:p>
        </w:tc>
        <w:tc>
          <w:tcPr>
            <w:tcW w:w="637" w:type="dxa"/>
            <w:vMerge w:val="restart"/>
            <w:shd w:val="clear" w:color="auto" w:fill="FFFFFF"/>
            <w:vAlign w:val="center"/>
          </w:tcPr>
          <w:p w14:paraId="7D821F09">
            <w:pPr>
              <w:pStyle w:val="9"/>
              <w:spacing w:line="240" w:lineRule="auto"/>
              <w:ind w:firstLine="0" w:firstLineChars="0"/>
              <w:rPr>
                <w:rFonts w:ascii="仿宋" w:hAnsi="仿宋"/>
                <w:sz w:val="22"/>
                <w:szCs w:val="21"/>
                <w:highlight w:val="none"/>
              </w:rPr>
            </w:pPr>
            <w:r>
              <w:rPr>
                <w:rFonts w:hint="eastAsia" w:ascii="仿宋" w:hAnsi="仿宋"/>
                <w:sz w:val="22"/>
                <w:szCs w:val="21"/>
                <w:highlight w:val="none"/>
              </w:rPr>
              <w:t>应用和数据安全</w:t>
            </w:r>
          </w:p>
        </w:tc>
        <w:tc>
          <w:tcPr>
            <w:tcW w:w="2078" w:type="dxa"/>
            <w:shd w:val="clear" w:color="auto" w:fill="FFFFFF"/>
            <w:vAlign w:val="center"/>
          </w:tcPr>
          <w:p w14:paraId="47629478">
            <w:pPr>
              <w:pStyle w:val="9"/>
              <w:spacing w:line="240" w:lineRule="auto"/>
              <w:ind w:firstLine="0" w:firstLineChars="0"/>
              <w:rPr>
                <w:rFonts w:ascii="仿宋" w:hAnsi="仿宋"/>
                <w:sz w:val="22"/>
                <w:szCs w:val="21"/>
                <w:highlight w:val="none"/>
              </w:rPr>
            </w:pPr>
            <w:r>
              <w:rPr>
                <w:rFonts w:hint="eastAsia" w:ascii="仿宋" w:hAnsi="仿宋"/>
                <w:sz w:val="22"/>
                <w:szCs w:val="21"/>
                <w:highlight w:val="none"/>
              </w:rPr>
              <w:t>身份鉴别</w:t>
            </w:r>
          </w:p>
        </w:tc>
        <w:tc>
          <w:tcPr>
            <w:tcW w:w="4428" w:type="dxa"/>
            <w:shd w:val="clear" w:color="auto" w:fill="FFFFFF"/>
            <w:vAlign w:val="center"/>
          </w:tcPr>
          <w:p w14:paraId="0DD78D5D">
            <w:pPr>
              <w:pStyle w:val="9"/>
              <w:spacing w:line="240" w:lineRule="auto"/>
              <w:ind w:firstLine="0" w:firstLineChars="0"/>
              <w:rPr>
                <w:rFonts w:ascii="仿宋" w:hAnsi="仿宋"/>
                <w:sz w:val="22"/>
                <w:szCs w:val="21"/>
                <w:highlight w:val="none"/>
              </w:rPr>
            </w:pPr>
            <w:r>
              <w:rPr>
                <w:rFonts w:hint="eastAsia" w:ascii="仿宋" w:hAnsi="仿宋"/>
                <w:sz w:val="22"/>
                <w:szCs w:val="21"/>
                <w:highlight w:val="none"/>
              </w:rPr>
              <w:t>确认应用系统用户身份的真实性，防止假冒人员登录。</w:t>
            </w:r>
          </w:p>
        </w:tc>
        <w:tc>
          <w:tcPr>
            <w:tcW w:w="1505" w:type="dxa"/>
            <w:shd w:val="clear" w:color="auto" w:fill="FFFFFF"/>
            <w:vAlign w:val="center"/>
          </w:tcPr>
          <w:p w14:paraId="17F1EC03">
            <w:pPr>
              <w:pStyle w:val="9"/>
              <w:spacing w:line="240" w:lineRule="auto"/>
              <w:ind w:firstLine="0" w:firstLineChars="0"/>
              <w:rPr>
                <w:rFonts w:ascii="仿宋" w:hAnsi="仿宋"/>
                <w:sz w:val="22"/>
                <w:szCs w:val="21"/>
                <w:highlight w:val="none"/>
              </w:rPr>
            </w:pPr>
            <w:r>
              <w:rPr>
                <w:rFonts w:hint="eastAsia" w:ascii="仿宋" w:hAnsi="仿宋"/>
                <w:sz w:val="22"/>
                <w:szCs w:val="21"/>
                <w:highlight w:val="none"/>
              </w:rPr>
              <w:t>无</w:t>
            </w:r>
          </w:p>
        </w:tc>
      </w:tr>
      <w:tr w14:paraId="47EBC8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633" w:type="dxa"/>
            <w:vMerge w:val="continue"/>
            <w:shd w:val="clear" w:color="auto" w:fill="FFFFFF"/>
          </w:tcPr>
          <w:p w14:paraId="5498ACF9">
            <w:pPr>
              <w:pStyle w:val="9"/>
              <w:spacing w:line="240" w:lineRule="auto"/>
              <w:ind w:firstLine="0" w:firstLineChars="0"/>
              <w:rPr>
                <w:rFonts w:ascii="仿宋" w:hAnsi="仿宋"/>
                <w:sz w:val="22"/>
                <w:szCs w:val="21"/>
                <w:highlight w:val="none"/>
              </w:rPr>
            </w:pPr>
          </w:p>
        </w:tc>
        <w:tc>
          <w:tcPr>
            <w:tcW w:w="637" w:type="dxa"/>
            <w:vMerge w:val="continue"/>
            <w:shd w:val="clear" w:color="auto" w:fill="FFFFFF"/>
            <w:vAlign w:val="center"/>
          </w:tcPr>
          <w:p w14:paraId="25521C71">
            <w:pPr>
              <w:pStyle w:val="9"/>
              <w:spacing w:line="240" w:lineRule="auto"/>
              <w:ind w:firstLine="0" w:firstLineChars="0"/>
              <w:rPr>
                <w:rFonts w:ascii="仿宋" w:hAnsi="仿宋"/>
                <w:sz w:val="22"/>
                <w:szCs w:val="21"/>
                <w:highlight w:val="none"/>
              </w:rPr>
            </w:pPr>
          </w:p>
        </w:tc>
        <w:tc>
          <w:tcPr>
            <w:tcW w:w="2078" w:type="dxa"/>
            <w:shd w:val="clear" w:color="auto" w:fill="FFFFFF"/>
            <w:vAlign w:val="center"/>
          </w:tcPr>
          <w:p w14:paraId="041665A4">
            <w:pPr>
              <w:pStyle w:val="9"/>
              <w:spacing w:line="240" w:lineRule="auto"/>
              <w:ind w:firstLine="0" w:firstLineChars="0"/>
              <w:rPr>
                <w:rFonts w:ascii="仿宋" w:hAnsi="仿宋"/>
                <w:sz w:val="22"/>
                <w:szCs w:val="21"/>
                <w:highlight w:val="none"/>
              </w:rPr>
            </w:pPr>
            <w:r>
              <w:rPr>
                <w:rFonts w:hint="eastAsia" w:ascii="仿宋" w:hAnsi="仿宋"/>
                <w:sz w:val="22"/>
                <w:szCs w:val="21"/>
                <w:highlight w:val="none"/>
              </w:rPr>
              <w:t>访问控制信息完整性</w:t>
            </w:r>
          </w:p>
        </w:tc>
        <w:tc>
          <w:tcPr>
            <w:tcW w:w="4428" w:type="dxa"/>
            <w:shd w:val="clear" w:color="auto" w:fill="FFFFFF"/>
            <w:vAlign w:val="center"/>
          </w:tcPr>
          <w:p w14:paraId="24178F90">
            <w:pPr>
              <w:pStyle w:val="9"/>
              <w:spacing w:line="240" w:lineRule="auto"/>
              <w:ind w:firstLine="0" w:firstLineChars="0"/>
              <w:rPr>
                <w:rFonts w:ascii="仿宋" w:hAnsi="仿宋"/>
                <w:sz w:val="22"/>
                <w:szCs w:val="21"/>
                <w:highlight w:val="none"/>
              </w:rPr>
            </w:pPr>
            <w:r>
              <w:rPr>
                <w:rFonts w:hint="eastAsia" w:ascii="仿宋" w:hAnsi="仿宋"/>
                <w:sz w:val="22"/>
                <w:szCs w:val="21"/>
                <w:highlight w:val="none"/>
              </w:rPr>
              <w:t>对应用系统的访问权限控制列表进行完整性保护，防止被非授权篡改。</w:t>
            </w:r>
          </w:p>
        </w:tc>
        <w:tc>
          <w:tcPr>
            <w:tcW w:w="1505" w:type="dxa"/>
            <w:shd w:val="clear" w:color="auto" w:fill="FFFFFF"/>
            <w:vAlign w:val="center"/>
          </w:tcPr>
          <w:p w14:paraId="0A3CD722">
            <w:pPr>
              <w:pStyle w:val="9"/>
              <w:spacing w:line="240" w:lineRule="auto"/>
              <w:ind w:firstLine="0" w:firstLineChars="0"/>
              <w:rPr>
                <w:rFonts w:ascii="仿宋" w:hAnsi="仿宋"/>
                <w:sz w:val="22"/>
                <w:szCs w:val="21"/>
                <w:highlight w:val="none"/>
              </w:rPr>
            </w:pPr>
            <w:r>
              <w:rPr>
                <w:rFonts w:hint="eastAsia" w:ascii="仿宋" w:hAnsi="仿宋"/>
                <w:sz w:val="22"/>
                <w:szCs w:val="21"/>
                <w:highlight w:val="none"/>
              </w:rPr>
              <w:t>无</w:t>
            </w:r>
          </w:p>
        </w:tc>
      </w:tr>
      <w:tr w14:paraId="2B1510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3" w:type="dxa"/>
            <w:vMerge w:val="continue"/>
            <w:shd w:val="clear" w:color="auto" w:fill="FFFFFF"/>
          </w:tcPr>
          <w:p w14:paraId="78258003">
            <w:pPr>
              <w:pStyle w:val="9"/>
              <w:spacing w:line="240" w:lineRule="auto"/>
              <w:ind w:firstLine="0" w:firstLineChars="0"/>
              <w:rPr>
                <w:rFonts w:ascii="仿宋" w:hAnsi="仿宋"/>
                <w:sz w:val="22"/>
                <w:szCs w:val="21"/>
                <w:highlight w:val="none"/>
              </w:rPr>
            </w:pPr>
          </w:p>
        </w:tc>
        <w:tc>
          <w:tcPr>
            <w:tcW w:w="637" w:type="dxa"/>
            <w:vMerge w:val="continue"/>
            <w:shd w:val="clear" w:color="auto" w:fill="FFFFFF"/>
            <w:vAlign w:val="center"/>
          </w:tcPr>
          <w:p w14:paraId="49503057">
            <w:pPr>
              <w:pStyle w:val="9"/>
              <w:spacing w:line="240" w:lineRule="auto"/>
              <w:ind w:firstLine="0" w:firstLineChars="0"/>
              <w:rPr>
                <w:rFonts w:ascii="仿宋" w:hAnsi="仿宋"/>
                <w:sz w:val="22"/>
                <w:szCs w:val="21"/>
                <w:highlight w:val="none"/>
              </w:rPr>
            </w:pPr>
          </w:p>
        </w:tc>
        <w:tc>
          <w:tcPr>
            <w:tcW w:w="2078" w:type="dxa"/>
            <w:shd w:val="clear" w:color="auto" w:fill="FFFFFF"/>
            <w:vAlign w:val="center"/>
          </w:tcPr>
          <w:p w14:paraId="30EB62F9">
            <w:pPr>
              <w:pStyle w:val="9"/>
              <w:spacing w:line="240" w:lineRule="auto"/>
              <w:ind w:firstLine="0" w:firstLineChars="0"/>
              <w:rPr>
                <w:rFonts w:ascii="仿宋" w:hAnsi="仿宋"/>
                <w:sz w:val="22"/>
                <w:szCs w:val="21"/>
                <w:highlight w:val="none"/>
              </w:rPr>
            </w:pPr>
            <w:r>
              <w:rPr>
                <w:rFonts w:hint="eastAsia" w:ascii="仿宋" w:hAnsi="仿宋"/>
                <w:sz w:val="22"/>
                <w:szCs w:val="21"/>
                <w:highlight w:val="none"/>
              </w:rPr>
              <w:t>重要信息资源安全标记完整性</w:t>
            </w:r>
          </w:p>
        </w:tc>
        <w:tc>
          <w:tcPr>
            <w:tcW w:w="4428" w:type="dxa"/>
            <w:shd w:val="clear" w:color="auto" w:fill="FFFFFF"/>
            <w:vAlign w:val="center"/>
          </w:tcPr>
          <w:p w14:paraId="49FE1AB8">
            <w:pPr>
              <w:pStyle w:val="9"/>
              <w:spacing w:line="240" w:lineRule="auto"/>
              <w:ind w:firstLine="0" w:firstLineChars="0"/>
              <w:rPr>
                <w:rFonts w:ascii="仿宋" w:hAnsi="仿宋"/>
                <w:sz w:val="22"/>
                <w:szCs w:val="21"/>
                <w:highlight w:val="none"/>
              </w:rPr>
            </w:pPr>
            <w:r>
              <w:rPr>
                <w:rFonts w:hint="eastAsia" w:ascii="仿宋" w:hAnsi="仿宋"/>
                <w:sz w:val="22"/>
                <w:szCs w:val="21"/>
                <w:highlight w:val="none"/>
              </w:rPr>
              <w:t>不适用。</w:t>
            </w:r>
          </w:p>
        </w:tc>
        <w:tc>
          <w:tcPr>
            <w:tcW w:w="1505" w:type="dxa"/>
            <w:shd w:val="clear" w:color="auto" w:fill="FFFFFF"/>
            <w:vAlign w:val="center"/>
          </w:tcPr>
          <w:p w14:paraId="157C2A08">
            <w:pPr>
              <w:pStyle w:val="9"/>
              <w:spacing w:line="240" w:lineRule="auto"/>
              <w:ind w:firstLine="0" w:firstLineChars="0"/>
              <w:rPr>
                <w:rFonts w:ascii="仿宋" w:hAnsi="仿宋"/>
                <w:sz w:val="22"/>
                <w:szCs w:val="21"/>
                <w:highlight w:val="none"/>
              </w:rPr>
            </w:pPr>
            <w:r>
              <w:rPr>
                <w:rFonts w:hint="eastAsia" w:ascii="仿宋" w:hAnsi="仿宋"/>
                <w:sz w:val="22"/>
                <w:szCs w:val="21"/>
                <w:highlight w:val="none"/>
              </w:rPr>
              <w:t>应用没有安全标记。</w:t>
            </w:r>
          </w:p>
        </w:tc>
      </w:tr>
      <w:tr w14:paraId="3563FE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3" w:type="dxa"/>
            <w:vMerge w:val="continue"/>
            <w:shd w:val="clear" w:color="auto" w:fill="FFFFFF"/>
          </w:tcPr>
          <w:p w14:paraId="09A73952">
            <w:pPr>
              <w:pStyle w:val="9"/>
              <w:spacing w:line="240" w:lineRule="auto"/>
              <w:ind w:firstLine="0" w:firstLineChars="0"/>
              <w:rPr>
                <w:rFonts w:ascii="仿宋" w:hAnsi="仿宋"/>
                <w:sz w:val="22"/>
                <w:szCs w:val="21"/>
                <w:highlight w:val="none"/>
              </w:rPr>
            </w:pPr>
          </w:p>
        </w:tc>
        <w:tc>
          <w:tcPr>
            <w:tcW w:w="637" w:type="dxa"/>
            <w:vMerge w:val="continue"/>
            <w:shd w:val="clear" w:color="auto" w:fill="FFFFFF"/>
            <w:vAlign w:val="center"/>
          </w:tcPr>
          <w:p w14:paraId="56A54E0A">
            <w:pPr>
              <w:pStyle w:val="9"/>
              <w:spacing w:line="240" w:lineRule="auto"/>
              <w:ind w:firstLine="0" w:firstLineChars="0"/>
              <w:rPr>
                <w:rFonts w:ascii="仿宋" w:hAnsi="仿宋"/>
                <w:sz w:val="22"/>
                <w:szCs w:val="21"/>
                <w:highlight w:val="none"/>
              </w:rPr>
            </w:pPr>
          </w:p>
        </w:tc>
        <w:tc>
          <w:tcPr>
            <w:tcW w:w="2078" w:type="dxa"/>
            <w:shd w:val="clear" w:color="auto" w:fill="FFFFFF"/>
            <w:vAlign w:val="center"/>
          </w:tcPr>
          <w:p w14:paraId="2687D9E5">
            <w:pPr>
              <w:pStyle w:val="9"/>
              <w:spacing w:line="240" w:lineRule="auto"/>
              <w:ind w:firstLine="0" w:firstLineChars="0"/>
              <w:rPr>
                <w:rFonts w:ascii="仿宋" w:hAnsi="仿宋"/>
                <w:sz w:val="22"/>
                <w:szCs w:val="21"/>
                <w:highlight w:val="none"/>
              </w:rPr>
            </w:pPr>
            <w:r>
              <w:rPr>
                <w:rFonts w:hint="eastAsia" w:ascii="仿宋" w:hAnsi="仿宋"/>
                <w:sz w:val="22"/>
                <w:szCs w:val="21"/>
                <w:highlight w:val="none"/>
              </w:rPr>
              <w:t>重要数据传输机密性</w:t>
            </w:r>
          </w:p>
        </w:tc>
        <w:tc>
          <w:tcPr>
            <w:tcW w:w="4428" w:type="dxa"/>
            <w:vMerge w:val="restart"/>
            <w:shd w:val="clear" w:color="auto" w:fill="FFFFFF"/>
            <w:vAlign w:val="center"/>
          </w:tcPr>
          <w:p w14:paraId="610CAFE0">
            <w:pPr>
              <w:pStyle w:val="9"/>
              <w:spacing w:line="240" w:lineRule="auto"/>
              <w:ind w:firstLine="0" w:firstLineChars="0"/>
              <w:rPr>
                <w:rFonts w:ascii="仿宋" w:hAnsi="仿宋"/>
                <w:sz w:val="22"/>
                <w:szCs w:val="21"/>
                <w:highlight w:val="none"/>
              </w:rPr>
            </w:pPr>
            <w:r>
              <w:rPr>
                <w:rFonts w:hint="eastAsia" w:ascii="仿宋" w:hAnsi="仿宋"/>
                <w:sz w:val="22"/>
                <w:szCs w:val="21"/>
                <w:highlight w:val="none"/>
              </w:rPr>
              <w:t>保护PC端、移动端与服务端之间传输和存储的用户身份鉴别信息等重要数据的机密性和完整性，防止数据泄露给非授权的个人、进程等。保护系统业务日志数据的完整性，防止该数据被非授权篡改。</w:t>
            </w:r>
          </w:p>
        </w:tc>
        <w:tc>
          <w:tcPr>
            <w:tcW w:w="1505" w:type="dxa"/>
            <w:vMerge w:val="restart"/>
            <w:shd w:val="clear" w:color="auto" w:fill="FFFFFF"/>
            <w:vAlign w:val="center"/>
          </w:tcPr>
          <w:p w14:paraId="0216347C">
            <w:pPr>
              <w:pStyle w:val="9"/>
              <w:spacing w:line="240" w:lineRule="auto"/>
              <w:ind w:firstLine="0" w:firstLineChars="0"/>
              <w:rPr>
                <w:rFonts w:ascii="仿宋" w:hAnsi="仿宋"/>
                <w:sz w:val="22"/>
                <w:szCs w:val="21"/>
                <w:highlight w:val="none"/>
              </w:rPr>
            </w:pPr>
            <w:r>
              <w:rPr>
                <w:rFonts w:hint="eastAsia" w:ascii="仿宋" w:hAnsi="仿宋"/>
                <w:sz w:val="22"/>
                <w:szCs w:val="21"/>
                <w:highlight w:val="none"/>
              </w:rPr>
              <w:t>无</w:t>
            </w:r>
          </w:p>
        </w:tc>
      </w:tr>
      <w:tr w14:paraId="5F5ECA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3" w:type="dxa"/>
            <w:vMerge w:val="continue"/>
            <w:shd w:val="clear" w:color="auto" w:fill="FFFFFF"/>
          </w:tcPr>
          <w:p w14:paraId="3EAAC976">
            <w:pPr>
              <w:pStyle w:val="9"/>
              <w:spacing w:line="240" w:lineRule="auto"/>
              <w:ind w:firstLine="0" w:firstLineChars="0"/>
              <w:rPr>
                <w:rFonts w:ascii="仿宋" w:hAnsi="仿宋"/>
                <w:sz w:val="22"/>
                <w:szCs w:val="21"/>
                <w:highlight w:val="none"/>
              </w:rPr>
            </w:pPr>
          </w:p>
        </w:tc>
        <w:tc>
          <w:tcPr>
            <w:tcW w:w="637" w:type="dxa"/>
            <w:vMerge w:val="continue"/>
            <w:shd w:val="clear" w:color="auto" w:fill="FFFFFF"/>
            <w:vAlign w:val="center"/>
          </w:tcPr>
          <w:p w14:paraId="3345D3F3">
            <w:pPr>
              <w:pStyle w:val="9"/>
              <w:spacing w:line="240" w:lineRule="auto"/>
              <w:ind w:firstLine="0" w:firstLineChars="0"/>
              <w:rPr>
                <w:rFonts w:ascii="仿宋" w:hAnsi="仿宋"/>
                <w:sz w:val="22"/>
                <w:szCs w:val="21"/>
                <w:highlight w:val="none"/>
              </w:rPr>
            </w:pPr>
          </w:p>
        </w:tc>
        <w:tc>
          <w:tcPr>
            <w:tcW w:w="2078" w:type="dxa"/>
            <w:shd w:val="clear" w:color="auto" w:fill="FFFFFF"/>
            <w:vAlign w:val="center"/>
          </w:tcPr>
          <w:p w14:paraId="77E15C4B">
            <w:pPr>
              <w:pStyle w:val="9"/>
              <w:spacing w:line="240" w:lineRule="auto"/>
              <w:ind w:firstLine="0" w:firstLineChars="0"/>
              <w:rPr>
                <w:rFonts w:ascii="仿宋" w:hAnsi="仿宋"/>
                <w:sz w:val="22"/>
                <w:szCs w:val="21"/>
                <w:highlight w:val="none"/>
              </w:rPr>
            </w:pPr>
            <w:r>
              <w:rPr>
                <w:rFonts w:hint="eastAsia" w:ascii="仿宋" w:hAnsi="仿宋"/>
                <w:sz w:val="22"/>
                <w:szCs w:val="21"/>
                <w:highlight w:val="none"/>
              </w:rPr>
              <w:t>重要数据存储机密性</w:t>
            </w:r>
          </w:p>
        </w:tc>
        <w:tc>
          <w:tcPr>
            <w:tcW w:w="4428" w:type="dxa"/>
            <w:vMerge w:val="continue"/>
            <w:shd w:val="clear" w:color="auto" w:fill="FFFFFF"/>
            <w:vAlign w:val="center"/>
          </w:tcPr>
          <w:p w14:paraId="77BEC327">
            <w:pPr>
              <w:pStyle w:val="9"/>
              <w:spacing w:line="240" w:lineRule="auto"/>
              <w:ind w:firstLine="0" w:firstLineChars="0"/>
              <w:rPr>
                <w:rFonts w:ascii="仿宋" w:hAnsi="仿宋"/>
                <w:sz w:val="22"/>
                <w:szCs w:val="21"/>
                <w:highlight w:val="none"/>
              </w:rPr>
            </w:pPr>
          </w:p>
        </w:tc>
        <w:tc>
          <w:tcPr>
            <w:tcW w:w="1505" w:type="dxa"/>
            <w:vMerge w:val="continue"/>
            <w:shd w:val="clear" w:color="auto" w:fill="FFFFFF"/>
            <w:vAlign w:val="center"/>
          </w:tcPr>
          <w:p w14:paraId="7DA642CE">
            <w:pPr>
              <w:pStyle w:val="9"/>
              <w:spacing w:line="240" w:lineRule="auto"/>
              <w:ind w:firstLine="0" w:firstLineChars="0"/>
              <w:rPr>
                <w:rFonts w:ascii="仿宋" w:hAnsi="仿宋"/>
                <w:sz w:val="22"/>
                <w:szCs w:val="21"/>
                <w:highlight w:val="none"/>
              </w:rPr>
            </w:pPr>
          </w:p>
        </w:tc>
      </w:tr>
      <w:tr w14:paraId="55253E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633" w:type="dxa"/>
            <w:vMerge w:val="continue"/>
            <w:shd w:val="clear" w:color="auto" w:fill="FFFFFF"/>
          </w:tcPr>
          <w:p w14:paraId="7315648B">
            <w:pPr>
              <w:pStyle w:val="9"/>
              <w:spacing w:line="240" w:lineRule="auto"/>
              <w:ind w:firstLine="0" w:firstLineChars="0"/>
              <w:rPr>
                <w:rFonts w:ascii="仿宋" w:hAnsi="仿宋"/>
                <w:sz w:val="22"/>
                <w:szCs w:val="21"/>
                <w:highlight w:val="none"/>
              </w:rPr>
            </w:pPr>
          </w:p>
        </w:tc>
        <w:tc>
          <w:tcPr>
            <w:tcW w:w="637" w:type="dxa"/>
            <w:vMerge w:val="continue"/>
            <w:shd w:val="clear" w:color="auto" w:fill="FFFFFF"/>
            <w:vAlign w:val="center"/>
          </w:tcPr>
          <w:p w14:paraId="0DC55F6B">
            <w:pPr>
              <w:pStyle w:val="9"/>
              <w:spacing w:line="240" w:lineRule="auto"/>
              <w:ind w:firstLine="0" w:firstLineChars="0"/>
              <w:rPr>
                <w:rFonts w:ascii="仿宋" w:hAnsi="仿宋"/>
                <w:sz w:val="22"/>
                <w:szCs w:val="21"/>
                <w:highlight w:val="none"/>
              </w:rPr>
            </w:pPr>
          </w:p>
        </w:tc>
        <w:tc>
          <w:tcPr>
            <w:tcW w:w="2078" w:type="dxa"/>
            <w:shd w:val="clear" w:color="auto" w:fill="FFFFFF"/>
            <w:vAlign w:val="center"/>
          </w:tcPr>
          <w:p w14:paraId="12489CF2">
            <w:pPr>
              <w:pStyle w:val="9"/>
              <w:spacing w:line="240" w:lineRule="auto"/>
              <w:ind w:firstLine="0" w:firstLineChars="0"/>
              <w:rPr>
                <w:rFonts w:ascii="仿宋" w:hAnsi="仿宋"/>
                <w:sz w:val="22"/>
                <w:szCs w:val="21"/>
                <w:highlight w:val="none"/>
              </w:rPr>
            </w:pPr>
            <w:r>
              <w:rPr>
                <w:rFonts w:hint="eastAsia" w:ascii="仿宋" w:hAnsi="仿宋"/>
                <w:sz w:val="22"/>
                <w:szCs w:val="21"/>
                <w:highlight w:val="none"/>
              </w:rPr>
              <w:t>重要数据传输完整性</w:t>
            </w:r>
          </w:p>
        </w:tc>
        <w:tc>
          <w:tcPr>
            <w:tcW w:w="4428" w:type="dxa"/>
            <w:vMerge w:val="continue"/>
            <w:shd w:val="clear" w:color="auto" w:fill="FFFFFF"/>
            <w:vAlign w:val="center"/>
          </w:tcPr>
          <w:p w14:paraId="5B402824">
            <w:pPr>
              <w:pStyle w:val="9"/>
              <w:spacing w:line="240" w:lineRule="auto"/>
              <w:ind w:firstLine="0" w:firstLineChars="0"/>
              <w:rPr>
                <w:rFonts w:ascii="仿宋" w:hAnsi="仿宋"/>
                <w:sz w:val="22"/>
                <w:szCs w:val="21"/>
                <w:highlight w:val="none"/>
              </w:rPr>
            </w:pPr>
          </w:p>
        </w:tc>
        <w:tc>
          <w:tcPr>
            <w:tcW w:w="1505" w:type="dxa"/>
            <w:vMerge w:val="continue"/>
            <w:shd w:val="clear" w:color="auto" w:fill="FFFFFF"/>
            <w:vAlign w:val="center"/>
          </w:tcPr>
          <w:p w14:paraId="38E32B76">
            <w:pPr>
              <w:pStyle w:val="9"/>
              <w:spacing w:line="240" w:lineRule="auto"/>
              <w:ind w:firstLine="0" w:firstLineChars="0"/>
              <w:rPr>
                <w:rFonts w:ascii="仿宋" w:hAnsi="仿宋"/>
                <w:sz w:val="22"/>
                <w:szCs w:val="21"/>
                <w:highlight w:val="none"/>
              </w:rPr>
            </w:pPr>
          </w:p>
        </w:tc>
      </w:tr>
      <w:tr w14:paraId="591141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3" w:type="dxa"/>
            <w:vMerge w:val="continue"/>
            <w:shd w:val="clear" w:color="auto" w:fill="FFFFFF"/>
          </w:tcPr>
          <w:p w14:paraId="6E4AD7E6">
            <w:pPr>
              <w:pStyle w:val="9"/>
              <w:spacing w:line="240" w:lineRule="auto"/>
              <w:ind w:firstLine="0" w:firstLineChars="0"/>
              <w:rPr>
                <w:rFonts w:ascii="仿宋" w:hAnsi="仿宋"/>
                <w:sz w:val="22"/>
                <w:szCs w:val="21"/>
                <w:highlight w:val="none"/>
              </w:rPr>
            </w:pPr>
          </w:p>
        </w:tc>
        <w:tc>
          <w:tcPr>
            <w:tcW w:w="637" w:type="dxa"/>
            <w:vMerge w:val="continue"/>
            <w:shd w:val="clear" w:color="auto" w:fill="FFFFFF"/>
            <w:vAlign w:val="center"/>
          </w:tcPr>
          <w:p w14:paraId="59D8634F">
            <w:pPr>
              <w:pStyle w:val="9"/>
              <w:spacing w:line="240" w:lineRule="auto"/>
              <w:ind w:firstLine="0" w:firstLineChars="0"/>
              <w:rPr>
                <w:rFonts w:ascii="仿宋" w:hAnsi="仿宋"/>
                <w:sz w:val="22"/>
                <w:szCs w:val="21"/>
                <w:highlight w:val="none"/>
              </w:rPr>
            </w:pPr>
          </w:p>
        </w:tc>
        <w:tc>
          <w:tcPr>
            <w:tcW w:w="2078" w:type="dxa"/>
            <w:shd w:val="clear" w:color="auto" w:fill="FFFFFF"/>
            <w:vAlign w:val="center"/>
          </w:tcPr>
          <w:p w14:paraId="3E0FE451">
            <w:pPr>
              <w:pStyle w:val="9"/>
              <w:spacing w:line="240" w:lineRule="auto"/>
              <w:ind w:firstLine="0" w:firstLineChars="0"/>
              <w:rPr>
                <w:rFonts w:ascii="仿宋" w:hAnsi="仿宋"/>
                <w:sz w:val="22"/>
                <w:szCs w:val="21"/>
                <w:highlight w:val="none"/>
              </w:rPr>
            </w:pPr>
            <w:r>
              <w:rPr>
                <w:rFonts w:hint="eastAsia" w:ascii="仿宋" w:hAnsi="仿宋"/>
                <w:sz w:val="22"/>
                <w:szCs w:val="21"/>
                <w:highlight w:val="none"/>
              </w:rPr>
              <w:t>重要数据存储完整性</w:t>
            </w:r>
          </w:p>
        </w:tc>
        <w:tc>
          <w:tcPr>
            <w:tcW w:w="4428" w:type="dxa"/>
            <w:vMerge w:val="continue"/>
            <w:shd w:val="clear" w:color="auto" w:fill="FFFFFF"/>
            <w:vAlign w:val="center"/>
          </w:tcPr>
          <w:p w14:paraId="6D8A0D57">
            <w:pPr>
              <w:pStyle w:val="9"/>
              <w:spacing w:line="240" w:lineRule="auto"/>
              <w:ind w:firstLine="0" w:firstLineChars="0"/>
              <w:rPr>
                <w:rFonts w:ascii="仿宋" w:hAnsi="仿宋"/>
                <w:sz w:val="22"/>
                <w:szCs w:val="21"/>
                <w:highlight w:val="none"/>
              </w:rPr>
            </w:pPr>
          </w:p>
        </w:tc>
        <w:tc>
          <w:tcPr>
            <w:tcW w:w="1505" w:type="dxa"/>
            <w:vMerge w:val="continue"/>
            <w:shd w:val="clear" w:color="auto" w:fill="FFFFFF"/>
            <w:vAlign w:val="center"/>
          </w:tcPr>
          <w:p w14:paraId="752BA69C">
            <w:pPr>
              <w:pStyle w:val="9"/>
              <w:spacing w:line="240" w:lineRule="auto"/>
              <w:ind w:firstLine="0" w:firstLineChars="0"/>
              <w:rPr>
                <w:rFonts w:ascii="仿宋" w:hAnsi="仿宋"/>
                <w:sz w:val="22"/>
                <w:szCs w:val="21"/>
                <w:highlight w:val="none"/>
              </w:rPr>
            </w:pPr>
          </w:p>
        </w:tc>
      </w:tr>
      <w:tr w14:paraId="6D8D66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3" w:type="dxa"/>
            <w:vMerge w:val="continue"/>
            <w:shd w:val="clear" w:color="auto" w:fill="FFFFFF"/>
          </w:tcPr>
          <w:p w14:paraId="3875F45B">
            <w:pPr>
              <w:pStyle w:val="9"/>
              <w:spacing w:line="240" w:lineRule="auto"/>
              <w:ind w:firstLine="0" w:firstLineChars="0"/>
              <w:rPr>
                <w:rFonts w:ascii="仿宋" w:hAnsi="仿宋"/>
                <w:sz w:val="22"/>
                <w:szCs w:val="21"/>
                <w:highlight w:val="none"/>
              </w:rPr>
            </w:pPr>
          </w:p>
        </w:tc>
        <w:tc>
          <w:tcPr>
            <w:tcW w:w="637" w:type="dxa"/>
            <w:vMerge w:val="continue"/>
            <w:shd w:val="clear" w:color="auto" w:fill="FFFFFF"/>
            <w:vAlign w:val="center"/>
          </w:tcPr>
          <w:p w14:paraId="27A06A7F">
            <w:pPr>
              <w:pStyle w:val="9"/>
              <w:spacing w:line="240" w:lineRule="auto"/>
              <w:ind w:firstLine="0" w:firstLineChars="0"/>
              <w:rPr>
                <w:rFonts w:ascii="仿宋" w:hAnsi="仿宋"/>
                <w:sz w:val="22"/>
                <w:szCs w:val="21"/>
                <w:highlight w:val="none"/>
              </w:rPr>
            </w:pPr>
          </w:p>
        </w:tc>
        <w:tc>
          <w:tcPr>
            <w:tcW w:w="2078" w:type="dxa"/>
            <w:shd w:val="clear" w:color="auto" w:fill="FFFFFF"/>
            <w:vAlign w:val="center"/>
          </w:tcPr>
          <w:p w14:paraId="53F5991A">
            <w:pPr>
              <w:pStyle w:val="9"/>
              <w:spacing w:line="240" w:lineRule="auto"/>
              <w:ind w:firstLine="0" w:firstLineChars="0"/>
              <w:rPr>
                <w:rFonts w:ascii="仿宋" w:hAnsi="仿宋"/>
                <w:sz w:val="22"/>
                <w:szCs w:val="21"/>
                <w:highlight w:val="none"/>
              </w:rPr>
            </w:pPr>
            <w:r>
              <w:rPr>
                <w:rFonts w:hint="eastAsia" w:ascii="仿宋" w:hAnsi="仿宋"/>
                <w:sz w:val="22"/>
                <w:szCs w:val="21"/>
                <w:highlight w:val="none"/>
              </w:rPr>
              <w:t>密码服务</w:t>
            </w:r>
          </w:p>
        </w:tc>
        <w:tc>
          <w:tcPr>
            <w:tcW w:w="4428" w:type="dxa"/>
            <w:shd w:val="clear" w:color="auto" w:fill="FFFFFF"/>
            <w:vAlign w:val="center"/>
          </w:tcPr>
          <w:p w14:paraId="1923A62D">
            <w:pPr>
              <w:pStyle w:val="9"/>
              <w:spacing w:line="240" w:lineRule="auto"/>
              <w:ind w:firstLine="0" w:firstLineChars="0"/>
              <w:rPr>
                <w:rFonts w:ascii="仿宋" w:hAnsi="仿宋"/>
                <w:sz w:val="22"/>
                <w:szCs w:val="21"/>
                <w:highlight w:val="none"/>
              </w:rPr>
            </w:pPr>
            <w:r>
              <w:rPr>
                <w:rFonts w:hint="eastAsia" w:ascii="仿宋" w:hAnsi="仿宋"/>
                <w:sz w:val="22"/>
                <w:szCs w:val="21"/>
                <w:highlight w:val="none"/>
              </w:rPr>
              <w:t>采用的数字证书由具备资质的电子认证服务机构签发。</w:t>
            </w:r>
          </w:p>
        </w:tc>
        <w:tc>
          <w:tcPr>
            <w:tcW w:w="1505" w:type="dxa"/>
            <w:shd w:val="clear" w:color="auto" w:fill="FFFFFF"/>
            <w:vAlign w:val="center"/>
          </w:tcPr>
          <w:p w14:paraId="740679E3">
            <w:pPr>
              <w:pStyle w:val="9"/>
              <w:spacing w:line="240" w:lineRule="auto"/>
              <w:ind w:firstLine="0" w:firstLineChars="0"/>
              <w:rPr>
                <w:rFonts w:ascii="仿宋" w:hAnsi="仿宋"/>
                <w:sz w:val="22"/>
                <w:szCs w:val="21"/>
                <w:highlight w:val="none"/>
              </w:rPr>
            </w:pPr>
            <w:r>
              <w:rPr>
                <w:rFonts w:hint="eastAsia" w:ascii="仿宋" w:hAnsi="仿宋"/>
                <w:sz w:val="22"/>
                <w:szCs w:val="21"/>
                <w:highlight w:val="none"/>
              </w:rPr>
              <w:t>无</w:t>
            </w:r>
          </w:p>
        </w:tc>
      </w:tr>
      <w:tr w14:paraId="3E0BCA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3" w:type="dxa"/>
            <w:vMerge w:val="continue"/>
            <w:shd w:val="clear" w:color="auto" w:fill="FFFFFF"/>
          </w:tcPr>
          <w:p w14:paraId="2B660596">
            <w:pPr>
              <w:pStyle w:val="9"/>
              <w:spacing w:line="240" w:lineRule="auto"/>
              <w:ind w:firstLine="0" w:firstLineChars="0"/>
              <w:rPr>
                <w:rFonts w:ascii="仿宋" w:hAnsi="仿宋"/>
                <w:sz w:val="22"/>
                <w:szCs w:val="21"/>
                <w:highlight w:val="none"/>
              </w:rPr>
            </w:pPr>
          </w:p>
        </w:tc>
        <w:tc>
          <w:tcPr>
            <w:tcW w:w="637" w:type="dxa"/>
            <w:vMerge w:val="continue"/>
            <w:shd w:val="clear" w:color="auto" w:fill="FFFFFF"/>
            <w:vAlign w:val="center"/>
          </w:tcPr>
          <w:p w14:paraId="5B3072E8">
            <w:pPr>
              <w:pStyle w:val="9"/>
              <w:spacing w:line="240" w:lineRule="auto"/>
              <w:ind w:firstLine="0" w:firstLineChars="0"/>
              <w:rPr>
                <w:rFonts w:ascii="仿宋" w:hAnsi="仿宋"/>
                <w:sz w:val="22"/>
                <w:szCs w:val="21"/>
                <w:highlight w:val="none"/>
              </w:rPr>
            </w:pPr>
          </w:p>
        </w:tc>
        <w:tc>
          <w:tcPr>
            <w:tcW w:w="2078" w:type="dxa"/>
            <w:shd w:val="clear" w:color="auto" w:fill="FFFFFF"/>
            <w:vAlign w:val="center"/>
          </w:tcPr>
          <w:p w14:paraId="5951AFC9">
            <w:pPr>
              <w:pStyle w:val="9"/>
              <w:spacing w:line="240" w:lineRule="auto"/>
              <w:ind w:firstLine="0" w:firstLineChars="0"/>
              <w:rPr>
                <w:rFonts w:ascii="仿宋" w:hAnsi="仿宋"/>
                <w:sz w:val="22"/>
                <w:szCs w:val="21"/>
                <w:highlight w:val="none"/>
              </w:rPr>
            </w:pPr>
            <w:r>
              <w:rPr>
                <w:rFonts w:hint="eastAsia" w:ascii="仿宋" w:hAnsi="仿宋"/>
                <w:sz w:val="22"/>
                <w:szCs w:val="21"/>
                <w:highlight w:val="none"/>
              </w:rPr>
              <w:t>密码产品</w:t>
            </w:r>
          </w:p>
        </w:tc>
        <w:tc>
          <w:tcPr>
            <w:tcW w:w="4428" w:type="dxa"/>
            <w:shd w:val="clear" w:color="auto" w:fill="FFFFFF"/>
            <w:vAlign w:val="center"/>
          </w:tcPr>
          <w:p w14:paraId="03F84910">
            <w:pPr>
              <w:pStyle w:val="9"/>
              <w:spacing w:line="240" w:lineRule="auto"/>
              <w:ind w:firstLine="0" w:firstLineChars="0"/>
              <w:rPr>
                <w:rFonts w:ascii="仿宋" w:hAnsi="仿宋"/>
                <w:sz w:val="22"/>
                <w:szCs w:val="21"/>
                <w:highlight w:val="none"/>
              </w:rPr>
            </w:pPr>
            <w:r>
              <w:rPr>
                <w:rFonts w:hint="eastAsia" w:ascii="仿宋" w:hAnsi="仿宋"/>
                <w:sz w:val="22"/>
                <w:szCs w:val="21"/>
                <w:highlight w:val="none"/>
              </w:rPr>
              <w:t>服务端相关的密码产品由云平台提供安全保障。</w:t>
            </w:r>
          </w:p>
        </w:tc>
        <w:tc>
          <w:tcPr>
            <w:tcW w:w="1505" w:type="dxa"/>
            <w:shd w:val="clear" w:color="auto" w:fill="FFFFFF"/>
            <w:vAlign w:val="center"/>
          </w:tcPr>
          <w:p w14:paraId="0F74E408">
            <w:pPr>
              <w:pStyle w:val="9"/>
              <w:spacing w:line="240" w:lineRule="auto"/>
              <w:ind w:firstLine="0" w:firstLineChars="0"/>
              <w:rPr>
                <w:rFonts w:ascii="仿宋" w:hAnsi="仿宋"/>
                <w:sz w:val="22"/>
                <w:szCs w:val="21"/>
                <w:highlight w:val="none"/>
              </w:rPr>
            </w:pPr>
            <w:r>
              <w:rPr>
                <w:rFonts w:hint="eastAsia" w:ascii="仿宋" w:hAnsi="仿宋"/>
                <w:sz w:val="22"/>
                <w:szCs w:val="21"/>
                <w:highlight w:val="none"/>
              </w:rPr>
              <w:t>云平台通过密评，已被完全评估。</w:t>
            </w:r>
          </w:p>
        </w:tc>
      </w:tr>
    </w:tbl>
    <w:p w14:paraId="213B1E4F">
      <w:pPr>
        <w:pStyle w:val="3"/>
        <w:ind w:hanging="1135"/>
        <w:rPr>
          <w:rFonts w:hint="eastAsia"/>
          <w:highlight w:val="none"/>
        </w:rPr>
      </w:pPr>
      <w:bookmarkStart w:id="33" w:name="_Toc63785512"/>
      <w:r>
        <w:rPr>
          <w:rFonts w:hint="eastAsia"/>
          <w:highlight w:val="none"/>
        </w:rPr>
        <w:t>技术文件要求</w:t>
      </w:r>
    </w:p>
    <w:p w14:paraId="7C9506F0">
      <w:pPr>
        <w:rPr>
          <w:highlight w:val="none"/>
        </w:rPr>
      </w:pPr>
      <w:r>
        <w:rPr>
          <w:rFonts w:hint="eastAsia"/>
          <w:highlight w:val="none"/>
          <w:lang w:eastAsia="zh-CN"/>
        </w:rPr>
        <w:t>响应供应商</w:t>
      </w:r>
      <w:r>
        <w:rPr>
          <w:rFonts w:hint="eastAsia"/>
          <w:highlight w:val="none"/>
        </w:rPr>
        <w:t>提供的书面技术资料应能确保系统正常运行所需的管理、运营及维护有关的全套文件。技术文件应该全面、完整、详细。</w:t>
      </w:r>
      <w:r>
        <w:rPr>
          <w:rFonts w:hint="eastAsia"/>
          <w:highlight w:val="none"/>
          <w:lang w:eastAsia="zh-CN"/>
        </w:rPr>
        <w:t>响应供应商</w:t>
      </w:r>
      <w:r>
        <w:rPr>
          <w:rFonts w:hint="eastAsia"/>
          <w:highlight w:val="none"/>
        </w:rPr>
        <w:t>提供的技术文件至少应包括：</w:t>
      </w:r>
    </w:p>
    <w:p w14:paraId="66CCAAC1">
      <w:pPr>
        <w:rPr>
          <w:highlight w:val="none"/>
        </w:rPr>
      </w:pPr>
      <w:r>
        <w:rPr>
          <w:rFonts w:hint="eastAsia"/>
          <w:highlight w:val="none"/>
        </w:rPr>
        <w:t>－</w:t>
      </w:r>
      <w:r>
        <w:rPr>
          <w:highlight w:val="none"/>
        </w:rPr>
        <w:t xml:space="preserve"> 系统说明文件； </w:t>
      </w:r>
    </w:p>
    <w:p w14:paraId="19BEADEE">
      <w:pPr>
        <w:rPr>
          <w:highlight w:val="none"/>
        </w:rPr>
      </w:pPr>
      <w:r>
        <w:rPr>
          <w:rFonts w:hint="eastAsia"/>
          <w:highlight w:val="none"/>
        </w:rPr>
        <w:t>－</w:t>
      </w:r>
      <w:r>
        <w:rPr>
          <w:highlight w:val="none"/>
        </w:rPr>
        <w:t xml:space="preserve"> 技术手册(安装、测试、操作、维护、故障排除等)； </w:t>
      </w:r>
    </w:p>
    <w:p w14:paraId="79A6BD09">
      <w:pPr>
        <w:rPr>
          <w:highlight w:val="none"/>
        </w:rPr>
      </w:pPr>
      <w:r>
        <w:rPr>
          <w:rFonts w:hint="eastAsia"/>
          <w:highlight w:val="none"/>
        </w:rPr>
        <w:t>－</w:t>
      </w:r>
      <w:r>
        <w:rPr>
          <w:highlight w:val="none"/>
        </w:rPr>
        <w:t xml:space="preserve"> 项目文档，应该包括：</w:t>
      </w:r>
    </w:p>
    <w:p w14:paraId="1A4E846E">
      <w:pPr>
        <w:ind w:left="360"/>
        <w:rPr>
          <w:highlight w:val="none"/>
        </w:rPr>
      </w:pPr>
      <w:r>
        <w:rPr>
          <w:highlight w:val="none"/>
        </w:rPr>
        <w:t>(1)软件需求说明书</w:t>
      </w:r>
    </w:p>
    <w:p w14:paraId="5A12811D">
      <w:pPr>
        <w:ind w:left="360"/>
        <w:rPr>
          <w:highlight w:val="none"/>
        </w:rPr>
      </w:pPr>
      <w:r>
        <w:rPr>
          <w:highlight w:val="none"/>
        </w:rPr>
        <w:t>(2)</w:t>
      </w:r>
      <w:r>
        <w:rPr>
          <w:highlight w:val="none"/>
        </w:rPr>
        <w:tab/>
      </w:r>
      <w:r>
        <w:rPr>
          <w:highlight w:val="none"/>
        </w:rPr>
        <w:t>系统总体设计说明书</w:t>
      </w:r>
    </w:p>
    <w:p w14:paraId="6F058B7E">
      <w:pPr>
        <w:ind w:left="360"/>
        <w:rPr>
          <w:highlight w:val="none"/>
        </w:rPr>
      </w:pPr>
      <w:r>
        <w:rPr>
          <w:highlight w:val="none"/>
        </w:rPr>
        <w:t>(3)</w:t>
      </w:r>
      <w:r>
        <w:rPr>
          <w:highlight w:val="none"/>
        </w:rPr>
        <w:tab/>
      </w:r>
      <w:r>
        <w:rPr>
          <w:highlight w:val="none"/>
        </w:rPr>
        <w:t>应用软件功能清单</w:t>
      </w:r>
    </w:p>
    <w:p w14:paraId="70ED56F9">
      <w:pPr>
        <w:rPr>
          <w:highlight w:val="none"/>
        </w:rPr>
      </w:pPr>
      <w:r>
        <w:rPr>
          <w:rFonts w:hint="eastAsia"/>
          <w:highlight w:val="none"/>
        </w:rPr>
        <w:t>提供全套技术文件纸介质</w:t>
      </w:r>
      <w:r>
        <w:rPr>
          <w:highlight w:val="none"/>
        </w:rPr>
        <w:t>3套以及电子文件1套。</w:t>
      </w:r>
    </w:p>
    <w:p w14:paraId="7367D573">
      <w:pPr>
        <w:pStyle w:val="3"/>
        <w:ind w:hanging="1135"/>
        <w:rPr>
          <w:rFonts w:hint="eastAsia"/>
          <w:highlight w:val="none"/>
        </w:rPr>
      </w:pPr>
      <w:r>
        <w:rPr>
          <w:rFonts w:hint="eastAsia"/>
          <w:highlight w:val="none"/>
        </w:rPr>
        <w:t>其他要求</w:t>
      </w:r>
    </w:p>
    <w:p w14:paraId="7F8239AF">
      <w:pPr>
        <w:rPr>
          <w:highlight w:val="none"/>
        </w:rPr>
      </w:pPr>
      <w:r>
        <w:rPr>
          <w:rFonts w:hint="eastAsia"/>
          <w:highlight w:val="none"/>
        </w:rPr>
        <w:t>根据市大数据中心要求，做好系统数据库的管理规范化、数据标准化、完成数据编目和数据上链工作；按照中心的统一管理要求，做好城管执法指挥监管平台相关前期系统的运维工作，确保系统安全、稳定运行，确保数据安全，满足业务部门需求。</w:t>
      </w:r>
    </w:p>
    <w:bookmarkEnd w:id="33"/>
    <w:p w14:paraId="7BC0CBB6">
      <w:pPr>
        <w:pStyle w:val="9"/>
        <w:spacing w:line="240" w:lineRule="auto"/>
        <w:rPr>
          <w:highlight w:val="none"/>
        </w:rPr>
      </w:pPr>
    </w:p>
    <w:sectPr>
      <w:footerReference r:id="rId11" w:type="first"/>
      <w:pgSz w:w="11906" w:h="16838"/>
      <w:pgMar w:top="1134" w:right="1797" w:bottom="1135" w:left="1797" w:header="340" w:footer="7" w:gutter="0"/>
      <w:pgNumType w:start="1"/>
      <w:cols w:space="720" w:num="1"/>
      <w:titlePg/>
      <w:docGrid w:type="linesAndChar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roman"/>
    <w:pitch w:val="default"/>
    <w:sig w:usb0="00000000" w:usb1="00000000" w:usb2="00000009" w:usb3="00000000" w:csb0="400001FF" w:csb1="FFFF0000"/>
  </w:font>
  <w:font w:name="宋体">
    <w:altName w:val="国标宋体"/>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国标宋体">
    <w:panose1 w:val="02000500000000000000"/>
    <w:charset w:val="86"/>
    <w:family w:val="auto"/>
    <w:pitch w:val="default"/>
    <w:sig w:usb0="00000001" w:usb1="28000000" w:usb2="00000000" w:usb3="00000000" w:csb0="00060007" w:csb1="00000000"/>
  </w:font>
  <w:font w:name="方正黑体_GBK">
    <w:panose1 w:val="02000000000000000000"/>
    <w:charset w:val="86"/>
    <w:family w:val="auto"/>
    <w:pitch w:val="default"/>
    <w:sig w:usb0="00000001" w:usb1="08000000" w:usb2="00000000" w:usb3="00000000" w:csb0="00040000" w:csb1="00000000"/>
  </w:font>
  <w:font w:name="Cambria">
    <w:altName w:val="Noto Sans Syriac Eastern"/>
    <w:panose1 w:val="02040503050406030204"/>
    <w:charset w:val="00"/>
    <w:family w:val="roman"/>
    <w:pitch w:val="default"/>
    <w:sig w:usb0="00000000" w:usb1="00000000" w:usb2="02000000" w:usb3="00000000" w:csb0="2000019F" w:csb1="00000000"/>
  </w:font>
  <w:font w:name="Noto Sans Syriac Eastern">
    <w:panose1 w:val="02040503050306020203"/>
    <w:charset w:val="86"/>
    <w:family w:val="auto"/>
    <w:pitch w:val="default"/>
    <w:sig w:usb0="00000000" w:usb1="00000000" w:usb2="00000080" w:usb3="00000000" w:csb0="203E0161" w:csb1="D7FF0000"/>
  </w:font>
  <w:font w:name="time">
    <w:altName w:val="思源宋体"/>
    <w:panose1 w:val="00000000000000000000"/>
    <w:charset w:val="00"/>
    <w:family w:val="roman"/>
    <w:pitch w:val="default"/>
    <w:sig w:usb0="00000000" w:usb1="00000000" w:usb2="00000000" w:usb3="00000000" w:csb0="00040001" w:csb1="00000000"/>
  </w:font>
  <w:font w:name="思源宋体">
    <w:panose1 w:val="02020400000000000000"/>
    <w:charset w:val="86"/>
    <w:family w:val="auto"/>
    <w:pitch w:val="default"/>
    <w:sig w:usb0="30000083" w:usb1="2BDF3C10" w:usb2="00000016" w:usb3="00000000" w:csb0="602E0107" w:csb1="00000000"/>
  </w:font>
  <w:font w:name="仿宋">
    <w:altName w:val="仿宋_GB2312"/>
    <w:panose1 w:val="02010609060101010101"/>
    <w:charset w:val="86"/>
    <w:family w:val="modern"/>
    <w:pitch w:val="default"/>
    <w:sig w:usb0="00000000" w:usb1="00000000"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0E5F13">
    <w:pPr>
      <w:ind w:firstLine="0" w:firstLineChars="0"/>
      <w:jc w:val="center"/>
    </w:pPr>
    <w:r>
      <w:fldChar w:fldCharType="begin"/>
    </w:r>
    <w:r>
      <w:instrText xml:space="preserve">PAGE   \* MERGEFORMAT</w:instrText>
    </w:r>
    <w:r>
      <w:fldChar w:fldCharType="separate"/>
    </w:r>
    <w:r>
      <w:rPr>
        <w:lang w:val="zh-CN"/>
      </w:rPr>
      <w:t>11</w:t>
    </w:r>
    <w:r>
      <w:rPr>
        <w:lang w:val="zh-CN"/>
      </w:rPr>
      <w:fldChar w:fldCharType="end"/>
    </w:r>
  </w:p>
  <w:p w14:paraId="7215045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34B8C0"/>
  <w:p w14:paraId="445CA6B7"/>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B47844">
    <w:pPr>
      <w:ind w:firstLine="0" w:firstLineChars="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AF0248">
    <w:pPr>
      <w:ind w:firstLine="0" w:firstLineChars="0"/>
      <w:jc w:val="center"/>
      <w:rPr>
        <w:lang w:val="zh-CN"/>
      </w:rPr>
    </w:pPr>
    <w:r>
      <w:rPr>
        <w:lang w:val="zh-CN"/>
      </w:rPr>
      <w:fldChar w:fldCharType="begin"/>
    </w:r>
    <w:r>
      <w:rPr>
        <w:lang w:val="zh-CN"/>
      </w:rPr>
      <w:instrText xml:space="preserve">PAGE   \* MERGEFORMAT</w:instrText>
    </w:r>
    <w:r>
      <w:rPr>
        <w:lang w:val="zh-CN"/>
      </w:rPr>
      <w:fldChar w:fldCharType="separate"/>
    </w:r>
    <w:r>
      <w:rPr>
        <w:lang w:val="zh-CN"/>
      </w:rPr>
      <w:t>1</w:t>
    </w:r>
    <w:r>
      <w:rPr>
        <w:lang w:val="zh-CN"/>
      </w:rPr>
      <w:fldChar w:fldCharType="end"/>
    </w:r>
  </w:p>
  <w:p w14:paraId="58729F3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B71008">
    <w:pPr>
      <w:pStyle w:val="11"/>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1C65AC"/>
  <w:p w14:paraId="7013814B"/>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63C1DF">
    <w:pPr>
      <w:pStyle w:val="11"/>
      <w:pBdr>
        <w:bottom w:val="none" w:color="auto" w:sz="0" w:space="0"/>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87B978E"/>
    <w:multiLevelType w:val="singleLevel"/>
    <w:tmpl w:val="487B978E"/>
    <w:lvl w:ilvl="0" w:tentative="0">
      <w:start w:val="1"/>
      <w:numFmt w:val="bullet"/>
      <w:lvlText w:val=""/>
      <w:lvlJc w:val="left"/>
      <w:pPr>
        <w:tabs>
          <w:tab w:val="left" w:pos="420"/>
        </w:tabs>
        <w:ind w:left="840" w:hanging="420"/>
      </w:pPr>
      <w:rPr>
        <w:rFonts w:hint="default" w:ascii="Wingdings" w:hAnsi="Wingdings"/>
      </w:rPr>
    </w:lvl>
  </w:abstractNum>
  <w:abstractNum w:abstractNumId="1">
    <w:nsid w:val="6A2F4AB3"/>
    <w:multiLevelType w:val="multilevel"/>
    <w:tmpl w:val="6A2F4AB3"/>
    <w:lvl w:ilvl="0" w:tentative="0">
      <w:start w:val="1"/>
      <w:numFmt w:val="chineseCountingThousand"/>
      <w:pStyle w:val="2"/>
      <w:suff w:val="nothing"/>
      <w:lvlText w:val="%1、"/>
      <w:lvlJc w:val="left"/>
      <w:pPr>
        <w:ind w:left="425" w:hanging="425"/>
      </w:pPr>
      <w:rPr>
        <w:rFonts w:hint="eastAsia"/>
        <w:sz w:val="32"/>
        <w:szCs w:val="32"/>
      </w:rPr>
    </w:lvl>
    <w:lvl w:ilvl="1" w:tentative="0">
      <w:start w:val="1"/>
      <w:numFmt w:val="decimal"/>
      <w:pStyle w:val="3"/>
      <w:isLgl/>
      <w:suff w:val="nothing"/>
      <w:lvlText w:val="%1.%2、"/>
      <w:lvlJc w:val="left"/>
      <w:pPr>
        <w:ind w:left="1135" w:hanging="567"/>
      </w:pPr>
    </w:lvl>
    <w:lvl w:ilvl="2" w:tentative="0">
      <w:start w:val="1"/>
      <w:numFmt w:val="decimal"/>
      <w:isLgl/>
      <w:suff w:val="nothing"/>
      <w:lvlText w:val="%1.%2.%3、"/>
      <w:lvlJc w:val="left"/>
      <w:pPr>
        <w:ind w:left="1069" w:hanging="1069"/>
      </w:pPr>
      <w:rPr>
        <w:rFonts w:hint="default" w:ascii="宋体" w:hAnsi="宋体" w:eastAsia="宋体" w:cs="Arial"/>
      </w:rPr>
    </w:lvl>
    <w:lvl w:ilvl="3" w:tentative="0">
      <w:start w:val="1"/>
      <w:numFmt w:val="decimal"/>
      <w:isLgl/>
      <w:suff w:val="nothing"/>
      <w:lvlText w:val="%1.%2.%3.%4、"/>
      <w:lvlJc w:val="left"/>
      <w:pPr>
        <w:ind w:left="3403" w:hanging="851"/>
      </w:pPr>
    </w:lvl>
    <w:lvl w:ilvl="4" w:tentative="0">
      <w:start w:val="1"/>
      <w:numFmt w:val="decimal"/>
      <w:isLgl/>
      <w:suff w:val="nothing"/>
      <w:lvlText w:val="%1.%2.%3.%4.%5、"/>
      <w:lvlJc w:val="left"/>
      <w:pPr>
        <w:ind w:left="3544" w:hanging="992"/>
      </w:pPr>
      <w:rPr>
        <w:rFonts w:hint="eastAsia"/>
      </w:rPr>
    </w:lvl>
    <w:lvl w:ilvl="5" w:tentative="0">
      <w:start w:val="1"/>
      <w:numFmt w:val="decimal"/>
      <w:isLgl/>
      <w:suff w:val="nothing"/>
      <w:lvlText w:val="%1.%2.%3.%4.%5.%6、"/>
      <w:lvlJc w:val="left"/>
      <w:pPr>
        <w:ind w:left="1134" w:hanging="1134"/>
      </w:pPr>
      <w:rPr>
        <w:rFonts w:hint="eastAsia"/>
      </w:rPr>
    </w:lvl>
    <w:lvl w:ilvl="6" w:tentative="0">
      <w:start w:val="1"/>
      <w:numFmt w:val="decimal"/>
      <w:isLgl/>
      <w:lvlText w:val="%1.%2.%3.%4.%5.%6.%7"/>
      <w:lvlJc w:val="left"/>
      <w:pPr>
        <w:tabs>
          <w:tab w:val="left" w:pos="1800"/>
        </w:tabs>
        <w:ind w:left="1276" w:hanging="1276"/>
      </w:pPr>
      <w:rPr>
        <w:rFonts w:hint="eastAsia"/>
      </w:rPr>
    </w:lvl>
    <w:lvl w:ilvl="7" w:tentative="0">
      <w:start w:val="1"/>
      <w:numFmt w:val="decimal"/>
      <w:isLgl/>
      <w:lvlText w:val="%1.%2.%3.%4.%5.%6.%7.%8"/>
      <w:lvlJc w:val="left"/>
      <w:pPr>
        <w:tabs>
          <w:tab w:val="left" w:pos="1800"/>
        </w:tabs>
        <w:ind w:left="1418" w:hanging="1418"/>
      </w:pPr>
      <w:rPr>
        <w:rFonts w:hint="eastAsia"/>
      </w:rPr>
    </w:lvl>
    <w:lvl w:ilvl="8" w:tentative="0">
      <w:start w:val="1"/>
      <w:numFmt w:val="decimal"/>
      <w:isLgl/>
      <w:lvlText w:val="%1.%2.%3.%4.%5.%6.%7.%8.%9"/>
      <w:lvlJc w:val="left"/>
      <w:pPr>
        <w:tabs>
          <w:tab w:val="left" w:pos="2160"/>
        </w:tabs>
        <w:ind w:left="1559" w:hanging="1559"/>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removePersonalInformation/>
  <w:embedSystemFonts/>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ZhZTM4MDQ0MjE0NzZkMDgxNGZjMjYxNzEzNTkwZWIifQ=="/>
  </w:docVars>
  <w:rsids>
    <w:rsidRoot w:val="1C046E50"/>
    <w:rsid w:val="00014A5E"/>
    <w:rsid w:val="0002544D"/>
    <w:rsid w:val="000C6CE7"/>
    <w:rsid w:val="00105845"/>
    <w:rsid w:val="001F3F0A"/>
    <w:rsid w:val="00300E10"/>
    <w:rsid w:val="00303941"/>
    <w:rsid w:val="00307CD0"/>
    <w:rsid w:val="0037315A"/>
    <w:rsid w:val="003D0AA5"/>
    <w:rsid w:val="004844A8"/>
    <w:rsid w:val="004846DD"/>
    <w:rsid w:val="004A28E6"/>
    <w:rsid w:val="004D53F7"/>
    <w:rsid w:val="00512B19"/>
    <w:rsid w:val="00525369"/>
    <w:rsid w:val="00607EA7"/>
    <w:rsid w:val="00631F2A"/>
    <w:rsid w:val="00687603"/>
    <w:rsid w:val="00722B6E"/>
    <w:rsid w:val="00822683"/>
    <w:rsid w:val="00861242"/>
    <w:rsid w:val="008F7868"/>
    <w:rsid w:val="00915727"/>
    <w:rsid w:val="00971E30"/>
    <w:rsid w:val="009E7472"/>
    <w:rsid w:val="00A72E70"/>
    <w:rsid w:val="00B47DB3"/>
    <w:rsid w:val="00B7173D"/>
    <w:rsid w:val="00BE06E4"/>
    <w:rsid w:val="00C5050A"/>
    <w:rsid w:val="00CA6048"/>
    <w:rsid w:val="00CA645B"/>
    <w:rsid w:val="00DD5688"/>
    <w:rsid w:val="00EB760F"/>
    <w:rsid w:val="00EC1ED7"/>
    <w:rsid w:val="00EE4690"/>
    <w:rsid w:val="00EE5B06"/>
    <w:rsid w:val="00F411FB"/>
    <w:rsid w:val="00F513EE"/>
    <w:rsid w:val="00F71BF8"/>
    <w:rsid w:val="00FB1C40"/>
    <w:rsid w:val="04035A91"/>
    <w:rsid w:val="08F57907"/>
    <w:rsid w:val="0E8A2F6A"/>
    <w:rsid w:val="0F2509CA"/>
    <w:rsid w:val="10A7D525"/>
    <w:rsid w:val="11A16A45"/>
    <w:rsid w:val="1A494CA3"/>
    <w:rsid w:val="1C046E50"/>
    <w:rsid w:val="1D8447F9"/>
    <w:rsid w:val="205630F0"/>
    <w:rsid w:val="273C5DCA"/>
    <w:rsid w:val="27716A62"/>
    <w:rsid w:val="281B425C"/>
    <w:rsid w:val="29CB06AB"/>
    <w:rsid w:val="2BF437BD"/>
    <w:rsid w:val="2D7F3F9C"/>
    <w:rsid w:val="2F134D79"/>
    <w:rsid w:val="2F6FA779"/>
    <w:rsid w:val="2FE96CE4"/>
    <w:rsid w:val="32933D30"/>
    <w:rsid w:val="35170C48"/>
    <w:rsid w:val="35D22DC1"/>
    <w:rsid w:val="364C4922"/>
    <w:rsid w:val="38422BA3"/>
    <w:rsid w:val="39C24EFB"/>
    <w:rsid w:val="3D4A5933"/>
    <w:rsid w:val="3FBFF963"/>
    <w:rsid w:val="40A610D2"/>
    <w:rsid w:val="41314E40"/>
    <w:rsid w:val="42DC527F"/>
    <w:rsid w:val="4B013AD5"/>
    <w:rsid w:val="4B0E1D4E"/>
    <w:rsid w:val="4DFE719B"/>
    <w:rsid w:val="51C95B83"/>
    <w:rsid w:val="53A616BE"/>
    <w:rsid w:val="55B641FB"/>
    <w:rsid w:val="56ED6262"/>
    <w:rsid w:val="57EE2BAF"/>
    <w:rsid w:val="588418A2"/>
    <w:rsid w:val="5898534D"/>
    <w:rsid w:val="589A7317"/>
    <w:rsid w:val="5D3F66DF"/>
    <w:rsid w:val="5DCE9368"/>
    <w:rsid w:val="5F3F7C56"/>
    <w:rsid w:val="5F6F8BA6"/>
    <w:rsid w:val="623C38E9"/>
    <w:rsid w:val="635D78BF"/>
    <w:rsid w:val="69BF6EB2"/>
    <w:rsid w:val="6A435FF0"/>
    <w:rsid w:val="6BFD00D5"/>
    <w:rsid w:val="71B10765"/>
    <w:rsid w:val="737C78ED"/>
    <w:rsid w:val="73F9DB6E"/>
    <w:rsid w:val="74123214"/>
    <w:rsid w:val="75954C96"/>
    <w:rsid w:val="77EDB64E"/>
    <w:rsid w:val="7A74131E"/>
    <w:rsid w:val="7CCB3E09"/>
    <w:rsid w:val="7DFF53A7"/>
    <w:rsid w:val="7FBB8018"/>
    <w:rsid w:val="BDFA9D6E"/>
    <w:rsid w:val="BEF779E9"/>
    <w:rsid w:val="BFEC0183"/>
    <w:rsid w:val="C3FE13A2"/>
    <w:rsid w:val="CFE76D79"/>
    <w:rsid w:val="DEE5BDB2"/>
    <w:rsid w:val="DFFF59EB"/>
    <w:rsid w:val="E1D730E0"/>
    <w:rsid w:val="ED7F65E4"/>
    <w:rsid w:val="EE319A01"/>
    <w:rsid w:val="EEBB2810"/>
    <w:rsid w:val="EFFFC33C"/>
    <w:rsid w:val="F69FB345"/>
    <w:rsid w:val="F6FB952E"/>
    <w:rsid w:val="FB5D1909"/>
    <w:rsid w:val="FCF6B6A5"/>
    <w:rsid w:val="FE7E8996"/>
    <w:rsid w:val="FEDFDE68"/>
    <w:rsid w:val="FF5DCC65"/>
    <w:rsid w:val="FFBFADDA"/>
    <w:rsid w:val="FFC5165A"/>
    <w:rsid w:val="FFD9B9C9"/>
    <w:rsid w:val="FFF72EA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480" w:firstLineChars="200"/>
      <w:jc w:val="both"/>
    </w:pPr>
    <w:rPr>
      <w:rFonts w:ascii="宋体" w:hAnsi="宋体" w:eastAsia="宋体" w:cs="Times New Roman"/>
      <w:kern w:val="2"/>
      <w:sz w:val="24"/>
      <w:szCs w:val="24"/>
      <w:lang w:val="en-US" w:eastAsia="zh-CN" w:bidi="ar-SA"/>
    </w:rPr>
  </w:style>
  <w:style w:type="paragraph" w:styleId="2">
    <w:name w:val="heading 1"/>
    <w:basedOn w:val="1"/>
    <w:next w:val="1"/>
    <w:link w:val="32"/>
    <w:qFormat/>
    <w:uiPriority w:val="0"/>
    <w:pPr>
      <w:keepNext/>
      <w:keepLines/>
      <w:numPr>
        <w:ilvl w:val="0"/>
        <w:numId w:val="1"/>
      </w:numPr>
      <w:spacing w:before="120" w:after="120"/>
      <w:ind w:firstLine="0" w:firstLineChars="0"/>
      <w:outlineLvl w:val="0"/>
    </w:pPr>
    <w:rPr>
      <w:rFonts w:eastAsia="黑体"/>
      <w:b/>
      <w:bCs/>
      <w:kern w:val="44"/>
      <w:sz w:val="32"/>
      <w:szCs w:val="28"/>
    </w:rPr>
  </w:style>
  <w:style w:type="paragraph" w:styleId="3">
    <w:name w:val="heading 2"/>
    <w:basedOn w:val="1"/>
    <w:next w:val="1"/>
    <w:qFormat/>
    <w:uiPriority w:val="9"/>
    <w:pPr>
      <w:keepNext/>
      <w:keepLines/>
      <w:numPr>
        <w:ilvl w:val="1"/>
        <w:numId w:val="1"/>
      </w:numPr>
      <w:spacing w:before="120" w:after="120"/>
      <w:ind w:firstLine="0" w:firstLineChars="0"/>
      <w:outlineLvl w:val="1"/>
    </w:pPr>
    <w:rPr>
      <w:b/>
      <w:bCs/>
      <w:sz w:val="30"/>
      <w:szCs w:val="32"/>
    </w:rPr>
  </w:style>
  <w:style w:type="paragraph" w:styleId="4">
    <w:name w:val="heading 3"/>
    <w:basedOn w:val="1"/>
    <w:next w:val="1"/>
    <w:link w:val="27"/>
    <w:qFormat/>
    <w:uiPriority w:val="0"/>
    <w:pPr>
      <w:keepNext/>
      <w:keepLines/>
      <w:spacing w:before="120" w:after="120"/>
      <w:ind w:left="1069" w:firstLine="0" w:firstLineChars="0"/>
      <w:outlineLvl w:val="2"/>
    </w:pPr>
    <w:rPr>
      <w:b/>
      <w:bCs/>
      <w:sz w:val="28"/>
      <w:szCs w:val="28"/>
    </w:rPr>
  </w:style>
  <w:style w:type="paragraph" w:styleId="5">
    <w:name w:val="heading 4"/>
    <w:basedOn w:val="1"/>
    <w:next w:val="1"/>
    <w:link w:val="28"/>
    <w:qFormat/>
    <w:uiPriority w:val="0"/>
    <w:pPr>
      <w:keepNext/>
      <w:keepLines/>
      <w:spacing w:before="120" w:after="120"/>
      <w:ind w:left="851" w:firstLine="0" w:firstLineChars="0"/>
      <w:outlineLvl w:val="3"/>
    </w:pPr>
    <w:rPr>
      <w:b/>
      <w:bCs/>
      <w:sz w:val="30"/>
      <w:szCs w:val="30"/>
    </w:rPr>
  </w:style>
  <w:style w:type="paragraph" w:styleId="6">
    <w:name w:val="heading 5"/>
    <w:basedOn w:val="1"/>
    <w:next w:val="1"/>
    <w:link w:val="29"/>
    <w:qFormat/>
    <w:uiPriority w:val="0"/>
    <w:pPr>
      <w:keepNext/>
      <w:keepLines/>
      <w:spacing w:before="120" w:after="120"/>
      <w:ind w:firstLine="0" w:firstLineChars="0"/>
      <w:outlineLvl w:val="4"/>
    </w:pPr>
    <w:rPr>
      <w:b/>
      <w:bCs/>
      <w:szCs w:val="28"/>
    </w:rPr>
  </w:style>
  <w:style w:type="paragraph" w:styleId="7">
    <w:name w:val="heading 6"/>
    <w:basedOn w:val="1"/>
    <w:next w:val="1"/>
    <w:link w:val="30"/>
    <w:qFormat/>
    <w:uiPriority w:val="0"/>
    <w:pPr>
      <w:keepNext/>
      <w:keepLines/>
      <w:spacing w:before="120" w:after="120"/>
      <w:ind w:left="1134" w:firstLine="0" w:firstLineChars="0"/>
      <w:outlineLvl w:val="5"/>
    </w:pPr>
    <w:rPr>
      <w:rFonts w:ascii="Cambria" w:hAnsi="Cambria"/>
      <w:b/>
      <w:bCs/>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8">
    <w:name w:val="annotation text"/>
    <w:basedOn w:val="1"/>
    <w:link w:val="25"/>
    <w:qFormat/>
    <w:uiPriority w:val="0"/>
    <w:pPr>
      <w:jc w:val="left"/>
    </w:pPr>
  </w:style>
  <w:style w:type="paragraph" w:styleId="9">
    <w:name w:val="Body Text"/>
    <w:basedOn w:val="1"/>
    <w:qFormat/>
    <w:uiPriority w:val="0"/>
    <w:pPr>
      <w:spacing w:after="120"/>
    </w:pPr>
  </w:style>
  <w:style w:type="paragraph" w:styleId="10">
    <w:name w:val="Balloon Text"/>
    <w:basedOn w:val="1"/>
    <w:link w:val="24"/>
    <w:qFormat/>
    <w:uiPriority w:val="0"/>
    <w:pPr>
      <w:spacing w:line="240" w:lineRule="auto"/>
    </w:pPr>
    <w:rPr>
      <w:sz w:val="18"/>
      <w:szCs w:val="18"/>
    </w:rPr>
  </w:style>
  <w:style w:type="paragraph" w:styleId="11">
    <w:name w:val="header"/>
    <w:basedOn w:val="1"/>
    <w:qFormat/>
    <w:uiPriority w:val="99"/>
    <w:pPr>
      <w:pBdr>
        <w:bottom w:val="single" w:color="auto" w:sz="4" w:space="0"/>
      </w:pBdr>
      <w:tabs>
        <w:tab w:val="center" w:pos="4153"/>
        <w:tab w:val="right" w:pos="8306"/>
      </w:tabs>
      <w:snapToGrid w:val="0"/>
      <w:jc w:val="center"/>
    </w:pPr>
    <w:rPr>
      <w:rFonts w:ascii="Times New Roman" w:hAnsi="Times New Roman"/>
      <w:sz w:val="18"/>
      <w:szCs w:val="18"/>
    </w:rPr>
  </w:style>
  <w:style w:type="paragraph" w:styleId="12">
    <w:name w:val="annotation subject"/>
    <w:basedOn w:val="8"/>
    <w:next w:val="8"/>
    <w:link w:val="26"/>
    <w:qFormat/>
    <w:uiPriority w:val="0"/>
    <w:rPr>
      <w:b/>
      <w:bCs/>
    </w:rPr>
  </w:style>
  <w:style w:type="character" w:styleId="15">
    <w:name w:val="annotation reference"/>
    <w:basedOn w:val="14"/>
    <w:qFormat/>
    <w:uiPriority w:val="0"/>
    <w:rPr>
      <w:sz w:val="21"/>
      <w:szCs w:val="21"/>
    </w:rPr>
  </w:style>
  <w:style w:type="paragraph" w:customStyle="1" w:styleId="16">
    <w:name w:val="正文缩进1"/>
    <w:basedOn w:val="1"/>
    <w:qFormat/>
    <w:uiPriority w:val="0"/>
    <w:pPr>
      <w:spacing w:line="240" w:lineRule="auto"/>
      <w:ind w:firstLine="420"/>
    </w:pPr>
    <w:rPr>
      <w:rFonts w:ascii="Times New Roman" w:hAnsi="Times New Roman"/>
      <w:sz w:val="21"/>
      <w:szCs w:val="20"/>
    </w:rPr>
  </w:style>
  <w:style w:type="paragraph" w:customStyle="1" w:styleId="17">
    <w:name w:val="正文正文2"/>
    <w:basedOn w:val="1"/>
    <w:qFormat/>
    <w:uiPriority w:val="0"/>
    <w:pPr>
      <w:ind w:firstLine="460"/>
    </w:pPr>
    <w:rPr>
      <w:sz w:val="21"/>
      <w:szCs w:val="21"/>
    </w:rPr>
  </w:style>
  <w:style w:type="paragraph" w:customStyle="1" w:styleId="18">
    <w:name w:val="*正文"/>
    <w:basedOn w:val="1"/>
    <w:qFormat/>
    <w:uiPriority w:val="0"/>
    <w:pPr>
      <w:widowControl/>
      <w:ind w:firstLine="200"/>
      <w:contextualSpacing/>
    </w:pPr>
    <w:rPr>
      <w:rFonts w:ascii="time" w:hAnsi="time"/>
      <w:kern w:val="0"/>
      <w:lang w:bidi="en-US"/>
    </w:rPr>
  </w:style>
  <w:style w:type="paragraph" w:styleId="19">
    <w:name w:val="List Paragraph"/>
    <w:basedOn w:val="1"/>
    <w:qFormat/>
    <w:uiPriority w:val="34"/>
    <w:pPr>
      <w:ind w:firstLine="420"/>
    </w:pPr>
  </w:style>
  <w:style w:type="character" w:customStyle="1" w:styleId="20">
    <w:name w:val="fontstyle01"/>
    <w:basedOn w:val="14"/>
    <w:qFormat/>
    <w:uiPriority w:val="0"/>
    <w:rPr>
      <w:rFonts w:hint="eastAsia" w:ascii="仿宋" w:hAnsi="仿宋" w:eastAsia="仿宋"/>
      <w:color w:val="000000"/>
      <w:sz w:val="24"/>
      <w:szCs w:val="24"/>
    </w:rPr>
  </w:style>
  <w:style w:type="character" w:customStyle="1" w:styleId="21">
    <w:name w:val="font91"/>
    <w:basedOn w:val="14"/>
    <w:qFormat/>
    <w:uiPriority w:val="0"/>
    <w:rPr>
      <w:rFonts w:hint="eastAsia" w:ascii="宋体" w:hAnsi="宋体" w:eastAsia="宋体" w:cs="宋体"/>
      <w:color w:val="FF0000"/>
      <w:sz w:val="22"/>
      <w:szCs w:val="22"/>
      <w:u w:val="none"/>
    </w:rPr>
  </w:style>
  <w:style w:type="character" w:customStyle="1" w:styleId="22">
    <w:name w:val="font51"/>
    <w:basedOn w:val="14"/>
    <w:qFormat/>
    <w:uiPriority w:val="0"/>
    <w:rPr>
      <w:rFonts w:hint="eastAsia" w:ascii="宋体" w:hAnsi="宋体" w:eastAsia="宋体" w:cs="宋体"/>
      <w:color w:val="000000"/>
      <w:sz w:val="22"/>
      <w:szCs w:val="22"/>
      <w:u w:val="none"/>
    </w:rPr>
  </w:style>
  <w:style w:type="character" w:customStyle="1" w:styleId="23">
    <w:name w:val="font71"/>
    <w:basedOn w:val="14"/>
    <w:qFormat/>
    <w:uiPriority w:val="0"/>
    <w:rPr>
      <w:rFonts w:hint="eastAsia" w:ascii="宋体" w:hAnsi="宋体" w:eastAsia="宋体" w:cs="宋体"/>
      <w:color w:val="FF0000"/>
      <w:sz w:val="22"/>
      <w:szCs w:val="22"/>
      <w:u w:val="none"/>
    </w:rPr>
  </w:style>
  <w:style w:type="character" w:customStyle="1" w:styleId="24">
    <w:name w:val="批注框文本 字符"/>
    <w:basedOn w:val="14"/>
    <w:link w:val="10"/>
    <w:qFormat/>
    <w:uiPriority w:val="0"/>
    <w:rPr>
      <w:rFonts w:ascii="宋体" w:hAnsi="宋体"/>
      <w:kern w:val="2"/>
      <w:sz w:val="18"/>
      <w:szCs w:val="18"/>
    </w:rPr>
  </w:style>
  <w:style w:type="character" w:customStyle="1" w:styleId="25">
    <w:name w:val="批注文字 字符"/>
    <w:basedOn w:val="14"/>
    <w:link w:val="8"/>
    <w:qFormat/>
    <w:uiPriority w:val="0"/>
    <w:rPr>
      <w:rFonts w:ascii="宋体" w:hAnsi="宋体"/>
      <w:kern w:val="2"/>
      <w:sz w:val="24"/>
      <w:szCs w:val="24"/>
    </w:rPr>
  </w:style>
  <w:style w:type="character" w:customStyle="1" w:styleId="26">
    <w:name w:val="批注主题 字符"/>
    <w:basedOn w:val="25"/>
    <w:link w:val="12"/>
    <w:qFormat/>
    <w:uiPriority w:val="0"/>
    <w:rPr>
      <w:rFonts w:ascii="宋体" w:hAnsi="宋体"/>
      <w:b/>
      <w:bCs/>
      <w:kern w:val="2"/>
      <w:sz w:val="24"/>
      <w:szCs w:val="24"/>
    </w:rPr>
  </w:style>
  <w:style w:type="character" w:customStyle="1" w:styleId="27">
    <w:name w:val="标题 3 字符"/>
    <w:basedOn w:val="14"/>
    <w:link w:val="4"/>
    <w:qFormat/>
    <w:uiPriority w:val="0"/>
    <w:rPr>
      <w:rFonts w:ascii="宋体" w:hAnsi="宋体"/>
      <w:b/>
      <w:bCs/>
      <w:kern w:val="2"/>
      <w:sz w:val="28"/>
      <w:szCs w:val="28"/>
    </w:rPr>
  </w:style>
  <w:style w:type="character" w:customStyle="1" w:styleId="28">
    <w:name w:val="标题 4 字符"/>
    <w:basedOn w:val="14"/>
    <w:link w:val="5"/>
    <w:qFormat/>
    <w:uiPriority w:val="0"/>
    <w:rPr>
      <w:rFonts w:ascii="宋体" w:hAnsi="宋体"/>
      <w:b/>
      <w:bCs/>
      <w:kern w:val="2"/>
      <w:sz w:val="30"/>
      <w:szCs w:val="30"/>
    </w:rPr>
  </w:style>
  <w:style w:type="character" w:customStyle="1" w:styleId="29">
    <w:name w:val="标题 5 字符"/>
    <w:basedOn w:val="14"/>
    <w:link w:val="6"/>
    <w:qFormat/>
    <w:uiPriority w:val="0"/>
    <w:rPr>
      <w:rFonts w:ascii="宋体" w:hAnsi="宋体"/>
      <w:b/>
      <w:bCs/>
      <w:kern w:val="2"/>
      <w:sz w:val="24"/>
      <w:szCs w:val="28"/>
    </w:rPr>
  </w:style>
  <w:style w:type="character" w:customStyle="1" w:styleId="30">
    <w:name w:val="标题 6 字符"/>
    <w:basedOn w:val="14"/>
    <w:link w:val="7"/>
    <w:qFormat/>
    <w:uiPriority w:val="0"/>
    <w:rPr>
      <w:rFonts w:ascii="Cambria" w:hAnsi="Cambria"/>
      <w:b/>
      <w:bCs/>
      <w:kern w:val="2"/>
      <w:sz w:val="24"/>
      <w:szCs w:val="24"/>
    </w:rPr>
  </w:style>
  <w:style w:type="paragraph" w:customStyle="1" w:styleId="31">
    <w:name w:val="Revision"/>
    <w:hidden/>
    <w:unhideWhenUsed/>
    <w:qFormat/>
    <w:uiPriority w:val="99"/>
    <w:rPr>
      <w:rFonts w:ascii="宋体" w:hAnsi="宋体" w:eastAsia="宋体" w:cs="Times New Roman"/>
      <w:kern w:val="2"/>
      <w:sz w:val="24"/>
      <w:szCs w:val="24"/>
      <w:lang w:val="en-US" w:eastAsia="zh-CN" w:bidi="ar-SA"/>
    </w:rPr>
  </w:style>
  <w:style w:type="character" w:customStyle="1" w:styleId="32">
    <w:name w:val="标题 1 字符"/>
    <w:link w:val="2"/>
    <w:qFormat/>
    <w:uiPriority w:val="0"/>
    <w:rPr>
      <w:rFonts w:ascii="宋体" w:hAnsi="宋体" w:eastAsia="黑体"/>
      <w:b/>
      <w:bCs/>
      <w:kern w:val="44"/>
      <w:sz w:val="32"/>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21</Pages>
  <Words>3204</Words>
  <Characters>18267</Characters>
  <Lines>152</Lines>
  <Paragraphs>42</Paragraphs>
  <TotalTime>0</TotalTime>
  <ScaleCrop>false</ScaleCrop>
  <LinksUpToDate>false</LinksUpToDate>
  <CharactersWithSpaces>21429</CharactersWithSpaces>
  <Application>WPS Office_12.8.2.21176_F1E327BC-269C-435d-A152-05C5408002CA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2026-01-21T01:45:00Z</dcterms:created>
  <dcterms:modified xsi:type="dcterms:W3CDTF">2026-03-13T16:47:31Z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2052-12.8.2.21176</vt:lpwstr>
  </property>
  <property fmtid="{D5CDD505-2E9C-101B-9397-08002B2CF9AE}" pid="3" name="ICV">
    <vt:lpwstr>769ADD1133F74151B68F5E6005455428</vt:lpwstr>
  </property>
</Properties>
</file>