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8"/>
          <w:szCs w:val="48"/>
        </w:rPr>
      </w:pPr>
    </w:p>
    <w:p>
      <w:pPr>
        <w:jc w:val="center"/>
        <w:rPr>
          <w:rFonts w:ascii="黑体" w:hAnsi="黑体" w:eastAsia="黑体"/>
          <w:sz w:val="48"/>
          <w:szCs w:val="48"/>
        </w:rPr>
      </w:pPr>
    </w:p>
    <w:p>
      <w:pPr>
        <w:jc w:val="center"/>
        <w:rPr>
          <w:rFonts w:ascii="黑体" w:hAnsi="黑体" w:eastAsia="黑体"/>
          <w:sz w:val="52"/>
          <w:szCs w:val="52"/>
        </w:rPr>
      </w:pPr>
      <w:r>
        <w:rPr>
          <w:rFonts w:ascii="黑体" w:hAnsi="黑体" w:eastAsia="黑体"/>
          <w:sz w:val="52"/>
          <w:szCs w:val="52"/>
        </w:rPr>
        <w:t>市规划资源局政务服务大系统建设项目(2026年升级改造)</w:t>
      </w:r>
    </w:p>
    <w:p>
      <w:pPr>
        <w:jc w:val="cente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采购需求</w:t>
      </w:r>
    </w:p>
    <w:p>
      <w:pPr>
        <w:jc w:val="center"/>
        <w:rPr>
          <w:rFonts w:ascii="黑体" w:hAnsi="黑体" w:eastAsia="黑体"/>
          <w:sz w:val="72"/>
          <w:szCs w:val="72"/>
        </w:rPr>
      </w:pPr>
    </w:p>
    <w:p>
      <w:pPr>
        <w:jc w:val="center"/>
        <w:rPr>
          <w:rFonts w:ascii="黑体" w:hAnsi="黑体" w:eastAsia="黑体"/>
          <w:sz w:val="48"/>
          <w:szCs w:val="48"/>
        </w:rPr>
      </w:pPr>
    </w:p>
    <w:p>
      <w:pPr>
        <w:jc w:val="center"/>
        <w:rPr>
          <w:rFonts w:ascii="黑体" w:hAnsi="黑体" w:eastAsia="黑体"/>
          <w:sz w:val="52"/>
          <w:szCs w:val="52"/>
        </w:rPr>
      </w:pPr>
    </w:p>
    <w:p>
      <w:pPr>
        <w:ind w:firstLine="1040"/>
        <w:rPr>
          <w:rFonts w:ascii="黑体" w:hAnsi="黑体" w:eastAsia="黑体"/>
          <w:sz w:val="52"/>
          <w:szCs w:val="52"/>
        </w:rPr>
      </w:pPr>
    </w:p>
    <w:p/>
    <w:p/>
    <w:p/>
    <w:p/>
    <w:p/>
    <w:p>
      <w:pPr>
        <w:ind w:firstLine="1040"/>
        <w:rPr>
          <w:rFonts w:ascii="黑体" w:hAnsi="黑体" w:eastAsia="黑体"/>
          <w:sz w:val="52"/>
          <w:szCs w:val="52"/>
        </w:rPr>
      </w:pPr>
    </w:p>
    <w:p>
      <w:pPr>
        <w:jc w:val="center"/>
        <w:sectPr>
          <w:headerReference r:id="rId5" w:type="first"/>
          <w:footerReference r:id="rId8" w:type="first"/>
          <w:headerReference r:id="rId3" w:type="default"/>
          <w:footerReference r:id="rId6" w:type="default"/>
          <w:headerReference r:id="rId4" w:type="even"/>
          <w:footerReference r:id="rId7" w:type="even"/>
          <w:pgSz w:w="11906" w:h="16838"/>
          <w:pgMar w:top="1134" w:right="1797" w:bottom="1135" w:left="1797" w:header="340" w:footer="7" w:gutter="0"/>
          <w:pgNumType w:start="1"/>
          <w:cols w:space="720" w:num="1"/>
          <w:titlePg/>
          <w:docGrid w:type="linesAndChars" w:linePitch="326" w:charSpace="0"/>
        </w:sectPr>
      </w:pPr>
    </w:p>
    <w:p>
      <w:pPr>
        <w:pStyle w:val="2"/>
      </w:pPr>
      <w:bookmarkStart w:id="0" w:name="_Toc63785461"/>
      <w:r>
        <w:rPr>
          <w:rFonts w:hint="eastAsia"/>
        </w:rPr>
        <w:t>项目概况</w:t>
      </w:r>
      <w:bookmarkEnd w:id="0"/>
    </w:p>
    <w:p>
      <w:pPr>
        <w:pStyle w:val="3"/>
        <w:ind w:left="567"/>
      </w:pPr>
      <w:r>
        <w:rPr>
          <w:rFonts w:hint="eastAsia"/>
        </w:rPr>
        <w:t>项目背景</w:t>
      </w:r>
    </w:p>
    <w:p>
      <w:pPr>
        <w:pStyle w:val="139"/>
        <w:ind w:firstLine="564" w:firstLineChars="235"/>
        <w:rPr>
          <w:rFonts w:ascii="宋体" w:hAnsi="宋体" w:eastAsia="宋体"/>
          <w:sz w:val="24"/>
          <w:szCs w:val="24"/>
        </w:rPr>
      </w:pPr>
      <w:r>
        <w:rPr>
          <w:rFonts w:ascii="宋体" w:hAnsi="宋体" w:eastAsia="宋体"/>
          <w:sz w:val="24"/>
          <w:szCs w:val="24"/>
        </w:rPr>
        <w:t>为落实党中央、国务院及上海市关于优化营商环境、深化 “一网通办”“跨省通办” 改革的各项部署，响应自然资源部用途管制监管、“多规合一” 协同等工作要求，</w:t>
      </w:r>
      <w:r>
        <w:rPr>
          <w:rFonts w:hint="eastAsia" w:ascii="宋体" w:hAnsi="宋体" w:eastAsia="宋体"/>
          <w:sz w:val="24"/>
          <w:szCs w:val="24"/>
        </w:rPr>
        <w:t>对</w:t>
      </w:r>
      <w:r>
        <w:rPr>
          <w:rFonts w:ascii="宋体" w:hAnsi="宋体" w:eastAsia="宋体"/>
          <w:sz w:val="24"/>
          <w:szCs w:val="24"/>
        </w:rPr>
        <w:t>政务服务大系统</w:t>
      </w:r>
      <w:r>
        <w:rPr>
          <w:rFonts w:hint="eastAsia" w:ascii="宋体" w:hAnsi="宋体" w:eastAsia="宋体"/>
          <w:sz w:val="24"/>
          <w:szCs w:val="24"/>
        </w:rPr>
        <w:t>进行升级改造</w:t>
      </w:r>
      <w:r>
        <w:rPr>
          <w:rFonts w:ascii="宋体" w:hAnsi="宋体" w:eastAsia="宋体"/>
          <w:sz w:val="24"/>
          <w:szCs w:val="24"/>
        </w:rPr>
        <w:t>。一方面，针对现有自然资源登记便民利民信息服务平台功能单一、无法支撑跨部门协同与全程网办的短板，通过升级改造新增网办申报、智能核验等模块，依托大数据赋能实现 “少填免填、少交免交、少跑网办”，强化长三角不动产登记一体化服务能力。另一方面，围绕 “智慧好办” 升级、用途管制数字化监管、营商环境优化及多规合一协同四大核心需求，打造好办快办子系统，优化高频审批事项办理流程，嵌入用途管制监管模块，打通跨部门数据链路，构建全生命周期项目管理体系，以数字赋能推动规划资源领域政务服务提质增效，筑牢一流营商环境建设的信息化支撑。</w:t>
      </w:r>
    </w:p>
    <w:p>
      <w:pPr>
        <w:pStyle w:val="4"/>
      </w:pPr>
      <w:r>
        <w:rPr>
          <w:rFonts w:hint="eastAsia"/>
        </w:rPr>
        <w:t>自然资源登记便民利民信息服务平台</w:t>
      </w:r>
    </w:p>
    <w:p>
      <w:pPr>
        <w:pStyle w:val="139"/>
        <w:ind w:firstLine="564" w:firstLineChars="235"/>
        <w:rPr>
          <w:rFonts w:ascii="宋体" w:hAnsi="宋体" w:eastAsia="宋体"/>
          <w:sz w:val="24"/>
          <w:szCs w:val="24"/>
        </w:rPr>
      </w:pPr>
      <w:r>
        <w:rPr>
          <w:rFonts w:ascii="宋体" w:hAnsi="宋体" w:eastAsia="宋体"/>
          <w:sz w:val="24"/>
          <w:szCs w:val="24"/>
        </w:rPr>
        <w:t>不动产登记是优化营商环境、保障群众财产权利的重要环节，也是上海落实党中央、国务院打造一流营商环境任务的关键抓手。结合国务院、自然资源部及上海市多项政策要求，需以数据为核心，深化 “一网通办”“跨省通办” 改革，巩固 “多审合一” 等成效，通过智能技术赋能，提升高频事项首办成功率与网办率，实现政策 “免申即享”。</w:t>
      </w:r>
    </w:p>
    <w:p>
      <w:pPr>
        <w:pStyle w:val="139"/>
        <w:ind w:firstLine="564" w:firstLineChars="235"/>
        <w:rPr>
          <w:rFonts w:ascii="宋体" w:hAnsi="宋体" w:eastAsia="宋体"/>
          <w:sz w:val="24"/>
          <w:szCs w:val="24"/>
        </w:rPr>
      </w:pPr>
      <w:r>
        <w:rPr>
          <w:rFonts w:ascii="宋体" w:hAnsi="宋体" w:eastAsia="宋体"/>
          <w:sz w:val="24"/>
          <w:szCs w:val="24"/>
        </w:rPr>
        <w:t>当前 “自然资源登记便民利民信息服务平台” 仅涵盖查询、电子证照、公共支付等基础功能，无法满足跨部门协同、全程网办需求。因此，需升级改造平台，新增全程网办申报、真实意愿核验、协同办理等模块，依托大数据中心构建共享专题库，打通跨部门系统数据链路，实现信息采集与交互推送全流程覆盖，践行 “少填免填、少交免交、少跑网办” 目标，持续优化营商环境与群众获得感。</w:t>
      </w:r>
    </w:p>
    <w:p>
      <w:pPr>
        <w:pStyle w:val="139"/>
        <w:ind w:firstLine="0" w:firstLineChars="0"/>
      </w:pPr>
    </w:p>
    <w:p>
      <w:pPr>
        <w:pStyle w:val="4"/>
      </w:pPr>
      <w:r>
        <w:t>项目子系统（好办快办模块）</w:t>
      </w:r>
    </w:p>
    <w:p>
      <w:pPr>
        <w:spacing w:line="360" w:lineRule="auto"/>
        <w:ind w:firstLine="420"/>
        <w:rPr>
          <w:rFonts w:cs="Arial" w:asciiTheme="minorEastAsia" w:hAnsiTheme="minorEastAsia" w:eastAsiaTheme="minorEastAsia"/>
          <w:color w:val="000000"/>
        </w:rPr>
      </w:pPr>
      <w:r>
        <w:rPr>
          <w:rFonts w:cs="Arial" w:asciiTheme="minorEastAsia" w:hAnsiTheme="minorEastAsia" w:eastAsiaTheme="minorEastAsia"/>
          <w:color w:val="000000"/>
        </w:rPr>
        <w:t>（1）“一网通办” 深化改革建设背景</w:t>
      </w:r>
    </w:p>
    <w:p>
      <w:pPr>
        <w:spacing w:line="360" w:lineRule="auto"/>
        <w:ind w:firstLine="420"/>
        <w:rPr>
          <w:rFonts w:cs="Arial" w:asciiTheme="minorEastAsia" w:hAnsiTheme="minorEastAsia" w:eastAsiaTheme="minorEastAsia"/>
          <w:color w:val="000000"/>
        </w:rPr>
      </w:pPr>
      <w:r>
        <w:rPr>
          <w:rFonts w:cs="Arial" w:asciiTheme="minorEastAsia" w:hAnsiTheme="minorEastAsia" w:eastAsiaTheme="minorEastAsia"/>
          <w:color w:val="000000"/>
        </w:rPr>
        <w:t>为落实上海市 “人工智能＋政务服务” 改革及 “高效办成一件事” 要求，规划资源系统需持续深化 “一网通办”，打造 “智慧好办” 升级版。结合 “带图审批” 特点，需优化文件质检、在线落图、自动解析、带图申报等能力，并实现审批端自动制图、出图。聚焦 “520 高频事项”，新增和优化设计条件征询、规划土地意见书、用地规划许可、工程规划许可、竣工规划资源验收等事项，提供智能预填、智能预审、自动审批等服务。同时强化 “好差评” 和 “办不成事” 反映渠道建设，并对接加装电梯、乡村建设规划许可等专项改革要求。</w:t>
      </w:r>
    </w:p>
    <w:p>
      <w:pPr>
        <w:spacing w:line="360" w:lineRule="auto"/>
        <w:ind w:firstLine="420"/>
        <w:rPr>
          <w:rFonts w:cs="Arial" w:asciiTheme="minorEastAsia" w:hAnsiTheme="minorEastAsia" w:eastAsiaTheme="minorEastAsia"/>
          <w:color w:val="000000"/>
        </w:rPr>
      </w:pPr>
      <w:r>
        <w:rPr>
          <w:rFonts w:cs="Arial" w:asciiTheme="minorEastAsia" w:hAnsiTheme="minorEastAsia" w:eastAsiaTheme="minorEastAsia"/>
          <w:color w:val="000000"/>
        </w:rPr>
        <w:t>（2）自然资源用途管制监管及 “双随机、一公开” 背景</w:t>
      </w:r>
    </w:p>
    <w:p>
      <w:pPr>
        <w:spacing w:line="360" w:lineRule="auto"/>
        <w:ind w:firstLine="420"/>
        <w:rPr>
          <w:rFonts w:cs="Arial" w:asciiTheme="minorEastAsia" w:hAnsiTheme="minorEastAsia" w:eastAsiaTheme="minorEastAsia"/>
          <w:color w:val="000000"/>
        </w:rPr>
      </w:pPr>
      <w:r>
        <w:rPr>
          <w:rFonts w:cs="Arial" w:asciiTheme="minorEastAsia" w:hAnsiTheme="minorEastAsia" w:eastAsiaTheme="minorEastAsia"/>
          <w:color w:val="000000"/>
        </w:rPr>
        <w:t>根据自然资源部用途管制监管系统建设要求，需将 “一书三证” 等业务纳入全周期数字化管理，实现选址、用地预审、用地规划许可、工程规划许可、乡村建设规划许可、土地核验与规划核实等业务的空间数据、项目数据、审批过程与结果数据实时共享。当前人工上报方式工作量大、无法实时，亟需建设用途管制监管模块，实现自动上报和动态监管。同时，为落实国家和上海市政务公开要求，需建设统一的信息公开系统，提升规划、土地、不动产等信息的公开透明度和规范性。</w:t>
      </w:r>
    </w:p>
    <w:p>
      <w:pPr>
        <w:spacing w:line="360" w:lineRule="auto"/>
        <w:ind w:firstLine="420"/>
        <w:rPr>
          <w:rFonts w:cs="Arial" w:asciiTheme="minorEastAsia" w:hAnsiTheme="minorEastAsia" w:eastAsiaTheme="minorEastAsia"/>
          <w:color w:val="000000"/>
        </w:rPr>
      </w:pPr>
      <w:r>
        <w:rPr>
          <w:rFonts w:cs="Arial" w:asciiTheme="minorEastAsia" w:hAnsiTheme="minorEastAsia" w:eastAsiaTheme="minorEastAsia"/>
          <w:color w:val="000000"/>
        </w:rPr>
        <w:t>（3）优化营商环境改革背景</w:t>
      </w:r>
    </w:p>
    <w:p>
      <w:pPr>
        <w:spacing w:line="360" w:lineRule="auto"/>
        <w:ind w:firstLine="420"/>
        <w:rPr>
          <w:rFonts w:cs="Arial" w:asciiTheme="minorEastAsia" w:hAnsiTheme="minorEastAsia" w:eastAsiaTheme="minorEastAsia"/>
          <w:color w:val="000000"/>
        </w:rPr>
      </w:pPr>
      <w:r>
        <w:rPr>
          <w:rFonts w:cs="Arial" w:asciiTheme="minorEastAsia" w:hAnsiTheme="minorEastAsia" w:eastAsiaTheme="minorEastAsia"/>
          <w:color w:val="000000"/>
        </w:rPr>
        <w:t>为满足营商环境提升要求，需进一步优化工程建设产业用地审批，强化出让前规划条件认定和边界确认，实现出让前征询与规划土地意见书业务衔接。落实低风险市政管线告知承诺制，提高审批效率。深化固定资产投资项目 “一件事” 改革，实现与不动产登记衔接及 “竣工即交证”。打通地质灾害评估、防治与工规证、竣工验收等业务数据链路。完善工规证总平面图附件公开机制。</w:t>
      </w:r>
    </w:p>
    <w:p>
      <w:pPr>
        <w:spacing w:line="360" w:lineRule="auto"/>
        <w:ind w:firstLine="420"/>
        <w:rPr>
          <w:rFonts w:cs="Arial" w:asciiTheme="minorEastAsia" w:hAnsiTheme="minorEastAsia" w:eastAsiaTheme="minorEastAsia"/>
          <w:color w:val="000000"/>
        </w:rPr>
      </w:pPr>
      <w:r>
        <w:rPr>
          <w:rFonts w:cs="Arial" w:asciiTheme="minorEastAsia" w:hAnsiTheme="minorEastAsia" w:eastAsiaTheme="minorEastAsia"/>
          <w:color w:val="000000"/>
        </w:rPr>
        <w:t>（4）多规合一业务协同办理建设背景</w:t>
      </w:r>
    </w:p>
    <w:p>
      <w:pPr>
        <w:spacing w:line="360" w:lineRule="auto"/>
        <w:ind w:firstLine="420"/>
        <w:rPr>
          <w:rFonts w:cs="Arial" w:asciiTheme="minorEastAsia" w:hAnsiTheme="minorEastAsia" w:eastAsiaTheme="minorEastAsia"/>
          <w:color w:val="000000"/>
        </w:rPr>
      </w:pPr>
      <w:r>
        <w:rPr>
          <w:rFonts w:cs="Arial" w:asciiTheme="minorEastAsia" w:hAnsiTheme="minorEastAsia" w:eastAsiaTheme="minorEastAsia"/>
          <w:color w:val="000000"/>
        </w:rPr>
        <w:t>为落实 “多规合一” 和 “多审合一、多证合一” 改革要求，需强化市区联动和部门协同，共享 “一张蓝图”，提升项目生成质量和效率。建设项目实施库，将产业项目纳入统一管理，加强施工与规划用地审批衔接。推进规划、土地、项目审批、测调、登记全业务贯通，新建全生命周期项目资源树，提升决策辅助能力。同时规范 “一键归档”，提高档案完整性和准确性。</w:t>
      </w:r>
    </w:p>
    <w:p>
      <w:pPr>
        <w:pStyle w:val="139"/>
        <w:ind w:firstLine="658" w:firstLineChars="235"/>
      </w:pPr>
    </w:p>
    <w:p>
      <w:pPr>
        <w:pStyle w:val="3"/>
        <w:ind w:left="567"/>
      </w:pPr>
      <w:r>
        <w:rPr>
          <w:rFonts w:hint="eastAsia"/>
        </w:rPr>
        <w:t>项目基本情况</w:t>
      </w:r>
    </w:p>
    <w:p>
      <w:pPr>
        <w:pStyle w:val="62"/>
        <w:numPr>
          <w:ilvl w:val="0"/>
          <w:numId w:val="3"/>
        </w:numPr>
        <w:spacing w:line="560" w:lineRule="exact"/>
        <w:ind w:firstLineChars="0"/>
        <w:rPr>
          <w:rFonts w:ascii="宋体" w:hAnsi="宋体"/>
          <w:b/>
          <w:bCs/>
          <w:sz w:val="24"/>
          <w:lang w:val="zh-CN"/>
        </w:rPr>
      </w:pPr>
      <w:r>
        <w:rPr>
          <w:rFonts w:hint="eastAsia" w:ascii="宋体" w:hAnsi="宋体"/>
          <w:b/>
          <w:bCs/>
          <w:sz w:val="24"/>
        </w:rPr>
        <w:t>建设期限：</w:t>
      </w:r>
      <w:r>
        <w:rPr>
          <w:rFonts w:hint="eastAsia" w:asciiTheme="minorEastAsia" w:hAnsiTheme="minorEastAsia" w:eastAsiaTheme="minorEastAsia" w:cstheme="minorEastAsia"/>
          <w:sz w:val="24"/>
        </w:rPr>
        <w:t>自合同签订之日起至202</w:t>
      </w: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年</w:t>
      </w:r>
      <w:r>
        <w:rPr>
          <w:rFonts w:asciiTheme="minorEastAsia" w:hAnsiTheme="minorEastAsia" w:eastAsiaTheme="minorEastAsia" w:cstheme="minorEastAsia"/>
          <w:sz w:val="24"/>
        </w:rPr>
        <w:t>11</w:t>
      </w:r>
      <w:r>
        <w:rPr>
          <w:rFonts w:hint="eastAsia" w:asciiTheme="minorEastAsia" w:hAnsiTheme="minorEastAsia" w:eastAsiaTheme="minorEastAsia" w:cstheme="minorEastAsia"/>
          <w:sz w:val="24"/>
        </w:rPr>
        <w:t>月3</w:t>
      </w:r>
      <w:r>
        <w:rPr>
          <w:rFonts w:asciiTheme="minorEastAsia" w:hAnsiTheme="minorEastAsia" w:eastAsiaTheme="minorEastAsia" w:cstheme="minorEastAsia"/>
          <w:sz w:val="24"/>
        </w:rPr>
        <w:t>0</w:t>
      </w:r>
      <w:r>
        <w:rPr>
          <w:rFonts w:hint="eastAsia" w:asciiTheme="minorEastAsia" w:hAnsiTheme="minorEastAsia" w:eastAsiaTheme="minorEastAsia" w:cstheme="minorEastAsia"/>
          <w:sz w:val="24"/>
        </w:rPr>
        <w:t>日。</w:t>
      </w:r>
    </w:p>
    <w:p>
      <w:pPr>
        <w:pStyle w:val="62"/>
        <w:numPr>
          <w:ilvl w:val="0"/>
          <w:numId w:val="3"/>
        </w:numPr>
        <w:spacing w:line="560" w:lineRule="exact"/>
        <w:ind w:firstLineChars="0"/>
        <w:rPr>
          <w:rFonts w:ascii="宋体" w:hAnsi="宋体"/>
          <w:b/>
          <w:bCs/>
          <w:sz w:val="24"/>
        </w:rPr>
      </w:pPr>
      <w:r>
        <w:rPr>
          <w:rFonts w:hint="eastAsia" w:ascii="宋体" w:hAnsi="宋体"/>
          <w:b/>
          <w:bCs/>
          <w:sz w:val="24"/>
        </w:rPr>
        <w:t>建设地点：</w:t>
      </w:r>
      <w:r>
        <w:rPr>
          <w:rFonts w:hint="eastAsia" w:asciiTheme="minorEastAsia" w:hAnsiTheme="minorEastAsia" w:eastAsiaTheme="minorEastAsia" w:cstheme="minorEastAsia"/>
          <w:sz w:val="24"/>
        </w:rPr>
        <w:t>上海市规划和自然资源局，上海市黄浦区北京西路</w:t>
      </w:r>
      <w:r>
        <w:rPr>
          <w:rFonts w:asciiTheme="minorEastAsia" w:hAnsiTheme="minorEastAsia" w:eastAsiaTheme="minorEastAsia" w:cstheme="minorEastAsia"/>
          <w:sz w:val="24"/>
        </w:rPr>
        <w:t>99</w:t>
      </w:r>
      <w:r>
        <w:rPr>
          <w:rFonts w:hint="eastAsia" w:asciiTheme="minorEastAsia" w:hAnsiTheme="minorEastAsia" w:eastAsiaTheme="minorEastAsia" w:cstheme="minorEastAsia"/>
          <w:sz w:val="24"/>
        </w:rPr>
        <w:t>号及上海市大数据中心指定地点；</w:t>
      </w:r>
    </w:p>
    <w:p>
      <w:pPr>
        <w:pStyle w:val="62"/>
        <w:numPr>
          <w:ilvl w:val="0"/>
          <w:numId w:val="3"/>
        </w:numPr>
        <w:spacing w:line="560" w:lineRule="exact"/>
        <w:ind w:firstLineChars="0"/>
        <w:rPr>
          <w:rFonts w:ascii="宋体" w:hAnsi="宋体"/>
          <w:b/>
          <w:bCs/>
          <w:sz w:val="24"/>
        </w:rPr>
      </w:pPr>
      <w:r>
        <w:rPr>
          <w:rFonts w:hint="eastAsia" w:ascii="宋体" w:hAnsi="宋体"/>
          <w:b/>
          <w:bCs/>
          <w:sz w:val="24"/>
        </w:rPr>
        <w:t>预算金额：</w:t>
      </w:r>
      <w:r>
        <w:rPr>
          <w:rFonts w:ascii="宋体" w:hAnsi="宋体"/>
          <w:sz w:val="24"/>
        </w:rPr>
        <w:t>4,075,000</w:t>
      </w:r>
      <w:r>
        <w:rPr>
          <w:rFonts w:hint="eastAsia" w:ascii="宋体" w:hAnsi="宋体"/>
          <w:sz w:val="24"/>
        </w:rPr>
        <w:t>元；</w:t>
      </w:r>
    </w:p>
    <w:p>
      <w:pPr>
        <w:pStyle w:val="62"/>
        <w:numPr>
          <w:ilvl w:val="0"/>
          <w:numId w:val="3"/>
        </w:numPr>
        <w:spacing w:line="560" w:lineRule="exact"/>
        <w:ind w:firstLineChars="0"/>
        <w:rPr>
          <w:rFonts w:ascii="宋体" w:hAnsi="宋体"/>
          <w:b/>
          <w:bCs/>
          <w:sz w:val="24"/>
        </w:rPr>
      </w:pPr>
      <w:r>
        <w:rPr>
          <w:rFonts w:hint="eastAsia" w:ascii="宋体" w:hAnsi="宋体"/>
          <w:b/>
          <w:bCs/>
          <w:sz w:val="24"/>
        </w:rPr>
        <w:t>当年度预算金额：</w:t>
      </w:r>
      <w:r>
        <w:rPr>
          <w:rFonts w:ascii="宋体" w:hAnsi="宋体"/>
          <w:sz w:val="24"/>
        </w:rPr>
        <w:t>4,075,000</w:t>
      </w:r>
      <w:r>
        <w:rPr>
          <w:rFonts w:hint="eastAsia" w:ascii="宋体" w:hAnsi="宋体"/>
          <w:sz w:val="24"/>
        </w:rPr>
        <w:t>元；</w:t>
      </w:r>
    </w:p>
    <w:p>
      <w:pPr>
        <w:pStyle w:val="62"/>
        <w:numPr>
          <w:ilvl w:val="0"/>
          <w:numId w:val="3"/>
        </w:numPr>
        <w:spacing w:line="560" w:lineRule="exact"/>
        <w:ind w:firstLineChars="0"/>
        <w:rPr>
          <w:rFonts w:ascii="宋体" w:hAnsi="宋体"/>
          <w:b/>
          <w:bCs/>
          <w:sz w:val="24"/>
        </w:rPr>
      </w:pPr>
      <w:r>
        <w:rPr>
          <w:rFonts w:hint="eastAsia" w:ascii="宋体" w:hAnsi="宋体"/>
          <w:b/>
          <w:bCs/>
          <w:sz w:val="24"/>
        </w:rPr>
        <w:t>采购金额（最高限价）：</w:t>
      </w:r>
      <w:r>
        <w:rPr>
          <w:rFonts w:ascii="宋体" w:hAnsi="宋体"/>
          <w:sz w:val="24"/>
        </w:rPr>
        <w:t>4,075,000</w:t>
      </w:r>
      <w:r>
        <w:rPr>
          <w:rFonts w:hint="eastAsia" w:ascii="宋体" w:hAnsi="宋体"/>
          <w:sz w:val="24"/>
        </w:rPr>
        <w:t>元；</w:t>
      </w:r>
    </w:p>
    <w:p>
      <w:pPr>
        <w:pStyle w:val="62"/>
        <w:numPr>
          <w:ilvl w:val="0"/>
          <w:numId w:val="3"/>
        </w:numPr>
        <w:ind w:firstLineChars="0"/>
        <w:rPr>
          <w:rFonts w:ascii="宋体" w:hAnsi="宋体"/>
          <w:b/>
          <w:bCs/>
          <w:sz w:val="24"/>
        </w:rPr>
      </w:pPr>
      <w:r>
        <w:rPr>
          <w:rFonts w:hint="eastAsia" w:ascii="宋体" w:hAnsi="宋体"/>
          <w:b/>
          <w:bCs/>
          <w:sz w:val="24"/>
        </w:rPr>
        <w:t>组织形式：</w:t>
      </w:r>
      <w:r>
        <w:rPr>
          <w:rFonts w:hint="eastAsia" w:ascii="宋体" w:hAnsi="宋体"/>
          <w:sz w:val="24"/>
        </w:rPr>
        <w:t>集中采购；</w:t>
      </w:r>
    </w:p>
    <w:p>
      <w:pPr>
        <w:pStyle w:val="62"/>
        <w:numPr>
          <w:ilvl w:val="0"/>
          <w:numId w:val="3"/>
        </w:numPr>
        <w:ind w:firstLineChars="0"/>
        <w:rPr>
          <w:rFonts w:ascii="宋体" w:hAnsi="宋体"/>
          <w:b/>
          <w:bCs/>
          <w:sz w:val="24"/>
        </w:rPr>
      </w:pPr>
      <w:r>
        <w:rPr>
          <w:rFonts w:hint="eastAsia" w:ascii="宋体" w:hAnsi="宋体"/>
          <w:b/>
          <w:bCs/>
          <w:sz w:val="24"/>
        </w:rPr>
        <w:t>采购方式：</w:t>
      </w:r>
      <w:r>
        <w:rPr>
          <w:rFonts w:hint="eastAsia" w:ascii="宋体" w:hAnsi="宋体"/>
          <w:sz w:val="24"/>
        </w:rPr>
        <w:t>公开招标；</w:t>
      </w:r>
    </w:p>
    <w:p>
      <w:pPr>
        <w:pStyle w:val="62"/>
        <w:numPr>
          <w:ilvl w:val="0"/>
          <w:numId w:val="3"/>
        </w:numPr>
        <w:ind w:firstLineChars="0"/>
        <w:rPr>
          <w:rFonts w:ascii="宋体" w:hAnsi="宋体"/>
          <w:b/>
          <w:bCs/>
          <w:sz w:val="24"/>
        </w:rPr>
      </w:pPr>
      <w:r>
        <w:rPr>
          <w:rFonts w:hint="eastAsia" w:ascii="宋体" w:hAnsi="宋体"/>
          <w:b/>
          <w:bCs/>
          <w:sz w:val="24"/>
        </w:rPr>
        <w:t>是否接受联合体投标：</w:t>
      </w:r>
      <w:r>
        <w:rPr>
          <w:rFonts w:hint="eastAsia" w:ascii="宋体" w:hAnsi="宋体"/>
          <w:sz w:val="24"/>
        </w:rPr>
        <w:t>否；</w:t>
      </w:r>
    </w:p>
    <w:p>
      <w:pPr>
        <w:pStyle w:val="62"/>
        <w:numPr>
          <w:ilvl w:val="0"/>
          <w:numId w:val="3"/>
        </w:numPr>
        <w:ind w:firstLineChars="0"/>
        <w:rPr>
          <w:rFonts w:ascii="宋体" w:hAnsi="宋体"/>
          <w:b/>
          <w:bCs/>
          <w:sz w:val="24"/>
        </w:rPr>
      </w:pPr>
      <w:r>
        <w:rPr>
          <w:rFonts w:ascii="宋体" w:hAnsi="宋体"/>
          <w:b/>
          <w:bCs/>
          <w:sz w:val="24"/>
        </w:rPr>
        <w:t>是否按</w:t>
      </w:r>
      <w:r>
        <w:rPr>
          <w:rFonts w:hint="eastAsia" w:ascii="宋体" w:hAnsi="宋体"/>
          <w:b/>
          <w:bCs/>
          <w:sz w:val="24"/>
        </w:rPr>
        <w:t>XC</w:t>
      </w:r>
      <w:r>
        <w:rPr>
          <w:rFonts w:ascii="宋体" w:hAnsi="宋体"/>
          <w:b/>
          <w:bCs/>
          <w:sz w:val="24"/>
        </w:rPr>
        <w:t>要求建设：</w:t>
      </w:r>
      <w:r>
        <w:rPr>
          <w:rFonts w:ascii="宋体" w:hAnsi="宋体"/>
          <w:sz w:val="24"/>
        </w:rPr>
        <w:t>是</w:t>
      </w:r>
      <w:r>
        <w:rPr>
          <w:rFonts w:hint="eastAsia" w:ascii="宋体" w:hAnsi="宋体"/>
          <w:sz w:val="24"/>
        </w:rPr>
        <w:t>；</w:t>
      </w:r>
    </w:p>
    <w:p>
      <w:pPr>
        <w:pStyle w:val="62"/>
        <w:numPr>
          <w:ilvl w:val="0"/>
          <w:numId w:val="3"/>
        </w:numPr>
        <w:ind w:firstLineChars="0"/>
        <w:rPr>
          <w:rFonts w:ascii="宋体" w:hAnsi="宋体"/>
          <w:b/>
          <w:bCs/>
          <w:sz w:val="24"/>
        </w:rPr>
      </w:pPr>
      <w:r>
        <w:rPr>
          <w:rFonts w:hint="eastAsia" w:ascii="宋体" w:hAnsi="宋体"/>
          <w:b/>
          <w:bCs/>
          <w:sz w:val="24"/>
        </w:rPr>
        <w:t>是否采用低代码建设：</w:t>
      </w:r>
      <w:r>
        <w:rPr>
          <w:rFonts w:hint="eastAsia" w:ascii="宋体" w:hAnsi="宋体"/>
          <w:sz w:val="24"/>
        </w:rPr>
        <w:t>否；</w:t>
      </w:r>
    </w:p>
    <w:p>
      <w:pPr>
        <w:pStyle w:val="62"/>
        <w:numPr>
          <w:ilvl w:val="0"/>
          <w:numId w:val="3"/>
        </w:numPr>
        <w:ind w:firstLineChars="0"/>
        <w:rPr>
          <w:rFonts w:ascii="宋体" w:hAnsi="宋体"/>
          <w:b/>
          <w:bCs/>
          <w:sz w:val="24"/>
        </w:rPr>
      </w:pPr>
      <w:r>
        <w:rPr>
          <w:rFonts w:hint="eastAsia" w:ascii="宋体" w:hAnsi="宋体"/>
          <w:b/>
          <w:bCs/>
          <w:sz w:val="24"/>
        </w:rPr>
        <w:t>运维后所属大系统：</w:t>
      </w:r>
      <w:r>
        <w:rPr>
          <w:rFonts w:hint="eastAsia" w:ascii="宋体" w:hAnsi="宋体"/>
          <w:sz w:val="24"/>
        </w:rPr>
        <w:t>市规划资源局政务服务大系统</w:t>
      </w:r>
    </w:p>
    <w:p/>
    <w:p>
      <w:pPr>
        <w:pStyle w:val="2"/>
      </w:pPr>
      <w:bookmarkStart w:id="1" w:name="_Toc47539070"/>
      <w:bookmarkEnd w:id="1"/>
      <w:bookmarkStart w:id="2" w:name="_Toc47533256"/>
      <w:bookmarkEnd w:id="2"/>
      <w:bookmarkStart w:id="3" w:name="_Toc47532255"/>
      <w:bookmarkEnd w:id="3"/>
      <w:bookmarkStart w:id="4" w:name="_Toc47532891"/>
      <w:bookmarkEnd w:id="4"/>
      <w:bookmarkStart w:id="5" w:name="_Toc47536272"/>
      <w:bookmarkEnd w:id="5"/>
      <w:bookmarkStart w:id="6" w:name="_Toc47537134"/>
      <w:bookmarkEnd w:id="6"/>
      <w:bookmarkStart w:id="7" w:name="_Toc47531634"/>
      <w:bookmarkEnd w:id="7"/>
      <w:bookmarkStart w:id="8" w:name="_Toc47536644"/>
      <w:bookmarkEnd w:id="8"/>
      <w:bookmarkStart w:id="9" w:name="_Toc63785463"/>
      <w:bookmarkStart w:id="10" w:name="_Toc48223882"/>
      <w:r>
        <w:rPr>
          <w:rFonts w:hint="eastAsia"/>
        </w:rPr>
        <w:t>建设目标</w:t>
      </w:r>
      <w:bookmarkEnd w:id="9"/>
      <w:bookmarkEnd w:id="10"/>
    </w:p>
    <w:p>
      <w:pPr>
        <w:pStyle w:val="3"/>
        <w:ind w:left="567"/>
      </w:pPr>
      <w:r>
        <w:rPr>
          <w:rFonts w:hint="eastAsia"/>
        </w:rPr>
        <w:t>项目总体目标</w:t>
      </w:r>
    </w:p>
    <w:p>
      <w:pPr>
        <w:pStyle w:val="4"/>
      </w:pPr>
      <w:bookmarkStart w:id="11" w:name="_Hlk173242295"/>
      <w:r>
        <w:rPr>
          <w:rFonts w:hint="eastAsia"/>
        </w:rPr>
        <w:t>自然资源登记便民利民信息服务平台</w:t>
      </w:r>
    </w:p>
    <w:p>
      <w:pPr>
        <w:spacing w:line="360" w:lineRule="auto"/>
        <w:ind w:firstLine="420"/>
      </w:pPr>
      <w:r>
        <w:t>深化长三角不动产登记一体化 “跨省通办” 改革，落实各级不动产登记政策要求，聚焦异地高频事项，推动登记全流程（材料提交、受理、缴费、审核登簿、结果反馈、证书发放）“全程网办、一次不用跑”，需对系统整体升级改造。</w:t>
      </w:r>
    </w:p>
    <w:p>
      <w:pPr>
        <w:spacing w:line="360" w:lineRule="auto"/>
        <w:ind w:firstLine="420"/>
      </w:pPr>
      <w:r>
        <w:t>统筹线上线下服务，实现同标受理、无差别办理，搭建登记网办申请、在线真实意愿核验模块，梳理业务流程与要件，深化跨区域信息实时共享，提升登记服务标准化、规范化水平。强化大数据技术应用，完善人脸识别、录音录屏功能，推广电子签名、印章、合同及证书证明使用，实现信息自动抓取、表单自动生成，支撑智能审核与 “全程网办”。</w:t>
      </w:r>
    </w:p>
    <w:p>
      <w:pPr>
        <w:spacing w:line="360" w:lineRule="auto"/>
        <w:ind w:firstLine="420"/>
      </w:pPr>
      <w:r>
        <w:t>拓展业务覆盖范围，从高频事项延伸至全业务类型，筑牢数据共享安全防线，依法保护个人隐私与企业商业秘密。以 “高效办成一件事” 为抓手，推动模式创新与数字赋能，实现办事方式多元、流程最优、材料最简、成本最小，最大化利企便民，激发经济社会发展内生动力。</w:t>
      </w:r>
    </w:p>
    <w:p>
      <w:pPr>
        <w:pStyle w:val="4"/>
      </w:pPr>
      <w:r>
        <w:t>项目子系统（好办快办模块）</w:t>
      </w:r>
    </w:p>
    <w:p>
      <w:pPr>
        <w:spacing w:line="360" w:lineRule="auto"/>
        <w:ind w:firstLine="420"/>
      </w:pPr>
      <w:r>
        <w:t>（1）深化 “一网通办”，打造 “智慧好办” 升级版</w:t>
      </w:r>
    </w:p>
    <w:p>
      <w:pPr>
        <w:spacing w:line="360" w:lineRule="auto"/>
        <w:ind w:firstLine="420"/>
      </w:pPr>
      <w:r>
        <w:t>落实上海 “人工智能＋政务服务”及 “一网通办”改革要求，聚焦规划资源领域，优化文件质检申报体验，实现工程建设项目（土地边界确认等）在线落图、图形自动解析、带图申报。针对规划设计条件征询、出让土地用地规划许可新办、管线工程规划许可新办、开工放样复验、竣工管线等事项，提供智慧好办服务，对接市级好差评、意见书企业云功能。新增电梯加装方案线上公示与数据入库，接入 “既有住宅加装电梯一件事”。同时强化耕地与土地保护，依托 “天、空、地、网” 监测模式，完善协同机制，整治违法用地、盘活低效用地，动态监测耕地区域，提升土地利用效能。</w:t>
      </w:r>
    </w:p>
    <w:p>
      <w:pPr>
        <w:spacing w:line="360" w:lineRule="auto"/>
        <w:ind w:firstLine="420"/>
      </w:pPr>
      <w:r>
        <w:t>（2）优化营商环境，完善产业项目审批业务</w:t>
      </w:r>
    </w:p>
    <w:p>
      <w:pPr>
        <w:spacing w:line="360" w:lineRule="auto"/>
        <w:ind w:firstLine="420"/>
      </w:pPr>
      <w:r>
        <w:t>落实上海优化营商环境行动方案要求，将重点产业项目参照重大工程管理，优化产业项目管线工程规划许可流程，强化出让前规划条件认定，衔接固定资产投资 “一件事”、竣工即交证等业务，提升企业办事效率。</w:t>
      </w:r>
    </w:p>
    <w:p>
      <w:pPr>
        <w:spacing w:line="360" w:lineRule="auto"/>
        <w:ind w:firstLine="420"/>
      </w:pPr>
      <w:r>
        <w:t>（3）构建 “多规合一” 业务协同平台</w:t>
      </w:r>
    </w:p>
    <w:p>
      <w:pPr>
        <w:spacing w:line="360" w:lineRule="auto"/>
        <w:ind w:firstLine="420"/>
      </w:pPr>
      <w:r>
        <w:t>整合平台信息应用，融合审批、监管、服务功能，实现产业项目全覆盖管理。以数据为核心、共享为关键，支撑局内业务管理提升及水务、绿化市容、发改委等跨部门空间信息应用需求，服务规划条件征询、设计方案征询等场景，为城市规划建设管理提供决策支持，规范 “一键归档” 功能，保障归档文件准确完整。</w:t>
      </w:r>
    </w:p>
    <w:p>
      <w:pPr>
        <w:spacing w:line="360" w:lineRule="auto"/>
        <w:ind w:firstLine="420"/>
      </w:pPr>
      <w:r>
        <w:t>（4）落实 “多审合一、多证合一” 改革</w:t>
      </w:r>
    </w:p>
    <w:p>
      <w:pPr>
        <w:spacing w:line="360" w:lineRule="auto"/>
        <w:ind w:firstLine="420"/>
      </w:pPr>
      <w:r>
        <w:t>依据自然资源部用途管制监管文件要求，将建设项目规划选址与用地预审、用地及工程规划许可、土地核验与规划核实等空间用途管制监管模块，嵌入产业项目审批流程，实现全周期数字化监管。</w:t>
      </w:r>
    </w:p>
    <w:p>
      <w:pPr>
        <w:spacing w:line="360" w:lineRule="auto"/>
        <w:ind w:firstLine="420"/>
      </w:pPr>
      <w:r>
        <w:t>（5）适配 “双随机、一公开” 要求</w:t>
      </w:r>
    </w:p>
    <w:p>
      <w:pPr>
        <w:spacing w:line="360" w:lineRule="auto"/>
        <w:ind w:firstLine="420"/>
        <w:rPr>
          <w:rFonts w:ascii="Arial" w:hAnsi="Arial" w:cs="Arial"/>
          <w:color w:val="000000"/>
        </w:rPr>
      </w:pPr>
      <w:r>
        <w:t>围绕提升治理体系和治理能力现代化，落实各级政务公开政策，结合局内实际需求，从流程细化、数据融合、智能应用等方面完善信息公开系统，推进跨层级、跨系统、跨部门协同办理，优化公众服务，提升政务透明度。</w:t>
      </w:r>
    </w:p>
    <w:p>
      <w:pPr>
        <w:spacing w:line="360" w:lineRule="auto"/>
        <w:ind w:firstLine="420"/>
        <w:rPr>
          <w:rFonts w:asciiTheme="minorEastAsia" w:hAnsiTheme="minorEastAsia" w:eastAsiaTheme="minorEastAsia"/>
          <w:bCs/>
        </w:rPr>
      </w:pPr>
    </w:p>
    <w:bookmarkEnd w:id="11"/>
    <w:p>
      <w:pPr>
        <w:pStyle w:val="3"/>
        <w:ind w:left="567"/>
      </w:pPr>
      <w:r>
        <w:rPr>
          <w:rFonts w:hint="eastAsia"/>
        </w:rPr>
        <w:t>应用目标</w:t>
      </w:r>
    </w:p>
    <w:p>
      <w:pPr>
        <w:pStyle w:val="4"/>
      </w:pPr>
      <w:r>
        <w:rPr>
          <w:rFonts w:hint="eastAsia"/>
        </w:rPr>
        <w:t>自然资源登记便民利民信息服务平台</w:t>
      </w:r>
    </w:p>
    <w:p/>
    <w:tbl>
      <w:tblPr>
        <w:tblStyle w:val="3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815"/>
        <w:gridCol w:w="1223"/>
        <w:gridCol w:w="1746"/>
        <w:gridCol w:w="2038"/>
        <w:gridCol w:w="19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427" w:type="pct"/>
            <w:shd w:val="clear" w:color="auto" w:fill="7F7F7F" w:themeFill="background1" w:themeFillShade="80"/>
            <w:vAlign w:val="center"/>
          </w:tcPr>
          <w:p>
            <w:pPr>
              <w:pStyle w:val="136"/>
              <w:jc w:val="both"/>
              <w:rPr>
                <w:b/>
                <w:bCs/>
              </w:rPr>
            </w:pPr>
            <w:bookmarkStart w:id="12" w:name="_Hlk173242431"/>
            <w:r>
              <w:rPr>
                <w:rFonts w:hint="eastAsia"/>
                <w:b/>
                <w:bCs/>
              </w:rPr>
              <w:t>序号</w:t>
            </w:r>
          </w:p>
        </w:tc>
        <w:tc>
          <w:tcPr>
            <w:tcW w:w="478" w:type="pct"/>
            <w:shd w:val="clear" w:color="auto" w:fill="7F7F7F" w:themeFill="background1" w:themeFillShade="80"/>
            <w:vAlign w:val="center"/>
          </w:tcPr>
          <w:p>
            <w:pPr>
              <w:pStyle w:val="136"/>
              <w:jc w:val="both"/>
              <w:rPr>
                <w:b/>
                <w:bCs/>
              </w:rPr>
            </w:pPr>
            <w:r>
              <w:rPr>
                <w:rFonts w:hint="eastAsia"/>
                <w:b/>
                <w:bCs/>
              </w:rPr>
              <w:t>一级指标</w:t>
            </w:r>
          </w:p>
        </w:tc>
        <w:tc>
          <w:tcPr>
            <w:tcW w:w="717" w:type="pct"/>
            <w:shd w:val="clear" w:color="auto" w:fill="7F7F7F" w:themeFill="background1" w:themeFillShade="80"/>
            <w:vAlign w:val="center"/>
          </w:tcPr>
          <w:p>
            <w:pPr>
              <w:pStyle w:val="136"/>
              <w:jc w:val="both"/>
              <w:rPr>
                <w:b/>
                <w:bCs/>
              </w:rPr>
            </w:pPr>
            <w:r>
              <w:rPr>
                <w:rFonts w:hint="eastAsia"/>
                <w:b/>
                <w:bCs/>
              </w:rPr>
              <w:t>二级指标</w:t>
            </w:r>
          </w:p>
        </w:tc>
        <w:tc>
          <w:tcPr>
            <w:tcW w:w="1024" w:type="pct"/>
            <w:shd w:val="clear" w:color="auto" w:fill="7F7F7F" w:themeFill="background1" w:themeFillShade="80"/>
            <w:vAlign w:val="center"/>
          </w:tcPr>
          <w:p>
            <w:pPr>
              <w:pStyle w:val="136"/>
              <w:ind w:firstLine="482"/>
              <w:rPr>
                <w:b/>
                <w:bCs/>
              </w:rPr>
            </w:pPr>
            <w:r>
              <w:rPr>
                <w:rFonts w:hint="eastAsia"/>
                <w:b/>
                <w:bCs/>
              </w:rPr>
              <w:t>三级指标</w:t>
            </w:r>
          </w:p>
        </w:tc>
        <w:tc>
          <w:tcPr>
            <w:tcW w:w="1195" w:type="pct"/>
            <w:shd w:val="clear" w:color="auto" w:fill="7F7F7F" w:themeFill="background1" w:themeFillShade="80"/>
            <w:vAlign w:val="center"/>
          </w:tcPr>
          <w:p>
            <w:pPr>
              <w:pStyle w:val="136"/>
              <w:ind w:firstLine="482"/>
              <w:rPr>
                <w:b/>
                <w:bCs/>
              </w:rPr>
            </w:pPr>
            <w:r>
              <w:rPr>
                <w:rFonts w:hint="eastAsia"/>
                <w:b/>
                <w:bCs/>
              </w:rPr>
              <w:t>四级指标</w:t>
            </w:r>
          </w:p>
        </w:tc>
        <w:tc>
          <w:tcPr>
            <w:tcW w:w="1159" w:type="pct"/>
            <w:shd w:val="clear" w:color="auto" w:fill="7F7F7F" w:themeFill="background1" w:themeFillShade="80"/>
            <w:vAlign w:val="center"/>
          </w:tcPr>
          <w:p>
            <w:pPr>
              <w:pStyle w:val="136"/>
              <w:ind w:firstLine="482"/>
              <w:rPr>
                <w:b/>
                <w:bCs/>
              </w:rPr>
            </w:pPr>
            <w:r>
              <w:rPr>
                <w:rFonts w:hint="eastAsia"/>
                <w:b/>
                <w:bCs/>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vAlign w:val="center"/>
          </w:tcPr>
          <w:p>
            <w:pPr>
              <w:pStyle w:val="136"/>
            </w:pPr>
            <w:r>
              <w:t>1</w:t>
            </w:r>
          </w:p>
        </w:tc>
        <w:tc>
          <w:tcPr>
            <w:tcW w:w="478" w:type="pct"/>
            <w:vAlign w:val="center"/>
          </w:tcPr>
          <w:p>
            <w:pPr>
              <w:pStyle w:val="136"/>
            </w:pPr>
            <w:r>
              <w:rPr>
                <w:rFonts w:hint="eastAsia"/>
              </w:rPr>
              <w:t>通用指标</w:t>
            </w:r>
          </w:p>
        </w:tc>
        <w:tc>
          <w:tcPr>
            <w:tcW w:w="717" w:type="pct"/>
            <w:vAlign w:val="center"/>
          </w:tcPr>
          <w:p>
            <w:pPr>
              <w:pStyle w:val="136"/>
            </w:pPr>
            <w:r>
              <w:rPr>
                <w:rFonts w:hint="eastAsia"/>
              </w:rPr>
              <w:t>产出指标</w:t>
            </w:r>
          </w:p>
        </w:tc>
        <w:tc>
          <w:tcPr>
            <w:tcW w:w="1024" w:type="pct"/>
            <w:vAlign w:val="center"/>
          </w:tcPr>
          <w:p>
            <w:pPr>
              <w:pStyle w:val="136"/>
            </w:pPr>
            <w:r>
              <w:rPr>
                <w:rFonts w:hint="eastAsia"/>
              </w:rPr>
              <w:t>产出质量</w:t>
            </w:r>
          </w:p>
        </w:tc>
        <w:tc>
          <w:tcPr>
            <w:tcW w:w="1195" w:type="pct"/>
            <w:vAlign w:val="center"/>
          </w:tcPr>
          <w:p>
            <w:pPr>
              <w:pStyle w:val="136"/>
            </w:pPr>
            <w:r>
              <w:rPr>
                <w:rFonts w:hint="eastAsia"/>
              </w:rPr>
              <w:t>一次性验收合格率</w:t>
            </w:r>
          </w:p>
        </w:tc>
        <w:tc>
          <w:tcPr>
            <w:tcW w:w="1159" w:type="pct"/>
            <w:vAlign w:val="center"/>
          </w:tcPr>
          <w:p>
            <w:pPr>
              <w:pStyle w:val="136"/>
            </w:pPr>
            <w:r>
              <w:rPr>
                <w:rFonts w:hint="eastAsia"/>
              </w:rPr>
              <w:t>≥95%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2" w:hRule="atLeast"/>
          <w:jc w:val="center"/>
        </w:trPr>
        <w:tc>
          <w:tcPr>
            <w:tcW w:w="427" w:type="pct"/>
            <w:vAlign w:val="center"/>
          </w:tcPr>
          <w:p>
            <w:pPr>
              <w:pStyle w:val="136"/>
            </w:pPr>
            <w:r>
              <w:rPr>
                <w:rFonts w:hint="eastAsia"/>
              </w:rPr>
              <w:t>2</w:t>
            </w:r>
          </w:p>
        </w:tc>
        <w:tc>
          <w:tcPr>
            <w:tcW w:w="478" w:type="pct"/>
          </w:tcPr>
          <w:p>
            <w:pPr>
              <w:pStyle w:val="136"/>
            </w:pPr>
            <w:r>
              <w:rPr>
                <w:rFonts w:hint="eastAsia"/>
              </w:rPr>
              <w:t>通用指标</w:t>
            </w:r>
          </w:p>
        </w:tc>
        <w:tc>
          <w:tcPr>
            <w:tcW w:w="717" w:type="pct"/>
            <w:vAlign w:val="center"/>
          </w:tcPr>
          <w:p>
            <w:pPr>
              <w:pStyle w:val="136"/>
            </w:pPr>
            <w:r>
              <w:rPr>
                <w:rFonts w:hint="eastAsia"/>
              </w:rPr>
              <w:t>产出指标</w:t>
            </w:r>
          </w:p>
        </w:tc>
        <w:tc>
          <w:tcPr>
            <w:tcW w:w="1024" w:type="pct"/>
            <w:vAlign w:val="center"/>
          </w:tcPr>
          <w:p>
            <w:pPr>
              <w:pStyle w:val="136"/>
            </w:pPr>
            <w:r>
              <w:rPr>
                <w:rFonts w:hint="eastAsia"/>
              </w:rPr>
              <w:t>产出质量</w:t>
            </w:r>
          </w:p>
        </w:tc>
        <w:tc>
          <w:tcPr>
            <w:tcW w:w="1195" w:type="pct"/>
            <w:vAlign w:val="center"/>
          </w:tcPr>
          <w:p>
            <w:pPr>
              <w:pStyle w:val="136"/>
            </w:pPr>
            <w:r>
              <w:rPr>
                <w:rFonts w:hint="eastAsia"/>
              </w:rPr>
              <w:t>安全事件发生次数</w:t>
            </w:r>
          </w:p>
        </w:tc>
        <w:tc>
          <w:tcPr>
            <w:tcW w:w="1159" w:type="pct"/>
            <w:vAlign w:val="center"/>
          </w:tcPr>
          <w:p>
            <w:pPr>
              <w:pStyle w:val="136"/>
            </w:pPr>
            <w:r>
              <w:rPr>
                <w:rFonts w:hint="eastAsia"/>
              </w:rPr>
              <w:t>≤</w:t>
            </w:r>
            <w:r>
              <w:t>3次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vAlign w:val="center"/>
          </w:tcPr>
          <w:p>
            <w:pPr>
              <w:pStyle w:val="136"/>
            </w:pPr>
            <w:r>
              <w:rPr>
                <w:rFonts w:hint="eastAsia"/>
              </w:rPr>
              <w:t>3</w:t>
            </w:r>
          </w:p>
        </w:tc>
        <w:tc>
          <w:tcPr>
            <w:tcW w:w="478" w:type="pct"/>
          </w:tcPr>
          <w:p>
            <w:pPr>
              <w:pStyle w:val="136"/>
            </w:pPr>
            <w:r>
              <w:rPr>
                <w:rFonts w:hint="eastAsia"/>
              </w:rPr>
              <w:t>通用指标</w:t>
            </w:r>
          </w:p>
        </w:tc>
        <w:tc>
          <w:tcPr>
            <w:tcW w:w="717" w:type="pct"/>
            <w:vAlign w:val="center"/>
          </w:tcPr>
          <w:p>
            <w:pPr>
              <w:pStyle w:val="136"/>
            </w:pPr>
            <w:r>
              <w:rPr>
                <w:rFonts w:hint="eastAsia"/>
              </w:rPr>
              <w:t>产出指标</w:t>
            </w:r>
          </w:p>
        </w:tc>
        <w:tc>
          <w:tcPr>
            <w:tcW w:w="1024" w:type="pct"/>
            <w:vAlign w:val="center"/>
          </w:tcPr>
          <w:p>
            <w:pPr>
              <w:pStyle w:val="136"/>
            </w:pPr>
            <w:r>
              <w:rPr>
                <w:rFonts w:hint="eastAsia"/>
              </w:rPr>
              <w:t>产出时效</w:t>
            </w:r>
          </w:p>
        </w:tc>
        <w:tc>
          <w:tcPr>
            <w:tcW w:w="1195" w:type="pct"/>
            <w:vAlign w:val="center"/>
          </w:tcPr>
          <w:p>
            <w:pPr>
              <w:pStyle w:val="136"/>
            </w:pPr>
            <w:r>
              <w:rPr>
                <w:rFonts w:hint="eastAsia"/>
              </w:rPr>
              <w:t>项目建设周期</w:t>
            </w:r>
          </w:p>
        </w:tc>
        <w:tc>
          <w:tcPr>
            <w:tcW w:w="1159" w:type="pct"/>
            <w:vAlign w:val="center"/>
          </w:tcPr>
          <w:p>
            <w:pPr>
              <w:pStyle w:val="136"/>
            </w:pPr>
            <w:r>
              <w:rPr>
                <w:rFonts w:hint="eastAsia"/>
              </w:rPr>
              <w:t>≤</w:t>
            </w:r>
            <w:r>
              <w:t>7</w:t>
            </w:r>
            <w:r>
              <w:rPr>
                <w:rFonts w:hint="eastAsia"/>
              </w:rPr>
              <w:t>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vAlign w:val="center"/>
          </w:tcPr>
          <w:p>
            <w:pPr>
              <w:pStyle w:val="136"/>
            </w:pPr>
            <w:r>
              <w:rPr>
                <w:rFonts w:hint="eastAsia"/>
              </w:rPr>
              <w:t>4</w:t>
            </w:r>
          </w:p>
        </w:tc>
        <w:tc>
          <w:tcPr>
            <w:tcW w:w="478" w:type="pct"/>
          </w:tcPr>
          <w:p>
            <w:pPr>
              <w:pStyle w:val="136"/>
            </w:pPr>
            <w:r>
              <w:rPr>
                <w:rFonts w:hint="eastAsia"/>
              </w:rPr>
              <w:t>通用指标</w:t>
            </w:r>
          </w:p>
        </w:tc>
        <w:tc>
          <w:tcPr>
            <w:tcW w:w="717" w:type="pct"/>
            <w:vAlign w:val="center"/>
          </w:tcPr>
          <w:p>
            <w:pPr>
              <w:pStyle w:val="136"/>
            </w:pPr>
            <w:r>
              <w:rPr>
                <w:rFonts w:hint="eastAsia"/>
              </w:rPr>
              <w:t>安全体系</w:t>
            </w:r>
          </w:p>
        </w:tc>
        <w:tc>
          <w:tcPr>
            <w:tcW w:w="1024" w:type="pct"/>
            <w:vAlign w:val="center"/>
          </w:tcPr>
          <w:p>
            <w:pPr>
              <w:pStyle w:val="136"/>
            </w:pPr>
            <w:r>
              <w:rPr>
                <w:rFonts w:hint="eastAsia"/>
              </w:rPr>
              <w:t>安全建设水平</w:t>
            </w:r>
          </w:p>
        </w:tc>
        <w:tc>
          <w:tcPr>
            <w:tcW w:w="1195" w:type="pct"/>
            <w:vAlign w:val="center"/>
          </w:tcPr>
          <w:p>
            <w:pPr>
              <w:pStyle w:val="136"/>
            </w:pPr>
            <w:r>
              <w:rPr>
                <w:rFonts w:hint="eastAsia"/>
              </w:rPr>
              <w:t>网络安全措施</w:t>
            </w:r>
          </w:p>
        </w:tc>
        <w:tc>
          <w:tcPr>
            <w:tcW w:w="1159" w:type="pct"/>
            <w:vAlign w:val="center"/>
          </w:tcPr>
          <w:p>
            <w:pPr>
              <w:pStyle w:val="136"/>
            </w:pPr>
            <w:r>
              <w:rPr>
                <w:rFonts w:hint="eastAsia"/>
              </w:rPr>
              <w:t>按三级网络安全等级标准建设</w:t>
            </w:r>
          </w:p>
        </w:tc>
      </w:tr>
      <w:bookmarkEnd w:id="12"/>
    </w:tbl>
    <w:p/>
    <w:p>
      <w:pPr>
        <w:pStyle w:val="4"/>
      </w:pPr>
      <w:r>
        <w:t>项目子系统（好办快办模块）</w:t>
      </w:r>
    </w:p>
    <w:tbl>
      <w:tblPr>
        <w:tblStyle w:val="3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815"/>
        <w:gridCol w:w="1223"/>
        <w:gridCol w:w="1746"/>
        <w:gridCol w:w="2038"/>
        <w:gridCol w:w="19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427" w:type="pct"/>
            <w:shd w:val="clear" w:color="auto" w:fill="7F7F7F" w:themeFill="background1" w:themeFillShade="80"/>
            <w:vAlign w:val="center"/>
          </w:tcPr>
          <w:p>
            <w:pPr>
              <w:pStyle w:val="136"/>
              <w:jc w:val="both"/>
              <w:rPr>
                <w:b/>
                <w:bCs/>
              </w:rPr>
            </w:pPr>
            <w:r>
              <w:rPr>
                <w:rFonts w:hint="eastAsia"/>
                <w:b/>
                <w:bCs/>
              </w:rPr>
              <w:t>序号</w:t>
            </w:r>
          </w:p>
        </w:tc>
        <w:tc>
          <w:tcPr>
            <w:tcW w:w="478" w:type="pct"/>
            <w:shd w:val="clear" w:color="auto" w:fill="7F7F7F" w:themeFill="background1" w:themeFillShade="80"/>
            <w:vAlign w:val="center"/>
          </w:tcPr>
          <w:p>
            <w:pPr>
              <w:pStyle w:val="136"/>
              <w:jc w:val="both"/>
              <w:rPr>
                <w:b/>
                <w:bCs/>
              </w:rPr>
            </w:pPr>
            <w:r>
              <w:rPr>
                <w:rFonts w:hint="eastAsia"/>
                <w:b/>
                <w:bCs/>
              </w:rPr>
              <w:t>一级指标</w:t>
            </w:r>
          </w:p>
        </w:tc>
        <w:tc>
          <w:tcPr>
            <w:tcW w:w="717" w:type="pct"/>
            <w:shd w:val="clear" w:color="auto" w:fill="7F7F7F" w:themeFill="background1" w:themeFillShade="80"/>
            <w:vAlign w:val="center"/>
          </w:tcPr>
          <w:p>
            <w:pPr>
              <w:pStyle w:val="136"/>
              <w:jc w:val="both"/>
              <w:rPr>
                <w:b/>
                <w:bCs/>
              </w:rPr>
            </w:pPr>
            <w:r>
              <w:rPr>
                <w:rFonts w:hint="eastAsia"/>
                <w:b/>
                <w:bCs/>
              </w:rPr>
              <w:t>二级指标</w:t>
            </w:r>
          </w:p>
        </w:tc>
        <w:tc>
          <w:tcPr>
            <w:tcW w:w="1024" w:type="pct"/>
            <w:shd w:val="clear" w:color="auto" w:fill="7F7F7F" w:themeFill="background1" w:themeFillShade="80"/>
            <w:vAlign w:val="center"/>
          </w:tcPr>
          <w:p>
            <w:pPr>
              <w:pStyle w:val="136"/>
              <w:ind w:firstLine="482"/>
              <w:rPr>
                <w:b/>
                <w:bCs/>
              </w:rPr>
            </w:pPr>
            <w:r>
              <w:rPr>
                <w:rFonts w:hint="eastAsia"/>
                <w:b/>
                <w:bCs/>
              </w:rPr>
              <w:t>三级指标</w:t>
            </w:r>
          </w:p>
        </w:tc>
        <w:tc>
          <w:tcPr>
            <w:tcW w:w="1195" w:type="pct"/>
            <w:shd w:val="clear" w:color="auto" w:fill="7F7F7F" w:themeFill="background1" w:themeFillShade="80"/>
            <w:vAlign w:val="center"/>
          </w:tcPr>
          <w:p>
            <w:pPr>
              <w:pStyle w:val="136"/>
              <w:ind w:firstLine="482"/>
              <w:rPr>
                <w:b/>
                <w:bCs/>
              </w:rPr>
            </w:pPr>
            <w:r>
              <w:rPr>
                <w:rFonts w:hint="eastAsia"/>
                <w:b/>
                <w:bCs/>
              </w:rPr>
              <w:t>四级指标</w:t>
            </w:r>
          </w:p>
        </w:tc>
        <w:tc>
          <w:tcPr>
            <w:tcW w:w="1159" w:type="pct"/>
            <w:shd w:val="clear" w:color="auto" w:fill="7F7F7F" w:themeFill="background1" w:themeFillShade="80"/>
            <w:vAlign w:val="center"/>
          </w:tcPr>
          <w:p>
            <w:pPr>
              <w:pStyle w:val="136"/>
              <w:ind w:firstLine="482"/>
              <w:rPr>
                <w:b/>
                <w:bCs/>
              </w:rPr>
            </w:pPr>
            <w:r>
              <w:rPr>
                <w:rFonts w:hint="eastAsia"/>
                <w:b/>
                <w:bCs/>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vAlign w:val="center"/>
          </w:tcPr>
          <w:p>
            <w:pPr>
              <w:pStyle w:val="136"/>
            </w:pPr>
            <w:r>
              <w:t>1</w:t>
            </w:r>
          </w:p>
        </w:tc>
        <w:tc>
          <w:tcPr>
            <w:tcW w:w="478" w:type="pct"/>
            <w:vAlign w:val="center"/>
          </w:tcPr>
          <w:p>
            <w:pPr>
              <w:pStyle w:val="136"/>
            </w:pPr>
            <w:r>
              <w:rPr>
                <w:rFonts w:hint="eastAsia"/>
              </w:rPr>
              <w:t>通用指标</w:t>
            </w:r>
          </w:p>
        </w:tc>
        <w:tc>
          <w:tcPr>
            <w:tcW w:w="717" w:type="pct"/>
            <w:vAlign w:val="center"/>
          </w:tcPr>
          <w:p>
            <w:pPr>
              <w:pStyle w:val="136"/>
            </w:pPr>
            <w:r>
              <w:rPr>
                <w:rFonts w:hint="eastAsia"/>
              </w:rPr>
              <w:t>产出指标</w:t>
            </w:r>
          </w:p>
        </w:tc>
        <w:tc>
          <w:tcPr>
            <w:tcW w:w="1024" w:type="pct"/>
            <w:vAlign w:val="center"/>
          </w:tcPr>
          <w:p>
            <w:pPr>
              <w:pStyle w:val="136"/>
            </w:pPr>
            <w:r>
              <w:rPr>
                <w:rFonts w:hint="eastAsia"/>
              </w:rPr>
              <w:t>产出质量</w:t>
            </w:r>
          </w:p>
        </w:tc>
        <w:tc>
          <w:tcPr>
            <w:tcW w:w="1195" w:type="pct"/>
            <w:vAlign w:val="center"/>
          </w:tcPr>
          <w:p>
            <w:pPr>
              <w:pStyle w:val="136"/>
            </w:pPr>
            <w:r>
              <w:rPr>
                <w:rFonts w:hint="eastAsia"/>
              </w:rPr>
              <w:t>一次性验收合格率</w:t>
            </w:r>
          </w:p>
        </w:tc>
        <w:tc>
          <w:tcPr>
            <w:tcW w:w="1159" w:type="pct"/>
            <w:vAlign w:val="center"/>
          </w:tcPr>
          <w:p>
            <w:pPr>
              <w:pStyle w:val="136"/>
            </w:pPr>
            <w:r>
              <w:rPr>
                <w:rFonts w:hint="eastAsia"/>
              </w:rPr>
              <w:t>≥95%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2" w:hRule="atLeast"/>
          <w:jc w:val="center"/>
        </w:trPr>
        <w:tc>
          <w:tcPr>
            <w:tcW w:w="427" w:type="pct"/>
            <w:vAlign w:val="center"/>
          </w:tcPr>
          <w:p>
            <w:pPr>
              <w:pStyle w:val="136"/>
            </w:pPr>
            <w:r>
              <w:rPr>
                <w:rFonts w:hint="eastAsia"/>
              </w:rPr>
              <w:t>2</w:t>
            </w:r>
          </w:p>
        </w:tc>
        <w:tc>
          <w:tcPr>
            <w:tcW w:w="478" w:type="pct"/>
          </w:tcPr>
          <w:p>
            <w:pPr>
              <w:pStyle w:val="136"/>
            </w:pPr>
            <w:r>
              <w:rPr>
                <w:rFonts w:hint="eastAsia"/>
              </w:rPr>
              <w:t>通用指标</w:t>
            </w:r>
          </w:p>
        </w:tc>
        <w:tc>
          <w:tcPr>
            <w:tcW w:w="717" w:type="pct"/>
            <w:vAlign w:val="center"/>
          </w:tcPr>
          <w:p>
            <w:pPr>
              <w:pStyle w:val="136"/>
            </w:pPr>
            <w:r>
              <w:rPr>
                <w:rFonts w:hint="eastAsia"/>
              </w:rPr>
              <w:t>产出指标</w:t>
            </w:r>
          </w:p>
        </w:tc>
        <w:tc>
          <w:tcPr>
            <w:tcW w:w="1024" w:type="pct"/>
            <w:vAlign w:val="center"/>
          </w:tcPr>
          <w:p>
            <w:pPr>
              <w:pStyle w:val="136"/>
            </w:pPr>
            <w:r>
              <w:rPr>
                <w:rFonts w:hint="eastAsia"/>
              </w:rPr>
              <w:t>产出质量</w:t>
            </w:r>
          </w:p>
        </w:tc>
        <w:tc>
          <w:tcPr>
            <w:tcW w:w="1195" w:type="pct"/>
            <w:vAlign w:val="center"/>
          </w:tcPr>
          <w:p>
            <w:pPr>
              <w:pStyle w:val="136"/>
            </w:pPr>
            <w:r>
              <w:rPr>
                <w:rFonts w:hint="eastAsia"/>
              </w:rPr>
              <w:t>安全事件发生次数</w:t>
            </w:r>
          </w:p>
        </w:tc>
        <w:tc>
          <w:tcPr>
            <w:tcW w:w="1159" w:type="pct"/>
            <w:vAlign w:val="center"/>
          </w:tcPr>
          <w:p>
            <w:pPr>
              <w:pStyle w:val="136"/>
            </w:pPr>
            <w:r>
              <w:rPr>
                <w:rFonts w:hint="eastAsia"/>
              </w:rPr>
              <w:t>≤</w:t>
            </w:r>
            <w:r>
              <w:t>3次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vAlign w:val="center"/>
          </w:tcPr>
          <w:p>
            <w:pPr>
              <w:pStyle w:val="136"/>
            </w:pPr>
            <w:r>
              <w:rPr>
                <w:rFonts w:hint="eastAsia"/>
              </w:rPr>
              <w:t>3</w:t>
            </w:r>
          </w:p>
        </w:tc>
        <w:tc>
          <w:tcPr>
            <w:tcW w:w="478" w:type="pct"/>
          </w:tcPr>
          <w:p>
            <w:pPr>
              <w:pStyle w:val="136"/>
            </w:pPr>
            <w:r>
              <w:rPr>
                <w:rFonts w:hint="eastAsia"/>
              </w:rPr>
              <w:t>通用指标</w:t>
            </w:r>
          </w:p>
        </w:tc>
        <w:tc>
          <w:tcPr>
            <w:tcW w:w="717" w:type="pct"/>
            <w:vAlign w:val="center"/>
          </w:tcPr>
          <w:p>
            <w:pPr>
              <w:pStyle w:val="136"/>
            </w:pPr>
            <w:r>
              <w:rPr>
                <w:rFonts w:hint="eastAsia"/>
              </w:rPr>
              <w:t>产出指标</w:t>
            </w:r>
          </w:p>
        </w:tc>
        <w:tc>
          <w:tcPr>
            <w:tcW w:w="1024" w:type="pct"/>
            <w:vAlign w:val="center"/>
          </w:tcPr>
          <w:p>
            <w:pPr>
              <w:pStyle w:val="136"/>
            </w:pPr>
            <w:r>
              <w:rPr>
                <w:rFonts w:hint="eastAsia"/>
              </w:rPr>
              <w:t>产出时效</w:t>
            </w:r>
          </w:p>
        </w:tc>
        <w:tc>
          <w:tcPr>
            <w:tcW w:w="1195" w:type="pct"/>
            <w:vAlign w:val="center"/>
          </w:tcPr>
          <w:p>
            <w:pPr>
              <w:pStyle w:val="136"/>
            </w:pPr>
            <w:r>
              <w:rPr>
                <w:rFonts w:hint="eastAsia"/>
              </w:rPr>
              <w:t>项目建设周期</w:t>
            </w:r>
          </w:p>
        </w:tc>
        <w:tc>
          <w:tcPr>
            <w:tcW w:w="1159" w:type="pct"/>
            <w:vAlign w:val="center"/>
          </w:tcPr>
          <w:p>
            <w:pPr>
              <w:pStyle w:val="136"/>
            </w:pPr>
            <w:r>
              <w:rPr>
                <w:rFonts w:hint="eastAsia"/>
              </w:rPr>
              <w:t>≤</w:t>
            </w:r>
            <w:r>
              <w:t>7</w:t>
            </w:r>
            <w:r>
              <w:rPr>
                <w:rFonts w:hint="eastAsia"/>
              </w:rPr>
              <w:t>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vAlign w:val="center"/>
          </w:tcPr>
          <w:p>
            <w:pPr>
              <w:pStyle w:val="136"/>
            </w:pPr>
            <w:r>
              <w:rPr>
                <w:rFonts w:hint="eastAsia"/>
              </w:rPr>
              <w:t>4</w:t>
            </w:r>
          </w:p>
        </w:tc>
        <w:tc>
          <w:tcPr>
            <w:tcW w:w="478" w:type="pct"/>
          </w:tcPr>
          <w:p>
            <w:pPr>
              <w:pStyle w:val="136"/>
            </w:pPr>
            <w:r>
              <w:rPr>
                <w:rFonts w:hint="eastAsia"/>
              </w:rPr>
              <w:t>通用指标</w:t>
            </w:r>
          </w:p>
        </w:tc>
        <w:tc>
          <w:tcPr>
            <w:tcW w:w="717" w:type="pct"/>
            <w:vAlign w:val="center"/>
          </w:tcPr>
          <w:p>
            <w:pPr>
              <w:pStyle w:val="136"/>
            </w:pPr>
            <w:r>
              <w:rPr>
                <w:rFonts w:hint="eastAsia"/>
              </w:rPr>
              <w:t>安全体系</w:t>
            </w:r>
          </w:p>
        </w:tc>
        <w:tc>
          <w:tcPr>
            <w:tcW w:w="1024" w:type="pct"/>
            <w:vAlign w:val="center"/>
          </w:tcPr>
          <w:p>
            <w:pPr>
              <w:pStyle w:val="136"/>
            </w:pPr>
            <w:r>
              <w:rPr>
                <w:rFonts w:hint="eastAsia"/>
              </w:rPr>
              <w:t>安全建设水平</w:t>
            </w:r>
          </w:p>
        </w:tc>
        <w:tc>
          <w:tcPr>
            <w:tcW w:w="1195" w:type="pct"/>
            <w:vAlign w:val="center"/>
          </w:tcPr>
          <w:p>
            <w:pPr>
              <w:pStyle w:val="136"/>
            </w:pPr>
            <w:r>
              <w:rPr>
                <w:rFonts w:hint="eastAsia"/>
              </w:rPr>
              <w:t>网络安全措施</w:t>
            </w:r>
          </w:p>
        </w:tc>
        <w:tc>
          <w:tcPr>
            <w:tcW w:w="1159" w:type="pct"/>
            <w:vAlign w:val="center"/>
          </w:tcPr>
          <w:p>
            <w:pPr>
              <w:pStyle w:val="136"/>
            </w:pPr>
            <w:r>
              <w:rPr>
                <w:rFonts w:hint="eastAsia"/>
              </w:rPr>
              <w:t>按三级网络安全等级标准建设</w:t>
            </w:r>
          </w:p>
        </w:tc>
      </w:tr>
    </w:tbl>
    <w:p>
      <w:pPr>
        <w:rPr>
          <w:bCs/>
        </w:rPr>
      </w:pPr>
    </w:p>
    <w:p>
      <w:pPr>
        <w:pStyle w:val="3"/>
        <w:ind w:left="567"/>
      </w:pPr>
      <w:r>
        <w:rPr>
          <w:rFonts w:hint="eastAsia"/>
        </w:rPr>
        <w:t xml:space="preserve"> 技术目标</w:t>
      </w:r>
    </w:p>
    <w:p>
      <w:pPr>
        <w:pStyle w:val="4"/>
      </w:pPr>
      <w:r>
        <w:rPr>
          <w:rFonts w:hint="eastAsia"/>
        </w:rPr>
        <w:t>自然资源登记便民利民信息服务平台</w:t>
      </w:r>
    </w:p>
    <w:tbl>
      <w:tblPr>
        <w:tblStyle w:val="36"/>
        <w:tblW w:w="50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43"/>
        <w:gridCol w:w="679"/>
        <w:gridCol w:w="715"/>
        <w:gridCol w:w="1144"/>
        <w:gridCol w:w="2842"/>
        <w:gridCol w:w="279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tblHeader/>
          <w:jc w:val="center"/>
        </w:trPr>
        <w:tc>
          <w:tcPr>
            <w:tcW w:w="257" w:type="pct"/>
            <w:shd w:val="clear" w:color="auto" w:fill="7F7F7F" w:themeFill="background1" w:themeFillShade="80"/>
            <w:vAlign w:val="center"/>
          </w:tcPr>
          <w:p>
            <w:pPr>
              <w:pStyle w:val="136"/>
              <w:jc w:val="both"/>
              <w:rPr>
                <w:b/>
                <w:bCs/>
              </w:rPr>
            </w:pPr>
            <w:bookmarkStart w:id="13" w:name="_Hlk173242454"/>
            <w:r>
              <w:rPr>
                <w:rFonts w:hint="eastAsia"/>
                <w:b/>
                <w:bCs/>
              </w:rPr>
              <w:t>序号</w:t>
            </w:r>
          </w:p>
        </w:tc>
        <w:tc>
          <w:tcPr>
            <w:tcW w:w="394" w:type="pct"/>
            <w:shd w:val="clear" w:color="auto" w:fill="7F7F7F" w:themeFill="background1" w:themeFillShade="80"/>
            <w:vAlign w:val="center"/>
          </w:tcPr>
          <w:p>
            <w:pPr>
              <w:pStyle w:val="136"/>
              <w:jc w:val="both"/>
              <w:rPr>
                <w:b/>
                <w:bCs/>
              </w:rPr>
            </w:pPr>
            <w:r>
              <w:rPr>
                <w:rFonts w:hint="eastAsia"/>
                <w:b/>
                <w:bCs/>
              </w:rPr>
              <w:t>一级指标</w:t>
            </w:r>
          </w:p>
        </w:tc>
        <w:tc>
          <w:tcPr>
            <w:tcW w:w="415" w:type="pct"/>
            <w:shd w:val="clear" w:color="auto" w:fill="7F7F7F" w:themeFill="background1" w:themeFillShade="80"/>
            <w:vAlign w:val="center"/>
          </w:tcPr>
          <w:p>
            <w:pPr>
              <w:pStyle w:val="136"/>
              <w:jc w:val="both"/>
              <w:rPr>
                <w:b/>
                <w:bCs/>
              </w:rPr>
            </w:pPr>
            <w:r>
              <w:rPr>
                <w:rFonts w:hint="eastAsia"/>
                <w:b/>
                <w:bCs/>
              </w:rPr>
              <w:t>二级指标</w:t>
            </w:r>
          </w:p>
        </w:tc>
        <w:tc>
          <w:tcPr>
            <w:tcW w:w="664" w:type="pct"/>
            <w:shd w:val="clear" w:color="auto" w:fill="7F7F7F" w:themeFill="background1" w:themeFillShade="80"/>
            <w:vAlign w:val="center"/>
          </w:tcPr>
          <w:p>
            <w:pPr>
              <w:pStyle w:val="136"/>
              <w:jc w:val="both"/>
              <w:rPr>
                <w:b/>
                <w:bCs/>
              </w:rPr>
            </w:pPr>
            <w:r>
              <w:rPr>
                <w:rFonts w:hint="eastAsia"/>
                <w:b/>
                <w:bCs/>
              </w:rPr>
              <w:t>三级指标</w:t>
            </w:r>
          </w:p>
        </w:tc>
        <w:tc>
          <w:tcPr>
            <w:tcW w:w="1649" w:type="pct"/>
            <w:shd w:val="clear" w:color="auto" w:fill="7F7F7F" w:themeFill="background1" w:themeFillShade="80"/>
            <w:vAlign w:val="center"/>
          </w:tcPr>
          <w:p>
            <w:pPr>
              <w:pStyle w:val="136"/>
              <w:ind w:firstLine="482"/>
              <w:rPr>
                <w:b/>
                <w:bCs/>
              </w:rPr>
            </w:pPr>
            <w:r>
              <w:rPr>
                <w:rFonts w:hint="eastAsia"/>
                <w:b/>
                <w:bCs/>
              </w:rPr>
              <w:t>四级指标</w:t>
            </w:r>
          </w:p>
        </w:tc>
        <w:tc>
          <w:tcPr>
            <w:tcW w:w="1621" w:type="pct"/>
            <w:shd w:val="clear" w:color="auto" w:fill="7F7F7F" w:themeFill="background1" w:themeFillShade="80"/>
            <w:vAlign w:val="center"/>
          </w:tcPr>
          <w:p>
            <w:pPr>
              <w:pStyle w:val="136"/>
              <w:ind w:firstLine="482"/>
              <w:rPr>
                <w:b/>
                <w:bCs/>
              </w:rPr>
            </w:pPr>
            <w:r>
              <w:rPr>
                <w:rFonts w:hint="eastAsia"/>
                <w:b/>
                <w:bCs/>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eastAsia="等线"/>
              </w:rPr>
              <w:t>1</w:t>
            </w:r>
          </w:p>
        </w:tc>
        <w:tc>
          <w:tcPr>
            <w:tcW w:w="394" w:type="pct"/>
            <w:vMerge w:val="restart"/>
            <w:vAlign w:val="center"/>
          </w:tcPr>
          <w:p>
            <w:pPr>
              <w:pStyle w:val="136"/>
            </w:pPr>
            <w:r>
              <w:rPr>
                <w:rFonts w:hint="eastAsia"/>
              </w:rPr>
              <w:t>通用指标</w:t>
            </w:r>
          </w:p>
        </w:tc>
        <w:tc>
          <w:tcPr>
            <w:tcW w:w="415" w:type="pct"/>
            <w:vMerge w:val="restart"/>
            <w:vAlign w:val="center"/>
          </w:tcPr>
          <w:p>
            <w:pPr>
              <w:pStyle w:val="136"/>
            </w:pPr>
            <w:r>
              <w:rPr>
                <w:rFonts w:hint="eastAsia"/>
              </w:rPr>
              <w:t>产出指标</w:t>
            </w:r>
          </w:p>
        </w:tc>
        <w:tc>
          <w:tcPr>
            <w:tcW w:w="664" w:type="pct"/>
            <w:vAlign w:val="center"/>
          </w:tcPr>
          <w:p>
            <w:pPr>
              <w:pStyle w:val="136"/>
            </w:pPr>
            <w:r>
              <w:rPr>
                <w:rFonts w:hint="eastAsia"/>
              </w:rPr>
              <w:t>产出数量</w:t>
            </w:r>
          </w:p>
        </w:tc>
        <w:tc>
          <w:tcPr>
            <w:tcW w:w="1649" w:type="pct"/>
            <w:vAlign w:val="center"/>
          </w:tcPr>
          <w:p>
            <w:pPr>
              <w:pStyle w:val="136"/>
            </w:pPr>
            <w:r>
              <w:rPr>
                <w:rFonts w:hint="eastAsia"/>
              </w:rPr>
              <w:t>软件开发完成率</w:t>
            </w:r>
          </w:p>
        </w:tc>
        <w:tc>
          <w:tcPr>
            <w:tcW w:w="1621" w:type="pct"/>
            <w:vAlign w:val="center"/>
          </w:tcPr>
          <w:p>
            <w:pPr>
              <w:pStyle w:val="136"/>
            </w:pPr>
            <w:r>
              <w:rPr>
                <w:rFonts w:hint="eastAsia"/>
              </w:rPr>
              <w:t>≥95%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2</w:t>
            </w:r>
          </w:p>
        </w:tc>
        <w:tc>
          <w:tcPr>
            <w:tcW w:w="394" w:type="pct"/>
            <w:vMerge w:val="continue"/>
            <w:vAlign w:val="center"/>
          </w:tcPr>
          <w:p>
            <w:pPr>
              <w:pStyle w:val="136"/>
            </w:pPr>
          </w:p>
        </w:tc>
        <w:tc>
          <w:tcPr>
            <w:tcW w:w="415" w:type="pct"/>
            <w:vMerge w:val="continue"/>
            <w:vAlign w:val="center"/>
          </w:tcPr>
          <w:p>
            <w:pPr>
              <w:pStyle w:val="136"/>
            </w:pPr>
          </w:p>
        </w:tc>
        <w:tc>
          <w:tcPr>
            <w:tcW w:w="664" w:type="pct"/>
            <w:vMerge w:val="restart"/>
            <w:vAlign w:val="center"/>
          </w:tcPr>
          <w:p>
            <w:pPr>
              <w:pStyle w:val="136"/>
            </w:pPr>
            <w:r>
              <w:rPr>
                <w:rFonts w:hint="eastAsia"/>
              </w:rPr>
              <w:t>产出质量</w:t>
            </w:r>
          </w:p>
        </w:tc>
        <w:tc>
          <w:tcPr>
            <w:tcW w:w="1649" w:type="pct"/>
            <w:vAlign w:val="center"/>
          </w:tcPr>
          <w:p>
            <w:pPr>
              <w:pStyle w:val="136"/>
            </w:pPr>
            <w:r>
              <w:rPr>
                <w:rFonts w:hint="eastAsia"/>
              </w:rPr>
              <w:t>系统可靠性</w:t>
            </w:r>
          </w:p>
        </w:tc>
        <w:tc>
          <w:tcPr>
            <w:tcW w:w="1621" w:type="pct"/>
            <w:vAlign w:val="center"/>
          </w:tcPr>
          <w:p>
            <w:pPr>
              <w:pStyle w:val="136"/>
            </w:pPr>
            <w:r>
              <w:rPr>
                <w:rFonts w:hint="eastAsia"/>
              </w:rPr>
              <w:t>系统不间断运行率≥95%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3</w:t>
            </w:r>
          </w:p>
        </w:tc>
        <w:tc>
          <w:tcPr>
            <w:tcW w:w="394" w:type="pct"/>
            <w:vMerge w:val="continue"/>
            <w:vAlign w:val="center"/>
          </w:tcPr>
          <w:p>
            <w:pPr>
              <w:pStyle w:val="136"/>
            </w:pPr>
          </w:p>
        </w:tc>
        <w:tc>
          <w:tcPr>
            <w:tcW w:w="415" w:type="pct"/>
            <w:vMerge w:val="continue"/>
            <w:vAlign w:val="center"/>
          </w:tcPr>
          <w:p>
            <w:pPr>
              <w:pStyle w:val="136"/>
            </w:pPr>
          </w:p>
        </w:tc>
        <w:tc>
          <w:tcPr>
            <w:tcW w:w="664" w:type="pct"/>
            <w:vMerge w:val="continue"/>
            <w:vAlign w:val="center"/>
          </w:tcPr>
          <w:p>
            <w:pPr>
              <w:pStyle w:val="136"/>
            </w:pPr>
          </w:p>
        </w:tc>
        <w:tc>
          <w:tcPr>
            <w:tcW w:w="1649" w:type="pct"/>
            <w:vAlign w:val="center"/>
          </w:tcPr>
          <w:p>
            <w:pPr>
              <w:pStyle w:val="136"/>
            </w:pPr>
            <w:r>
              <w:rPr>
                <w:rFonts w:hint="eastAsia"/>
              </w:rPr>
              <w:t>软件测试达标</w:t>
            </w:r>
          </w:p>
        </w:tc>
        <w:tc>
          <w:tcPr>
            <w:tcW w:w="1621" w:type="pct"/>
            <w:vAlign w:val="center"/>
          </w:tcPr>
          <w:p>
            <w:pPr>
              <w:pStyle w:val="136"/>
            </w:pPr>
            <w:r>
              <w:rPr>
                <w:rFonts w:hint="eastAsia"/>
              </w:rPr>
              <w:t>软件测试达标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4</w:t>
            </w:r>
          </w:p>
        </w:tc>
        <w:tc>
          <w:tcPr>
            <w:tcW w:w="394" w:type="pct"/>
            <w:vMerge w:val="continue"/>
            <w:vAlign w:val="center"/>
          </w:tcPr>
          <w:p>
            <w:pPr>
              <w:pStyle w:val="136"/>
            </w:pPr>
          </w:p>
        </w:tc>
        <w:tc>
          <w:tcPr>
            <w:tcW w:w="415" w:type="pct"/>
            <w:vMerge w:val="continue"/>
            <w:vAlign w:val="center"/>
          </w:tcPr>
          <w:p>
            <w:pPr>
              <w:pStyle w:val="136"/>
            </w:pPr>
          </w:p>
        </w:tc>
        <w:tc>
          <w:tcPr>
            <w:tcW w:w="664" w:type="pct"/>
            <w:vMerge w:val="continue"/>
            <w:vAlign w:val="center"/>
          </w:tcPr>
          <w:p>
            <w:pPr>
              <w:pStyle w:val="136"/>
            </w:pPr>
          </w:p>
        </w:tc>
        <w:tc>
          <w:tcPr>
            <w:tcW w:w="1649" w:type="pct"/>
            <w:vAlign w:val="center"/>
          </w:tcPr>
          <w:p>
            <w:pPr>
              <w:pStyle w:val="136"/>
            </w:pPr>
            <w:r>
              <w:rPr>
                <w:rFonts w:hint="eastAsia"/>
              </w:rPr>
              <w:t>密码测试达标</w:t>
            </w:r>
          </w:p>
        </w:tc>
        <w:tc>
          <w:tcPr>
            <w:tcW w:w="1621" w:type="pct"/>
            <w:vAlign w:val="center"/>
          </w:tcPr>
          <w:p>
            <w:pPr>
              <w:pStyle w:val="136"/>
            </w:pPr>
            <w:r>
              <w:rPr>
                <w:rFonts w:hint="eastAsia"/>
              </w:rPr>
              <w:t>密码测试达标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5</w:t>
            </w:r>
          </w:p>
        </w:tc>
        <w:tc>
          <w:tcPr>
            <w:tcW w:w="394" w:type="pct"/>
            <w:vMerge w:val="continue"/>
            <w:vAlign w:val="center"/>
          </w:tcPr>
          <w:p>
            <w:pPr>
              <w:pStyle w:val="136"/>
            </w:pPr>
          </w:p>
        </w:tc>
        <w:tc>
          <w:tcPr>
            <w:tcW w:w="415" w:type="pct"/>
            <w:vMerge w:val="continue"/>
            <w:vAlign w:val="center"/>
          </w:tcPr>
          <w:p>
            <w:pPr>
              <w:pStyle w:val="136"/>
            </w:pPr>
          </w:p>
        </w:tc>
        <w:tc>
          <w:tcPr>
            <w:tcW w:w="664" w:type="pct"/>
            <w:vMerge w:val="continue"/>
            <w:vAlign w:val="center"/>
          </w:tcPr>
          <w:p>
            <w:pPr>
              <w:pStyle w:val="136"/>
            </w:pPr>
          </w:p>
        </w:tc>
        <w:tc>
          <w:tcPr>
            <w:tcW w:w="1649" w:type="pct"/>
            <w:vAlign w:val="center"/>
          </w:tcPr>
          <w:p>
            <w:pPr>
              <w:pStyle w:val="136"/>
              <w:rPr>
                <w:rFonts w:eastAsia="等线"/>
              </w:rPr>
            </w:pPr>
            <w:r>
              <w:rPr>
                <w:rFonts w:hint="eastAsia"/>
              </w:rPr>
              <w:t>网络安全等级达标</w:t>
            </w:r>
          </w:p>
        </w:tc>
        <w:tc>
          <w:tcPr>
            <w:tcW w:w="1621" w:type="pct"/>
            <w:vAlign w:val="center"/>
          </w:tcPr>
          <w:p>
            <w:pPr>
              <w:pStyle w:val="136"/>
              <w:rPr>
                <w:rFonts w:eastAsia="等线"/>
              </w:rPr>
            </w:pPr>
            <w:r>
              <w:rPr>
                <w:rFonts w:hint="eastAsia"/>
              </w:rPr>
              <w:t>网络安全等级达标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6</w:t>
            </w:r>
          </w:p>
        </w:tc>
        <w:tc>
          <w:tcPr>
            <w:tcW w:w="394" w:type="pct"/>
            <w:vMerge w:val="continue"/>
            <w:vAlign w:val="center"/>
          </w:tcPr>
          <w:p>
            <w:pPr>
              <w:pStyle w:val="136"/>
            </w:pPr>
          </w:p>
        </w:tc>
        <w:tc>
          <w:tcPr>
            <w:tcW w:w="415" w:type="pct"/>
            <w:vMerge w:val="continue"/>
            <w:vAlign w:val="center"/>
          </w:tcPr>
          <w:p>
            <w:pPr>
              <w:pStyle w:val="136"/>
            </w:pPr>
          </w:p>
        </w:tc>
        <w:tc>
          <w:tcPr>
            <w:tcW w:w="664" w:type="pct"/>
            <w:vMerge w:val="continue"/>
            <w:vAlign w:val="center"/>
          </w:tcPr>
          <w:p>
            <w:pPr>
              <w:pStyle w:val="136"/>
            </w:pPr>
          </w:p>
        </w:tc>
        <w:tc>
          <w:tcPr>
            <w:tcW w:w="1649" w:type="pct"/>
            <w:vAlign w:val="center"/>
          </w:tcPr>
          <w:p>
            <w:pPr>
              <w:pStyle w:val="136"/>
            </w:pPr>
            <w:r>
              <w:rPr>
                <w:rFonts w:hint="eastAsia"/>
              </w:rPr>
              <w:t>安全测试达标</w:t>
            </w:r>
          </w:p>
        </w:tc>
        <w:tc>
          <w:tcPr>
            <w:tcW w:w="1621" w:type="pct"/>
            <w:vAlign w:val="center"/>
          </w:tcPr>
          <w:p>
            <w:pPr>
              <w:pStyle w:val="136"/>
            </w:pPr>
            <w:r>
              <w:rPr>
                <w:rFonts w:hint="eastAsia"/>
              </w:rPr>
              <w:t>安全测试达标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7</w:t>
            </w:r>
          </w:p>
        </w:tc>
        <w:tc>
          <w:tcPr>
            <w:tcW w:w="394" w:type="pct"/>
            <w:vMerge w:val="continue"/>
            <w:vAlign w:val="center"/>
          </w:tcPr>
          <w:p>
            <w:pPr>
              <w:pStyle w:val="136"/>
            </w:pPr>
          </w:p>
        </w:tc>
        <w:tc>
          <w:tcPr>
            <w:tcW w:w="415" w:type="pct"/>
            <w:vMerge w:val="restart"/>
            <w:vAlign w:val="center"/>
          </w:tcPr>
          <w:p>
            <w:pPr>
              <w:pStyle w:val="136"/>
              <w:rPr>
                <w:rFonts w:cs="Calibri"/>
              </w:rPr>
            </w:pPr>
            <w:r>
              <w:rPr>
                <w:rFonts w:hint="eastAsia"/>
              </w:rPr>
              <w:t>安全体系</w:t>
            </w:r>
          </w:p>
        </w:tc>
        <w:tc>
          <w:tcPr>
            <w:tcW w:w="664" w:type="pct"/>
            <w:vMerge w:val="restart"/>
            <w:vAlign w:val="center"/>
          </w:tcPr>
          <w:p>
            <w:pPr>
              <w:pStyle w:val="136"/>
              <w:rPr>
                <w:rFonts w:cs="Calibri"/>
              </w:rPr>
            </w:pPr>
            <w:r>
              <w:rPr>
                <w:rFonts w:hint="eastAsia"/>
              </w:rPr>
              <w:t>安全建设水平</w:t>
            </w:r>
          </w:p>
        </w:tc>
        <w:tc>
          <w:tcPr>
            <w:tcW w:w="1649" w:type="pct"/>
            <w:vAlign w:val="center"/>
          </w:tcPr>
          <w:p>
            <w:pPr>
              <w:pStyle w:val="136"/>
            </w:pPr>
            <w:r>
              <w:rPr>
                <w:rFonts w:hint="eastAsia"/>
              </w:rPr>
              <w:t>信息系统安全监管覆盖率</w:t>
            </w:r>
          </w:p>
        </w:tc>
        <w:tc>
          <w:tcPr>
            <w:tcW w:w="1621" w:type="pct"/>
            <w:vAlign w:val="center"/>
          </w:tcPr>
          <w:p>
            <w:pPr>
              <w:pStyle w:val="136"/>
            </w:pPr>
            <w:r>
              <w:rPr>
                <w:rFonts w:hint="eastAsia"/>
              </w:rPr>
              <w:t>≥95%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8</w:t>
            </w:r>
          </w:p>
        </w:tc>
        <w:tc>
          <w:tcPr>
            <w:tcW w:w="394" w:type="pct"/>
            <w:vMerge w:val="continue"/>
            <w:vAlign w:val="center"/>
          </w:tcPr>
          <w:p>
            <w:pPr>
              <w:pStyle w:val="136"/>
            </w:pPr>
          </w:p>
        </w:tc>
        <w:tc>
          <w:tcPr>
            <w:tcW w:w="415" w:type="pct"/>
            <w:vMerge w:val="continue"/>
            <w:vAlign w:val="center"/>
          </w:tcPr>
          <w:p>
            <w:pPr>
              <w:pStyle w:val="136"/>
            </w:pPr>
          </w:p>
        </w:tc>
        <w:tc>
          <w:tcPr>
            <w:tcW w:w="664" w:type="pct"/>
            <w:vMerge w:val="continue"/>
            <w:vAlign w:val="center"/>
          </w:tcPr>
          <w:p>
            <w:pPr>
              <w:pStyle w:val="136"/>
            </w:pPr>
          </w:p>
        </w:tc>
        <w:tc>
          <w:tcPr>
            <w:tcW w:w="1649" w:type="pct"/>
            <w:vAlign w:val="center"/>
          </w:tcPr>
          <w:p>
            <w:pPr>
              <w:pStyle w:val="136"/>
            </w:pPr>
            <w:r>
              <w:rPr>
                <w:rFonts w:hint="eastAsia"/>
              </w:rPr>
              <w:t>数据风险监测覆盖率</w:t>
            </w:r>
          </w:p>
        </w:tc>
        <w:tc>
          <w:tcPr>
            <w:tcW w:w="1621" w:type="pct"/>
            <w:vAlign w:val="center"/>
          </w:tcPr>
          <w:p>
            <w:pPr>
              <w:pStyle w:val="136"/>
              <w:keepNext/>
            </w:pPr>
            <w:r>
              <w:rPr>
                <w:rFonts w:hint="eastAsia"/>
              </w:rPr>
              <w:t>≥95%</w:t>
            </w:r>
          </w:p>
        </w:tc>
      </w:tr>
      <w:bookmarkEnd w:id="13"/>
    </w:tbl>
    <w:p>
      <w:pPr>
        <w:pStyle w:val="4"/>
      </w:pPr>
      <w:r>
        <w:t>项目子系统（好办快办模块）</w:t>
      </w:r>
    </w:p>
    <w:tbl>
      <w:tblPr>
        <w:tblStyle w:val="36"/>
        <w:tblW w:w="50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43"/>
        <w:gridCol w:w="679"/>
        <w:gridCol w:w="715"/>
        <w:gridCol w:w="1144"/>
        <w:gridCol w:w="2842"/>
        <w:gridCol w:w="279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tblHeader/>
          <w:jc w:val="center"/>
        </w:trPr>
        <w:tc>
          <w:tcPr>
            <w:tcW w:w="257" w:type="pct"/>
            <w:shd w:val="clear" w:color="auto" w:fill="7F7F7F" w:themeFill="background1" w:themeFillShade="80"/>
            <w:vAlign w:val="center"/>
          </w:tcPr>
          <w:p>
            <w:pPr>
              <w:pStyle w:val="136"/>
              <w:jc w:val="both"/>
              <w:rPr>
                <w:b/>
                <w:bCs/>
              </w:rPr>
            </w:pPr>
            <w:r>
              <w:rPr>
                <w:rFonts w:hint="eastAsia"/>
                <w:b/>
                <w:bCs/>
              </w:rPr>
              <w:t>序号</w:t>
            </w:r>
          </w:p>
        </w:tc>
        <w:tc>
          <w:tcPr>
            <w:tcW w:w="394" w:type="pct"/>
            <w:shd w:val="clear" w:color="auto" w:fill="7F7F7F" w:themeFill="background1" w:themeFillShade="80"/>
            <w:vAlign w:val="center"/>
          </w:tcPr>
          <w:p>
            <w:pPr>
              <w:pStyle w:val="136"/>
              <w:jc w:val="both"/>
              <w:rPr>
                <w:b/>
                <w:bCs/>
              </w:rPr>
            </w:pPr>
            <w:r>
              <w:rPr>
                <w:rFonts w:hint="eastAsia"/>
                <w:b/>
                <w:bCs/>
              </w:rPr>
              <w:t>一级指标</w:t>
            </w:r>
          </w:p>
        </w:tc>
        <w:tc>
          <w:tcPr>
            <w:tcW w:w="415" w:type="pct"/>
            <w:shd w:val="clear" w:color="auto" w:fill="7F7F7F" w:themeFill="background1" w:themeFillShade="80"/>
            <w:vAlign w:val="center"/>
          </w:tcPr>
          <w:p>
            <w:pPr>
              <w:pStyle w:val="136"/>
              <w:jc w:val="both"/>
              <w:rPr>
                <w:b/>
                <w:bCs/>
              </w:rPr>
            </w:pPr>
            <w:r>
              <w:rPr>
                <w:rFonts w:hint="eastAsia"/>
                <w:b/>
                <w:bCs/>
              </w:rPr>
              <w:t>二级指标</w:t>
            </w:r>
          </w:p>
        </w:tc>
        <w:tc>
          <w:tcPr>
            <w:tcW w:w="664" w:type="pct"/>
            <w:shd w:val="clear" w:color="auto" w:fill="7F7F7F" w:themeFill="background1" w:themeFillShade="80"/>
            <w:vAlign w:val="center"/>
          </w:tcPr>
          <w:p>
            <w:pPr>
              <w:pStyle w:val="136"/>
              <w:jc w:val="both"/>
              <w:rPr>
                <w:b/>
                <w:bCs/>
              </w:rPr>
            </w:pPr>
            <w:r>
              <w:rPr>
                <w:rFonts w:hint="eastAsia"/>
                <w:b/>
                <w:bCs/>
              </w:rPr>
              <w:t>三级指标</w:t>
            </w:r>
          </w:p>
        </w:tc>
        <w:tc>
          <w:tcPr>
            <w:tcW w:w="1649" w:type="pct"/>
            <w:shd w:val="clear" w:color="auto" w:fill="7F7F7F" w:themeFill="background1" w:themeFillShade="80"/>
            <w:vAlign w:val="center"/>
          </w:tcPr>
          <w:p>
            <w:pPr>
              <w:pStyle w:val="136"/>
              <w:ind w:firstLine="482"/>
              <w:rPr>
                <w:b/>
                <w:bCs/>
              </w:rPr>
            </w:pPr>
            <w:r>
              <w:rPr>
                <w:rFonts w:hint="eastAsia"/>
                <w:b/>
                <w:bCs/>
              </w:rPr>
              <w:t>四级指标</w:t>
            </w:r>
          </w:p>
        </w:tc>
        <w:tc>
          <w:tcPr>
            <w:tcW w:w="1621" w:type="pct"/>
            <w:shd w:val="clear" w:color="auto" w:fill="7F7F7F" w:themeFill="background1" w:themeFillShade="80"/>
            <w:vAlign w:val="center"/>
          </w:tcPr>
          <w:p>
            <w:pPr>
              <w:pStyle w:val="136"/>
              <w:ind w:firstLine="482"/>
              <w:rPr>
                <w:b/>
                <w:bCs/>
              </w:rPr>
            </w:pPr>
            <w:r>
              <w:rPr>
                <w:rFonts w:hint="eastAsia"/>
                <w:b/>
                <w:bCs/>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eastAsia="等线"/>
              </w:rPr>
              <w:t>1</w:t>
            </w:r>
          </w:p>
        </w:tc>
        <w:tc>
          <w:tcPr>
            <w:tcW w:w="394" w:type="pct"/>
            <w:vMerge w:val="restart"/>
            <w:vAlign w:val="center"/>
          </w:tcPr>
          <w:p>
            <w:pPr>
              <w:pStyle w:val="136"/>
            </w:pPr>
            <w:r>
              <w:rPr>
                <w:rFonts w:hint="eastAsia"/>
              </w:rPr>
              <w:t>通用指标</w:t>
            </w:r>
          </w:p>
        </w:tc>
        <w:tc>
          <w:tcPr>
            <w:tcW w:w="415" w:type="pct"/>
            <w:vMerge w:val="restart"/>
            <w:vAlign w:val="center"/>
          </w:tcPr>
          <w:p>
            <w:pPr>
              <w:pStyle w:val="136"/>
            </w:pPr>
            <w:r>
              <w:rPr>
                <w:rFonts w:hint="eastAsia"/>
              </w:rPr>
              <w:t>产出指标</w:t>
            </w:r>
          </w:p>
        </w:tc>
        <w:tc>
          <w:tcPr>
            <w:tcW w:w="664" w:type="pct"/>
            <w:vAlign w:val="center"/>
          </w:tcPr>
          <w:p>
            <w:pPr>
              <w:pStyle w:val="136"/>
            </w:pPr>
            <w:r>
              <w:rPr>
                <w:rFonts w:hint="eastAsia"/>
              </w:rPr>
              <w:t>产出数量</w:t>
            </w:r>
          </w:p>
        </w:tc>
        <w:tc>
          <w:tcPr>
            <w:tcW w:w="1649" w:type="pct"/>
            <w:vAlign w:val="center"/>
          </w:tcPr>
          <w:p>
            <w:pPr>
              <w:pStyle w:val="136"/>
            </w:pPr>
            <w:r>
              <w:rPr>
                <w:rFonts w:hint="eastAsia"/>
              </w:rPr>
              <w:t>软件开发完成率</w:t>
            </w:r>
          </w:p>
        </w:tc>
        <w:tc>
          <w:tcPr>
            <w:tcW w:w="1621" w:type="pct"/>
            <w:vAlign w:val="center"/>
          </w:tcPr>
          <w:p>
            <w:pPr>
              <w:pStyle w:val="136"/>
            </w:pPr>
            <w:r>
              <w:rPr>
                <w:rFonts w:hint="eastAsia"/>
              </w:rPr>
              <w:t>≥95%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2</w:t>
            </w:r>
          </w:p>
        </w:tc>
        <w:tc>
          <w:tcPr>
            <w:tcW w:w="394" w:type="pct"/>
            <w:vMerge w:val="continue"/>
            <w:vAlign w:val="center"/>
          </w:tcPr>
          <w:p>
            <w:pPr>
              <w:pStyle w:val="136"/>
            </w:pPr>
          </w:p>
        </w:tc>
        <w:tc>
          <w:tcPr>
            <w:tcW w:w="415" w:type="pct"/>
            <w:vMerge w:val="continue"/>
            <w:vAlign w:val="center"/>
          </w:tcPr>
          <w:p>
            <w:pPr>
              <w:pStyle w:val="136"/>
            </w:pPr>
          </w:p>
        </w:tc>
        <w:tc>
          <w:tcPr>
            <w:tcW w:w="664" w:type="pct"/>
            <w:vMerge w:val="restart"/>
            <w:vAlign w:val="center"/>
          </w:tcPr>
          <w:p>
            <w:pPr>
              <w:pStyle w:val="136"/>
            </w:pPr>
            <w:r>
              <w:rPr>
                <w:rFonts w:hint="eastAsia"/>
              </w:rPr>
              <w:t>产出质量</w:t>
            </w:r>
          </w:p>
        </w:tc>
        <w:tc>
          <w:tcPr>
            <w:tcW w:w="1649" w:type="pct"/>
            <w:vAlign w:val="center"/>
          </w:tcPr>
          <w:p>
            <w:pPr>
              <w:pStyle w:val="136"/>
            </w:pPr>
            <w:r>
              <w:rPr>
                <w:rFonts w:hint="eastAsia"/>
              </w:rPr>
              <w:t>系统可靠性</w:t>
            </w:r>
          </w:p>
        </w:tc>
        <w:tc>
          <w:tcPr>
            <w:tcW w:w="1621" w:type="pct"/>
            <w:vAlign w:val="center"/>
          </w:tcPr>
          <w:p>
            <w:pPr>
              <w:pStyle w:val="136"/>
            </w:pPr>
            <w:r>
              <w:rPr>
                <w:rFonts w:hint="eastAsia"/>
              </w:rPr>
              <w:t>系统不间断运行率≥95%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3</w:t>
            </w:r>
          </w:p>
        </w:tc>
        <w:tc>
          <w:tcPr>
            <w:tcW w:w="394" w:type="pct"/>
            <w:vMerge w:val="continue"/>
            <w:vAlign w:val="center"/>
          </w:tcPr>
          <w:p>
            <w:pPr>
              <w:pStyle w:val="136"/>
            </w:pPr>
          </w:p>
        </w:tc>
        <w:tc>
          <w:tcPr>
            <w:tcW w:w="415" w:type="pct"/>
            <w:vMerge w:val="continue"/>
            <w:vAlign w:val="center"/>
          </w:tcPr>
          <w:p>
            <w:pPr>
              <w:pStyle w:val="136"/>
            </w:pPr>
          </w:p>
        </w:tc>
        <w:tc>
          <w:tcPr>
            <w:tcW w:w="664" w:type="pct"/>
            <w:vMerge w:val="continue"/>
            <w:vAlign w:val="center"/>
          </w:tcPr>
          <w:p>
            <w:pPr>
              <w:pStyle w:val="136"/>
            </w:pPr>
          </w:p>
        </w:tc>
        <w:tc>
          <w:tcPr>
            <w:tcW w:w="1649" w:type="pct"/>
            <w:vAlign w:val="center"/>
          </w:tcPr>
          <w:p>
            <w:pPr>
              <w:pStyle w:val="136"/>
            </w:pPr>
            <w:r>
              <w:rPr>
                <w:rFonts w:hint="eastAsia"/>
              </w:rPr>
              <w:t>软件测试达标</w:t>
            </w:r>
          </w:p>
        </w:tc>
        <w:tc>
          <w:tcPr>
            <w:tcW w:w="1621" w:type="pct"/>
            <w:vAlign w:val="center"/>
          </w:tcPr>
          <w:p>
            <w:pPr>
              <w:pStyle w:val="136"/>
            </w:pPr>
            <w:r>
              <w:rPr>
                <w:rFonts w:hint="eastAsia"/>
              </w:rPr>
              <w:t>软件测试达标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4</w:t>
            </w:r>
          </w:p>
        </w:tc>
        <w:tc>
          <w:tcPr>
            <w:tcW w:w="394" w:type="pct"/>
            <w:vMerge w:val="continue"/>
            <w:vAlign w:val="center"/>
          </w:tcPr>
          <w:p>
            <w:pPr>
              <w:pStyle w:val="136"/>
            </w:pPr>
          </w:p>
        </w:tc>
        <w:tc>
          <w:tcPr>
            <w:tcW w:w="415" w:type="pct"/>
            <w:vMerge w:val="continue"/>
            <w:vAlign w:val="center"/>
          </w:tcPr>
          <w:p>
            <w:pPr>
              <w:pStyle w:val="136"/>
            </w:pPr>
          </w:p>
        </w:tc>
        <w:tc>
          <w:tcPr>
            <w:tcW w:w="664" w:type="pct"/>
            <w:vMerge w:val="continue"/>
            <w:vAlign w:val="center"/>
          </w:tcPr>
          <w:p>
            <w:pPr>
              <w:pStyle w:val="136"/>
            </w:pPr>
          </w:p>
        </w:tc>
        <w:tc>
          <w:tcPr>
            <w:tcW w:w="1649" w:type="pct"/>
            <w:vAlign w:val="center"/>
          </w:tcPr>
          <w:p>
            <w:pPr>
              <w:pStyle w:val="136"/>
            </w:pPr>
            <w:r>
              <w:rPr>
                <w:rFonts w:hint="eastAsia"/>
              </w:rPr>
              <w:t>密码测试达标</w:t>
            </w:r>
          </w:p>
        </w:tc>
        <w:tc>
          <w:tcPr>
            <w:tcW w:w="1621" w:type="pct"/>
            <w:vAlign w:val="center"/>
          </w:tcPr>
          <w:p>
            <w:pPr>
              <w:pStyle w:val="136"/>
            </w:pPr>
            <w:r>
              <w:rPr>
                <w:rFonts w:hint="eastAsia"/>
              </w:rPr>
              <w:t>密码测试达标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5</w:t>
            </w:r>
          </w:p>
        </w:tc>
        <w:tc>
          <w:tcPr>
            <w:tcW w:w="394" w:type="pct"/>
            <w:vMerge w:val="continue"/>
            <w:vAlign w:val="center"/>
          </w:tcPr>
          <w:p>
            <w:pPr>
              <w:pStyle w:val="136"/>
            </w:pPr>
          </w:p>
        </w:tc>
        <w:tc>
          <w:tcPr>
            <w:tcW w:w="415" w:type="pct"/>
            <w:vMerge w:val="continue"/>
            <w:vAlign w:val="center"/>
          </w:tcPr>
          <w:p>
            <w:pPr>
              <w:pStyle w:val="136"/>
            </w:pPr>
          </w:p>
        </w:tc>
        <w:tc>
          <w:tcPr>
            <w:tcW w:w="664" w:type="pct"/>
            <w:vMerge w:val="continue"/>
            <w:vAlign w:val="center"/>
          </w:tcPr>
          <w:p>
            <w:pPr>
              <w:pStyle w:val="136"/>
            </w:pPr>
          </w:p>
        </w:tc>
        <w:tc>
          <w:tcPr>
            <w:tcW w:w="1649" w:type="pct"/>
            <w:vAlign w:val="center"/>
          </w:tcPr>
          <w:p>
            <w:pPr>
              <w:pStyle w:val="136"/>
              <w:rPr>
                <w:rFonts w:eastAsia="等线"/>
              </w:rPr>
            </w:pPr>
            <w:r>
              <w:rPr>
                <w:rFonts w:hint="eastAsia"/>
              </w:rPr>
              <w:t>网络安全等级达标</w:t>
            </w:r>
          </w:p>
        </w:tc>
        <w:tc>
          <w:tcPr>
            <w:tcW w:w="1621" w:type="pct"/>
            <w:vAlign w:val="center"/>
          </w:tcPr>
          <w:p>
            <w:pPr>
              <w:pStyle w:val="136"/>
              <w:rPr>
                <w:rFonts w:eastAsia="等线"/>
              </w:rPr>
            </w:pPr>
            <w:r>
              <w:rPr>
                <w:rFonts w:hint="eastAsia"/>
              </w:rPr>
              <w:t>网络安全等级达标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6</w:t>
            </w:r>
          </w:p>
        </w:tc>
        <w:tc>
          <w:tcPr>
            <w:tcW w:w="394" w:type="pct"/>
            <w:vMerge w:val="continue"/>
            <w:vAlign w:val="center"/>
          </w:tcPr>
          <w:p>
            <w:pPr>
              <w:pStyle w:val="136"/>
            </w:pPr>
          </w:p>
        </w:tc>
        <w:tc>
          <w:tcPr>
            <w:tcW w:w="415" w:type="pct"/>
            <w:vMerge w:val="continue"/>
            <w:vAlign w:val="center"/>
          </w:tcPr>
          <w:p>
            <w:pPr>
              <w:pStyle w:val="136"/>
            </w:pPr>
          </w:p>
        </w:tc>
        <w:tc>
          <w:tcPr>
            <w:tcW w:w="664" w:type="pct"/>
            <w:vMerge w:val="continue"/>
            <w:vAlign w:val="center"/>
          </w:tcPr>
          <w:p>
            <w:pPr>
              <w:pStyle w:val="136"/>
            </w:pPr>
          </w:p>
        </w:tc>
        <w:tc>
          <w:tcPr>
            <w:tcW w:w="1649" w:type="pct"/>
            <w:vAlign w:val="center"/>
          </w:tcPr>
          <w:p>
            <w:pPr>
              <w:pStyle w:val="136"/>
            </w:pPr>
            <w:r>
              <w:rPr>
                <w:rFonts w:hint="eastAsia"/>
              </w:rPr>
              <w:t>安全测试达标</w:t>
            </w:r>
          </w:p>
        </w:tc>
        <w:tc>
          <w:tcPr>
            <w:tcW w:w="1621" w:type="pct"/>
            <w:vAlign w:val="center"/>
          </w:tcPr>
          <w:p>
            <w:pPr>
              <w:pStyle w:val="136"/>
            </w:pPr>
            <w:r>
              <w:rPr>
                <w:rFonts w:hint="eastAsia"/>
              </w:rPr>
              <w:t>安全测试达标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7</w:t>
            </w:r>
          </w:p>
        </w:tc>
        <w:tc>
          <w:tcPr>
            <w:tcW w:w="394" w:type="pct"/>
            <w:vMerge w:val="continue"/>
            <w:vAlign w:val="center"/>
          </w:tcPr>
          <w:p>
            <w:pPr>
              <w:pStyle w:val="136"/>
            </w:pPr>
          </w:p>
        </w:tc>
        <w:tc>
          <w:tcPr>
            <w:tcW w:w="415" w:type="pct"/>
            <w:vMerge w:val="restart"/>
            <w:vAlign w:val="center"/>
          </w:tcPr>
          <w:p>
            <w:pPr>
              <w:pStyle w:val="136"/>
              <w:rPr>
                <w:rFonts w:cs="Calibri"/>
              </w:rPr>
            </w:pPr>
            <w:r>
              <w:rPr>
                <w:rFonts w:hint="eastAsia"/>
              </w:rPr>
              <w:t>安全体系</w:t>
            </w:r>
          </w:p>
        </w:tc>
        <w:tc>
          <w:tcPr>
            <w:tcW w:w="664" w:type="pct"/>
            <w:vMerge w:val="restart"/>
            <w:vAlign w:val="center"/>
          </w:tcPr>
          <w:p>
            <w:pPr>
              <w:pStyle w:val="136"/>
              <w:rPr>
                <w:rFonts w:cs="Calibri"/>
              </w:rPr>
            </w:pPr>
            <w:r>
              <w:rPr>
                <w:rFonts w:hint="eastAsia"/>
              </w:rPr>
              <w:t>安全建设水平</w:t>
            </w:r>
          </w:p>
        </w:tc>
        <w:tc>
          <w:tcPr>
            <w:tcW w:w="1649" w:type="pct"/>
            <w:vAlign w:val="center"/>
          </w:tcPr>
          <w:p>
            <w:pPr>
              <w:pStyle w:val="136"/>
            </w:pPr>
            <w:r>
              <w:rPr>
                <w:rFonts w:hint="eastAsia"/>
              </w:rPr>
              <w:t>信息系统安全监管覆盖率</w:t>
            </w:r>
          </w:p>
        </w:tc>
        <w:tc>
          <w:tcPr>
            <w:tcW w:w="1621" w:type="pct"/>
            <w:vAlign w:val="center"/>
          </w:tcPr>
          <w:p>
            <w:pPr>
              <w:pStyle w:val="136"/>
            </w:pPr>
            <w:r>
              <w:rPr>
                <w:rFonts w:hint="eastAsia"/>
              </w:rPr>
              <w:t>≥95%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vAlign w:val="center"/>
          </w:tcPr>
          <w:p>
            <w:pPr>
              <w:pStyle w:val="136"/>
              <w:rPr>
                <w:rFonts w:eastAsia="等线"/>
              </w:rPr>
            </w:pPr>
            <w:r>
              <w:rPr>
                <w:rFonts w:hint="eastAsia" w:eastAsia="等线"/>
              </w:rPr>
              <w:t>8</w:t>
            </w:r>
          </w:p>
        </w:tc>
        <w:tc>
          <w:tcPr>
            <w:tcW w:w="394" w:type="pct"/>
            <w:vMerge w:val="continue"/>
            <w:vAlign w:val="center"/>
          </w:tcPr>
          <w:p>
            <w:pPr>
              <w:pStyle w:val="136"/>
            </w:pPr>
          </w:p>
        </w:tc>
        <w:tc>
          <w:tcPr>
            <w:tcW w:w="415" w:type="pct"/>
            <w:vMerge w:val="continue"/>
            <w:vAlign w:val="center"/>
          </w:tcPr>
          <w:p>
            <w:pPr>
              <w:pStyle w:val="136"/>
            </w:pPr>
          </w:p>
        </w:tc>
        <w:tc>
          <w:tcPr>
            <w:tcW w:w="664" w:type="pct"/>
            <w:vMerge w:val="continue"/>
            <w:vAlign w:val="center"/>
          </w:tcPr>
          <w:p>
            <w:pPr>
              <w:pStyle w:val="136"/>
            </w:pPr>
          </w:p>
        </w:tc>
        <w:tc>
          <w:tcPr>
            <w:tcW w:w="1649" w:type="pct"/>
            <w:vAlign w:val="center"/>
          </w:tcPr>
          <w:p>
            <w:pPr>
              <w:pStyle w:val="136"/>
            </w:pPr>
            <w:r>
              <w:rPr>
                <w:rFonts w:hint="eastAsia"/>
              </w:rPr>
              <w:t>数据风险监测覆盖率</w:t>
            </w:r>
          </w:p>
        </w:tc>
        <w:tc>
          <w:tcPr>
            <w:tcW w:w="1621" w:type="pct"/>
            <w:vAlign w:val="center"/>
          </w:tcPr>
          <w:p>
            <w:pPr>
              <w:pStyle w:val="136"/>
              <w:keepNext/>
            </w:pPr>
            <w:r>
              <w:rPr>
                <w:rFonts w:hint="eastAsia"/>
              </w:rPr>
              <w:t>≥95%</w:t>
            </w:r>
          </w:p>
        </w:tc>
      </w:tr>
    </w:tbl>
    <w:p/>
    <w:p>
      <w:pPr>
        <w:pStyle w:val="2"/>
      </w:pPr>
      <w:bookmarkStart w:id="14" w:name="_Toc47536304"/>
      <w:bookmarkEnd w:id="14"/>
      <w:bookmarkStart w:id="15" w:name="_Toc47539102"/>
      <w:bookmarkEnd w:id="15"/>
      <w:bookmarkStart w:id="16" w:name="_Toc47533288"/>
      <w:bookmarkEnd w:id="16"/>
      <w:bookmarkStart w:id="17" w:name="_Toc47537166"/>
      <w:bookmarkEnd w:id="17"/>
      <w:bookmarkStart w:id="18" w:name="_Toc47532923"/>
      <w:bookmarkEnd w:id="18"/>
      <w:bookmarkStart w:id="19" w:name="_Toc47536676"/>
      <w:bookmarkEnd w:id="19"/>
      <w:r>
        <w:rPr>
          <w:rFonts w:hint="eastAsia"/>
        </w:rPr>
        <w:t>项目建设内容</w:t>
      </w:r>
    </w:p>
    <w:p>
      <w:pPr>
        <w:pStyle w:val="3"/>
        <w:ind w:left="567"/>
      </w:pPr>
      <w:r>
        <w:rPr>
          <w:rFonts w:hint="eastAsia"/>
        </w:rPr>
        <w:t>主要建设内容</w:t>
      </w:r>
    </w:p>
    <w:p>
      <w:pPr>
        <w:pStyle w:val="4"/>
      </w:pPr>
      <w:r>
        <w:rPr>
          <w:rFonts w:hint="eastAsia"/>
        </w:rPr>
        <w:t>自然资源登记便民利民信息服务平台</w:t>
      </w:r>
    </w:p>
    <w:p>
      <w:pPr>
        <w:spacing w:line="360" w:lineRule="auto"/>
        <w:ind w:firstLine="420"/>
      </w:pPr>
      <w:r>
        <w:rPr>
          <w:rFonts w:hint="eastAsia"/>
        </w:rPr>
        <w:t>本项目需要实现的建设内容包括对自然资源登记便民利民信息服务平台的升级，通过</w:t>
      </w:r>
      <w:r>
        <w:t>强化大数据等新技术应用支撑，积极推进“互联网</w:t>
      </w:r>
      <w:r>
        <w:rPr>
          <w:rFonts w:hint="eastAsia"/>
        </w:rPr>
        <w:t>+</w:t>
      </w:r>
      <w:r>
        <w:t>不动产登记”系统改造升级，完善拓展人脸识别、录音录屏等功能，推广使用电子签名、电子印章、电子合同和电子证书证明，加快实现信息自动抓取、表单自动生成，支撑智能辅助审核和“全程网办”“一次不用跑”</w:t>
      </w:r>
      <w:r>
        <w:rPr>
          <w:rFonts w:hint="eastAsia"/>
        </w:rPr>
        <w:t>，并完成登记数据上链接入，支持每秒上千次次数据核验，加强登记数据服务范围。</w:t>
      </w:r>
    </w:p>
    <w:p>
      <w:pPr>
        <w:spacing w:line="360" w:lineRule="auto"/>
      </w:pPr>
      <w:r>
        <w:rPr>
          <w:rFonts w:hint="eastAsia"/>
        </w:rPr>
        <w:t>具体的建设内容如下：</w:t>
      </w:r>
    </w:p>
    <w:p>
      <w:pPr>
        <w:spacing w:line="360" w:lineRule="auto"/>
        <w:ind w:firstLine="420"/>
      </w:pPr>
      <w:r>
        <w:rPr>
          <w:rFonts w:hint="eastAsia"/>
        </w:rPr>
        <w:t>1）新增登记网办申报模块：包括新建商品房类（包括购买方授权开发商代办登记预采集、预购商品房预告抵押登记信息预采集、新建商品房转移登记信息预采集）、存量房买卖类、变更注销类等14个功能，为满足不动产登记通过“一网通办”实现全程网办等相关在线申请业务模式。</w:t>
      </w:r>
    </w:p>
    <w:p>
      <w:pPr>
        <w:spacing w:line="360" w:lineRule="auto"/>
        <w:ind w:firstLine="420"/>
      </w:pPr>
      <w:r>
        <w:rPr>
          <w:rFonts w:hint="eastAsia"/>
        </w:rPr>
        <w:t>2）新增登记业务协同办理模块：新增房管局公房与登记数据比对功能、共有产权房变更登记协同办理功能等8个功能，实现了不动产登记与其他业务的协同办理达到了材料免交和信息预填。</w:t>
      </w:r>
    </w:p>
    <w:p>
      <w:pPr>
        <w:spacing w:line="360" w:lineRule="auto"/>
        <w:ind w:firstLine="420"/>
      </w:pPr>
      <w:r>
        <w:rPr>
          <w:rFonts w:hint="eastAsia"/>
        </w:rPr>
        <w:t>3）改造公共支付模块：包括公共支付缴款书支付渠道、财政电子缴款书库存管理及财政电子缴款书作废预开具管理2个功能；在现有公共支付模块中进行升级更好地支持了不动产登记支付模块的便利性和数据检查。</w:t>
      </w:r>
    </w:p>
    <w:p>
      <w:pPr>
        <w:spacing w:line="360" w:lineRule="auto"/>
        <w:ind w:firstLine="420"/>
      </w:pPr>
      <w:r>
        <w:rPr>
          <w:rFonts w:hint="eastAsia"/>
        </w:rPr>
        <w:t>4）新增免申即享服务：包括免申即享结果接入办件库、小微企业登记及退伍军人登记免费服务功能，利用数据接口和免申即享模式实现不动产登记多项服务无需申请即可享受。</w:t>
      </w:r>
    </w:p>
    <w:p>
      <w:pPr>
        <w:spacing w:line="360" w:lineRule="auto"/>
        <w:ind w:firstLine="420"/>
      </w:pPr>
      <w:r>
        <w:rPr>
          <w:rFonts w:hint="eastAsia"/>
        </w:rPr>
        <w:t>5）新增登记智能辅助应用：包括登记网办申请权利对抗检验以及业务关联线上真实意愿认证等5个功能，这些内容是对于全程网办、免申即享等最新服务的技术支撑。</w:t>
      </w:r>
    </w:p>
    <w:p>
      <w:pPr>
        <w:spacing w:line="360" w:lineRule="auto"/>
        <w:ind w:firstLine="420"/>
      </w:pPr>
      <w:r>
        <w:rPr>
          <w:rFonts w:hint="eastAsia"/>
        </w:rPr>
        <w:t>6）新增登记网办效能监督：包括网办案件超期未等监管、网办案件办理查询统计、超期预警办理时限配置等功能，解决了不动产登记网办相关效能检查和控制预警。</w:t>
      </w:r>
    </w:p>
    <w:p>
      <w:pPr>
        <w:pStyle w:val="4"/>
      </w:pPr>
      <w:r>
        <w:t>项目子系统（好办快办模块）</w:t>
      </w:r>
    </w:p>
    <w:p>
      <w:pPr>
        <w:spacing w:line="360" w:lineRule="auto"/>
        <w:ind w:firstLine="420"/>
      </w:pPr>
      <w:r>
        <w:t>一、适配智慧好办要求，升级多项业务功能</w:t>
      </w:r>
    </w:p>
    <w:p>
      <w:pPr>
        <w:spacing w:line="360" w:lineRule="auto"/>
        <w:ind w:firstLine="420"/>
      </w:pPr>
      <w:r>
        <w:t>围绕设计条件征询、竣工管线、用地规划许可等 15 项业务，推进功能升级与智慧化改造，提升审批效率与办事体验。</w:t>
      </w:r>
    </w:p>
    <w:p>
      <w:pPr>
        <w:numPr>
          <w:ilvl w:val="0"/>
          <w:numId w:val="4"/>
        </w:numPr>
        <w:spacing w:line="360" w:lineRule="auto"/>
        <w:rPr>
          <w:rFonts w:ascii="Arial" w:hAnsi="Arial" w:cs="Arial"/>
          <w:color w:val="000000"/>
        </w:rPr>
      </w:pPr>
      <w:r>
        <w:rPr>
          <w:rFonts w:ascii="Arial" w:hAnsi="Arial" w:cs="Arial"/>
          <w:color w:val="000000"/>
        </w:rPr>
        <w:t>规划设计条件征询：优化申报端，实现审批端自动制图出图，建立跨部门信息共享机制，升级市区两级行政协助征询服务。</w:t>
      </w:r>
    </w:p>
    <w:p>
      <w:pPr>
        <w:numPr>
          <w:ilvl w:val="0"/>
          <w:numId w:val="4"/>
        </w:numPr>
        <w:spacing w:line="360" w:lineRule="auto"/>
        <w:rPr>
          <w:rFonts w:ascii="Arial" w:hAnsi="Arial" w:cs="Arial"/>
          <w:color w:val="000000"/>
        </w:rPr>
      </w:pPr>
      <w:r>
        <w:rPr>
          <w:rFonts w:ascii="Arial" w:hAnsi="Arial" w:cs="Arial"/>
          <w:color w:val="000000"/>
        </w:rPr>
        <w:t>竣工管线：优化申报端，基于空间底图与管线数据底板，在线生成管线信息分析报告。</w:t>
      </w:r>
    </w:p>
    <w:p>
      <w:pPr>
        <w:numPr>
          <w:ilvl w:val="0"/>
          <w:numId w:val="4"/>
        </w:numPr>
        <w:spacing w:line="360" w:lineRule="auto"/>
        <w:rPr>
          <w:rFonts w:ascii="Arial" w:hAnsi="Arial" w:cs="Arial"/>
          <w:color w:val="000000"/>
        </w:rPr>
      </w:pPr>
      <w:r>
        <w:rPr>
          <w:rFonts w:ascii="Arial" w:hAnsi="Arial" w:cs="Arial"/>
          <w:color w:val="000000"/>
        </w:rPr>
        <w:t>出让土地用地规划许可：提供新办、依申请变更智慧好办服务，支持信息预填。</w:t>
      </w:r>
    </w:p>
    <w:p>
      <w:pPr>
        <w:numPr>
          <w:ilvl w:val="0"/>
          <w:numId w:val="4"/>
        </w:numPr>
        <w:spacing w:line="360" w:lineRule="auto"/>
        <w:rPr>
          <w:rFonts w:ascii="Arial" w:hAnsi="Arial" w:cs="Arial"/>
          <w:color w:val="000000"/>
        </w:rPr>
      </w:pPr>
      <w:r>
        <w:rPr>
          <w:rFonts w:ascii="Arial" w:hAnsi="Arial" w:cs="Arial"/>
          <w:color w:val="000000"/>
        </w:rPr>
        <w:t>开工放样复验：覆盖房屋建筑、线性工程，实现申报端智慧服务，全流程管理历史处罚单及补录业务。</w:t>
      </w:r>
    </w:p>
    <w:p>
      <w:pPr>
        <w:numPr>
          <w:ilvl w:val="0"/>
          <w:numId w:val="4"/>
        </w:numPr>
        <w:spacing w:line="360" w:lineRule="auto"/>
        <w:rPr>
          <w:rFonts w:ascii="Arial" w:hAnsi="Arial" w:cs="Arial"/>
          <w:color w:val="000000"/>
        </w:rPr>
      </w:pPr>
      <w:r>
        <w:rPr>
          <w:rFonts w:ascii="Arial" w:hAnsi="Arial" w:cs="Arial"/>
          <w:color w:val="000000"/>
        </w:rPr>
        <w:t>工程规划许可：优化管线工程新办、房屋建筑工程变更服务，支持信息预填；实现在线落图、图形自动解析、带图申报，提升文件质检体验。</w:t>
      </w:r>
    </w:p>
    <w:p>
      <w:pPr>
        <w:numPr>
          <w:ilvl w:val="0"/>
          <w:numId w:val="4"/>
        </w:numPr>
        <w:spacing w:line="360" w:lineRule="auto"/>
        <w:rPr>
          <w:rFonts w:ascii="Arial" w:hAnsi="Arial" w:cs="Arial"/>
          <w:color w:val="000000"/>
        </w:rPr>
      </w:pPr>
      <w:r>
        <w:rPr>
          <w:rFonts w:ascii="Arial" w:hAnsi="Arial" w:cs="Arial"/>
          <w:color w:val="000000"/>
        </w:rPr>
        <w:t>划拨土地规划土地意见书：支持管线工程规证变更、延期申报智慧服务，含信息预填。</w:t>
      </w:r>
    </w:p>
    <w:p>
      <w:pPr>
        <w:numPr>
          <w:ilvl w:val="0"/>
          <w:numId w:val="4"/>
        </w:numPr>
        <w:spacing w:line="360" w:lineRule="auto"/>
        <w:rPr>
          <w:rFonts w:ascii="Arial" w:hAnsi="Arial" w:cs="Arial"/>
          <w:color w:val="000000"/>
        </w:rPr>
      </w:pPr>
      <w:r>
        <w:rPr>
          <w:rFonts w:ascii="Arial" w:hAnsi="Arial" w:cs="Arial"/>
          <w:color w:val="000000"/>
        </w:rPr>
        <w:t>线性工程设计方案审批：提供依申请变更、延期申报智慧好办服务。</w:t>
      </w:r>
    </w:p>
    <w:p>
      <w:pPr>
        <w:numPr>
          <w:ilvl w:val="0"/>
          <w:numId w:val="4"/>
        </w:numPr>
        <w:spacing w:line="360" w:lineRule="auto"/>
        <w:rPr>
          <w:rFonts w:ascii="Arial" w:hAnsi="Arial" w:cs="Arial"/>
          <w:color w:val="000000"/>
        </w:rPr>
      </w:pPr>
      <w:r>
        <w:rPr>
          <w:rFonts w:ascii="Arial" w:hAnsi="Arial" w:cs="Arial"/>
          <w:color w:val="000000"/>
        </w:rPr>
        <w:t>临时用地规划许可：实现新办申报端智慧好办服务。</w:t>
      </w:r>
    </w:p>
    <w:p>
      <w:pPr>
        <w:numPr>
          <w:ilvl w:val="0"/>
          <w:numId w:val="4"/>
        </w:numPr>
        <w:spacing w:line="360" w:lineRule="auto"/>
        <w:rPr>
          <w:rFonts w:ascii="Arial" w:hAnsi="Arial" w:cs="Arial"/>
          <w:color w:val="000000"/>
        </w:rPr>
      </w:pPr>
      <w:r>
        <w:rPr>
          <w:rFonts w:ascii="Arial" w:hAnsi="Arial" w:cs="Arial"/>
          <w:color w:val="000000"/>
        </w:rPr>
        <w:t>办不成事渠道优化：升级 “一网通办” 申报端，畅通线上诉求渠道，提升问题处置效率。</w:t>
      </w:r>
    </w:p>
    <w:p>
      <w:pPr>
        <w:numPr>
          <w:ilvl w:val="0"/>
          <w:numId w:val="4"/>
        </w:numPr>
        <w:spacing w:line="360" w:lineRule="auto"/>
        <w:rPr>
          <w:rFonts w:ascii="Arial" w:hAnsi="Arial" w:cs="Arial"/>
          <w:color w:val="000000"/>
        </w:rPr>
      </w:pPr>
      <w:r>
        <w:rPr>
          <w:rFonts w:ascii="Arial" w:hAnsi="Arial" w:cs="Arial"/>
          <w:color w:val="000000"/>
        </w:rPr>
        <w:t>好差评优化：改造窗口 PAD 精准评价功能，实现分环节评价，强化差评整改与回访，提升整改率与满意率。</w:t>
      </w:r>
    </w:p>
    <w:p>
      <w:pPr>
        <w:numPr>
          <w:ilvl w:val="0"/>
          <w:numId w:val="4"/>
        </w:numPr>
        <w:spacing w:line="360" w:lineRule="auto"/>
        <w:rPr>
          <w:rFonts w:ascii="Arial" w:hAnsi="Arial" w:cs="Arial"/>
          <w:color w:val="000000"/>
        </w:rPr>
      </w:pPr>
      <w:r>
        <w:rPr>
          <w:rFonts w:ascii="Arial" w:hAnsi="Arial" w:cs="Arial"/>
          <w:color w:val="000000"/>
        </w:rPr>
        <w:t>意见书延期对接企业云：将规土意见书延期事项接入企业云，提升企业办事效率。</w:t>
      </w:r>
    </w:p>
    <w:p>
      <w:pPr>
        <w:numPr>
          <w:ilvl w:val="0"/>
          <w:numId w:val="4"/>
        </w:numPr>
        <w:spacing w:line="360" w:lineRule="auto"/>
        <w:rPr>
          <w:rFonts w:ascii="Arial" w:hAnsi="Arial" w:cs="Arial"/>
          <w:color w:val="000000"/>
        </w:rPr>
      </w:pPr>
      <w:r>
        <w:rPr>
          <w:rFonts w:ascii="Arial" w:hAnsi="Arial" w:cs="Arial"/>
          <w:color w:val="000000"/>
        </w:rPr>
        <w:t>既有住宅加装电梯：实现方案线上公示、数据入库，接入 “加装电梯一件事”，落实专项政策要求。</w:t>
      </w:r>
    </w:p>
    <w:p>
      <w:pPr>
        <w:numPr>
          <w:ilvl w:val="0"/>
          <w:numId w:val="4"/>
        </w:numPr>
        <w:spacing w:line="360" w:lineRule="auto"/>
        <w:rPr>
          <w:rFonts w:ascii="Arial" w:hAnsi="Arial" w:cs="Arial"/>
          <w:color w:val="000000"/>
        </w:rPr>
      </w:pPr>
      <w:r>
        <w:rPr>
          <w:rFonts w:ascii="Arial" w:hAnsi="Arial" w:cs="Arial"/>
          <w:color w:val="000000"/>
        </w:rPr>
        <w:t>农户建房审批优化：按乡村建设改革要求，优化土地权属边界确认、乡村规划许可等事项，强化乡镇审批与过程监管。</w:t>
      </w:r>
    </w:p>
    <w:p>
      <w:pPr>
        <w:numPr>
          <w:ilvl w:val="0"/>
          <w:numId w:val="4"/>
        </w:numPr>
        <w:spacing w:line="360" w:lineRule="auto"/>
        <w:rPr>
          <w:rFonts w:ascii="Arial" w:hAnsi="Arial" w:cs="Arial"/>
          <w:color w:val="000000"/>
        </w:rPr>
      </w:pPr>
      <w:r>
        <w:rPr>
          <w:rFonts w:ascii="Arial" w:hAnsi="Arial" w:cs="Arial"/>
          <w:color w:val="000000"/>
        </w:rPr>
        <w:t>线索发现模块：新增临时用地案件来源，对接无人机飞控平台，实现巡飞、视频回传、实时直播等功能；支持 mdb 矢量文件上传质检与案件生成。</w:t>
      </w:r>
    </w:p>
    <w:p>
      <w:pPr>
        <w:numPr>
          <w:ilvl w:val="0"/>
          <w:numId w:val="4"/>
        </w:numPr>
        <w:spacing w:line="360" w:lineRule="auto"/>
        <w:rPr>
          <w:rFonts w:ascii="Arial" w:hAnsi="Arial" w:cs="Arial"/>
          <w:color w:val="000000"/>
        </w:rPr>
      </w:pPr>
      <w:r>
        <w:rPr>
          <w:rFonts w:ascii="Arial" w:hAnsi="Arial" w:cs="Arial"/>
          <w:color w:val="000000"/>
        </w:rPr>
        <w:t>自主办件管理模块：对接临港、浦东办案系统，集中展示数据并关联矢量图斑；优化市级直查、指定管辖案件办理功能。</w:t>
      </w:r>
    </w:p>
    <w:p>
      <w:pPr>
        <w:spacing w:line="360" w:lineRule="auto"/>
        <w:ind w:firstLine="420"/>
      </w:pPr>
      <w:r>
        <w:t>二、强化政策落地与跨业务协同</w:t>
      </w:r>
    </w:p>
    <w:p>
      <w:pPr>
        <w:spacing w:line="360" w:lineRule="auto"/>
        <w:ind w:firstLine="420"/>
      </w:pPr>
      <w:r>
        <w:t>嵌入用途管制监管模块，适配营商环境改革与多规合一要求，支撑跨部门业务应用与政务公开。</w:t>
      </w:r>
    </w:p>
    <w:p>
      <w:pPr>
        <w:numPr>
          <w:ilvl w:val="0"/>
          <w:numId w:val="5"/>
        </w:numPr>
        <w:spacing w:line="360" w:lineRule="auto"/>
        <w:rPr>
          <w:rFonts w:ascii="Arial" w:hAnsi="Arial" w:cs="Arial"/>
          <w:color w:val="000000"/>
        </w:rPr>
      </w:pPr>
      <w:r>
        <w:rPr>
          <w:rFonts w:ascii="Arial" w:hAnsi="Arial" w:cs="Arial"/>
          <w:color w:val="000000"/>
        </w:rPr>
        <w:t>多规合一协同：依托上海 2035 总体规划，整合规划成果，构建项目储备库与产业项目实施库，推进前期会商、并联验收与后评估；规范 “一键归档” 功能。</w:t>
      </w:r>
    </w:p>
    <w:p>
      <w:pPr>
        <w:numPr>
          <w:ilvl w:val="0"/>
          <w:numId w:val="5"/>
        </w:numPr>
        <w:spacing w:line="360" w:lineRule="auto"/>
        <w:rPr>
          <w:rFonts w:ascii="Arial" w:hAnsi="Arial" w:cs="Arial"/>
          <w:color w:val="000000"/>
        </w:rPr>
      </w:pPr>
      <w:r>
        <w:rPr>
          <w:rFonts w:ascii="Arial" w:hAnsi="Arial" w:cs="Arial"/>
          <w:color w:val="000000"/>
        </w:rPr>
        <w:t>出让前规划条件认定：强化条件认定，衔接土地边界勘测定界与规划土地意见书业务。</w:t>
      </w:r>
    </w:p>
    <w:p>
      <w:pPr>
        <w:numPr>
          <w:ilvl w:val="0"/>
          <w:numId w:val="5"/>
        </w:numPr>
        <w:spacing w:line="360" w:lineRule="auto"/>
        <w:ind w:hanging="360"/>
        <w:rPr>
          <w:rFonts w:ascii="Arial" w:hAnsi="Arial" w:cs="Arial"/>
          <w:color w:val="000000"/>
        </w:rPr>
      </w:pPr>
      <w:r>
        <w:rPr>
          <w:rFonts w:hint="eastAsia" w:ascii="Arial" w:hAnsi="Arial" w:cs="Arial"/>
          <w:color w:val="000000"/>
        </w:rPr>
        <w:t>管线工规证中</w:t>
      </w:r>
      <w:r>
        <w:rPr>
          <w:rFonts w:ascii="Arial" w:hAnsi="Arial" w:cs="Arial"/>
          <w:color w:val="000000"/>
        </w:rPr>
        <w:t>低风险</w:t>
      </w:r>
      <w:r>
        <w:rPr>
          <w:rFonts w:hint="eastAsia" w:ascii="Arial" w:hAnsi="Arial" w:cs="Arial"/>
          <w:color w:val="000000"/>
        </w:rPr>
        <w:t>接入项目办理流程</w:t>
      </w:r>
      <w:r>
        <w:rPr>
          <w:rFonts w:ascii="Arial" w:hAnsi="Arial" w:cs="Arial"/>
          <w:color w:val="000000"/>
        </w:rPr>
        <w:t>优化：按要求，实现低风险市政管线接入项目当场审批，提升效率。</w:t>
      </w:r>
    </w:p>
    <w:p>
      <w:pPr>
        <w:numPr>
          <w:ilvl w:val="0"/>
          <w:numId w:val="5"/>
        </w:numPr>
        <w:spacing w:line="360" w:lineRule="auto"/>
        <w:rPr>
          <w:rFonts w:ascii="Arial" w:hAnsi="Arial" w:cs="Arial"/>
          <w:color w:val="000000"/>
        </w:rPr>
      </w:pPr>
      <w:r>
        <w:rPr>
          <w:rFonts w:ascii="Arial" w:hAnsi="Arial" w:cs="Arial"/>
          <w:color w:val="000000"/>
        </w:rPr>
        <w:t>规证总平图公示：完善信息公开机制，在局门户网站公开带签章总平图附件。</w:t>
      </w:r>
    </w:p>
    <w:p>
      <w:pPr>
        <w:numPr>
          <w:ilvl w:val="0"/>
          <w:numId w:val="5"/>
        </w:numPr>
        <w:spacing w:line="360" w:lineRule="auto"/>
        <w:ind w:hanging="360"/>
        <w:rPr>
          <w:rFonts w:ascii="Arial" w:hAnsi="Arial" w:cs="Arial"/>
          <w:color w:val="000000"/>
        </w:rPr>
      </w:pPr>
      <w:r>
        <w:rPr>
          <w:rFonts w:ascii="Arial" w:hAnsi="Arial" w:cs="Arial"/>
          <w:color w:val="000000"/>
        </w:rPr>
        <w:t>固定投资一件事：与发改委建立双向交互通道，打造固定资产投资项目审批 “一件事” 服务。</w:t>
      </w:r>
    </w:p>
    <w:p>
      <w:pPr>
        <w:numPr>
          <w:ilvl w:val="0"/>
          <w:numId w:val="5"/>
        </w:numPr>
        <w:spacing w:line="360" w:lineRule="auto"/>
        <w:rPr>
          <w:rFonts w:ascii="Arial" w:hAnsi="Arial" w:cs="Arial"/>
          <w:color w:val="000000"/>
        </w:rPr>
      </w:pPr>
      <w:r>
        <w:rPr>
          <w:rFonts w:ascii="Arial" w:hAnsi="Arial" w:cs="Arial"/>
          <w:color w:val="000000"/>
        </w:rPr>
        <w:t>竣工即交证：打通项目审批与不动产登记系统接口，实现核心证照信息实时同步。</w:t>
      </w:r>
    </w:p>
    <w:p>
      <w:pPr>
        <w:numPr>
          <w:ilvl w:val="0"/>
          <w:numId w:val="5"/>
        </w:numPr>
        <w:spacing w:line="360" w:lineRule="auto"/>
        <w:rPr>
          <w:rFonts w:ascii="Arial" w:hAnsi="Arial" w:cs="Arial"/>
          <w:color w:val="000000"/>
        </w:rPr>
      </w:pPr>
      <w:r>
        <w:rPr>
          <w:rFonts w:hint="eastAsia" w:ascii="Arial" w:hAnsi="Arial" w:cs="Arial"/>
          <w:color w:val="000000"/>
        </w:rPr>
        <w:t>工规证，竣工验收事项与地</w:t>
      </w:r>
      <w:r>
        <w:rPr>
          <w:rFonts w:ascii="Arial" w:hAnsi="Arial" w:cs="Arial"/>
          <w:color w:val="000000"/>
        </w:rPr>
        <w:t>质系统数据交互：实现线性工程规证地质预审、竣工验收地质灾害查验及数据共享。</w:t>
      </w:r>
    </w:p>
    <w:p>
      <w:pPr>
        <w:numPr>
          <w:ilvl w:val="0"/>
          <w:numId w:val="5"/>
        </w:numPr>
        <w:spacing w:line="360" w:lineRule="auto"/>
        <w:rPr>
          <w:rFonts w:ascii="Arial" w:hAnsi="Arial" w:cs="Arial"/>
          <w:color w:val="000000"/>
        </w:rPr>
      </w:pPr>
      <w:r>
        <w:rPr>
          <w:rFonts w:hint="eastAsia" w:ascii="Arial" w:hAnsi="Arial" w:cs="Arial"/>
          <w:color w:val="000000"/>
        </w:rPr>
        <w:t>规划许可空间用途管制监管：</w:t>
      </w:r>
      <w:r>
        <w:rPr>
          <w:rFonts w:ascii="Arial" w:hAnsi="Arial" w:cs="Arial"/>
          <w:color w:val="000000"/>
        </w:rPr>
        <w:t>将 “一书三证” 报部流程纳入项目审批管控，实现用地预审、规划许可用途管制报送及注销情形管控。</w:t>
      </w:r>
    </w:p>
    <w:p>
      <w:pPr>
        <w:numPr>
          <w:ilvl w:val="0"/>
          <w:numId w:val="5"/>
        </w:numPr>
        <w:spacing w:line="360" w:lineRule="auto"/>
        <w:rPr>
          <w:rFonts w:ascii="Arial" w:hAnsi="Arial" w:cs="Arial"/>
          <w:color w:val="000000"/>
        </w:rPr>
      </w:pPr>
      <w:r>
        <w:rPr>
          <w:rFonts w:ascii="Arial" w:hAnsi="Arial" w:cs="Arial"/>
          <w:color w:val="000000"/>
        </w:rPr>
        <w:t>信息公开应用：覆盖主动公开、依申请公开等类型，实现业务全流程信息化管理，提供办理、预警、催办、统计等功能，对接市政府公开平台，支撑市区两级数据共享。</w:t>
      </w:r>
    </w:p>
    <w:p>
      <w:pPr>
        <w:numPr>
          <w:ilvl w:val="0"/>
          <w:numId w:val="5"/>
        </w:numPr>
        <w:spacing w:line="360" w:lineRule="auto"/>
        <w:rPr>
          <w:rFonts w:ascii="Arial" w:hAnsi="Arial" w:cs="Arial"/>
          <w:color w:val="000000"/>
        </w:rPr>
      </w:pPr>
      <w:r>
        <w:rPr>
          <w:rFonts w:hint="eastAsia" w:ascii="Arial" w:hAnsi="Arial" w:cs="Arial"/>
          <w:color w:val="000000"/>
        </w:rPr>
        <w:t>效能监督：实现办件时效监督，双随机管理及发文管理。</w:t>
      </w:r>
    </w:p>
    <w:p>
      <w:pPr>
        <w:numPr>
          <w:ilvl w:val="0"/>
          <w:numId w:val="5"/>
        </w:numPr>
        <w:spacing w:line="360" w:lineRule="auto"/>
        <w:rPr>
          <w:rFonts w:ascii="Arial" w:hAnsi="Arial" w:cs="Arial"/>
          <w:color w:val="000000"/>
        </w:rPr>
      </w:pPr>
      <w:r>
        <w:rPr>
          <w:rFonts w:hint="eastAsia" w:ascii="Arial" w:hAnsi="Arial" w:cs="Arial"/>
          <w:color w:val="000000"/>
        </w:rPr>
        <w:t>密码应用功能开发：实现</w:t>
      </w:r>
      <w:r>
        <w:rPr>
          <w:rFonts w:hint="eastAsia" w:asciiTheme="minorEastAsia" w:hAnsiTheme="minorEastAsia" w:eastAsiaTheme="minorEastAsia"/>
          <w:szCs w:val="21"/>
        </w:rPr>
        <w:t>重要数据加解密、应用系统重要数据签名验签等。</w:t>
      </w:r>
    </w:p>
    <w:p>
      <w:pPr>
        <w:spacing w:line="360" w:lineRule="auto"/>
        <w:ind w:firstLine="420"/>
        <w:rPr>
          <w:rFonts w:asciiTheme="minorEastAsia" w:hAnsiTheme="minorEastAsia" w:eastAsiaTheme="minorEastAsia"/>
        </w:rPr>
      </w:pPr>
    </w:p>
    <w:p>
      <w:pPr>
        <w:pStyle w:val="3"/>
        <w:ind w:left="567"/>
      </w:pPr>
      <w:r>
        <w:rPr>
          <w:rFonts w:hint="eastAsia"/>
        </w:rPr>
        <w:t>软件开发清单</w:t>
      </w:r>
    </w:p>
    <w:p>
      <w:pPr>
        <w:pStyle w:val="4"/>
      </w:pPr>
      <w:r>
        <w:rPr>
          <w:rFonts w:hint="eastAsia"/>
        </w:rPr>
        <w:t>自然资源登记便民利民信息服务平台</w:t>
      </w:r>
    </w:p>
    <w:tbl>
      <w:tblPr>
        <w:tblStyle w:val="36"/>
        <w:tblW w:w="0" w:type="auto"/>
        <w:tblInd w:w="0" w:type="dxa"/>
        <w:tblLayout w:type="autofit"/>
        <w:tblCellMar>
          <w:top w:w="0" w:type="dxa"/>
          <w:left w:w="108" w:type="dxa"/>
          <w:bottom w:w="0" w:type="dxa"/>
          <w:right w:w="108" w:type="dxa"/>
        </w:tblCellMar>
      </w:tblPr>
      <w:tblGrid>
        <w:gridCol w:w="1526"/>
        <w:gridCol w:w="1845"/>
        <w:gridCol w:w="1971"/>
        <w:gridCol w:w="3186"/>
      </w:tblGrid>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jc w:val="center"/>
              <w:rPr>
                <w:rFonts w:asciiTheme="minorEastAsia" w:hAnsiTheme="minorEastAsia" w:eastAsiaTheme="minorEastAsia"/>
                <w:b/>
                <w:bCs/>
                <w:szCs w:val="21"/>
              </w:rPr>
            </w:pPr>
            <w:r>
              <w:rPr>
                <w:rFonts w:hint="eastAsia" w:asciiTheme="minorEastAsia" w:hAnsiTheme="minorEastAsia" w:eastAsiaTheme="minorEastAsia"/>
                <w:b/>
                <w:bCs/>
                <w:szCs w:val="21"/>
              </w:rPr>
              <w:t>一级功能模块</w:t>
            </w:r>
          </w:p>
        </w:tc>
        <w:tc>
          <w:tcPr>
            <w:tcW w:w="1845" w:type="dxa"/>
            <w:tcBorders>
              <w:top w:val="single" w:color="000000" w:sz="4" w:space="0"/>
              <w:left w:val="single" w:color="000000" w:sz="4" w:space="0"/>
              <w:bottom w:val="single" w:color="000000" w:sz="4" w:space="0"/>
              <w:right w:val="single" w:color="000000" w:sz="4" w:space="0"/>
            </w:tcBorders>
          </w:tcPr>
          <w:p>
            <w:pPr>
              <w:pStyle w:val="141"/>
              <w:jc w:val="center"/>
              <w:rPr>
                <w:rFonts w:asciiTheme="minorEastAsia" w:hAnsiTheme="minorEastAsia" w:eastAsiaTheme="minorEastAsia"/>
                <w:b/>
                <w:bCs/>
                <w:szCs w:val="21"/>
              </w:rPr>
            </w:pPr>
            <w:r>
              <w:rPr>
                <w:rFonts w:hint="eastAsia" w:asciiTheme="minorEastAsia" w:hAnsiTheme="minorEastAsia" w:eastAsiaTheme="minorEastAsia"/>
                <w:b/>
                <w:bCs/>
                <w:szCs w:val="21"/>
              </w:rPr>
              <w:t>二级功能模块</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jc w:val="center"/>
              <w:rPr>
                <w:rFonts w:asciiTheme="minorEastAsia" w:hAnsiTheme="minorEastAsia" w:eastAsiaTheme="minorEastAsia"/>
                <w:b/>
                <w:bCs/>
                <w:szCs w:val="21"/>
              </w:rPr>
            </w:pPr>
            <w:r>
              <w:rPr>
                <w:rFonts w:hint="eastAsia" w:asciiTheme="minorEastAsia" w:hAnsiTheme="minorEastAsia" w:eastAsiaTheme="minorEastAsia"/>
                <w:b/>
                <w:bCs/>
                <w:szCs w:val="21"/>
              </w:rPr>
              <w:t>功能明细</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jc w:val="center"/>
              <w:rPr>
                <w:rFonts w:asciiTheme="minorEastAsia" w:hAnsiTheme="minorEastAsia" w:eastAsiaTheme="minorEastAsia"/>
                <w:b/>
                <w:bCs/>
                <w:szCs w:val="21"/>
              </w:rPr>
            </w:pPr>
            <w:r>
              <w:rPr>
                <w:rFonts w:hint="eastAsia" w:asciiTheme="minorEastAsia" w:hAnsiTheme="minorEastAsia" w:eastAsiaTheme="minorEastAsia"/>
                <w:b/>
                <w:bCs/>
                <w:szCs w:val="21"/>
              </w:rPr>
              <w:t>功能描述</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个人用户管理</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个人申请用户基本信息维护</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基于“一网通办”认证用户展示用户的个人信息，如姓名、身份证号、联系方式等（优先取自“一网通办”），提供编辑功能，允许用户修改部分信息如联系地址等，作为办理自然资源确权登记全程网办的数据基础。显示姓名和联系手机，可通过验证码确认联系电话。</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个人用户管理</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个人用户设置电子印章管理</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与CA认证中心“我的签章”对接，检查本人设置的个人电子签名，并结合CA提供的更新服务，跳转至相关平台进行修改配置。</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机构用户管理</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经纪机构及公证处用户信息维护服务</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经纪机构、公证处用户维护其信息和对使用权限和期限进行控制的功能；提供所有全程网办案件集中待办入口，受理用户可直观查询出所需网办的案件，并且系统提供提醒功能。提供网页端和移动端个人意愿认证及材料签署任务箱。</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登记全程网办业务申报</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新建商品房类预采集服务</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对于预购商品房和新建商品房转移登记全程网办，由申请用户发起授权开发企业代办登记功能，允许开发企业在所属名下大产证或预售许可情况下代办小业主登记；在线办理预购商品房预告登记及预购商品房设立抵押权预告登记。。买受方为企业，委托房地产经纪机构或自行成交的存量房地产买卖的转移登记业务。</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登记全程网办业务申报</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关系名称变化赠与补证抵押及注销信息预采集</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1）涉及因房地产共有关系变化的变更登记：经登记的房地产因共有关系由等额按份共有转为共同共有，或者由共同共有转为等额按份共有</w:t>
            </w:r>
          </w:p>
          <w:p>
            <w:pPr>
              <w:pStyle w:val="141"/>
              <w:rPr>
                <w:rFonts w:asciiTheme="minorEastAsia" w:hAnsiTheme="minorEastAsia" w:eastAsiaTheme="minorEastAsia"/>
                <w:szCs w:val="21"/>
              </w:rPr>
            </w:pPr>
            <w:r>
              <w:rPr>
                <w:rFonts w:hint="eastAsia" w:asciiTheme="minorEastAsia" w:hAnsiTheme="minorEastAsia" w:eastAsiaTheme="minorEastAsia"/>
                <w:szCs w:val="21"/>
              </w:rPr>
              <w:t>2）权利人名称变更支持凭身份证及户口簿进行变更登记。其中，对于是否满足变更检查有相应的材料要求。通过上传申报材料，经由系统检查验证后可进行后续的登记流程操作。</w:t>
            </w:r>
          </w:p>
          <w:p>
            <w:pPr>
              <w:pStyle w:val="141"/>
              <w:rPr>
                <w:rFonts w:asciiTheme="minorEastAsia" w:hAnsiTheme="minorEastAsia" w:eastAsiaTheme="minorEastAsia"/>
                <w:szCs w:val="21"/>
              </w:rPr>
            </w:pPr>
            <w:r>
              <w:rPr>
                <w:rFonts w:hint="eastAsia" w:asciiTheme="minorEastAsia" w:hAnsiTheme="minorEastAsia" w:eastAsiaTheme="minorEastAsia"/>
                <w:szCs w:val="21"/>
              </w:rPr>
              <w:t>3）对共有人间赠予，系统提供登记申请流程、在线检查及在线申请书制作等功能。</w:t>
            </w:r>
          </w:p>
          <w:p>
            <w:pPr>
              <w:pStyle w:val="141"/>
              <w:rPr>
                <w:rFonts w:asciiTheme="minorEastAsia" w:hAnsiTheme="minorEastAsia" w:eastAsiaTheme="minorEastAsia"/>
                <w:szCs w:val="21"/>
              </w:rPr>
            </w:pPr>
            <w:r>
              <w:rPr>
                <w:rFonts w:hint="eastAsia" w:asciiTheme="minorEastAsia" w:hAnsiTheme="minorEastAsia" w:eastAsiaTheme="minorEastAsia"/>
                <w:szCs w:val="21"/>
              </w:rPr>
              <w:t>4）补证登记的业务范围涉及个人或企业申请补办名下遗失的不动产权证书或不动产登记证明。5）申请人为所有抵押权人，在线提交抵押权注销登记申请。</w:t>
            </w:r>
          </w:p>
          <w:p>
            <w:pPr>
              <w:pStyle w:val="141"/>
              <w:rPr>
                <w:rFonts w:asciiTheme="minorEastAsia" w:hAnsiTheme="minorEastAsia" w:eastAsiaTheme="minorEastAsia"/>
                <w:szCs w:val="21"/>
              </w:rPr>
            </w:pPr>
            <w:r>
              <w:rPr>
                <w:rFonts w:hint="eastAsia" w:asciiTheme="minorEastAsia" w:hAnsiTheme="minorEastAsia" w:eastAsiaTheme="minorEastAsia"/>
                <w:szCs w:val="21"/>
              </w:rPr>
              <w:t>6）注销预购商品房预告登记申报功能分预购商品房预购人办理模式。通过上传申报材料，经由系统检查验证后可进行后续的登记流程操作。</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登记全程网办业务申报</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公证继承及配偶变更信息预采集</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1)提供公证处人员代办经公证继承功能，通过上传申报材料，确保继承权的合法转移。通过上传申报材料，经由系统检查验证后可进行后续的登记流程操作。2)配偶变更，需要联合全国婚姻库联查婚姻关系，并对配偶加名、减名、互换和份额调整做特殊控制处理。</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登记全程网办业务申报</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非商品房房屋所有权首次登记信息预采集</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新建非商品房房屋所有权登记：</w:t>
            </w:r>
          </w:p>
          <w:p>
            <w:pPr>
              <w:pStyle w:val="141"/>
              <w:rPr>
                <w:rFonts w:asciiTheme="minorEastAsia" w:hAnsiTheme="minorEastAsia" w:eastAsiaTheme="minorEastAsia"/>
                <w:szCs w:val="21"/>
              </w:rPr>
            </w:pPr>
            <w:r>
              <w:rPr>
                <w:rFonts w:hint="eastAsia" w:asciiTheme="minorEastAsia" w:hAnsiTheme="minorEastAsia" w:eastAsiaTheme="minorEastAsia"/>
                <w:szCs w:val="21"/>
              </w:rPr>
              <w:t>1、建设单位申请办理网办的信息校验，收集包括项目编号、竣工验收合格证编号等相关内容。</w:t>
            </w:r>
          </w:p>
          <w:p>
            <w:pPr>
              <w:pStyle w:val="141"/>
              <w:rPr>
                <w:rFonts w:asciiTheme="minorEastAsia" w:hAnsiTheme="minorEastAsia" w:eastAsiaTheme="minorEastAsia"/>
                <w:szCs w:val="21"/>
              </w:rPr>
            </w:pPr>
            <w:r>
              <w:rPr>
                <w:rFonts w:hint="eastAsia" w:asciiTheme="minorEastAsia" w:hAnsiTheme="minorEastAsia" w:eastAsiaTheme="minorEastAsia"/>
                <w:szCs w:val="21"/>
              </w:rPr>
              <w:t>2、在申请过程中需要获取规资工程建设许可证、住建部门竣工备案证书、以及相关图纸、批文和项目表。</w:t>
            </w:r>
          </w:p>
          <w:p>
            <w:pPr>
              <w:pStyle w:val="141"/>
              <w:rPr>
                <w:rFonts w:asciiTheme="minorEastAsia" w:hAnsiTheme="minorEastAsia" w:eastAsiaTheme="minorEastAsia"/>
                <w:szCs w:val="21"/>
              </w:rPr>
            </w:pPr>
            <w:r>
              <w:rPr>
                <w:rFonts w:hint="eastAsia" w:asciiTheme="minorEastAsia" w:hAnsiTheme="minorEastAsia" w:eastAsiaTheme="minorEastAsia"/>
                <w:szCs w:val="21"/>
              </w:rPr>
              <w:t>3、需要严格检查对于登记所需的测绘报告结果数据。</w:t>
            </w:r>
          </w:p>
          <w:p>
            <w:pPr>
              <w:pStyle w:val="141"/>
              <w:rPr>
                <w:rFonts w:asciiTheme="minorEastAsia" w:hAnsiTheme="minorEastAsia" w:eastAsiaTheme="minorEastAsia"/>
                <w:szCs w:val="21"/>
              </w:rPr>
            </w:pPr>
            <w:r>
              <w:rPr>
                <w:rFonts w:hint="eastAsia" w:asciiTheme="minorEastAsia" w:hAnsiTheme="minorEastAsia" w:eastAsiaTheme="minorEastAsia"/>
                <w:szCs w:val="21"/>
              </w:rPr>
              <w:t>4、需要按照申请要求提供开发企业确认相关材料</w:t>
            </w:r>
          </w:p>
          <w:p>
            <w:pPr>
              <w:pStyle w:val="141"/>
              <w:rPr>
                <w:rFonts w:asciiTheme="minorEastAsia" w:hAnsiTheme="minorEastAsia" w:eastAsiaTheme="minorEastAsia"/>
                <w:szCs w:val="21"/>
              </w:rPr>
            </w:pPr>
            <w:r>
              <w:rPr>
                <w:rFonts w:hint="eastAsia" w:asciiTheme="minorEastAsia" w:hAnsiTheme="minorEastAsia" w:eastAsiaTheme="minorEastAsia"/>
                <w:szCs w:val="21"/>
              </w:rPr>
              <w:t>5、对于后续确认和电子签章要完备，明确身份和检查控制要求</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登记全程网办业务申报</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登记失信人限制网办管理</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针对违反相关规定的登记失信人进行限制网办便利性操作，予以相关功能的限制和提醒，并可配置相关有效性</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不动产登记物码信息服务</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开具本市房屋查询结果证明移动端申报</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对于模式三改造开具本市房屋查询结果证明， </w:t>
            </w:r>
          </w:p>
          <w:p>
            <w:pPr>
              <w:pStyle w:val="141"/>
              <w:rPr>
                <w:rFonts w:asciiTheme="minorEastAsia" w:hAnsiTheme="minorEastAsia" w:eastAsiaTheme="minorEastAsia"/>
                <w:szCs w:val="21"/>
              </w:rPr>
            </w:pPr>
            <w:r>
              <w:rPr>
                <w:rFonts w:hint="eastAsia" w:asciiTheme="minorEastAsia" w:hAnsiTheme="minorEastAsia" w:eastAsiaTheme="minorEastAsia"/>
                <w:szCs w:val="21"/>
              </w:rPr>
              <w:t>在随申办APP及小程序上实现以一网通办好办标准完成该查询事项，改造现有针对本人名下房屋的电子证照结果</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不动产登记物码信息服务</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不动产登记物码信息核验服务</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为了方便市民查询和使用房屋查询结果证明及登记信息，也同时为了提高对这些电子证明材料的真实性和可信度，本次优化在制证结果上增加二维码功能，用户可以将查询的二维码保存至手机，并在需要时向相关单位或个人出示（抵押权人可贷前查询）。接收方可以通过扫描此二维码，在随申办平台上核验电子材料的真伪。</w:t>
            </w:r>
          </w:p>
          <w:p>
            <w:pPr>
              <w:pStyle w:val="141"/>
              <w:rPr>
                <w:rFonts w:asciiTheme="minorEastAsia" w:hAnsiTheme="minorEastAsia" w:eastAsiaTheme="minorEastAsia"/>
                <w:szCs w:val="21"/>
              </w:rPr>
            </w:pPr>
            <w:r>
              <w:rPr>
                <w:rFonts w:hint="eastAsia" w:asciiTheme="minorEastAsia" w:hAnsiTheme="minorEastAsia" w:eastAsiaTheme="minorEastAsia"/>
                <w:szCs w:val="21"/>
              </w:rPr>
              <w:t>申请人可将二维码展示给需要核验的单位，单位可以直接通过手机随申办APP或小程序扫码即可跳转到“登记信息”，点开就可看到原件。</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不动产登记物码信息服务</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随申办及“一网通办”我的不动产专属空间</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提供我的不动产在随申办和“一网通办”专属空间，匹配相关系统界面风格及跳转要求</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asciiTheme="minorEastAsia" w:hAnsiTheme="minorEastAsia" w:eastAsiaTheme="minorEastAsia"/>
                <w:szCs w:val="21"/>
              </w:rPr>
              <w:t>抵押权登记信息服务</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抵押权登记信息查询</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提供抵押权人通过“一网通办”进行抵押登记信息查询功能，可查到名下抵押物的详细登记信息</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抵押权登记信息服务</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抵押权人分支机构管理</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对抵押权人存在分支机构或名称变更后建立关联关系，如金融机构下属银行支行，或者银行调整名称后的关联管理，支持关联到的机构也可进行查询</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登记网办申请模块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抵押权登记信息服务</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金融机构抵押登记印章备案管理</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对金融机构备案抵押登记的印章进行管理，可配置相关认定签章结果，并对电子签章进行解析展示，备案印章包含全市30多家银行上海分行，超过200多个业务备案章的规范管理，需要设计用章具体支行和业务使用范围，需要在办理抵押权登记时进行自动比对和检查，对于电子印章，需要存储专门的证书颁布者，确保符合金融管理如CFCA等规范要求。</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登记业务协同办理模块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登记协同办理</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新增房管局公房与登记数据比对功能</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提供房管局对于公房与登记数据的比对服务，通过业务人员比对公房地址返回实际登记房屋标识信息</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登记业务协同办理模块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登记协同办理</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共有产权房变更登记协同办理功能</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提供共有产权变更所需的缴款结清证明，并应用于变更登记数据校核</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登记业务协同办理模块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登记协同办理</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无居民海岛登记协同办理</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无居民海岛为最新定义的海域登记业务，需要通过海洋局数据交换进行同步申请，按照全新无居民海岛登记进行制证输出，与自然资源部海岛登记要求一致</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登记业务协同办理模块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登记协同办理</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城管局违建整治协同办理</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针对住建城管部门办理违法认定的文件登记相关业务功能，实现不见面全程网办</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登记业务协同办理模块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通用审核模块</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全程网办案件接收模块</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提供所有全程网办案件集中待办入口，受理用户可直观查询出所需网办的案件，并且系统提供提醒功能，拥有受理权限的用户一登录系统即可收到提示。</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登记业务协同办理模块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通用审核模块</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在线真实意愿视频材料审核服务</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将个人在线进行真实意愿表达的录音录屏材料集成到网办案件系统中，以支持案件的审核和记录工作。</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登记业务协同办理模块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通用审核模块</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全程网办电子材料检查</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应全程网办的电子材料进行校验和区别展示，重点区别由大数据中心或其他业务系统获取的电子证照及个人手工上传的材料。对全程网办上传部分材料的关键图片进行识别，辅助业务人员比较关键信息</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登记业务协同办理模块</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通用审核模块</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全程网办废证公告</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对于变更、换证等无法需要废除原产证的案件，提供快速生成废证公告功能，并告知申请人公告发出。</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公共支付</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登记缴费模块</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公共支付缴款书支付渠道</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支持通过随申办扫一扫利用数字人民币支付相关费用，与登记公共支付应用衔接。</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公共支付</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登记缴费模块</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财政电子缴款书库存及预开具管理</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对于各执收单位发放不动产登记收费电子缴款书的库存管理；对于公共支付进行预开具电子缴款书之后，因特殊情况产生问题数据进行作废操作，记录作废相关结果和日志，并可进行查询</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免申即享服务</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免申即享通用管理</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小微企业及退役军人免申即享服务</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依据免申即享技术要求，针对免申即享事项进行数据接入办件库操作，提供小微企业和退役军人办理相关不动产登记免收登记费的相关数据检查和计费控制功能</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登记智能辅助应用</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网办申请数据核验</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申请权利对抗检查服务</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申请人名下不动产定位服务，允许按照业务要求筛选可进行办理相关网办登记的名下不动产，可进行筛选和控制；包含全国库婚姻关系核验服务、户籍关系核验服务、监护人关系核验、新建商品房合同及交接书核验、存量房买卖网签数据及合同核验、法定代表人核验、失信人信息检查及同步等</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登记智能辅助应用</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个人意愿认证</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业务关联线上真实意愿认证</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依据不动产登记业务申报规则，基于登记案件办理的所有关联人员的个人身份进行真实意愿确认面签，系统将提供每个个人的面签入口，并确保面签操作的安全可靠。</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登记智能辅助应用</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个人意愿认证</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个人认证短信发送及配置</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对于个人进行网办申请的短信认证发送及配置服务功能</w:t>
            </w:r>
          </w:p>
          <w:p>
            <w:pPr>
              <w:pStyle w:val="141"/>
              <w:rPr>
                <w:rFonts w:asciiTheme="minorEastAsia" w:hAnsiTheme="minorEastAsia" w:eastAsiaTheme="minorEastAsia"/>
                <w:szCs w:val="21"/>
              </w:rPr>
            </w:pPr>
            <w:r>
              <w:rPr>
                <w:rFonts w:hint="eastAsia" w:asciiTheme="minorEastAsia" w:hAnsiTheme="minorEastAsia" w:eastAsiaTheme="minorEastAsia"/>
                <w:szCs w:val="21"/>
              </w:rPr>
              <w:t>1、需要定义可发送短信的业务类别</w:t>
            </w:r>
          </w:p>
          <w:p>
            <w:pPr>
              <w:pStyle w:val="141"/>
              <w:rPr>
                <w:rFonts w:asciiTheme="minorEastAsia" w:hAnsiTheme="minorEastAsia" w:eastAsiaTheme="minorEastAsia"/>
                <w:szCs w:val="21"/>
              </w:rPr>
            </w:pPr>
            <w:r>
              <w:rPr>
                <w:rFonts w:hint="eastAsia" w:asciiTheme="minorEastAsia" w:hAnsiTheme="minorEastAsia" w:eastAsiaTheme="minorEastAsia"/>
                <w:szCs w:val="21"/>
              </w:rPr>
              <w:t>2、需要配置接收短信的业务对象，包括主申请人，共有申请人和其他人（如领证人）</w:t>
            </w:r>
          </w:p>
          <w:p>
            <w:pPr>
              <w:pStyle w:val="141"/>
              <w:rPr>
                <w:rFonts w:asciiTheme="minorEastAsia" w:hAnsiTheme="minorEastAsia" w:eastAsiaTheme="minorEastAsia"/>
                <w:szCs w:val="21"/>
              </w:rPr>
            </w:pPr>
            <w:r>
              <w:rPr>
                <w:rFonts w:hint="eastAsia" w:asciiTheme="minorEastAsia" w:hAnsiTheme="minorEastAsia" w:eastAsiaTheme="minorEastAsia"/>
                <w:szCs w:val="21"/>
              </w:rPr>
              <w:t>3、配置该业务类别对应业务节点</w:t>
            </w:r>
          </w:p>
          <w:p>
            <w:pPr>
              <w:pStyle w:val="141"/>
              <w:rPr>
                <w:rFonts w:asciiTheme="minorEastAsia" w:hAnsiTheme="minorEastAsia" w:eastAsiaTheme="minorEastAsia"/>
                <w:szCs w:val="21"/>
              </w:rPr>
            </w:pPr>
            <w:r>
              <w:rPr>
                <w:rFonts w:hint="eastAsia" w:asciiTheme="minorEastAsia" w:hAnsiTheme="minorEastAsia" w:eastAsiaTheme="minorEastAsia"/>
                <w:szCs w:val="21"/>
              </w:rPr>
              <w:t>4、配置业务短信的具体内容，可定义主要内容和添加配置部分变量</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登记智能辅助应用</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个人意愿认证</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双录认证结果报告</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提供认证反馈结果服务，获取认证结果、意愿确认全流程的视频、音频及电子材料，在后续登记全程网办业务受理、业务审核提供充足的安全凭证。</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登记智能辅助应用</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个人意愿认证</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个人电子材料签署</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手机移动端个人手写板签名制作功能，允许绘制和清空签名；基于真实意思表达同时进行个人电子签名确认，可在“一网通办”端手写签名或读取个人CA“一网通办”签名；针对法人一证通的企业电子签章功能，对是否获取企业签章进行检查，提供企业页面签署等功能</w:t>
            </w:r>
          </w:p>
        </w:tc>
      </w:tr>
      <w:tr>
        <w:tblPrEx>
          <w:tblCellMar>
            <w:top w:w="0" w:type="dxa"/>
            <w:left w:w="108" w:type="dxa"/>
            <w:bottom w:w="0" w:type="dxa"/>
            <w:right w:w="108" w:type="dxa"/>
          </w:tblCellMar>
        </w:tblPrEx>
        <w:trPr>
          <w:trHeight w:val="300" w:hRule="atLeast"/>
        </w:trPr>
        <w:tc>
          <w:tcPr>
            <w:tcW w:w="1526"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登记网办效能监督</w:t>
            </w:r>
          </w:p>
        </w:tc>
        <w:tc>
          <w:tcPr>
            <w:tcW w:w="1845"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登记网办效能监督</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网办案件效能预警及监管</w:t>
            </w:r>
          </w:p>
        </w:tc>
        <w:tc>
          <w:tcPr>
            <w:tcW w:w="3186"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对于网办类案件进行超期提醒和监管功能，允许市级用户进行查询和统计，并提供预警和配置功能</w:t>
            </w:r>
          </w:p>
        </w:tc>
      </w:tr>
    </w:tbl>
    <w:p/>
    <w:p>
      <w:pPr>
        <w:pStyle w:val="4"/>
      </w:pPr>
      <w:r>
        <w:t>项目子系统（好办快办模块）</w:t>
      </w:r>
    </w:p>
    <w:tbl>
      <w:tblPr>
        <w:tblStyle w:val="36"/>
        <w:tblW w:w="8472" w:type="dxa"/>
        <w:tblInd w:w="0" w:type="dxa"/>
        <w:tblLayout w:type="autofit"/>
        <w:tblCellMar>
          <w:top w:w="0" w:type="dxa"/>
          <w:left w:w="108" w:type="dxa"/>
          <w:bottom w:w="0" w:type="dxa"/>
          <w:right w:w="108" w:type="dxa"/>
        </w:tblCellMar>
      </w:tblPr>
      <w:tblGrid>
        <w:gridCol w:w="1527"/>
        <w:gridCol w:w="1844"/>
        <w:gridCol w:w="1970"/>
        <w:gridCol w:w="13"/>
        <w:gridCol w:w="3118"/>
      </w:tblGrid>
      <w:tr>
        <w:tblPrEx>
          <w:tblCellMar>
            <w:top w:w="0" w:type="dxa"/>
            <w:left w:w="108" w:type="dxa"/>
            <w:bottom w:w="0" w:type="dxa"/>
            <w:right w:w="108" w:type="dxa"/>
          </w:tblCellMar>
        </w:tblPrEx>
        <w:trPr>
          <w:trHeight w:val="300" w:hRule="atLeast"/>
        </w:trPr>
        <w:tc>
          <w:tcPr>
            <w:tcW w:w="1527" w:type="dxa"/>
            <w:tcBorders>
              <w:top w:val="single" w:color="000000" w:sz="4" w:space="0"/>
              <w:left w:val="single" w:color="000000" w:sz="4" w:space="0"/>
              <w:bottom w:val="single" w:color="000000" w:sz="4" w:space="0"/>
              <w:right w:val="single" w:color="000000" w:sz="4" w:space="0"/>
            </w:tcBorders>
            <w:noWrap/>
            <w:vAlign w:val="center"/>
          </w:tcPr>
          <w:p>
            <w:pPr>
              <w:pStyle w:val="141"/>
              <w:jc w:val="center"/>
              <w:rPr>
                <w:rFonts w:asciiTheme="minorEastAsia" w:hAnsiTheme="minorEastAsia" w:eastAsiaTheme="minorEastAsia"/>
                <w:b/>
                <w:bCs/>
                <w:szCs w:val="21"/>
              </w:rPr>
            </w:pPr>
            <w:r>
              <w:rPr>
                <w:rFonts w:hint="eastAsia" w:asciiTheme="minorEastAsia" w:hAnsiTheme="minorEastAsia" w:eastAsiaTheme="minorEastAsia"/>
                <w:b/>
                <w:bCs/>
                <w:szCs w:val="21"/>
              </w:rPr>
              <w:t>一级功能模块</w:t>
            </w:r>
          </w:p>
        </w:tc>
        <w:tc>
          <w:tcPr>
            <w:tcW w:w="1844" w:type="dxa"/>
            <w:tcBorders>
              <w:top w:val="single" w:color="000000" w:sz="4" w:space="0"/>
              <w:left w:val="single" w:color="000000" w:sz="4" w:space="0"/>
              <w:bottom w:val="single" w:color="000000" w:sz="4" w:space="0"/>
              <w:right w:val="single" w:color="000000" w:sz="4" w:space="0"/>
            </w:tcBorders>
          </w:tcPr>
          <w:p>
            <w:pPr>
              <w:pStyle w:val="141"/>
              <w:jc w:val="center"/>
              <w:rPr>
                <w:rFonts w:asciiTheme="minorEastAsia" w:hAnsiTheme="minorEastAsia" w:eastAsiaTheme="minorEastAsia"/>
                <w:b/>
                <w:bCs/>
                <w:szCs w:val="21"/>
              </w:rPr>
            </w:pPr>
            <w:r>
              <w:rPr>
                <w:rFonts w:hint="eastAsia" w:asciiTheme="minorEastAsia" w:hAnsiTheme="minorEastAsia" w:eastAsiaTheme="minorEastAsia"/>
                <w:b/>
                <w:bCs/>
                <w:szCs w:val="21"/>
              </w:rPr>
              <w:t>二级功能模块</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1"/>
              <w:jc w:val="center"/>
              <w:rPr>
                <w:rFonts w:asciiTheme="minorEastAsia" w:hAnsiTheme="minorEastAsia" w:eastAsiaTheme="minorEastAsia"/>
                <w:b/>
                <w:bCs/>
                <w:szCs w:val="21"/>
              </w:rPr>
            </w:pPr>
            <w:r>
              <w:rPr>
                <w:rFonts w:hint="eastAsia" w:asciiTheme="minorEastAsia" w:hAnsiTheme="minorEastAsia" w:eastAsiaTheme="minorEastAsia"/>
                <w:b/>
                <w:bCs/>
                <w:szCs w:val="21"/>
              </w:rPr>
              <w:t>功能明细</w:t>
            </w:r>
          </w:p>
        </w:tc>
        <w:tc>
          <w:tcPr>
            <w:tcW w:w="3131" w:type="dxa"/>
            <w:gridSpan w:val="2"/>
            <w:tcBorders>
              <w:top w:val="single" w:color="000000" w:sz="4" w:space="0"/>
              <w:left w:val="single" w:color="000000" w:sz="4" w:space="0"/>
              <w:bottom w:val="single" w:color="000000" w:sz="4" w:space="0"/>
              <w:right w:val="single" w:color="000000" w:sz="4" w:space="0"/>
            </w:tcBorders>
            <w:vAlign w:val="center"/>
          </w:tcPr>
          <w:p>
            <w:pPr>
              <w:pStyle w:val="141"/>
              <w:jc w:val="center"/>
              <w:rPr>
                <w:rFonts w:asciiTheme="minorEastAsia" w:hAnsiTheme="minorEastAsia" w:eastAsiaTheme="minorEastAsia"/>
                <w:b/>
                <w:bCs/>
                <w:szCs w:val="21"/>
              </w:rPr>
            </w:pPr>
            <w:r>
              <w:rPr>
                <w:rFonts w:hint="eastAsia" w:asciiTheme="minorEastAsia" w:hAnsiTheme="minorEastAsia" w:eastAsiaTheme="minorEastAsia"/>
                <w:b/>
                <w:bCs/>
                <w:szCs w:val="21"/>
              </w:rPr>
              <w:t>功能描述</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规划设计条件征询智慧好办</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申报端优化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申报端优化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涉及申报主体信息预填和规划信息预填功能，获取“一网通办”登录信息，预填申报主体信息。规划信息通过批文号进行查询展示。</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审批端优化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自动制图、出图</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在案件收件提交预审时，落图功能通过解析CAD中扩展属性中的信息，并入库到对应图层中，并制图。</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审批端优化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行政协助征询模块优化－被征询部门优化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为申报单位自动匹配被征询部门，并同步信息至审批端，经办人可根据情况对被征询部门进行调整。</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审批端优化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 xml:space="preserve">行政协助征询模块优化－文件交互和批量下载      </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被征询部门发起补正，申报端可上传补正材料；内外网补正信息同步，并推送至行政协助平台；支持文件批量下载。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审批端优化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行政协助征询模块优化－补正材料上传</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审批对接行政协助平台推送征询信息，接收行政协助反馈被征询部门是否发起补正，需要发起补正的部门在案件资源树征询节点开放由建设单位上传材料的权限。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审批端优化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行政协助征询模块优化－补正数据共享、短信推送服务、征询结果管理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将补正材料及数据通过文件交互传输至行政协助平台，由行政协助平台接收文件并处理。接收行政协助平台发起的补正请求时，向建设单位推送短信。                                                              系统接收被征询部门反馈意见结果文件及信息，并推送至互联网供建设单位查看。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审批端优化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行政协助征询模块优化-乡村建设规划许可证（设施农用地项目）行政协助征询</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乡村建设规划许可证（设施农用地项目）、乡村建设规划许可证事项，在案件审理环节增加行政协助征询功能。</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审批端优化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行政协助征询模块优化－乡村建设规划许可证事项（集体土地）行政协助征询</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乡村建设规划许可证事项（集体土地入市），在案件审理环节增加行政协助征询功能。</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审批端优化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行政协助征询模块优化-优化与市审改办行政协助系统接口对接</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按照行政协助新标准，优化与行政协助系统接口对接，请求机关获取可请求协助事项信息</w:t>
            </w:r>
            <w:r>
              <w:rPr>
                <w:rFonts w:hint="eastAsia" w:asciiTheme="minorEastAsia" w:hAnsiTheme="minorEastAsia" w:eastAsiaTheme="minorEastAsia"/>
                <w:szCs w:val="21"/>
              </w:rPr>
              <w:t>及过程信息，</w:t>
            </w:r>
            <w:r>
              <w:rPr>
                <w:rFonts w:asciiTheme="minorEastAsia" w:hAnsiTheme="minorEastAsia" w:eastAsiaTheme="minorEastAsia"/>
                <w:szCs w:val="21"/>
              </w:rPr>
              <w:t>返回参数新增字段</w:t>
            </w:r>
            <w:r>
              <w:rPr>
                <w:rFonts w:hint="eastAsia" w:asciiTheme="minorEastAsia" w:hAnsiTheme="minorEastAsia" w:eastAsiaTheme="minorEastAsia"/>
                <w:szCs w:val="21"/>
              </w:rPr>
              <w:t>：</w:t>
            </w:r>
            <w:r>
              <w:rPr>
                <w:rFonts w:asciiTheme="minorEastAsia" w:hAnsiTheme="minorEastAsia" w:eastAsiaTheme="minorEastAsia"/>
                <w:szCs w:val="21"/>
              </w:rPr>
              <w:t>是否双免交</w:t>
            </w:r>
            <w:r>
              <w:rPr>
                <w:rFonts w:hint="eastAsia" w:asciiTheme="minorEastAsia" w:hAnsiTheme="minorEastAsia" w:eastAsiaTheme="minorEastAsia"/>
                <w:szCs w:val="21"/>
              </w:rPr>
              <w:t>，</w:t>
            </w:r>
            <w:r>
              <w:rPr>
                <w:rFonts w:asciiTheme="minorEastAsia" w:hAnsiTheme="minorEastAsia" w:eastAsiaTheme="minorEastAsia"/>
                <w:szCs w:val="21"/>
              </w:rPr>
              <w:t>材料补正id</w:t>
            </w:r>
            <w:r>
              <w:rPr>
                <w:rFonts w:hint="eastAsia" w:asciiTheme="minorEastAsia" w:hAnsiTheme="minorEastAsia" w:eastAsiaTheme="minorEastAsia"/>
                <w:szCs w:val="21"/>
              </w:rPr>
              <w:t>等，</w:t>
            </w:r>
            <w:r>
              <w:rPr>
                <w:rFonts w:asciiTheme="minorEastAsia" w:hAnsiTheme="minorEastAsia" w:eastAsiaTheme="minorEastAsia"/>
                <w:szCs w:val="21"/>
              </w:rPr>
              <w:t>请求机关发起协助</w:t>
            </w:r>
            <w:r>
              <w:rPr>
                <w:rFonts w:hint="eastAsia" w:asciiTheme="minorEastAsia" w:hAnsiTheme="minorEastAsia" w:eastAsiaTheme="minorEastAsia"/>
                <w:szCs w:val="21"/>
              </w:rPr>
              <w:t>（暂存、材料上传），</w:t>
            </w:r>
            <w:r>
              <w:rPr>
                <w:rFonts w:asciiTheme="minorEastAsia" w:hAnsiTheme="minorEastAsia" w:eastAsiaTheme="minorEastAsia"/>
                <w:szCs w:val="21"/>
              </w:rPr>
              <w:t>请求参数新增字段：统一审批编码</w:t>
            </w:r>
            <w:r>
              <w:rPr>
                <w:rFonts w:hint="eastAsia" w:asciiTheme="minorEastAsia" w:hAnsiTheme="minorEastAsia" w:eastAsiaTheme="minorEastAsia"/>
                <w:szCs w:val="21"/>
              </w:rPr>
              <w:t>，</w:t>
            </w:r>
            <w:r>
              <w:rPr>
                <w:rFonts w:asciiTheme="minorEastAsia" w:hAnsiTheme="minorEastAsia" w:eastAsiaTheme="minorEastAsia"/>
                <w:szCs w:val="21"/>
              </w:rPr>
              <w:t>协助事项申请材料Id。请求机关补正材料上传</w:t>
            </w:r>
            <w:r>
              <w:rPr>
                <w:rFonts w:hint="eastAsia" w:asciiTheme="minorEastAsia" w:hAnsiTheme="minorEastAsia" w:eastAsiaTheme="minorEastAsia"/>
                <w:szCs w:val="21"/>
              </w:rPr>
              <w:t>，</w:t>
            </w:r>
            <w:r>
              <w:rPr>
                <w:rFonts w:asciiTheme="minorEastAsia" w:hAnsiTheme="minorEastAsia" w:eastAsiaTheme="minorEastAsia"/>
                <w:szCs w:val="21"/>
              </w:rPr>
              <w:t>请求参数新增字段：补正id</w:t>
            </w:r>
            <w:r>
              <w:rPr>
                <w:rFonts w:hint="eastAsia" w:asciiTheme="minorEastAsia" w:hAnsiTheme="minorEastAsia" w:eastAsiaTheme="minorEastAsia"/>
                <w:szCs w:val="21"/>
              </w:rPr>
              <w:t>，补正材料名称等。</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竣工规划资源验收（管线工程）智慧好办</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申报端优化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申报端优化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企业在申请建设项目竣工规划资源验收（管线工程）时可进行申报主体信息预填，多测合一信息预填，项目实施信息预填，管线跟测数据预填，竣工图形数据预填，管线竣工申报信息预填等。</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管线分析报告</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管线分析范围入库</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提供管线分析报告在线框画功能，可连续点选构面后，将面图形入库，作为管线分析报告的数据范围。</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管线分析报告</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要素底板报告信息推送</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提供申请范围数据提取及项目信息推送。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管线分析报告</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管线底板申请申报引导、白名单判定</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管线底版申请申报引导，引导信息依次为项目编号获取项目信息 ，告知承诺界面，申报主体信息管理，生成管线底板申请表并加盖电子签章。并提供白名单判定功能，核验通过的用户才能进行管线信息分析报告申请。</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管线分析报告</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管线底板提供审核－基本信息与空间位置审核及数据提供记录</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规划资源部门在空间地图上审核申请底板的项目位置。</w:t>
            </w:r>
            <w:r>
              <w:rPr>
                <w:rFonts w:hint="eastAsia" w:asciiTheme="minorEastAsia" w:hAnsiTheme="minorEastAsia" w:eastAsiaTheme="minorEastAsia"/>
                <w:szCs w:val="21"/>
              </w:rPr>
              <w:t>经审批</w:t>
            </w:r>
            <w:r>
              <w:rPr>
                <w:rFonts w:asciiTheme="minorEastAsia" w:hAnsiTheme="minorEastAsia" w:eastAsiaTheme="minorEastAsia"/>
                <w:szCs w:val="21"/>
              </w:rPr>
              <w:t>服务人员</w:t>
            </w:r>
            <w:r>
              <w:rPr>
                <w:rFonts w:hint="eastAsia" w:asciiTheme="minorEastAsia" w:hAnsiTheme="minorEastAsia" w:eastAsiaTheme="minorEastAsia"/>
                <w:szCs w:val="21"/>
              </w:rPr>
              <w:t>在制图环节</w:t>
            </w:r>
            <w:r>
              <w:rPr>
                <w:rFonts w:asciiTheme="minorEastAsia" w:hAnsiTheme="minorEastAsia" w:eastAsiaTheme="minorEastAsia"/>
                <w:szCs w:val="21"/>
              </w:rPr>
              <w:t>制作成果文件，审核通过后发放数据底板提供任务；审核未通过</w:t>
            </w:r>
            <w:r>
              <w:rPr>
                <w:rFonts w:hint="eastAsia" w:asciiTheme="minorEastAsia" w:hAnsiTheme="minorEastAsia" w:eastAsiaTheme="minorEastAsia"/>
                <w:szCs w:val="21"/>
              </w:rPr>
              <w:t>进行</w:t>
            </w:r>
            <w:r>
              <w:rPr>
                <w:rFonts w:asciiTheme="minorEastAsia" w:hAnsiTheme="minorEastAsia" w:eastAsiaTheme="minorEastAsia"/>
                <w:szCs w:val="21"/>
              </w:rPr>
              <w:t>短信告知。底板提供部门</w:t>
            </w:r>
            <w:r>
              <w:rPr>
                <w:rFonts w:hint="eastAsia" w:asciiTheme="minorEastAsia" w:hAnsiTheme="minorEastAsia" w:eastAsiaTheme="minorEastAsia"/>
                <w:szCs w:val="21"/>
              </w:rPr>
              <w:t>需</w:t>
            </w:r>
            <w:r>
              <w:rPr>
                <w:rFonts w:asciiTheme="minorEastAsia" w:hAnsiTheme="minorEastAsia" w:eastAsiaTheme="minorEastAsia"/>
                <w:szCs w:val="21"/>
              </w:rPr>
              <w:t>记录</w:t>
            </w:r>
            <w:r>
              <w:rPr>
                <w:rFonts w:hint="eastAsia" w:asciiTheme="minorEastAsia" w:hAnsiTheme="minorEastAsia" w:eastAsiaTheme="minorEastAsia"/>
                <w:szCs w:val="21"/>
              </w:rPr>
              <w:t>底版提供</w:t>
            </w:r>
            <w:r>
              <w:rPr>
                <w:rFonts w:asciiTheme="minorEastAsia" w:hAnsiTheme="minorEastAsia" w:eastAsiaTheme="minorEastAsia"/>
                <w:szCs w:val="21"/>
              </w:rPr>
              <w:t>信息。</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管线分析报告</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电子管线图申请－申报引导、白名单判定</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“一网通办”中增加“管线信息分析报告”申报引导，帮助用户快速找到申报入口。</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管线分析报告</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电子管线图分析报告申请</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支持电子管线图提供申请，提供项目基本信息、申请主体信息、电子管线图申请原因，可选数据成果需求，在互联网地图上框画申请底板的数据范围申报。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多测合一数据同步、地名数据、地质资料汇交、数据预填</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多测合一数据同步、地名数据、地质资料汇交、数据预填</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多测合一数据同步，直接读取多测合一数据；含地名，地质资料汇交，执法数据预填。</w:t>
            </w:r>
          </w:p>
        </w:tc>
      </w:tr>
      <w:tr>
        <w:tblPrEx>
          <w:tblCellMar>
            <w:top w:w="0" w:type="dxa"/>
            <w:left w:w="108" w:type="dxa"/>
            <w:bottom w:w="0" w:type="dxa"/>
            <w:right w:w="108" w:type="dxa"/>
          </w:tblCellMar>
        </w:tblPrEx>
        <w:trPr>
          <w:trHeight w:val="300" w:hRule="atLeast"/>
        </w:trPr>
        <w:tc>
          <w:tcPr>
            <w:tcW w:w="1527" w:type="dxa"/>
            <w:tcBorders>
              <w:top w:val="single" w:color="000000" w:sz="4" w:space="0"/>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r>
              <w:rPr>
                <w:rFonts w:hint="eastAsia" w:asciiTheme="minorEastAsia" w:hAnsiTheme="minorEastAsia" w:eastAsiaTheme="minorEastAsia"/>
                <w:szCs w:val="21"/>
              </w:rPr>
              <w:t>《建设用地规划许可证》的核发（出让土地）智慧好办</w:t>
            </w: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新办、依申请优化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新办、依申请优化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含申报主体信息预填，出让信息预填，项目信息预填等。                             </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r>
              <w:rPr>
                <w:rFonts w:hint="eastAsia" w:asciiTheme="minorEastAsia" w:hAnsiTheme="minorEastAsia" w:eastAsiaTheme="minorEastAsia"/>
                <w:szCs w:val="21"/>
              </w:rPr>
              <w:t>开工放样复验智慧好办</w:t>
            </w: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开工放样复验审批（房屋建筑）新办申报端优化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开工放样复验审批（房屋建筑）新办申报端优化</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含申报主体信息预填，测绘报告信息预填，单体信息预填等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开工放样复验审批（线性工程）新办申报端优化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开工放样复验审批（线性工程）新办申报端优化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获取工规证信息，预填申报主体信息，建设项目情况，展示单体基本信息及需审核项的许可值。自动计算许可值和实测值的差值并展示。</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r>
              <w:rPr>
                <w:rFonts w:asciiTheme="minorEastAsia" w:hAnsiTheme="minorEastAsia" w:eastAsiaTheme="minorEastAsia"/>
                <w:szCs w:val="21"/>
              </w:rPr>
              <w:t>建设工程规划许可证智慧好办</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asciiTheme="minorEastAsia" w:hAnsiTheme="minorEastAsia" w:eastAsiaTheme="minorEastAsia"/>
                <w:szCs w:val="21"/>
              </w:rPr>
              <w:t>工程规划许可证（管线工程）新办申报端优化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申报端信息预填</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含申报主体信息预填，跟测单位信息预填，规划信息预填等。</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asciiTheme="minorEastAsia" w:hAnsiTheme="minorEastAsia" w:eastAsiaTheme="minorEastAsia"/>
                <w:szCs w:val="21"/>
              </w:rPr>
              <w:t>建设工程规划许可证（管线工程）新办申报端优化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申报端落图－文件质检模块优化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在文件质检模块中新增落图查看功能；通过一张图可查看用地边界，可通过点击左侧菜单切换图层展示。</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建设工程规划许可证（管线工程）新办申报端优化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申报端落图-落图功能开发</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含落图按钮初始禁用，获取gis成功后可用，互联网端执行落图操作。落图功能对接，分析图形数据，叠加地块数据，一张图展示落图图形。</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建设工程规划许可证（房屋建筑工程）依申请变更申报端优化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单体变更优化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工规证变更申报时增加选择是否涉及单体变更，是根据dwg图纸质检解析单体。否，继承新办工规证单体。如不涉及总平图变更，提交变更的单体及图纸。</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r>
              <w:rPr>
                <w:rFonts w:hint="eastAsia" w:asciiTheme="minorEastAsia" w:hAnsiTheme="minorEastAsia" w:eastAsiaTheme="minorEastAsia"/>
                <w:szCs w:val="21"/>
              </w:rPr>
              <w:t>建设项目规划土地意见书（划拨土地）智慧好办</w:t>
            </w: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建设项目规划土地意见书（划拨土地）依申请变更申报端优化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建设项目规划土地意见书（划拨土地）依申请变更申报端优化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获取“一网通办”登录信息，预填申报主体信息；获取新办申请数据，预填立项批准信息。预填建设项目概况。</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建设项目规划土地意见书（划拨土地）延期申报端优化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建设项目规划土地意见书（划拨土地）延期申报端优化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获取“一网通办”登录信息，预填申报主体信息；获取规划土地意见书新办项目信息。</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建设项目规划土地意见书（划拨土地）新办申报端优化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建设项目规划土地意见书（划拨土地）新办申报端优化</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含申报主体信息预填，新办申请数据预填                                         </w:t>
            </w:r>
          </w:p>
        </w:tc>
      </w:tr>
      <w:tr>
        <w:tblPrEx>
          <w:tblCellMar>
            <w:top w:w="0" w:type="dxa"/>
            <w:left w:w="108" w:type="dxa"/>
            <w:bottom w:w="0" w:type="dxa"/>
            <w:right w:w="108" w:type="dxa"/>
          </w:tblCellMar>
        </w:tblPrEx>
        <w:trPr>
          <w:trHeight w:val="300" w:hRule="atLeast"/>
        </w:trPr>
        <w:tc>
          <w:tcPr>
            <w:tcW w:w="1527" w:type="dxa"/>
            <w:tcBorders>
              <w:top w:val="single" w:color="000000" w:sz="4" w:space="0"/>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r>
              <w:rPr>
                <w:rFonts w:hint="eastAsia" w:asciiTheme="minorEastAsia" w:hAnsiTheme="minorEastAsia" w:eastAsiaTheme="minorEastAsia"/>
                <w:szCs w:val="21"/>
              </w:rPr>
              <w:t>《临时建设用地规划许可证》智慧好办</w:t>
            </w: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《临时建设用地规划许可证》智慧好办</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《临时建设用地规划许可证》智慧好办</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对临时建设用地规划许可证申报端申报功能进行优化，含申报主体信息预填。</w:t>
            </w:r>
          </w:p>
        </w:tc>
      </w:tr>
      <w:tr>
        <w:tblPrEx>
          <w:tblCellMar>
            <w:top w:w="0" w:type="dxa"/>
            <w:left w:w="108" w:type="dxa"/>
            <w:bottom w:w="0" w:type="dxa"/>
            <w:right w:w="108" w:type="dxa"/>
          </w:tblCellMar>
        </w:tblPrEx>
        <w:trPr>
          <w:trHeight w:val="300" w:hRule="atLeast"/>
        </w:trPr>
        <w:tc>
          <w:tcPr>
            <w:tcW w:w="1527" w:type="dxa"/>
            <w:tcBorders>
              <w:top w:val="single" w:color="000000" w:sz="4" w:space="0"/>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办不成事</w:t>
            </w: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申报端校验</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申报端校验</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行政相对人通过“一网通办”各端在线申报过程中，各端申报页面按以下要求进行提示。</w:t>
            </w:r>
          </w:p>
          <w:p>
            <w:pPr>
              <w:pStyle w:val="141"/>
              <w:rPr>
                <w:rFonts w:asciiTheme="minorEastAsia" w:hAnsiTheme="minorEastAsia" w:eastAsiaTheme="minorEastAsia"/>
                <w:szCs w:val="21"/>
              </w:rPr>
            </w:pPr>
            <w:r>
              <w:rPr>
                <w:rFonts w:asciiTheme="minorEastAsia" w:hAnsiTheme="minorEastAsia" w:eastAsiaTheme="minorEastAsia"/>
                <w:szCs w:val="21"/>
              </w:rPr>
              <w:t>页面停留时间过长</w:t>
            </w: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分钟）</w:t>
            </w:r>
            <w:r>
              <w:rPr>
                <w:rFonts w:asciiTheme="minorEastAsia" w:hAnsiTheme="minorEastAsia" w:eastAsiaTheme="minorEastAsia"/>
                <w:szCs w:val="21"/>
              </w:rPr>
              <w:t>，进行“办不成事”提示，提示</w:t>
            </w:r>
            <w:r>
              <w:rPr>
                <w:rFonts w:hint="eastAsia" w:asciiTheme="minorEastAsia" w:hAnsiTheme="minorEastAsia" w:eastAsiaTheme="minorEastAsia"/>
                <w:szCs w:val="21"/>
              </w:rPr>
              <w:t>其</w:t>
            </w:r>
            <w:r>
              <w:rPr>
                <w:rFonts w:asciiTheme="minorEastAsia" w:hAnsiTheme="minorEastAsia" w:eastAsiaTheme="minorEastAsia"/>
                <w:szCs w:val="21"/>
              </w:rPr>
              <w:t>进入帮办页面。当行政相对人通过点击申报页面内交互按钮跳转到其他页面，应在跳转前进行提示。</w:t>
            </w:r>
            <w:r>
              <w:rPr>
                <w:rFonts w:hint="eastAsia" w:asciiTheme="minorEastAsia" w:hAnsiTheme="minorEastAsia" w:eastAsiaTheme="minorEastAsia"/>
                <w:szCs w:val="21"/>
              </w:rPr>
              <w:t>调整</w:t>
            </w:r>
            <w:r>
              <w:rPr>
                <w:rFonts w:asciiTheme="minorEastAsia" w:hAnsiTheme="minorEastAsia" w:eastAsiaTheme="minorEastAsia"/>
                <w:szCs w:val="21"/>
              </w:rPr>
              <w:t>“好差评”按钮为“我要帮办”</w:t>
            </w:r>
            <w:r>
              <w:rPr>
                <w:rFonts w:hint="eastAsia" w:asciiTheme="minorEastAsia" w:hAnsiTheme="minorEastAsia" w:eastAsiaTheme="minorEastAsia"/>
                <w:szCs w:val="21"/>
              </w:rPr>
              <w:t>。</w:t>
            </w:r>
            <w:r>
              <w:rPr>
                <w:rFonts w:hint="eastAsia" w:asciiTheme="minorEastAsia" w:hAnsiTheme="minorEastAsia" w:eastAsiaTheme="minorEastAsia"/>
                <w:b/>
                <w:bCs/>
                <w:szCs w:val="21"/>
              </w:rPr>
              <w:t xml:space="preserve"> </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好差评优化</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好差评列表开发</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好差评列表开发</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含好差评列表界面开发，查询功能，可根据预约号等条件查询好差评信息。开发好差评办件列表信息。</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办件类、咨询类报送页面开发</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办件类、咨询类报送页面开发</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办件类报送页面开发，可通过项目预约号查询接口，读取窗口人员信息，初始化页面。咨询类报送页面开发，业务分类选择咨询类型，展示办理点分类，所在区等信息。</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与市好差评、局土地，测调系统对接</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与市好差评、局土地，测调系统对接</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与市好差评的打开、关闭接口开发联调，进行数据报送。与土地、测调等系统联动，获取好差评数据，一并向市好差评进行数据报送。</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r>
              <w:rPr>
                <w:rFonts w:asciiTheme="minorEastAsia" w:hAnsiTheme="minorEastAsia" w:eastAsiaTheme="minorEastAsia"/>
                <w:szCs w:val="21"/>
              </w:rPr>
              <w:t>企业云（规土意见书-延期）</w:t>
            </w: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与企业云对接</w:t>
            </w:r>
          </w:p>
          <w:p>
            <w:pPr>
              <w:pStyle w:val="141"/>
              <w:rPr>
                <w:rFonts w:asciiTheme="minorEastAsia" w:hAnsiTheme="minorEastAsia" w:eastAsiaTheme="minorEastAsia"/>
                <w:szCs w:val="21"/>
              </w:rPr>
            </w:pP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与企业云对接</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与企业云对接，获取建设单位相关登录信息，验证企业信息有效性并进行系统登录</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asciiTheme="minorEastAsia" w:hAnsiTheme="minorEastAsia" w:eastAsiaTheme="minorEastAsia"/>
                <w:szCs w:val="21"/>
              </w:rPr>
              <w:t>移动端开发</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移动端开发</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含办事指南、项目信息查询界面开发，自动生成延期申请表、承诺书，申报主体界面开发等。</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与pc端信息共享</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与pc端信息共享</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 xml:space="preserve">规划土地意见书延期在移动端申报完成后，与pc端对接，实现延期事项在pc端进行审批。         </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既有住宅加装电梯方案公示</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加装电梯方案公示申请、匹配地名地址</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加装电梯方案公示申请、匹配地名地址</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提供既有住宅加装电梯设计方案公示方案信息申请，对接地名地址库获取地址编码及地址名称并匹配地名地址库编码等信息。</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加装电梯信息公示及材料收集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加装电梯信息公示及材料收集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公示审核通过的加装电梯项目，材料收集，已公示的加装电梯项目，每日公示情况，由经办人员进行收集，并上传至对应的公示案件项目信息。</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加装电梯公示结果稽查核定</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加装电梯公示结果稽查核定</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提供公示审核，公示意见管理，审核意见管理功能。</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加装电梯规范化公示反馈结果采集及结果推送</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加装电梯规范化公示反馈结果采集及结果推送</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提供案件信息上传，信息同步至至主题库，主题库对公示信息在局门户进行数据共享。</w:t>
            </w:r>
          </w:p>
        </w:tc>
      </w:tr>
      <w:tr>
        <w:tblPrEx>
          <w:tblCellMar>
            <w:top w:w="0" w:type="dxa"/>
            <w:left w:w="108" w:type="dxa"/>
            <w:bottom w:w="0" w:type="dxa"/>
            <w:right w:w="108" w:type="dxa"/>
          </w:tblCellMar>
        </w:tblPrEx>
        <w:trPr>
          <w:trHeight w:val="300" w:hRule="atLeast"/>
        </w:trPr>
        <w:tc>
          <w:tcPr>
            <w:tcW w:w="1527" w:type="dxa"/>
            <w:tcBorders>
              <w:top w:val="single" w:color="000000" w:sz="4" w:space="0"/>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r>
              <w:rPr>
                <w:rFonts w:hint="eastAsia" w:asciiTheme="minorEastAsia" w:hAnsiTheme="minorEastAsia" w:eastAsiaTheme="minorEastAsia"/>
                <w:szCs w:val="21"/>
              </w:rPr>
              <w:t>（农户建房）审批优化－</w:t>
            </w: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土地权属调查边界确认及乡村规划许可证（农户建房）优化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土地权属调查边界确认及乡村规划许可证（农户建房）优化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提供土地权属边界确认事项申报端办理部门增加支持街镇级选择，字典配置；项目信息权属调查详情信息改为非必填，权证编号，发证机关，不动产登记权证土地面积，情况说明等字段去必填校验。房屋土地权属报告号，该字段改为必填，并加提示。  </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互联网地图备案</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互联网地图新增内容备案申请</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互联网地图新增内容备案申请</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申请人通过“一网通办”提交互联网地图新增内容备案申请，填写必要的申请信息，并通过平台提交非涉密材料，案件提交至业务处室进行备案审核。</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互联网地图新增内容备案流程与凭证数据编目推送</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互联网地图新增内容备案流程与凭证数据编目推送</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系统提供互联网新增内容备案功能。申请单位提交互联网地图申请材料，申请材料齐全并符合法定形式的，进入自然资源测绘调查处审核流程，并出具受理通知书；申请材料不齐全或者不符合法定形式的，告知申请单位需要补正的全部内容，逾期不告知的，自收到申请材料之日起即为受理；申请事项依法不属于自然资源测绘调查处职责范围的，即时告知申请单位向有关审批机关申请。互联网地图新增内容备案凭证按照数据编目规则，推送文书信息和文书附件。</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线索发现</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nil"/>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临时用地处置管</w:t>
            </w:r>
          </w:p>
        </w:tc>
        <w:tc>
          <w:tcPr>
            <w:tcW w:w="1983" w:type="dxa"/>
            <w:gridSpan w:val="2"/>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临时用地处置管理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cs="Tahoma" w:asciiTheme="minorEastAsia" w:hAnsiTheme="minorEastAsia" w:eastAsiaTheme="minorEastAsia"/>
                <w:color w:val="000000"/>
                <w:kern w:val="0"/>
                <w:szCs w:val="21"/>
              </w:rPr>
              <w:t>现有系统不具备临时用地的到期数据，临时用地的到期数据作为核查工作的一部分，系统与上海市规划和自然资源局大土地系统实现稳定对接。通过数据交互，实时获取临时用地到期待核查矢量及详细案件信息，为人员提供全面、准确的线索资料，助力对临时用地情况的深入核查。针对临时用地管理的特殊性和重要性，将设计并新增一套“临时用地”查处流程。该流程明确了从线索发现到案件处理的每一个环节的操作规范、核查内容和时间节点，确保临时用地违法问题能够得到及时、有效地处理。当完成对临时用地的核查后，系统会自动将临时用地到期案件的核查结果以及行政处罚信息反馈至大土地系统。实现了不同系统之间的数据互通共享，形成了临时用地管理的闭环监管机制。</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nil"/>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导入管理</w:t>
            </w:r>
          </w:p>
        </w:tc>
        <w:tc>
          <w:tcPr>
            <w:tcW w:w="1983" w:type="dxa"/>
            <w:gridSpan w:val="2"/>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导入管理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宋体" w:hAnsi="宋体" w:eastAsia="宋体"/>
                <w:szCs w:val="21"/>
              </w:rPr>
            </w:pPr>
            <w:r>
              <w:rPr>
                <w:rFonts w:hint="eastAsia" w:ascii="宋体" w:hAnsi="宋体" w:eastAsia="宋体" w:cs="Tahoma"/>
                <w:color w:val="000000"/>
                <w:kern w:val="0"/>
                <w:szCs w:val="21"/>
              </w:rPr>
              <w:t>为相关人员提供简洁直观的操作界面，支持其通过点击方式轻松上传</w:t>
            </w:r>
            <w:r>
              <w:rPr>
                <w:rFonts w:ascii="宋体" w:hAnsi="宋体" w:eastAsia="宋体" w:cs="Tahoma"/>
                <w:color w:val="000000"/>
                <w:kern w:val="0"/>
                <w:szCs w:val="21"/>
              </w:rPr>
              <w:t>mdb</w:t>
            </w:r>
            <w:r>
              <w:rPr>
                <w:rFonts w:hint="eastAsia" w:ascii="宋体" w:hAnsi="宋体" w:eastAsia="宋体" w:cs="Tahoma"/>
                <w:color w:val="000000"/>
                <w:kern w:val="0"/>
                <w:szCs w:val="21"/>
              </w:rPr>
              <w:t>矢量文件。这些文件将作为关键的核查线索，为后续工作奠定基础。系统自动记录每次上传的详细信息，包括上传时间、</w:t>
            </w:r>
            <w:r>
              <w:rPr>
                <w:rFonts w:ascii="宋体" w:hAnsi="宋体" w:eastAsia="宋体" w:cs="Tahoma"/>
                <w:color w:val="000000"/>
                <w:kern w:val="0"/>
                <w:szCs w:val="21"/>
              </w:rPr>
              <w:t>mdb</w:t>
            </w:r>
            <w:r>
              <w:rPr>
                <w:rFonts w:hint="eastAsia" w:ascii="宋体" w:hAnsi="宋体" w:eastAsia="宋体" w:cs="Tahoma"/>
                <w:color w:val="000000"/>
                <w:kern w:val="0"/>
                <w:szCs w:val="21"/>
              </w:rPr>
              <w:t>矢量数据内容以及文件大小。上传成功后，会及时提醒工作人员进行质检操作，保证工作流程的连贯性。上传后的</w:t>
            </w:r>
            <w:r>
              <w:rPr>
                <w:rFonts w:ascii="宋体" w:hAnsi="宋体" w:eastAsia="宋体" w:cs="Tahoma"/>
                <w:color w:val="000000"/>
                <w:kern w:val="0"/>
                <w:szCs w:val="21"/>
              </w:rPr>
              <w:t>mdb</w:t>
            </w:r>
            <w:r>
              <w:rPr>
                <w:rFonts w:hint="eastAsia" w:ascii="宋体" w:hAnsi="宋体" w:eastAsia="宋体" w:cs="Tahoma"/>
                <w:color w:val="000000"/>
                <w:kern w:val="0"/>
                <w:szCs w:val="21"/>
              </w:rPr>
              <w:t>矢量文件将通过调用质检平台进行检测。分别对矢量文件的属性和图形进行检查，检查属性和字段是否符合要求，对应的空间数据是否存在拓扑问题。符合要求的矢量图斑将存入系统。质检通过的文件，系统将自动生成完整的案件信息，确保案件源头数据的准确性和可靠性。相关人员可随时查看上传矢量的质检进度与结果，以及案件生成的各个环节状态，包括案件编号是否生成、与相关数据的套合情况、是否成功入库共享库、流程是否启动以及是否已转至天地图等，实现全流程可视化管理。</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nil"/>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核查定性变更及相应流程变更</w:t>
            </w:r>
          </w:p>
        </w:tc>
        <w:tc>
          <w:tcPr>
            <w:tcW w:w="1983" w:type="dxa"/>
            <w:gridSpan w:val="2"/>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核查定性变更及相应流程变更</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cs="Tahoma" w:asciiTheme="minorEastAsia" w:hAnsiTheme="minorEastAsia" w:eastAsiaTheme="minorEastAsia"/>
                <w:color w:val="000000"/>
                <w:kern w:val="0"/>
                <w:szCs w:val="21"/>
              </w:rPr>
              <w:t>对于线索核查后进入“待派发”阶段的案件，若经进一步分析或新证据发现核查定性需要调整，相关人员可通过该功能进行变更操作。变更完成后，系统会自动触发相应的核查流程，保证案件处理的公正性和准确性，使结果更贴合实际情况。在案件处理流程中，当选择“回退”操作时，系统会弹出设计合理、内容全面的界面，要求相关人员详细填写“回退定性”和“回退理由”。这些信息将作为重要的案件回溯资料，便于后续的审查和分析，确保案件处理过程的严谨性。</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镇区市街镇三级协同办案</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镇区市街镇三级协同办案</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cs="Tahoma" w:asciiTheme="minorEastAsia" w:hAnsiTheme="minorEastAsia" w:eastAsiaTheme="minorEastAsia"/>
                <w:color w:val="000000"/>
                <w:kern w:val="0"/>
                <w:szCs w:val="21"/>
              </w:rPr>
              <w:t>新增“街镇－区－市”三级办案流程，构建了更加完善、协同的体系。同时，分别设立“核查库”“行政处罚库”和“整改库”，用于分类汇总处于“线索发现”“行政处罚”和“销项”状态的案件。这不仅实现了案件的科学分类管理，还方便相关人员快速查询和跟踪不同阶段的案件进展。</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对接无人机飞控平台</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对接无人机飞控平台</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cs="Tahoma" w:asciiTheme="minorEastAsia" w:hAnsiTheme="minorEastAsia" w:eastAsiaTheme="minorEastAsia"/>
                <w:color w:val="000000"/>
                <w:kern w:val="0"/>
                <w:szCs w:val="21"/>
              </w:rPr>
              <w:t>系统与市测绘院无人机飞控平台实现深度对接，通过稳定的数据传输链路，实时获取无人机的状态信息，包括位置、高度、飞行速度等，后续方便对于对无人机进行调度和核查结果展示。</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无人机巡查管理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无人机巡查管理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cs="Tahoma" w:asciiTheme="minorEastAsia" w:hAnsiTheme="minorEastAsia" w:eastAsiaTheme="minorEastAsia"/>
                <w:color w:val="000000"/>
                <w:kern w:val="0"/>
                <w:szCs w:val="21"/>
              </w:rPr>
              <w:t>展示部署无人机的分布情况，通过一张图进行查看，同时可查看该无人机布点的无人机空闲情况，便于相关人员判断当前区域是否进行无人机核查。在系统界面上直观展示无人机的相关信息，包括可执行任务列表、设备健康状况等，为相关人员合理调度无人机提供全面的信息支持。对于线索发现违法用地无法直接拍照取证的线索信息，通过点击一键巡查按钮，系统即将自动将预先设定好的矢量数据推送至飞控平台。飞控平台根据这些数据快速规划最优巡飞路线，无人机随即按照规划路线进行高效巡飞作业。这一功能将有效简化巡查操作流程，提高巡查工作的效率和准确性。设置无人机巡查成果展示区域，当无人机完成巡查任务后，将回传的巡查结果实时展示在该区域。相关人员可通过查看结果的方式，详细分析巡查区域的实际情况，为案件的进一步处理提供直观、有力的证据。</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自主办件管理</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浦东及临港办案数据对接</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浦东及临港办案数据对接</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cs="Tahoma" w:asciiTheme="minorEastAsia" w:hAnsiTheme="minorEastAsia" w:eastAsiaTheme="minorEastAsia"/>
                <w:color w:val="000000"/>
                <w:kern w:val="0"/>
                <w:szCs w:val="21"/>
              </w:rPr>
              <w:t>对接临港、浦东办案系统数据，并通过列表、表单展示相关数据，关联系统矢量图斑和案件信息，实现数据的集中管理、高效共享和协同应用。同时将设有详情表单，支持进一步查看案件信息。系统通过接口技术和安全数据传输协议，与临港、浦东办案系统建立数据对接通道，实时获取两个区域的办案数据，包括案件详情、处理进度、处罚结果等信息，为全面掌握办理动态提供丰富的数据支持。</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市级直查图斑案件处置</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市级直查图斑案件处置</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cs="Tahoma" w:asciiTheme="minorEastAsia" w:hAnsiTheme="minorEastAsia" w:eastAsiaTheme="minorEastAsia"/>
                <w:color w:val="000000"/>
                <w:kern w:val="0"/>
                <w:szCs w:val="21"/>
              </w:rPr>
              <w:t>当矢量线索进入系统状态时，系统提供操作选项，可根据实际需求，单选或多选案件进行市级自查。通过切换案件分组单位，启动市级直查流程。同时，新增与之相匹配的市级核查流程，强化了市级对重大、复杂案件的直接监管力度。</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区级指定管辖案件处置</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区级指定管辖案件处置</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cs="Tahoma" w:asciiTheme="minorEastAsia" w:hAnsiTheme="minorEastAsia" w:eastAsiaTheme="minorEastAsia"/>
                <w:color w:val="000000"/>
                <w:kern w:val="0"/>
                <w:szCs w:val="21"/>
              </w:rPr>
              <w:t>可依据案件的行政区划信息，灵活选择单选或多选案件进行指定管辖。系统会自动根据案件所属区域切换分组单位，将案件精准分配至相应的区级部门进行处置，确保案件处理的属地化和专业化。</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多规合一业务协同办理－</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一张蓝图</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总体层次规划</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从空间平台调用总体规划数据，并从大规划系统中调用对应相关附件，进行图形定位。</w:t>
            </w:r>
          </w:p>
        </w:tc>
      </w:tr>
      <w:tr>
        <w:tblPrEx>
          <w:tblCellMar>
            <w:top w:w="0" w:type="dxa"/>
            <w:left w:w="108" w:type="dxa"/>
            <w:bottom w:w="0" w:type="dxa"/>
            <w:right w:w="108" w:type="dxa"/>
          </w:tblCellMar>
        </w:tblPrEx>
        <w:trPr>
          <w:trHeight w:val="58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一张蓝图</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单元层次规划、详细层次规划</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 xml:space="preserve">从空间平台调用单元层次规划及详细层次规划数据，并从大规划系统中调用对应相关附件，还进行图形定位。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一张蓝图</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重点地区和城市设计</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作为一个中转，需要跳转到一江一河城市设计和建筑规划管理系统，做到重点地区和城市设计的查询</w:t>
            </w:r>
          </w:p>
        </w:tc>
      </w:tr>
      <w:tr>
        <w:tblPrEx>
          <w:tblCellMar>
            <w:top w:w="0" w:type="dxa"/>
            <w:left w:w="108" w:type="dxa"/>
            <w:bottom w:w="0" w:type="dxa"/>
            <w:right w:w="108" w:type="dxa"/>
          </w:tblCellMar>
        </w:tblPrEx>
        <w:trPr>
          <w:trHeight w:val="68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投资计划、规划条件</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投资计划、规划条件</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                          新建项目，然后以项目为基准，上传规划文件，进行规划条件比对几叠加分析比对，规划条件比对主要项目规划在调整、修改和完善，并开展规划条件核对工作。</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土地指标校核</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土地指标校核</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以大土地和大项目为数据基础，提前配置相关的土地指标，然后再根据规划土地部门对土地供给产生的相关数据进行指标比对，产生相关比对报告。</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业务征询</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规划条件及设计方案征询管理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依托“多规合一”业务协同办理，向相关部门推送设计方案的相关信息，一次性征询项目建设条件等</w:t>
            </w:r>
          </w:p>
        </w:tc>
      </w:tr>
      <w:tr>
        <w:tblPrEx>
          <w:tblCellMar>
            <w:top w:w="0" w:type="dxa"/>
            <w:left w:w="108" w:type="dxa"/>
            <w:bottom w:w="0" w:type="dxa"/>
            <w:right w:w="108" w:type="dxa"/>
          </w:tblCellMar>
        </w:tblPrEx>
        <w:trPr>
          <w:trHeight w:val="66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项目入库申报、发改委自动入库</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项目入库申报、发改委自动入库</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1、提供统一的项目录入方式，并调用大项目的接口，生成统一管理，统一生成的项目编号。                                                   2、自动把立项信息同步到实施项目库中，协调推进前期研究。</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新增项目或者导入项目入库审核</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新增项目或者导入项目入库审核</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进行项目申请入库，审批对象对新增项目或导入项目的入库审核后，进行项目的入库。</w:t>
            </w:r>
          </w:p>
        </w:tc>
      </w:tr>
      <w:tr>
        <w:tblPrEx>
          <w:tblCellMar>
            <w:top w:w="0" w:type="dxa"/>
            <w:left w:w="108" w:type="dxa"/>
            <w:bottom w:w="0" w:type="dxa"/>
            <w:right w:w="108" w:type="dxa"/>
          </w:tblCellMar>
        </w:tblPrEx>
        <w:trPr>
          <w:trHeight w:val="56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重大项目专项管理及项目信息管理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重大项目专项管理及项目信息管理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1）对每年上海市发展和改革委员会发布的列入本市年度重大建设项目投资计划的项目进行管理。                                              2）对新开工正式项目和预备项目的项目信息库中的项目进行信息的维护。</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项目立项、出库审核管理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项目立项、出库审核管理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达到核发规划选址和用地预审要求的项目，启动项目立项、项目出库，推送到对应申报和审批系统中，进行下一步相关流程。通过共享申报材料涉及的相关入库文件、权属调查报告实现“一网通办”的相关考核。</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实施库项目监控</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业务规则可视化配置</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根据业务需要，预先对一些业务规则进行可视化的配置，并记录规则变化的历史记录，进行历史的追溯和对项目中曾经使用过的规则进行查询；</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实施库项目监控</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流程监控</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从项目入库到项目出库整个流程进行定时巡检并出具相关信息提示或者对应相关报告，以达到提前识别，提前整改等的相关措施。</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实施库项目征询质量检查</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空间比对</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调用第三方系统进行空间比对，形成word版本的报告，并对比对历史进行记录，便于追溯。</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实施库项目征询质量检查</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结果材料共享</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根据提供的相关材料，达到出库条件时，可以对外进行材料的共享或者推送。</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产业项目信息初始化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产业项目信息初始化</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含本局大土地、大规划、大登记等业务数据共享及其他委办数据共享。</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产业项目编号管理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产业项目编号管理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提供产业项目筛选、定级分类。可按照一定规则自动筛出一个版本。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行政许可审批进程管理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行政许可审批进程管理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提供项目列表展示，根据规则判断项目是否已办结。审批流程可视化，已办结案件查看，是否二次申报校验及在办未办结案件归集等。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产业项目一张图</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产业项目一张图</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提供通过地图或图表形式展示产业项目的分布、进展和状态。详情查看，按类别分层展示，一张图展示项目位置，地图缩放及拖拽，数据筛选等功能。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文书过期提醒</w:t>
            </w:r>
          </w:p>
          <w:p>
            <w:pPr>
              <w:pStyle w:val="141"/>
              <w:rPr>
                <w:rFonts w:asciiTheme="minorEastAsia" w:hAnsiTheme="minorEastAsia" w:eastAsiaTheme="minorEastAsia"/>
                <w:szCs w:val="21"/>
              </w:rPr>
            </w:pP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文书过期提醒</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提供根据证书有效期判断进行文书过期提醒，提供临期和过期文书清单。</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与一网协同平台对接</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与一网协同平台对接</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系统涉及局外用户，需要对接‘一网协同’，从新增用户、权限分配到统一登录，都可以从‘一网协同’操作。</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优化“一键归档”功能</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新增补正环节及材料树节点细化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办结后设置 “补正审理”环节，支持对部分材料的删除、上传和签章操作。根据规则判断是否需要新建档案归集案件。</w:t>
            </w:r>
          </w:p>
        </w:tc>
      </w:tr>
      <w:tr>
        <w:tblPrEx>
          <w:tblCellMar>
            <w:top w:w="0" w:type="dxa"/>
            <w:left w:w="108" w:type="dxa"/>
            <w:bottom w:w="0" w:type="dxa"/>
            <w:right w:w="108" w:type="dxa"/>
          </w:tblCellMar>
        </w:tblPrEx>
        <w:trPr>
          <w:trHeight w:val="68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优化“一键归档”功能</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文件及更正后文件挂载材料树、数据打包推送档案馆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提供档案资源树挂载文件，提供档案树节点新增。补正后材料需重新挂载资源树。                                                   对补正后的材料，将归档事项基本信息、办理流程信息等打包推送至档案馆。</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查询场景</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查询场景</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通过受理号查询办理情况，可重置查询条件，并展示办理结果信息。                  </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r>
              <w:rPr>
                <w:rFonts w:hint="eastAsia" w:asciiTheme="minorEastAsia" w:hAnsiTheme="minorEastAsia" w:eastAsiaTheme="minorEastAsia"/>
                <w:szCs w:val="21"/>
              </w:rPr>
              <w:t>出让前规划条件认定</w:t>
            </w: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案件信息预填</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案件信息预填</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项目子系统将接口提供给土地子系统，读取项目的基本信息</w:t>
            </w:r>
            <w:r>
              <w:rPr>
                <w:rFonts w:hint="eastAsia" w:asciiTheme="minorEastAsia" w:hAnsiTheme="minorEastAsia" w:eastAsiaTheme="minorEastAsia"/>
                <w:szCs w:val="21"/>
              </w:rPr>
              <w:t>，</w:t>
            </w:r>
            <w:r>
              <w:rPr>
                <w:rFonts w:asciiTheme="minorEastAsia" w:hAnsiTheme="minorEastAsia" w:eastAsiaTheme="minorEastAsia"/>
                <w:szCs w:val="21"/>
              </w:rPr>
              <w:t>同时将土地子系统的附件列表通过url的形式进行下载，存在文件服务器中，在项目子系统案件中生成资源树，将征询文件作为资源树的申请文件。</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审核签报管理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审核签报管理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w:t>
            </w:r>
            <w:r>
              <w:rPr>
                <w:rFonts w:asciiTheme="minorEastAsia" w:hAnsiTheme="minorEastAsia" w:eastAsiaTheme="minorEastAsia"/>
                <w:szCs w:val="21"/>
              </w:rPr>
              <w:t>通过房屋土地权属调查报告书成果号调用落图叠加接口进行分析，</w:t>
            </w:r>
            <w:r>
              <w:rPr>
                <w:rFonts w:hint="eastAsia" w:asciiTheme="minorEastAsia" w:hAnsiTheme="minorEastAsia" w:eastAsiaTheme="minorEastAsia"/>
                <w:szCs w:val="21"/>
              </w:rPr>
              <w:t>提供落图及信息查看</w:t>
            </w:r>
            <w:r>
              <w:rPr>
                <w:rFonts w:asciiTheme="minorEastAsia" w:hAnsiTheme="minorEastAsia" w:eastAsiaTheme="minorEastAsia"/>
                <w:szCs w:val="21"/>
              </w:rPr>
              <w:t>，</w:t>
            </w:r>
            <w:r>
              <w:rPr>
                <w:rFonts w:hint="eastAsia" w:asciiTheme="minorEastAsia" w:hAnsiTheme="minorEastAsia" w:eastAsiaTheme="minorEastAsia"/>
                <w:szCs w:val="21"/>
              </w:rPr>
              <w:t>及</w:t>
            </w:r>
            <w:r>
              <w:rPr>
                <w:rFonts w:asciiTheme="minorEastAsia" w:hAnsiTheme="minorEastAsia" w:eastAsiaTheme="minorEastAsia"/>
                <w:szCs w:val="21"/>
              </w:rPr>
              <w:t>审核签报表</w:t>
            </w:r>
            <w:r>
              <w:rPr>
                <w:rFonts w:hint="eastAsia" w:asciiTheme="minorEastAsia" w:hAnsiTheme="minorEastAsia" w:eastAsiaTheme="minorEastAsia"/>
                <w:szCs w:val="21"/>
              </w:rPr>
              <w:t>生成</w:t>
            </w:r>
            <w:r>
              <w:rPr>
                <w:rFonts w:asciiTheme="minorEastAsia" w:hAnsiTheme="minorEastAsia" w:eastAsiaTheme="minorEastAsia"/>
                <w:szCs w:val="21"/>
              </w:rPr>
              <w:t>。</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行政协助征询服务及结果汇总</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行政协助征询服务及结果汇总</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审理环节，提供被征询部门信息新增，征询材料上传并发起征询。提供征询反馈意见和相关结果文书汇总。</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案件拟文稿管理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案件拟文稿管理</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提供项目、地块信息审核，拟文稿编辑，发文处理单生成，审核签报表制作，制图，落图核验记录至修改日志。</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定稿、签章及结果共享</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定稿、签章及结果共享</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案件审批通过后，系统将拟文稿转化为定稿文件。提供结果文件电子签章。并将结果文件共享至土地子系统。</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规划资源比对增加是否方案免审功能</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规划资源比对增加是否方案免审功能</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提供是否方案免审功能新增，查询功能，是否免审方案调整功能，字典状态更新。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增加 测算合一、规划资源比对功能</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增加 测算合一、规划资源比对功能</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新增测算合一功能，测算合一查询功能，提供测算合一编辑功能，字典状态更新及信息推送功能。新增规划资源比对及查询功能。</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r>
              <w:rPr>
                <w:rFonts w:hint="eastAsia" w:asciiTheme="minorEastAsia" w:hAnsiTheme="minorEastAsia" w:eastAsiaTheme="minorEastAsia"/>
                <w:szCs w:val="21"/>
              </w:rPr>
              <w:t>管线工规证中低风险接入项目办理流程优化</w:t>
            </w: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是否快速办理标记及流程调整</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是否快速办理标记及流程调整</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在工程规划许可证（管线工程）收件、预审、审理阶段做是否快速办理标记，如选择快速办理，在审理阶段，将符合条件的项目由“三级审批”调整为“一级审定”。</w:t>
            </w:r>
            <w:r>
              <w:rPr>
                <w:rFonts w:hint="eastAsia" w:asciiTheme="minorEastAsia" w:hAnsiTheme="minorEastAsia" w:eastAsiaTheme="minorEastAsia"/>
                <w:b/>
                <w:bCs/>
                <w:szCs w:val="21"/>
              </w:rPr>
              <w:t xml:space="preserve">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办件库报送及勘误</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办件库报送及勘误</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提供审理通过后信息推送至市办件库，发起勘误功能，勘误审核功能。                                              </w:t>
            </w:r>
          </w:p>
        </w:tc>
      </w:tr>
      <w:tr>
        <w:tblPrEx>
          <w:tblCellMar>
            <w:top w:w="0" w:type="dxa"/>
            <w:left w:w="108" w:type="dxa"/>
            <w:bottom w:w="0" w:type="dxa"/>
            <w:right w:w="108" w:type="dxa"/>
          </w:tblCellMar>
        </w:tblPrEx>
        <w:trPr>
          <w:trHeight w:val="300" w:hRule="atLeast"/>
        </w:trPr>
        <w:tc>
          <w:tcPr>
            <w:tcW w:w="1527" w:type="dxa"/>
            <w:tcBorders>
              <w:top w:val="single" w:color="000000" w:sz="4" w:space="0"/>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规证总平图公示</w:t>
            </w: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门户公开工规证对应签章的总平图附件及信息推送、工规证（所有类型）审批（新办、变更）审理环节优化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门户公开工规证对应签章的总平图附件及信息推送、工规证（所有类型）审批（新办、变更）审理环节优化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w:t>
            </w:r>
            <w:r>
              <w:rPr>
                <w:rFonts w:asciiTheme="minorEastAsia" w:hAnsiTheme="minorEastAsia" w:eastAsiaTheme="minorEastAsia"/>
                <w:szCs w:val="21"/>
              </w:rPr>
              <w:t>局门户网站上公开工规证对应签章的总平图附件。                                          在工规证（所有类型）审批（新办、变更）时，在审理节点，添加是否可网上公开选项</w:t>
            </w: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r>
              <w:rPr>
                <w:rFonts w:hint="eastAsia" w:asciiTheme="minorEastAsia" w:hAnsiTheme="minorEastAsia" w:eastAsiaTheme="minorEastAsia"/>
                <w:szCs w:val="21"/>
              </w:rPr>
              <w:t>固定投资一件事</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意见书信息预填</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意见书信息预填</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与发改委系统进行对接，涉及申报端立项信息，申报主体及相关单位信息，项目立项批准情况等信息需要获取发改委申报及审批信息进行预填。</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意见书事项优化</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意见书事项优化</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涉及申报端、审批端优化调整</w: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Theme="minorEastAsia" w:hAnsiTheme="minorEastAsia" w:eastAsiaTheme="minorEastAsia"/>
                <w:szCs w:val="21"/>
              </w:rPr>
              <w:t>申报、审批端增加刷新按钮</w:t>
            </w:r>
            <w:r>
              <w:rPr>
                <w:rFonts w:asciiTheme="minorEastAsia" w:hAnsiTheme="minorEastAsia" w:eastAsiaTheme="minorEastAsia"/>
                <w:szCs w:val="21"/>
              </w:rPr>
              <w:t>，刷新获取发改审批数据，填入申报数据</w:t>
            </w:r>
            <w:r>
              <w:rPr>
                <w:rFonts w:hint="eastAsia" w:asciiTheme="minorEastAsia" w:hAnsiTheme="minorEastAsia" w:eastAsiaTheme="minorEastAsia"/>
                <w:szCs w:val="21"/>
              </w:rPr>
              <w:t>。</w:t>
            </w:r>
            <w:r>
              <w:rPr>
                <w:rFonts w:asciiTheme="minorEastAsia" w:hAnsiTheme="minorEastAsia" w:eastAsiaTheme="minorEastAsia"/>
                <w:szCs w:val="21"/>
              </w:rPr>
              <w:t>审批端pdf文件挂资源树供用户查看</w:t>
            </w: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与发改委数据联动及事项关联</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与发改委数据联动及事项关联</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固定投资一件事需实现与发改委系统数据交互，提供各事项关联，按照项目编号关联，按照固投来源意见书，推送后续办件结果信息。</w:t>
            </w:r>
          </w:p>
        </w:tc>
      </w:tr>
      <w:tr>
        <w:tblPrEx>
          <w:tblCellMar>
            <w:top w:w="0" w:type="dxa"/>
            <w:left w:w="108" w:type="dxa"/>
            <w:bottom w:w="0" w:type="dxa"/>
            <w:right w:w="108" w:type="dxa"/>
          </w:tblCellMar>
        </w:tblPrEx>
        <w:trPr>
          <w:trHeight w:val="300" w:hRule="atLeast"/>
        </w:trPr>
        <w:tc>
          <w:tcPr>
            <w:tcW w:w="1527" w:type="dxa"/>
            <w:tcBorders>
              <w:top w:val="single" w:color="000000" w:sz="4" w:space="0"/>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竣工即交证</w:t>
            </w: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与登记系统交互、批准材料，证文图表、多测合一成果报告查看</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与登记系统交互、批准材料，证文图表、多测合一成果报告查看</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与登记系统对接，交互竣工合格证、工规证数据，可按照项目编号查询。提供项目信息展示。提供受理号查询功能。</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工规证，竣工验收事项与地质系统数据交互</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工程规划许可证（线性）地质预审规则控制、管线设计方案</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工程规划许可证（线性）地质预审规则控制、管线设计方案</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收件环节地质预审规则控制功能。工程规划许可证（线性）新办情形，针对已进行过地质风险评估的项目，自动预填地质预审结果，其他类型规则不变。设计方案（管线）、工规证（管线）事项在收件提交到预审时，不再推送地质角色人员进行预审。</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线性规证地质预审校验</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线性规证地质预审校验</w:t>
            </w:r>
          </w:p>
        </w:tc>
        <w:tc>
          <w:tcPr>
            <w:tcW w:w="3118" w:type="dxa"/>
            <w:tcBorders>
              <w:top w:val="single" w:color="000000" w:sz="4" w:space="0"/>
              <w:left w:val="single" w:color="000000" w:sz="4" w:space="0"/>
              <w:bottom w:val="nil"/>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已完成地灾危险性单独评估的项目，由大地质通过接口传递给大项目，唯一标识码为发改委审批编码；申报线性规证时进行校验；规证地质预审栏目加提示信息；线性竣工验收地质灾害情况查验，与大地质系统对接，获取地质灾害评估等数据。</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规划许可空间用途管制监管</w:t>
            </w: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用地用途管制预审</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是否用地预审规则控制</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页面增加是否用地预审控制，并根据规则进行系统提示。                         在预审和审理两个环节进行规则控制。                                               生成数据包推送自然资源部用途管制监管平台”。</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用地用途管制预审</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用地预审初始化报送－项目基本信息上报</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含项目基本信息组卷，项目基本信息校验，项目基本信息数据打包及项目基本信息数据报送等功能。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用地用途管制预审</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用地预审初始化报送－申报信息上报</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含项目申报信息组卷，申报信息校验，申报信息数据打包及申报信息数据报送等功能。</w:t>
            </w:r>
          </w:p>
        </w:tc>
      </w:tr>
      <w:tr>
        <w:tblPrEx>
          <w:tblCellMar>
            <w:top w:w="0" w:type="dxa"/>
            <w:left w:w="108" w:type="dxa"/>
            <w:bottom w:w="0" w:type="dxa"/>
            <w:right w:w="108" w:type="dxa"/>
          </w:tblCellMar>
        </w:tblPrEx>
        <w:trPr>
          <w:trHeight w:val="102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用地用途管制预审</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用地预审初始化报送－项目空间范围信息、空间地块，勘测数据上报</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含项目空间范围信息组卷，项目空间范围信息校验，项目空间范围信息数据打包及项目空间范围信息数据报送等功能。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用地用途管制预审</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获取用地预审电子监管号</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提供初始化刷新报送状态，获取部返回电子监管号，解析部系统反馈信息，获取正式的电子监管号。</w:t>
            </w:r>
          </w:p>
        </w:tc>
      </w:tr>
      <w:tr>
        <w:tblPrEx>
          <w:tblCellMar>
            <w:top w:w="0" w:type="dxa"/>
            <w:left w:w="108" w:type="dxa"/>
            <w:bottom w:w="0" w:type="dxa"/>
            <w:right w:w="108" w:type="dxa"/>
          </w:tblCellMar>
        </w:tblPrEx>
        <w:trPr>
          <w:trHeight w:val="54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用地用途管制预审</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初审、预审意见信息上报</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初审意见含接件信息组装及数据校验，退件信息组装及数据校验，初审意见信息组装及数据校验，生成数据包及初审意见上报，审理环节提交，推送初审意见。预审意见含预审意见信息组装，预审意见数据校验，预审意见生成数据包及预审意见上报等功能。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用地用途管制预审</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许可记录及文件上报</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将许可记录进行组装、按照管制规范进行数据校验，并上报，文印环节，准予许可提交，按照部数据报送要求组卷打包文件，推送许可文件至上海市及国家。                          </w:t>
            </w:r>
          </w:p>
        </w:tc>
      </w:tr>
      <w:tr>
        <w:tblPrEx>
          <w:tblCellMar>
            <w:top w:w="0" w:type="dxa"/>
            <w:left w:w="108" w:type="dxa"/>
            <w:bottom w:w="0" w:type="dxa"/>
            <w:right w:w="108" w:type="dxa"/>
          </w:tblCellMar>
        </w:tblPrEx>
        <w:trPr>
          <w:trHeight w:val="6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用地用途管制预审</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注销许可记录上报及部用途管制系统反馈用地预审错误信息</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将许可文件进行组装、按照管制规范进行数据校验，并上报。                          </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规划许可用途管制管理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规划许可初始化报送</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审定后，规划许可初始化报送阶段1数据，空间图层需提供Shape格式空间图层信息，需完成地图组卷、坐标转换，由上海坐标转换为国家坐标，同时输出坐标。审批结果数据打包报送。</w:t>
            </w:r>
          </w:p>
        </w:tc>
      </w:tr>
      <w:tr>
        <w:tblPrEx>
          <w:tblCellMar>
            <w:top w:w="0" w:type="dxa"/>
            <w:left w:w="108" w:type="dxa"/>
            <w:bottom w:w="0" w:type="dxa"/>
            <w:right w:w="108" w:type="dxa"/>
          </w:tblCellMar>
        </w:tblPrEx>
        <w:trPr>
          <w:trHeight w:val="62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规划许可用途管制管理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规划许可注销报送、部用途管制系统反馈规划许可反馈错误信息</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规划许可，审批结果数据打包</w:t>
            </w:r>
            <w:r>
              <w:rPr>
                <w:rFonts w:hint="eastAsia" w:asciiTheme="minorEastAsia" w:hAnsiTheme="minorEastAsia" w:eastAsiaTheme="minorEastAsia"/>
                <w:szCs w:val="21"/>
              </w:rPr>
              <w:t>进行</w:t>
            </w:r>
            <w:r>
              <w:rPr>
                <w:rFonts w:asciiTheme="minorEastAsia" w:hAnsiTheme="minorEastAsia" w:eastAsiaTheme="minorEastAsia"/>
                <w:szCs w:val="21"/>
              </w:rPr>
              <w:t>数据报送，报送数据包含撤销许可记录，文档材料。解析部用途管制系统反馈规划许可错误信息</w:t>
            </w:r>
            <w:r>
              <w:rPr>
                <w:rFonts w:hint="eastAsia" w:asciiTheme="minorEastAsia" w:hAnsiTheme="minorEastAsia" w:eastAsiaTheme="minorEastAsia"/>
                <w:szCs w:val="21"/>
              </w:rPr>
              <w:t>，</w:t>
            </w:r>
            <w:r>
              <w:rPr>
                <w:rFonts w:asciiTheme="minorEastAsia" w:hAnsiTheme="minorEastAsia" w:eastAsiaTheme="minorEastAsia"/>
                <w:szCs w:val="21"/>
              </w:rPr>
              <w:t>将错误信息记录入库</w:t>
            </w:r>
          </w:p>
        </w:tc>
      </w:tr>
      <w:tr>
        <w:tblPrEx>
          <w:tblCellMar>
            <w:top w:w="0" w:type="dxa"/>
            <w:left w:w="108" w:type="dxa"/>
            <w:bottom w:w="0" w:type="dxa"/>
            <w:right w:w="108" w:type="dxa"/>
          </w:tblCellMar>
        </w:tblPrEx>
        <w:trPr>
          <w:trHeight w:val="54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规划许可用途管制管理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新办情形、不成功转勘误后重新进行用途管制操作</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在文印、发件环节管控，获取规划许可电子监管号，提供刷新功能。获取用地预审电子监管号，提供刷新功能。发件环节强控，提供刷新功能。如果用途管制不通过，系统提示用途管制返回的信息，文印人员可转勘误流程更改，更改完成后再重新用途管制操作。</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规划许可用途管制管理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注销情形</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针对一书三证（依申请注销情形），是用地预审报部或规划许可报部事项的，在审批端文印阶段，证照资料模块，增加“用地预审报部”及“一书三证报部”的注销功能，提供刷新功能。</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规划许可用途管制管理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一书3证，14个事项批文模板调整</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针对建设项目规划土地意见书（划拨土地</w:t>
            </w:r>
            <w:r>
              <w:rPr>
                <w:rFonts w:hint="eastAsia" w:asciiTheme="minorEastAsia" w:hAnsiTheme="minorEastAsia" w:eastAsiaTheme="minorEastAsia"/>
                <w:szCs w:val="21"/>
              </w:rPr>
              <w:t>、储备用地</w:t>
            </w:r>
            <w:r>
              <w:rPr>
                <w:rFonts w:asciiTheme="minorEastAsia" w:hAnsiTheme="minorEastAsia" w:eastAsiaTheme="minorEastAsia"/>
                <w:szCs w:val="21"/>
              </w:rPr>
              <w:t>），《建设用地规划许可证》的核发（出让</w:t>
            </w:r>
            <w:r>
              <w:rPr>
                <w:rFonts w:hint="eastAsia" w:asciiTheme="minorEastAsia" w:hAnsiTheme="minorEastAsia" w:eastAsiaTheme="minorEastAsia"/>
                <w:szCs w:val="21"/>
              </w:rPr>
              <w:t>、划拨</w:t>
            </w:r>
            <w:r>
              <w:rPr>
                <w:rFonts w:asciiTheme="minorEastAsia" w:hAnsiTheme="minorEastAsia" w:eastAsiaTheme="minorEastAsia"/>
                <w:szCs w:val="21"/>
              </w:rPr>
              <w:t>土地），建设工程规划许可证（房屋建筑工程</w:t>
            </w:r>
            <w:r>
              <w:rPr>
                <w:rFonts w:hint="eastAsia" w:asciiTheme="minorEastAsia" w:hAnsiTheme="minorEastAsia" w:eastAsiaTheme="minorEastAsia"/>
                <w:szCs w:val="21"/>
              </w:rPr>
              <w:t>、</w:t>
            </w:r>
            <w:r>
              <w:rPr>
                <w:rFonts w:asciiTheme="minorEastAsia" w:hAnsiTheme="minorEastAsia" w:eastAsiaTheme="minorEastAsia"/>
                <w:szCs w:val="21"/>
              </w:rPr>
              <w:t>线性工程</w:t>
            </w:r>
            <w:r>
              <w:rPr>
                <w:rFonts w:hint="eastAsia" w:asciiTheme="minorEastAsia" w:hAnsiTheme="minorEastAsia" w:eastAsiaTheme="minorEastAsia"/>
                <w:szCs w:val="21"/>
              </w:rPr>
              <w:t>、</w:t>
            </w:r>
            <w:r>
              <w:rPr>
                <w:rFonts w:asciiTheme="minorEastAsia" w:hAnsiTheme="minorEastAsia" w:eastAsiaTheme="minorEastAsia"/>
                <w:szCs w:val="21"/>
              </w:rPr>
              <w:t>管线工程），《乡村建设规划许可证》的审批（一般乡村建设项目</w:t>
            </w:r>
            <w:r>
              <w:rPr>
                <w:rFonts w:hint="eastAsia" w:asciiTheme="minorEastAsia" w:hAnsiTheme="minorEastAsia" w:eastAsiaTheme="minorEastAsia"/>
                <w:szCs w:val="21"/>
              </w:rPr>
              <w:t>、</w:t>
            </w:r>
            <w:r>
              <w:rPr>
                <w:rFonts w:asciiTheme="minorEastAsia" w:hAnsiTheme="minorEastAsia" w:eastAsiaTheme="minorEastAsia"/>
                <w:szCs w:val="21"/>
              </w:rPr>
              <w:t>设施农业项目），建设项目竣工规划资源验收（建筑工程</w:t>
            </w:r>
            <w:r>
              <w:rPr>
                <w:rFonts w:hint="eastAsia" w:asciiTheme="minorEastAsia" w:hAnsiTheme="minorEastAsia" w:eastAsiaTheme="minorEastAsia"/>
                <w:szCs w:val="21"/>
              </w:rPr>
              <w:t>、</w:t>
            </w:r>
            <w:r>
              <w:rPr>
                <w:rFonts w:asciiTheme="minorEastAsia" w:hAnsiTheme="minorEastAsia" w:eastAsiaTheme="minorEastAsia"/>
                <w:szCs w:val="21"/>
              </w:rPr>
              <w:t>线性工程</w:t>
            </w:r>
            <w:r>
              <w:rPr>
                <w:rFonts w:hint="eastAsia" w:asciiTheme="minorEastAsia" w:hAnsiTheme="minorEastAsia" w:eastAsiaTheme="minorEastAsia"/>
                <w:szCs w:val="21"/>
              </w:rPr>
              <w:t>、</w:t>
            </w:r>
            <w:r>
              <w:rPr>
                <w:rFonts w:asciiTheme="minorEastAsia" w:hAnsiTheme="minorEastAsia" w:eastAsiaTheme="minorEastAsia"/>
                <w:szCs w:val="21"/>
              </w:rPr>
              <w:t>一般乡村建设项目）</w:t>
            </w:r>
            <w:r>
              <w:rPr>
                <w:rFonts w:hint="eastAsia" w:asciiTheme="minorEastAsia" w:hAnsiTheme="minorEastAsia" w:eastAsiaTheme="minorEastAsia"/>
                <w:szCs w:val="21"/>
              </w:rPr>
              <w:t>、</w:t>
            </w:r>
            <w:r>
              <w:rPr>
                <w:rFonts w:asciiTheme="minorEastAsia" w:hAnsiTheme="minorEastAsia" w:eastAsiaTheme="minorEastAsia"/>
                <w:szCs w:val="21"/>
              </w:rPr>
              <w:t>设施农业项目</w:t>
            </w:r>
            <w:r>
              <w:rPr>
                <w:rFonts w:hint="eastAsia" w:asciiTheme="minorEastAsia" w:hAnsiTheme="minorEastAsia" w:eastAsiaTheme="minorEastAsia"/>
                <w:szCs w:val="21"/>
              </w:rPr>
              <w:t>、</w:t>
            </w:r>
            <w:r>
              <w:rPr>
                <w:rFonts w:asciiTheme="minorEastAsia" w:hAnsiTheme="minorEastAsia" w:eastAsiaTheme="minorEastAsia"/>
                <w:szCs w:val="21"/>
              </w:rPr>
              <w:t>农户建房）等14个事项的 批文模板调整，套上报部电子监管号</w:t>
            </w: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规划许可用途管制管理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用途管制信息模块</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为了及时监测上报到国家用途管制平台的数据情况，针对</w:t>
            </w:r>
            <w:r>
              <w:rPr>
                <w:rFonts w:hint="eastAsia" w:asciiTheme="minorEastAsia" w:hAnsiTheme="minorEastAsia" w:eastAsiaTheme="minorEastAsia"/>
                <w:szCs w:val="21"/>
              </w:rPr>
              <w:t>以上</w:t>
            </w:r>
            <w:r>
              <w:rPr>
                <w:rFonts w:asciiTheme="minorEastAsia" w:hAnsiTheme="minorEastAsia" w:eastAsiaTheme="minorEastAsia"/>
                <w:szCs w:val="21"/>
              </w:rPr>
              <w:t>14个事项的规划许可栏目设置及各事项信息展示，展示国家用途管制平台返回的电子监管号以及各事项中数据。</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规划许可用途管制管理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 xml:space="preserve"> “一网通办”申报端调整</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一书三证（依申请注销情形）增加判别规则，注销办结后，挂局中台esb，推送消息，方便大土地等系统调用</w:t>
            </w:r>
          </w:p>
        </w:tc>
      </w:tr>
      <w:tr>
        <w:tblPrEx>
          <w:tblCellMar>
            <w:top w:w="0" w:type="dxa"/>
            <w:left w:w="108" w:type="dxa"/>
            <w:bottom w:w="0" w:type="dxa"/>
            <w:right w:w="108" w:type="dxa"/>
          </w:tblCellMar>
        </w:tblPrEx>
        <w:trPr>
          <w:trHeight w:val="58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规划许可用途管制管理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用地预审、规划许可用途管制监督查询</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实现用地预审、规划许可用途管制新办、注销监督查询及报送进度查看</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国土空间用途管制联合监管</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用地、工规土地合同电子监管联动</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用地证，工规证-建构筑物（划拨用地、出让用地），新办、变更情形，新增土地合同电子监管号，可刷新。在新办情形下，预审提交审理时，系统强控必须有土地合同电子监管号。</w:t>
            </w:r>
          </w:p>
          <w:p>
            <w:pPr>
              <w:pStyle w:val="141"/>
              <w:rPr>
                <w:rFonts w:asciiTheme="minorEastAsia" w:hAnsiTheme="minorEastAsia" w:eastAsiaTheme="minorEastAsia"/>
                <w:szCs w:val="21"/>
              </w:rPr>
            </w:pPr>
            <w:r>
              <w:rPr>
                <w:rFonts w:hint="eastAsia" w:asciiTheme="minorEastAsia" w:hAnsiTheme="minorEastAsia" w:eastAsiaTheme="minorEastAsia"/>
                <w:szCs w:val="21"/>
              </w:rPr>
              <w:t>与土地联动，在审批环节，自动获取土地合同电子监管号，并进行数据校验，对用地证工规证环节强控土地合同电子监管号。</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规划许可用途管制管理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国土空间用途管制联合监管－用地证新增用地报部地图资料</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建设用地规划许可证的核发（划拨用地）新办、变更情形，项目材料树新增节点“用地报部地图资料”。                                                 在预审提交审理后，通过调用接口，将“用地范围层”数据，生成空间文件，生成压缩包，挂资源树。                                                                          提供界址点数据生成，面取点转换，坐标转换，按照规范格式生成txt文件。</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规划许可用途管制管理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数据服务管理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针对业务部门同意可不报送的情况，系统可通过，事项可办结。信息记入监督查询功能模块。针对特殊事项，给予不报部，已报获取电子监管号的撤回。运维注销记录信息，纳入系统日志，记入监督查询功能模块。</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信息公开</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信息公开办理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信息公开办理</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记录信息公开业务在局内的登记、流转、办理过程。</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登记局信息公开办理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登记局信息公开办理</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提供二级局（登记局）单独的信息公开办理流程，支持登记局内部登记、流转审批并出具对外答复意见，以及查询统计</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信息公开非本纸向部门维护</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信息公开非本纸向部门维护</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提供信访办用户自行根据需要对非本指向部门以及相应的联系电话、联系地址、邮政编码进行维护。</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信息公开延期</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信息公开延期</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根据信息公开设置的办理期限，以及主办办理期限，在即将到期时触发提醒机制，提醒是否需要延期，同时提供信息公开延期功能，支持业务办理部门发起延期申请。</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信息公开预警管理、信息公开催办</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信息公开预警管理、信息公开催办</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根据信息公开案件件类型和各个办理环节的时限要求，对办理全过程进行监管，避免超期；以案件期限为时间点，对案件进行催办；同时增加红、黄灯及短信提醒功能，在案件到期前进行催办，以便更好的保障信息公开办理时效。</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信息公开补正</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信息公开补正</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提供公众处用户、业务处室用户在案件办理过程中，可以根据需要针对问题材料、材料缺失的案件发起补正流程。</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与市政府政务信息公开平台数据共享</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与市政府政务信息公开平台数据共享</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自动从市政府政务信息公开平台采集局办信息公开件和市办信息公开件，在大事务系统流转审批，审批结束后，将办理结果及对外答复意见反馈市政府政务信息公开平台。</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标准目录</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标准目录</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依托市政府办公厅发布的政务公开标准目录格式，实现政府公开标准目录能在系统中维护。</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信息公开时效监督</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信息公开时效监督</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提供信息公开时效监督功能，实时监测政府机构的信息公开情况，识别应公开但未公开的信息，主要是对于市局机关处室、局属事业单位、区规划和自然资源局信息公开案件的办理时效进行时效监督和用时分析。</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信息公开维护、信息公开电子签章、信息公开高级查询、信息公开统计分析</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信息公开维护、信息公开电子签章、信息公开高级查询、信息公开统计分析</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提供信息公开管理员在信息公开办件过程中，对补正材料进行补充上传；对信息公开案件错误内容进行及时修订，不影响办件效率；对接CA电子印章平台，对外答复意见，提供加盖电子签章，生成电子签章文件；提供根据信息公开表单元素自定义查询条件，并支持导出excel表单；围绕信息公开全量办件数据和内容分类、办理意见构建可灵活配置的三级统计分析报表。</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一键转授权、待办快捷键功能定制、文件预览放大镜功能定制</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一键转授权、待办快捷键功能定制、文件预览放大镜功能定制</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因机关用户组织结构调整频繁，希望通过一键转授权功能，提供调整后用户可以查看以前同岗位用户处理的办件详情，以便快速学习掌握当前岗位的具体职能以及工作内容，提升工作效率；支持定制待办快捷键功能；提供附件预览放大切换功能。</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市区两级交流平台</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市区两级交流平台</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建设集信息发布、互动交流、协同处理为一体的线上数字化沟通功能，支持市局机关处室、局属事业单位及区规划资源局所有用户通过该功能对局内一厅八室所有业务系统相关业务事项及其他事项创建话题、下发通知、意见征询及建议反馈、交流沟通，实现跨层级、跨部门、跨区域交流，并降低沟通成本，提升政务工作整体效率。</w:t>
            </w:r>
          </w:p>
        </w:tc>
      </w:tr>
      <w:tr>
        <w:tblPrEx>
          <w:tblCellMar>
            <w:top w:w="0" w:type="dxa"/>
            <w:left w:w="108" w:type="dxa"/>
            <w:bottom w:w="0" w:type="dxa"/>
            <w:right w:w="108" w:type="dxa"/>
          </w:tblCellMar>
        </w:tblPrEx>
        <w:trPr>
          <w:trHeight w:val="300" w:hRule="atLeast"/>
        </w:trPr>
        <w:tc>
          <w:tcPr>
            <w:tcW w:w="1527" w:type="dxa"/>
            <w:vMerge w:val="restart"/>
            <w:tcBorders>
              <w:top w:val="single" w:color="000000" w:sz="4" w:space="0"/>
              <w:left w:val="single" w:color="000000" w:sz="4" w:space="0"/>
              <w:right w:val="single" w:color="000000" w:sz="4" w:space="0"/>
            </w:tcBorders>
            <w:noWrap/>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效能监督</w:t>
            </w: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hint="eastAsia" w:asciiTheme="minorEastAsia" w:hAnsiTheme="minorEastAsia" w:eastAsiaTheme="minorEastAsia"/>
                <w:szCs w:val="21"/>
              </w:rPr>
              <w:t>办件时效监督</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办件时效监督</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cs="Tahoma" w:asciiTheme="minorEastAsia" w:hAnsiTheme="minorEastAsia" w:eastAsiaTheme="minorEastAsia"/>
                <w:color w:val="000000"/>
                <w:kern w:val="0"/>
                <w:szCs w:val="21"/>
              </w:rPr>
              <w:t>对接各业工程项目办理案件数据，根据案件标准办结节点设定逾期条件，对于办件中即将逾期以及逾期的项目案件信息进行汇集，展示办件项目名称、办理部门、办理人员、当前所在环节、时效信息等，便于监督人员快速查看案件的逾期信息。对接局内统一发信接口及统一用户管理平台，设置短信统一模板，自动将业务逾期、即将逾期的案件数据生成为计划短信任务，每天定时间同步发送短信到对应环节经办人及对应的监督人员的手机短信中，推进办件效率。</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p>
          <w:p>
            <w:pPr>
              <w:pStyle w:val="141"/>
              <w:rPr>
                <w:rFonts w:asciiTheme="minorEastAsia" w:hAnsiTheme="minorEastAsia" w:eastAsiaTheme="minorEastAsia"/>
                <w:szCs w:val="21"/>
              </w:rPr>
            </w:pPr>
            <w:r>
              <w:rPr>
                <w:rFonts w:asciiTheme="minorEastAsia" w:hAnsiTheme="minorEastAsia" w:eastAsiaTheme="minorEastAsia"/>
                <w:szCs w:val="21"/>
              </w:rPr>
              <w:t>双随机管理</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asciiTheme="minorEastAsia" w:hAnsiTheme="minorEastAsia" w:eastAsiaTheme="minorEastAsia"/>
                <w:szCs w:val="21"/>
              </w:rPr>
              <w:t>双随机管理</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cs="Tahoma" w:asciiTheme="minorEastAsia" w:hAnsiTheme="minorEastAsia" w:eastAsiaTheme="minorEastAsia"/>
                <w:color w:val="000000"/>
                <w:kern w:val="0"/>
                <w:szCs w:val="21"/>
              </w:rPr>
              <w:t>新增检查数据抽取功能，支持设置抽取条件，包括办结日期区间、所属区域、抽取数量等，对接大项目建设工程规划许可证、乡村建设规划许可证的项目的办件信息库，能够进行相应的案件抽取，生成双随机案件库。将从业务系统抽取到的数据按照数据标准要求进行整合，包括结构化数据的展示和非结构化数据的预览下载，整合以清单和资源树后进行展示，便于监督人员检查数据问题。创建检查数据数据资源树，展示办理的全部审批数据及附件信息，可查看相关的数据信息，支持跳转到相关的页面查看数据。对双随机抽查后有后有问题的案件下发生成工单进行生成，生成后可对工单进行派发处理，派发给相应的监督经办人进行跟进。</w:t>
            </w:r>
          </w:p>
        </w:tc>
      </w:tr>
      <w:tr>
        <w:tblPrEx>
          <w:tblCellMar>
            <w:top w:w="0" w:type="dxa"/>
            <w:left w:w="108" w:type="dxa"/>
            <w:bottom w:w="0" w:type="dxa"/>
            <w:right w:w="108" w:type="dxa"/>
          </w:tblCellMar>
        </w:tblPrEx>
        <w:trPr>
          <w:trHeight w:val="300" w:hRule="atLeast"/>
        </w:trPr>
        <w:tc>
          <w:tcPr>
            <w:tcW w:w="1527" w:type="dxa"/>
            <w:vMerge w:val="continue"/>
            <w:tcBorders>
              <w:left w:val="single" w:color="000000" w:sz="4" w:space="0"/>
              <w:bottom w:val="single" w:color="000000" w:sz="4" w:space="0"/>
              <w:right w:val="single" w:color="000000" w:sz="4" w:space="0"/>
            </w:tcBorders>
            <w:noWrap/>
          </w:tcPr>
          <w:p>
            <w:pPr>
              <w:pStyle w:val="141"/>
              <w:rPr>
                <w:rFonts w:asciiTheme="minorEastAsia" w:hAnsiTheme="minorEastAsia" w:eastAsiaTheme="minorEastAsia"/>
                <w:szCs w:val="21"/>
              </w:rPr>
            </w:pP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发文管理</w:t>
            </w:r>
          </w:p>
          <w:p>
            <w:pPr>
              <w:pStyle w:val="141"/>
              <w:rPr>
                <w:rFonts w:asciiTheme="minorEastAsia" w:hAnsiTheme="minorEastAsia" w:eastAsiaTheme="minorEastAsia"/>
                <w:szCs w:val="21"/>
              </w:rPr>
            </w:pP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发文管理</w:t>
            </w:r>
          </w:p>
          <w:p>
            <w:pPr>
              <w:ind w:firstLine="420"/>
              <w:rPr>
                <w:rFonts w:asciiTheme="minorEastAsia" w:hAnsiTheme="minorEastAsia" w:eastAsiaTheme="minorEastAsia"/>
                <w:sz w:val="21"/>
                <w:szCs w:val="21"/>
              </w:rPr>
            </w:pPr>
          </w:p>
          <w:p>
            <w:pPr>
              <w:ind w:firstLine="420"/>
              <w:rPr>
                <w:rFonts w:asciiTheme="minorEastAsia" w:hAnsiTheme="minorEastAsia" w:eastAsiaTheme="minorEastAsia"/>
                <w:sz w:val="21"/>
                <w:szCs w:val="21"/>
              </w:rPr>
            </w:pPr>
          </w:p>
          <w:p>
            <w:pPr>
              <w:ind w:firstLine="420"/>
              <w:rPr>
                <w:rFonts w:asciiTheme="minorEastAsia" w:hAnsiTheme="minorEastAsia" w:eastAsiaTheme="minorEastAsia"/>
                <w:sz w:val="21"/>
                <w:szCs w:val="21"/>
              </w:rPr>
            </w:pPr>
          </w:p>
          <w:p>
            <w:pPr>
              <w:ind w:firstLine="420"/>
              <w:rPr>
                <w:rFonts w:asciiTheme="minorEastAsia" w:hAnsiTheme="minorEastAsia" w:eastAsiaTheme="minorEastAsia"/>
                <w:sz w:val="21"/>
                <w:szCs w:val="21"/>
              </w:rPr>
            </w:pPr>
          </w:p>
          <w:p>
            <w:pPr>
              <w:ind w:firstLine="420"/>
              <w:rPr>
                <w:rFonts w:asciiTheme="minorEastAsia" w:hAnsiTheme="minorEastAsia" w:eastAsiaTheme="minorEastAsia" w:cstheme="minorBidi"/>
                <w:sz w:val="21"/>
                <w:szCs w:val="21"/>
              </w:rPr>
            </w:pPr>
          </w:p>
          <w:p>
            <w:pPr>
              <w:ind w:firstLine="420"/>
              <w:rPr>
                <w:rFonts w:asciiTheme="minorEastAsia" w:hAnsiTheme="minorEastAsia" w:eastAsiaTheme="minorEastAsia"/>
                <w:sz w:val="21"/>
                <w:szCs w:val="21"/>
              </w:rPr>
            </w:pPr>
          </w:p>
          <w:p>
            <w:pPr>
              <w:ind w:firstLine="420"/>
              <w:rPr>
                <w:rFonts w:asciiTheme="minorEastAsia" w:hAnsiTheme="minorEastAsia" w:eastAsiaTheme="minorEastAsia"/>
                <w:sz w:val="21"/>
                <w:szCs w:val="21"/>
              </w:rPr>
            </w:pPr>
          </w:p>
          <w:p>
            <w:pPr>
              <w:ind w:firstLine="420"/>
              <w:rPr>
                <w:rFonts w:asciiTheme="minorEastAsia" w:hAnsiTheme="minorEastAsia" w:eastAsiaTheme="minorEastAsia" w:cstheme="minorBidi"/>
                <w:sz w:val="21"/>
                <w:szCs w:val="21"/>
              </w:rPr>
            </w:pPr>
          </w:p>
          <w:p>
            <w:pPr>
              <w:ind w:firstLine="420"/>
              <w:rPr>
                <w:rFonts w:asciiTheme="minorEastAsia" w:hAnsiTheme="minorEastAsia" w:eastAsiaTheme="minorEastAsia"/>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cs="Tahoma" w:asciiTheme="minorEastAsia" w:hAnsiTheme="minorEastAsia" w:eastAsiaTheme="minorEastAsia"/>
                <w:color w:val="000000"/>
                <w:kern w:val="0"/>
                <w:szCs w:val="21"/>
              </w:rPr>
              <w:t>针对监督过程中发现问题的发文需要，新增拟稿办理功能，可填写具体的发文信息并选择对应的模板，系统自动根据预填写的结构化数据信息和模板进行套红，可直接在进行在线拟稿编辑操作。增加发文审核审批流程，记录办理过程的办理人员、办理时间、意见信息，对于不同的会办部门支持自动流转至对应部门进行办理，可预览稿件和查看流转情况，支持办理人员在相应环节进行内部流转后提交。支持填写办理意见并记录查看相应伙伴部门的办理信息。对发文的文书模板例如意见书、通知书、建议函、重点事项督办通知书等进行管理，文书管理员可新增、修改、编辑模板信息，支持上传文书的模板文件及对该文书的发文文号进行管理。对接局内统一签章平台，在发文审核审批办理全流程结束后进行定稿盖章，自动对定稿文件进行盖章，记录盖章的时间和文件信息，便于后续查询。</w:t>
            </w:r>
          </w:p>
        </w:tc>
      </w:tr>
      <w:tr>
        <w:tblPrEx>
          <w:tblCellMar>
            <w:top w:w="0" w:type="dxa"/>
            <w:left w:w="108" w:type="dxa"/>
            <w:bottom w:w="0" w:type="dxa"/>
            <w:right w:w="108" w:type="dxa"/>
          </w:tblCellMar>
        </w:tblPrEx>
        <w:trPr>
          <w:trHeight w:val="300" w:hRule="atLeast"/>
        </w:trPr>
        <w:tc>
          <w:tcPr>
            <w:tcW w:w="1527" w:type="dxa"/>
            <w:tcBorders>
              <w:top w:val="single" w:color="000000" w:sz="4" w:space="0"/>
              <w:left w:val="single" w:color="000000" w:sz="4" w:space="0"/>
              <w:bottom w:val="single" w:color="000000" w:sz="4" w:space="0"/>
              <w:right w:val="single" w:color="000000" w:sz="4" w:space="0"/>
            </w:tcBorders>
            <w:noWrap/>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密码应用功能开发</w:t>
            </w:r>
          </w:p>
        </w:tc>
        <w:tc>
          <w:tcPr>
            <w:tcW w:w="1844" w:type="dxa"/>
            <w:tcBorders>
              <w:top w:val="single" w:color="000000" w:sz="4" w:space="0"/>
              <w:left w:val="single" w:color="000000" w:sz="4" w:space="0"/>
              <w:bottom w:val="single" w:color="000000" w:sz="4" w:space="0"/>
              <w:right w:val="single" w:color="000000" w:sz="4" w:space="0"/>
            </w:tcBorders>
          </w:tcPr>
          <w:p>
            <w:pPr>
              <w:pStyle w:val="141"/>
              <w:rPr>
                <w:rFonts w:asciiTheme="minorEastAsia" w:hAnsiTheme="minorEastAsia" w:eastAsiaTheme="minorEastAsia"/>
                <w:szCs w:val="21"/>
              </w:rPr>
            </w:pPr>
            <w:r>
              <w:rPr>
                <w:rFonts w:hint="eastAsia" w:asciiTheme="minorEastAsia" w:hAnsiTheme="minorEastAsia" w:eastAsiaTheme="minorEastAsia"/>
                <w:szCs w:val="21"/>
              </w:rPr>
              <w:t>密码应用功能开发</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密码应用功能开发</w:t>
            </w:r>
          </w:p>
        </w:tc>
        <w:tc>
          <w:tcPr>
            <w:tcW w:w="3118" w:type="dxa"/>
            <w:tcBorders>
              <w:top w:val="single" w:color="000000" w:sz="4" w:space="0"/>
              <w:left w:val="single" w:color="000000" w:sz="4" w:space="0"/>
              <w:bottom w:val="single" w:color="000000" w:sz="4" w:space="0"/>
              <w:right w:val="single" w:color="000000" w:sz="4" w:space="0"/>
            </w:tcBorders>
            <w:vAlign w:val="center"/>
          </w:tcPr>
          <w:p>
            <w:pPr>
              <w:pStyle w:val="141"/>
              <w:rPr>
                <w:rFonts w:asciiTheme="minorEastAsia" w:hAnsiTheme="minorEastAsia" w:eastAsiaTheme="minorEastAsia"/>
                <w:szCs w:val="21"/>
              </w:rPr>
            </w:pPr>
            <w:r>
              <w:rPr>
                <w:rFonts w:hint="eastAsia" w:asciiTheme="minorEastAsia" w:hAnsiTheme="minorEastAsia" w:eastAsiaTheme="minorEastAsia"/>
                <w:szCs w:val="21"/>
              </w:rPr>
              <w:t>重要数据加解密、应用系统重要数据签名验签等。</w:t>
            </w:r>
          </w:p>
        </w:tc>
      </w:tr>
    </w:tbl>
    <w:p/>
    <w:p>
      <w:pPr>
        <w:pStyle w:val="2"/>
      </w:pPr>
      <w:bookmarkStart w:id="20" w:name="_Toc63785503"/>
      <w:r>
        <w:rPr>
          <w:rFonts w:hint="eastAsia"/>
        </w:rPr>
        <w:t>其他工作要求</w:t>
      </w:r>
      <w:bookmarkEnd w:id="20"/>
    </w:p>
    <w:p>
      <w:pPr>
        <w:keepNext/>
        <w:keepLines/>
        <w:numPr>
          <w:ilvl w:val="1"/>
          <w:numId w:val="6"/>
        </w:numPr>
        <w:tabs>
          <w:tab w:val="left" w:pos="360"/>
        </w:tabs>
        <w:spacing w:before="120"/>
        <w:ind w:left="0" w:firstLine="0"/>
        <w:outlineLvl w:val="1"/>
        <w:rPr>
          <w:rFonts w:ascii="仿宋" w:hAnsi="仿宋" w:eastAsia="仿宋"/>
          <w:b/>
          <w:vanish/>
          <w:color w:val="000000"/>
          <w:sz w:val="28"/>
          <w:szCs w:val="20"/>
        </w:rPr>
      </w:pPr>
      <w:bookmarkStart w:id="21" w:name="_Toc63585480"/>
      <w:bookmarkEnd w:id="21"/>
      <w:bookmarkStart w:id="22" w:name="_Toc63762370"/>
      <w:bookmarkEnd w:id="22"/>
      <w:bookmarkStart w:id="23" w:name="_Toc63785439"/>
      <w:bookmarkEnd w:id="23"/>
      <w:bookmarkStart w:id="24" w:name="_Toc63785504"/>
      <w:bookmarkEnd w:id="24"/>
      <w:bookmarkStart w:id="25" w:name="_Toc62209488"/>
      <w:bookmarkEnd w:id="25"/>
      <w:bookmarkStart w:id="26" w:name="_Toc61968111"/>
      <w:bookmarkEnd w:id="26"/>
      <w:bookmarkStart w:id="27" w:name="_Toc62219358"/>
      <w:bookmarkEnd w:id="27"/>
      <w:bookmarkStart w:id="28" w:name="_Toc63151871"/>
      <w:bookmarkEnd w:id="28"/>
    </w:p>
    <w:p>
      <w:pPr>
        <w:pStyle w:val="3"/>
      </w:pPr>
      <w:bookmarkStart w:id="29" w:name="_Toc63785505"/>
      <w:r>
        <w:rPr>
          <w:rFonts w:hint="eastAsia"/>
        </w:rPr>
        <w:t>售后服务要求</w:t>
      </w:r>
      <w:bookmarkEnd w:id="29"/>
    </w:p>
    <w:p>
      <w:pPr>
        <w:pStyle w:val="107"/>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pPr>
        <w:pStyle w:val="107"/>
        <w:snapToGrid w:val="0"/>
        <w:spacing w:line="360" w:lineRule="auto"/>
        <w:ind w:firstLine="480"/>
        <w:rPr>
          <w:rFonts w:ascii="宋体" w:hAnsi="宋体"/>
          <w:sz w:val="24"/>
          <w:szCs w:val="24"/>
        </w:rPr>
      </w:pPr>
      <w:r>
        <w:rPr>
          <w:rFonts w:hint="eastAsia" w:ascii="宋体" w:hAnsi="宋体"/>
          <w:sz w:val="24"/>
          <w:szCs w:val="24"/>
        </w:rPr>
        <w:t>在质量保证期内，投标人将按照售后服务的承诺提供保修和运行维护服务，如果厂商对信息系统中软、硬件设备等产品中的部分保修期超过上述期限的，则按照厂商的规定进行免费保修。</w:t>
      </w:r>
    </w:p>
    <w:p>
      <w:pPr>
        <w:pStyle w:val="107"/>
        <w:snapToGrid w:val="0"/>
        <w:spacing w:line="360" w:lineRule="auto"/>
        <w:ind w:firstLine="480"/>
        <w:rPr>
          <w:rFonts w:ascii="宋体" w:hAnsi="宋体"/>
          <w:sz w:val="24"/>
          <w:szCs w:val="24"/>
        </w:rPr>
      </w:pPr>
      <w:r>
        <w:rPr>
          <w:rFonts w:hint="eastAsia" w:ascii="宋体" w:hAnsi="宋体"/>
          <w:sz w:val="24"/>
          <w:szCs w:val="24"/>
        </w:rPr>
        <w:t>在质量保证期内，投标人免费负责信息系统的运行维护工作，确保信息系统安全、稳定、可靠地运行。本项目涉及的运行维护工作范围为：</w:t>
      </w:r>
    </w:p>
    <w:p>
      <w:pPr>
        <w:pStyle w:val="107"/>
        <w:snapToGrid w:val="0"/>
        <w:spacing w:line="360" w:lineRule="auto"/>
        <w:ind w:firstLine="482"/>
        <w:rPr>
          <w:rFonts w:ascii="宋体" w:hAnsi="宋体"/>
          <w:b/>
          <w:bCs/>
          <w:sz w:val="24"/>
          <w:szCs w:val="24"/>
        </w:rPr>
      </w:pPr>
      <w:r>
        <w:rPr>
          <w:rFonts w:hint="eastAsia" w:ascii="宋体" w:hAnsi="宋体"/>
          <w:b/>
          <w:bCs/>
          <w:sz w:val="24"/>
          <w:szCs w:val="24"/>
        </w:rPr>
        <w:t>1</w:t>
      </w:r>
      <w:r>
        <w:rPr>
          <w:rFonts w:ascii="宋体" w:hAnsi="宋体"/>
          <w:b/>
          <w:bCs/>
          <w:sz w:val="24"/>
          <w:szCs w:val="24"/>
        </w:rPr>
        <w:t>.</w:t>
      </w:r>
      <w:r>
        <w:rPr>
          <w:rFonts w:hint="eastAsia" w:ascii="宋体" w:hAnsi="宋体"/>
          <w:b/>
          <w:bCs/>
          <w:sz w:val="24"/>
          <w:szCs w:val="24"/>
        </w:rPr>
        <w:t>日常的应用维护服务</w:t>
      </w:r>
    </w:p>
    <w:p>
      <w:pPr>
        <w:pStyle w:val="107"/>
        <w:snapToGrid w:val="0"/>
        <w:spacing w:line="360" w:lineRule="auto"/>
        <w:ind w:firstLine="480"/>
        <w:rPr>
          <w:rFonts w:ascii="宋体" w:hAnsi="宋体"/>
          <w:sz w:val="24"/>
          <w:szCs w:val="24"/>
        </w:rPr>
      </w:pPr>
      <w:r>
        <w:rPr>
          <w:rFonts w:hint="eastAsia" w:ascii="宋体" w:hAnsi="宋体"/>
          <w:sz w:val="24"/>
          <w:szCs w:val="24"/>
        </w:rPr>
        <w:t>投标人在接到相关的日常维护要求后，诊断问题，分别提供各类日常维护服务，并将维修结果及时回复。提供的日常服务包括：</w:t>
      </w:r>
    </w:p>
    <w:p>
      <w:pPr>
        <w:numPr>
          <w:ilvl w:val="0"/>
          <w:numId w:val="7"/>
        </w:numPr>
        <w:adjustRightInd w:val="0"/>
        <w:spacing w:line="360" w:lineRule="auto"/>
        <w:ind w:left="874"/>
        <w:textAlignment w:val="baseline"/>
      </w:pPr>
      <w:r>
        <w:rPr>
          <w:rFonts w:hint="eastAsia"/>
        </w:rPr>
        <w:t>投标人应设立专门的技术支持小组，指派专人常驻现场，为建设单位提供全面专业的技术支持。</w:t>
      </w:r>
    </w:p>
    <w:p>
      <w:pPr>
        <w:numPr>
          <w:ilvl w:val="0"/>
          <w:numId w:val="7"/>
        </w:numPr>
        <w:adjustRightInd w:val="0"/>
        <w:spacing w:line="360" w:lineRule="auto"/>
        <w:ind w:left="874"/>
        <w:textAlignment w:val="baseline"/>
      </w:pPr>
      <w:r>
        <w:rPr>
          <w:rFonts w:hint="eastAsia"/>
        </w:rPr>
        <w:t>对应用系统提供相关技术咨询、系统调整、应用升级、性能调优和定期（每月）检测维护的服务。</w:t>
      </w:r>
    </w:p>
    <w:p>
      <w:pPr>
        <w:numPr>
          <w:ilvl w:val="0"/>
          <w:numId w:val="7"/>
        </w:numPr>
        <w:adjustRightInd w:val="0"/>
        <w:spacing w:line="360" w:lineRule="auto"/>
        <w:ind w:left="874"/>
        <w:textAlignment w:val="baseline"/>
      </w:pPr>
      <w:r>
        <w:rPr>
          <w:rFonts w:hint="eastAsia"/>
        </w:rPr>
        <w:t>提供</w:t>
      </w:r>
      <w:r>
        <w:t>7</w:t>
      </w:r>
      <w:r>
        <w:rPr>
          <w:rFonts w:hint="eastAsia"/>
        </w:rPr>
        <w:t>*24小时专人电话支持服务。对于应用系统故障情况，查找原因，提出解决方案，并工作至故障消除，完全恢复正常服务为止。</w:t>
      </w:r>
    </w:p>
    <w:p>
      <w:pPr>
        <w:pStyle w:val="137"/>
        <w:numPr>
          <w:ilvl w:val="0"/>
          <w:numId w:val="7"/>
        </w:numPr>
        <w:spacing w:after="0"/>
        <w:ind w:left="874" w:firstLineChars="0"/>
        <w:rPr>
          <w:rFonts w:ascii="宋体" w:hAnsi="宋体"/>
          <w:szCs w:val="24"/>
        </w:rPr>
      </w:pPr>
      <w:r>
        <w:rPr>
          <w:rFonts w:hint="eastAsia" w:ascii="宋体" w:hAnsi="宋体"/>
          <w:szCs w:val="24"/>
        </w:rPr>
        <w:t>无推诿承诺。即无论由于哪一方产生的问题而使系统发生不正常情况时，在得到通知后，项目开发小组与公司立刻响应派工程师到场，全力配合厂商和其他投标人，使系统尽快恢复正常。</w:t>
      </w:r>
    </w:p>
    <w:p>
      <w:pPr>
        <w:pStyle w:val="137"/>
        <w:numPr>
          <w:ilvl w:val="0"/>
          <w:numId w:val="7"/>
        </w:numPr>
        <w:spacing w:after="0"/>
        <w:ind w:left="874" w:firstLineChars="0"/>
        <w:rPr>
          <w:rFonts w:ascii="宋体" w:hAnsi="宋体"/>
          <w:szCs w:val="24"/>
        </w:rPr>
      </w:pPr>
      <w:r>
        <w:rPr>
          <w:rFonts w:hint="eastAsia" w:ascii="宋体" w:hAnsi="宋体"/>
          <w:szCs w:val="24"/>
        </w:rPr>
        <w:t>保修期结束前，进行一次全面检查，任何与要求不符的缺陷将由项目开发小组与公司负责修理，在修理之后，将缺陷原因、修理内容、完成修理及恢复正常的时间和日期等制成报告，报告一式两份；如在</w:t>
      </w:r>
      <w:r>
        <w:rPr>
          <w:rFonts w:hint="eastAsia"/>
        </w:rPr>
        <w:t>保修期结束时仍未完成修理的，则保修期自动顺延到修理工作完成之后</w:t>
      </w:r>
      <w:r>
        <w:rPr>
          <w:rFonts w:hint="eastAsia" w:ascii="宋体" w:hAnsi="宋体"/>
          <w:szCs w:val="24"/>
        </w:rPr>
        <w:t>。</w:t>
      </w:r>
    </w:p>
    <w:p>
      <w:pPr>
        <w:pStyle w:val="107"/>
        <w:snapToGrid w:val="0"/>
        <w:spacing w:line="360" w:lineRule="auto"/>
        <w:ind w:firstLine="482"/>
        <w:rPr>
          <w:rFonts w:ascii="宋体" w:hAnsi="宋体"/>
          <w:b/>
          <w:bCs/>
          <w:sz w:val="24"/>
          <w:szCs w:val="24"/>
        </w:rPr>
      </w:pPr>
      <w:r>
        <w:rPr>
          <w:rFonts w:hint="eastAsia" w:ascii="宋体" w:hAnsi="宋体"/>
          <w:b/>
          <w:bCs/>
          <w:sz w:val="24"/>
          <w:szCs w:val="24"/>
        </w:rPr>
        <w:t>2</w:t>
      </w:r>
      <w:r>
        <w:rPr>
          <w:rFonts w:ascii="宋体" w:hAnsi="宋体"/>
          <w:b/>
          <w:bCs/>
          <w:sz w:val="24"/>
          <w:szCs w:val="24"/>
        </w:rPr>
        <w:t>.</w:t>
      </w:r>
      <w:r>
        <w:rPr>
          <w:rFonts w:hint="eastAsia" w:ascii="宋体" w:hAnsi="宋体"/>
          <w:b/>
          <w:bCs/>
          <w:sz w:val="24"/>
          <w:szCs w:val="24"/>
        </w:rPr>
        <w:t>应用系统功能调整服务</w:t>
      </w:r>
    </w:p>
    <w:p>
      <w:pPr>
        <w:spacing w:line="360" w:lineRule="auto"/>
        <w:ind w:firstLine="470" w:firstLineChars="196"/>
      </w:pPr>
      <w:r>
        <w:rPr>
          <w:rFonts w:hint="eastAsia"/>
        </w:rPr>
        <w:t>投标人在接到相关业务部门书面形式描述的部分更改要求后，与相关业务部门一起对需求进行确认，并对应用系统修改功能的实现提出书面的方案，由相关业务部门协调对应用修改方案进行确认并反馈给维护单位。</w:t>
      </w:r>
    </w:p>
    <w:p>
      <w:pPr>
        <w:spacing w:line="360" w:lineRule="auto"/>
        <w:ind w:firstLine="470" w:firstLineChars="196"/>
        <w:rPr>
          <w:b/>
        </w:rPr>
      </w:pPr>
      <w:r>
        <w:rPr>
          <w:rFonts w:hint="eastAsia"/>
        </w:rPr>
        <w:t>由于业务调整，维护单位需要对应用系统进行相应的功能调整服务。提供的服务包括：</w:t>
      </w:r>
    </w:p>
    <w:p>
      <w:pPr>
        <w:pStyle w:val="137"/>
        <w:numPr>
          <w:ilvl w:val="0"/>
          <w:numId w:val="8"/>
        </w:numPr>
        <w:tabs>
          <w:tab w:val="left" w:pos="312"/>
        </w:tabs>
        <w:spacing w:after="0"/>
        <w:ind w:left="874" w:firstLineChars="0"/>
        <w:rPr>
          <w:rFonts w:ascii="宋体" w:hAnsi="宋体"/>
          <w:szCs w:val="24"/>
        </w:rPr>
      </w:pPr>
      <w:r>
        <w:rPr>
          <w:rFonts w:hint="eastAsia" w:ascii="宋体" w:hAnsi="宋体"/>
          <w:szCs w:val="24"/>
        </w:rPr>
        <w:t>应用方案的提出和论证：结合系统原来设计的结构和总体框架，对变化的需求或增加的需求进行可行性分析，整理并提出可行的方案，并与业务部门或其他用户一起对方案进行论证和确认。</w:t>
      </w:r>
    </w:p>
    <w:p>
      <w:pPr>
        <w:pStyle w:val="137"/>
        <w:numPr>
          <w:ilvl w:val="0"/>
          <w:numId w:val="8"/>
        </w:numPr>
        <w:tabs>
          <w:tab w:val="left" w:pos="312"/>
        </w:tabs>
        <w:spacing w:after="0"/>
        <w:ind w:left="874" w:firstLineChars="0"/>
        <w:rPr>
          <w:rFonts w:ascii="宋体" w:hAnsi="宋体"/>
          <w:szCs w:val="24"/>
        </w:rPr>
      </w:pPr>
      <w:r>
        <w:rPr>
          <w:rFonts w:hint="eastAsia" w:ascii="宋体" w:hAnsi="宋体"/>
          <w:szCs w:val="24"/>
        </w:rPr>
        <w:t>修改应用系统相关的技术文档：根据应用修改的实际情况变更相关的应用技术文档，包括需求文档、分析设计文档、测试文档、使用手册。</w:t>
      </w:r>
    </w:p>
    <w:p>
      <w:pPr>
        <w:pStyle w:val="137"/>
        <w:numPr>
          <w:ilvl w:val="0"/>
          <w:numId w:val="8"/>
        </w:numPr>
        <w:tabs>
          <w:tab w:val="left" w:pos="312"/>
        </w:tabs>
        <w:spacing w:after="0"/>
        <w:ind w:left="874" w:firstLineChars="0"/>
        <w:rPr>
          <w:rFonts w:ascii="宋体" w:hAnsi="宋体"/>
          <w:szCs w:val="24"/>
        </w:rPr>
      </w:pPr>
      <w:r>
        <w:rPr>
          <w:rFonts w:hint="eastAsia" w:ascii="宋体" w:hAnsi="宋体"/>
          <w:szCs w:val="24"/>
        </w:rPr>
        <w:t>应用实现包括对应用程序进行修改或增加功能，对实际运行的数据库结构进行修改，修改数据的复制逻辑，修改、调整相关的字典设置，应用系统功能的测试。</w:t>
      </w:r>
    </w:p>
    <w:p>
      <w:pPr>
        <w:pStyle w:val="137"/>
        <w:numPr>
          <w:ilvl w:val="0"/>
          <w:numId w:val="8"/>
        </w:numPr>
        <w:tabs>
          <w:tab w:val="left" w:pos="312"/>
        </w:tabs>
        <w:spacing w:after="0"/>
        <w:ind w:left="874" w:firstLineChars="0"/>
        <w:rPr>
          <w:rFonts w:ascii="宋体" w:hAnsi="宋体"/>
          <w:szCs w:val="24"/>
        </w:rPr>
      </w:pPr>
      <w:r>
        <w:rPr>
          <w:rFonts w:hint="eastAsia" w:ascii="宋体" w:hAnsi="宋体"/>
          <w:szCs w:val="24"/>
        </w:rPr>
        <w:t>调整后功能推广包括版本的升级、编写功能更新的说明、必要的用户培训、功能试用期间的支持。</w:t>
      </w:r>
    </w:p>
    <w:p>
      <w:pPr>
        <w:pStyle w:val="107"/>
        <w:snapToGrid w:val="0"/>
        <w:spacing w:line="360" w:lineRule="auto"/>
        <w:ind w:firstLine="482"/>
        <w:rPr>
          <w:rFonts w:ascii="宋体" w:hAnsi="宋体"/>
          <w:b/>
          <w:bCs/>
          <w:sz w:val="24"/>
          <w:szCs w:val="24"/>
        </w:rPr>
      </w:pPr>
      <w:r>
        <w:rPr>
          <w:rFonts w:hint="eastAsia" w:ascii="宋体" w:hAnsi="宋体"/>
          <w:b/>
          <w:bCs/>
          <w:sz w:val="24"/>
          <w:szCs w:val="24"/>
        </w:rPr>
        <w:t>3</w:t>
      </w:r>
      <w:r>
        <w:rPr>
          <w:rFonts w:ascii="宋体" w:hAnsi="宋体"/>
          <w:b/>
          <w:bCs/>
          <w:sz w:val="24"/>
          <w:szCs w:val="24"/>
        </w:rPr>
        <w:t>.</w:t>
      </w:r>
      <w:r>
        <w:rPr>
          <w:rFonts w:hint="eastAsia" w:ascii="宋体" w:hAnsi="宋体"/>
          <w:b/>
          <w:bCs/>
          <w:sz w:val="24"/>
          <w:szCs w:val="24"/>
        </w:rPr>
        <w:t>系统接口支持配合服务</w:t>
      </w:r>
    </w:p>
    <w:p>
      <w:pPr>
        <w:pStyle w:val="107"/>
        <w:snapToGrid w:val="0"/>
        <w:spacing w:line="360" w:lineRule="auto"/>
        <w:ind w:firstLine="480"/>
        <w:rPr>
          <w:rFonts w:ascii="宋体" w:hAnsi="宋体"/>
          <w:sz w:val="24"/>
          <w:szCs w:val="24"/>
        </w:rPr>
      </w:pPr>
      <w:r>
        <w:rPr>
          <w:rFonts w:hint="eastAsia" w:ascii="宋体" w:hAnsi="宋体"/>
          <w:sz w:val="24"/>
          <w:szCs w:val="24"/>
        </w:rPr>
        <w:t>本系统涉及与上海市各委办局信息系统、市大数据中心相关信息系统及其他可能的开发等对接，投标人需提供相关接口部分的技术支持服务。</w:t>
      </w:r>
    </w:p>
    <w:p>
      <w:pPr>
        <w:pStyle w:val="3"/>
      </w:pPr>
      <w:bookmarkStart w:id="30" w:name="_Toc63785506"/>
      <w:r>
        <w:rPr>
          <w:rFonts w:hint="eastAsia"/>
        </w:rPr>
        <w:t>应急响应要求</w:t>
      </w:r>
      <w:bookmarkEnd w:id="30"/>
    </w:p>
    <w:p>
      <w:pPr>
        <w:pStyle w:val="107"/>
        <w:snapToGrid w:val="0"/>
        <w:spacing w:line="360" w:lineRule="auto"/>
        <w:ind w:firstLine="480"/>
        <w:rPr>
          <w:rFonts w:ascii="宋体" w:hAnsi="宋体"/>
          <w:sz w:val="24"/>
          <w:szCs w:val="24"/>
        </w:rPr>
      </w:pPr>
      <w:r>
        <w:rPr>
          <w:rFonts w:hint="eastAsia" w:ascii="宋体" w:hAnsi="宋体"/>
          <w:sz w:val="24"/>
          <w:szCs w:val="24"/>
        </w:rPr>
        <w:t>投标人对系统故障应能够实时响应，若系统发生故障，接到通知后30分钟之内响应，专业工程师2小时内到达现场。特殊故障与采购人沟通协商后，按照协商的方式制定解决方案并进行处理。</w:t>
      </w:r>
    </w:p>
    <w:p>
      <w:pPr>
        <w:pStyle w:val="107"/>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pPr>
        <w:pStyle w:val="107"/>
        <w:snapToGrid w:val="0"/>
        <w:spacing w:line="360" w:lineRule="auto"/>
        <w:ind w:firstLine="480"/>
        <w:rPr>
          <w:rFonts w:ascii="宋体" w:hAnsi="宋体"/>
          <w:sz w:val="24"/>
          <w:szCs w:val="24"/>
        </w:rPr>
      </w:pPr>
      <w:r>
        <w:rPr>
          <w:rFonts w:hint="eastAsia" w:ascii="宋体" w:hAnsi="宋体"/>
          <w:sz w:val="24"/>
          <w:szCs w:val="24"/>
        </w:rPr>
        <w:t>一级故障：在1小时内确诊，总故障解决时间不超过4小时。</w:t>
      </w:r>
    </w:p>
    <w:p>
      <w:pPr>
        <w:pStyle w:val="107"/>
        <w:snapToGrid w:val="0"/>
        <w:spacing w:line="360" w:lineRule="auto"/>
        <w:ind w:firstLine="480"/>
        <w:rPr>
          <w:rFonts w:ascii="宋体" w:hAnsi="宋体"/>
          <w:sz w:val="24"/>
          <w:szCs w:val="24"/>
        </w:rPr>
      </w:pPr>
      <w:r>
        <w:rPr>
          <w:rFonts w:hint="eastAsia" w:ascii="宋体" w:hAnsi="宋体"/>
          <w:sz w:val="24"/>
          <w:szCs w:val="24"/>
        </w:rPr>
        <w:t>二级故障：在2小时内确诊，并在4小时内由专家到达现场确诊并解决，总故障解决时间不超过8小时；</w:t>
      </w:r>
    </w:p>
    <w:p>
      <w:pPr>
        <w:pStyle w:val="107"/>
        <w:snapToGrid w:val="0"/>
        <w:spacing w:line="360" w:lineRule="auto"/>
        <w:ind w:firstLine="480"/>
        <w:rPr>
          <w:rFonts w:ascii="宋体" w:hAnsi="宋体"/>
          <w:sz w:val="24"/>
          <w:szCs w:val="24"/>
        </w:rPr>
      </w:pPr>
      <w:r>
        <w:rPr>
          <w:rFonts w:hint="eastAsia" w:ascii="宋体" w:hAnsi="宋体"/>
          <w:sz w:val="24"/>
          <w:szCs w:val="24"/>
        </w:rPr>
        <w:t>三、四级故障：在4小时内确诊故障，总故障解决时间不超过16小时。</w:t>
      </w:r>
    </w:p>
    <w:p>
      <w:pPr>
        <w:pStyle w:val="107"/>
        <w:snapToGrid w:val="0"/>
        <w:spacing w:line="360" w:lineRule="auto"/>
        <w:ind w:firstLine="480"/>
        <w:rPr>
          <w:rFonts w:ascii="宋体" w:hAnsi="宋体"/>
          <w:sz w:val="24"/>
          <w:szCs w:val="24"/>
        </w:rPr>
      </w:pPr>
      <w:r>
        <w:rPr>
          <w:rFonts w:hint="eastAsia" w:ascii="宋体" w:hAnsi="宋体"/>
          <w:sz w:val="24"/>
          <w:szCs w:val="24"/>
        </w:rPr>
        <w:t>依据故障时间及故障范围划分故障级别，故障级别分为四级，依次为Ⅰ级（紧急）、Ⅱ级（严重）、Ⅲ级（较大）和Ⅳ级（一般），分别定义如下：</w:t>
      </w:r>
    </w:p>
    <w:p>
      <w:pPr>
        <w:pStyle w:val="107"/>
        <w:snapToGrid w:val="0"/>
        <w:spacing w:line="360" w:lineRule="auto"/>
        <w:ind w:firstLine="480"/>
        <w:rPr>
          <w:rFonts w:ascii="宋体" w:hAnsi="宋体"/>
          <w:sz w:val="24"/>
          <w:szCs w:val="24"/>
        </w:rPr>
      </w:pPr>
      <w:r>
        <w:rPr>
          <w:rFonts w:hint="eastAsia" w:ascii="宋体" w:hAnsi="宋体"/>
          <w:sz w:val="24"/>
          <w:szCs w:val="24"/>
        </w:rPr>
        <w:t>Ⅰ级（紧急）故障为工作时间段（8:30——17:30）内大范围故障；</w:t>
      </w:r>
    </w:p>
    <w:p>
      <w:pPr>
        <w:pStyle w:val="107"/>
        <w:snapToGrid w:val="0"/>
        <w:spacing w:line="360" w:lineRule="auto"/>
        <w:ind w:firstLine="480"/>
        <w:rPr>
          <w:rFonts w:ascii="宋体" w:hAnsi="宋体"/>
          <w:sz w:val="24"/>
          <w:szCs w:val="24"/>
        </w:rPr>
      </w:pPr>
      <w:r>
        <w:rPr>
          <w:rFonts w:hint="eastAsia" w:ascii="宋体" w:hAnsi="宋体"/>
          <w:sz w:val="24"/>
          <w:szCs w:val="24"/>
        </w:rPr>
        <w:t>Ⅱ级（严重）故障为非工作时间段（17:30——次日8:30）内大范围故障；</w:t>
      </w:r>
    </w:p>
    <w:p>
      <w:pPr>
        <w:pStyle w:val="107"/>
        <w:snapToGrid w:val="0"/>
        <w:spacing w:line="360" w:lineRule="auto"/>
        <w:ind w:firstLine="480"/>
        <w:rPr>
          <w:rFonts w:ascii="宋体" w:hAnsi="宋体"/>
          <w:sz w:val="24"/>
          <w:szCs w:val="24"/>
        </w:rPr>
      </w:pPr>
      <w:r>
        <w:rPr>
          <w:rFonts w:hint="eastAsia" w:ascii="宋体" w:hAnsi="宋体"/>
          <w:sz w:val="24"/>
          <w:szCs w:val="24"/>
        </w:rPr>
        <w:t>Ⅲ级（较大）故障为工作时间段（8:30——17:30）内小范围故障；</w:t>
      </w:r>
    </w:p>
    <w:p>
      <w:pPr>
        <w:pStyle w:val="107"/>
        <w:snapToGrid w:val="0"/>
        <w:spacing w:line="360" w:lineRule="auto"/>
        <w:ind w:firstLine="480"/>
        <w:rPr>
          <w:rFonts w:ascii="宋体" w:hAnsi="宋体"/>
          <w:sz w:val="24"/>
          <w:szCs w:val="24"/>
        </w:rPr>
      </w:pPr>
      <w:r>
        <w:rPr>
          <w:rFonts w:hint="eastAsia" w:ascii="宋体" w:hAnsi="宋体"/>
          <w:sz w:val="24"/>
          <w:szCs w:val="24"/>
        </w:rPr>
        <w:t>Ⅳ级（一般）故障为非工作时间段（17:30——次日8:30）内小范围故障；</w:t>
      </w:r>
    </w:p>
    <w:p>
      <w:pPr>
        <w:pStyle w:val="107"/>
        <w:snapToGrid w:val="0"/>
        <w:spacing w:line="360" w:lineRule="auto"/>
        <w:ind w:firstLine="480"/>
        <w:rPr>
          <w:rFonts w:ascii="宋体" w:hAnsi="宋体"/>
          <w:sz w:val="24"/>
          <w:szCs w:val="24"/>
        </w:rPr>
      </w:pPr>
    </w:p>
    <w:p>
      <w:pPr>
        <w:pStyle w:val="3"/>
        <w:ind w:firstLine="0"/>
      </w:pPr>
      <w:r>
        <w:rPr>
          <w:rFonts w:hint="eastAsia"/>
        </w:rPr>
        <w:t>网络与数据安全</w:t>
      </w:r>
    </w:p>
    <w:p>
      <w:pPr>
        <w:spacing w:line="360" w:lineRule="auto"/>
        <w:ind w:firstLine="420"/>
      </w:pPr>
      <w:r>
        <w:rPr>
          <w:rFonts w:hint="eastAsia"/>
        </w:rPr>
        <w:t>(1)投标人应在项目深化设计阶段，应开展安全需求调研和数据分类分级工作，制定网络和数据安全设计方案，制定总体安全技术架构，明确边界防护、访问控制、权限管理、系统安全配置、身份鉴别、入侵防范等系统安全防护措施，制定差异化的数据安全防护手段，确保数据全生命周期安全。</w:t>
      </w:r>
    </w:p>
    <w:p>
      <w:pPr>
        <w:spacing w:line="360" w:lineRule="auto"/>
        <w:ind w:firstLine="420"/>
      </w:pPr>
      <w:r>
        <w:rPr>
          <w:rFonts w:hint="eastAsia"/>
        </w:rPr>
        <w:t>(2)投标人应配合采购人开展相关安全制度和规范的制定，并根据项目实际，制定项目实施过程安全管理方案。</w:t>
      </w:r>
    </w:p>
    <w:p>
      <w:pPr>
        <w:spacing w:line="360" w:lineRule="auto"/>
        <w:ind w:firstLine="420"/>
      </w:pPr>
      <w:r>
        <w:rPr>
          <w:rFonts w:hint="eastAsia"/>
        </w:rPr>
        <w:t>(3)投标人应确保所提供的软件产品和定制开发内容所涉及的供应链满足采购人的管理要求，提供供应链物料清单，落实供应链安全控制措施，包括代码安全检测和质量评估、漏洞扫描、第三方组件评估等工作，并于系统上线前，完成信息化资产的梳理。</w:t>
      </w:r>
    </w:p>
    <w:p>
      <w:pPr>
        <w:spacing w:line="360" w:lineRule="auto"/>
        <w:ind w:firstLine="420"/>
      </w:pPr>
      <w:r>
        <w:rPr>
          <w:rFonts w:hint="eastAsia"/>
        </w:rPr>
        <w:t>(4)投标人应在项目实施过程中，推动安全开发控制工作的实施，按照安全设计方案和采购人安全开发要求，落实安全开发规范，确保代码质量和安全性。投标人应确保系统开发及生产环境安全，落实安全管理策略及安全配置。</w:t>
      </w:r>
    </w:p>
    <w:p>
      <w:pPr>
        <w:spacing w:line="360" w:lineRule="auto"/>
        <w:ind w:firstLine="420"/>
      </w:pPr>
      <w:r>
        <w:rPr>
          <w:rFonts w:hint="eastAsia"/>
        </w:rPr>
        <w:t>(5)投标人应在项目实施过程中，按照数据差异化安全防护策略，根据系统需要采取数据加密、数据访问控制、日志记录、流转监测等防护能力及相关管理流程，切实保障数据安全。</w:t>
      </w:r>
    </w:p>
    <w:p>
      <w:pPr>
        <w:spacing w:line="360" w:lineRule="auto"/>
        <w:ind w:firstLine="420"/>
      </w:pPr>
      <w:r>
        <w:rPr>
          <w:rFonts w:hint="eastAsia"/>
        </w:rPr>
        <w:t>(6)投标人应按照采购人场地及人员安全管理制度，加强人员管理，配合采购人落实人员背调、入离场、终端管理、网络限制、数据权限最小化等管控措施。</w:t>
      </w:r>
    </w:p>
    <w:p>
      <w:pPr>
        <w:spacing w:line="360" w:lineRule="auto"/>
        <w:ind w:firstLine="420"/>
      </w:pPr>
      <w:r>
        <w:rPr>
          <w:rFonts w:hint="eastAsia"/>
        </w:rPr>
        <w:t>(7)投标人应配合采购人开展系统安全事件（含业务故障）级别划分，制定应急预案，并落实应急预案中规定的应急响应要求。</w:t>
      </w:r>
    </w:p>
    <w:p>
      <w:pPr>
        <w:spacing w:line="360" w:lineRule="auto"/>
        <w:ind w:firstLine="420"/>
      </w:pPr>
      <w:r>
        <w:rPr>
          <w:rFonts w:hint="eastAsia"/>
        </w:rPr>
        <w:t>8)投标人应于系统上线部署前对系统运行环境、应用软件等开展安全自查，并于项目初验及系统试运行阶段，配合采购人开展安测、密测、等保、密评、数据安全风险评估等系列安全测试、评估工作，针对发现的问题及时完成整改，确保系统上线安全。</w:t>
      </w:r>
    </w:p>
    <w:p>
      <w:pPr>
        <w:spacing w:line="360" w:lineRule="auto"/>
        <w:ind w:firstLine="420"/>
      </w:pPr>
      <w:r>
        <w:rPr>
          <w:rFonts w:hint="eastAsia"/>
        </w:rPr>
        <w:t>(9)投标人应在系统免维期内承担系统安全运维管理责任，落实安全管理保障措施，包括但不限于制度修订、风险排查、应急响应、漏洞修复、重保等工作。</w:t>
      </w:r>
    </w:p>
    <w:p>
      <w:pPr>
        <w:pStyle w:val="3"/>
      </w:pPr>
      <w:bookmarkStart w:id="31" w:name="_Toc63785507"/>
      <w:r>
        <w:rPr>
          <w:rFonts w:hint="eastAsia"/>
        </w:rPr>
        <w:t>培训要求</w:t>
      </w:r>
      <w:bookmarkEnd w:id="31"/>
    </w:p>
    <w:p>
      <w:pPr>
        <w:spacing w:line="360" w:lineRule="auto"/>
        <w:ind w:firstLine="420"/>
      </w:pPr>
      <w:r>
        <w:rPr>
          <w:rFonts w:hint="eastAsia"/>
        </w:rPr>
        <w:t>对系统使用单位提供业务操作培训，应提供详细培训方案。</w:t>
      </w:r>
    </w:p>
    <w:p>
      <w:pPr>
        <w:spacing w:line="360" w:lineRule="auto"/>
        <w:ind w:firstLine="420"/>
      </w:pPr>
      <w:r>
        <w:rPr>
          <w:rFonts w:hint="eastAsia"/>
        </w:rPr>
        <w:t>(1)在12个月的质量保证期内，提供</w:t>
      </w:r>
      <w:r>
        <w:t>1</w:t>
      </w:r>
      <w:r>
        <w:rPr>
          <w:rFonts w:hint="eastAsia"/>
        </w:rPr>
        <w:t>次与项目相关的必要培训。</w:t>
      </w:r>
    </w:p>
    <w:p>
      <w:pPr>
        <w:spacing w:line="360" w:lineRule="auto"/>
        <w:ind w:firstLine="420"/>
      </w:pPr>
      <w:r>
        <w:rPr>
          <w:rFonts w:hint="eastAsia"/>
        </w:rPr>
        <w:t>(2)投标人需要开展分层次的人员培训工作，每次培训后应对参加培训人员进行测试，评估培训成果。培训应具有培训教材、培训环境和高水平的培训讲师。</w:t>
      </w:r>
    </w:p>
    <w:p>
      <w:pPr>
        <w:spacing w:line="360" w:lineRule="auto"/>
        <w:ind w:firstLine="420"/>
      </w:pPr>
      <w:r>
        <w:rPr>
          <w:rFonts w:hint="eastAsia"/>
        </w:rPr>
        <w:t>(3)投标人应提供一般用户的基础操作培训和部门信息管理员的日常应用维护的培训，确保用户对象能够掌握对应的操作技能。</w:t>
      </w:r>
    </w:p>
    <w:p>
      <w:pPr>
        <w:pStyle w:val="3"/>
      </w:pPr>
      <w:bookmarkStart w:id="32" w:name="_Toc63785508"/>
      <w:r>
        <w:rPr>
          <w:rFonts w:hint="eastAsia"/>
        </w:rPr>
        <w:t>验收要求</w:t>
      </w:r>
      <w:bookmarkEnd w:id="32"/>
    </w:p>
    <w:p>
      <w:pPr>
        <w:spacing w:line="360" w:lineRule="auto"/>
        <w:ind w:firstLine="420"/>
      </w:pPr>
      <w:r>
        <w:rPr>
          <w:rFonts w:hint="eastAsia"/>
        </w:rPr>
        <w:t>本项目按下述方式开展验收。</w:t>
      </w:r>
    </w:p>
    <w:p>
      <w:pPr>
        <w:spacing w:line="360" w:lineRule="auto"/>
        <w:ind w:firstLine="420"/>
      </w:pPr>
      <w:r>
        <w:rPr>
          <w:rFonts w:hint="eastAsia"/>
        </w:rPr>
        <w:t>（</w:t>
      </w:r>
      <w:r>
        <w:t>1）验收分初验和终验。</w:t>
      </w:r>
    </w:p>
    <w:p>
      <w:pPr>
        <w:spacing w:line="360" w:lineRule="auto"/>
        <w:ind w:firstLine="420"/>
      </w:pPr>
      <w:r>
        <w:rPr>
          <w:rFonts w:hint="eastAsia"/>
        </w:rPr>
        <w:t>（</w:t>
      </w:r>
      <w:r>
        <w:t>2）初验前，</w:t>
      </w:r>
      <w:r>
        <w:rPr>
          <w:rFonts w:hint="eastAsia"/>
        </w:rPr>
        <w:t>投标人</w:t>
      </w:r>
      <w:r>
        <w:t>须完成软件开发、软硬件安装和信息系统的调试等，并对本项目进行功能和运行检测，确保所有信息系统功能模块能够正常运行且已达到本项目约定的各类标准要求。</w:t>
      </w:r>
      <w:r>
        <w:rPr>
          <w:rFonts w:hint="eastAsia"/>
        </w:rPr>
        <w:t>投标人</w:t>
      </w:r>
      <w:r>
        <w:t>应以书面形式向招标方递交初验通知书。招标方应当在接到通知后的5个工作日内确定初验的具体日期，由双方按照本项目的约定完成本项目的初验。招标方有权委托第三方检测机构进行验收，对此</w:t>
      </w:r>
      <w:r>
        <w:rPr>
          <w:rFonts w:hint="eastAsia"/>
        </w:rPr>
        <w:t>投标人</w:t>
      </w:r>
      <w:r>
        <w:t>应当配合。</w:t>
      </w:r>
    </w:p>
    <w:p>
      <w:pPr>
        <w:spacing w:line="360" w:lineRule="auto"/>
        <w:ind w:firstLine="420"/>
      </w:pPr>
      <w:r>
        <w:rPr>
          <w:rFonts w:hint="eastAsia"/>
        </w:rPr>
        <w:t>（</w:t>
      </w:r>
      <w:r>
        <w:t>3）初验时，</w:t>
      </w:r>
      <w:r>
        <w:rPr>
          <w:rFonts w:hint="eastAsia"/>
        </w:rPr>
        <w:t>投标人</w:t>
      </w:r>
      <w:r>
        <w:t>须提供软件文档包括《用户需求说明书》、《系统概要设计说明书》、《系统详细设计说明书》、</w:t>
      </w:r>
      <w:r>
        <w:rPr>
          <w:rFonts w:hint="eastAsia"/>
        </w:rPr>
        <w:t>《三方功能需求确认单》、</w:t>
      </w:r>
      <w:r>
        <w:t>《测试报告》、《用户使用手册》、《系统部署文档》等）及可安装的程序运行文件。所交付的文档与文件应当是可供自然人阅读的书面和电子文档。软件文档及可安装的程序运行文件验收通过后，视为初验通过。如有缺陷，招标方应向</w:t>
      </w:r>
      <w:r>
        <w:rPr>
          <w:rFonts w:hint="eastAsia"/>
        </w:rPr>
        <w:t>投标人</w:t>
      </w:r>
      <w:r>
        <w:t>出具书面报告，陈述需要改进的缺陷。</w:t>
      </w:r>
      <w:r>
        <w:rPr>
          <w:rFonts w:hint="eastAsia"/>
        </w:rPr>
        <w:t>投标人</w:t>
      </w:r>
      <w:r>
        <w:t>应立即严格依照招标方的书面报告中的要求改进缺陷，并再次进行初验。</w:t>
      </w:r>
    </w:p>
    <w:p>
      <w:pPr>
        <w:spacing w:line="360" w:lineRule="auto"/>
        <w:ind w:firstLine="420"/>
      </w:pPr>
      <w:r>
        <w:rPr>
          <w:rFonts w:hint="eastAsia"/>
        </w:rPr>
        <w:t>（</w:t>
      </w:r>
      <w:r>
        <w:t>4）自初验通过之日起，招标方享有</w:t>
      </w:r>
      <w:r>
        <w:rPr>
          <w:rFonts w:hint="eastAsia"/>
        </w:rPr>
        <w:t>投标人</w:t>
      </w:r>
      <w:r>
        <w:t>免费提供的</w:t>
      </w:r>
      <w:r>
        <w:rPr>
          <w:rFonts w:hint="eastAsia"/>
        </w:rPr>
        <w:t>30</w:t>
      </w:r>
      <w:r>
        <w:t>天的信息系统试运行现场驻场服务期。该期间内，</w:t>
      </w:r>
      <w:r>
        <w:rPr>
          <w:rFonts w:hint="eastAsia"/>
        </w:rPr>
        <w:t>投标人</w:t>
      </w:r>
      <w:r>
        <w:t>应当按照招标方的要求提供现场技术支持服务，解决信息系统试运行期间可能出现的各类问题，或进一步提高与完善信息系统运行水平。</w:t>
      </w:r>
    </w:p>
    <w:p>
      <w:pPr>
        <w:spacing w:line="360" w:lineRule="auto"/>
        <w:ind w:firstLine="420"/>
      </w:pPr>
      <w:r>
        <w:rPr>
          <w:rFonts w:hint="eastAsia"/>
        </w:rPr>
        <w:t>（</w:t>
      </w:r>
      <w:r>
        <w:t>5）初验通过且信息系统试运行期已经达到本项目约定的时间，经</w:t>
      </w:r>
      <w:r>
        <w:rPr>
          <w:rFonts w:hint="eastAsia"/>
        </w:rPr>
        <w:t>投标人</w:t>
      </w:r>
      <w:r>
        <w:t>确认信息系统具备正常运行条件，且信息系统通过运行测试，</w:t>
      </w:r>
      <w:r>
        <w:rPr>
          <w:rFonts w:hint="eastAsia"/>
        </w:rPr>
        <w:t>投标人</w:t>
      </w:r>
      <w:r>
        <w:t>应以书面形式通知招标方信息系统已准备就绪等待终验。招标方在收到终验通知后的15个工作日内发起组织专家验收会。</w:t>
      </w:r>
    </w:p>
    <w:p>
      <w:pPr>
        <w:spacing w:line="360" w:lineRule="auto"/>
        <w:ind w:firstLine="420"/>
      </w:pPr>
      <w:r>
        <w:rPr>
          <w:rFonts w:hint="eastAsia"/>
        </w:rPr>
        <w:t>（6</w:t>
      </w:r>
      <w:r>
        <w:t>）如果属于</w:t>
      </w:r>
      <w:r>
        <w:rPr>
          <w:rFonts w:hint="eastAsia"/>
        </w:rPr>
        <w:t>投标人</w:t>
      </w:r>
      <w:r>
        <w:t>原因致使本项目未能通过终验，</w:t>
      </w:r>
      <w:r>
        <w:rPr>
          <w:rFonts w:hint="eastAsia"/>
        </w:rPr>
        <w:t>投标人</w:t>
      </w:r>
      <w:r>
        <w:t>应当排除缺陷，直至本项目完全符合验收标准，由上述情形而产生的相关费用应由</w:t>
      </w:r>
      <w:r>
        <w:rPr>
          <w:rFonts w:hint="eastAsia"/>
        </w:rPr>
        <w:t>投标人</w:t>
      </w:r>
      <w:r>
        <w:t>自行承担。</w:t>
      </w:r>
    </w:p>
    <w:p>
      <w:pPr>
        <w:spacing w:line="360" w:lineRule="auto"/>
        <w:ind w:firstLine="420"/>
      </w:pPr>
      <w:r>
        <w:rPr>
          <w:rFonts w:hint="eastAsia"/>
        </w:rPr>
        <w:t>（7</w:t>
      </w:r>
      <w:r>
        <w:t>）如果由于招标方原因导致本项目在终验通过前出现故障或问题，</w:t>
      </w:r>
      <w:r>
        <w:rPr>
          <w:rFonts w:hint="eastAsia"/>
        </w:rPr>
        <w:t>投标人</w:t>
      </w:r>
      <w:r>
        <w:t>应及时配合排除该方面的故障或问题。</w:t>
      </w:r>
    </w:p>
    <w:p>
      <w:pPr>
        <w:spacing w:line="360" w:lineRule="auto"/>
        <w:ind w:firstLine="420"/>
      </w:pPr>
      <w:r>
        <w:rPr>
          <w:rFonts w:hint="eastAsia"/>
        </w:rPr>
        <w:t>（8</w:t>
      </w:r>
      <w:r>
        <w:t>）如本项目连续3次验收未通过（含初验未通过或终验未通过），招标方有权解除项目，并有权依照本项目约定的违约条款追究</w:t>
      </w:r>
      <w:r>
        <w:rPr>
          <w:rFonts w:hint="eastAsia"/>
        </w:rPr>
        <w:t>投标人</w:t>
      </w:r>
      <w:r>
        <w:t>的违约责任。</w:t>
      </w:r>
    </w:p>
    <w:p>
      <w:pPr>
        <w:pStyle w:val="3"/>
      </w:pPr>
      <w:bookmarkStart w:id="33" w:name="_Toc63785509"/>
      <w:r>
        <w:rPr>
          <w:rFonts w:hint="eastAsia"/>
        </w:rPr>
        <w:t>进度要求</w:t>
      </w:r>
      <w:bookmarkEnd w:id="33"/>
    </w:p>
    <w:p>
      <w:pPr>
        <w:spacing w:line="360" w:lineRule="auto"/>
        <w:ind w:firstLine="420"/>
        <w:rPr>
          <w:szCs w:val="21"/>
        </w:rPr>
      </w:pPr>
      <w:r>
        <w:rPr>
          <w:rFonts w:hint="eastAsia"/>
          <w:szCs w:val="21"/>
        </w:rPr>
        <w:t>投标人应根据建设内容，分阶段制定合理的时间进度，并且应根据招标方要求进行调整和细化。</w:t>
      </w:r>
    </w:p>
    <w:p>
      <w:pPr>
        <w:spacing w:line="360" w:lineRule="auto"/>
        <w:ind w:firstLine="420"/>
        <w:rPr>
          <w:szCs w:val="21"/>
        </w:rPr>
      </w:pPr>
      <w:r>
        <w:rPr>
          <w:rFonts w:hint="eastAsia" w:ascii="宋体" w:hAnsi="宋体" w:eastAsia="宋体" w:cs="宋体"/>
          <w:sz w:val="24"/>
          <w:szCs w:val="21"/>
        </w:rPr>
        <w:t>总建设周期为自合同签订之日起至</w:t>
      </w:r>
      <w:r>
        <w:rPr>
          <w:rFonts w:ascii="宋体" w:hAnsi="宋体" w:eastAsia="宋体" w:cs="宋体"/>
          <w:szCs w:val="21"/>
        </w:rPr>
        <w:t>2026</w:t>
      </w:r>
      <w:r>
        <w:rPr>
          <w:rFonts w:hint="eastAsia" w:ascii="宋体" w:hAnsi="宋体" w:eastAsia="宋体" w:cs="宋体"/>
          <w:sz w:val="24"/>
          <w:szCs w:val="21"/>
        </w:rPr>
        <w:t>年</w:t>
      </w:r>
      <w:r>
        <w:rPr>
          <w:rFonts w:ascii="宋体" w:hAnsi="宋体" w:eastAsia="宋体" w:cs="宋体"/>
          <w:szCs w:val="21"/>
        </w:rPr>
        <w:t>11</w:t>
      </w:r>
      <w:r>
        <w:rPr>
          <w:rFonts w:hint="eastAsia" w:ascii="宋体" w:hAnsi="宋体" w:eastAsia="宋体" w:cs="宋体"/>
          <w:sz w:val="24"/>
          <w:szCs w:val="21"/>
        </w:rPr>
        <w:t>月</w:t>
      </w:r>
      <w:r>
        <w:rPr>
          <w:rFonts w:ascii="宋体" w:hAnsi="宋体" w:eastAsia="宋体" w:cs="宋体"/>
          <w:szCs w:val="21"/>
        </w:rPr>
        <w:t>30</w:t>
      </w:r>
      <w:r>
        <w:rPr>
          <w:rFonts w:hint="eastAsia" w:ascii="宋体" w:hAnsi="宋体" w:eastAsia="宋体" w:cs="宋体"/>
          <w:sz w:val="24"/>
          <w:szCs w:val="21"/>
        </w:rPr>
        <w:t>日</w:t>
      </w:r>
      <w:r>
        <w:rPr>
          <w:rFonts w:hint="eastAsia"/>
          <w:szCs w:val="21"/>
        </w:rPr>
        <w:t>。</w:t>
      </w:r>
    </w:p>
    <w:p>
      <w:pPr>
        <w:spacing w:line="360" w:lineRule="auto"/>
        <w:ind w:firstLine="420"/>
        <w:rPr>
          <w:szCs w:val="21"/>
        </w:rPr>
      </w:pPr>
      <w:r>
        <w:rPr>
          <w:rFonts w:hint="eastAsia"/>
          <w:szCs w:val="21"/>
        </w:rPr>
        <w:t>第一阶段为合同签订之日起</w:t>
      </w:r>
      <w:r>
        <w:rPr>
          <w:szCs w:val="21"/>
        </w:rPr>
        <w:t>1</w:t>
      </w:r>
      <w:r>
        <w:rPr>
          <w:rFonts w:hint="eastAsia"/>
          <w:szCs w:val="21"/>
        </w:rPr>
        <w:t>个月内，完成规划设计：</w:t>
      </w:r>
    </w:p>
    <w:p>
      <w:pPr>
        <w:spacing w:line="360" w:lineRule="auto"/>
        <w:ind w:firstLine="420"/>
        <w:rPr>
          <w:szCs w:val="21"/>
        </w:rPr>
      </w:pPr>
      <w:r>
        <w:rPr>
          <w:rFonts w:hint="eastAsia"/>
          <w:szCs w:val="21"/>
        </w:rPr>
        <w:t>第二阶段为合同签订之日起</w:t>
      </w:r>
      <w:r>
        <w:rPr>
          <w:szCs w:val="21"/>
        </w:rPr>
        <w:t>6</w:t>
      </w:r>
      <w:r>
        <w:rPr>
          <w:rFonts w:hint="eastAsia"/>
          <w:szCs w:val="21"/>
        </w:rPr>
        <w:t>个月内,完成开发测试：</w:t>
      </w:r>
    </w:p>
    <w:p>
      <w:pPr>
        <w:spacing w:line="360" w:lineRule="auto"/>
        <w:ind w:firstLine="420"/>
        <w:rPr>
          <w:szCs w:val="21"/>
        </w:rPr>
      </w:pPr>
      <w:r>
        <w:rPr>
          <w:rFonts w:hint="eastAsia"/>
          <w:szCs w:val="21"/>
        </w:rPr>
        <w:t>第三阶段为合同签订之日起</w:t>
      </w:r>
      <w:r>
        <w:rPr>
          <w:szCs w:val="21"/>
        </w:rPr>
        <w:t>7</w:t>
      </w:r>
      <w:r>
        <w:rPr>
          <w:rFonts w:hint="eastAsia"/>
          <w:szCs w:val="21"/>
        </w:rPr>
        <w:t>个月内，完成试运行。</w:t>
      </w:r>
    </w:p>
    <w:p>
      <w:pPr>
        <w:spacing w:line="360" w:lineRule="auto"/>
        <w:ind w:firstLine="420"/>
        <w:rPr>
          <w:szCs w:val="21"/>
        </w:rPr>
      </w:pPr>
      <w:r>
        <w:rPr>
          <w:szCs w:val="21"/>
        </w:rPr>
        <w:t>第四阶段于</w:t>
      </w:r>
      <w:r>
        <w:rPr>
          <w:rFonts w:hint="eastAsia" w:asciiTheme="minorEastAsia" w:hAnsiTheme="minorEastAsia" w:eastAsiaTheme="minorEastAsia" w:cstheme="minorEastAsia"/>
        </w:rPr>
        <w:t>202</w:t>
      </w:r>
      <w:r>
        <w:rPr>
          <w:rFonts w:asciiTheme="minorEastAsia" w:hAnsiTheme="minorEastAsia" w:eastAsiaTheme="minorEastAsia" w:cstheme="minorEastAsia"/>
        </w:rPr>
        <w:t>6</w:t>
      </w:r>
      <w:r>
        <w:rPr>
          <w:rFonts w:hint="eastAsia" w:asciiTheme="minorEastAsia" w:hAnsiTheme="minorEastAsia" w:eastAsiaTheme="minorEastAsia" w:cstheme="minorEastAsia"/>
        </w:rPr>
        <w:t>年</w:t>
      </w:r>
      <w:r>
        <w:rPr>
          <w:rFonts w:asciiTheme="minorEastAsia" w:hAnsiTheme="minorEastAsia" w:eastAsiaTheme="minorEastAsia" w:cstheme="minorEastAsia"/>
        </w:rPr>
        <w:t>11</w:t>
      </w:r>
      <w:r>
        <w:rPr>
          <w:rFonts w:hint="eastAsia" w:asciiTheme="minorEastAsia" w:hAnsiTheme="minorEastAsia" w:eastAsiaTheme="minorEastAsia" w:cstheme="minorEastAsia"/>
        </w:rPr>
        <w:t>月3</w:t>
      </w:r>
      <w:r>
        <w:rPr>
          <w:rFonts w:asciiTheme="minorEastAsia" w:hAnsiTheme="minorEastAsia" w:eastAsiaTheme="minorEastAsia" w:cstheme="minorEastAsia"/>
        </w:rPr>
        <w:t>0</w:t>
      </w:r>
      <w:r>
        <w:rPr>
          <w:rFonts w:hint="eastAsia" w:asciiTheme="minorEastAsia" w:hAnsiTheme="minorEastAsia" w:eastAsiaTheme="minorEastAsia" w:cstheme="minorEastAsia"/>
        </w:rPr>
        <w:t>日</w:t>
      </w:r>
      <w:r>
        <w:rPr>
          <w:szCs w:val="21"/>
        </w:rPr>
        <w:t>前完成项目验收工作</w:t>
      </w:r>
      <w:r>
        <w:rPr>
          <w:rFonts w:hint="eastAsia"/>
          <w:szCs w:val="21"/>
        </w:rPr>
        <w:t>。</w:t>
      </w:r>
    </w:p>
    <w:p>
      <w:pPr>
        <w:pStyle w:val="3"/>
      </w:pPr>
      <w:bookmarkStart w:id="34" w:name="_Toc63785510"/>
      <w:r>
        <w:rPr>
          <w:rFonts w:hint="eastAsia"/>
        </w:rPr>
        <w:t>项目团队及驻场人员要求</w:t>
      </w:r>
      <w:bookmarkEnd w:id="34"/>
    </w:p>
    <w:p>
      <w:pPr>
        <w:pStyle w:val="107"/>
        <w:numPr>
          <w:ilvl w:val="0"/>
          <w:numId w:val="9"/>
        </w:numPr>
        <w:snapToGrid w:val="0"/>
        <w:spacing w:line="360" w:lineRule="auto"/>
        <w:ind w:firstLineChars="0"/>
        <w:rPr>
          <w:rFonts w:ascii="宋体" w:hAnsi="宋体"/>
          <w:sz w:val="24"/>
          <w:szCs w:val="24"/>
        </w:rPr>
      </w:pPr>
      <w:bookmarkStart w:id="35" w:name="_Toc63785511"/>
      <w:r>
        <w:rPr>
          <w:rFonts w:ascii="宋体" w:hAnsi="宋体"/>
          <w:sz w:val="24"/>
          <w:szCs w:val="24"/>
        </w:rPr>
        <w:t>投标人须具有稳定的在职技术保障力量，能够提供及时的技术支援或服务，应针对本项目提供不少于13人的项目服务团队（包括项目经理、产品经理、技术负责人、研发等），投标单位的相关服务人员需具备相应的服务能力，需提供相关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722"/>
        <w:gridCol w:w="800"/>
        <w:gridCol w:w="3381"/>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7" w:type="dxa"/>
            <w:noWrap/>
            <w:vAlign w:val="center"/>
          </w:tcPr>
          <w:p>
            <w:pPr>
              <w:jc w:val="center"/>
              <w:rPr>
                <w:rFonts w:hint="eastAsia"/>
                <w:b/>
              </w:rPr>
            </w:pPr>
            <w:r>
              <w:rPr>
                <w:rFonts w:hint="eastAsia"/>
                <w:b/>
              </w:rPr>
              <w:t>角色</w:t>
            </w:r>
          </w:p>
        </w:tc>
        <w:tc>
          <w:tcPr>
            <w:tcW w:w="1722" w:type="dxa"/>
            <w:noWrap/>
            <w:vAlign w:val="center"/>
          </w:tcPr>
          <w:p>
            <w:pPr>
              <w:jc w:val="center"/>
              <w:rPr>
                <w:rFonts w:hint="eastAsia"/>
                <w:b/>
              </w:rPr>
            </w:pPr>
            <w:r>
              <w:rPr>
                <w:rFonts w:hint="eastAsia"/>
                <w:b/>
              </w:rPr>
              <w:t>主要职责</w:t>
            </w:r>
          </w:p>
        </w:tc>
        <w:tc>
          <w:tcPr>
            <w:tcW w:w="800" w:type="dxa"/>
            <w:noWrap/>
            <w:vAlign w:val="center"/>
          </w:tcPr>
          <w:p>
            <w:pPr>
              <w:jc w:val="center"/>
              <w:rPr>
                <w:rFonts w:hint="eastAsia"/>
                <w:b/>
              </w:rPr>
            </w:pPr>
            <w:r>
              <w:rPr>
                <w:rFonts w:hint="eastAsia"/>
                <w:b/>
              </w:rPr>
              <w:t>人员数量</w:t>
            </w:r>
          </w:p>
        </w:tc>
        <w:tc>
          <w:tcPr>
            <w:tcW w:w="3381" w:type="dxa"/>
            <w:vAlign w:val="center"/>
          </w:tcPr>
          <w:p>
            <w:pPr>
              <w:jc w:val="center"/>
              <w:rPr>
                <w:rFonts w:hint="eastAsia"/>
                <w:b/>
              </w:rPr>
            </w:pPr>
            <w:r>
              <w:rPr>
                <w:rFonts w:hint="eastAsia"/>
                <w:b/>
              </w:rPr>
              <w:t>人员要求</w:t>
            </w:r>
          </w:p>
        </w:tc>
        <w:tc>
          <w:tcPr>
            <w:tcW w:w="950" w:type="dxa"/>
            <w:noWrap/>
            <w:vAlign w:val="center"/>
          </w:tcPr>
          <w:p>
            <w:pPr>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7" w:type="dxa"/>
            <w:noWrap/>
            <w:vAlign w:val="center"/>
          </w:tcPr>
          <w:p>
            <w:r>
              <w:rPr>
                <w:rFonts w:hint="eastAsia"/>
              </w:rPr>
              <w:t>项目经理</w:t>
            </w:r>
          </w:p>
        </w:tc>
        <w:tc>
          <w:tcPr>
            <w:tcW w:w="1722" w:type="dxa"/>
            <w:vAlign w:val="center"/>
          </w:tcPr>
          <w:p>
            <w:pPr>
              <w:jc w:val="center"/>
            </w:pPr>
            <w:r>
              <w:rPr>
                <w:rFonts w:hint="eastAsia"/>
              </w:rPr>
              <w:t>负责项目质量和进度控制</w:t>
            </w:r>
          </w:p>
        </w:tc>
        <w:tc>
          <w:tcPr>
            <w:tcW w:w="800" w:type="dxa"/>
            <w:noWrap/>
            <w:vAlign w:val="center"/>
          </w:tcPr>
          <w:p>
            <w:r>
              <w:rPr>
                <w:rFonts w:hint="eastAsia"/>
              </w:rPr>
              <w:t>1人</w:t>
            </w:r>
          </w:p>
        </w:tc>
        <w:tc>
          <w:tcPr>
            <w:tcW w:w="3381" w:type="dxa"/>
            <w:vAlign w:val="center"/>
          </w:tcPr>
          <w:p>
            <w:pPr>
              <w:jc w:val="center"/>
            </w:pPr>
            <w:r>
              <w:rPr>
                <w:rFonts w:hint="eastAsia"/>
              </w:rPr>
              <w:t>具备</w:t>
            </w:r>
            <w:r>
              <w:rPr>
                <w:rFonts w:hint="eastAsia"/>
                <w:lang w:eastAsia="zh-CN"/>
              </w:rPr>
              <w:t>本科或以上学历；具备</w:t>
            </w:r>
            <w:r>
              <w:rPr>
                <w:rFonts w:hint="eastAsia"/>
              </w:rPr>
              <w:t>计算机技术与软件专业技术资格(水平</w:t>
            </w:r>
            <w:bookmarkStart w:id="37" w:name="_GoBack"/>
            <w:bookmarkEnd w:id="37"/>
            <w:r>
              <w:rPr>
                <w:rFonts w:hint="eastAsia"/>
              </w:rPr>
              <w:t>)</w:t>
            </w:r>
            <w:r>
              <w:t>信息系统项目管理师</w:t>
            </w:r>
            <w:r>
              <w:rPr>
                <w:rFonts w:hint="eastAsia"/>
              </w:rPr>
              <w:t>资质证书</w:t>
            </w:r>
          </w:p>
        </w:tc>
        <w:tc>
          <w:tcPr>
            <w:tcW w:w="950" w:type="dxa"/>
            <w:noWrap/>
            <w:vAlign w:val="center"/>
          </w:tcPr>
          <w:p>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7" w:type="dxa"/>
            <w:noWrap/>
            <w:vAlign w:val="center"/>
          </w:tcPr>
          <w:p>
            <w:r>
              <w:rPr>
                <w:rFonts w:hint="eastAsia"/>
              </w:rPr>
              <w:t>产品经理</w:t>
            </w:r>
          </w:p>
        </w:tc>
        <w:tc>
          <w:tcPr>
            <w:tcW w:w="1722" w:type="dxa"/>
            <w:vAlign w:val="center"/>
          </w:tcPr>
          <w:p>
            <w:pPr>
              <w:jc w:val="center"/>
            </w:pPr>
            <w:r>
              <w:rPr>
                <w:rFonts w:hint="eastAsia"/>
              </w:rPr>
              <w:t>负责项目需求评估与产品设计</w:t>
            </w:r>
          </w:p>
        </w:tc>
        <w:tc>
          <w:tcPr>
            <w:tcW w:w="800" w:type="dxa"/>
            <w:noWrap/>
            <w:vAlign w:val="center"/>
          </w:tcPr>
          <w:p>
            <w:r>
              <w:rPr>
                <w:rFonts w:hint="eastAsia"/>
              </w:rPr>
              <w:t>1人</w:t>
            </w:r>
          </w:p>
        </w:tc>
        <w:tc>
          <w:tcPr>
            <w:tcW w:w="3381" w:type="dxa"/>
            <w:vAlign w:val="center"/>
          </w:tcPr>
          <w:p>
            <w:pPr>
              <w:jc w:val="center"/>
            </w:pPr>
            <w:r>
              <w:rPr>
                <w:rFonts w:hint="eastAsia"/>
              </w:rPr>
              <w:t>具备计算机技术与软件专业技术资格(水平)</w:t>
            </w:r>
            <w:r>
              <w:t>信息系统项目管理师</w:t>
            </w:r>
            <w:r>
              <w:rPr>
                <w:rFonts w:hint="eastAsia"/>
              </w:rPr>
              <w:t>资质证书</w:t>
            </w:r>
          </w:p>
        </w:tc>
        <w:tc>
          <w:tcPr>
            <w:tcW w:w="950" w:type="dxa"/>
            <w:noWrap/>
            <w:vAlign w:val="center"/>
          </w:tcPr>
          <w:p>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7" w:type="dxa"/>
            <w:noWrap/>
            <w:vAlign w:val="center"/>
          </w:tcPr>
          <w:p>
            <w:r>
              <w:rPr>
                <w:rFonts w:hint="eastAsia"/>
              </w:rPr>
              <w:t>技术负责人</w:t>
            </w:r>
          </w:p>
        </w:tc>
        <w:tc>
          <w:tcPr>
            <w:tcW w:w="1722" w:type="dxa"/>
            <w:vAlign w:val="center"/>
          </w:tcPr>
          <w:p>
            <w:pPr>
              <w:jc w:val="center"/>
            </w:pPr>
            <w:r>
              <w:rPr>
                <w:rFonts w:hint="eastAsia"/>
              </w:rPr>
              <w:t>负责项目设计及框架建设</w:t>
            </w:r>
          </w:p>
        </w:tc>
        <w:tc>
          <w:tcPr>
            <w:tcW w:w="800" w:type="dxa"/>
            <w:noWrap/>
            <w:vAlign w:val="center"/>
          </w:tcPr>
          <w:p>
            <w:r>
              <w:rPr>
                <w:rFonts w:hint="eastAsia"/>
              </w:rPr>
              <w:t>1人</w:t>
            </w:r>
          </w:p>
        </w:tc>
        <w:tc>
          <w:tcPr>
            <w:tcW w:w="3381" w:type="dxa"/>
            <w:vAlign w:val="center"/>
          </w:tcPr>
          <w:p>
            <w:pPr>
              <w:jc w:val="center"/>
            </w:pPr>
            <w:r>
              <w:rPr>
                <w:rFonts w:hint="eastAsia"/>
              </w:rPr>
              <w:t>具备类似项目设计及框架建设经验</w:t>
            </w:r>
          </w:p>
        </w:tc>
        <w:tc>
          <w:tcPr>
            <w:tcW w:w="950" w:type="dxa"/>
            <w:noWrap/>
            <w:vAlign w:val="center"/>
          </w:tcPr>
          <w:p>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7" w:type="dxa"/>
            <w:noWrap/>
            <w:vAlign w:val="center"/>
          </w:tcPr>
          <w:p>
            <w:r>
              <w:rPr>
                <w:rFonts w:hint="eastAsia"/>
              </w:rPr>
              <w:t>研发</w:t>
            </w:r>
          </w:p>
        </w:tc>
        <w:tc>
          <w:tcPr>
            <w:tcW w:w="1722" w:type="dxa"/>
            <w:noWrap/>
            <w:vAlign w:val="center"/>
          </w:tcPr>
          <w:p>
            <w:pPr>
              <w:jc w:val="center"/>
            </w:pPr>
            <w:r>
              <w:rPr>
                <w:rFonts w:hint="eastAsia"/>
              </w:rPr>
              <w:t>负责项目具体开发与实施</w:t>
            </w:r>
          </w:p>
        </w:tc>
        <w:tc>
          <w:tcPr>
            <w:tcW w:w="800" w:type="dxa"/>
            <w:noWrap/>
            <w:vAlign w:val="center"/>
          </w:tcPr>
          <w:p>
            <w:r>
              <w:t>9</w:t>
            </w:r>
            <w:r>
              <w:rPr>
                <w:rFonts w:hint="eastAsia"/>
              </w:rPr>
              <w:t>人</w:t>
            </w:r>
          </w:p>
        </w:tc>
        <w:tc>
          <w:tcPr>
            <w:tcW w:w="3381" w:type="dxa"/>
            <w:vAlign w:val="center"/>
          </w:tcPr>
          <w:p>
            <w:pPr>
              <w:jc w:val="center"/>
            </w:pPr>
            <w:r>
              <w:rPr>
                <w:rFonts w:hint="eastAsia"/>
              </w:rPr>
              <w:t>具备类似信息系统开发经验</w:t>
            </w:r>
          </w:p>
        </w:tc>
        <w:tc>
          <w:tcPr>
            <w:tcW w:w="950" w:type="dxa"/>
            <w:noWrap/>
            <w:vAlign w:val="center"/>
          </w:tcPr>
          <w:p>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7" w:type="dxa"/>
            <w:noWrap/>
            <w:vAlign w:val="center"/>
          </w:tcPr>
          <w:p>
            <w:r>
              <w:rPr>
                <w:rFonts w:hint="eastAsia"/>
              </w:rPr>
              <w:t>质量管理</w:t>
            </w:r>
          </w:p>
        </w:tc>
        <w:tc>
          <w:tcPr>
            <w:tcW w:w="1722" w:type="dxa"/>
            <w:noWrap/>
            <w:vAlign w:val="center"/>
          </w:tcPr>
          <w:p>
            <w:pPr>
              <w:jc w:val="center"/>
            </w:pPr>
            <w:r>
              <w:rPr>
                <w:rFonts w:hint="eastAsia"/>
              </w:rPr>
              <w:t>负责项目质量管理及质量控制</w:t>
            </w:r>
          </w:p>
        </w:tc>
        <w:tc>
          <w:tcPr>
            <w:tcW w:w="800" w:type="dxa"/>
            <w:noWrap/>
            <w:vAlign w:val="center"/>
          </w:tcPr>
          <w:p>
            <w:r>
              <w:rPr>
                <w:rFonts w:hint="eastAsia"/>
              </w:rPr>
              <w:t>1人</w:t>
            </w:r>
          </w:p>
        </w:tc>
        <w:tc>
          <w:tcPr>
            <w:tcW w:w="3381" w:type="dxa"/>
            <w:vAlign w:val="center"/>
          </w:tcPr>
          <w:p>
            <w:pPr>
              <w:jc w:val="center"/>
            </w:pPr>
            <w:r>
              <w:rPr>
                <w:rFonts w:hint="eastAsia"/>
              </w:rPr>
              <w:t>具备类似信息系统质量管理经验</w:t>
            </w:r>
          </w:p>
        </w:tc>
        <w:tc>
          <w:tcPr>
            <w:tcW w:w="950" w:type="dxa"/>
            <w:noWrap/>
            <w:vAlign w:val="center"/>
          </w:tcPr>
          <w:p>
            <w:r>
              <w:rPr>
                <w:rFonts w:hint="eastAsia"/>
              </w:rPr>
              <w:t>不驻场</w:t>
            </w:r>
          </w:p>
        </w:tc>
      </w:tr>
    </w:tbl>
    <w:p>
      <w:pPr>
        <w:pStyle w:val="107"/>
        <w:snapToGrid w:val="0"/>
        <w:spacing w:line="360" w:lineRule="auto"/>
        <w:ind w:firstLine="0" w:firstLineChars="0"/>
        <w:rPr>
          <w:rFonts w:ascii="宋体" w:hAnsi="宋体"/>
          <w:sz w:val="24"/>
          <w:szCs w:val="24"/>
        </w:rPr>
      </w:pPr>
    </w:p>
    <w:p>
      <w:pPr>
        <w:pStyle w:val="107"/>
        <w:numPr>
          <w:ilvl w:val="0"/>
          <w:numId w:val="9"/>
        </w:numPr>
        <w:snapToGrid w:val="0"/>
        <w:spacing w:line="360" w:lineRule="auto"/>
        <w:ind w:firstLineChars="0"/>
        <w:rPr>
          <w:rFonts w:ascii="宋体" w:hAnsi="宋体"/>
          <w:sz w:val="24"/>
          <w:szCs w:val="24"/>
        </w:rPr>
      </w:pPr>
      <w:r>
        <w:rPr>
          <w:rFonts w:ascii="宋体" w:hAnsi="宋体"/>
          <w:sz w:val="24"/>
          <w:szCs w:val="24"/>
        </w:rPr>
        <w:t>投标人应针对本项目提供不少于4人的质保期间支撑团队（其中技术经理1人，产品经理1人，技术工程师不少于2人）；投标人的相关服务人员需具备相应的服务能力，需提供相关证明（最近一个季度依法缴纳社保费的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698"/>
        <w:gridCol w:w="709"/>
        <w:gridCol w:w="3629"/>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0" w:type="auto"/>
            <w:noWrap/>
            <w:vAlign w:val="center"/>
          </w:tcPr>
          <w:p>
            <w:pPr>
              <w:jc w:val="center"/>
              <w:rPr>
                <w:b/>
              </w:rPr>
            </w:pPr>
            <w:r>
              <w:rPr>
                <w:rFonts w:hint="eastAsia"/>
                <w:b/>
              </w:rPr>
              <w:t>角色</w:t>
            </w:r>
          </w:p>
        </w:tc>
        <w:tc>
          <w:tcPr>
            <w:tcW w:w="1698" w:type="dxa"/>
            <w:noWrap/>
            <w:vAlign w:val="center"/>
          </w:tcPr>
          <w:p>
            <w:pPr>
              <w:jc w:val="center"/>
              <w:rPr>
                <w:b/>
              </w:rPr>
            </w:pPr>
            <w:r>
              <w:rPr>
                <w:rFonts w:hint="eastAsia"/>
                <w:b/>
              </w:rPr>
              <w:t>主要职责</w:t>
            </w:r>
          </w:p>
        </w:tc>
        <w:tc>
          <w:tcPr>
            <w:tcW w:w="709" w:type="dxa"/>
            <w:noWrap/>
            <w:vAlign w:val="center"/>
          </w:tcPr>
          <w:p>
            <w:pPr>
              <w:jc w:val="center"/>
              <w:rPr>
                <w:b/>
              </w:rPr>
            </w:pPr>
            <w:r>
              <w:rPr>
                <w:rFonts w:hint="eastAsia"/>
                <w:b/>
              </w:rPr>
              <w:t>人员数量</w:t>
            </w:r>
          </w:p>
        </w:tc>
        <w:tc>
          <w:tcPr>
            <w:tcW w:w="3629" w:type="dxa"/>
            <w:vAlign w:val="center"/>
          </w:tcPr>
          <w:p>
            <w:pPr>
              <w:ind w:firstLine="482"/>
              <w:jc w:val="center"/>
              <w:rPr>
                <w:b/>
              </w:rPr>
            </w:pPr>
            <w:r>
              <w:rPr>
                <w:rFonts w:hint="eastAsia"/>
                <w:b/>
              </w:rPr>
              <w:t>人员要求</w:t>
            </w:r>
          </w:p>
        </w:tc>
        <w:tc>
          <w:tcPr>
            <w:tcW w:w="737" w:type="dxa"/>
            <w:noWrap/>
            <w:vAlign w:val="center"/>
          </w:tcPr>
          <w:p>
            <w:pPr>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pPr>
              <w:jc w:val="center"/>
            </w:pPr>
            <w:r>
              <w:rPr>
                <w:rFonts w:hint="eastAsia"/>
              </w:rPr>
              <w:t>项目经理</w:t>
            </w:r>
          </w:p>
        </w:tc>
        <w:tc>
          <w:tcPr>
            <w:tcW w:w="1698" w:type="dxa"/>
            <w:vAlign w:val="center"/>
          </w:tcPr>
          <w:p>
            <w:pPr>
              <w:jc w:val="center"/>
            </w:pPr>
            <w:r>
              <w:rPr>
                <w:rFonts w:hint="eastAsia"/>
              </w:rPr>
              <w:t>负责项目质量和进度控制</w:t>
            </w:r>
          </w:p>
        </w:tc>
        <w:tc>
          <w:tcPr>
            <w:tcW w:w="709" w:type="dxa"/>
            <w:noWrap/>
            <w:vAlign w:val="center"/>
          </w:tcPr>
          <w:p>
            <w:r>
              <w:rPr>
                <w:rFonts w:hint="eastAsia"/>
              </w:rPr>
              <w:t>1人</w:t>
            </w:r>
          </w:p>
        </w:tc>
        <w:tc>
          <w:tcPr>
            <w:tcW w:w="3629" w:type="dxa"/>
            <w:vAlign w:val="center"/>
          </w:tcPr>
          <w:p>
            <w:pPr>
              <w:jc w:val="center"/>
            </w:pPr>
            <w:r>
              <w:rPr>
                <w:rFonts w:hint="eastAsia"/>
              </w:rPr>
              <w:t>具备</w:t>
            </w:r>
            <w:r>
              <w:rPr>
                <w:rFonts w:hint="eastAsia"/>
                <w:lang w:eastAsia="zh-CN"/>
              </w:rPr>
              <w:t>本科或以上学历；</w:t>
            </w:r>
            <w:r>
              <w:rPr>
                <w:rFonts w:hint="eastAsia"/>
              </w:rPr>
              <w:t>具备计算机技术与软件专业技术资格(水平)</w:t>
            </w:r>
            <w:r>
              <w:t>信息系统项目管理师</w:t>
            </w:r>
            <w:r>
              <w:rPr>
                <w:rFonts w:hint="eastAsia"/>
              </w:rPr>
              <w:t>资质证书</w:t>
            </w:r>
          </w:p>
        </w:tc>
        <w:tc>
          <w:tcPr>
            <w:tcW w:w="737" w:type="dxa"/>
            <w:noWrap/>
            <w:vAlign w:val="center"/>
          </w:tcPr>
          <w:p>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pPr>
              <w:jc w:val="center"/>
            </w:pPr>
            <w:r>
              <w:rPr>
                <w:rFonts w:hint="eastAsia"/>
              </w:rPr>
              <w:t>产品经理</w:t>
            </w:r>
          </w:p>
        </w:tc>
        <w:tc>
          <w:tcPr>
            <w:tcW w:w="1698" w:type="dxa"/>
            <w:vAlign w:val="center"/>
          </w:tcPr>
          <w:p>
            <w:pPr>
              <w:jc w:val="center"/>
            </w:pPr>
            <w:r>
              <w:rPr>
                <w:rFonts w:hint="eastAsia"/>
              </w:rPr>
              <w:t>负责项目需求评估与产品设计</w:t>
            </w:r>
          </w:p>
        </w:tc>
        <w:tc>
          <w:tcPr>
            <w:tcW w:w="709" w:type="dxa"/>
            <w:noWrap/>
            <w:vAlign w:val="center"/>
          </w:tcPr>
          <w:p>
            <w:r>
              <w:rPr>
                <w:rFonts w:hint="eastAsia"/>
              </w:rPr>
              <w:t>1人</w:t>
            </w:r>
          </w:p>
        </w:tc>
        <w:tc>
          <w:tcPr>
            <w:tcW w:w="3629" w:type="dxa"/>
            <w:vAlign w:val="center"/>
          </w:tcPr>
          <w:p>
            <w:pPr>
              <w:jc w:val="center"/>
            </w:pPr>
            <w:r>
              <w:rPr>
                <w:rFonts w:hint="eastAsia"/>
              </w:rPr>
              <w:t>具备计算机技术与软件专业技术资格(水平)</w:t>
            </w:r>
            <w:r>
              <w:t>信息系统项目管理师</w:t>
            </w:r>
            <w:r>
              <w:rPr>
                <w:rFonts w:hint="eastAsia"/>
              </w:rPr>
              <w:t>资质证书</w:t>
            </w:r>
          </w:p>
        </w:tc>
        <w:tc>
          <w:tcPr>
            <w:tcW w:w="737" w:type="dxa"/>
            <w:noWrap/>
            <w:vAlign w:val="center"/>
          </w:tcPr>
          <w:p>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pPr>
              <w:jc w:val="center"/>
            </w:pPr>
            <w:r>
              <w:rPr>
                <w:rFonts w:hint="eastAsia"/>
              </w:rPr>
              <w:t>技术工程师</w:t>
            </w:r>
          </w:p>
        </w:tc>
        <w:tc>
          <w:tcPr>
            <w:tcW w:w="1698" w:type="dxa"/>
            <w:noWrap/>
            <w:vAlign w:val="center"/>
          </w:tcPr>
          <w:p>
            <w:pPr>
              <w:jc w:val="center"/>
            </w:pPr>
            <w:r>
              <w:rPr>
                <w:rFonts w:hint="eastAsia"/>
              </w:rPr>
              <w:t>负责项目运行维护</w:t>
            </w:r>
          </w:p>
        </w:tc>
        <w:tc>
          <w:tcPr>
            <w:tcW w:w="709" w:type="dxa"/>
            <w:noWrap/>
            <w:vAlign w:val="center"/>
          </w:tcPr>
          <w:p>
            <w:r>
              <w:t>2</w:t>
            </w:r>
            <w:r>
              <w:rPr>
                <w:rFonts w:hint="eastAsia"/>
              </w:rPr>
              <w:t>人</w:t>
            </w:r>
          </w:p>
        </w:tc>
        <w:tc>
          <w:tcPr>
            <w:tcW w:w="3629" w:type="dxa"/>
            <w:vAlign w:val="center"/>
          </w:tcPr>
          <w:p>
            <w:pPr>
              <w:jc w:val="center"/>
            </w:pPr>
            <w:r>
              <w:rPr>
                <w:rFonts w:cs="仿宋"/>
              </w:rPr>
              <w:t>具备类似项目维护经验</w:t>
            </w:r>
          </w:p>
        </w:tc>
        <w:tc>
          <w:tcPr>
            <w:tcW w:w="737" w:type="dxa"/>
            <w:noWrap/>
            <w:vAlign w:val="center"/>
          </w:tcPr>
          <w:p>
            <w:r>
              <w:rPr>
                <w:rFonts w:hint="eastAsia"/>
              </w:rPr>
              <w:t>驻场</w:t>
            </w:r>
          </w:p>
        </w:tc>
      </w:tr>
    </w:tbl>
    <w:p>
      <w:pPr>
        <w:pStyle w:val="3"/>
      </w:pPr>
      <w:r>
        <w:t>等级保护要求</w:t>
      </w:r>
      <w:bookmarkEnd w:id="35"/>
    </w:p>
    <w:p>
      <w:pPr>
        <w:pStyle w:val="107"/>
        <w:snapToGrid w:val="0"/>
        <w:spacing w:line="360" w:lineRule="auto"/>
        <w:ind w:firstLineChars="0"/>
        <w:rPr>
          <w:rFonts w:ascii="宋体" w:hAnsi="宋体"/>
          <w:sz w:val="24"/>
          <w:szCs w:val="24"/>
        </w:rPr>
      </w:pPr>
      <w:r>
        <w:rPr>
          <w:rFonts w:hint="eastAsia" w:ascii="宋体" w:hAnsi="宋体"/>
          <w:sz w:val="24"/>
          <w:szCs w:val="24"/>
        </w:rPr>
        <w:t>本项目应满足三级等保的安全规范要求。投标人应配合第三方测评机构完成等保测评工作。</w:t>
      </w:r>
    </w:p>
    <w:p>
      <w:pPr>
        <w:pStyle w:val="3"/>
      </w:pPr>
      <w:r>
        <w:rPr>
          <w:rFonts w:hint="eastAsia"/>
        </w:rPr>
        <w:t>商业密码应用需求</w:t>
      </w:r>
    </w:p>
    <w:p>
      <w:pPr>
        <w:spacing w:line="360" w:lineRule="auto"/>
        <w:ind w:firstLine="420"/>
      </w:pPr>
      <w:r>
        <w:rPr>
          <w:rFonts w:hint="eastAsia"/>
        </w:rPr>
        <w:t>本项目应满足GB/T 39786-2021《信息安全技术 信息系统密码应用基本要求》第三级信息系统要求。投标人应免费协助建设单位向上海市大数据中心申请商业密码应用的相关资源。投标人应配合第三方测评机构完成商用密码测评工作。</w:t>
      </w:r>
    </w:p>
    <w:tbl>
      <w:tblPr>
        <w:tblStyle w:val="36"/>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559"/>
        <w:gridCol w:w="1134"/>
        <w:gridCol w:w="1276"/>
        <w:gridCol w:w="1696"/>
        <w:gridCol w:w="1369"/>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698" w:type="dxa"/>
            <w:vAlign w:val="center"/>
          </w:tcPr>
          <w:p>
            <w:pPr>
              <w:pStyle w:val="16"/>
              <w:rPr>
                <w:rFonts w:asciiTheme="minorEastAsia" w:hAnsiTheme="minorEastAsia" w:eastAsiaTheme="minorEastAsia"/>
                <w:b/>
                <w:bCs/>
                <w:sz w:val="24"/>
              </w:rPr>
            </w:pPr>
            <w:r>
              <w:rPr>
                <w:rFonts w:hint="eastAsia" w:asciiTheme="minorEastAsia" w:hAnsiTheme="minorEastAsia" w:eastAsiaTheme="minorEastAsia"/>
                <w:b/>
                <w:bCs/>
                <w:sz w:val="24"/>
              </w:rPr>
              <w:t>指标要求</w:t>
            </w:r>
          </w:p>
        </w:tc>
        <w:tc>
          <w:tcPr>
            <w:tcW w:w="1559" w:type="dxa"/>
            <w:vAlign w:val="center"/>
          </w:tcPr>
          <w:p>
            <w:pPr>
              <w:pStyle w:val="16"/>
              <w:jc w:val="center"/>
              <w:rPr>
                <w:rFonts w:asciiTheme="minorEastAsia" w:hAnsiTheme="minorEastAsia" w:eastAsiaTheme="minorEastAsia"/>
                <w:b/>
                <w:bCs/>
                <w:sz w:val="24"/>
              </w:rPr>
            </w:pPr>
            <w:r>
              <w:rPr>
                <w:rFonts w:hint="eastAsia" w:asciiTheme="minorEastAsia" w:hAnsiTheme="minorEastAsia" w:eastAsiaTheme="minorEastAsia"/>
                <w:b/>
                <w:bCs/>
                <w:sz w:val="24"/>
              </w:rPr>
              <w:t>密码技术应用点</w:t>
            </w:r>
          </w:p>
        </w:tc>
        <w:tc>
          <w:tcPr>
            <w:tcW w:w="1134" w:type="dxa"/>
            <w:vAlign w:val="center"/>
          </w:tcPr>
          <w:p>
            <w:pPr>
              <w:pStyle w:val="16"/>
              <w:ind w:firstLine="361"/>
              <w:jc w:val="center"/>
              <w:rPr>
                <w:rFonts w:asciiTheme="minorEastAsia" w:hAnsiTheme="minorEastAsia" w:eastAsiaTheme="minorEastAsia"/>
                <w:b/>
                <w:bCs/>
                <w:sz w:val="24"/>
              </w:rPr>
            </w:pPr>
            <w:r>
              <w:rPr>
                <w:rFonts w:hint="eastAsia" w:asciiTheme="minorEastAsia" w:hAnsiTheme="minorEastAsia" w:eastAsiaTheme="minorEastAsia"/>
                <w:b/>
                <w:bCs/>
                <w:sz w:val="24"/>
              </w:rPr>
              <w:t>GB/T 39786密码应用基本要求</w:t>
            </w:r>
          </w:p>
        </w:tc>
        <w:tc>
          <w:tcPr>
            <w:tcW w:w="1276" w:type="dxa"/>
            <w:vAlign w:val="center"/>
          </w:tcPr>
          <w:p>
            <w:pPr>
              <w:pStyle w:val="16"/>
              <w:jc w:val="center"/>
              <w:rPr>
                <w:rFonts w:asciiTheme="minorEastAsia" w:hAnsiTheme="minorEastAsia" w:eastAsiaTheme="minorEastAsia"/>
                <w:b/>
                <w:bCs/>
                <w:sz w:val="24"/>
              </w:rPr>
            </w:pPr>
            <w:r>
              <w:rPr>
                <w:rFonts w:hint="eastAsia" w:asciiTheme="minorEastAsia" w:hAnsiTheme="minorEastAsia" w:eastAsiaTheme="minorEastAsia"/>
                <w:b/>
                <w:bCs/>
                <w:sz w:val="24"/>
              </w:rPr>
              <w:t>适用情况（适用/不适用）</w:t>
            </w:r>
          </w:p>
        </w:tc>
        <w:tc>
          <w:tcPr>
            <w:tcW w:w="1696" w:type="dxa"/>
            <w:vAlign w:val="center"/>
          </w:tcPr>
          <w:p>
            <w:pPr>
              <w:pStyle w:val="16"/>
              <w:rPr>
                <w:rFonts w:asciiTheme="minorEastAsia" w:hAnsiTheme="minorEastAsia" w:eastAsiaTheme="minorEastAsia"/>
                <w:b/>
                <w:bCs/>
                <w:sz w:val="24"/>
              </w:rPr>
            </w:pPr>
            <w:r>
              <w:rPr>
                <w:rFonts w:hint="eastAsia" w:asciiTheme="minorEastAsia" w:hAnsiTheme="minorEastAsia" w:eastAsiaTheme="minorEastAsia"/>
                <w:b/>
                <w:bCs/>
                <w:sz w:val="24"/>
              </w:rPr>
              <w:t>采取的密码保障措施</w:t>
            </w:r>
          </w:p>
        </w:tc>
        <w:tc>
          <w:tcPr>
            <w:tcW w:w="1369" w:type="dxa"/>
            <w:vAlign w:val="center"/>
          </w:tcPr>
          <w:p>
            <w:pPr>
              <w:pStyle w:val="16"/>
              <w:ind w:firstLine="361"/>
              <w:jc w:val="center"/>
              <w:rPr>
                <w:rFonts w:asciiTheme="minorEastAsia" w:hAnsiTheme="minorEastAsia" w:eastAsiaTheme="minorEastAsia"/>
                <w:b/>
                <w:bCs/>
                <w:sz w:val="24"/>
              </w:rPr>
            </w:pPr>
            <w:r>
              <w:rPr>
                <w:rFonts w:hint="eastAsia" w:asciiTheme="minorEastAsia" w:hAnsiTheme="minorEastAsia" w:eastAsiaTheme="minorEastAsia"/>
                <w:b/>
                <w:bCs/>
                <w:sz w:val="24"/>
              </w:rPr>
              <w:t>说明（如采取的缓解及替代性措施）</w:t>
            </w:r>
          </w:p>
        </w:tc>
        <w:tc>
          <w:tcPr>
            <w:tcW w:w="733" w:type="dxa"/>
            <w:vAlign w:val="center"/>
          </w:tcPr>
          <w:p>
            <w:pPr>
              <w:pStyle w:val="16"/>
              <w:rPr>
                <w:rFonts w:asciiTheme="minorEastAsia" w:hAnsiTheme="minorEastAsia" w:eastAsiaTheme="minorEastAsia"/>
                <w:b/>
                <w:bCs/>
                <w:sz w:val="24"/>
              </w:rPr>
            </w:pPr>
            <w:r>
              <w:rPr>
                <w:rFonts w:hint="eastAsia" w:asciiTheme="minorEastAsia" w:hAnsiTheme="minorEastAsia" w:eastAsiaTheme="minorEastAsia"/>
                <w:b/>
                <w:bCs/>
                <w:sz w:val="24"/>
              </w:rPr>
              <w:t>自评结果（通过/未通过）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restart"/>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物理和环境安全</w:t>
            </w:r>
          </w:p>
        </w:tc>
        <w:tc>
          <w:tcPr>
            <w:tcW w:w="155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身份鉴别</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由云平台提供安全保障。复用云平台密评结果。</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电子门禁记录数据存储完整性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Merge w:val="restart"/>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由云平台提供安全保障。复用云平台密评结果。</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视频监控记录数据存储完整性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Merge w:val="continue"/>
            <w:vAlign w:val="center"/>
          </w:tcPr>
          <w:p>
            <w:pPr>
              <w:pStyle w:val="16"/>
              <w:ind w:firstLine="360"/>
              <w:rPr>
                <w:rFonts w:asciiTheme="minorEastAsia" w:hAnsiTheme="minorEastAsia" w:eastAsiaTheme="minorEastAsia"/>
                <w:sz w:val="24"/>
              </w:rPr>
            </w:pP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restart"/>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网络和通信安全</w:t>
            </w: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身份鉴别</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通过调用密码支撑平台部署的安全认证网关服务，对业务通信链路的服务端进行身份鉴别；</w:t>
            </w:r>
          </w:p>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通过调用云平台部署的SSL VPN，对运维管理链路的服务端进行身份鉴别。（远程运维通信信道复用云平台密评结果。）</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通信数据完整性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Merge w:val="restart"/>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通过调用密码支撑平台部署的安全认证网关服务，通过TLCP通信协议实现用户与系统通信数据的机密性和完整性保护；</w:t>
            </w:r>
          </w:p>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通过调用云平台部署的SSL VPN，基于TLCP通信协议对运维管理数据进行传输机密性和完整性保护。（远程运维通信信道复用云平台密评结果。）</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通信过程中重要数据的机密性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Merge w:val="continue"/>
            <w:vAlign w:val="center"/>
          </w:tcPr>
          <w:p>
            <w:pPr>
              <w:pStyle w:val="16"/>
              <w:ind w:firstLine="360"/>
              <w:rPr>
                <w:rFonts w:asciiTheme="minorEastAsia" w:hAnsiTheme="minorEastAsia" w:eastAsiaTheme="minorEastAsia"/>
                <w:sz w:val="24"/>
              </w:rPr>
            </w:pP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网络边界访问控制信息的完整性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由安全认证网关服务、SSL VPN等密码产品提供网络边界访问控制信息完整性保护。（远程运维通信信道复用云平台密评结果。）</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安全接入认证</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可</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不适用</w:t>
            </w:r>
          </w:p>
        </w:tc>
        <w:tc>
          <w:tcPr>
            <w:tcW w:w="169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369"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无外部设备接入本系统的需求。</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98" w:type="dxa"/>
            <w:vMerge w:val="restart"/>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设备和计算安全</w:t>
            </w: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身份鉴别</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Merge w:val="restart"/>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向远程运维管理员配发智能密码钥匙，对访问堡垒机、服务器、数据库的用户进行身份鉴别，并通过调用云平台部署的SSL VPN建立安全的远程管理信息传输通道。</w:t>
            </w:r>
          </w:p>
        </w:tc>
        <w:tc>
          <w:tcPr>
            <w:tcW w:w="1369" w:type="dxa"/>
            <w:vMerge w:val="restart"/>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堡垒机、服务器虚拟机、数据库登录时的身份鉴别未使用密码技术，通过云平台部署的SSL VPN双向鉴别降低风险。</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远程管理通道安全</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Merge w:val="continue"/>
            <w:vAlign w:val="center"/>
          </w:tcPr>
          <w:p>
            <w:pPr>
              <w:pStyle w:val="16"/>
              <w:ind w:firstLine="360"/>
              <w:rPr>
                <w:rFonts w:asciiTheme="minorEastAsia" w:hAnsiTheme="minorEastAsia" w:eastAsiaTheme="minorEastAsia"/>
                <w:sz w:val="24"/>
              </w:rPr>
            </w:pPr>
          </w:p>
        </w:tc>
        <w:tc>
          <w:tcPr>
            <w:tcW w:w="1369" w:type="dxa"/>
            <w:vMerge w:val="continue"/>
            <w:vAlign w:val="center"/>
          </w:tcPr>
          <w:p>
            <w:pPr>
              <w:pStyle w:val="16"/>
              <w:ind w:firstLine="360"/>
              <w:jc w:val="center"/>
              <w:rPr>
                <w:rFonts w:asciiTheme="minorEastAsia" w:hAnsiTheme="minorEastAsia" w:eastAsiaTheme="minorEastAsia"/>
                <w:sz w:val="24"/>
              </w:rPr>
            </w:pP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系统资源访问控制信息完整性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通过调用密码支撑平台提供的签名验签服务，基于SM2密码算法对服务器虚拟机、数据库等设备的访问控制信息进行完整性保护。密码服务访问控制信息的完整性保护由其配套的密码产品自身实现。</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重要信息资源安全标记完整性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不适用</w:t>
            </w:r>
          </w:p>
        </w:tc>
        <w:tc>
          <w:tcPr>
            <w:tcW w:w="169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369"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本系统不涉及重要信息资源的安全标记。</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日志记录完整性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通过调用密码支撑平台提供的签名验签服务，基于SM2密码算法对服务器虚拟机、数据库等设备的日志进行完整性保护。密码服务日志记录完整性保护由其配套的密码产品自身实现。</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重要可执行程序完整性、重要可执行程序来源真实性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密码支撑平台提供的签名验签服务，使用基于SM2密码算法的数字证书及其SM2密码算法对应用服务器中重要可执行程序和文件进行数字签名，实现应用服务器中重要可执行程序和文件完整性保护和来源真实性保护。</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restart"/>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应用和数据安全</w:t>
            </w: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身份鉴别</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在系统互联网和PC端部署安全浏览器（含密码模块），并向相关用户配发智能密码钥匙，通过调用密码支撑平台的身份鉴别服务，基于SM2密码算法的签名验签机制，对互联网PC端用户进行身份鉴别。</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访问控制信息完整性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通过调用密码支撑平台的签名验签服务，使用SM2密码算法对应用用户访问权限控制列表进行完整性保护。</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重要信息资源安全标记完整性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不适用</w:t>
            </w:r>
          </w:p>
        </w:tc>
        <w:tc>
          <w:tcPr>
            <w:tcW w:w="169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369"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本系统不涉及重要信息资源的安全标记。</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重要数据传输机密性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Merge w:val="restart"/>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通过调用密码支撑平台的数据加解密服务，分别使用SM4-CBC算法和基于SM2密码算法的数字信封对互联网PC端用户身份鉴别数据、电子文件数据进行存储机密性保护。</w:t>
            </w:r>
          </w:p>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通过调用密码支撑平台的签名验签服务，使用SM2密码算法对用户身份鉴别数据和业务日志数据进行存储完整性保护。</w:t>
            </w:r>
          </w:p>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通过调用密码支撑平台的安全认证网关服务实现身份鉴别数据、电子文件数据、业务日志数据等重要数据的安全传输防护。</w:t>
            </w:r>
          </w:p>
        </w:tc>
        <w:tc>
          <w:tcPr>
            <w:tcW w:w="1369" w:type="dxa"/>
            <w:vMerge w:val="restart"/>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通过网络和通信层面的密码技术，对重要数据的传输机密性和完整性进行弥补和降低风险。</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重要数据存储机密性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Merge w:val="continue"/>
            <w:vAlign w:val="center"/>
          </w:tcPr>
          <w:p>
            <w:pPr>
              <w:pStyle w:val="16"/>
              <w:ind w:firstLine="360"/>
              <w:rPr>
                <w:rFonts w:asciiTheme="minorEastAsia" w:hAnsiTheme="minorEastAsia" w:eastAsiaTheme="minorEastAsia"/>
                <w:sz w:val="24"/>
              </w:rPr>
            </w:pPr>
          </w:p>
        </w:tc>
        <w:tc>
          <w:tcPr>
            <w:tcW w:w="1369" w:type="dxa"/>
            <w:vMerge w:val="continue"/>
            <w:vAlign w:val="center"/>
          </w:tcPr>
          <w:p>
            <w:pPr>
              <w:pStyle w:val="16"/>
              <w:ind w:firstLine="360"/>
              <w:jc w:val="center"/>
              <w:rPr>
                <w:rFonts w:asciiTheme="minorEastAsia" w:hAnsiTheme="minorEastAsia" w:eastAsiaTheme="minorEastAsia"/>
                <w:sz w:val="24"/>
              </w:rPr>
            </w:pP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重要数据传输完整性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Merge w:val="continue"/>
            <w:vAlign w:val="center"/>
          </w:tcPr>
          <w:p>
            <w:pPr>
              <w:pStyle w:val="16"/>
              <w:ind w:firstLine="360"/>
              <w:rPr>
                <w:rFonts w:asciiTheme="minorEastAsia" w:hAnsiTheme="minorEastAsia" w:eastAsiaTheme="minorEastAsia"/>
                <w:sz w:val="24"/>
              </w:rPr>
            </w:pPr>
          </w:p>
        </w:tc>
        <w:tc>
          <w:tcPr>
            <w:tcW w:w="1369" w:type="dxa"/>
            <w:vMerge w:val="continue"/>
            <w:vAlign w:val="center"/>
          </w:tcPr>
          <w:p>
            <w:pPr>
              <w:pStyle w:val="16"/>
              <w:ind w:firstLine="360"/>
              <w:jc w:val="center"/>
              <w:rPr>
                <w:rFonts w:asciiTheme="minorEastAsia" w:hAnsiTheme="minorEastAsia" w:eastAsiaTheme="minorEastAsia"/>
                <w:sz w:val="24"/>
              </w:rPr>
            </w:pP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重要数据存储完整性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Merge w:val="continue"/>
            <w:vAlign w:val="center"/>
          </w:tcPr>
          <w:p>
            <w:pPr>
              <w:pStyle w:val="16"/>
              <w:ind w:firstLine="360"/>
              <w:rPr>
                <w:rFonts w:asciiTheme="minorEastAsia" w:hAnsiTheme="minorEastAsia" w:eastAsiaTheme="minorEastAsia"/>
                <w:sz w:val="24"/>
              </w:rPr>
            </w:pPr>
          </w:p>
        </w:tc>
        <w:tc>
          <w:tcPr>
            <w:tcW w:w="1369" w:type="dxa"/>
            <w:vMerge w:val="continue"/>
            <w:vAlign w:val="center"/>
          </w:tcPr>
          <w:p>
            <w:pPr>
              <w:pStyle w:val="16"/>
              <w:ind w:firstLine="360"/>
              <w:jc w:val="center"/>
              <w:rPr>
                <w:rFonts w:asciiTheme="minorEastAsia" w:hAnsiTheme="minorEastAsia" w:eastAsiaTheme="minorEastAsia"/>
                <w:sz w:val="24"/>
              </w:rPr>
            </w:pP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不可否认性</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宜</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通过调用密码支撑平台提供的电子签章服务、时间戳服务，基于SM2密码算法对电子文件数据进行数字签名，并加盖时间戳，实现电子文件数据的完整性保护以及文件签发人操作行为的不可否认性。</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restart"/>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管理制度</w:t>
            </w: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具备密码应用安全管理制度</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制定密码应用安全管理制度</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密钥管理规则</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制定密钥管理规则</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建立操作规程</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建立操作规程</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定期修订安全管理制度</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定期修订安全管理制度</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明确管理制度发布流程</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明确管理制度发布流程</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制度执行过程记录留存</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留存制度执行过程记录</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restart"/>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人员管理</w:t>
            </w: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了解并遵守密码相关法律法规和密码管理制度</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对密码相关法律法规和密码管理制度进行定期培训</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建立密码应用岗位责任制度</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建立密码应用岗位责任制度</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建立上岗人员培训制度</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建立上岗人员培训制度</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定期进行安全岗位人员考核</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定期对安全岗位人员进行考核</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建立关键岗位人员保密制度和调离制度</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建立关键岗位人员保密制度和调离制度</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restart"/>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建设运行</w:t>
            </w: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制定密码应用方案</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制定密码应用方案</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制定密钥安全管理策略</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制定密钥安全管理策略</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依据密码应用方案实施建设</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依据密码应用方案实施建设</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投入运行前进行密码应用安全性评估</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系统投入运行前进行密码应用安全性评估</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定期开展密码应用安全性评估及攻防对抗演习</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定期开展密码应用安全性评估及攻防对抗演习</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restart"/>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应急处置</w:t>
            </w: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应急策略</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制定密码应用应急策略</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事件处置</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制定密码应用事件处置规范</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8" w:type="dxa"/>
            <w:vMerge w:val="continue"/>
            <w:vAlign w:val="center"/>
          </w:tcPr>
          <w:p>
            <w:pPr>
              <w:pStyle w:val="16"/>
              <w:ind w:firstLine="360"/>
              <w:jc w:val="center"/>
              <w:rPr>
                <w:rFonts w:asciiTheme="minorEastAsia" w:hAnsiTheme="minorEastAsia" w:eastAsiaTheme="minorEastAsia"/>
                <w:sz w:val="24"/>
              </w:rPr>
            </w:pPr>
          </w:p>
        </w:tc>
        <w:tc>
          <w:tcPr>
            <w:tcW w:w="1559" w:type="dxa"/>
            <w:vAlign w:val="center"/>
          </w:tcPr>
          <w:p>
            <w:pPr>
              <w:pStyle w:val="16"/>
              <w:jc w:val="center"/>
              <w:rPr>
                <w:rFonts w:asciiTheme="minorEastAsia" w:hAnsiTheme="minorEastAsia" w:eastAsiaTheme="minorEastAsia"/>
                <w:sz w:val="24"/>
              </w:rPr>
            </w:pPr>
            <w:r>
              <w:rPr>
                <w:rFonts w:hint="eastAsia" w:asciiTheme="minorEastAsia" w:hAnsiTheme="minorEastAsia" w:eastAsiaTheme="minorEastAsia"/>
                <w:sz w:val="24"/>
              </w:rPr>
              <w:t>向有关主管部门上报处置情况</w:t>
            </w:r>
          </w:p>
        </w:tc>
        <w:tc>
          <w:tcPr>
            <w:tcW w:w="1134"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应</w:t>
            </w:r>
          </w:p>
        </w:tc>
        <w:tc>
          <w:tcPr>
            <w:tcW w:w="1276"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适用</w:t>
            </w:r>
          </w:p>
        </w:tc>
        <w:tc>
          <w:tcPr>
            <w:tcW w:w="1696" w:type="dxa"/>
            <w:vAlign w:val="center"/>
          </w:tcPr>
          <w:p>
            <w:pPr>
              <w:pStyle w:val="16"/>
              <w:ind w:firstLine="360"/>
              <w:rPr>
                <w:rFonts w:asciiTheme="minorEastAsia" w:hAnsiTheme="minorEastAsia" w:eastAsiaTheme="minorEastAsia"/>
                <w:sz w:val="24"/>
              </w:rPr>
            </w:pPr>
            <w:r>
              <w:rPr>
                <w:rFonts w:hint="eastAsia" w:asciiTheme="minorEastAsia" w:hAnsiTheme="minorEastAsia" w:eastAsiaTheme="minorEastAsia"/>
                <w:sz w:val="24"/>
              </w:rPr>
              <w:t>向有关主管部门上报处置情况</w:t>
            </w:r>
          </w:p>
        </w:tc>
        <w:tc>
          <w:tcPr>
            <w:tcW w:w="1369" w:type="dxa"/>
            <w:vAlign w:val="center"/>
          </w:tcPr>
          <w:p>
            <w:pPr>
              <w:pStyle w:val="16"/>
              <w:ind w:firstLine="36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3" w:type="dxa"/>
            <w:vAlign w:val="center"/>
          </w:tcPr>
          <w:p>
            <w:pPr>
              <w:pStyle w:val="16"/>
              <w:rPr>
                <w:rFonts w:asciiTheme="minorEastAsia" w:hAnsiTheme="minorEastAsia" w:eastAsiaTheme="minorEastAsia"/>
                <w:sz w:val="24"/>
              </w:rPr>
            </w:pPr>
            <w:r>
              <w:rPr>
                <w:rFonts w:hint="eastAsia" w:asciiTheme="minorEastAsia" w:hAnsiTheme="minorEastAsia" w:eastAsiaTheme="minorEastAsia"/>
                <w:sz w:val="24"/>
              </w:rPr>
              <w:t>通过</w:t>
            </w:r>
          </w:p>
        </w:tc>
      </w:tr>
    </w:tbl>
    <w:p/>
    <w:p>
      <w:pPr>
        <w:pStyle w:val="3"/>
      </w:pPr>
      <w:bookmarkStart w:id="36" w:name="_Toc63785512"/>
      <w:r>
        <w:rPr>
          <w:rFonts w:hint="eastAsia"/>
        </w:rPr>
        <w:t>技术文件要求</w:t>
      </w:r>
    </w:p>
    <w:p>
      <w:pPr>
        <w:pStyle w:val="81"/>
        <w:ind w:firstLine="480"/>
      </w:pPr>
      <w:r>
        <w:rPr>
          <w:rFonts w:hint="eastAsia"/>
          <w:sz w:val="24"/>
          <w:szCs w:val="24"/>
        </w:rPr>
        <w:t>投标人提供的书面技术资料应能确保系统正常运行所需的管理、运营及维护有关的全套文件。技术文件应该全面、完整、详细。投标人提供的技术文件至少应包括：</w:t>
      </w:r>
    </w:p>
    <w:p>
      <w:pPr>
        <w:pStyle w:val="81"/>
        <w:ind w:firstLine="480"/>
      </w:pPr>
      <w:r>
        <w:rPr>
          <w:rFonts w:hint="eastAsia"/>
          <w:sz w:val="24"/>
          <w:szCs w:val="24"/>
        </w:rPr>
        <w:t>－</w:t>
      </w:r>
      <w:r>
        <w:rPr>
          <w:sz w:val="24"/>
          <w:szCs w:val="24"/>
        </w:rPr>
        <w:t xml:space="preserve"> 系统说明文件； </w:t>
      </w:r>
    </w:p>
    <w:p>
      <w:pPr>
        <w:pStyle w:val="81"/>
        <w:ind w:firstLine="480"/>
      </w:pPr>
      <w:r>
        <w:rPr>
          <w:rFonts w:hint="eastAsia"/>
          <w:sz w:val="24"/>
          <w:szCs w:val="24"/>
        </w:rPr>
        <w:t>－</w:t>
      </w:r>
      <w:r>
        <w:rPr>
          <w:sz w:val="24"/>
          <w:szCs w:val="24"/>
        </w:rPr>
        <w:t xml:space="preserve"> 技术手册(安装、测试、操作、维护、故障排除等)； </w:t>
      </w:r>
    </w:p>
    <w:p>
      <w:pPr>
        <w:pStyle w:val="81"/>
        <w:ind w:firstLine="480"/>
      </w:pPr>
      <w:r>
        <w:rPr>
          <w:rFonts w:hint="eastAsia"/>
          <w:sz w:val="24"/>
          <w:szCs w:val="24"/>
        </w:rPr>
        <w:t>－</w:t>
      </w:r>
      <w:r>
        <w:rPr>
          <w:sz w:val="24"/>
          <w:szCs w:val="24"/>
        </w:rPr>
        <w:t xml:space="preserve"> 项目文档，应该包括：</w:t>
      </w:r>
    </w:p>
    <w:p>
      <w:pPr>
        <w:pStyle w:val="81"/>
        <w:ind w:firstLine="480"/>
      </w:pPr>
      <w:r>
        <w:rPr>
          <w:sz w:val="24"/>
          <w:szCs w:val="24"/>
        </w:rPr>
        <w:t>(1)软件需求说明书</w:t>
      </w:r>
    </w:p>
    <w:p>
      <w:pPr>
        <w:pStyle w:val="81"/>
        <w:ind w:firstLine="480"/>
      </w:pPr>
      <w:r>
        <w:rPr>
          <w:sz w:val="24"/>
          <w:szCs w:val="24"/>
        </w:rPr>
        <w:t>(2)</w:t>
      </w:r>
      <w:r>
        <w:rPr>
          <w:sz w:val="24"/>
          <w:szCs w:val="24"/>
        </w:rPr>
        <w:tab/>
      </w:r>
      <w:r>
        <w:rPr>
          <w:sz w:val="24"/>
          <w:szCs w:val="24"/>
        </w:rPr>
        <w:t>系统总体设计说明书</w:t>
      </w:r>
    </w:p>
    <w:p>
      <w:pPr>
        <w:pStyle w:val="81"/>
        <w:ind w:firstLine="480"/>
      </w:pPr>
      <w:r>
        <w:rPr>
          <w:sz w:val="24"/>
          <w:szCs w:val="24"/>
        </w:rPr>
        <w:t>(3)</w:t>
      </w:r>
      <w:r>
        <w:rPr>
          <w:sz w:val="24"/>
          <w:szCs w:val="24"/>
        </w:rPr>
        <w:tab/>
      </w:r>
      <w:r>
        <w:rPr>
          <w:sz w:val="24"/>
          <w:szCs w:val="24"/>
        </w:rPr>
        <w:t>应用软件功能清单</w:t>
      </w:r>
    </w:p>
    <w:p>
      <w:pPr>
        <w:pStyle w:val="81"/>
        <w:ind w:firstLine="480"/>
      </w:pPr>
      <w:r>
        <w:rPr>
          <w:rFonts w:hint="eastAsia"/>
          <w:sz w:val="24"/>
          <w:szCs w:val="24"/>
        </w:rPr>
        <w:t>提供全套技术文件纸介质</w:t>
      </w:r>
      <w:r>
        <w:rPr>
          <w:sz w:val="24"/>
          <w:szCs w:val="24"/>
        </w:rPr>
        <w:t>3套以及电子文件1套。</w:t>
      </w:r>
    </w:p>
    <w:p>
      <w:pPr>
        <w:pStyle w:val="2"/>
      </w:pPr>
      <w:r>
        <w:rPr>
          <w:rFonts w:hint="eastAsia"/>
        </w:rPr>
        <w:t>投标人管理要求</w:t>
      </w:r>
      <w:bookmarkEnd w:id="36"/>
    </w:p>
    <w:p>
      <w:pPr>
        <w:pStyle w:val="81"/>
        <w:ind w:firstLine="480"/>
        <w:rPr>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pPr>
        <w:pStyle w:val="81"/>
        <w:ind w:firstLine="480"/>
        <w:rPr>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pStyle w:val="81"/>
        <w:ind w:firstLine="480"/>
        <w:rPr>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pPr>
        <w:pStyle w:val="81"/>
        <w:ind w:firstLine="480"/>
        <w:rPr>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pPr>
        <w:pStyle w:val="81"/>
        <w:ind w:firstLine="480"/>
        <w:rPr>
          <w:sz w:val="24"/>
          <w:szCs w:val="24"/>
        </w:rPr>
      </w:pPr>
      <w:r>
        <w:rPr>
          <w:rFonts w:hint="eastAsia"/>
          <w:sz w:val="24"/>
          <w:szCs w:val="24"/>
        </w:rPr>
        <w:t>5、中标人在项目实施期间必须遵守采购人的规章制度并提供实施人员名单。</w:t>
      </w:r>
    </w:p>
    <w:p>
      <w:pPr>
        <w:pStyle w:val="81"/>
        <w:ind w:firstLine="480"/>
        <w:rPr>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pPr>
        <w:pStyle w:val="81"/>
        <w:ind w:firstLine="480"/>
      </w:pPr>
      <w:r>
        <w:rPr>
          <w:rFonts w:hint="eastAsia"/>
          <w:sz w:val="24"/>
          <w:szCs w:val="24"/>
        </w:rPr>
        <w:t>7、本项目软件开发及调试将纳入采购人的管理范围，中标人在此过程中须服从上述单位的管理协调。</w:t>
      </w:r>
    </w:p>
    <w:p>
      <w:pPr>
        <w:pStyle w:val="81"/>
        <w:ind w:firstLine="420"/>
      </w:pPr>
    </w:p>
    <w:p>
      <w:pPr>
        <w:rPr>
          <w:b/>
          <w:bCs/>
        </w:rPr>
      </w:pPr>
    </w:p>
    <w:sectPr>
      <w:footerReference r:id="rId9" w:type="first"/>
      <w:pgSz w:w="11906" w:h="16838"/>
      <w:pgMar w:top="1134" w:right="1797" w:bottom="1135" w:left="1797" w:header="340" w:footer="7" w:gutter="0"/>
      <w:pgNumType w:start="1"/>
      <w:cols w:space="720"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 w:name="仿宋">
    <w:panose1 w:val="02010609060101010101"/>
    <w:charset w:val="86"/>
    <w:family w:val="modern"/>
    <w:pitch w:val="default"/>
    <w:sig w:usb0="800002BF" w:usb1="38CF7CFA" w:usb2="00000016" w:usb3="00000000" w:csb0="00040001" w:csb1="00000000"/>
  </w:font>
  <w:font w:name="Calibri Light">
    <w:altName w:val="Century Gothic"/>
    <w:panose1 w:val="020F0302020204030204"/>
    <w:charset w:val="00"/>
    <w:family w:val="swiss"/>
    <w:pitch w:val="default"/>
    <w:sig w:usb0="00000000" w:usb1="00000000"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Arial Unicode MS">
    <w:panose1 w:val="020B0604020202020204"/>
    <w:charset w:val="80"/>
    <w:family w:val="swiss"/>
    <w:pitch w:val="default"/>
    <w:sig w:usb0="FFFFFFFF" w:usb1="E9FFFFFF" w:usb2="0000003F" w:usb3="00000000" w:csb0="601F00FF" w:csb1="FFFF0000"/>
  </w:font>
  <w:font w:name="等线 Light">
    <w:altName w:val="宋体"/>
    <w:panose1 w:val="02010600030101010101"/>
    <w:charset w:val="86"/>
    <w:family w:val="auto"/>
    <w:pitch w:val="default"/>
    <w:sig w:usb0="00000000" w:usb1="00000000" w:usb2="00000016" w:usb3="00000000" w:csb0="0004000F" w:csb1="00000000"/>
  </w:font>
  <w:font w:name="time">
    <w:altName w:val="Arial Unicode MS"/>
    <w:panose1 w:val="020B0604020202020204"/>
    <w:charset w:val="00"/>
    <w:family w:val="roman"/>
    <w:pitch w:val="default"/>
    <w:sig w:usb0="00000000" w:usb1="00000000" w:usb2="00000000"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A0F3C52" w:usb2="00000016" w:usb3="00000000" w:csb0="0004001F" w:csb1="00000000"/>
  </w:font>
  <w:font w:name="Microsoft Sans Serif">
    <w:panose1 w:val="020B0604020202020204"/>
    <w:charset w:val="00"/>
    <w:family w:val="swiss"/>
    <w:pitch w:val="default"/>
    <w:sig w:usb0="61007BDF"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Helvetica">
    <w:panose1 w:val="020B06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11</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D12C4BCE"/>
    <w:multiLevelType w:val="singleLevel"/>
    <w:tmpl w:val="D12C4BCE"/>
    <w:lvl w:ilvl="0" w:tentative="0">
      <w:start w:val="1"/>
      <w:numFmt w:val="bullet"/>
      <w:lvlText w:val=""/>
      <w:lvlJc w:val="left"/>
      <w:pPr>
        <w:ind w:left="420" w:hanging="420"/>
      </w:pPr>
      <w:rPr>
        <w:rFonts w:hint="default" w:ascii="Wingdings" w:hAnsi="Wingdings"/>
      </w:rPr>
    </w:lvl>
  </w:abstractNum>
  <w:abstractNum w:abstractNumId="2">
    <w:nsid w:val="1BCF149A"/>
    <w:multiLevelType w:val="multilevel"/>
    <w:tmpl w:val="1BCF149A"/>
    <w:lvl w:ilvl="0" w:tentative="0">
      <w:start w:val="1"/>
      <w:numFmt w:val="decimal"/>
      <w:lvlText w:val="%1."/>
      <w:lvlJc w:val="left"/>
      <w:pPr>
        <w:tabs>
          <w:tab w:val="left" w:pos="720"/>
        </w:tabs>
        <w:ind w:left="720" w:hanging="360"/>
      </w:pPr>
      <w:rPr>
        <w:rFonts w:asciiTheme="minorEastAsia" w:hAnsiTheme="minorEastAsia" w:eastAsiaTheme="minor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2AF5309"/>
    <w:multiLevelType w:val="multilevel"/>
    <w:tmpl w:val="22AF530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321016C0"/>
    <w:multiLevelType w:val="singleLevel"/>
    <w:tmpl w:val="321016C0"/>
    <w:lvl w:ilvl="0" w:tentative="0">
      <w:start w:val="1"/>
      <w:numFmt w:val="decimal"/>
      <w:lvlText w:val="%1."/>
      <w:lvlJc w:val="left"/>
      <w:pPr>
        <w:ind w:left="425" w:hanging="425"/>
      </w:pPr>
      <w:rPr>
        <w:rFonts w:hint="default"/>
      </w:rPr>
    </w:lvl>
  </w:abstractNum>
  <w:abstractNum w:abstractNumId="5">
    <w:nsid w:val="3413581A"/>
    <w:multiLevelType w:val="singleLevel"/>
    <w:tmpl w:val="3413581A"/>
    <w:lvl w:ilvl="0" w:tentative="0">
      <w:start w:val="1"/>
      <w:numFmt w:val="bullet"/>
      <w:lvlText w:val=""/>
      <w:lvlJc w:val="left"/>
      <w:pPr>
        <w:ind w:left="420" w:hanging="420"/>
      </w:pPr>
      <w:rPr>
        <w:rFonts w:hint="default" w:ascii="Wingdings" w:hAnsi="Wingdings"/>
      </w:rPr>
    </w:lvl>
  </w:abstractNum>
  <w:abstractNum w:abstractNumId="6">
    <w:nsid w:val="5BE41537"/>
    <w:multiLevelType w:val="multilevel"/>
    <w:tmpl w:val="5BE41537"/>
    <w:lvl w:ilvl="0" w:tentative="0">
      <w:start w:val="1"/>
      <w:numFmt w:val="decimal"/>
      <w:lvlText w:val="%1."/>
      <w:lvlJc w:val="left"/>
      <w:pPr>
        <w:tabs>
          <w:tab w:val="left" w:pos="720"/>
        </w:tabs>
        <w:ind w:left="720" w:hanging="360"/>
      </w:pPr>
      <w:rPr>
        <w:rFonts w:asciiTheme="minorEastAsia" w:hAnsiTheme="minorEastAsia" w:eastAsiaTheme="minor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350366A"/>
    <w:multiLevelType w:val="multilevel"/>
    <w:tmpl w:val="6350366A"/>
    <w:lvl w:ilvl="0" w:tentative="0">
      <w:start w:val="1"/>
      <w:numFmt w:val="none"/>
      <w:pStyle w:val="11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A2F4AB3"/>
    <w:multiLevelType w:val="multilevel"/>
    <w:tmpl w:val="6A2F4AB3"/>
    <w:lvl w:ilvl="0" w:tentative="0">
      <w:start w:val="1"/>
      <w:numFmt w:val="chineseCountingThousand"/>
      <w:pStyle w:val="2"/>
      <w:suff w:val="nothing"/>
      <w:lvlText w:val="%1、"/>
      <w:lvlJc w:val="left"/>
      <w:pPr>
        <w:ind w:left="0"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0" w:hanging="1069"/>
      </w:pPr>
      <w:rPr>
        <w:rFonts w:hint="default" w:ascii="宋体" w:hAnsi="宋体" w:eastAsia="宋体" w:cs="Arial"/>
      </w:rPr>
    </w:lvl>
    <w:lvl w:ilvl="3" w:tentative="0">
      <w:start w:val="1"/>
      <w:numFmt w:val="decimal"/>
      <w:pStyle w:val="5"/>
      <w:isLgl/>
      <w:suff w:val="nothing"/>
      <w:lvlText w:val="%1.%2.%3.%4、"/>
      <w:lvlJc w:val="left"/>
      <w:pPr>
        <w:ind w:left="2978" w:hanging="851"/>
      </w:pPr>
    </w:lvl>
    <w:lvl w:ilvl="4" w:tentative="0">
      <w:start w:val="1"/>
      <w:numFmt w:val="decimal"/>
      <w:pStyle w:val="6"/>
      <w:isLgl/>
      <w:suff w:val="nothing"/>
      <w:lvlText w:val="%1.%2.%3.%4.%5、"/>
      <w:lvlJc w:val="left"/>
      <w:pPr>
        <w:ind w:left="3119" w:hanging="992"/>
      </w:pPr>
      <w:rPr>
        <w:rFonts w:hint="eastAsia"/>
      </w:rPr>
    </w:lvl>
    <w:lvl w:ilvl="5" w:tentative="0">
      <w:start w:val="1"/>
      <w:numFmt w:val="decimal"/>
      <w:pStyle w:val="7"/>
      <w:isLgl/>
      <w:suff w:val="nothing"/>
      <w:lvlText w:val="%1.%2.%3.%4.%5.%6、"/>
      <w:lvlJc w:val="left"/>
      <w:pPr>
        <w:ind w:left="709" w:hanging="1134"/>
      </w:pPr>
      <w:rPr>
        <w:rFonts w:hint="eastAsia"/>
      </w:rPr>
    </w:lvl>
    <w:lvl w:ilvl="6" w:tentative="0">
      <w:start w:val="1"/>
      <w:numFmt w:val="decimal"/>
      <w:isLgl/>
      <w:lvlText w:val="%1.%2.%3.%4.%5.%6.%7"/>
      <w:lvlJc w:val="left"/>
      <w:pPr>
        <w:tabs>
          <w:tab w:val="left" w:pos="1800"/>
        </w:tabs>
        <w:ind w:left="851" w:hanging="1276"/>
      </w:pPr>
      <w:rPr>
        <w:rFonts w:hint="eastAsia"/>
      </w:rPr>
    </w:lvl>
    <w:lvl w:ilvl="7" w:tentative="0">
      <w:start w:val="1"/>
      <w:numFmt w:val="decimal"/>
      <w:isLgl/>
      <w:lvlText w:val="%1.%2.%3.%4.%5.%6.%7.%8"/>
      <w:lvlJc w:val="left"/>
      <w:pPr>
        <w:tabs>
          <w:tab w:val="left" w:pos="1800"/>
        </w:tabs>
        <w:ind w:left="993" w:hanging="1418"/>
      </w:pPr>
      <w:rPr>
        <w:rFonts w:hint="eastAsia"/>
      </w:rPr>
    </w:lvl>
    <w:lvl w:ilvl="8" w:tentative="0">
      <w:start w:val="1"/>
      <w:numFmt w:val="decimal"/>
      <w:isLgl/>
      <w:lvlText w:val="%1.%2.%3.%4.%5.%6.%7.%8.%9"/>
      <w:lvlJc w:val="left"/>
      <w:pPr>
        <w:tabs>
          <w:tab w:val="left" w:pos="2160"/>
        </w:tabs>
        <w:ind w:left="1134" w:hanging="1559"/>
      </w:pPr>
      <w:rPr>
        <w:rFonts w:hint="eastAsia"/>
      </w:rPr>
    </w:lvl>
  </w:abstractNum>
  <w:num w:numId="1">
    <w:abstractNumId w:val="8"/>
  </w:num>
  <w:num w:numId="2">
    <w:abstractNumId w:val="7"/>
  </w:num>
  <w:num w:numId="3">
    <w:abstractNumId w:val="3"/>
  </w:num>
  <w:num w:numId="4">
    <w:abstractNumId w:val="2"/>
  </w:num>
  <w:num w:numId="5">
    <w:abstractNumId w:val="6"/>
  </w:num>
  <w:num w:numId="6">
    <w:abstractNumId w:val="0"/>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hZTM4MDQ0MjE0NzZkMDgxNGZjMjYxNzEzNTkwZWIifQ=="/>
  </w:docVars>
  <w:rsids>
    <w:rsidRoot w:val="006910C0"/>
    <w:rsid w:val="0000005A"/>
    <w:rsid w:val="00000AED"/>
    <w:rsid w:val="0000214F"/>
    <w:rsid w:val="00002DBA"/>
    <w:rsid w:val="00003516"/>
    <w:rsid w:val="0000380E"/>
    <w:rsid w:val="00005AFD"/>
    <w:rsid w:val="00005CBB"/>
    <w:rsid w:val="00006563"/>
    <w:rsid w:val="000074F1"/>
    <w:rsid w:val="00007A41"/>
    <w:rsid w:val="00007DA7"/>
    <w:rsid w:val="000106CC"/>
    <w:rsid w:val="000111F1"/>
    <w:rsid w:val="00012EF0"/>
    <w:rsid w:val="000145E5"/>
    <w:rsid w:val="000156DE"/>
    <w:rsid w:val="000165AD"/>
    <w:rsid w:val="00016B70"/>
    <w:rsid w:val="000179E9"/>
    <w:rsid w:val="00020C18"/>
    <w:rsid w:val="00021EE6"/>
    <w:rsid w:val="0002280E"/>
    <w:rsid w:val="00022C74"/>
    <w:rsid w:val="00025122"/>
    <w:rsid w:val="000252D5"/>
    <w:rsid w:val="00026903"/>
    <w:rsid w:val="00026997"/>
    <w:rsid w:val="00027A64"/>
    <w:rsid w:val="00032CFE"/>
    <w:rsid w:val="00032D27"/>
    <w:rsid w:val="00034C36"/>
    <w:rsid w:val="00035325"/>
    <w:rsid w:val="00035D5B"/>
    <w:rsid w:val="000378D0"/>
    <w:rsid w:val="00037F2C"/>
    <w:rsid w:val="00042C2A"/>
    <w:rsid w:val="000430EC"/>
    <w:rsid w:val="000447CB"/>
    <w:rsid w:val="00045022"/>
    <w:rsid w:val="00047915"/>
    <w:rsid w:val="00047D06"/>
    <w:rsid w:val="00047D19"/>
    <w:rsid w:val="00050FBD"/>
    <w:rsid w:val="0005107A"/>
    <w:rsid w:val="0005192C"/>
    <w:rsid w:val="00052929"/>
    <w:rsid w:val="0005299F"/>
    <w:rsid w:val="000541D7"/>
    <w:rsid w:val="000545C0"/>
    <w:rsid w:val="00055690"/>
    <w:rsid w:val="0005586D"/>
    <w:rsid w:val="00056C0E"/>
    <w:rsid w:val="000574A8"/>
    <w:rsid w:val="000574F8"/>
    <w:rsid w:val="00057A49"/>
    <w:rsid w:val="0006231F"/>
    <w:rsid w:val="00062A05"/>
    <w:rsid w:val="00062EE6"/>
    <w:rsid w:val="0006344E"/>
    <w:rsid w:val="00063FB0"/>
    <w:rsid w:val="000649E6"/>
    <w:rsid w:val="00067585"/>
    <w:rsid w:val="0006794B"/>
    <w:rsid w:val="00067DCA"/>
    <w:rsid w:val="00070063"/>
    <w:rsid w:val="0007087A"/>
    <w:rsid w:val="000710EC"/>
    <w:rsid w:val="00072237"/>
    <w:rsid w:val="00072ABE"/>
    <w:rsid w:val="00074B7E"/>
    <w:rsid w:val="00080B39"/>
    <w:rsid w:val="00081E20"/>
    <w:rsid w:val="00083950"/>
    <w:rsid w:val="0008452B"/>
    <w:rsid w:val="0008452F"/>
    <w:rsid w:val="00084E8E"/>
    <w:rsid w:val="000853E9"/>
    <w:rsid w:val="00085A68"/>
    <w:rsid w:val="00090625"/>
    <w:rsid w:val="0009084F"/>
    <w:rsid w:val="00090948"/>
    <w:rsid w:val="00091CD1"/>
    <w:rsid w:val="0009460E"/>
    <w:rsid w:val="000951D4"/>
    <w:rsid w:val="000A181F"/>
    <w:rsid w:val="000A2146"/>
    <w:rsid w:val="000A2930"/>
    <w:rsid w:val="000A3276"/>
    <w:rsid w:val="000A3C35"/>
    <w:rsid w:val="000A3E30"/>
    <w:rsid w:val="000A5876"/>
    <w:rsid w:val="000A61D0"/>
    <w:rsid w:val="000A6C67"/>
    <w:rsid w:val="000A6DB8"/>
    <w:rsid w:val="000A7596"/>
    <w:rsid w:val="000B11A8"/>
    <w:rsid w:val="000B1959"/>
    <w:rsid w:val="000B2E1C"/>
    <w:rsid w:val="000B3046"/>
    <w:rsid w:val="000B4459"/>
    <w:rsid w:val="000B4B46"/>
    <w:rsid w:val="000B5363"/>
    <w:rsid w:val="000B53BA"/>
    <w:rsid w:val="000B642F"/>
    <w:rsid w:val="000B6C99"/>
    <w:rsid w:val="000C3F3C"/>
    <w:rsid w:val="000C5A75"/>
    <w:rsid w:val="000C75E9"/>
    <w:rsid w:val="000C75F7"/>
    <w:rsid w:val="000D0AB2"/>
    <w:rsid w:val="000D225C"/>
    <w:rsid w:val="000D36F2"/>
    <w:rsid w:val="000D3B5D"/>
    <w:rsid w:val="000D4B26"/>
    <w:rsid w:val="000D7166"/>
    <w:rsid w:val="000D74DB"/>
    <w:rsid w:val="000E24D6"/>
    <w:rsid w:val="000E3560"/>
    <w:rsid w:val="000E6072"/>
    <w:rsid w:val="000E6B97"/>
    <w:rsid w:val="000E6D61"/>
    <w:rsid w:val="000E7A23"/>
    <w:rsid w:val="000F1881"/>
    <w:rsid w:val="000F1C29"/>
    <w:rsid w:val="000F1E9E"/>
    <w:rsid w:val="000F2B10"/>
    <w:rsid w:val="000F3A27"/>
    <w:rsid w:val="000F3F72"/>
    <w:rsid w:val="000F60B4"/>
    <w:rsid w:val="00102462"/>
    <w:rsid w:val="001055B2"/>
    <w:rsid w:val="001068F0"/>
    <w:rsid w:val="00106AB8"/>
    <w:rsid w:val="00106C9E"/>
    <w:rsid w:val="00106E16"/>
    <w:rsid w:val="0010768B"/>
    <w:rsid w:val="00110B8A"/>
    <w:rsid w:val="00111701"/>
    <w:rsid w:val="0011204A"/>
    <w:rsid w:val="00112A29"/>
    <w:rsid w:val="00113579"/>
    <w:rsid w:val="001167F6"/>
    <w:rsid w:val="00116C86"/>
    <w:rsid w:val="00121ACF"/>
    <w:rsid w:val="00121D8F"/>
    <w:rsid w:val="00122037"/>
    <w:rsid w:val="0012210C"/>
    <w:rsid w:val="00122A7F"/>
    <w:rsid w:val="00122E3C"/>
    <w:rsid w:val="00123F98"/>
    <w:rsid w:val="001242A5"/>
    <w:rsid w:val="00124531"/>
    <w:rsid w:val="00126EDF"/>
    <w:rsid w:val="00127A0D"/>
    <w:rsid w:val="00127BBE"/>
    <w:rsid w:val="00131D52"/>
    <w:rsid w:val="001329C1"/>
    <w:rsid w:val="00132C16"/>
    <w:rsid w:val="00136320"/>
    <w:rsid w:val="00136FFA"/>
    <w:rsid w:val="00137AC6"/>
    <w:rsid w:val="00145512"/>
    <w:rsid w:val="00145C7D"/>
    <w:rsid w:val="001465BD"/>
    <w:rsid w:val="00147B45"/>
    <w:rsid w:val="00150803"/>
    <w:rsid w:val="00151D83"/>
    <w:rsid w:val="0015286C"/>
    <w:rsid w:val="00152EB9"/>
    <w:rsid w:val="001546C9"/>
    <w:rsid w:val="00154FAE"/>
    <w:rsid w:val="00155E77"/>
    <w:rsid w:val="00156A70"/>
    <w:rsid w:val="00156D77"/>
    <w:rsid w:val="00160A61"/>
    <w:rsid w:val="00160FC0"/>
    <w:rsid w:val="0016429B"/>
    <w:rsid w:val="00164525"/>
    <w:rsid w:val="00164C50"/>
    <w:rsid w:val="00165CB2"/>
    <w:rsid w:val="00166203"/>
    <w:rsid w:val="00166767"/>
    <w:rsid w:val="001707CB"/>
    <w:rsid w:val="00170C54"/>
    <w:rsid w:val="00171477"/>
    <w:rsid w:val="00172A1A"/>
    <w:rsid w:val="00173251"/>
    <w:rsid w:val="00173901"/>
    <w:rsid w:val="00173F3D"/>
    <w:rsid w:val="00176BED"/>
    <w:rsid w:val="0017759D"/>
    <w:rsid w:val="001804A5"/>
    <w:rsid w:val="00180C5A"/>
    <w:rsid w:val="00181C94"/>
    <w:rsid w:val="00182C84"/>
    <w:rsid w:val="00187031"/>
    <w:rsid w:val="00187119"/>
    <w:rsid w:val="00191EA4"/>
    <w:rsid w:val="00192B6C"/>
    <w:rsid w:val="00192C30"/>
    <w:rsid w:val="0019381E"/>
    <w:rsid w:val="0019457C"/>
    <w:rsid w:val="00194CF5"/>
    <w:rsid w:val="0019503C"/>
    <w:rsid w:val="00195D94"/>
    <w:rsid w:val="00196F7B"/>
    <w:rsid w:val="001971CB"/>
    <w:rsid w:val="0019795C"/>
    <w:rsid w:val="001A053A"/>
    <w:rsid w:val="001A22A2"/>
    <w:rsid w:val="001A2757"/>
    <w:rsid w:val="001A2971"/>
    <w:rsid w:val="001A3D52"/>
    <w:rsid w:val="001A460A"/>
    <w:rsid w:val="001A4984"/>
    <w:rsid w:val="001A4A4C"/>
    <w:rsid w:val="001B0230"/>
    <w:rsid w:val="001B13AB"/>
    <w:rsid w:val="001B3907"/>
    <w:rsid w:val="001B3B49"/>
    <w:rsid w:val="001B4907"/>
    <w:rsid w:val="001B4DC5"/>
    <w:rsid w:val="001B5505"/>
    <w:rsid w:val="001C2180"/>
    <w:rsid w:val="001C29CC"/>
    <w:rsid w:val="001C3217"/>
    <w:rsid w:val="001C3B98"/>
    <w:rsid w:val="001C6028"/>
    <w:rsid w:val="001C6268"/>
    <w:rsid w:val="001C6365"/>
    <w:rsid w:val="001C7F57"/>
    <w:rsid w:val="001D0E79"/>
    <w:rsid w:val="001D32EF"/>
    <w:rsid w:val="001D6049"/>
    <w:rsid w:val="001D7339"/>
    <w:rsid w:val="001D7E18"/>
    <w:rsid w:val="001E1A77"/>
    <w:rsid w:val="001E2750"/>
    <w:rsid w:val="001E4343"/>
    <w:rsid w:val="001E4BA9"/>
    <w:rsid w:val="001E52BB"/>
    <w:rsid w:val="001E660A"/>
    <w:rsid w:val="001E695F"/>
    <w:rsid w:val="001F05D6"/>
    <w:rsid w:val="001F0BFF"/>
    <w:rsid w:val="001F298D"/>
    <w:rsid w:val="001F4AC2"/>
    <w:rsid w:val="001F5B0A"/>
    <w:rsid w:val="001F640F"/>
    <w:rsid w:val="001F6794"/>
    <w:rsid w:val="001F6F65"/>
    <w:rsid w:val="001F7299"/>
    <w:rsid w:val="002002DF"/>
    <w:rsid w:val="00203A6F"/>
    <w:rsid w:val="00205646"/>
    <w:rsid w:val="002063F7"/>
    <w:rsid w:val="00206C6E"/>
    <w:rsid w:val="002129E5"/>
    <w:rsid w:val="00212AA4"/>
    <w:rsid w:val="00212E13"/>
    <w:rsid w:val="002163C8"/>
    <w:rsid w:val="00217945"/>
    <w:rsid w:val="002179FE"/>
    <w:rsid w:val="00217C05"/>
    <w:rsid w:val="00220CC0"/>
    <w:rsid w:val="00221A36"/>
    <w:rsid w:val="00223296"/>
    <w:rsid w:val="0022329B"/>
    <w:rsid w:val="002240F7"/>
    <w:rsid w:val="0022486F"/>
    <w:rsid w:val="00224C11"/>
    <w:rsid w:val="00225314"/>
    <w:rsid w:val="00225DF4"/>
    <w:rsid w:val="00226C70"/>
    <w:rsid w:val="00230C8A"/>
    <w:rsid w:val="00231F98"/>
    <w:rsid w:val="002324F8"/>
    <w:rsid w:val="002348B0"/>
    <w:rsid w:val="00235A4C"/>
    <w:rsid w:val="00235CDC"/>
    <w:rsid w:val="00237E76"/>
    <w:rsid w:val="00240BBE"/>
    <w:rsid w:val="00241525"/>
    <w:rsid w:val="00241D87"/>
    <w:rsid w:val="002424CE"/>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12D3"/>
    <w:rsid w:val="0026340A"/>
    <w:rsid w:val="002654C2"/>
    <w:rsid w:val="002654EA"/>
    <w:rsid w:val="002704EA"/>
    <w:rsid w:val="0027061A"/>
    <w:rsid w:val="002719CC"/>
    <w:rsid w:val="00272E3C"/>
    <w:rsid w:val="002730C5"/>
    <w:rsid w:val="0027337C"/>
    <w:rsid w:val="0027602B"/>
    <w:rsid w:val="00277707"/>
    <w:rsid w:val="00277F5E"/>
    <w:rsid w:val="00280084"/>
    <w:rsid w:val="00280490"/>
    <w:rsid w:val="00283E98"/>
    <w:rsid w:val="002860B8"/>
    <w:rsid w:val="00287EE6"/>
    <w:rsid w:val="0029035A"/>
    <w:rsid w:val="0029206E"/>
    <w:rsid w:val="00293382"/>
    <w:rsid w:val="00294F51"/>
    <w:rsid w:val="002A2342"/>
    <w:rsid w:val="002A279E"/>
    <w:rsid w:val="002A4FA3"/>
    <w:rsid w:val="002A79C8"/>
    <w:rsid w:val="002B1694"/>
    <w:rsid w:val="002B3606"/>
    <w:rsid w:val="002B3D80"/>
    <w:rsid w:val="002B4402"/>
    <w:rsid w:val="002B4946"/>
    <w:rsid w:val="002B4C41"/>
    <w:rsid w:val="002B53F9"/>
    <w:rsid w:val="002B588D"/>
    <w:rsid w:val="002B7795"/>
    <w:rsid w:val="002C1839"/>
    <w:rsid w:val="002C214A"/>
    <w:rsid w:val="002C28E8"/>
    <w:rsid w:val="002C3027"/>
    <w:rsid w:val="002C65DE"/>
    <w:rsid w:val="002C674D"/>
    <w:rsid w:val="002C7648"/>
    <w:rsid w:val="002C7DC4"/>
    <w:rsid w:val="002D0821"/>
    <w:rsid w:val="002D12CE"/>
    <w:rsid w:val="002D1929"/>
    <w:rsid w:val="002D1B73"/>
    <w:rsid w:val="002D3CB0"/>
    <w:rsid w:val="002D4800"/>
    <w:rsid w:val="002D5B21"/>
    <w:rsid w:val="002D5DCD"/>
    <w:rsid w:val="002D6F6D"/>
    <w:rsid w:val="002E1FE6"/>
    <w:rsid w:val="002E2EA7"/>
    <w:rsid w:val="002E36D2"/>
    <w:rsid w:val="002E3AEC"/>
    <w:rsid w:val="002E7200"/>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3B1"/>
    <w:rsid w:val="0032089B"/>
    <w:rsid w:val="00323450"/>
    <w:rsid w:val="00323D93"/>
    <w:rsid w:val="0032489B"/>
    <w:rsid w:val="0032489E"/>
    <w:rsid w:val="0032525B"/>
    <w:rsid w:val="00326A7A"/>
    <w:rsid w:val="00326FEE"/>
    <w:rsid w:val="00327468"/>
    <w:rsid w:val="003277CB"/>
    <w:rsid w:val="003315D7"/>
    <w:rsid w:val="0033284B"/>
    <w:rsid w:val="003346A8"/>
    <w:rsid w:val="00334DE6"/>
    <w:rsid w:val="0033536D"/>
    <w:rsid w:val="003353FF"/>
    <w:rsid w:val="003361A2"/>
    <w:rsid w:val="003366D2"/>
    <w:rsid w:val="00337C79"/>
    <w:rsid w:val="00337FEF"/>
    <w:rsid w:val="0034084C"/>
    <w:rsid w:val="00340D5E"/>
    <w:rsid w:val="003420B5"/>
    <w:rsid w:val="00343646"/>
    <w:rsid w:val="00344CCB"/>
    <w:rsid w:val="00345897"/>
    <w:rsid w:val="00346382"/>
    <w:rsid w:val="00351BFC"/>
    <w:rsid w:val="003525E9"/>
    <w:rsid w:val="00352708"/>
    <w:rsid w:val="0035575E"/>
    <w:rsid w:val="00356262"/>
    <w:rsid w:val="003565B4"/>
    <w:rsid w:val="00357CAD"/>
    <w:rsid w:val="00361318"/>
    <w:rsid w:val="00362E75"/>
    <w:rsid w:val="003631AA"/>
    <w:rsid w:val="003632D5"/>
    <w:rsid w:val="00363575"/>
    <w:rsid w:val="00364EF9"/>
    <w:rsid w:val="00367579"/>
    <w:rsid w:val="0036795B"/>
    <w:rsid w:val="00370805"/>
    <w:rsid w:val="00370A29"/>
    <w:rsid w:val="003722F9"/>
    <w:rsid w:val="00372349"/>
    <w:rsid w:val="00372CBC"/>
    <w:rsid w:val="00373A61"/>
    <w:rsid w:val="00374BDE"/>
    <w:rsid w:val="00376B39"/>
    <w:rsid w:val="00376B48"/>
    <w:rsid w:val="003772C0"/>
    <w:rsid w:val="0037776F"/>
    <w:rsid w:val="00377BAC"/>
    <w:rsid w:val="00377C2D"/>
    <w:rsid w:val="00380142"/>
    <w:rsid w:val="0038054E"/>
    <w:rsid w:val="00380558"/>
    <w:rsid w:val="00381D3C"/>
    <w:rsid w:val="0038223E"/>
    <w:rsid w:val="00382D92"/>
    <w:rsid w:val="00385AEF"/>
    <w:rsid w:val="003860EA"/>
    <w:rsid w:val="0038781A"/>
    <w:rsid w:val="0039080B"/>
    <w:rsid w:val="00390B4D"/>
    <w:rsid w:val="003917D0"/>
    <w:rsid w:val="0039326E"/>
    <w:rsid w:val="00394C48"/>
    <w:rsid w:val="00394E22"/>
    <w:rsid w:val="003967A4"/>
    <w:rsid w:val="00397FA3"/>
    <w:rsid w:val="003A1596"/>
    <w:rsid w:val="003A317E"/>
    <w:rsid w:val="003A345B"/>
    <w:rsid w:val="003A49EE"/>
    <w:rsid w:val="003A674D"/>
    <w:rsid w:val="003A7123"/>
    <w:rsid w:val="003A7FAE"/>
    <w:rsid w:val="003B102E"/>
    <w:rsid w:val="003B2167"/>
    <w:rsid w:val="003B3CE8"/>
    <w:rsid w:val="003B3DC7"/>
    <w:rsid w:val="003B5F5D"/>
    <w:rsid w:val="003B62C8"/>
    <w:rsid w:val="003B7CED"/>
    <w:rsid w:val="003C0C62"/>
    <w:rsid w:val="003C12DC"/>
    <w:rsid w:val="003C2ACA"/>
    <w:rsid w:val="003C2CDA"/>
    <w:rsid w:val="003C5C3A"/>
    <w:rsid w:val="003D000A"/>
    <w:rsid w:val="003D288B"/>
    <w:rsid w:val="003D31E9"/>
    <w:rsid w:val="003D544E"/>
    <w:rsid w:val="003D5980"/>
    <w:rsid w:val="003E0842"/>
    <w:rsid w:val="003E13B0"/>
    <w:rsid w:val="003E2063"/>
    <w:rsid w:val="003E2580"/>
    <w:rsid w:val="003E3DEE"/>
    <w:rsid w:val="003E3EBB"/>
    <w:rsid w:val="003E4A4C"/>
    <w:rsid w:val="003E4CBA"/>
    <w:rsid w:val="003E4D2F"/>
    <w:rsid w:val="003E4EDC"/>
    <w:rsid w:val="003E599D"/>
    <w:rsid w:val="003E5C81"/>
    <w:rsid w:val="003E6965"/>
    <w:rsid w:val="003E6DDA"/>
    <w:rsid w:val="003F00E8"/>
    <w:rsid w:val="003F1936"/>
    <w:rsid w:val="003F1BDD"/>
    <w:rsid w:val="003F3147"/>
    <w:rsid w:val="003F3BA3"/>
    <w:rsid w:val="003F3BD5"/>
    <w:rsid w:val="003F400E"/>
    <w:rsid w:val="003F4065"/>
    <w:rsid w:val="003F607E"/>
    <w:rsid w:val="003F6F35"/>
    <w:rsid w:val="003F7768"/>
    <w:rsid w:val="00400E8C"/>
    <w:rsid w:val="004017DC"/>
    <w:rsid w:val="00401B53"/>
    <w:rsid w:val="00402668"/>
    <w:rsid w:val="00404FEC"/>
    <w:rsid w:val="0040534D"/>
    <w:rsid w:val="00405FAD"/>
    <w:rsid w:val="0040796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12EE"/>
    <w:rsid w:val="00444307"/>
    <w:rsid w:val="0044436F"/>
    <w:rsid w:val="004443EB"/>
    <w:rsid w:val="00444432"/>
    <w:rsid w:val="00444673"/>
    <w:rsid w:val="0044621E"/>
    <w:rsid w:val="00447BF1"/>
    <w:rsid w:val="00450BA4"/>
    <w:rsid w:val="004511FC"/>
    <w:rsid w:val="00456784"/>
    <w:rsid w:val="00456DCA"/>
    <w:rsid w:val="004576CA"/>
    <w:rsid w:val="00460D75"/>
    <w:rsid w:val="00461140"/>
    <w:rsid w:val="004611DB"/>
    <w:rsid w:val="004658B0"/>
    <w:rsid w:val="00465A92"/>
    <w:rsid w:val="0046614B"/>
    <w:rsid w:val="00467B27"/>
    <w:rsid w:val="00467FD7"/>
    <w:rsid w:val="00470073"/>
    <w:rsid w:val="0047267D"/>
    <w:rsid w:val="004730F8"/>
    <w:rsid w:val="0047365F"/>
    <w:rsid w:val="00474353"/>
    <w:rsid w:val="00474555"/>
    <w:rsid w:val="004748DE"/>
    <w:rsid w:val="004750F4"/>
    <w:rsid w:val="00476CB1"/>
    <w:rsid w:val="00480A48"/>
    <w:rsid w:val="00482501"/>
    <w:rsid w:val="00482E7D"/>
    <w:rsid w:val="00483EED"/>
    <w:rsid w:val="00484395"/>
    <w:rsid w:val="004865FB"/>
    <w:rsid w:val="00486C03"/>
    <w:rsid w:val="00491AB3"/>
    <w:rsid w:val="00496CB4"/>
    <w:rsid w:val="00497A33"/>
    <w:rsid w:val="004A0DF4"/>
    <w:rsid w:val="004A0F4E"/>
    <w:rsid w:val="004A1112"/>
    <w:rsid w:val="004A1DA0"/>
    <w:rsid w:val="004A1F20"/>
    <w:rsid w:val="004A2393"/>
    <w:rsid w:val="004A3569"/>
    <w:rsid w:val="004A452A"/>
    <w:rsid w:val="004A5F2C"/>
    <w:rsid w:val="004A6E4F"/>
    <w:rsid w:val="004A720D"/>
    <w:rsid w:val="004B00D0"/>
    <w:rsid w:val="004B0BF1"/>
    <w:rsid w:val="004B6084"/>
    <w:rsid w:val="004B6576"/>
    <w:rsid w:val="004B7AE0"/>
    <w:rsid w:val="004C0BC4"/>
    <w:rsid w:val="004C2225"/>
    <w:rsid w:val="004C260D"/>
    <w:rsid w:val="004C2D47"/>
    <w:rsid w:val="004C4357"/>
    <w:rsid w:val="004C4477"/>
    <w:rsid w:val="004C5730"/>
    <w:rsid w:val="004C6397"/>
    <w:rsid w:val="004C668F"/>
    <w:rsid w:val="004C682B"/>
    <w:rsid w:val="004D142C"/>
    <w:rsid w:val="004D29F7"/>
    <w:rsid w:val="004D36D8"/>
    <w:rsid w:val="004D462F"/>
    <w:rsid w:val="004D4931"/>
    <w:rsid w:val="004D4C5C"/>
    <w:rsid w:val="004D53BE"/>
    <w:rsid w:val="004D5AB0"/>
    <w:rsid w:val="004D5EAE"/>
    <w:rsid w:val="004D7A0E"/>
    <w:rsid w:val="004E06E7"/>
    <w:rsid w:val="004E0AE3"/>
    <w:rsid w:val="004E0FD7"/>
    <w:rsid w:val="004E1FE5"/>
    <w:rsid w:val="004E20D3"/>
    <w:rsid w:val="004E2C82"/>
    <w:rsid w:val="004E4FAE"/>
    <w:rsid w:val="004E62C7"/>
    <w:rsid w:val="004E68FF"/>
    <w:rsid w:val="004E7A1B"/>
    <w:rsid w:val="004F0B7F"/>
    <w:rsid w:val="004F1193"/>
    <w:rsid w:val="004F11DC"/>
    <w:rsid w:val="004F2124"/>
    <w:rsid w:val="004F271B"/>
    <w:rsid w:val="004F2D2C"/>
    <w:rsid w:val="004F3A52"/>
    <w:rsid w:val="004F449F"/>
    <w:rsid w:val="004F4E7E"/>
    <w:rsid w:val="004F63AB"/>
    <w:rsid w:val="004F6B76"/>
    <w:rsid w:val="004F6C7C"/>
    <w:rsid w:val="004F7F1A"/>
    <w:rsid w:val="004F7FBB"/>
    <w:rsid w:val="00500059"/>
    <w:rsid w:val="00503D7F"/>
    <w:rsid w:val="005042B3"/>
    <w:rsid w:val="005045AB"/>
    <w:rsid w:val="00504798"/>
    <w:rsid w:val="00505981"/>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5FF"/>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4129"/>
    <w:rsid w:val="005750DB"/>
    <w:rsid w:val="005759FC"/>
    <w:rsid w:val="00575B85"/>
    <w:rsid w:val="00576DB9"/>
    <w:rsid w:val="0057738F"/>
    <w:rsid w:val="00580555"/>
    <w:rsid w:val="005805E4"/>
    <w:rsid w:val="0058202F"/>
    <w:rsid w:val="00584221"/>
    <w:rsid w:val="00584EB6"/>
    <w:rsid w:val="0058537B"/>
    <w:rsid w:val="00586B68"/>
    <w:rsid w:val="0058774E"/>
    <w:rsid w:val="005878CF"/>
    <w:rsid w:val="00590CA0"/>
    <w:rsid w:val="00592F5A"/>
    <w:rsid w:val="00593727"/>
    <w:rsid w:val="00595B01"/>
    <w:rsid w:val="00596D98"/>
    <w:rsid w:val="005979A5"/>
    <w:rsid w:val="005A0021"/>
    <w:rsid w:val="005A017B"/>
    <w:rsid w:val="005A0FA1"/>
    <w:rsid w:val="005A23D3"/>
    <w:rsid w:val="005A2AEC"/>
    <w:rsid w:val="005A412D"/>
    <w:rsid w:val="005A5212"/>
    <w:rsid w:val="005A68F7"/>
    <w:rsid w:val="005B002D"/>
    <w:rsid w:val="005B0FFF"/>
    <w:rsid w:val="005B19AF"/>
    <w:rsid w:val="005B258C"/>
    <w:rsid w:val="005B61DD"/>
    <w:rsid w:val="005B6735"/>
    <w:rsid w:val="005B69A9"/>
    <w:rsid w:val="005B7831"/>
    <w:rsid w:val="005C0CD6"/>
    <w:rsid w:val="005C12D9"/>
    <w:rsid w:val="005C2146"/>
    <w:rsid w:val="005C309D"/>
    <w:rsid w:val="005C35D7"/>
    <w:rsid w:val="005C544B"/>
    <w:rsid w:val="005C5916"/>
    <w:rsid w:val="005C5AEE"/>
    <w:rsid w:val="005C774A"/>
    <w:rsid w:val="005C7E52"/>
    <w:rsid w:val="005D20CF"/>
    <w:rsid w:val="005D3734"/>
    <w:rsid w:val="005D396C"/>
    <w:rsid w:val="005D4F16"/>
    <w:rsid w:val="005D5215"/>
    <w:rsid w:val="005D5A53"/>
    <w:rsid w:val="005D5DA0"/>
    <w:rsid w:val="005D6453"/>
    <w:rsid w:val="005D7FBD"/>
    <w:rsid w:val="005E19B4"/>
    <w:rsid w:val="005E1D6B"/>
    <w:rsid w:val="005E227A"/>
    <w:rsid w:val="005E2CF8"/>
    <w:rsid w:val="005E3126"/>
    <w:rsid w:val="005E4B4B"/>
    <w:rsid w:val="005E7075"/>
    <w:rsid w:val="005E75A7"/>
    <w:rsid w:val="005F0198"/>
    <w:rsid w:val="005F22E7"/>
    <w:rsid w:val="005F38E2"/>
    <w:rsid w:val="005F3EE6"/>
    <w:rsid w:val="005F6736"/>
    <w:rsid w:val="00602C10"/>
    <w:rsid w:val="00602EBD"/>
    <w:rsid w:val="00603D42"/>
    <w:rsid w:val="00604CF2"/>
    <w:rsid w:val="006060FF"/>
    <w:rsid w:val="00606DFF"/>
    <w:rsid w:val="00606E87"/>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2465"/>
    <w:rsid w:val="00636C0A"/>
    <w:rsid w:val="00637E93"/>
    <w:rsid w:val="00637EC6"/>
    <w:rsid w:val="0064240C"/>
    <w:rsid w:val="00642F20"/>
    <w:rsid w:val="00642FF5"/>
    <w:rsid w:val="006430FB"/>
    <w:rsid w:val="00643992"/>
    <w:rsid w:val="00644324"/>
    <w:rsid w:val="00644DBC"/>
    <w:rsid w:val="00646FE6"/>
    <w:rsid w:val="006474CD"/>
    <w:rsid w:val="00647744"/>
    <w:rsid w:val="006479A0"/>
    <w:rsid w:val="006500D9"/>
    <w:rsid w:val="0065075C"/>
    <w:rsid w:val="0065357A"/>
    <w:rsid w:val="00653B54"/>
    <w:rsid w:val="006541A3"/>
    <w:rsid w:val="00654FAD"/>
    <w:rsid w:val="00655C9F"/>
    <w:rsid w:val="006567FF"/>
    <w:rsid w:val="00656867"/>
    <w:rsid w:val="0066109F"/>
    <w:rsid w:val="00664B26"/>
    <w:rsid w:val="0066596B"/>
    <w:rsid w:val="00665B88"/>
    <w:rsid w:val="00670295"/>
    <w:rsid w:val="006704F5"/>
    <w:rsid w:val="00672894"/>
    <w:rsid w:val="00674B47"/>
    <w:rsid w:val="0067609E"/>
    <w:rsid w:val="00676BE1"/>
    <w:rsid w:val="00677749"/>
    <w:rsid w:val="00680E07"/>
    <w:rsid w:val="00682B9D"/>
    <w:rsid w:val="00683806"/>
    <w:rsid w:val="00683F18"/>
    <w:rsid w:val="00686AF9"/>
    <w:rsid w:val="006910C0"/>
    <w:rsid w:val="00691954"/>
    <w:rsid w:val="00691F64"/>
    <w:rsid w:val="00692C2F"/>
    <w:rsid w:val="0069320E"/>
    <w:rsid w:val="00693D13"/>
    <w:rsid w:val="00694F58"/>
    <w:rsid w:val="006955BC"/>
    <w:rsid w:val="006959E2"/>
    <w:rsid w:val="00696540"/>
    <w:rsid w:val="00696920"/>
    <w:rsid w:val="00697EB9"/>
    <w:rsid w:val="006A0299"/>
    <w:rsid w:val="006A17CF"/>
    <w:rsid w:val="006A20D4"/>
    <w:rsid w:val="006A268D"/>
    <w:rsid w:val="006A350F"/>
    <w:rsid w:val="006A3957"/>
    <w:rsid w:val="006A39A4"/>
    <w:rsid w:val="006A41D6"/>
    <w:rsid w:val="006A4258"/>
    <w:rsid w:val="006A669D"/>
    <w:rsid w:val="006A6E41"/>
    <w:rsid w:val="006A6ED2"/>
    <w:rsid w:val="006B012F"/>
    <w:rsid w:val="006B18D0"/>
    <w:rsid w:val="006B27CF"/>
    <w:rsid w:val="006B41BD"/>
    <w:rsid w:val="006B5678"/>
    <w:rsid w:val="006B62B2"/>
    <w:rsid w:val="006B7A13"/>
    <w:rsid w:val="006C1C57"/>
    <w:rsid w:val="006C48A4"/>
    <w:rsid w:val="006C5760"/>
    <w:rsid w:val="006C6D6F"/>
    <w:rsid w:val="006D0D78"/>
    <w:rsid w:val="006D1128"/>
    <w:rsid w:val="006D2115"/>
    <w:rsid w:val="006D2848"/>
    <w:rsid w:val="006D30E0"/>
    <w:rsid w:val="006D5521"/>
    <w:rsid w:val="006D5FE9"/>
    <w:rsid w:val="006D6CBB"/>
    <w:rsid w:val="006D76A9"/>
    <w:rsid w:val="006D77F4"/>
    <w:rsid w:val="006E0898"/>
    <w:rsid w:val="006E1A31"/>
    <w:rsid w:val="006E2CD6"/>
    <w:rsid w:val="006E41CD"/>
    <w:rsid w:val="006E5F73"/>
    <w:rsid w:val="006F3BEC"/>
    <w:rsid w:val="006F5562"/>
    <w:rsid w:val="00703185"/>
    <w:rsid w:val="00703C00"/>
    <w:rsid w:val="007057CC"/>
    <w:rsid w:val="007066F2"/>
    <w:rsid w:val="00706AE5"/>
    <w:rsid w:val="0070740A"/>
    <w:rsid w:val="00711F93"/>
    <w:rsid w:val="00712940"/>
    <w:rsid w:val="0071428C"/>
    <w:rsid w:val="00714A42"/>
    <w:rsid w:val="00715A16"/>
    <w:rsid w:val="007164B0"/>
    <w:rsid w:val="007166FF"/>
    <w:rsid w:val="00717DFE"/>
    <w:rsid w:val="00724623"/>
    <w:rsid w:val="007260CC"/>
    <w:rsid w:val="00726543"/>
    <w:rsid w:val="00732FE6"/>
    <w:rsid w:val="00733221"/>
    <w:rsid w:val="0073353E"/>
    <w:rsid w:val="00736633"/>
    <w:rsid w:val="00741EE7"/>
    <w:rsid w:val="00743A79"/>
    <w:rsid w:val="007444D4"/>
    <w:rsid w:val="007447E4"/>
    <w:rsid w:val="0074594D"/>
    <w:rsid w:val="007459F3"/>
    <w:rsid w:val="00746E35"/>
    <w:rsid w:val="007470E2"/>
    <w:rsid w:val="00751A5C"/>
    <w:rsid w:val="00752224"/>
    <w:rsid w:val="0075232F"/>
    <w:rsid w:val="00753132"/>
    <w:rsid w:val="0075472D"/>
    <w:rsid w:val="007550B3"/>
    <w:rsid w:val="00760451"/>
    <w:rsid w:val="00763A82"/>
    <w:rsid w:val="007641AD"/>
    <w:rsid w:val="0076426D"/>
    <w:rsid w:val="0077182A"/>
    <w:rsid w:val="00771913"/>
    <w:rsid w:val="00772718"/>
    <w:rsid w:val="00775BCF"/>
    <w:rsid w:val="007818AA"/>
    <w:rsid w:val="00782006"/>
    <w:rsid w:val="00783140"/>
    <w:rsid w:val="007838B6"/>
    <w:rsid w:val="00783D9F"/>
    <w:rsid w:val="00783E77"/>
    <w:rsid w:val="007841A9"/>
    <w:rsid w:val="007906F1"/>
    <w:rsid w:val="0079243D"/>
    <w:rsid w:val="00794A9B"/>
    <w:rsid w:val="0079583B"/>
    <w:rsid w:val="00796602"/>
    <w:rsid w:val="00797185"/>
    <w:rsid w:val="007976B7"/>
    <w:rsid w:val="00797A7E"/>
    <w:rsid w:val="00797D6F"/>
    <w:rsid w:val="007A5ED6"/>
    <w:rsid w:val="007B014B"/>
    <w:rsid w:val="007B01C7"/>
    <w:rsid w:val="007B0D88"/>
    <w:rsid w:val="007B306F"/>
    <w:rsid w:val="007B4714"/>
    <w:rsid w:val="007B4E82"/>
    <w:rsid w:val="007C1996"/>
    <w:rsid w:val="007C3773"/>
    <w:rsid w:val="007C3F1F"/>
    <w:rsid w:val="007C47B0"/>
    <w:rsid w:val="007D2D0D"/>
    <w:rsid w:val="007D3325"/>
    <w:rsid w:val="007D3818"/>
    <w:rsid w:val="007D4D00"/>
    <w:rsid w:val="007D6DC5"/>
    <w:rsid w:val="007D7425"/>
    <w:rsid w:val="007E1025"/>
    <w:rsid w:val="007E320E"/>
    <w:rsid w:val="007E3280"/>
    <w:rsid w:val="007E4A02"/>
    <w:rsid w:val="007E595C"/>
    <w:rsid w:val="007E59A5"/>
    <w:rsid w:val="007E64CB"/>
    <w:rsid w:val="007F2735"/>
    <w:rsid w:val="007F3B8C"/>
    <w:rsid w:val="007F41D0"/>
    <w:rsid w:val="007F4B8B"/>
    <w:rsid w:val="007F4BA3"/>
    <w:rsid w:val="007F4FAA"/>
    <w:rsid w:val="007F5957"/>
    <w:rsid w:val="007F5CF9"/>
    <w:rsid w:val="007F5ECF"/>
    <w:rsid w:val="007F70B6"/>
    <w:rsid w:val="007F74CA"/>
    <w:rsid w:val="007F7BC0"/>
    <w:rsid w:val="00800F1E"/>
    <w:rsid w:val="0080195A"/>
    <w:rsid w:val="0080239C"/>
    <w:rsid w:val="00802841"/>
    <w:rsid w:val="00802EA9"/>
    <w:rsid w:val="008037D5"/>
    <w:rsid w:val="00805447"/>
    <w:rsid w:val="008054FA"/>
    <w:rsid w:val="0080717A"/>
    <w:rsid w:val="00807DFA"/>
    <w:rsid w:val="0081009F"/>
    <w:rsid w:val="00810152"/>
    <w:rsid w:val="008115AB"/>
    <w:rsid w:val="00812D2C"/>
    <w:rsid w:val="00813B04"/>
    <w:rsid w:val="008143B1"/>
    <w:rsid w:val="00814F60"/>
    <w:rsid w:val="008159F4"/>
    <w:rsid w:val="008167C1"/>
    <w:rsid w:val="008167C6"/>
    <w:rsid w:val="00816B8F"/>
    <w:rsid w:val="00820331"/>
    <w:rsid w:val="00820BF5"/>
    <w:rsid w:val="008212B1"/>
    <w:rsid w:val="0082155A"/>
    <w:rsid w:val="0082209F"/>
    <w:rsid w:val="008223C2"/>
    <w:rsid w:val="008250A2"/>
    <w:rsid w:val="008254C5"/>
    <w:rsid w:val="00825D64"/>
    <w:rsid w:val="0082650B"/>
    <w:rsid w:val="008301CE"/>
    <w:rsid w:val="008312E3"/>
    <w:rsid w:val="00831D5B"/>
    <w:rsid w:val="00832DD6"/>
    <w:rsid w:val="00832F0C"/>
    <w:rsid w:val="008336F2"/>
    <w:rsid w:val="008345D9"/>
    <w:rsid w:val="008347CB"/>
    <w:rsid w:val="008355B4"/>
    <w:rsid w:val="00835647"/>
    <w:rsid w:val="00835C97"/>
    <w:rsid w:val="008362B5"/>
    <w:rsid w:val="00837A2E"/>
    <w:rsid w:val="00841558"/>
    <w:rsid w:val="00842A68"/>
    <w:rsid w:val="008435BA"/>
    <w:rsid w:val="00845137"/>
    <w:rsid w:val="0084558B"/>
    <w:rsid w:val="00845EE1"/>
    <w:rsid w:val="0084654A"/>
    <w:rsid w:val="00847654"/>
    <w:rsid w:val="00851064"/>
    <w:rsid w:val="00855543"/>
    <w:rsid w:val="008566B3"/>
    <w:rsid w:val="008576B7"/>
    <w:rsid w:val="00857F7B"/>
    <w:rsid w:val="0086120A"/>
    <w:rsid w:val="00863DA1"/>
    <w:rsid w:val="0086411E"/>
    <w:rsid w:val="008654A6"/>
    <w:rsid w:val="00865D86"/>
    <w:rsid w:val="008679D2"/>
    <w:rsid w:val="00870495"/>
    <w:rsid w:val="00870EA1"/>
    <w:rsid w:val="008710C5"/>
    <w:rsid w:val="0087214C"/>
    <w:rsid w:val="00874438"/>
    <w:rsid w:val="00874E75"/>
    <w:rsid w:val="008767F3"/>
    <w:rsid w:val="00876CEF"/>
    <w:rsid w:val="00877342"/>
    <w:rsid w:val="008803C3"/>
    <w:rsid w:val="00881450"/>
    <w:rsid w:val="008817C7"/>
    <w:rsid w:val="00881875"/>
    <w:rsid w:val="008831CD"/>
    <w:rsid w:val="008848A3"/>
    <w:rsid w:val="00884AF1"/>
    <w:rsid w:val="008853FD"/>
    <w:rsid w:val="00885985"/>
    <w:rsid w:val="00885F7A"/>
    <w:rsid w:val="00890712"/>
    <w:rsid w:val="00890AD7"/>
    <w:rsid w:val="00890D81"/>
    <w:rsid w:val="00892955"/>
    <w:rsid w:val="00893628"/>
    <w:rsid w:val="008941EB"/>
    <w:rsid w:val="0089545A"/>
    <w:rsid w:val="008954BD"/>
    <w:rsid w:val="00895A02"/>
    <w:rsid w:val="0089657B"/>
    <w:rsid w:val="008A01EE"/>
    <w:rsid w:val="008A0D4B"/>
    <w:rsid w:val="008A0DAC"/>
    <w:rsid w:val="008A3B78"/>
    <w:rsid w:val="008A4166"/>
    <w:rsid w:val="008A5AAF"/>
    <w:rsid w:val="008A676F"/>
    <w:rsid w:val="008A7DBF"/>
    <w:rsid w:val="008B136C"/>
    <w:rsid w:val="008B2B58"/>
    <w:rsid w:val="008B55EF"/>
    <w:rsid w:val="008B5784"/>
    <w:rsid w:val="008B6910"/>
    <w:rsid w:val="008C0B5C"/>
    <w:rsid w:val="008C1343"/>
    <w:rsid w:val="008C1930"/>
    <w:rsid w:val="008C3912"/>
    <w:rsid w:val="008C427E"/>
    <w:rsid w:val="008C5598"/>
    <w:rsid w:val="008C69EA"/>
    <w:rsid w:val="008C6F8B"/>
    <w:rsid w:val="008C7AB7"/>
    <w:rsid w:val="008C7FB4"/>
    <w:rsid w:val="008D018A"/>
    <w:rsid w:val="008D2C8C"/>
    <w:rsid w:val="008D3040"/>
    <w:rsid w:val="008D3ECD"/>
    <w:rsid w:val="008D5C03"/>
    <w:rsid w:val="008D7580"/>
    <w:rsid w:val="008D7C35"/>
    <w:rsid w:val="008E217B"/>
    <w:rsid w:val="008E5698"/>
    <w:rsid w:val="008E5733"/>
    <w:rsid w:val="008E6B79"/>
    <w:rsid w:val="008E77D2"/>
    <w:rsid w:val="008E78FD"/>
    <w:rsid w:val="008F1211"/>
    <w:rsid w:val="008F13B4"/>
    <w:rsid w:val="008F199D"/>
    <w:rsid w:val="008F38A0"/>
    <w:rsid w:val="008F39C9"/>
    <w:rsid w:val="008F3C3C"/>
    <w:rsid w:val="008F5EB5"/>
    <w:rsid w:val="008F678C"/>
    <w:rsid w:val="008F75A7"/>
    <w:rsid w:val="008F7E5A"/>
    <w:rsid w:val="0090011B"/>
    <w:rsid w:val="00900A7F"/>
    <w:rsid w:val="0090244B"/>
    <w:rsid w:val="009024ED"/>
    <w:rsid w:val="009036EE"/>
    <w:rsid w:val="00903D19"/>
    <w:rsid w:val="00905815"/>
    <w:rsid w:val="00905D1D"/>
    <w:rsid w:val="0091016D"/>
    <w:rsid w:val="009108A7"/>
    <w:rsid w:val="00910C98"/>
    <w:rsid w:val="00911910"/>
    <w:rsid w:val="009119DF"/>
    <w:rsid w:val="00912A58"/>
    <w:rsid w:val="00913908"/>
    <w:rsid w:val="00913D26"/>
    <w:rsid w:val="0091438B"/>
    <w:rsid w:val="00914503"/>
    <w:rsid w:val="009147E3"/>
    <w:rsid w:val="00915EA6"/>
    <w:rsid w:val="00916560"/>
    <w:rsid w:val="00920FD2"/>
    <w:rsid w:val="009226B6"/>
    <w:rsid w:val="00923A43"/>
    <w:rsid w:val="0092439C"/>
    <w:rsid w:val="0092498E"/>
    <w:rsid w:val="00925B91"/>
    <w:rsid w:val="00930598"/>
    <w:rsid w:val="0093178B"/>
    <w:rsid w:val="00934461"/>
    <w:rsid w:val="00934F7E"/>
    <w:rsid w:val="00936A1C"/>
    <w:rsid w:val="00943E35"/>
    <w:rsid w:val="00945278"/>
    <w:rsid w:val="0094658D"/>
    <w:rsid w:val="00947678"/>
    <w:rsid w:val="00947878"/>
    <w:rsid w:val="009504C2"/>
    <w:rsid w:val="00951681"/>
    <w:rsid w:val="0095254A"/>
    <w:rsid w:val="0095273B"/>
    <w:rsid w:val="009559E1"/>
    <w:rsid w:val="009568D5"/>
    <w:rsid w:val="00957CD3"/>
    <w:rsid w:val="0096269B"/>
    <w:rsid w:val="00963FB0"/>
    <w:rsid w:val="0096416C"/>
    <w:rsid w:val="00964C86"/>
    <w:rsid w:val="00965E82"/>
    <w:rsid w:val="009664BB"/>
    <w:rsid w:val="009669F8"/>
    <w:rsid w:val="00966F6D"/>
    <w:rsid w:val="00966F89"/>
    <w:rsid w:val="009713B1"/>
    <w:rsid w:val="00973B5D"/>
    <w:rsid w:val="0097472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05B4"/>
    <w:rsid w:val="009B25D8"/>
    <w:rsid w:val="009B42E3"/>
    <w:rsid w:val="009B45E1"/>
    <w:rsid w:val="009B5859"/>
    <w:rsid w:val="009B6462"/>
    <w:rsid w:val="009C0917"/>
    <w:rsid w:val="009C48C8"/>
    <w:rsid w:val="009C6D07"/>
    <w:rsid w:val="009C7CEC"/>
    <w:rsid w:val="009D154D"/>
    <w:rsid w:val="009D18EF"/>
    <w:rsid w:val="009D3663"/>
    <w:rsid w:val="009D3BE8"/>
    <w:rsid w:val="009D44E0"/>
    <w:rsid w:val="009D573B"/>
    <w:rsid w:val="009D59A0"/>
    <w:rsid w:val="009D716A"/>
    <w:rsid w:val="009E0A75"/>
    <w:rsid w:val="009E1AC4"/>
    <w:rsid w:val="009E20B8"/>
    <w:rsid w:val="009E29A0"/>
    <w:rsid w:val="009E4022"/>
    <w:rsid w:val="009E41B5"/>
    <w:rsid w:val="009E4F2E"/>
    <w:rsid w:val="009E55D7"/>
    <w:rsid w:val="009E627C"/>
    <w:rsid w:val="009F110B"/>
    <w:rsid w:val="009F1498"/>
    <w:rsid w:val="009F1E9F"/>
    <w:rsid w:val="009F272E"/>
    <w:rsid w:val="009F3793"/>
    <w:rsid w:val="009F54F2"/>
    <w:rsid w:val="009F59A0"/>
    <w:rsid w:val="009F5A0E"/>
    <w:rsid w:val="00A0056B"/>
    <w:rsid w:val="00A01657"/>
    <w:rsid w:val="00A01C65"/>
    <w:rsid w:val="00A0213D"/>
    <w:rsid w:val="00A02D63"/>
    <w:rsid w:val="00A04312"/>
    <w:rsid w:val="00A04C73"/>
    <w:rsid w:val="00A0679A"/>
    <w:rsid w:val="00A07A2B"/>
    <w:rsid w:val="00A12375"/>
    <w:rsid w:val="00A125B8"/>
    <w:rsid w:val="00A13124"/>
    <w:rsid w:val="00A14BA2"/>
    <w:rsid w:val="00A15370"/>
    <w:rsid w:val="00A156AB"/>
    <w:rsid w:val="00A16B8D"/>
    <w:rsid w:val="00A205FD"/>
    <w:rsid w:val="00A21293"/>
    <w:rsid w:val="00A2134B"/>
    <w:rsid w:val="00A21623"/>
    <w:rsid w:val="00A21931"/>
    <w:rsid w:val="00A220EB"/>
    <w:rsid w:val="00A22302"/>
    <w:rsid w:val="00A25F1B"/>
    <w:rsid w:val="00A26EDA"/>
    <w:rsid w:val="00A27B30"/>
    <w:rsid w:val="00A325F3"/>
    <w:rsid w:val="00A33103"/>
    <w:rsid w:val="00A33294"/>
    <w:rsid w:val="00A35DCB"/>
    <w:rsid w:val="00A3690E"/>
    <w:rsid w:val="00A37751"/>
    <w:rsid w:val="00A4046F"/>
    <w:rsid w:val="00A406B1"/>
    <w:rsid w:val="00A4113E"/>
    <w:rsid w:val="00A42435"/>
    <w:rsid w:val="00A433F6"/>
    <w:rsid w:val="00A434E0"/>
    <w:rsid w:val="00A438BA"/>
    <w:rsid w:val="00A43DCC"/>
    <w:rsid w:val="00A446FD"/>
    <w:rsid w:val="00A46F46"/>
    <w:rsid w:val="00A50D30"/>
    <w:rsid w:val="00A52CB6"/>
    <w:rsid w:val="00A52F99"/>
    <w:rsid w:val="00A538BB"/>
    <w:rsid w:val="00A54164"/>
    <w:rsid w:val="00A56737"/>
    <w:rsid w:val="00A60002"/>
    <w:rsid w:val="00A603D8"/>
    <w:rsid w:val="00A60AE2"/>
    <w:rsid w:val="00A61834"/>
    <w:rsid w:val="00A618B0"/>
    <w:rsid w:val="00A62790"/>
    <w:rsid w:val="00A6291F"/>
    <w:rsid w:val="00A63F53"/>
    <w:rsid w:val="00A66B76"/>
    <w:rsid w:val="00A7111E"/>
    <w:rsid w:val="00A72E70"/>
    <w:rsid w:val="00A74320"/>
    <w:rsid w:val="00A75235"/>
    <w:rsid w:val="00A755B6"/>
    <w:rsid w:val="00A758E1"/>
    <w:rsid w:val="00A75B1A"/>
    <w:rsid w:val="00A75C03"/>
    <w:rsid w:val="00A80ED4"/>
    <w:rsid w:val="00A816C4"/>
    <w:rsid w:val="00A82543"/>
    <w:rsid w:val="00A82981"/>
    <w:rsid w:val="00A86F10"/>
    <w:rsid w:val="00A87AF2"/>
    <w:rsid w:val="00A90B23"/>
    <w:rsid w:val="00A93193"/>
    <w:rsid w:val="00A93C2B"/>
    <w:rsid w:val="00A94556"/>
    <w:rsid w:val="00A974CB"/>
    <w:rsid w:val="00AA1EAC"/>
    <w:rsid w:val="00AA2719"/>
    <w:rsid w:val="00AA3432"/>
    <w:rsid w:val="00AA45E2"/>
    <w:rsid w:val="00AA7AC1"/>
    <w:rsid w:val="00AB3109"/>
    <w:rsid w:val="00AB5061"/>
    <w:rsid w:val="00AB6327"/>
    <w:rsid w:val="00AB6B8F"/>
    <w:rsid w:val="00AB7F69"/>
    <w:rsid w:val="00AC0C65"/>
    <w:rsid w:val="00AC0FB2"/>
    <w:rsid w:val="00AC3721"/>
    <w:rsid w:val="00AC41C6"/>
    <w:rsid w:val="00AC625E"/>
    <w:rsid w:val="00AC70C7"/>
    <w:rsid w:val="00AC76B7"/>
    <w:rsid w:val="00AC7C42"/>
    <w:rsid w:val="00AD0223"/>
    <w:rsid w:val="00AD123A"/>
    <w:rsid w:val="00AD15FF"/>
    <w:rsid w:val="00AD1AA5"/>
    <w:rsid w:val="00AD2920"/>
    <w:rsid w:val="00AD2CD5"/>
    <w:rsid w:val="00AD2DFC"/>
    <w:rsid w:val="00AD38C4"/>
    <w:rsid w:val="00AD5A4A"/>
    <w:rsid w:val="00AD5FFB"/>
    <w:rsid w:val="00AD60EE"/>
    <w:rsid w:val="00AD6A2B"/>
    <w:rsid w:val="00AD73D4"/>
    <w:rsid w:val="00AE1EA2"/>
    <w:rsid w:val="00AE2874"/>
    <w:rsid w:val="00AE2BA2"/>
    <w:rsid w:val="00AE2F98"/>
    <w:rsid w:val="00AE3602"/>
    <w:rsid w:val="00AE5342"/>
    <w:rsid w:val="00AE5987"/>
    <w:rsid w:val="00AE5AF2"/>
    <w:rsid w:val="00AE6472"/>
    <w:rsid w:val="00AF1345"/>
    <w:rsid w:val="00AF168B"/>
    <w:rsid w:val="00AF38A8"/>
    <w:rsid w:val="00AF412A"/>
    <w:rsid w:val="00AF63EB"/>
    <w:rsid w:val="00AF741F"/>
    <w:rsid w:val="00AF7C20"/>
    <w:rsid w:val="00B016D2"/>
    <w:rsid w:val="00B018EC"/>
    <w:rsid w:val="00B060C7"/>
    <w:rsid w:val="00B11AB7"/>
    <w:rsid w:val="00B12213"/>
    <w:rsid w:val="00B127E2"/>
    <w:rsid w:val="00B13710"/>
    <w:rsid w:val="00B15FDB"/>
    <w:rsid w:val="00B17223"/>
    <w:rsid w:val="00B22881"/>
    <w:rsid w:val="00B23EFC"/>
    <w:rsid w:val="00B247B3"/>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07"/>
    <w:rsid w:val="00B40765"/>
    <w:rsid w:val="00B4232D"/>
    <w:rsid w:val="00B42682"/>
    <w:rsid w:val="00B42C21"/>
    <w:rsid w:val="00B43065"/>
    <w:rsid w:val="00B43750"/>
    <w:rsid w:val="00B44784"/>
    <w:rsid w:val="00B449D0"/>
    <w:rsid w:val="00B456AB"/>
    <w:rsid w:val="00B46C2A"/>
    <w:rsid w:val="00B47E8B"/>
    <w:rsid w:val="00B51C67"/>
    <w:rsid w:val="00B53F86"/>
    <w:rsid w:val="00B53FDC"/>
    <w:rsid w:val="00B55431"/>
    <w:rsid w:val="00B559CD"/>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2EE1"/>
    <w:rsid w:val="00B900FE"/>
    <w:rsid w:val="00B9064C"/>
    <w:rsid w:val="00BA0A14"/>
    <w:rsid w:val="00BA228D"/>
    <w:rsid w:val="00BA398D"/>
    <w:rsid w:val="00BA39D3"/>
    <w:rsid w:val="00BA5067"/>
    <w:rsid w:val="00BA5203"/>
    <w:rsid w:val="00BA5C56"/>
    <w:rsid w:val="00BA776F"/>
    <w:rsid w:val="00BB0C0D"/>
    <w:rsid w:val="00BB0D69"/>
    <w:rsid w:val="00BB366E"/>
    <w:rsid w:val="00BB3AF0"/>
    <w:rsid w:val="00BB4F70"/>
    <w:rsid w:val="00BB67FF"/>
    <w:rsid w:val="00BB7116"/>
    <w:rsid w:val="00BC11B9"/>
    <w:rsid w:val="00BC12AF"/>
    <w:rsid w:val="00BC138C"/>
    <w:rsid w:val="00BC14CF"/>
    <w:rsid w:val="00BC1659"/>
    <w:rsid w:val="00BC2C91"/>
    <w:rsid w:val="00BC3A9C"/>
    <w:rsid w:val="00BC5288"/>
    <w:rsid w:val="00BC5C8E"/>
    <w:rsid w:val="00BC6A71"/>
    <w:rsid w:val="00BC6B2F"/>
    <w:rsid w:val="00BD0637"/>
    <w:rsid w:val="00BD08A8"/>
    <w:rsid w:val="00BD1BAC"/>
    <w:rsid w:val="00BD1FA8"/>
    <w:rsid w:val="00BD25A6"/>
    <w:rsid w:val="00BD4C95"/>
    <w:rsid w:val="00BD65FC"/>
    <w:rsid w:val="00BD7660"/>
    <w:rsid w:val="00BE0666"/>
    <w:rsid w:val="00BE0D86"/>
    <w:rsid w:val="00BE24B9"/>
    <w:rsid w:val="00BE2AE8"/>
    <w:rsid w:val="00BE2D55"/>
    <w:rsid w:val="00BE38DD"/>
    <w:rsid w:val="00BE4AB1"/>
    <w:rsid w:val="00BF16C3"/>
    <w:rsid w:val="00BF38E0"/>
    <w:rsid w:val="00BF44FA"/>
    <w:rsid w:val="00BF57E1"/>
    <w:rsid w:val="00C00093"/>
    <w:rsid w:val="00C003B4"/>
    <w:rsid w:val="00C00A5F"/>
    <w:rsid w:val="00C042E0"/>
    <w:rsid w:val="00C051D9"/>
    <w:rsid w:val="00C06333"/>
    <w:rsid w:val="00C06F68"/>
    <w:rsid w:val="00C075BA"/>
    <w:rsid w:val="00C10A3A"/>
    <w:rsid w:val="00C11AC4"/>
    <w:rsid w:val="00C11E20"/>
    <w:rsid w:val="00C15D16"/>
    <w:rsid w:val="00C16F5D"/>
    <w:rsid w:val="00C20015"/>
    <w:rsid w:val="00C22E65"/>
    <w:rsid w:val="00C247DD"/>
    <w:rsid w:val="00C25B43"/>
    <w:rsid w:val="00C26A54"/>
    <w:rsid w:val="00C3261C"/>
    <w:rsid w:val="00C3318B"/>
    <w:rsid w:val="00C33C20"/>
    <w:rsid w:val="00C34827"/>
    <w:rsid w:val="00C35362"/>
    <w:rsid w:val="00C356C7"/>
    <w:rsid w:val="00C357EA"/>
    <w:rsid w:val="00C379F8"/>
    <w:rsid w:val="00C37A1C"/>
    <w:rsid w:val="00C42323"/>
    <w:rsid w:val="00C4316E"/>
    <w:rsid w:val="00C453A9"/>
    <w:rsid w:val="00C45E19"/>
    <w:rsid w:val="00C465D5"/>
    <w:rsid w:val="00C4756A"/>
    <w:rsid w:val="00C47C39"/>
    <w:rsid w:val="00C50649"/>
    <w:rsid w:val="00C50BB3"/>
    <w:rsid w:val="00C50E1F"/>
    <w:rsid w:val="00C51C09"/>
    <w:rsid w:val="00C52BB6"/>
    <w:rsid w:val="00C53471"/>
    <w:rsid w:val="00C55143"/>
    <w:rsid w:val="00C5611B"/>
    <w:rsid w:val="00C56300"/>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3549"/>
    <w:rsid w:val="00C83A04"/>
    <w:rsid w:val="00C85144"/>
    <w:rsid w:val="00C86738"/>
    <w:rsid w:val="00C86A27"/>
    <w:rsid w:val="00C91517"/>
    <w:rsid w:val="00C929BD"/>
    <w:rsid w:val="00C931A2"/>
    <w:rsid w:val="00C965BF"/>
    <w:rsid w:val="00CA02E1"/>
    <w:rsid w:val="00CA15DA"/>
    <w:rsid w:val="00CA224E"/>
    <w:rsid w:val="00CA2705"/>
    <w:rsid w:val="00CA41C5"/>
    <w:rsid w:val="00CA42B7"/>
    <w:rsid w:val="00CA4A53"/>
    <w:rsid w:val="00CA51F5"/>
    <w:rsid w:val="00CA5C52"/>
    <w:rsid w:val="00CB218A"/>
    <w:rsid w:val="00CB225A"/>
    <w:rsid w:val="00CB69E6"/>
    <w:rsid w:val="00CB761B"/>
    <w:rsid w:val="00CB788A"/>
    <w:rsid w:val="00CB7E33"/>
    <w:rsid w:val="00CC0863"/>
    <w:rsid w:val="00CC13DF"/>
    <w:rsid w:val="00CC1EEE"/>
    <w:rsid w:val="00CC562B"/>
    <w:rsid w:val="00CC6C15"/>
    <w:rsid w:val="00CC7FCF"/>
    <w:rsid w:val="00CD2749"/>
    <w:rsid w:val="00CD2A60"/>
    <w:rsid w:val="00CD2C43"/>
    <w:rsid w:val="00CD306F"/>
    <w:rsid w:val="00CD3971"/>
    <w:rsid w:val="00CD3DAB"/>
    <w:rsid w:val="00CD5AB7"/>
    <w:rsid w:val="00CD6E62"/>
    <w:rsid w:val="00CE0DF1"/>
    <w:rsid w:val="00CE15E2"/>
    <w:rsid w:val="00CE3786"/>
    <w:rsid w:val="00CE4027"/>
    <w:rsid w:val="00CE4334"/>
    <w:rsid w:val="00CE47CC"/>
    <w:rsid w:val="00CE68F6"/>
    <w:rsid w:val="00CE7E27"/>
    <w:rsid w:val="00CF22AC"/>
    <w:rsid w:val="00CF2F0A"/>
    <w:rsid w:val="00CF79E8"/>
    <w:rsid w:val="00CF7F47"/>
    <w:rsid w:val="00D015AA"/>
    <w:rsid w:val="00D021B8"/>
    <w:rsid w:val="00D03D90"/>
    <w:rsid w:val="00D04024"/>
    <w:rsid w:val="00D043EB"/>
    <w:rsid w:val="00D05512"/>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2458"/>
    <w:rsid w:val="00D33352"/>
    <w:rsid w:val="00D347D9"/>
    <w:rsid w:val="00D35565"/>
    <w:rsid w:val="00D36A19"/>
    <w:rsid w:val="00D40DCF"/>
    <w:rsid w:val="00D41075"/>
    <w:rsid w:val="00D41357"/>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1C6"/>
    <w:rsid w:val="00D55A98"/>
    <w:rsid w:val="00D56B49"/>
    <w:rsid w:val="00D57B35"/>
    <w:rsid w:val="00D6053F"/>
    <w:rsid w:val="00D6073D"/>
    <w:rsid w:val="00D618D6"/>
    <w:rsid w:val="00D62426"/>
    <w:rsid w:val="00D62804"/>
    <w:rsid w:val="00D70157"/>
    <w:rsid w:val="00D70F55"/>
    <w:rsid w:val="00D70FA5"/>
    <w:rsid w:val="00D74171"/>
    <w:rsid w:val="00D7474C"/>
    <w:rsid w:val="00D776C5"/>
    <w:rsid w:val="00D8032C"/>
    <w:rsid w:val="00D80CE2"/>
    <w:rsid w:val="00D816B8"/>
    <w:rsid w:val="00D81CB0"/>
    <w:rsid w:val="00D83080"/>
    <w:rsid w:val="00D83E66"/>
    <w:rsid w:val="00D84D5F"/>
    <w:rsid w:val="00D851E2"/>
    <w:rsid w:val="00D87F97"/>
    <w:rsid w:val="00D87FFA"/>
    <w:rsid w:val="00D91419"/>
    <w:rsid w:val="00D92A09"/>
    <w:rsid w:val="00D92D2A"/>
    <w:rsid w:val="00D92EEC"/>
    <w:rsid w:val="00D93470"/>
    <w:rsid w:val="00D9395F"/>
    <w:rsid w:val="00D93D55"/>
    <w:rsid w:val="00D941FA"/>
    <w:rsid w:val="00D94B59"/>
    <w:rsid w:val="00D95315"/>
    <w:rsid w:val="00D9575A"/>
    <w:rsid w:val="00D95EAB"/>
    <w:rsid w:val="00DA09DA"/>
    <w:rsid w:val="00DA0B39"/>
    <w:rsid w:val="00DA1203"/>
    <w:rsid w:val="00DA1F1A"/>
    <w:rsid w:val="00DA2316"/>
    <w:rsid w:val="00DA25E0"/>
    <w:rsid w:val="00DA2700"/>
    <w:rsid w:val="00DA3001"/>
    <w:rsid w:val="00DA34A3"/>
    <w:rsid w:val="00DA3C5D"/>
    <w:rsid w:val="00DA3EFF"/>
    <w:rsid w:val="00DA479B"/>
    <w:rsid w:val="00DA4FA7"/>
    <w:rsid w:val="00DA7769"/>
    <w:rsid w:val="00DB08C6"/>
    <w:rsid w:val="00DB1BC2"/>
    <w:rsid w:val="00DB1CBB"/>
    <w:rsid w:val="00DB31ED"/>
    <w:rsid w:val="00DB4124"/>
    <w:rsid w:val="00DB4511"/>
    <w:rsid w:val="00DB4F0C"/>
    <w:rsid w:val="00DC0176"/>
    <w:rsid w:val="00DC043F"/>
    <w:rsid w:val="00DC093E"/>
    <w:rsid w:val="00DC0E29"/>
    <w:rsid w:val="00DC0E7A"/>
    <w:rsid w:val="00DC1D99"/>
    <w:rsid w:val="00DC2A65"/>
    <w:rsid w:val="00DC2A86"/>
    <w:rsid w:val="00DC3631"/>
    <w:rsid w:val="00DC37F7"/>
    <w:rsid w:val="00DC63BB"/>
    <w:rsid w:val="00DC6F54"/>
    <w:rsid w:val="00DD04DD"/>
    <w:rsid w:val="00DD0C00"/>
    <w:rsid w:val="00DD0C53"/>
    <w:rsid w:val="00DD0F8C"/>
    <w:rsid w:val="00DD116C"/>
    <w:rsid w:val="00DD1BAD"/>
    <w:rsid w:val="00DD201A"/>
    <w:rsid w:val="00DD23D5"/>
    <w:rsid w:val="00DD2AF1"/>
    <w:rsid w:val="00DD46DA"/>
    <w:rsid w:val="00DD6072"/>
    <w:rsid w:val="00DD62BE"/>
    <w:rsid w:val="00DD77D9"/>
    <w:rsid w:val="00DD7CA4"/>
    <w:rsid w:val="00DE167C"/>
    <w:rsid w:val="00DE3B70"/>
    <w:rsid w:val="00DE5813"/>
    <w:rsid w:val="00DE5F79"/>
    <w:rsid w:val="00DE7397"/>
    <w:rsid w:val="00DF0B56"/>
    <w:rsid w:val="00DF10B1"/>
    <w:rsid w:val="00DF1FDA"/>
    <w:rsid w:val="00DF3DD0"/>
    <w:rsid w:val="00DF4D50"/>
    <w:rsid w:val="00DF538C"/>
    <w:rsid w:val="00E021C2"/>
    <w:rsid w:val="00E024A3"/>
    <w:rsid w:val="00E0423D"/>
    <w:rsid w:val="00E057B5"/>
    <w:rsid w:val="00E0581E"/>
    <w:rsid w:val="00E0760F"/>
    <w:rsid w:val="00E079C5"/>
    <w:rsid w:val="00E07CBD"/>
    <w:rsid w:val="00E07F56"/>
    <w:rsid w:val="00E10268"/>
    <w:rsid w:val="00E10A16"/>
    <w:rsid w:val="00E110D6"/>
    <w:rsid w:val="00E1112F"/>
    <w:rsid w:val="00E1318F"/>
    <w:rsid w:val="00E13B3B"/>
    <w:rsid w:val="00E13E29"/>
    <w:rsid w:val="00E16857"/>
    <w:rsid w:val="00E1697F"/>
    <w:rsid w:val="00E16C3A"/>
    <w:rsid w:val="00E20651"/>
    <w:rsid w:val="00E2107C"/>
    <w:rsid w:val="00E21E70"/>
    <w:rsid w:val="00E22094"/>
    <w:rsid w:val="00E224DE"/>
    <w:rsid w:val="00E23DCE"/>
    <w:rsid w:val="00E26363"/>
    <w:rsid w:val="00E272A4"/>
    <w:rsid w:val="00E305F9"/>
    <w:rsid w:val="00E306AC"/>
    <w:rsid w:val="00E31933"/>
    <w:rsid w:val="00E34446"/>
    <w:rsid w:val="00E3633B"/>
    <w:rsid w:val="00E36870"/>
    <w:rsid w:val="00E374E1"/>
    <w:rsid w:val="00E417AB"/>
    <w:rsid w:val="00E41D0D"/>
    <w:rsid w:val="00E4210F"/>
    <w:rsid w:val="00E43D48"/>
    <w:rsid w:val="00E4431E"/>
    <w:rsid w:val="00E4542D"/>
    <w:rsid w:val="00E45BE0"/>
    <w:rsid w:val="00E46CAD"/>
    <w:rsid w:val="00E47521"/>
    <w:rsid w:val="00E4760C"/>
    <w:rsid w:val="00E507A6"/>
    <w:rsid w:val="00E52570"/>
    <w:rsid w:val="00E5375C"/>
    <w:rsid w:val="00E561AD"/>
    <w:rsid w:val="00E57FAF"/>
    <w:rsid w:val="00E60BA9"/>
    <w:rsid w:val="00E6317D"/>
    <w:rsid w:val="00E63510"/>
    <w:rsid w:val="00E635EA"/>
    <w:rsid w:val="00E655E5"/>
    <w:rsid w:val="00E65F4E"/>
    <w:rsid w:val="00E662E0"/>
    <w:rsid w:val="00E66458"/>
    <w:rsid w:val="00E67D5D"/>
    <w:rsid w:val="00E71C7A"/>
    <w:rsid w:val="00E73119"/>
    <w:rsid w:val="00E73E1E"/>
    <w:rsid w:val="00E767FF"/>
    <w:rsid w:val="00E84C91"/>
    <w:rsid w:val="00E84E60"/>
    <w:rsid w:val="00E8556E"/>
    <w:rsid w:val="00E86B2D"/>
    <w:rsid w:val="00E86F4D"/>
    <w:rsid w:val="00E87D08"/>
    <w:rsid w:val="00E90D0E"/>
    <w:rsid w:val="00E91B2D"/>
    <w:rsid w:val="00E92EC9"/>
    <w:rsid w:val="00E92FCA"/>
    <w:rsid w:val="00E95CAA"/>
    <w:rsid w:val="00E97295"/>
    <w:rsid w:val="00EA0A39"/>
    <w:rsid w:val="00EA0EB2"/>
    <w:rsid w:val="00EA236F"/>
    <w:rsid w:val="00EA3023"/>
    <w:rsid w:val="00EA351A"/>
    <w:rsid w:val="00EA3E49"/>
    <w:rsid w:val="00EA3FC8"/>
    <w:rsid w:val="00EA47E3"/>
    <w:rsid w:val="00EA5156"/>
    <w:rsid w:val="00EA5B8C"/>
    <w:rsid w:val="00EB0DC9"/>
    <w:rsid w:val="00EB1383"/>
    <w:rsid w:val="00EB252D"/>
    <w:rsid w:val="00EB29FA"/>
    <w:rsid w:val="00EB2CCE"/>
    <w:rsid w:val="00EB385F"/>
    <w:rsid w:val="00EB3A14"/>
    <w:rsid w:val="00EB3E49"/>
    <w:rsid w:val="00EB48AF"/>
    <w:rsid w:val="00EB5FC3"/>
    <w:rsid w:val="00EB6DA9"/>
    <w:rsid w:val="00EC1561"/>
    <w:rsid w:val="00EC462E"/>
    <w:rsid w:val="00EC6CD8"/>
    <w:rsid w:val="00EC786F"/>
    <w:rsid w:val="00ED1866"/>
    <w:rsid w:val="00ED25C9"/>
    <w:rsid w:val="00ED3134"/>
    <w:rsid w:val="00ED38E2"/>
    <w:rsid w:val="00ED5C44"/>
    <w:rsid w:val="00ED635B"/>
    <w:rsid w:val="00EE742D"/>
    <w:rsid w:val="00EF0A22"/>
    <w:rsid w:val="00EF1267"/>
    <w:rsid w:val="00EF180C"/>
    <w:rsid w:val="00EF3B6B"/>
    <w:rsid w:val="00EF45CC"/>
    <w:rsid w:val="00EF4B43"/>
    <w:rsid w:val="00EF6750"/>
    <w:rsid w:val="00EF770B"/>
    <w:rsid w:val="00F02836"/>
    <w:rsid w:val="00F02FB5"/>
    <w:rsid w:val="00F0454F"/>
    <w:rsid w:val="00F0534E"/>
    <w:rsid w:val="00F05B25"/>
    <w:rsid w:val="00F05C30"/>
    <w:rsid w:val="00F10F1B"/>
    <w:rsid w:val="00F14179"/>
    <w:rsid w:val="00F15786"/>
    <w:rsid w:val="00F167C5"/>
    <w:rsid w:val="00F17657"/>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2C33"/>
    <w:rsid w:val="00F44CC0"/>
    <w:rsid w:val="00F450BA"/>
    <w:rsid w:val="00F46246"/>
    <w:rsid w:val="00F4684B"/>
    <w:rsid w:val="00F46BE9"/>
    <w:rsid w:val="00F47C3B"/>
    <w:rsid w:val="00F501D4"/>
    <w:rsid w:val="00F506CA"/>
    <w:rsid w:val="00F53A7A"/>
    <w:rsid w:val="00F54099"/>
    <w:rsid w:val="00F54FCD"/>
    <w:rsid w:val="00F5785C"/>
    <w:rsid w:val="00F65E3C"/>
    <w:rsid w:val="00F67076"/>
    <w:rsid w:val="00F677FA"/>
    <w:rsid w:val="00F7115A"/>
    <w:rsid w:val="00F717AA"/>
    <w:rsid w:val="00F72714"/>
    <w:rsid w:val="00F73080"/>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92651"/>
    <w:rsid w:val="00F95240"/>
    <w:rsid w:val="00FA0109"/>
    <w:rsid w:val="00FA458B"/>
    <w:rsid w:val="00FA5EC5"/>
    <w:rsid w:val="00FA6834"/>
    <w:rsid w:val="00FA6FC2"/>
    <w:rsid w:val="00FA7016"/>
    <w:rsid w:val="00FA7174"/>
    <w:rsid w:val="00FA793D"/>
    <w:rsid w:val="00FB020E"/>
    <w:rsid w:val="00FB0F17"/>
    <w:rsid w:val="00FB1217"/>
    <w:rsid w:val="00FB4B9D"/>
    <w:rsid w:val="00FB50ED"/>
    <w:rsid w:val="00FB6E18"/>
    <w:rsid w:val="00FC144B"/>
    <w:rsid w:val="00FC2169"/>
    <w:rsid w:val="00FC28E2"/>
    <w:rsid w:val="00FC3BF6"/>
    <w:rsid w:val="00FC3D22"/>
    <w:rsid w:val="00FC6FE1"/>
    <w:rsid w:val="00FC7A46"/>
    <w:rsid w:val="00FD0C3D"/>
    <w:rsid w:val="00FD2F6B"/>
    <w:rsid w:val="00FE064A"/>
    <w:rsid w:val="00FE0B55"/>
    <w:rsid w:val="00FE1E98"/>
    <w:rsid w:val="00FE2452"/>
    <w:rsid w:val="00FE5469"/>
    <w:rsid w:val="00FE66C2"/>
    <w:rsid w:val="00FE684A"/>
    <w:rsid w:val="00FE6F23"/>
    <w:rsid w:val="00FE73C6"/>
    <w:rsid w:val="00FF0F8C"/>
    <w:rsid w:val="00FF26ED"/>
    <w:rsid w:val="00FF408B"/>
    <w:rsid w:val="00FF43E1"/>
    <w:rsid w:val="03430854"/>
    <w:rsid w:val="039F5FA6"/>
    <w:rsid w:val="09305ADA"/>
    <w:rsid w:val="0B5C2CE7"/>
    <w:rsid w:val="0E8013B7"/>
    <w:rsid w:val="10D604C6"/>
    <w:rsid w:val="11B515E0"/>
    <w:rsid w:val="13A53267"/>
    <w:rsid w:val="13F970D2"/>
    <w:rsid w:val="14AA4136"/>
    <w:rsid w:val="163A420B"/>
    <w:rsid w:val="19413B26"/>
    <w:rsid w:val="1BFEB404"/>
    <w:rsid w:val="1C6D3688"/>
    <w:rsid w:val="1C974DF7"/>
    <w:rsid w:val="1CC63D0A"/>
    <w:rsid w:val="1DC2081A"/>
    <w:rsid w:val="1DD94266"/>
    <w:rsid w:val="1F9D0947"/>
    <w:rsid w:val="1FFB29C6"/>
    <w:rsid w:val="22AF3620"/>
    <w:rsid w:val="22E70AD4"/>
    <w:rsid w:val="24F1508D"/>
    <w:rsid w:val="266F634F"/>
    <w:rsid w:val="291059EA"/>
    <w:rsid w:val="2BBF12EC"/>
    <w:rsid w:val="2BC649D9"/>
    <w:rsid w:val="30B57959"/>
    <w:rsid w:val="3515160D"/>
    <w:rsid w:val="3C7D00D8"/>
    <w:rsid w:val="3CA06C0C"/>
    <w:rsid w:val="3EA25851"/>
    <w:rsid w:val="3EDB645C"/>
    <w:rsid w:val="3F6C3757"/>
    <w:rsid w:val="3F879A14"/>
    <w:rsid w:val="405D6A10"/>
    <w:rsid w:val="41DA6594"/>
    <w:rsid w:val="444C1A75"/>
    <w:rsid w:val="44A3526F"/>
    <w:rsid w:val="44B032F4"/>
    <w:rsid w:val="457D25F7"/>
    <w:rsid w:val="468341CD"/>
    <w:rsid w:val="472C2589"/>
    <w:rsid w:val="4A760AEB"/>
    <w:rsid w:val="4F3162CA"/>
    <w:rsid w:val="4F39B29F"/>
    <w:rsid w:val="50D95873"/>
    <w:rsid w:val="526102AF"/>
    <w:rsid w:val="528444DA"/>
    <w:rsid w:val="537745D5"/>
    <w:rsid w:val="552306F6"/>
    <w:rsid w:val="56E352D5"/>
    <w:rsid w:val="57E435FE"/>
    <w:rsid w:val="582D0655"/>
    <w:rsid w:val="5951205C"/>
    <w:rsid w:val="59D079E8"/>
    <w:rsid w:val="59D40847"/>
    <w:rsid w:val="5AE37F25"/>
    <w:rsid w:val="5CB23D47"/>
    <w:rsid w:val="5F7D36A4"/>
    <w:rsid w:val="5FAF09C4"/>
    <w:rsid w:val="5FFB4C63"/>
    <w:rsid w:val="608C4642"/>
    <w:rsid w:val="62795572"/>
    <w:rsid w:val="64DD6417"/>
    <w:rsid w:val="66004745"/>
    <w:rsid w:val="6A567F20"/>
    <w:rsid w:val="6CD97953"/>
    <w:rsid w:val="6ED30FD7"/>
    <w:rsid w:val="71421FE6"/>
    <w:rsid w:val="727D78FD"/>
    <w:rsid w:val="73CC655F"/>
    <w:rsid w:val="75957445"/>
    <w:rsid w:val="75D01AE1"/>
    <w:rsid w:val="77524363"/>
    <w:rsid w:val="77B917B5"/>
    <w:rsid w:val="78703975"/>
    <w:rsid w:val="78FF5E3F"/>
    <w:rsid w:val="7BE420FD"/>
    <w:rsid w:val="7D0D296B"/>
    <w:rsid w:val="7D4E0B54"/>
    <w:rsid w:val="7D503E78"/>
    <w:rsid w:val="7E0160D4"/>
    <w:rsid w:val="7FFF83D6"/>
    <w:rsid w:val="BF7F7304"/>
    <w:rsid w:val="C7D7B839"/>
    <w:rsid w:val="CFFCD1E7"/>
    <w:rsid w:val="ECA7BB45"/>
    <w:rsid w:val="ED63FF54"/>
    <w:rsid w:val="FFD9F726"/>
    <w:rsid w:val="FFDF8F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76"/>
    <w:qFormat/>
    <w:uiPriority w:val="0"/>
    <w:pPr>
      <w:keepNext/>
      <w:keepLines/>
      <w:widowControl w:val="0"/>
      <w:numPr>
        <w:ilvl w:val="0"/>
        <w:numId w:val="1"/>
      </w:numPr>
      <w:spacing w:before="120" w:after="120" w:line="360" w:lineRule="auto"/>
      <w:ind w:firstLine="0"/>
      <w:jc w:val="both"/>
      <w:outlineLvl w:val="0"/>
    </w:pPr>
    <w:rPr>
      <w:rFonts w:eastAsia="黑体" w:cs="Times New Roman"/>
      <w:b/>
      <w:bCs/>
      <w:kern w:val="44"/>
      <w:sz w:val="32"/>
      <w:szCs w:val="28"/>
    </w:rPr>
  </w:style>
  <w:style w:type="paragraph" w:styleId="3">
    <w:name w:val="heading 2"/>
    <w:basedOn w:val="1"/>
    <w:next w:val="1"/>
    <w:link w:val="89"/>
    <w:qFormat/>
    <w:uiPriority w:val="9"/>
    <w:pPr>
      <w:keepNext/>
      <w:keepLines/>
      <w:widowControl w:val="0"/>
      <w:numPr>
        <w:ilvl w:val="1"/>
        <w:numId w:val="1"/>
      </w:numPr>
      <w:spacing w:before="120" w:after="120" w:line="360" w:lineRule="auto"/>
      <w:jc w:val="both"/>
      <w:outlineLvl w:val="1"/>
    </w:pPr>
    <w:rPr>
      <w:rFonts w:cs="Times New Roman"/>
      <w:b/>
      <w:bCs/>
      <w:kern w:val="2"/>
      <w:sz w:val="30"/>
      <w:szCs w:val="32"/>
    </w:rPr>
  </w:style>
  <w:style w:type="paragraph" w:styleId="4">
    <w:name w:val="heading 3"/>
    <w:basedOn w:val="1"/>
    <w:next w:val="1"/>
    <w:link w:val="82"/>
    <w:qFormat/>
    <w:uiPriority w:val="0"/>
    <w:pPr>
      <w:keepNext/>
      <w:keepLines/>
      <w:widowControl w:val="0"/>
      <w:numPr>
        <w:ilvl w:val="2"/>
        <w:numId w:val="1"/>
      </w:numPr>
      <w:spacing w:before="120" w:after="120" w:line="360" w:lineRule="auto"/>
      <w:ind w:firstLine="0"/>
      <w:jc w:val="both"/>
      <w:outlineLvl w:val="2"/>
    </w:pPr>
    <w:rPr>
      <w:rFonts w:cs="Times New Roman"/>
      <w:b/>
      <w:bCs/>
      <w:kern w:val="2"/>
      <w:sz w:val="28"/>
      <w:szCs w:val="28"/>
    </w:rPr>
  </w:style>
  <w:style w:type="paragraph" w:styleId="5">
    <w:name w:val="heading 4"/>
    <w:basedOn w:val="1"/>
    <w:next w:val="1"/>
    <w:link w:val="59"/>
    <w:qFormat/>
    <w:uiPriority w:val="0"/>
    <w:pPr>
      <w:keepNext/>
      <w:keepLines/>
      <w:widowControl w:val="0"/>
      <w:numPr>
        <w:ilvl w:val="3"/>
        <w:numId w:val="1"/>
      </w:numPr>
      <w:spacing w:before="120" w:after="120" w:line="360" w:lineRule="auto"/>
      <w:ind w:left="851" w:firstLine="0"/>
      <w:jc w:val="both"/>
      <w:outlineLvl w:val="3"/>
    </w:pPr>
    <w:rPr>
      <w:rFonts w:cs="Times New Roman"/>
      <w:b/>
      <w:bCs/>
      <w:kern w:val="2"/>
      <w:sz w:val="30"/>
      <w:szCs w:val="30"/>
    </w:rPr>
  </w:style>
  <w:style w:type="paragraph" w:styleId="6">
    <w:name w:val="heading 5"/>
    <w:basedOn w:val="1"/>
    <w:next w:val="1"/>
    <w:link w:val="87"/>
    <w:qFormat/>
    <w:uiPriority w:val="0"/>
    <w:pPr>
      <w:keepNext/>
      <w:keepLines/>
      <w:widowControl w:val="0"/>
      <w:numPr>
        <w:ilvl w:val="4"/>
        <w:numId w:val="1"/>
      </w:numPr>
      <w:spacing w:before="120" w:after="120" w:line="360" w:lineRule="auto"/>
      <w:ind w:left="0" w:firstLine="0"/>
      <w:jc w:val="both"/>
      <w:outlineLvl w:val="4"/>
    </w:pPr>
    <w:rPr>
      <w:rFonts w:cs="Times New Roman"/>
      <w:b/>
      <w:bCs/>
      <w:kern w:val="2"/>
      <w:szCs w:val="28"/>
    </w:rPr>
  </w:style>
  <w:style w:type="paragraph" w:styleId="7">
    <w:name w:val="heading 6"/>
    <w:basedOn w:val="1"/>
    <w:next w:val="1"/>
    <w:link w:val="100"/>
    <w:qFormat/>
    <w:uiPriority w:val="0"/>
    <w:pPr>
      <w:keepNext/>
      <w:keepLines/>
      <w:widowControl w:val="0"/>
      <w:numPr>
        <w:ilvl w:val="5"/>
        <w:numId w:val="1"/>
      </w:numPr>
      <w:spacing w:before="120" w:after="120" w:line="360" w:lineRule="auto"/>
      <w:ind w:firstLine="0"/>
      <w:jc w:val="both"/>
      <w:outlineLvl w:val="5"/>
    </w:pPr>
    <w:rPr>
      <w:rFonts w:ascii="Cambria" w:hAnsi="Cambria" w:cs="Times New Roman"/>
      <w:b/>
      <w:bCs/>
      <w:kern w:val="2"/>
    </w:rPr>
  </w:style>
  <w:style w:type="paragraph" w:styleId="8">
    <w:name w:val="heading 7"/>
    <w:basedOn w:val="1"/>
    <w:next w:val="1"/>
    <w:link w:val="73"/>
    <w:qFormat/>
    <w:uiPriority w:val="9"/>
    <w:pPr>
      <w:keepNext/>
      <w:keepLines/>
      <w:widowControl w:val="0"/>
      <w:spacing w:before="240" w:after="64" w:line="319" w:lineRule="auto"/>
      <w:jc w:val="both"/>
      <w:outlineLvl w:val="6"/>
    </w:pPr>
    <w:rPr>
      <w:rFonts w:ascii="Times New Roman" w:hAnsi="Times New Roman" w:cs="Times New Roman"/>
      <w:b/>
      <w:bCs/>
      <w:kern w:val="2"/>
      <w:sz w:val="21"/>
    </w:rPr>
  </w:style>
  <w:style w:type="paragraph" w:styleId="9">
    <w:name w:val="heading 8"/>
    <w:basedOn w:val="1"/>
    <w:next w:val="1"/>
    <w:link w:val="99"/>
    <w:qFormat/>
    <w:uiPriority w:val="9"/>
    <w:pPr>
      <w:keepNext/>
      <w:keepLines/>
      <w:widowControl w:val="0"/>
      <w:spacing w:before="240" w:after="64" w:line="319" w:lineRule="auto"/>
      <w:jc w:val="both"/>
      <w:outlineLvl w:val="7"/>
    </w:pPr>
    <w:rPr>
      <w:rFonts w:ascii="Cambria" w:hAnsi="Cambria" w:cs="Times New Roman"/>
      <w:kern w:val="2"/>
      <w:sz w:val="21"/>
    </w:rPr>
  </w:style>
  <w:style w:type="paragraph" w:styleId="10">
    <w:name w:val="heading 9"/>
    <w:basedOn w:val="1"/>
    <w:next w:val="1"/>
    <w:link w:val="49"/>
    <w:qFormat/>
    <w:uiPriority w:val="9"/>
    <w:pPr>
      <w:keepNext/>
      <w:keepLines/>
      <w:widowControl w:val="0"/>
      <w:spacing w:before="240" w:after="64" w:line="319" w:lineRule="auto"/>
      <w:jc w:val="both"/>
      <w:outlineLvl w:val="8"/>
    </w:pPr>
    <w:rPr>
      <w:rFonts w:ascii="Cambria" w:hAnsi="Cambria" w:cs="Times New Roman"/>
      <w:kern w:val="2"/>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360" w:lineRule="auto"/>
      <w:ind w:left="2520" w:leftChars="1200" w:firstLine="480" w:firstLineChars="200"/>
      <w:jc w:val="both"/>
    </w:pPr>
    <w:rPr>
      <w:rFonts w:ascii="等线" w:hAnsi="等线" w:eastAsia="等线" w:cs="Times New Roman"/>
      <w:kern w:val="2"/>
      <w:szCs w:val="22"/>
    </w:rPr>
  </w:style>
  <w:style w:type="paragraph" w:styleId="12">
    <w:name w:val="Normal Indent"/>
    <w:basedOn w:val="1"/>
    <w:unhideWhenUsed/>
    <w:qFormat/>
    <w:uiPriority w:val="99"/>
    <w:pPr>
      <w:widowControl w:val="0"/>
      <w:ind w:firstLine="420" w:firstLineChars="200"/>
      <w:jc w:val="both"/>
    </w:pPr>
    <w:rPr>
      <w:rFonts w:ascii="Calibri" w:hAnsi="Calibri" w:cs="Times New Roman"/>
      <w:kern w:val="2"/>
      <w:sz w:val="21"/>
    </w:rPr>
  </w:style>
  <w:style w:type="paragraph" w:styleId="13">
    <w:name w:val="caption"/>
    <w:basedOn w:val="1"/>
    <w:next w:val="1"/>
    <w:link w:val="55"/>
    <w:qFormat/>
    <w:uiPriority w:val="0"/>
    <w:pPr>
      <w:widowControl w:val="0"/>
      <w:spacing w:afterLines="50" w:line="360" w:lineRule="auto"/>
      <w:ind w:firstLine="200" w:firstLineChars="200"/>
      <w:jc w:val="both"/>
    </w:pPr>
    <w:rPr>
      <w:rFonts w:ascii="Arial" w:hAnsi="Arial" w:eastAsia="黑体" w:cs="Times New Roman"/>
      <w:kern w:val="2"/>
      <w:sz w:val="20"/>
      <w:szCs w:val="20"/>
    </w:rPr>
  </w:style>
  <w:style w:type="paragraph" w:styleId="14">
    <w:name w:val="Document Map"/>
    <w:basedOn w:val="1"/>
    <w:link w:val="92"/>
    <w:qFormat/>
    <w:uiPriority w:val="0"/>
    <w:pPr>
      <w:widowControl w:val="0"/>
      <w:spacing w:line="360" w:lineRule="auto"/>
      <w:ind w:firstLine="480" w:firstLineChars="200"/>
      <w:jc w:val="both"/>
    </w:pPr>
    <w:rPr>
      <w:rFonts w:hAnsi="Times New Roman" w:cs="Times New Roman"/>
      <w:kern w:val="2"/>
      <w:sz w:val="18"/>
      <w:szCs w:val="18"/>
    </w:rPr>
  </w:style>
  <w:style w:type="paragraph" w:styleId="15">
    <w:name w:val="annotation text"/>
    <w:basedOn w:val="1"/>
    <w:link w:val="46"/>
    <w:qFormat/>
    <w:uiPriority w:val="99"/>
    <w:pPr>
      <w:widowControl w:val="0"/>
      <w:spacing w:line="360" w:lineRule="auto"/>
      <w:ind w:firstLine="480" w:firstLineChars="200"/>
    </w:pPr>
    <w:rPr>
      <w:rFonts w:ascii="Times New Roman" w:hAnsi="Times New Roman" w:eastAsia="仿宋" w:cs="Times New Roman"/>
      <w:kern w:val="2"/>
      <w:sz w:val="28"/>
    </w:rPr>
  </w:style>
  <w:style w:type="paragraph" w:styleId="16">
    <w:name w:val="Body Text"/>
    <w:basedOn w:val="1"/>
    <w:link w:val="60"/>
    <w:unhideWhenUsed/>
    <w:qFormat/>
    <w:uiPriority w:val="0"/>
    <w:pPr>
      <w:widowControl w:val="0"/>
      <w:spacing w:after="120"/>
      <w:jc w:val="both"/>
    </w:pPr>
    <w:rPr>
      <w:rFonts w:ascii="Times New Roman" w:hAnsi="Times New Roman" w:cs="Times New Roman"/>
      <w:kern w:val="2"/>
      <w:sz w:val="21"/>
    </w:rPr>
  </w:style>
  <w:style w:type="paragraph" w:styleId="17">
    <w:name w:val="Body Text Indent"/>
    <w:basedOn w:val="1"/>
    <w:link w:val="86"/>
    <w:qFormat/>
    <w:uiPriority w:val="0"/>
    <w:pPr>
      <w:widowControl w:val="0"/>
      <w:spacing w:after="120" w:line="360" w:lineRule="auto"/>
      <w:ind w:firstLine="200" w:firstLineChars="200"/>
      <w:jc w:val="both"/>
    </w:pPr>
    <w:rPr>
      <w:rFonts w:ascii="Times New Roman" w:hAnsi="Times New Roman" w:cs="Times New Roman"/>
      <w:kern w:val="2"/>
      <w:sz w:val="21"/>
      <w:szCs w:val="20"/>
    </w:rPr>
  </w:style>
  <w:style w:type="paragraph" w:styleId="18">
    <w:name w:val="toc 5"/>
    <w:basedOn w:val="1"/>
    <w:next w:val="1"/>
    <w:unhideWhenUsed/>
    <w:qFormat/>
    <w:uiPriority w:val="39"/>
    <w:pPr>
      <w:widowControl w:val="0"/>
      <w:spacing w:line="360" w:lineRule="auto"/>
      <w:ind w:left="1680" w:leftChars="800" w:firstLine="480" w:firstLineChars="200"/>
      <w:jc w:val="both"/>
    </w:pPr>
    <w:rPr>
      <w:rFonts w:ascii="等线" w:hAnsi="等线" w:eastAsia="等线" w:cs="Times New Roman"/>
      <w:kern w:val="2"/>
      <w:szCs w:val="22"/>
    </w:rPr>
  </w:style>
  <w:style w:type="paragraph" w:styleId="19">
    <w:name w:val="toc 3"/>
    <w:basedOn w:val="1"/>
    <w:next w:val="1"/>
    <w:qFormat/>
    <w:uiPriority w:val="39"/>
    <w:pPr>
      <w:widowControl w:val="0"/>
      <w:tabs>
        <w:tab w:val="right" w:leader="dot" w:pos="8302"/>
      </w:tabs>
      <w:spacing w:line="360" w:lineRule="auto"/>
      <w:ind w:left="840" w:leftChars="400" w:firstLine="480" w:firstLineChars="200"/>
      <w:jc w:val="both"/>
    </w:pPr>
    <w:rPr>
      <w:rFonts w:cs="Times New Roman"/>
      <w:kern w:val="2"/>
    </w:rPr>
  </w:style>
  <w:style w:type="paragraph" w:styleId="20">
    <w:name w:val="Plain Text"/>
    <w:basedOn w:val="1"/>
    <w:link w:val="67"/>
    <w:qFormat/>
    <w:uiPriority w:val="0"/>
    <w:pPr>
      <w:widowControl w:val="0"/>
      <w:jc w:val="both"/>
    </w:pPr>
    <w:rPr>
      <w:rFonts w:hAnsi="Courier New" w:cs="Times New Roman"/>
      <w:kern w:val="2"/>
      <w:sz w:val="21"/>
      <w:szCs w:val="20"/>
    </w:rPr>
  </w:style>
  <w:style w:type="paragraph" w:styleId="21">
    <w:name w:val="toc 8"/>
    <w:basedOn w:val="1"/>
    <w:next w:val="1"/>
    <w:unhideWhenUsed/>
    <w:qFormat/>
    <w:uiPriority w:val="39"/>
    <w:pPr>
      <w:widowControl w:val="0"/>
      <w:spacing w:line="360" w:lineRule="auto"/>
      <w:ind w:left="2940" w:leftChars="1400" w:firstLine="480" w:firstLineChars="200"/>
      <w:jc w:val="both"/>
    </w:pPr>
    <w:rPr>
      <w:rFonts w:ascii="等线" w:hAnsi="等线" w:eastAsia="等线" w:cs="Times New Roman"/>
      <w:kern w:val="2"/>
      <w:szCs w:val="22"/>
    </w:rPr>
  </w:style>
  <w:style w:type="paragraph" w:styleId="22">
    <w:name w:val="Date"/>
    <w:basedOn w:val="1"/>
    <w:next w:val="1"/>
    <w:link w:val="48"/>
    <w:qFormat/>
    <w:uiPriority w:val="0"/>
    <w:pPr>
      <w:widowControl w:val="0"/>
      <w:spacing w:line="360" w:lineRule="auto"/>
      <w:ind w:left="100" w:leftChars="2500" w:firstLine="480" w:firstLineChars="200"/>
      <w:jc w:val="both"/>
    </w:pPr>
    <w:rPr>
      <w:rFonts w:ascii="Times New Roman" w:hAnsi="Times New Roman" w:cs="Times New Roman"/>
      <w:kern w:val="2"/>
      <w:sz w:val="21"/>
    </w:rPr>
  </w:style>
  <w:style w:type="paragraph" w:styleId="23">
    <w:name w:val="Balloon Text"/>
    <w:basedOn w:val="1"/>
    <w:link w:val="97"/>
    <w:qFormat/>
    <w:uiPriority w:val="0"/>
    <w:pPr>
      <w:widowControl w:val="0"/>
      <w:spacing w:line="360" w:lineRule="auto"/>
      <w:ind w:firstLine="480" w:firstLineChars="200"/>
      <w:jc w:val="both"/>
    </w:pPr>
    <w:rPr>
      <w:rFonts w:ascii="Times New Roman" w:hAnsi="Times New Roman" w:cs="Times New Roman"/>
      <w:kern w:val="2"/>
      <w:sz w:val="18"/>
      <w:szCs w:val="18"/>
    </w:rPr>
  </w:style>
  <w:style w:type="paragraph" w:styleId="24">
    <w:name w:val="footer"/>
    <w:basedOn w:val="1"/>
    <w:link w:val="90"/>
    <w:qFormat/>
    <w:uiPriority w:val="99"/>
    <w:pPr>
      <w:widowControl w:val="0"/>
      <w:tabs>
        <w:tab w:val="center" w:pos="4153"/>
        <w:tab w:val="right" w:pos="8306"/>
      </w:tabs>
      <w:snapToGrid w:val="0"/>
      <w:spacing w:line="360" w:lineRule="auto"/>
      <w:ind w:firstLine="480" w:firstLineChars="200"/>
      <w:jc w:val="center"/>
    </w:pPr>
    <w:rPr>
      <w:rFonts w:ascii="Times New Roman" w:hAnsi="Times New Roman" w:cs="Times New Roman"/>
      <w:kern w:val="2"/>
      <w:sz w:val="18"/>
      <w:szCs w:val="18"/>
    </w:rPr>
  </w:style>
  <w:style w:type="paragraph" w:styleId="25">
    <w:name w:val="header"/>
    <w:basedOn w:val="1"/>
    <w:link w:val="98"/>
    <w:qFormat/>
    <w:uiPriority w:val="99"/>
    <w:pPr>
      <w:widowControl w:val="0"/>
      <w:pBdr>
        <w:bottom w:val="single" w:color="auto" w:sz="4" w:space="0"/>
      </w:pBdr>
      <w:tabs>
        <w:tab w:val="center" w:pos="4153"/>
        <w:tab w:val="right" w:pos="8306"/>
      </w:tabs>
      <w:snapToGrid w:val="0"/>
      <w:spacing w:line="360" w:lineRule="auto"/>
      <w:ind w:firstLine="480" w:firstLineChars="200"/>
      <w:jc w:val="center"/>
    </w:pPr>
    <w:rPr>
      <w:rFonts w:ascii="Times New Roman" w:hAnsi="Times New Roman" w:cs="Times New Roman"/>
      <w:kern w:val="2"/>
      <w:sz w:val="18"/>
      <w:szCs w:val="18"/>
    </w:rPr>
  </w:style>
  <w:style w:type="paragraph" w:styleId="26">
    <w:name w:val="toc 1"/>
    <w:basedOn w:val="1"/>
    <w:next w:val="1"/>
    <w:qFormat/>
    <w:uiPriority w:val="39"/>
    <w:pPr>
      <w:widowControl w:val="0"/>
      <w:spacing w:line="360" w:lineRule="auto"/>
      <w:ind w:firstLine="480" w:firstLineChars="200"/>
      <w:jc w:val="both"/>
    </w:pPr>
    <w:rPr>
      <w:rFonts w:cs="Times New Roman"/>
      <w:kern w:val="2"/>
    </w:rPr>
  </w:style>
  <w:style w:type="paragraph" w:styleId="27">
    <w:name w:val="toc 4"/>
    <w:basedOn w:val="1"/>
    <w:next w:val="1"/>
    <w:unhideWhenUsed/>
    <w:qFormat/>
    <w:uiPriority w:val="39"/>
    <w:pPr>
      <w:widowControl w:val="0"/>
      <w:spacing w:line="360" w:lineRule="auto"/>
      <w:ind w:left="1260" w:leftChars="600" w:firstLine="480" w:firstLineChars="200"/>
      <w:jc w:val="both"/>
    </w:pPr>
    <w:rPr>
      <w:rFonts w:ascii="等线" w:hAnsi="等线" w:eastAsia="等线" w:cs="Times New Roman"/>
      <w:kern w:val="2"/>
      <w:szCs w:val="22"/>
    </w:rPr>
  </w:style>
  <w:style w:type="paragraph" w:styleId="28">
    <w:name w:val="Subtitle"/>
    <w:basedOn w:val="1"/>
    <w:next w:val="1"/>
    <w:link w:val="88"/>
    <w:qFormat/>
    <w:uiPriority w:val="0"/>
    <w:pPr>
      <w:widowControl w:val="0"/>
      <w:spacing w:before="240" w:after="60" w:line="312" w:lineRule="auto"/>
      <w:ind w:firstLine="480" w:firstLineChars="200"/>
      <w:jc w:val="center"/>
      <w:outlineLvl w:val="1"/>
    </w:pPr>
    <w:rPr>
      <w:rFonts w:ascii="Calibri Light" w:hAnsi="Calibri Light" w:cs="Times New Roman"/>
      <w:b/>
      <w:bCs/>
      <w:kern w:val="28"/>
      <w:sz w:val="32"/>
      <w:szCs w:val="32"/>
    </w:rPr>
  </w:style>
  <w:style w:type="paragraph" w:styleId="29">
    <w:name w:val="toc 6"/>
    <w:basedOn w:val="1"/>
    <w:next w:val="1"/>
    <w:unhideWhenUsed/>
    <w:qFormat/>
    <w:uiPriority w:val="39"/>
    <w:pPr>
      <w:widowControl w:val="0"/>
      <w:spacing w:line="360" w:lineRule="auto"/>
      <w:ind w:left="2100" w:leftChars="1000" w:firstLine="480" w:firstLineChars="200"/>
      <w:jc w:val="both"/>
    </w:pPr>
    <w:rPr>
      <w:rFonts w:ascii="等线" w:hAnsi="等线" w:eastAsia="等线" w:cs="Times New Roman"/>
      <w:kern w:val="2"/>
      <w:szCs w:val="22"/>
    </w:rPr>
  </w:style>
  <w:style w:type="paragraph" w:styleId="30">
    <w:name w:val="toc 2"/>
    <w:basedOn w:val="1"/>
    <w:next w:val="1"/>
    <w:qFormat/>
    <w:uiPriority w:val="39"/>
    <w:pPr>
      <w:widowControl w:val="0"/>
      <w:tabs>
        <w:tab w:val="right" w:leader="dot" w:pos="8302"/>
      </w:tabs>
      <w:spacing w:line="360" w:lineRule="auto"/>
      <w:ind w:left="420" w:leftChars="200" w:firstLine="480" w:firstLineChars="200"/>
      <w:jc w:val="both"/>
    </w:pPr>
    <w:rPr>
      <w:rFonts w:cs="Times New Roman"/>
      <w:kern w:val="2"/>
    </w:rPr>
  </w:style>
  <w:style w:type="paragraph" w:styleId="31">
    <w:name w:val="toc 9"/>
    <w:basedOn w:val="1"/>
    <w:next w:val="1"/>
    <w:unhideWhenUsed/>
    <w:qFormat/>
    <w:uiPriority w:val="39"/>
    <w:pPr>
      <w:widowControl w:val="0"/>
      <w:spacing w:line="360" w:lineRule="auto"/>
      <w:ind w:left="3360" w:leftChars="1600" w:firstLine="480" w:firstLineChars="200"/>
      <w:jc w:val="both"/>
    </w:pPr>
    <w:rPr>
      <w:rFonts w:ascii="等线" w:hAnsi="等线" w:eastAsia="等线" w:cs="Times New Roman"/>
      <w:kern w:val="2"/>
      <w:szCs w:val="22"/>
    </w:rPr>
  </w:style>
  <w:style w:type="paragraph" w:styleId="32">
    <w:name w:val="Normal (Web)"/>
    <w:basedOn w:val="1"/>
    <w:qFormat/>
    <w:uiPriority w:val="99"/>
    <w:pPr>
      <w:spacing w:before="100" w:after="100" w:line="360" w:lineRule="auto"/>
      <w:ind w:firstLine="480" w:firstLineChars="200"/>
    </w:pPr>
    <w:rPr>
      <w:rFonts w:hint="eastAsia" w:ascii="Arial Unicode MS" w:hAnsi="Arial Unicode MS" w:eastAsia="Arial Unicode MS" w:cs="Times New Roman"/>
    </w:rPr>
  </w:style>
  <w:style w:type="paragraph" w:styleId="33">
    <w:name w:val="Title"/>
    <w:basedOn w:val="1"/>
    <w:next w:val="1"/>
    <w:link w:val="96"/>
    <w:qFormat/>
    <w:uiPriority w:val="0"/>
    <w:pPr>
      <w:widowControl w:val="0"/>
      <w:spacing w:before="240" w:after="60" w:line="960" w:lineRule="auto"/>
      <w:ind w:firstLine="480" w:firstLineChars="200"/>
      <w:jc w:val="center"/>
    </w:pPr>
    <w:rPr>
      <w:rFonts w:ascii="Cambria" w:hAnsi="Cambria" w:eastAsia="黑体" w:cs="Times New Roman"/>
      <w:b/>
      <w:bCs/>
      <w:kern w:val="2"/>
      <w:sz w:val="52"/>
      <w:szCs w:val="32"/>
    </w:rPr>
  </w:style>
  <w:style w:type="paragraph" w:styleId="34">
    <w:name w:val="annotation subject"/>
    <w:basedOn w:val="15"/>
    <w:next w:val="15"/>
    <w:link w:val="84"/>
    <w:qFormat/>
    <w:uiPriority w:val="0"/>
    <w:rPr>
      <w:b/>
      <w:bCs/>
      <w:sz w:val="21"/>
    </w:rPr>
  </w:style>
  <w:style w:type="paragraph" w:styleId="35">
    <w:name w:val="Body Text First Indent"/>
    <w:basedOn w:val="16"/>
    <w:link w:val="138"/>
    <w:semiHidden/>
    <w:unhideWhenUsed/>
    <w:qFormat/>
    <w:uiPriority w:val="0"/>
    <w:pPr>
      <w:spacing w:line="360" w:lineRule="auto"/>
      <w:ind w:firstLine="420" w:firstLineChars="100"/>
    </w:pPr>
    <w:rPr>
      <w:rFonts w:ascii="宋体" w:hAnsi="宋体"/>
      <w:sz w:val="24"/>
    </w:rPr>
  </w:style>
  <w:style w:type="table" w:styleId="37">
    <w:name w:val="Table Grid"/>
    <w:basedOn w:val="3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customStyle="1" w:styleId="43">
    <w:name w:val="标题 3 字符1"/>
    <w:qFormat/>
    <w:uiPriority w:val="0"/>
    <w:rPr>
      <w:rFonts w:ascii="宋体" w:hAnsi="宋体"/>
      <w:b/>
      <w:bCs/>
      <w:kern w:val="2"/>
      <w:sz w:val="28"/>
      <w:szCs w:val="28"/>
    </w:rPr>
  </w:style>
  <w:style w:type="character" w:customStyle="1" w:styleId="44">
    <w:name w:val="首行缩进正文 Char"/>
    <w:link w:val="45"/>
    <w:qFormat/>
    <w:uiPriority w:val="0"/>
    <w:rPr>
      <w:kern w:val="2"/>
      <w:sz w:val="24"/>
    </w:rPr>
  </w:style>
  <w:style w:type="paragraph" w:customStyle="1" w:styleId="45">
    <w:name w:val="首行缩进正文"/>
    <w:basedOn w:val="1"/>
    <w:link w:val="44"/>
    <w:qFormat/>
    <w:uiPriority w:val="0"/>
    <w:pPr>
      <w:adjustRightInd w:val="0"/>
      <w:snapToGrid w:val="0"/>
      <w:spacing w:afterLines="50" w:line="276" w:lineRule="auto"/>
      <w:ind w:firstLine="420"/>
    </w:pPr>
    <w:rPr>
      <w:rFonts w:ascii="Times New Roman" w:hAnsi="Times New Roman" w:cs="Times New Roman"/>
      <w:kern w:val="2"/>
      <w:szCs w:val="20"/>
    </w:rPr>
  </w:style>
  <w:style w:type="character" w:customStyle="1" w:styleId="46">
    <w:name w:val="批注文字 字符1"/>
    <w:link w:val="15"/>
    <w:qFormat/>
    <w:uiPriority w:val="99"/>
    <w:rPr>
      <w:rFonts w:eastAsia="仿宋"/>
      <w:kern w:val="2"/>
      <w:sz w:val="28"/>
      <w:szCs w:val="24"/>
    </w:rPr>
  </w:style>
  <w:style w:type="character" w:customStyle="1" w:styleId="47">
    <w:name w:val="日期 字符"/>
    <w:semiHidden/>
    <w:qFormat/>
    <w:uiPriority w:val="99"/>
    <w:rPr>
      <w:rFonts w:ascii="宋体" w:hAnsi="宋体"/>
      <w:kern w:val="2"/>
      <w:sz w:val="24"/>
      <w:szCs w:val="24"/>
    </w:rPr>
  </w:style>
  <w:style w:type="character" w:customStyle="1" w:styleId="48">
    <w:name w:val="日期 字符1"/>
    <w:link w:val="22"/>
    <w:qFormat/>
    <w:uiPriority w:val="0"/>
    <w:rPr>
      <w:kern w:val="2"/>
      <w:sz w:val="21"/>
      <w:szCs w:val="24"/>
    </w:rPr>
  </w:style>
  <w:style w:type="character" w:customStyle="1" w:styleId="49">
    <w:name w:val="标题 9 字符"/>
    <w:link w:val="10"/>
    <w:qFormat/>
    <w:uiPriority w:val="9"/>
    <w:rPr>
      <w:rFonts w:ascii="Cambria" w:hAnsi="Cambria"/>
      <w:kern w:val="2"/>
      <w:sz w:val="21"/>
      <w:szCs w:val="21"/>
    </w:rPr>
  </w:style>
  <w:style w:type="character" w:customStyle="1" w:styleId="50">
    <w:name w:val="未处理的提及1"/>
    <w:unhideWhenUsed/>
    <w:qFormat/>
    <w:uiPriority w:val="99"/>
    <w:rPr>
      <w:color w:val="605E5C"/>
      <w:shd w:val="clear" w:color="auto" w:fill="E1DFDD"/>
    </w:rPr>
  </w:style>
  <w:style w:type="character" w:customStyle="1" w:styleId="51">
    <w:name w:val="标题 1 字符"/>
    <w:qFormat/>
    <w:uiPriority w:val="9"/>
    <w:rPr>
      <w:rFonts w:ascii="宋体" w:hAnsi="宋体"/>
      <w:b/>
      <w:bCs/>
      <w:kern w:val="44"/>
      <w:sz w:val="44"/>
      <w:szCs w:val="44"/>
    </w:rPr>
  </w:style>
  <w:style w:type="character" w:customStyle="1" w:styleId="52">
    <w:name w:val="标题 3 字符"/>
    <w:semiHidden/>
    <w:qFormat/>
    <w:uiPriority w:val="9"/>
    <w:rPr>
      <w:rFonts w:ascii="宋体" w:hAnsi="宋体"/>
      <w:b/>
      <w:bCs/>
      <w:kern w:val="2"/>
      <w:sz w:val="32"/>
      <w:szCs w:val="32"/>
    </w:rPr>
  </w:style>
  <w:style w:type="character" w:customStyle="1" w:styleId="53">
    <w:name w:val="页脚 字符"/>
    <w:qFormat/>
    <w:uiPriority w:val="99"/>
  </w:style>
  <w:style w:type="character" w:customStyle="1" w:styleId="54">
    <w:name w:val="标题 5 字符"/>
    <w:semiHidden/>
    <w:qFormat/>
    <w:uiPriority w:val="9"/>
    <w:rPr>
      <w:rFonts w:ascii="宋体" w:hAnsi="宋体"/>
      <w:b/>
      <w:bCs/>
      <w:kern w:val="2"/>
      <w:sz w:val="28"/>
      <w:szCs w:val="28"/>
    </w:rPr>
  </w:style>
  <w:style w:type="character" w:customStyle="1" w:styleId="55">
    <w:name w:val="题注 字符"/>
    <w:link w:val="13"/>
    <w:qFormat/>
    <w:locked/>
    <w:uiPriority w:val="0"/>
    <w:rPr>
      <w:rFonts w:ascii="Arial" w:hAnsi="Arial" w:eastAsia="黑体"/>
      <w:kern w:val="2"/>
    </w:rPr>
  </w:style>
  <w:style w:type="character" w:customStyle="1" w:styleId="56">
    <w:name w:val="标题 2 字符"/>
    <w:semiHidden/>
    <w:qFormat/>
    <w:uiPriority w:val="9"/>
    <w:rPr>
      <w:rFonts w:ascii="等线 Light" w:hAnsi="等线 Light" w:eastAsia="等线 Light" w:cs="Times New Roman"/>
      <w:b/>
      <w:bCs/>
      <w:kern w:val="2"/>
      <w:sz w:val="32"/>
      <w:szCs w:val="32"/>
    </w:rPr>
  </w:style>
  <w:style w:type="character" w:customStyle="1" w:styleId="57">
    <w:name w:val="纯文本 字符"/>
    <w:qFormat/>
    <w:uiPriority w:val="0"/>
    <w:rPr>
      <w:rFonts w:ascii="宋体" w:hAnsi="Courier New" w:cs="Courier New"/>
      <w:kern w:val="2"/>
      <w:sz w:val="21"/>
      <w:szCs w:val="21"/>
    </w:rPr>
  </w:style>
  <w:style w:type="character" w:customStyle="1" w:styleId="58">
    <w:name w:val="列表段落 字符"/>
    <w:qFormat/>
    <w:uiPriority w:val="34"/>
    <w:rPr>
      <w:kern w:val="2"/>
      <w:sz w:val="21"/>
      <w:szCs w:val="22"/>
    </w:rPr>
  </w:style>
  <w:style w:type="character" w:customStyle="1" w:styleId="59">
    <w:name w:val="标题 4 字符1"/>
    <w:link w:val="5"/>
    <w:qFormat/>
    <w:uiPriority w:val="0"/>
    <w:rPr>
      <w:rFonts w:ascii="宋体" w:hAnsi="宋体"/>
      <w:b/>
      <w:bCs/>
      <w:kern w:val="2"/>
      <w:sz w:val="30"/>
      <w:szCs w:val="30"/>
    </w:rPr>
  </w:style>
  <w:style w:type="character" w:customStyle="1" w:styleId="60">
    <w:name w:val="正文文本 字符"/>
    <w:link w:val="16"/>
    <w:qFormat/>
    <w:uiPriority w:val="0"/>
    <w:rPr>
      <w:kern w:val="2"/>
      <w:sz w:val="21"/>
      <w:szCs w:val="24"/>
    </w:rPr>
  </w:style>
  <w:style w:type="character" w:customStyle="1" w:styleId="61">
    <w:name w:val="列表段落 字符1"/>
    <w:link w:val="62"/>
    <w:qFormat/>
    <w:uiPriority w:val="34"/>
    <w:rPr>
      <w:kern w:val="2"/>
      <w:sz w:val="21"/>
      <w:szCs w:val="24"/>
    </w:rPr>
  </w:style>
  <w:style w:type="paragraph" w:styleId="62">
    <w:name w:val="List Paragraph"/>
    <w:basedOn w:val="1"/>
    <w:link w:val="61"/>
    <w:qFormat/>
    <w:uiPriority w:val="34"/>
    <w:pPr>
      <w:widowControl w:val="0"/>
      <w:spacing w:line="360" w:lineRule="auto"/>
      <w:ind w:firstLine="420" w:firstLineChars="200"/>
      <w:jc w:val="both"/>
    </w:pPr>
    <w:rPr>
      <w:rFonts w:ascii="Times New Roman" w:hAnsi="Times New Roman" w:cs="Times New Roman"/>
      <w:kern w:val="2"/>
      <w:sz w:val="21"/>
    </w:rPr>
  </w:style>
  <w:style w:type="character" w:customStyle="1" w:styleId="63">
    <w:name w:val="font21"/>
    <w:qFormat/>
    <w:uiPriority w:val="0"/>
    <w:rPr>
      <w:rFonts w:ascii="Calibri" w:hAnsi="Calibri" w:cs="Calibri"/>
      <w:color w:val="000000"/>
      <w:sz w:val="21"/>
      <w:szCs w:val="21"/>
      <w:u w:val="none"/>
    </w:rPr>
  </w:style>
  <w:style w:type="character" w:customStyle="1" w:styleId="64">
    <w:name w:val="*正文 Char"/>
    <w:link w:val="65"/>
    <w:qFormat/>
    <w:uiPriority w:val="0"/>
    <w:rPr>
      <w:rFonts w:ascii="time" w:hAnsi="time"/>
      <w:sz w:val="24"/>
      <w:szCs w:val="24"/>
      <w:lang w:bidi="en-US"/>
    </w:rPr>
  </w:style>
  <w:style w:type="paragraph" w:customStyle="1" w:styleId="65">
    <w:name w:val="*正文"/>
    <w:basedOn w:val="1"/>
    <w:link w:val="64"/>
    <w:qFormat/>
    <w:uiPriority w:val="0"/>
    <w:pPr>
      <w:spacing w:line="360" w:lineRule="auto"/>
      <w:ind w:firstLine="200" w:firstLineChars="200"/>
      <w:contextualSpacing/>
      <w:jc w:val="both"/>
    </w:pPr>
    <w:rPr>
      <w:rFonts w:ascii="time" w:hAnsi="time" w:cs="Times New Roman"/>
      <w:lang w:bidi="en-US"/>
    </w:rPr>
  </w:style>
  <w:style w:type="character" w:customStyle="1" w:styleId="66">
    <w:name w:val="正文文本缩进 字符"/>
    <w:semiHidden/>
    <w:qFormat/>
    <w:uiPriority w:val="99"/>
    <w:rPr>
      <w:rFonts w:ascii="宋体" w:hAnsi="宋体"/>
      <w:kern w:val="2"/>
      <w:sz w:val="24"/>
      <w:szCs w:val="24"/>
    </w:rPr>
  </w:style>
  <w:style w:type="character" w:customStyle="1" w:styleId="67">
    <w:name w:val="纯文本 字符1"/>
    <w:link w:val="20"/>
    <w:qFormat/>
    <w:locked/>
    <w:uiPriority w:val="0"/>
    <w:rPr>
      <w:rFonts w:ascii="宋体" w:hAnsi="Courier New"/>
      <w:kern w:val="2"/>
      <w:sz w:val="21"/>
    </w:rPr>
  </w:style>
  <w:style w:type="character" w:customStyle="1" w:styleId="68">
    <w:name w:val="my正文 Char"/>
    <w:link w:val="69"/>
    <w:qFormat/>
    <w:uiPriority w:val="0"/>
    <w:rPr>
      <w:kern w:val="2"/>
      <w:sz w:val="21"/>
      <w:szCs w:val="24"/>
    </w:rPr>
  </w:style>
  <w:style w:type="paragraph" w:customStyle="1" w:styleId="69">
    <w:name w:val="my正文"/>
    <w:basedOn w:val="1"/>
    <w:link w:val="68"/>
    <w:qFormat/>
    <w:uiPriority w:val="0"/>
    <w:pPr>
      <w:widowControl w:val="0"/>
      <w:jc w:val="both"/>
    </w:pPr>
    <w:rPr>
      <w:rFonts w:ascii="Times New Roman" w:hAnsi="Times New Roman" w:cs="Times New Roman"/>
      <w:kern w:val="2"/>
      <w:sz w:val="21"/>
    </w:rPr>
  </w:style>
  <w:style w:type="character" w:customStyle="1" w:styleId="70">
    <w:name w:val="正文2 字符"/>
    <w:link w:val="71"/>
    <w:qFormat/>
    <w:uiPriority w:val="0"/>
    <w:rPr>
      <w:kern w:val="2"/>
      <w:sz w:val="21"/>
      <w:szCs w:val="24"/>
    </w:rPr>
  </w:style>
  <w:style w:type="paragraph" w:customStyle="1" w:styleId="71">
    <w:name w:val="正文2"/>
    <w:basedOn w:val="1"/>
    <w:link w:val="70"/>
    <w:qFormat/>
    <w:uiPriority w:val="0"/>
    <w:pPr>
      <w:widowControl w:val="0"/>
      <w:spacing w:line="360" w:lineRule="auto"/>
      <w:ind w:firstLine="420" w:firstLineChars="200"/>
      <w:jc w:val="both"/>
    </w:pPr>
    <w:rPr>
      <w:rFonts w:ascii="Times New Roman" w:hAnsi="Times New Roman" w:cs="Times New Roman"/>
      <w:kern w:val="2"/>
      <w:sz w:val="21"/>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标题 7 字符"/>
    <w:link w:val="8"/>
    <w:qFormat/>
    <w:uiPriority w:val="9"/>
    <w:rPr>
      <w:b/>
      <w:bCs/>
      <w:kern w:val="2"/>
      <w:sz w:val="21"/>
      <w:szCs w:val="24"/>
    </w:rPr>
  </w:style>
  <w:style w:type="character" w:customStyle="1" w:styleId="74">
    <w:name w:val="批注框文本 字符"/>
    <w:semiHidden/>
    <w:qFormat/>
    <w:uiPriority w:val="99"/>
    <w:rPr>
      <w:rFonts w:ascii="宋体" w:hAnsi="宋体"/>
      <w:kern w:val="2"/>
      <w:sz w:val="18"/>
      <w:szCs w:val="18"/>
    </w:rPr>
  </w:style>
  <w:style w:type="character" w:customStyle="1" w:styleId="75">
    <w:name w:val="副标题 Char1"/>
    <w:qFormat/>
    <w:uiPriority w:val="0"/>
    <w:rPr>
      <w:rFonts w:ascii="Calibri Light" w:hAnsi="Calibri Light" w:cs="Times New Roman"/>
      <w:b/>
      <w:bCs/>
      <w:kern w:val="28"/>
      <w:sz w:val="32"/>
      <w:szCs w:val="32"/>
    </w:rPr>
  </w:style>
  <w:style w:type="character" w:customStyle="1" w:styleId="76">
    <w:name w:val="标题 1 字符1"/>
    <w:link w:val="2"/>
    <w:qFormat/>
    <w:uiPriority w:val="0"/>
    <w:rPr>
      <w:rFonts w:ascii="宋体" w:hAnsi="宋体" w:eastAsia="黑体"/>
      <w:b/>
      <w:bCs/>
      <w:kern w:val="44"/>
      <w:sz w:val="32"/>
      <w:szCs w:val="28"/>
    </w:rPr>
  </w:style>
  <w:style w:type="character" w:customStyle="1" w:styleId="77">
    <w:name w:val="批注文字 字符"/>
    <w:qFormat/>
    <w:uiPriority w:val="99"/>
    <w:rPr>
      <w:rFonts w:ascii="宋体" w:hAnsi="宋体"/>
      <w:kern w:val="2"/>
      <w:sz w:val="24"/>
      <w:szCs w:val="24"/>
    </w:rPr>
  </w:style>
  <w:style w:type="character" w:customStyle="1" w:styleId="78">
    <w:name w:val="文档结构图 字符"/>
    <w:semiHidden/>
    <w:qFormat/>
    <w:uiPriority w:val="99"/>
    <w:rPr>
      <w:rFonts w:ascii="Microsoft YaHei UI" w:hAnsi="宋体" w:eastAsia="Microsoft YaHei UI"/>
      <w:kern w:val="2"/>
      <w:sz w:val="18"/>
      <w:szCs w:val="18"/>
    </w:rPr>
  </w:style>
  <w:style w:type="character" w:customStyle="1" w:styleId="79">
    <w:name w:val="标题 6 字符"/>
    <w:semiHidden/>
    <w:qFormat/>
    <w:uiPriority w:val="9"/>
    <w:rPr>
      <w:rFonts w:ascii="等线 Light" w:hAnsi="等线 Light" w:eastAsia="等线 Light" w:cs="Times New Roman"/>
      <w:b/>
      <w:bCs/>
      <w:kern w:val="2"/>
      <w:sz w:val="24"/>
      <w:szCs w:val="24"/>
    </w:rPr>
  </w:style>
  <w:style w:type="character" w:customStyle="1" w:styleId="80">
    <w:name w:val="正文正文2 Char"/>
    <w:link w:val="81"/>
    <w:qFormat/>
    <w:uiPriority w:val="0"/>
    <w:rPr>
      <w:rFonts w:ascii="宋体" w:hAnsi="宋体"/>
      <w:kern w:val="2"/>
      <w:sz w:val="21"/>
      <w:szCs w:val="21"/>
    </w:rPr>
  </w:style>
  <w:style w:type="paragraph" w:customStyle="1" w:styleId="81">
    <w:name w:val="正文正文2"/>
    <w:basedOn w:val="1"/>
    <w:link w:val="80"/>
    <w:qFormat/>
    <w:uiPriority w:val="0"/>
    <w:pPr>
      <w:widowControl w:val="0"/>
      <w:spacing w:line="360" w:lineRule="auto"/>
      <w:ind w:firstLine="460" w:firstLineChars="200"/>
      <w:jc w:val="both"/>
    </w:pPr>
    <w:rPr>
      <w:rFonts w:cs="Times New Roman"/>
      <w:kern w:val="2"/>
      <w:sz w:val="21"/>
      <w:szCs w:val="21"/>
    </w:rPr>
  </w:style>
  <w:style w:type="character" w:customStyle="1" w:styleId="82">
    <w:name w:val="标题 3 字符2"/>
    <w:link w:val="4"/>
    <w:qFormat/>
    <w:uiPriority w:val="0"/>
    <w:rPr>
      <w:rFonts w:ascii="宋体" w:hAnsi="宋体"/>
      <w:b/>
      <w:bCs/>
      <w:kern w:val="2"/>
      <w:sz w:val="28"/>
      <w:szCs w:val="28"/>
    </w:rPr>
  </w:style>
  <w:style w:type="character" w:customStyle="1" w:styleId="83">
    <w:name w:val="标题 4 字符"/>
    <w:semiHidden/>
    <w:qFormat/>
    <w:uiPriority w:val="9"/>
    <w:rPr>
      <w:rFonts w:ascii="等线 Light" w:hAnsi="等线 Light" w:eastAsia="等线 Light" w:cs="Times New Roman"/>
      <w:b/>
      <w:bCs/>
      <w:kern w:val="2"/>
      <w:sz w:val="28"/>
      <w:szCs w:val="28"/>
    </w:rPr>
  </w:style>
  <w:style w:type="character" w:customStyle="1" w:styleId="84">
    <w:name w:val="批注主题 字符1"/>
    <w:link w:val="34"/>
    <w:qFormat/>
    <w:uiPriority w:val="0"/>
    <w:rPr>
      <w:rFonts w:eastAsia="仿宋"/>
      <w:b/>
      <w:bCs/>
      <w:kern w:val="2"/>
      <w:sz w:val="21"/>
      <w:szCs w:val="24"/>
    </w:rPr>
  </w:style>
  <w:style w:type="character" w:customStyle="1" w:styleId="85">
    <w:name w:val="页眉 字符"/>
    <w:semiHidden/>
    <w:qFormat/>
    <w:uiPriority w:val="99"/>
    <w:rPr>
      <w:rFonts w:ascii="宋体" w:hAnsi="宋体"/>
      <w:kern w:val="2"/>
      <w:sz w:val="18"/>
      <w:szCs w:val="18"/>
    </w:rPr>
  </w:style>
  <w:style w:type="character" w:customStyle="1" w:styleId="86">
    <w:name w:val="正文文本缩进 字符1"/>
    <w:link w:val="17"/>
    <w:qFormat/>
    <w:uiPriority w:val="0"/>
    <w:rPr>
      <w:kern w:val="2"/>
      <w:sz w:val="21"/>
    </w:rPr>
  </w:style>
  <w:style w:type="character" w:customStyle="1" w:styleId="87">
    <w:name w:val="标题 5 字符1"/>
    <w:link w:val="6"/>
    <w:qFormat/>
    <w:uiPriority w:val="0"/>
    <w:rPr>
      <w:rFonts w:ascii="宋体" w:hAnsi="宋体"/>
      <w:b/>
      <w:bCs/>
      <w:kern w:val="2"/>
      <w:sz w:val="24"/>
      <w:szCs w:val="28"/>
    </w:rPr>
  </w:style>
  <w:style w:type="character" w:customStyle="1" w:styleId="88">
    <w:name w:val="副标题 字符1"/>
    <w:link w:val="28"/>
    <w:qFormat/>
    <w:uiPriority w:val="0"/>
    <w:rPr>
      <w:rFonts w:ascii="Calibri Light" w:hAnsi="Calibri Light"/>
      <w:b/>
      <w:bCs/>
      <w:kern w:val="28"/>
      <w:sz w:val="32"/>
      <w:szCs w:val="32"/>
    </w:rPr>
  </w:style>
  <w:style w:type="character" w:customStyle="1" w:styleId="89">
    <w:name w:val="标题 2 字符1"/>
    <w:link w:val="3"/>
    <w:qFormat/>
    <w:uiPriority w:val="9"/>
    <w:rPr>
      <w:rFonts w:ascii="宋体" w:hAnsi="宋体"/>
      <w:b/>
      <w:bCs/>
      <w:kern w:val="2"/>
      <w:sz w:val="30"/>
      <w:szCs w:val="32"/>
    </w:rPr>
  </w:style>
  <w:style w:type="character" w:customStyle="1" w:styleId="90">
    <w:name w:val="页脚 字符1"/>
    <w:link w:val="24"/>
    <w:qFormat/>
    <w:uiPriority w:val="99"/>
    <w:rPr>
      <w:kern w:val="2"/>
      <w:sz w:val="18"/>
      <w:szCs w:val="18"/>
    </w:rPr>
  </w:style>
  <w:style w:type="character" w:customStyle="1" w:styleId="91">
    <w:name w:val="批注主题 字符"/>
    <w:semiHidden/>
    <w:qFormat/>
    <w:uiPriority w:val="99"/>
    <w:rPr>
      <w:rFonts w:ascii="宋体" w:hAnsi="宋体"/>
      <w:b/>
      <w:bCs/>
      <w:kern w:val="2"/>
      <w:sz w:val="24"/>
      <w:szCs w:val="24"/>
    </w:rPr>
  </w:style>
  <w:style w:type="character" w:customStyle="1" w:styleId="92">
    <w:name w:val="文档结构图 字符1"/>
    <w:link w:val="14"/>
    <w:qFormat/>
    <w:uiPriority w:val="0"/>
    <w:rPr>
      <w:rFonts w:ascii="宋体"/>
      <w:kern w:val="2"/>
      <w:sz w:val="18"/>
      <w:szCs w:val="18"/>
    </w:rPr>
  </w:style>
  <w:style w:type="character" w:customStyle="1" w:styleId="93">
    <w:name w:val="font31"/>
    <w:qFormat/>
    <w:uiPriority w:val="0"/>
    <w:rPr>
      <w:rFonts w:hint="eastAsia" w:ascii="宋体" w:hAnsi="宋体" w:eastAsia="宋体" w:cs="宋体"/>
      <w:color w:val="000000"/>
      <w:sz w:val="21"/>
      <w:szCs w:val="21"/>
      <w:u w:val="none"/>
    </w:rPr>
  </w:style>
  <w:style w:type="character" w:customStyle="1" w:styleId="94">
    <w:name w:val="标准正文 Char"/>
    <w:link w:val="95"/>
    <w:qFormat/>
    <w:uiPriority w:val="0"/>
    <w:rPr>
      <w:rFonts w:ascii="Arial" w:hAnsi="Arial"/>
      <w:kern w:val="2"/>
      <w:sz w:val="24"/>
    </w:rPr>
  </w:style>
  <w:style w:type="paragraph" w:customStyle="1" w:styleId="95">
    <w:name w:val="标准正文"/>
    <w:basedOn w:val="17"/>
    <w:link w:val="94"/>
    <w:qFormat/>
    <w:uiPriority w:val="0"/>
    <w:pPr>
      <w:spacing w:before="60" w:after="60"/>
      <w:ind w:firstLine="482" w:firstLineChars="0"/>
    </w:pPr>
    <w:rPr>
      <w:rFonts w:ascii="Arial" w:hAnsi="Arial"/>
      <w:sz w:val="24"/>
    </w:rPr>
  </w:style>
  <w:style w:type="character" w:customStyle="1" w:styleId="96">
    <w:name w:val="标题 字符1"/>
    <w:link w:val="33"/>
    <w:qFormat/>
    <w:uiPriority w:val="0"/>
    <w:rPr>
      <w:rFonts w:ascii="Cambria" w:hAnsi="Cambria" w:eastAsia="黑体"/>
      <w:b/>
      <w:bCs/>
      <w:kern w:val="2"/>
      <w:sz w:val="52"/>
      <w:szCs w:val="32"/>
    </w:rPr>
  </w:style>
  <w:style w:type="character" w:customStyle="1" w:styleId="97">
    <w:name w:val="批注框文本 字符1"/>
    <w:link w:val="23"/>
    <w:qFormat/>
    <w:uiPriority w:val="0"/>
    <w:rPr>
      <w:kern w:val="2"/>
      <w:sz w:val="18"/>
      <w:szCs w:val="18"/>
    </w:rPr>
  </w:style>
  <w:style w:type="character" w:customStyle="1" w:styleId="98">
    <w:name w:val="页眉 字符1"/>
    <w:link w:val="25"/>
    <w:qFormat/>
    <w:uiPriority w:val="99"/>
    <w:rPr>
      <w:kern w:val="2"/>
      <w:sz w:val="18"/>
      <w:szCs w:val="18"/>
    </w:rPr>
  </w:style>
  <w:style w:type="character" w:customStyle="1" w:styleId="99">
    <w:name w:val="标题 8 字符"/>
    <w:link w:val="9"/>
    <w:qFormat/>
    <w:uiPriority w:val="9"/>
    <w:rPr>
      <w:rFonts w:ascii="Cambria" w:hAnsi="Cambria"/>
      <w:kern w:val="2"/>
      <w:sz w:val="21"/>
      <w:szCs w:val="24"/>
    </w:rPr>
  </w:style>
  <w:style w:type="character" w:customStyle="1" w:styleId="100">
    <w:name w:val="标题 6 字符1"/>
    <w:link w:val="7"/>
    <w:qFormat/>
    <w:uiPriority w:val="0"/>
    <w:rPr>
      <w:rFonts w:ascii="Cambria" w:hAnsi="Cambria"/>
      <w:b/>
      <w:bCs/>
      <w:kern w:val="2"/>
      <w:sz w:val="24"/>
      <w:szCs w:val="24"/>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副标题 字符"/>
    <w:qFormat/>
    <w:uiPriority w:val="11"/>
    <w:rPr>
      <w:rFonts w:ascii="等线" w:hAnsi="等线" w:eastAsia="等线" w:cs="Times New Roman"/>
      <w:b/>
      <w:bCs/>
      <w:kern w:val="28"/>
      <w:sz w:val="32"/>
      <w:szCs w:val="32"/>
    </w:rPr>
  </w:style>
  <w:style w:type="paragraph" w:customStyle="1" w:styleId="103">
    <w:name w:val="xl72"/>
    <w:basedOn w:val="1"/>
    <w:qFormat/>
    <w:uiPriority w:val="0"/>
    <w:pPr>
      <w:spacing w:before="100" w:beforeAutospacing="1" w:after="100" w:afterAutospacing="1"/>
      <w:jc w:val="center"/>
    </w:pPr>
  </w:style>
  <w:style w:type="paragraph" w:customStyle="1" w:styleId="104">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5">
    <w:name w:val="xl70"/>
    <w:basedOn w:val="1"/>
    <w:qFormat/>
    <w:uiPriority w:val="0"/>
    <w:pPr>
      <w:pBdr>
        <w:bottom w:val="single" w:color="auto" w:sz="4" w:space="0"/>
        <w:right w:val="single" w:color="auto" w:sz="4" w:space="0"/>
      </w:pBd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106">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7">
    <w:name w:val="正文缩进1"/>
    <w:basedOn w:val="1"/>
    <w:qFormat/>
    <w:uiPriority w:val="0"/>
    <w:pPr>
      <w:widowControl w:val="0"/>
      <w:ind w:firstLine="420" w:firstLineChars="200"/>
      <w:jc w:val="both"/>
    </w:pPr>
    <w:rPr>
      <w:rFonts w:ascii="Times New Roman" w:hAnsi="Times New Roman" w:cs="Times New Roman"/>
      <w:kern w:val="2"/>
      <w:sz w:val="21"/>
      <w:szCs w:val="20"/>
    </w:rPr>
  </w:style>
  <w:style w:type="paragraph" w:customStyle="1" w:styleId="108">
    <w:name w:val="xl68"/>
    <w:basedOn w:val="1"/>
    <w:qFormat/>
    <w:uiPriority w:val="0"/>
    <w:pPr>
      <w:pBdr>
        <w:bottom w:val="single" w:color="auto" w:sz="4" w:space="0"/>
        <w:right w:val="single" w:color="auto" w:sz="4" w:space="0"/>
      </w:pBdr>
      <w:spacing w:before="100" w:beforeAutospacing="1" w:after="100" w:afterAutospacing="1"/>
      <w:textAlignment w:val="center"/>
    </w:pPr>
    <w:rPr>
      <w:rFonts w:ascii="Microsoft Sans Serif" w:hAnsi="Microsoft Sans Serif" w:cs="Microsoft Sans Serif"/>
      <w:sz w:val="18"/>
      <w:szCs w:val="18"/>
    </w:rPr>
  </w:style>
  <w:style w:type="paragraph" w:customStyle="1" w:styleId="109">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0">
    <w:name w:val="Indent Normal"/>
    <w:basedOn w:val="1"/>
    <w:qFormat/>
    <w:uiPriority w:val="0"/>
    <w:pPr>
      <w:widowControl w:val="0"/>
      <w:spacing w:line="360" w:lineRule="auto"/>
      <w:ind w:firstLine="150" w:firstLineChars="150"/>
      <w:jc w:val="both"/>
    </w:pPr>
    <w:rPr>
      <w:rFonts w:cs="Times New Roman"/>
      <w:kern w:val="2"/>
    </w:rPr>
  </w:style>
  <w:style w:type="paragraph" w:customStyle="1" w:styleId="111">
    <w:name w:val="msonormal"/>
    <w:basedOn w:val="1"/>
    <w:qFormat/>
    <w:uiPriority w:val="0"/>
    <w:pPr>
      <w:spacing w:before="100" w:beforeAutospacing="1" w:after="100" w:afterAutospacing="1"/>
    </w:pPr>
  </w:style>
  <w:style w:type="paragraph" w:customStyle="1" w:styleId="112">
    <w:name w:val="正文 缩进2字符"/>
    <w:basedOn w:val="1"/>
    <w:qFormat/>
    <w:uiPriority w:val="0"/>
    <w:pPr>
      <w:widowControl w:val="0"/>
      <w:spacing w:afterLines="50"/>
      <w:jc w:val="both"/>
    </w:pPr>
    <w:rPr>
      <w:rFonts w:ascii="Times New Roman" w:hAnsi="Times New Roman"/>
      <w:kern w:val="2"/>
      <w:sz w:val="21"/>
      <w:szCs w:val="20"/>
    </w:rPr>
  </w:style>
  <w:style w:type="paragraph" w:customStyle="1" w:styleId="113">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4">
    <w:name w:val="助手文本"/>
    <w:basedOn w:val="1"/>
    <w:qFormat/>
    <w:uiPriority w:val="0"/>
    <w:pPr>
      <w:widowControl w:val="0"/>
      <w:autoSpaceDE w:val="0"/>
      <w:autoSpaceDN w:val="0"/>
      <w:adjustRightInd w:val="0"/>
      <w:spacing w:beforeLines="50" w:afterLines="50" w:line="360" w:lineRule="auto"/>
      <w:ind w:left="14" w:firstLine="434" w:firstLineChars="200"/>
      <w:jc w:val="both"/>
      <w:textAlignment w:val="baseline"/>
    </w:pPr>
    <w:rPr>
      <w:rFonts w:ascii="楷体_GB2312" w:eastAsia="楷体_GB2312" w:cs="Times New Roman"/>
      <w:szCs w:val="20"/>
      <w:u w:val="single"/>
    </w:rPr>
  </w:style>
  <w:style w:type="paragraph" w:customStyle="1" w:styleId="115">
    <w:name w:val="xl67"/>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116">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18">
    <w:name w:val="Char Char Char Char Char Char1 Char"/>
    <w:basedOn w:val="1"/>
    <w:qFormat/>
    <w:uiPriority w:val="0"/>
    <w:pPr>
      <w:spacing w:after="160" w:line="240" w:lineRule="exact"/>
      <w:ind w:firstLine="480" w:firstLineChars="200"/>
    </w:pPr>
    <w:rPr>
      <w:rFonts w:cs="Times New Roman"/>
      <w:kern w:val="2"/>
    </w:rPr>
  </w:style>
  <w:style w:type="paragraph" w:customStyle="1" w:styleId="119">
    <w:name w:val="PM_Body"/>
    <w:basedOn w:val="1"/>
    <w:qFormat/>
    <w:locked/>
    <w:uiPriority w:val="0"/>
    <w:pPr>
      <w:widowControl w:val="0"/>
      <w:spacing w:line="360" w:lineRule="auto"/>
      <w:ind w:firstLine="480" w:firstLineChars="200"/>
      <w:jc w:val="both"/>
    </w:pPr>
    <w:rPr>
      <w:rFonts w:cs="Times New Roman"/>
      <w:kern w:val="2"/>
      <w:szCs w:val="21"/>
    </w:rPr>
  </w:style>
  <w:style w:type="paragraph" w:customStyle="1" w:styleId="120">
    <w:name w:val="Char Char1"/>
    <w:basedOn w:val="1"/>
    <w:qFormat/>
    <w:uiPriority w:val="0"/>
    <w:pPr>
      <w:spacing w:before="120" w:after="120" w:line="360" w:lineRule="auto"/>
      <w:ind w:firstLine="480" w:firstLineChars="200"/>
      <w:jc w:val="both"/>
    </w:pPr>
    <w:rPr>
      <w:rFonts w:ascii="Times New Roman" w:hAnsi="Times New Roman"/>
      <w:kern w:val="2"/>
    </w:rPr>
  </w:style>
  <w:style w:type="paragraph" w:customStyle="1" w:styleId="121">
    <w:name w:val="xl71"/>
    <w:basedOn w:val="1"/>
    <w:qFormat/>
    <w:uiPriority w:val="0"/>
    <w:pP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122">
    <w:name w:val="修订1"/>
    <w:unhideWhenUsed/>
    <w:qFormat/>
    <w:uiPriority w:val="99"/>
    <w:rPr>
      <w:rFonts w:ascii="宋体" w:hAnsi="宋体" w:eastAsia="宋体" w:cs="Times New Roman"/>
      <w:kern w:val="2"/>
      <w:sz w:val="24"/>
      <w:szCs w:val="24"/>
      <w:lang w:val="en-US" w:eastAsia="zh-CN" w:bidi="ar-SA"/>
    </w:rPr>
  </w:style>
  <w:style w:type="paragraph" w:customStyle="1" w:styleId="123">
    <w:name w:val="列出段落2"/>
    <w:basedOn w:val="1"/>
    <w:qFormat/>
    <w:uiPriority w:val="0"/>
    <w:pPr>
      <w:widowControl w:val="0"/>
      <w:ind w:firstLine="420" w:firstLineChars="200"/>
      <w:jc w:val="both"/>
    </w:pPr>
    <w:rPr>
      <w:rFonts w:ascii="等线" w:hAnsi="等线" w:eastAsia="等线" w:cs="等线"/>
      <w:kern w:val="2"/>
      <w:sz w:val="21"/>
      <w:szCs w:val="21"/>
    </w:rPr>
  </w:style>
  <w:style w:type="paragraph" w:customStyle="1" w:styleId="124">
    <w:name w:val="xl69"/>
    <w:basedOn w:val="1"/>
    <w:qFormat/>
    <w:uiPriority w:val="0"/>
    <w:pPr>
      <w:pBdr>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sz w:val="18"/>
      <w:szCs w:val="18"/>
    </w:rPr>
  </w:style>
  <w:style w:type="paragraph" w:customStyle="1" w:styleId="12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126">
    <w:name w:val="文档正文文本（中安网脉）"/>
    <w:basedOn w:val="1"/>
    <w:qFormat/>
    <w:uiPriority w:val="0"/>
    <w:pPr>
      <w:widowControl w:val="0"/>
      <w:spacing w:line="360" w:lineRule="auto"/>
      <w:ind w:firstLine="200" w:firstLineChars="200"/>
      <w:jc w:val="both"/>
    </w:pPr>
    <w:rPr>
      <w:rFonts w:ascii="Times New Roman" w:hAnsi="Times New Roman" w:eastAsia="仿宋_GB2312" w:cs="Times New Roman"/>
      <w:color w:val="000000"/>
      <w:kern w:val="2"/>
      <w:szCs w:val="28"/>
    </w:rPr>
  </w:style>
  <w:style w:type="paragraph" w:customStyle="1" w:styleId="127">
    <w:name w:val="xl65"/>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Microsoft Sans Serif" w:hAnsi="Microsoft Sans Serif" w:cs="Microsoft Sans Serif"/>
      <w:sz w:val="18"/>
      <w:szCs w:val="18"/>
    </w:rPr>
  </w:style>
  <w:style w:type="paragraph" w:customStyle="1" w:styleId="128">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9">
    <w:name w:val="样式 行距: 1.5 倍行距 首行缩进:  2 字符"/>
    <w:basedOn w:val="1"/>
    <w:qFormat/>
    <w:uiPriority w:val="0"/>
    <w:pPr>
      <w:widowControl w:val="0"/>
      <w:spacing w:line="360" w:lineRule="auto"/>
      <w:ind w:firstLine="560" w:firstLineChars="200"/>
    </w:pPr>
    <w:rPr>
      <w:rFonts w:ascii="仿宋" w:hAnsi="仿宋" w:eastAsia="仿宋"/>
      <w:kern w:val="2"/>
      <w:sz w:val="28"/>
      <w:szCs w:val="20"/>
    </w:rPr>
  </w:style>
  <w:style w:type="paragraph" w:customStyle="1" w:styleId="130">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1">
    <w:name w:val="!我的表格1"/>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1"/>
    <w:basedOn w:val="36"/>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标题 1 Char"/>
    <w:qFormat/>
    <w:uiPriority w:val="0"/>
    <w:rPr>
      <w:rFonts w:ascii="宋体" w:hAnsi="宋体" w:eastAsia="黑体"/>
      <w:b/>
      <w:bCs/>
      <w:kern w:val="44"/>
      <w:sz w:val="32"/>
      <w:szCs w:val="28"/>
    </w:rPr>
  </w:style>
  <w:style w:type="character" w:customStyle="1" w:styleId="134">
    <w:name w:val="纯文本 Char2"/>
    <w:qFormat/>
    <w:uiPriority w:val="0"/>
    <w:rPr>
      <w:rFonts w:ascii="宋体" w:hAnsi="宋体" w:eastAsia="宋体" w:cs="Times New Roman"/>
      <w:color w:val="000000"/>
      <w:kern w:val="0"/>
      <w:sz w:val="24"/>
      <w:szCs w:val="24"/>
    </w:rPr>
  </w:style>
  <w:style w:type="paragraph" w:customStyle="1" w:styleId="135">
    <w:name w:val="列出段落1"/>
    <w:basedOn w:val="1"/>
    <w:qFormat/>
    <w:uiPriority w:val="34"/>
    <w:pPr>
      <w:widowControl w:val="0"/>
      <w:ind w:firstLine="420" w:firstLineChars="200"/>
      <w:jc w:val="both"/>
    </w:pPr>
    <w:rPr>
      <w:rFonts w:ascii="Calibri" w:hAnsi="Calibri" w:cs="Times New Roman"/>
      <w:kern w:val="2"/>
      <w:sz w:val="21"/>
      <w:szCs w:val="22"/>
    </w:rPr>
  </w:style>
  <w:style w:type="paragraph" w:customStyle="1" w:styleId="136">
    <w:name w:val="表格"/>
    <w:basedOn w:val="1"/>
    <w:qFormat/>
    <w:uiPriority w:val="0"/>
    <w:pPr>
      <w:jc w:val="center"/>
    </w:pPr>
    <w:rPr>
      <w:rFonts w:hAnsi="仿宋"/>
      <w:color w:val="000000"/>
      <w:sz w:val="21"/>
      <w:szCs w:val="21"/>
    </w:rPr>
  </w:style>
  <w:style w:type="paragraph" w:customStyle="1" w:styleId="137">
    <w:name w:val="_Style 145"/>
    <w:basedOn w:val="16"/>
    <w:next w:val="35"/>
    <w:unhideWhenUsed/>
    <w:qFormat/>
    <w:uiPriority w:val="0"/>
    <w:pPr>
      <w:spacing w:line="360" w:lineRule="auto"/>
      <w:ind w:firstLine="420" w:firstLineChars="100"/>
    </w:pPr>
    <w:rPr>
      <w:rFonts w:ascii="等线" w:hAnsi="等线"/>
      <w:sz w:val="24"/>
      <w:szCs w:val="22"/>
      <w:lang w:val="zh-CN"/>
    </w:rPr>
  </w:style>
  <w:style w:type="character" w:customStyle="1" w:styleId="138">
    <w:name w:val="正文文本首行缩进 字符"/>
    <w:basedOn w:val="60"/>
    <w:link w:val="35"/>
    <w:semiHidden/>
    <w:qFormat/>
    <w:uiPriority w:val="0"/>
    <w:rPr>
      <w:rFonts w:ascii="宋体" w:hAnsi="宋体"/>
      <w:kern w:val="2"/>
      <w:sz w:val="24"/>
      <w:szCs w:val="24"/>
    </w:rPr>
  </w:style>
  <w:style w:type="paragraph" w:customStyle="1" w:styleId="139">
    <w:name w:val="可研正文"/>
    <w:basedOn w:val="1"/>
    <w:link w:val="140"/>
    <w:qFormat/>
    <w:uiPriority w:val="0"/>
    <w:pPr>
      <w:adjustRightInd w:val="0"/>
      <w:spacing w:line="360" w:lineRule="auto"/>
      <w:ind w:firstLine="560" w:firstLineChars="200"/>
      <w:jc w:val="both"/>
    </w:pPr>
    <w:rPr>
      <w:rFonts w:ascii="仿宋" w:hAnsi="仿宋" w:eastAsia="仿宋" w:cs="Times New Roman"/>
      <w:sz w:val="28"/>
      <w:szCs w:val="28"/>
    </w:rPr>
  </w:style>
  <w:style w:type="character" w:customStyle="1" w:styleId="140">
    <w:name w:val="可研正文 Char"/>
    <w:link w:val="139"/>
    <w:qFormat/>
    <w:uiPriority w:val="0"/>
    <w:rPr>
      <w:rFonts w:ascii="仿宋" w:hAnsi="仿宋" w:eastAsia="仿宋"/>
      <w:sz w:val="28"/>
      <w:szCs w:val="28"/>
    </w:rPr>
  </w:style>
  <w:style w:type="paragraph" w:customStyle="1" w:styleId="141">
    <w:name w:val="B-表正文"/>
    <w:qFormat/>
    <w:uiPriority w:val="0"/>
    <w:pPr>
      <w:spacing w:line="240" w:lineRule="atLeast"/>
    </w:pPr>
    <w:rPr>
      <w:rFonts w:ascii="Times New Roman" w:hAnsi="Times New Roman" w:eastAsia="仿宋" w:cstheme="minorBidi"/>
      <w:kern w:val="2"/>
      <w:sz w:val="21"/>
      <w:szCs w:val="24"/>
      <w:lang w:val="en-US" w:eastAsia="zh-CN" w:bidi="ar-SA"/>
    </w:rPr>
  </w:style>
  <w:style w:type="paragraph" w:customStyle="1" w:styleId="142">
    <w:name w:val="修订2"/>
    <w:hidden/>
    <w:semiHidden/>
    <w:qFormat/>
    <w:uiPriority w:val="99"/>
    <w:rPr>
      <w:rFonts w:ascii="宋体" w:hAnsi="宋体" w:eastAsia="宋体" w:cs="Times New Roman"/>
      <w:kern w:val="2"/>
      <w:sz w:val="24"/>
      <w:szCs w:val="24"/>
      <w:lang w:val="en-US" w:eastAsia="zh-CN" w:bidi="ar-SA"/>
    </w:rPr>
  </w:style>
  <w:style w:type="paragraph" w:customStyle="1" w:styleId="143">
    <w:name w:val="修订3"/>
    <w:hidden/>
    <w:semiHidden/>
    <w:qFormat/>
    <w:uiPriority w:val="99"/>
    <w:rPr>
      <w:rFonts w:ascii="宋体" w:hAnsi="宋体" w:eastAsia="宋体" w:cs="宋体"/>
      <w:sz w:val="24"/>
      <w:szCs w:val="24"/>
      <w:lang w:val="en-US" w:eastAsia="zh-CN" w:bidi="ar-SA"/>
    </w:rPr>
  </w:style>
  <w:style w:type="paragraph" w:customStyle="1" w:styleId="144">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Normal.dotm</Template>
  <Pages>48</Pages>
  <Words>5820</Words>
  <Characters>5886</Characters>
  <Lines>274</Lines>
  <Paragraphs>77</Paragraphs>
  <TotalTime>7</TotalTime>
  <ScaleCrop>false</ScaleCrop>
  <LinksUpToDate>false</LinksUpToDate>
  <CharactersWithSpaces>5970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2026-01-20T23:02:00Z</dcterms:created>
  <dc:creator>gtig_tzb</dc:creator>
  <cp:lastModifiedBy>高际航</cp:lastModifiedBy>
  <cp:lastPrinted>2020-08-07T20:08:00Z</cp:lastPrinted>
  <dcterms:modified xsi:type="dcterms:W3CDTF">2026-03-27T10:09:28Z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2D4BB6C1E4518934EFE4C5693E1EEA5E_43</vt:lpwstr>
  </property>
  <property fmtid="{D5CDD505-2E9C-101B-9397-08002B2CF9AE}" pid="4" name="KSOTemplateDocerSaveRecord">
    <vt:lpwstr>eyJoZGlkIjoiODc4NGEyMzMwNjcxZDcyN2EyMzgzMDM4NWU5ZGViODgiLCJ1c2VySWQiOiIyNTk0ODE4NTQifQ==</vt:lpwstr>
  </property>
</Properties>
</file>