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ind w:firstLine="0" w:firstLineChars="0"/>
        <w:jc w:val="center"/>
        <w:rPr>
          <w:rFonts w:ascii="黑体" w:hAnsi="宋体" w:eastAsia="黑体"/>
          <w:b/>
          <w:bCs/>
          <w:color w:val="auto"/>
          <w:sz w:val="44"/>
          <w:highlight w:val="none"/>
        </w:rPr>
      </w:pPr>
      <w:r>
        <w:rPr>
          <w:rFonts w:hint="eastAsia" w:ascii="黑体" w:hAnsi="宋体" w:eastAsia="黑体"/>
          <w:bCs/>
          <w:color w:val="auto"/>
          <w:sz w:val="32"/>
          <w:highlight w:val="none"/>
        </w:rPr>
        <w:t>交管总队情指中心电子显示屏建设项目技术需求</w:t>
      </w:r>
    </w:p>
    <w:p>
      <w:pPr>
        <w:spacing w:before="120"/>
        <w:ind w:firstLine="0" w:firstLineChars="0"/>
        <w:jc w:val="center"/>
        <w:rPr>
          <w:rFonts w:ascii="黑体" w:hAnsi="宋体" w:eastAsia="黑体"/>
          <w:bCs/>
          <w:color w:val="auto"/>
          <w:sz w:val="32"/>
          <w:highlight w:val="none"/>
        </w:rPr>
      </w:pPr>
      <w:r>
        <w:rPr>
          <w:rFonts w:hint="eastAsia" w:ascii="黑体" w:hAnsi="宋体" w:eastAsia="黑体"/>
          <w:bCs/>
          <w:color w:val="auto"/>
          <w:sz w:val="32"/>
          <w:highlight w:val="none"/>
        </w:rPr>
        <w:t>（设备+施工部分）</w:t>
      </w:r>
    </w:p>
    <w:p>
      <w:pPr>
        <w:spacing w:before="120"/>
        <w:ind w:firstLine="0" w:firstLineChars="0"/>
        <w:jc w:val="center"/>
        <w:rPr>
          <w:rFonts w:ascii="宋体" w:hAnsi="宋体"/>
          <w:b/>
          <w:bCs/>
          <w:color w:val="auto"/>
          <w:sz w:val="32"/>
          <w:highlight w:val="none"/>
        </w:rPr>
      </w:pPr>
      <w:r>
        <w:rPr>
          <w:rFonts w:hint="eastAsia" w:ascii="宋体" w:hAnsi="宋体"/>
          <w:b/>
          <w:bCs/>
          <w:color w:val="auto"/>
          <w:sz w:val="32"/>
          <w:highlight w:val="none"/>
        </w:rPr>
        <w:t>目 录</w:t>
      </w:r>
    </w:p>
    <w:p>
      <w:pPr>
        <w:pStyle w:val="19"/>
        <w:rPr>
          <w:rFonts w:ascii="等线" w:hAnsi="等线" w:eastAsia="等线"/>
          <w:color w:val="auto"/>
          <w:sz w:val="21"/>
          <w:highlight w:val="none"/>
        </w:rPr>
      </w:pPr>
      <w:r>
        <w:rPr>
          <w:rFonts w:ascii="宋体" w:hAnsi="宋体"/>
          <w:color w:val="auto"/>
          <w:highlight w:val="none"/>
        </w:rPr>
        <w:fldChar w:fldCharType="begin"/>
      </w:r>
      <w:r>
        <w:rPr>
          <w:rFonts w:ascii="宋体" w:hAnsi="宋体"/>
          <w:color w:val="auto"/>
          <w:highlight w:val="none"/>
        </w:rPr>
        <w:instrText xml:space="preserve"> TOC \o "1-4" \h \z \u </w:instrText>
      </w:r>
      <w:r>
        <w:rPr>
          <w:rFonts w:ascii="宋体" w:hAnsi="宋体"/>
          <w:color w:val="auto"/>
          <w:highlight w:val="none"/>
        </w:rPr>
        <w:fldChar w:fldCharType="separate"/>
      </w:r>
      <w:r>
        <w:rPr>
          <w:color w:val="auto"/>
          <w:highlight w:val="none"/>
        </w:rPr>
        <w:fldChar w:fldCharType="begin"/>
      </w:r>
      <w:r>
        <w:rPr>
          <w:color w:val="auto"/>
          <w:highlight w:val="none"/>
        </w:rPr>
        <w:instrText xml:space="preserve"> HYPERLINK \l "_Toc223194361" </w:instrText>
      </w:r>
      <w:r>
        <w:rPr>
          <w:color w:val="auto"/>
          <w:highlight w:val="none"/>
        </w:rPr>
        <w:fldChar w:fldCharType="separate"/>
      </w:r>
      <w:r>
        <w:rPr>
          <w:rStyle w:val="32"/>
          <w:rFonts w:ascii="宋体" w:hAnsi="宋体"/>
          <w:color w:val="auto"/>
          <w:highlight w:val="none"/>
        </w:rPr>
        <w:t>1. 概述</w:t>
      </w:r>
      <w:r>
        <w:rPr>
          <w:color w:val="auto"/>
          <w:highlight w:val="none"/>
        </w:rPr>
        <w:tab/>
      </w:r>
      <w:r>
        <w:rPr>
          <w:color w:val="auto"/>
          <w:highlight w:val="none"/>
        </w:rPr>
        <w:fldChar w:fldCharType="begin"/>
      </w:r>
      <w:r>
        <w:rPr>
          <w:color w:val="auto"/>
          <w:highlight w:val="none"/>
        </w:rPr>
        <w:instrText xml:space="preserve"> PAGEREF _Toc223194361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"_Toc223194362" </w:instrText>
      </w:r>
      <w:r>
        <w:rPr>
          <w:color w:val="auto"/>
          <w:highlight w:val="none"/>
        </w:rPr>
        <w:fldChar w:fldCharType="separate"/>
      </w:r>
      <w:r>
        <w:rPr>
          <w:rStyle w:val="32"/>
          <w:rFonts w:ascii="宋体" w:hAnsi="宋体"/>
          <w:color w:val="auto"/>
          <w:highlight w:val="none"/>
        </w:rPr>
        <w:t>1.1 建设背景</w:t>
      </w:r>
      <w:r>
        <w:rPr>
          <w:color w:val="auto"/>
          <w:highlight w:val="none"/>
        </w:rPr>
        <w:tab/>
      </w:r>
      <w:r>
        <w:rPr>
          <w:color w:val="auto"/>
          <w:highlight w:val="none"/>
        </w:rPr>
        <w:fldChar w:fldCharType="begin"/>
      </w:r>
      <w:r>
        <w:rPr>
          <w:color w:val="auto"/>
          <w:highlight w:val="none"/>
        </w:rPr>
        <w:instrText xml:space="preserve"> PAGEREF _Toc223194362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"_Toc223194363" </w:instrText>
      </w:r>
      <w:r>
        <w:rPr>
          <w:color w:val="auto"/>
          <w:highlight w:val="none"/>
        </w:rPr>
        <w:fldChar w:fldCharType="separate"/>
      </w:r>
      <w:r>
        <w:rPr>
          <w:rStyle w:val="32"/>
          <w:rFonts w:ascii="宋体" w:hAnsi="宋体"/>
          <w:color w:val="auto"/>
          <w:highlight w:val="none"/>
        </w:rPr>
        <w:t>1.2 现状介绍</w:t>
      </w:r>
      <w:r>
        <w:rPr>
          <w:color w:val="auto"/>
          <w:highlight w:val="none"/>
        </w:rPr>
        <w:tab/>
      </w:r>
      <w:r>
        <w:rPr>
          <w:color w:val="auto"/>
          <w:highlight w:val="none"/>
        </w:rPr>
        <w:fldChar w:fldCharType="begin"/>
      </w:r>
      <w:r>
        <w:rPr>
          <w:color w:val="auto"/>
          <w:highlight w:val="none"/>
        </w:rPr>
        <w:instrText xml:space="preserve"> PAGEREF _Toc223194363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"_Toc223194364" </w:instrText>
      </w:r>
      <w:r>
        <w:rPr>
          <w:color w:val="auto"/>
          <w:highlight w:val="none"/>
        </w:rPr>
        <w:fldChar w:fldCharType="separate"/>
      </w:r>
      <w:r>
        <w:rPr>
          <w:rStyle w:val="32"/>
          <w:rFonts w:ascii="宋体" w:hAnsi="宋体"/>
          <w:color w:val="auto"/>
          <w:highlight w:val="none"/>
        </w:rPr>
        <w:t>1.3 建设目标</w:t>
      </w:r>
      <w:r>
        <w:rPr>
          <w:color w:val="auto"/>
          <w:highlight w:val="none"/>
        </w:rPr>
        <w:tab/>
      </w:r>
      <w:r>
        <w:rPr>
          <w:color w:val="auto"/>
          <w:highlight w:val="none"/>
        </w:rPr>
        <w:fldChar w:fldCharType="begin"/>
      </w:r>
      <w:r>
        <w:rPr>
          <w:color w:val="auto"/>
          <w:highlight w:val="none"/>
        </w:rPr>
        <w:instrText xml:space="preserve"> PAGEREF _Toc223194364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"_Toc223194365" </w:instrText>
      </w:r>
      <w:r>
        <w:rPr>
          <w:color w:val="auto"/>
          <w:highlight w:val="none"/>
        </w:rPr>
        <w:fldChar w:fldCharType="separate"/>
      </w:r>
      <w:r>
        <w:rPr>
          <w:rStyle w:val="32"/>
          <w:rFonts w:ascii="宋体" w:hAnsi="宋体"/>
          <w:color w:val="auto"/>
          <w:highlight w:val="none"/>
        </w:rPr>
        <w:t>1.4 建设内容</w:t>
      </w:r>
      <w:r>
        <w:rPr>
          <w:color w:val="auto"/>
          <w:highlight w:val="none"/>
        </w:rPr>
        <w:tab/>
      </w:r>
      <w:r>
        <w:rPr>
          <w:color w:val="auto"/>
          <w:highlight w:val="none"/>
        </w:rPr>
        <w:fldChar w:fldCharType="begin"/>
      </w:r>
      <w:r>
        <w:rPr>
          <w:color w:val="auto"/>
          <w:highlight w:val="none"/>
        </w:rPr>
        <w:instrText xml:space="preserve"> PAGEREF _Toc223194365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"_Toc223194366" </w:instrText>
      </w:r>
      <w:r>
        <w:rPr>
          <w:color w:val="auto"/>
          <w:highlight w:val="none"/>
        </w:rPr>
        <w:fldChar w:fldCharType="separate"/>
      </w:r>
      <w:r>
        <w:rPr>
          <w:rStyle w:val="32"/>
          <w:rFonts w:ascii="宋体" w:hAnsi="宋体"/>
          <w:color w:val="auto"/>
          <w:highlight w:val="none"/>
        </w:rPr>
        <w:t>1.5 招标范围、内容及工程界面</w:t>
      </w:r>
      <w:r>
        <w:rPr>
          <w:color w:val="auto"/>
          <w:highlight w:val="none"/>
        </w:rPr>
        <w:tab/>
      </w:r>
      <w:r>
        <w:rPr>
          <w:color w:val="auto"/>
          <w:highlight w:val="none"/>
        </w:rPr>
        <w:fldChar w:fldCharType="begin"/>
      </w:r>
      <w:r>
        <w:rPr>
          <w:color w:val="auto"/>
          <w:highlight w:val="none"/>
        </w:rPr>
        <w:instrText xml:space="preserve"> PAGEREF _Toc223194366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pPr>
        <w:pStyle w:val="18"/>
        <w:tabs>
          <w:tab w:val="right" w:leader="dot" w:pos="8296"/>
        </w:tabs>
        <w:ind w:left="1440" w:firstLine="480"/>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"_Toc223194367" </w:instrText>
      </w:r>
      <w:r>
        <w:rPr>
          <w:color w:val="auto"/>
          <w:highlight w:val="none"/>
        </w:rPr>
        <w:fldChar w:fldCharType="separate"/>
      </w:r>
      <w:r>
        <w:rPr>
          <w:rStyle w:val="32"/>
          <w:rFonts w:ascii="宋体" w:hAnsi="宋体"/>
          <w:color w:val="auto"/>
          <w:highlight w:val="none"/>
        </w:rPr>
        <w:t>1.5.1 招标范围</w:t>
      </w:r>
      <w:r>
        <w:rPr>
          <w:color w:val="auto"/>
          <w:highlight w:val="none"/>
        </w:rPr>
        <w:tab/>
      </w:r>
      <w:r>
        <w:rPr>
          <w:color w:val="auto"/>
          <w:highlight w:val="none"/>
        </w:rPr>
        <w:fldChar w:fldCharType="begin"/>
      </w:r>
      <w:r>
        <w:rPr>
          <w:color w:val="auto"/>
          <w:highlight w:val="none"/>
        </w:rPr>
        <w:instrText xml:space="preserve"> PAGEREF _Toc223194367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pPr>
        <w:pStyle w:val="18"/>
        <w:tabs>
          <w:tab w:val="right" w:leader="dot" w:pos="8296"/>
        </w:tabs>
        <w:ind w:left="1440" w:firstLine="480"/>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"_Toc223194368" </w:instrText>
      </w:r>
      <w:r>
        <w:rPr>
          <w:color w:val="auto"/>
          <w:highlight w:val="none"/>
        </w:rPr>
        <w:fldChar w:fldCharType="separate"/>
      </w:r>
      <w:r>
        <w:rPr>
          <w:rStyle w:val="32"/>
          <w:rFonts w:ascii="宋体" w:hAnsi="宋体"/>
          <w:color w:val="auto"/>
          <w:highlight w:val="none"/>
        </w:rPr>
        <w:t>1.5.2 招标内容</w:t>
      </w:r>
      <w:r>
        <w:rPr>
          <w:color w:val="auto"/>
          <w:highlight w:val="none"/>
        </w:rPr>
        <w:tab/>
      </w:r>
      <w:r>
        <w:rPr>
          <w:color w:val="auto"/>
          <w:highlight w:val="none"/>
        </w:rPr>
        <w:fldChar w:fldCharType="begin"/>
      </w:r>
      <w:r>
        <w:rPr>
          <w:color w:val="auto"/>
          <w:highlight w:val="none"/>
        </w:rPr>
        <w:instrText xml:space="preserve"> PAGEREF _Toc223194368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pPr>
        <w:pStyle w:val="18"/>
        <w:tabs>
          <w:tab w:val="right" w:leader="dot" w:pos="8296"/>
        </w:tabs>
        <w:ind w:left="1440" w:firstLine="480"/>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"_Toc223194369" </w:instrText>
      </w:r>
      <w:r>
        <w:rPr>
          <w:color w:val="auto"/>
          <w:highlight w:val="none"/>
        </w:rPr>
        <w:fldChar w:fldCharType="separate"/>
      </w:r>
      <w:r>
        <w:rPr>
          <w:rStyle w:val="32"/>
          <w:rFonts w:ascii="宋体" w:hAnsi="宋体"/>
          <w:color w:val="auto"/>
          <w:highlight w:val="none"/>
        </w:rPr>
        <w:t>1.5.3 与相关工程的界面</w:t>
      </w:r>
      <w:r>
        <w:rPr>
          <w:color w:val="auto"/>
          <w:highlight w:val="none"/>
        </w:rPr>
        <w:tab/>
      </w:r>
      <w:r>
        <w:rPr>
          <w:color w:val="auto"/>
          <w:highlight w:val="none"/>
        </w:rPr>
        <w:fldChar w:fldCharType="begin"/>
      </w:r>
      <w:r>
        <w:rPr>
          <w:color w:val="auto"/>
          <w:highlight w:val="none"/>
        </w:rPr>
        <w:instrText xml:space="preserve"> PAGEREF _Toc223194369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pPr>
        <w:pStyle w:val="19"/>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"_Toc223194370" </w:instrText>
      </w:r>
      <w:r>
        <w:rPr>
          <w:color w:val="auto"/>
          <w:highlight w:val="none"/>
        </w:rPr>
        <w:fldChar w:fldCharType="separate"/>
      </w:r>
      <w:r>
        <w:rPr>
          <w:rStyle w:val="32"/>
          <w:rFonts w:ascii="宋体" w:hAnsi="宋体"/>
          <w:color w:val="auto"/>
          <w:highlight w:val="none"/>
        </w:rPr>
        <w:t>2. 总体要求</w:t>
      </w:r>
      <w:r>
        <w:rPr>
          <w:color w:val="auto"/>
          <w:highlight w:val="none"/>
        </w:rPr>
        <w:tab/>
      </w:r>
      <w:r>
        <w:rPr>
          <w:color w:val="auto"/>
          <w:highlight w:val="none"/>
        </w:rPr>
        <w:fldChar w:fldCharType="begin"/>
      </w:r>
      <w:r>
        <w:rPr>
          <w:color w:val="auto"/>
          <w:highlight w:val="none"/>
        </w:rPr>
        <w:instrText xml:space="preserve"> PAGEREF _Toc223194370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"_Toc223194371" </w:instrText>
      </w:r>
      <w:r>
        <w:rPr>
          <w:color w:val="auto"/>
          <w:highlight w:val="none"/>
        </w:rPr>
        <w:fldChar w:fldCharType="separate"/>
      </w:r>
      <w:r>
        <w:rPr>
          <w:rStyle w:val="32"/>
          <w:rFonts w:ascii="宋体" w:hAnsi="宋体"/>
          <w:color w:val="auto"/>
          <w:highlight w:val="none"/>
        </w:rPr>
        <w:t>2.1 系统建设原则</w:t>
      </w:r>
      <w:r>
        <w:rPr>
          <w:color w:val="auto"/>
          <w:highlight w:val="none"/>
        </w:rPr>
        <w:tab/>
      </w:r>
      <w:r>
        <w:rPr>
          <w:color w:val="auto"/>
          <w:highlight w:val="none"/>
        </w:rPr>
        <w:fldChar w:fldCharType="begin"/>
      </w:r>
      <w:r>
        <w:rPr>
          <w:color w:val="auto"/>
          <w:highlight w:val="none"/>
        </w:rPr>
        <w:instrText xml:space="preserve"> PAGEREF _Toc223194371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"_Toc223194372" </w:instrText>
      </w:r>
      <w:r>
        <w:rPr>
          <w:color w:val="auto"/>
          <w:highlight w:val="none"/>
        </w:rPr>
        <w:fldChar w:fldCharType="separate"/>
      </w:r>
      <w:r>
        <w:rPr>
          <w:rStyle w:val="32"/>
          <w:rFonts w:ascii="宋体" w:hAnsi="宋体"/>
          <w:color w:val="auto"/>
          <w:highlight w:val="none"/>
        </w:rPr>
        <w:t>2.2 建设技术标准</w:t>
      </w:r>
      <w:r>
        <w:rPr>
          <w:color w:val="auto"/>
          <w:highlight w:val="none"/>
        </w:rPr>
        <w:tab/>
      </w:r>
      <w:r>
        <w:rPr>
          <w:color w:val="auto"/>
          <w:highlight w:val="none"/>
        </w:rPr>
        <w:fldChar w:fldCharType="begin"/>
      </w:r>
      <w:r>
        <w:rPr>
          <w:color w:val="auto"/>
          <w:highlight w:val="none"/>
        </w:rPr>
        <w:instrText xml:space="preserve"> PAGEREF _Toc223194372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"_Toc223194373" </w:instrText>
      </w:r>
      <w:r>
        <w:rPr>
          <w:color w:val="auto"/>
          <w:highlight w:val="none"/>
        </w:rPr>
        <w:fldChar w:fldCharType="separate"/>
      </w:r>
      <w:r>
        <w:rPr>
          <w:rStyle w:val="32"/>
          <w:rFonts w:ascii="宋体" w:hAnsi="宋体"/>
          <w:color w:val="auto"/>
          <w:highlight w:val="none"/>
        </w:rPr>
        <w:t>2.3 系统总体架构</w:t>
      </w:r>
      <w:r>
        <w:rPr>
          <w:color w:val="auto"/>
          <w:highlight w:val="none"/>
        </w:rPr>
        <w:tab/>
      </w:r>
      <w:r>
        <w:rPr>
          <w:color w:val="auto"/>
          <w:highlight w:val="none"/>
        </w:rPr>
        <w:fldChar w:fldCharType="begin"/>
      </w:r>
      <w:r>
        <w:rPr>
          <w:color w:val="auto"/>
          <w:highlight w:val="none"/>
        </w:rPr>
        <w:instrText xml:space="preserve"> PAGEREF _Toc223194373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"_Toc223194374" </w:instrText>
      </w:r>
      <w:r>
        <w:rPr>
          <w:color w:val="auto"/>
          <w:highlight w:val="none"/>
        </w:rPr>
        <w:fldChar w:fldCharType="separate"/>
      </w:r>
      <w:r>
        <w:rPr>
          <w:rStyle w:val="32"/>
          <w:rFonts w:ascii="宋体" w:hAnsi="宋体"/>
          <w:color w:val="auto"/>
          <w:highlight w:val="none"/>
        </w:rPr>
        <w:t>2.4 主要设备技术指标</w:t>
      </w:r>
      <w:r>
        <w:rPr>
          <w:color w:val="auto"/>
          <w:highlight w:val="none"/>
        </w:rPr>
        <w:tab/>
      </w:r>
      <w:r>
        <w:rPr>
          <w:color w:val="auto"/>
          <w:highlight w:val="none"/>
        </w:rPr>
        <w:fldChar w:fldCharType="begin"/>
      </w:r>
      <w:r>
        <w:rPr>
          <w:color w:val="auto"/>
          <w:highlight w:val="none"/>
        </w:rPr>
        <w:instrText xml:space="preserve"> PAGEREF _Toc223194374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pPr>
        <w:pStyle w:val="18"/>
        <w:tabs>
          <w:tab w:val="right" w:leader="dot" w:pos="8296"/>
        </w:tabs>
        <w:ind w:left="1440" w:firstLine="480"/>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"_Toc223194375" </w:instrText>
      </w:r>
      <w:r>
        <w:rPr>
          <w:color w:val="auto"/>
          <w:highlight w:val="none"/>
        </w:rPr>
        <w:fldChar w:fldCharType="separate"/>
      </w:r>
      <w:r>
        <w:rPr>
          <w:rStyle w:val="32"/>
          <w:rFonts w:ascii="宋体" w:hAnsi="宋体"/>
          <w:color w:val="auto"/>
          <w:highlight w:val="none"/>
        </w:rPr>
        <w:t>2.4.1 大屏部分</w:t>
      </w:r>
      <w:r>
        <w:rPr>
          <w:color w:val="auto"/>
          <w:highlight w:val="none"/>
        </w:rPr>
        <w:tab/>
      </w:r>
      <w:r>
        <w:rPr>
          <w:color w:val="auto"/>
          <w:highlight w:val="none"/>
        </w:rPr>
        <w:fldChar w:fldCharType="begin"/>
      </w:r>
      <w:r>
        <w:rPr>
          <w:color w:val="auto"/>
          <w:highlight w:val="none"/>
        </w:rPr>
        <w:instrText xml:space="preserve"> PAGEREF _Toc223194375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pPr>
        <w:pStyle w:val="18"/>
        <w:tabs>
          <w:tab w:val="right" w:leader="dot" w:pos="8296"/>
        </w:tabs>
        <w:ind w:left="1440" w:firstLine="480"/>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"_Toc223194376" </w:instrText>
      </w:r>
      <w:r>
        <w:rPr>
          <w:color w:val="auto"/>
          <w:highlight w:val="none"/>
        </w:rPr>
        <w:fldChar w:fldCharType="separate"/>
      </w:r>
      <w:r>
        <w:rPr>
          <w:rStyle w:val="32"/>
          <w:rFonts w:ascii="宋体" w:hAnsi="宋体"/>
          <w:color w:val="auto"/>
          <w:highlight w:val="none"/>
        </w:rPr>
        <w:t>2.4.2 拼控部分</w:t>
      </w:r>
      <w:r>
        <w:rPr>
          <w:color w:val="auto"/>
          <w:highlight w:val="none"/>
        </w:rPr>
        <w:tab/>
      </w:r>
      <w:r>
        <w:rPr>
          <w:color w:val="auto"/>
          <w:highlight w:val="none"/>
        </w:rPr>
        <w:fldChar w:fldCharType="begin"/>
      </w:r>
      <w:r>
        <w:rPr>
          <w:color w:val="auto"/>
          <w:highlight w:val="none"/>
        </w:rPr>
        <w:instrText xml:space="preserve"> PAGEREF _Toc223194376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pPr>
        <w:pStyle w:val="19"/>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"_Toc223194377" </w:instrText>
      </w:r>
      <w:r>
        <w:rPr>
          <w:color w:val="auto"/>
          <w:highlight w:val="none"/>
        </w:rPr>
        <w:fldChar w:fldCharType="separate"/>
      </w:r>
      <w:r>
        <w:rPr>
          <w:rStyle w:val="32"/>
          <w:rFonts w:ascii="宋体" w:hAnsi="宋体"/>
          <w:color w:val="auto"/>
          <w:highlight w:val="none"/>
        </w:rPr>
        <w:t>3. 工程量清单</w:t>
      </w:r>
      <w:r>
        <w:rPr>
          <w:color w:val="auto"/>
          <w:highlight w:val="none"/>
        </w:rPr>
        <w:tab/>
      </w:r>
      <w:r>
        <w:rPr>
          <w:color w:val="auto"/>
          <w:highlight w:val="none"/>
        </w:rPr>
        <w:fldChar w:fldCharType="begin"/>
      </w:r>
      <w:r>
        <w:rPr>
          <w:color w:val="auto"/>
          <w:highlight w:val="none"/>
        </w:rPr>
        <w:instrText xml:space="preserve"> PAGEREF _Toc223194377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pPr>
        <w:pStyle w:val="19"/>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"_Toc223194378" </w:instrText>
      </w:r>
      <w:r>
        <w:rPr>
          <w:color w:val="auto"/>
          <w:highlight w:val="none"/>
        </w:rPr>
        <w:fldChar w:fldCharType="separate"/>
      </w:r>
      <w:r>
        <w:rPr>
          <w:rStyle w:val="32"/>
          <w:rFonts w:ascii="宋体" w:hAnsi="宋体"/>
          <w:color w:val="auto"/>
          <w:highlight w:val="none"/>
        </w:rPr>
        <w:t>4. 经费估算</w:t>
      </w:r>
      <w:r>
        <w:rPr>
          <w:color w:val="auto"/>
          <w:highlight w:val="none"/>
        </w:rPr>
        <w:tab/>
      </w:r>
      <w:r>
        <w:rPr>
          <w:color w:val="auto"/>
          <w:highlight w:val="none"/>
        </w:rPr>
        <w:fldChar w:fldCharType="begin"/>
      </w:r>
      <w:r>
        <w:rPr>
          <w:color w:val="auto"/>
          <w:highlight w:val="none"/>
        </w:rPr>
        <w:instrText xml:space="preserve"> PAGEREF _Toc223194378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pPr>
        <w:pStyle w:val="19"/>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"_Toc223194379" </w:instrText>
      </w:r>
      <w:r>
        <w:rPr>
          <w:color w:val="auto"/>
          <w:highlight w:val="none"/>
        </w:rPr>
        <w:fldChar w:fldCharType="separate"/>
      </w:r>
      <w:r>
        <w:rPr>
          <w:rStyle w:val="32"/>
          <w:rFonts w:ascii="宋体" w:hAnsi="宋体"/>
          <w:color w:val="auto"/>
          <w:highlight w:val="none"/>
        </w:rPr>
        <w:t>5. 工程要求</w:t>
      </w:r>
      <w:r>
        <w:rPr>
          <w:color w:val="auto"/>
          <w:highlight w:val="none"/>
        </w:rPr>
        <w:tab/>
      </w:r>
      <w:r>
        <w:rPr>
          <w:color w:val="auto"/>
          <w:highlight w:val="none"/>
        </w:rPr>
        <w:fldChar w:fldCharType="begin"/>
      </w:r>
      <w:r>
        <w:rPr>
          <w:color w:val="auto"/>
          <w:highlight w:val="none"/>
        </w:rPr>
        <w:instrText xml:space="preserve"> PAGEREF _Toc223194379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"_Toc223194380" </w:instrText>
      </w:r>
      <w:r>
        <w:rPr>
          <w:color w:val="auto"/>
          <w:highlight w:val="none"/>
        </w:rPr>
        <w:fldChar w:fldCharType="separate"/>
      </w:r>
      <w:r>
        <w:rPr>
          <w:rStyle w:val="32"/>
          <w:rFonts w:ascii="宋体" w:hAnsi="宋体"/>
          <w:color w:val="auto"/>
          <w:highlight w:val="none"/>
        </w:rPr>
        <w:t>5.1 建设周期要求</w:t>
      </w:r>
      <w:r>
        <w:rPr>
          <w:color w:val="auto"/>
          <w:highlight w:val="none"/>
        </w:rPr>
        <w:tab/>
      </w:r>
      <w:r>
        <w:rPr>
          <w:color w:val="auto"/>
          <w:highlight w:val="none"/>
        </w:rPr>
        <w:fldChar w:fldCharType="begin"/>
      </w:r>
      <w:r>
        <w:rPr>
          <w:color w:val="auto"/>
          <w:highlight w:val="none"/>
        </w:rPr>
        <w:instrText xml:space="preserve"> PAGEREF _Toc223194380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"_Toc223194381" </w:instrText>
      </w:r>
      <w:r>
        <w:rPr>
          <w:color w:val="auto"/>
          <w:highlight w:val="none"/>
        </w:rPr>
        <w:fldChar w:fldCharType="separate"/>
      </w:r>
      <w:r>
        <w:rPr>
          <w:rStyle w:val="32"/>
          <w:rFonts w:ascii="宋体" w:hAnsi="宋体"/>
          <w:color w:val="auto"/>
          <w:highlight w:val="none"/>
        </w:rPr>
        <w:t>5.2 知识产权要求</w:t>
      </w:r>
      <w:r>
        <w:rPr>
          <w:color w:val="auto"/>
          <w:highlight w:val="none"/>
        </w:rPr>
        <w:tab/>
      </w:r>
      <w:r>
        <w:rPr>
          <w:color w:val="auto"/>
          <w:highlight w:val="none"/>
        </w:rPr>
        <w:fldChar w:fldCharType="begin"/>
      </w:r>
      <w:r>
        <w:rPr>
          <w:color w:val="auto"/>
          <w:highlight w:val="none"/>
        </w:rPr>
        <w:instrText xml:space="preserve"> PAGEREF _Toc223194381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"_Toc223194382" </w:instrText>
      </w:r>
      <w:r>
        <w:rPr>
          <w:color w:val="auto"/>
          <w:highlight w:val="none"/>
        </w:rPr>
        <w:fldChar w:fldCharType="separate"/>
      </w:r>
      <w:r>
        <w:rPr>
          <w:rStyle w:val="32"/>
          <w:rFonts w:ascii="宋体" w:hAnsi="宋体"/>
          <w:color w:val="auto"/>
          <w:highlight w:val="none"/>
        </w:rPr>
        <w:t>5.4 售后服务及质保要求</w:t>
      </w:r>
      <w:r>
        <w:rPr>
          <w:color w:val="auto"/>
          <w:highlight w:val="none"/>
        </w:rPr>
        <w:tab/>
      </w:r>
      <w:r>
        <w:rPr>
          <w:color w:val="auto"/>
          <w:highlight w:val="none"/>
        </w:rPr>
        <w:fldChar w:fldCharType="begin"/>
      </w:r>
      <w:r>
        <w:rPr>
          <w:color w:val="auto"/>
          <w:highlight w:val="none"/>
        </w:rPr>
        <w:instrText xml:space="preserve"> PAGEREF _Toc223194382 \h </w:instrText>
      </w:r>
      <w:r>
        <w:rPr>
          <w:color w:val="auto"/>
          <w:highlight w:val="none"/>
        </w:rPr>
        <w:fldChar w:fldCharType="separate"/>
      </w:r>
      <w:r>
        <w:rPr>
          <w:color w:val="auto"/>
          <w:highlight w:val="none"/>
        </w:rPr>
        <w:t>- 16 -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"_Toc223194383" </w:instrText>
      </w:r>
      <w:r>
        <w:rPr>
          <w:color w:val="auto"/>
          <w:highlight w:val="none"/>
        </w:rPr>
        <w:fldChar w:fldCharType="separate"/>
      </w:r>
      <w:r>
        <w:rPr>
          <w:rStyle w:val="32"/>
          <w:rFonts w:ascii="宋体" w:hAnsi="宋体"/>
          <w:color w:val="auto"/>
          <w:highlight w:val="none"/>
        </w:rPr>
        <w:t>5.5 文档要求</w:t>
      </w:r>
      <w:r>
        <w:rPr>
          <w:color w:val="auto"/>
          <w:highlight w:val="none"/>
        </w:rPr>
        <w:tab/>
      </w:r>
      <w:r>
        <w:rPr>
          <w:color w:val="auto"/>
          <w:highlight w:val="none"/>
        </w:rPr>
        <w:fldChar w:fldCharType="begin"/>
      </w:r>
      <w:r>
        <w:rPr>
          <w:color w:val="auto"/>
          <w:highlight w:val="none"/>
        </w:rPr>
        <w:instrText xml:space="preserve"> PAGEREF _Toc223194383 \h </w:instrText>
      </w:r>
      <w:r>
        <w:rPr>
          <w:color w:val="auto"/>
          <w:highlight w:val="none"/>
        </w:rPr>
        <w:fldChar w:fldCharType="separate"/>
      </w:r>
      <w:r>
        <w:rPr>
          <w:color w:val="auto"/>
          <w:highlight w:val="none"/>
        </w:rPr>
        <w:t>- 16 -</w:t>
      </w:r>
      <w:r>
        <w:rPr>
          <w:color w:val="auto"/>
          <w:highlight w:val="none"/>
        </w:rPr>
        <w:fldChar w:fldCharType="end"/>
      </w:r>
      <w:r>
        <w:rPr>
          <w:color w:val="auto"/>
          <w:highlight w:val="none"/>
        </w:rPr>
        <w:fldChar w:fldCharType="end"/>
      </w:r>
    </w:p>
    <w:p>
      <w:pPr>
        <w:pStyle w:val="13"/>
        <w:rPr>
          <w:rFonts w:ascii="等线" w:hAnsi="等线" w:eastAsia="等线"/>
          <w:color w:val="auto"/>
          <w:sz w:val="21"/>
          <w:highlight w:val="none"/>
        </w:rPr>
      </w:pPr>
      <w:r>
        <w:rPr>
          <w:color w:val="auto"/>
          <w:highlight w:val="none"/>
        </w:rPr>
        <w:fldChar w:fldCharType="begin"/>
      </w:r>
      <w:r>
        <w:rPr>
          <w:color w:val="auto"/>
          <w:highlight w:val="none"/>
        </w:rPr>
        <w:instrText xml:space="preserve"> HYPERLINK \l "_Toc223194384" </w:instrText>
      </w:r>
      <w:r>
        <w:rPr>
          <w:color w:val="auto"/>
          <w:highlight w:val="none"/>
        </w:rPr>
        <w:fldChar w:fldCharType="separate"/>
      </w:r>
      <w:r>
        <w:rPr>
          <w:rStyle w:val="32"/>
          <w:rFonts w:ascii="宋体" w:hAnsi="宋体"/>
          <w:color w:val="auto"/>
          <w:highlight w:val="none"/>
        </w:rPr>
        <w:t>5.6 人员培训要求</w:t>
      </w:r>
      <w:r>
        <w:rPr>
          <w:color w:val="auto"/>
          <w:highlight w:val="none"/>
        </w:rPr>
        <w:tab/>
      </w:r>
      <w:r>
        <w:rPr>
          <w:color w:val="auto"/>
          <w:highlight w:val="none"/>
        </w:rPr>
        <w:fldChar w:fldCharType="begin"/>
      </w:r>
      <w:r>
        <w:rPr>
          <w:color w:val="auto"/>
          <w:highlight w:val="none"/>
        </w:rPr>
        <w:instrText xml:space="preserve"> PAGEREF _Toc223194384 \h </w:instrText>
      </w:r>
      <w:r>
        <w:rPr>
          <w:color w:val="auto"/>
          <w:highlight w:val="none"/>
        </w:rPr>
        <w:fldChar w:fldCharType="separate"/>
      </w:r>
      <w:r>
        <w:rPr>
          <w:color w:val="auto"/>
          <w:highlight w:val="none"/>
        </w:rPr>
        <w:t>- 16 -</w:t>
      </w:r>
      <w:r>
        <w:rPr>
          <w:color w:val="auto"/>
          <w:highlight w:val="none"/>
        </w:rPr>
        <w:fldChar w:fldCharType="end"/>
      </w:r>
      <w:r>
        <w:rPr>
          <w:color w:val="auto"/>
          <w:highlight w:val="none"/>
        </w:rPr>
        <w:fldChar w:fldCharType="end"/>
      </w:r>
    </w:p>
    <w:p>
      <w:pPr>
        <w:ind w:firstLine="480"/>
        <w:rPr>
          <w:rFonts w:ascii="宋体" w:hAnsi="宋体"/>
          <w:color w:val="auto"/>
          <w:highlight w:val="none"/>
        </w:rPr>
      </w:pPr>
      <w:r>
        <w:rPr>
          <w:rFonts w:ascii="宋体" w:hAnsi="宋体"/>
          <w:color w:val="auto"/>
          <w:highlight w:val="none"/>
        </w:rPr>
        <w:fldChar w:fldCharType="end"/>
      </w:r>
    </w:p>
    <w:p>
      <w:pPr>
        <w:spacing w:before="120"/>
        <w:ind w:firstLine="0" w:firstLineChars="0"/>
        <w:jc w:val="center"/>
        <w:rPr>
          <w:rFonts w:ascii="宋体" w:hAnsi="宋体"/>
          <w:b/>
          <w:bCs/>
          <w:color w:val="auto"/>
          <w:sz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numberInDash"/>
          <w:cols w:space="720" w:num="1"/>
          <w:docGrid w:type="lines" w:linePitch="312" w:charSpace="0"/>
        </w:sectPr>
      </w:pPr>
    </w:p>
    <w:p>
      <w:pPr>
        <w:pStyle w:val="4"/>
        <w:rPr>
          <w:rFonts w:ascii="宋体" w:hAnsi="宋体"/>
          <w:color w:val="auto"/>
          <w:highlight w:val="none"/>
        </w:rPr>
      </w:pPr>
      <w:bookmarkStart w:id="0" w:name="_Toc223194361"/>
      <w:r>
        <w:rPr>
          <w:rFonts w:hint="eastAsia" w:ascii="宋体" w:hAnsi="宋体"/>
          <w:color w:val="auto"/>
          <w:highlight w:val="none"/>
        </w:rPr>
        <w:t>1. 概述</w:t>
      </w:r>
      <w:bookmarkEnd w:id="0"/>
    </w:p>
    <w:p>
      <w:pPr>
        <w:pStyle w:val="5"/>
        <w:rPr>
          <w:rFonts w:ascii="宋体" w:hAnsi="宋体"/>
          <w:color w:val="auto"/>
          <w:highlight w:val="none"/>
        </w:rPr>
      </w:pPr>
      <w:bookmarkStart w:id="1" w:name="_Toc223194362"/>
      <w:r>
        <w:rPr>
          <w:rFonts w:hint="eastAsia" w:ascii="宋体" w:hAnsi="宋体"/>
          <w:color w:val="auto"/>
          <w:highlight w:val="none"/>
        </w:rPr>
        <w:t>1.1 建设背景</w:t>
      </w:r>
      <w:bookmarkEnd w:id="1"/>
    </w:p>
    <w:p>
      <w:pPr>
        <w:ind w:firstLine="480"/>
        <w:rPr>
          <w:rFonts w:ascii="宋体" w:hAnsi="宋体"/>
          <w:color w:val="auto"/>
          <w:highlight w:val="none"/>
        </w:rPr>
      </w:pPr>
      <w:r>
        <w:rPr>
          <w:rFonts w:hint="eastAsia" w:ascii="宋体" w:hAnsi="宋体" w:cs="宋体"/>
          <w:color w:val="auto"/>
          <w:kern w:val="0"/>
          <w:szCs w:val="24"/>
          <w:highlight w:val="none"/>
        </w:rPr>
        <w:t>上海市公安局交通管理总队情指中心现用电子</w:t>
      </w:r>
      <w:r>
        <w:rPr>
          <w:rFonts w:ascii="宋体" w:hAnsi="宋体" w:cs="宋体"/>
          <w:color w:val="auto"/>
          <w:kern w:val="0"/>
          <w:szCs w:val="24"/>
          <w:highlight w:val="none"/>
        </w:rPr>
        <w:t>显示屏</w:t>
      </w:r>
      <w:r>
        <w:rPr>
          <w:rFonts w:hint="eastAsia" w:ascii="宋体" w:hAnsi="宋体" w:cs="宋体"/>
          <w:color w:val="auto"/>
          <w:kern w:val="0"/>
          <w:szCs w:val="24"/>
          <w:highlight w:val="none"/>
        </w:rPr>
        <w:t>为2018年建设，由于长期24小时运行，设备老化严重，设备</w:t>
      </w:r>
      <w:r>
        <w:rPr>
          <w:rFonts w:ascii="宋体" w:hAnsi="宋体" w:cs="宋体"/>
          <w:color w:val="auto"/>
          <w:kern w:val="0"/>
          <w:szCs w:val="24"/>
          <w:highlight w:val="none"/>
        </w:rPr>
        <w:t>故障率</w:t>
      </w:r>
      <w:r>
        <w:rPr>
          <w:rFonts w:hint="eastAsia" w:ascii="宋体" w:hAnsi="宋体" w:cs="宋体"/>
          <w:color w:val="auto"/>
          <w:kern w:val="0"/>
          <w:szCs w:val="24"/>
          <w:highlight w:val="none"/>
        </w:rPr>
        <w:t>较高，</w:t>
      </w:r>
      <w:r>
        <w:rPr>
          <w:rFonts w:ascii="宋体" w:hAnsi="宋体" w:cs="宋体"/>
          <w:color w:val="auto"/>
          <w:kern w:val="0"/>
          <w:szCs w:val="24"/>
          <w:highlight w:val="none"/>
        </w:rPr>
        <w:t>对日常使用造成一定影响。</w:t>
      </w:r>
      <w:r>
        <w:rPr>
          <w:rFonts w:hint="eastAsia" w:ascii="宋体" w:hAnsi="宋体" w:cs="宋体"/>
          <w:color w:val="auto"/>
          <w:kern w:val="0"/>
          <w:szCs w:val="24"/>
          <w:highlight w:val="none"/>
        </w:rPr>
        <w:t>另外</w:t>
      </w:r>
      <w:r>
        <w:rPr>
          <w:rFonts w:ascii="宋体" w:hAnsi="宋体" w:cs="宋体"/>
          <w:color w:val="auto"/>
          <w:kern w:val="0"/>
          <w:szCs w:val="24"/>
          <w:highlight w:val="none"/>
        </w:rPr>
        <w:t>，由于设备产品型号较早，</w:t>
      </w:r>
      <w:r>
        <w:rPr>
          <w:rFonts w:hint="eastAsia" w:ascii="宋体" w:hAnsi="宋体" w:cs="宋体"/>
          <w:color w:val="auto"/>
          <w:kern w:val="0"/>
          <w:szCs w:val="24"/>
          <w:highlight w:val="none"/>
        </w:rPr>
        <w:t>部分配件</w:t>
      </w:r>
      <w:r>
        <w:rPr>
          <w:rFonts w:hint="eastAsia" w:ascii="宋体" w:hAnsi="宋体"/>
          <w:color w:val="auto"/>
          <w:highlight w:val="none"/>
        </w:rPr>
        <w:t>已陆续停产，虽然设备厂家尚</w:t>
      </w:r>
      <w:r>
        <w:rPr>
          <w:rFonts w:ascii="宋体" w:hAnsi="宋体"/>
          <w:color w:val="auto"/>
          <w:highlight w:val="none"/>
        </w:rPr>
        <w:t>在</w:t>
      </w:r>
      <w:r>
        <w:rPr>
          <w:rFonts w:hint="eastAsia" w:ascii="宋体" w:hAnsi="宋体"/>
          <w:color w:val="auto"/>
          <w:highlight w:val="none"/>
        </w:rPr>
        <w:t>提供维修服务，但消耗大量运维资源，影响总队</w:t>
      </w:r>
      <w:r>
        <w:rPr>
          <w:rFonts w:ascii="宋体" w:hAnsi="宋体"/>
          <w:color w:val="auto"/>
          <w:highlight w:val="none"/>
        </w:rPr>
        <w:t>日常</w:t>
      </w:r>
      <w:r>
        <w:rPr>
          <w:rFonts w:hint="eastAsia" w:ascii="宋体" w:hAnsi="宋体"/>
          <w:color w:val="auto"/>
          <w:highlight w:val="none"/>
        </w:rPr>
        <w:t>业务工作</w:t>
      </w:r>
      <w:r>
        <w:rPr>
          <w:rFonts w:ascii="宋体" w:hAnsi="宋体"/>
          <w:color w:val="auto"/>
          <w:highlight w:val="none"/>
        </w:rPr>
        <w:t>的</w:t>
      </w:r>
      <w:r>
        <w:rPr>
          <w:rFonts w:hint="eastAsia" w:ascii="宋体" w:hAnsi="宋体"/>
          <w:color w:val="auto"/>
          <w:highlight w:val="none"/>
        </w:rPr>
        <w:t>开展。</w:t>
      </w:r>
    </w:p>
    <w:p>
      <w:pPr>
        <w:pStyle w:val="5"/>
        <w:rPr>
          <w:rFonts w:ascii="宋体" w:hAnsi="宋体"/>
          <w:color w:val="auto"/>
          <w:highlight w:val="none"/>
        </w:rPr>
      </w:pPr>
      <w:bookmarkStart w:id="2" w:name="_Toc223194363"/>
      <w:r>
        <w:rPr>
          <w:rFonts w:hint="eastAsia" w:ascii="宋体" w:hAnsi="宋体"/>
          <w:color w:val="auto"/>
          <w:highlight w:val="none"/>
        </w:rPr>
        <w:t>1</w:t>
      </w:r>
      <w:r>
        <w:rPr>
          <w:rFonts w:ascii="宋体" w:hAnsi="宋体"/>
          <w:color w:val="auto"/>
          <w:highlight w:val="none"/>
        </w:rPr>
        <w:t xml:space="preserve">.2 </w:t>
      </w:r>
      <w:r>
        <w:rPr>
          <w:rFonts w:hint="eastAsia" w:ascii="宋体" w:hAnsi="宋体"/>
          <w:color w:val="auto"/>
          <w:highlight w:val="none"/>
        </w:rPr>
        <w:t>现状介绍</w:t>
      </w:r>
      <w:bookmarkEnd w:id="2"/>
    </w:p>
    <w:p>
      <w:pPr>
        <w:ind w:firstLine="480"/>
        <w:rPr>
          <w:rFonts w:ascii="宋体" w:hAnsi="宋体"/>
          <w:color w:val="auto"/>
          <w:highlight w:val="none"/>
        </w:rPr>
      </w:pPr>
      <w:r>
        <w:rPr>
          <w:rFonts w:hint="eastAsia" w:ascii="宋体" w:hAnsi="宋体" w:cs="宋体"/>
          <w:color w:val="auto"/>
          <w:kern w:val="0"/>
          <w:szCs w:val="24"/>
          <w:highlight w:val="none"/>
        </w:rPr>
        <w:t>总队现用LED大屏建设选用小间距LED全彩显示屏，像素间距为1.27mm，屏体共计24.482m²。尺寸为7.92m*3.09m，分辨率为6240*2430。为实现指挥决策一体化，大屏采用分布式拼控器系统进行控制。分布式拼控系统主要由服务器、输入节点、显示节点和集群网关等部分构成。服务器负责对整套系统进行管理，输入节点负责信号源接入编码，显示节点负责解码显示，从而有效</w:t>
      </w:r>
      <w:r>
        <w:rPr>
          <w:rFonts w:ascii="宋体" w:hAnsi="宋体" w:cs="宋体"/>
          <w:color w:val="auto"/>
          <w:kern w:val="0"/>
          <w:szCs w:val="24"/>
          <w:highlight w:val="none"/>
          <w:lang w:val="en-GB"/>
        </w:rPr>
        <w:t>地</w:t>
      </w:r>
      <w:r>
        <w:rPr>
          <w:rFonts w:hint="eastAsia" w:ascii="宋体" w:hAnsi="宋体" w:cs="宋体"/>
          <w:color w:val="auto"/>
          <w:kern w:val="0"/>
          <w:szCs w:val="24"/>
          <w:highlight w:val="none"/>
        </w:rPr>
        <w:t>接入任意视频源并上墙显示。不同的信号源通过输入节点统一转换成网络信号，通过网络传输至输出节点进行解码上墙显示，在指挥中心进行展示。</w:t>
      </w:r>
    </w:p>
    <w:p>
      <w:pPr>
        <w:pStyle w:val="5"/>
        <w:rPr>
          <w:rFonts w:ascii="宋体" w:hAnsi="宋体"/>
          <w:color w:val="auto"/>
          <w:highlight w:val="none"/>
        </w:rPr>
      </w:pPr>
      <w:bookmarkStart w:id="3" w:name="_Toc223194364"/>
      <w:r>
        <w:rPr>
          <w:rFonts w:hint="eastAsia" w:ascii="宋体" w:hAnsi="宋体"/>
          <w:color w:val="auto"/>
          <w:highlight w:val="none"/>
        </w:rPr>
        <w:t>1.</w:t>
      </w:r>
      <w:r>
        <w:rPr>
          <w:rFonts w:ascii="宋体" w:hAnsi="宋体"/>
          <w:color w:val="auto"/>
          <w:highlight w:val="none"/>
        </w:rPr>
        <w:t xml:space="preserve">3 </w:t>
      </w:r>
      <w:r>
        <w:rPr>
          <w:rFonts w:hint="eastAsia" w:ascii="宋体" w:hAnsi="宋体"/>
          <w:color w:val="auto"/>
          <w:highlight w:val="none"/>
        </w:rPr>
        <w:t>建设目标</w:t>
      </w:r>
      <w:bookmarkEnd w:id="3"/>
    </w:p>
    <w:p>
      <w:pPr>
        <w:ind w:firstLine="460" w:firstLineChars="192"/>
        <w:rPr>
          <w:rFonts w:ascii="宋体" w:hAnsi="宋体"/>
          <w:color w:val="auto"/>
          <w:szCs w:val="24"/>
          <w:highlight w:val="none"/>
        </w:rPr>
      </w:pPr>
      <w:r>
        <w:rPr>
          <w:rFonts w:hint="eastAsia" w:ascii="宋体" w:hAnsi="宋体"/>
          <w:color w:val="auto"/>
          <w:szCs w:val="24"/>
          <w:highlight w:val="none"/>
        </w:rPr>
        <w:t>以系统工程、信息工程、自动化控制等理论为指导，综合运用计算机、网络通讯、信号控制、视频等高新技术，建设一个集信息采集、传输、显示和分析处理功能于一体的科学高效的COB全彩屏显示系统，既可灵活多样地显示高分辨率视频图像，颜色丰富，图像清晰，而且画面支持拼接、分割、漫游等多种显示模式，充分满足客户的信息显示需求。配合集中控制管理系统，形成一套功能完整的用于会议、视频、展示的大屏幕显示系统；各种计算机信号、视频能以实时、直观、灵活多样的方式显示在大屏幕显示墙上，使用屏幕的人员可以高效的组织及处理各种信息，在应急情况下能快速的综合资源及有效</w:t>
      </w:r>
      <w:r>
        <w:rPr>
          <w:rFonts w:ascii="宋体" w:hAnsi="宋体"/>
          <w:color w:val="auto"/>
          <w:szCs w:val="24"/>
          <w:highlight w:val="none"/>
          <w:lang w:val="en-GB"/>
        </w:rPr>
        <w:t>反应</w:t>
      </w:r>
      <w:r>
        <w:rPr>
          <w:rFonts w:hint="eastAsia" w:ascii="宋体" w:hAnsi="宋体"/>
          <w:color w:val="auto"/>
          <w:szCs w:val="24"/>
          <w:highlight w:val="none"/>
        </w:rPr>
        <w:t>，创造一个高效直观的显示环境。</w:t>
      </w:r>
    </w:p>
    <w:p>
      <w:pPr>
        <w:pStyle w:val="5"/>
        <w:rPr>
          <w:rFonts w:ascii="宋体" w:hAnsi="宋体"/>
          <w:color w:val="auto"/>
          <w:highlight w:val="none"/>
        </w:rPr>
      </w:pPr>
      <w:bookmarkStart w:id="4" w:name="_Toc223194365"/>
      <w:r>
        <w:rPr>
          <w:rFonts w:hint="eastAsia" w:ascii="宋体" w:hAnsi="宋体"/>
          <w:color w:val="auto"/>
          <w:highlight w:val="none"/>
        </w:rPr>
        <w:t>1.</w:t>
      </w:r>
      <w:r>
        <w:rPr>
          <w:rFonts w:ascii="宋体" w:hAnsi="宋体"/>
          <w:color w:val="auto"/>
          <w:highlight w:val="none"/>
        </w:rPr>
        <w:t>4</w:t>
      </w:r>
      <w:r>
        <w:rPr>
          <w:rFonts w:hint="eastAsia" w:ascii="宋体" w:hAnsi="宋体"/>
          <w:color w:val="auto"/>
          <w:highlight w:val="none"/>
        </w:rPr>
        <w:t xml:space="preserve"> 建设内容</w:t>
      </w:r>
      <w:bookmarkEnd w:id="4"/>
    </w:p>
    <w:p>
      <w:pPr>
        <w:ind w:firstLine="480"/>
        <w:rPr>
          <w:rFonts w:ascii="宋体" w:hAnsi="宋体"/>
          <w:color w:val="auto"/>
          <w:highlight w:val="none"/>
        </w:rPr>
      </w:pPr>
      <w:r>
        <w:rPr>
          <w:rFonts w:hint="eastAsia" w:ascii="宋体" w:hAnsi="宋体"/>
          <w:color w:val="auto"/>
          <w:highlight w:val="none"/>
        </w:rPr>
        <w:t>本项目建设内容</w:t>
      </w:r>
      <w:r>
        <w:rPr>
          <w:rFonts w:ascii="宋体" w:hAnsi="宋体"/>
          <w:color w:val="auto"/>
          <w:highlight w:val="none"/>
          <w:lang w:val="en-GB"/>
        </w:rPr>
        <w:t>为</w:t>
      </w:r>
      <w:r>
        <w:rPr>
          <w:rFonts w:hint="eastAsia" w:ascii="宋体" w:hAnsi="宋体"/>
          <w:color w:val="auto"/>
          <w:highlight w:val="none"/>
        </w:rPr>
        <w:t>大屏主体和拼控设备的更新升级，另外，对老旧设备进行拆除。</w:t>
      </w:r>
    </w:p>
    <w:p>
      <w:pPr>
        <w:ind w:firstLine="480"/>
        <w:rPr>
          <w:rFonts w:ascii="宋体" w:hAnsi="宋体"/>
          <w:color w:val="auto"/>
          <w:highlight w:val="none"/>
        </w:rPr>
      </w:pPr>
      <w:r>
        <w:rPr>
          <w:rFonts w:hint="eastAsia" w:ascii="宋体" w:hAnsi="宋体"/>
          <w:color w:val="auto"/>
          <w:highlight w:val="none"/>
        </w:rPr>
        <w:t>大屏部分建设内容包括LED显示单元屏体、LED室内箱体线网组件包、LED电源线线束、LED配电柜以及屏体发送卡等设备。大屏面积共计23.69m²，其余还建设配电柜、屏体发送卡等配套设备。</w:t>
      </w:r>
    </w:p>
    <w:p>
      <w:pPr>
        <w:ind w:firstLine="480"/>
        <w:rPr>
          <w:rFonts w:ascii="宋体" w:hAnsi="宋体"/>
          <w:color w:val="auto"/>
          <w:highlight w:val="none"/>
        </w:rPr>
      </w:pPr>
      <w:r>
        <w:rPr>
          <w:rFonts w:hint="eastAsia" w:ascii="宋体" w:hAnsi="宋体"/>
          <w:color w:val="auto"/>
          <w:highlight w:val="none"/>
        </w:rPr>
        <w:t>拼控设备建设包括智能大屏管理系统单元、大屏控制客户端、视频输入节点、视频输出节点、集群网关、线材、HDMI视频线以及网线等。</w:t>
      </w:r>
    </w:p>
    <w:p>
      <w:pPr>
        <w:pStyle w:val="5"/>
        <w:rPr>
          <w:rFonts w:ascii="宋体" w:hAnsi="宋体"/>
          <w:color w:val="auto"/>
          <w:highlight w:val="none"/>
        </w:rPr>
      </w:pPr>
      <w:bookmarkStart w:id="5" w:name="_Toc223194366"/>
      <w:r>
        <w:rPr>
          <w:rFonts w:hint="eastAsia" w:ascii="宋体" w:hAnsi="宋体"/>
          <w:color w:val="auto"/>
          <w:highlight w:val="none"/>
        </w:rPr>
        <w:t>1.</w:t>
      </w:r>
      <w:r>
        <w:rPr>
          <w:rFonts w:ascii="宋体" w:hAnsi="宋体"/>
          <w:color w:val="auto"/>
          <w:highlight w:val="none"/>
        </w:rPr>
        <w:t>5</w:t>
      </w:r>
      <w:r>
        <w:rPr>
          <w:rFonts w:hint="eastAsia" w:ascii="宋体" w:hAnsi="宋体"/>
          <w:color w:val="auto"/>
          <w:highlight w:val="none"/>
        </w:rPr>
        <w:t xml:space="preserve"> 招标范围、内容及工程界面</w:t>
      </w:r>
      <w:bookmarkEnd w:id="5"/>
    </w:p>
    <w:p>
      <w:pPr>
        <w:pStyle w:val="6"/>
        <w:rPr>
          <w:rFonts w:ascii="宋体" w:hAnsi="宋体"/>
          <w:color w:val="auto"/>
          <w:highlight w:val="none"/>
        </w:rPr>
      </w:pPr>
      <w:bookmarkStart w:id="6" w:name="_Toc223194367"/>
      <w:r>
        <w:rPr>
          <w:rFonts w:hint="eastAsia" w:ascii="宋体" w:hAnsi="宋体"/>
          <w:color w:val="auto"/>
          <w:highlight w:val="none"/>
        </w:rPr>
        <w:t>1.</w:t>
      </w:r>
      <w:r>
        <w:rPr>
          <w:rFonts w:ascii="宋体" w:hAnsi="宋体"/>
          <w:color w:val="auto"/>
          <w:highlight w:val="none"/>
        </w:rPr>
        <w:t>5</w:t>
      </w:r>
      <w:r>
        <w:rPr>
          <w:rFonts w:hint="eastAsia" w:ascii="宋体" w:hAnsi="宋体"/>
          <w:color w:val="auto"/>
          <w:highlight w:val="none"/>
        </w:rPr>
        <w:t>.1 招标范围</w:t>
      </w:r>
      <w:bookmarkEnd w:id="6"/>
    </w:p>
    <w:p>
      <w:pPr>
        <w:ind w:firstLine="480"/>
        <w:jc w:val="left"/>
        <w:rPr>
          <w:rFonts w:ascii="宋体" w:hAnsi="宋体"/>
          <w:color w:val="auto"/>
          <w:highlight w:val="none"/>
        </w:rPr>
      </w:pPr>
      <w:r>
        <w:rPr>
          <w:rFonts w:hint="eastAsia" w:ascii="宋体" w:hAnsi="宋体"/>
          <w:color w:val="auto"/>
          <w:highlight w:val="none"/>
        </w:rPr>
        <w:t>本招标范围涉及大屏部分和拼控部分更新设备采购和施工建设以及现有大屏拆除和运输工作。</w:t>
      </w:r>
    </w:p>
    <w:p>
      <w:pPr>
        <w:pStyle w:val="6"/>
        <w:rPr>
          <w:rFonts w:ascii="宋体" w:hAnsi="宋体"/>
          <w:color w:val="auto"/>
          <w:highlight w:val="none"/>
        </w:rPr>
      </w:pPr>
      <w:bookmarkStart w:id="7" w:name="_Toc223194368"/>
      <w:r>
        <w:rPr>
          <w:rFonts w:hint="eastAsia" w:ascii="宋体" w:hAnsi="宋体"/>
          <w:color w:val="auto"/>
          <w:highlight w:val="none"/>
        </w:rPr>
        <w:t>1.</w:t>
      </w:r>
      <w:r>
        <w:rPr>
          <w:rFonts w:ascii="宋体" w:hAnsi="宋体"/>
          <w:color w:val="auto"/>
          <w:highlight w:val="none"/>
        </w:rPr>
        <w:t>5</w:t>
      </w:r>
      <w:r>
        <w:rPr>
          <w:rFonts w:hint="eastAsia" w:ascii="宋体" w:hAnsi="宋体"/>
          <w:color w:val="auto"/>
          <w:highlight w:val="none"/>
        </w:rPr>
        <w:t>.2 招标内容</w:t>
      </w:r>
      <w:bookmarkEnd w:id="7"/>
    </w:p>
    <w:p>
      <w:pPr>
        <w:ind w:firstLine="480"/>
        <w:rPr>
          <w:rFonts w:ascii="宋体" w:hAnsi="宋体"/>
          <w:color w:val="auto"/>
          <w:highlight w:val="none"/>
        </w:rPr>
      </w:pPr>
      <w:r>
        <w:rPr>
          <w:rFonts w:hint="eastAsia" w:ascii="宋体" w:hAnsi="宋体"/>
          <w:color w:val="auto"/>
          <w:highlight w:val="none"/>
        </w:rPr>
        <w:t>本次招标的主要更新建设内容为：</w:t>
      </w:r>
    </w:p>
    <w:p>
      <w:pPr>
        <w:ind w:firstLine="480"/>
        <w:rPr>
          <w:rFonts w:ascii="宋体" w:hAnsi="宋体"/>
          <w:color w:val="auto"/>
          <w:highlight w:val="none"/>
        </w:rPr>
      </w:pPr>
      <w:r>
        <w:rPr>
          <w:rFonts w:hint="eastAsia" w:ascii="宋体" w:hAnsi="宋体"/>
          <w:color w:val="auto"/>
          <w:highlight w:val="none"/>
        </w:rPr>
        <w:t>大屏部分建设内容包括LED显示单元屏体、LED室内箱体线网组件包、LED电源线线束、LED配电柜以及屏体发送卡等设备。大屏面积共计23.69m²，其余还建设配电柜、屏体发送卡等配套设备。</w:t>
      </w:r>
    </w:p>
    <w:p>
      <w:pPr>
        <w:ind w:firstLine="480"/>
        <w:rPr>
          <w:rFonts w:ascii="宋体" w:hAnsi="宋体"/>
          <w:color w:val="auto"/>
          <w:highlight w:val="none"/>
        </w:rPr>
      </w:pPr>
      <w:r>
        <w:rPr>
          <w:rFonts w:hint="eastAsia" w:ascii="宋体" w:hAnsi="宋体"/>
          <w:color w:val="auto"/>
          <w:highlight w:val="none"/>
        </w:rPr>
        <w:t>拼控设备建设包括智能大屏管理系统单元、大屏控制客户端、视频输入节点、视频输出节点、集群网关、线材、HDMI视频线以及网线等。</w:t>
      </w:r>
    </w:p>
    <w:p>
      <w:pPr>
        <w:ind w:firstLine="480"/>
        <w:rPr>
          <w:rFonts w:ascii="宋体" w:hAnsi="宋体"/>
          <w:color w:val="auto"/>
          <w:highlight w:val="none"/>
        </w:rPr>
      </w:pPr>
      <w:r>
        <w:rPr>
          <w:rFonts w:hint="eastAsia" w:ascii="宋体" w:hAnsi="宋体"/>
          <w:color w:val="auto"/>
          <w:highlight w:val="none"/>
        </w:rPr>
        <w:t>现有大屏的拆除和运输工作。</w:t>
      </w:r>
    </w:p>
    <w:p>
      <w:pPr>
        <w:pStyle w:val="6"/>
        <w:rPr>
          <w:rFonts w:ascii="宋体" w:hAnsi="宋体"/>
          <w:color w:val="auto"/>
          <w:highlight w:val="none"/>
        </w:rPr>
      </w:pPr>
      <w:bookmarkStart w:id="8" w:name="_Toc223194369"/>
      <w:r>
        <w:rPr>
          <w:rFonts w:hint="eastAsia" w:ascii="宋体" w:hAnsi="宋体"/>
          <w:color w:val="auto"/>
          <w:highlight w:val="none"/>
        </w:rPr>
        <w:t>1.</w:t>
      </w:r>
      <w:r>
        <w:rPr>
          <w:rFonts w:ascii="宋体" w:hAnsi="宋体"/>
          <w:color w:val="auto"/>
          <w:highlight w:val="none"/>
        </w:rPr>
        <w:t>5</w:t>
      </w:r>
      <w:r>
        <w:rPr>
          <w:rFonts w:hint="eastAsia" w:ascii="宋体" w:hAnsi="宋体"/>
          <w:color w:val="auto"/>
          <w:highlight w:val="none"/>
        </w:rPr>
        <w:t>.3 与相关工程的界面</w:t>
      </w:r>
      <w:bookmarkEnd w:id="8"/>
    </w:p>
    <w:p>
      <w:pPr>
        <w:ind w:firstLine="480"/>
        <w:rPr>
          <w:rFonts w:ascii="宋体" w:hAnsi="宋体"/>
          <w:color w:val="auto"/>
          <w:highlight w:val="none"/>
        </w:rPr>
      </w:pPr>
      <w:r>
        <w:rPr>
          <w:rFonts w:hint="eastAsia" w:ascii="宋体" w:hAnsi="宋体"/>
          <w:color w:val="auto"/>
          <w:highlight w:val="none"/>
        </w:rPr>
        <w:t>1、包含现有大屏及拼控系统的拆除。</w:t>
      </w:r>
    </w:p>
    <w:p>
      <w:pPr>
        <w:ind w:firstLine="480"/>
        <w:rPr>
          <w:rFonts w:ascii="宋体" w:hAnsi="宋体"/>
          <w:color w:val="auto"/>
          <w:highlight w:val="none"/>
        </w:rPr>
      </w:pPr>
      <w:r>
        <w:rPr>
          <w:rFonts w:hint="eastAsia" w:ascii="宋体" w:hAnsi="宋体"/>
          <w:color w:val="auto"/>
          <w:highlight w:val="none"/>
        </w:rPr>
        <w:t>2、包含更新大屏设备和拼控设备的安装调试。</w:t>
      </w:r>
    </w:p>
    <w:p>
      <w:pPr>
        <w:ind w:firstLine="480"/>
        <w:rPr>
          <w:rFonts w:ascii="宋体" w:hAnsi="宋体"/>
          <w:color w:val="auto"/>
          <w:highlight w:val="none"/>
        </w:rPr>
      </w:pPr>
      <w:r>
        <w:rPr>
          <w:rFonts w:hint="eastAsia" w:ascii="宋体" w:hAnsi="宋体"/>
          <w:color w:val="auto"/>
          <w:highlight w:val="none"/>
        </w:rPr>
        <w:t>3、包含与现有大厅装饰的衔接工作。</w:t>
      </w:r>
    </w:p>
    <w:p>
      <w:pPr>
        <w:pStyle w:val="4"/>
        <w:rPr>
          <w:rFonts w:ascii="宋体" w:hAnsi="宋体"/>
          <w:color w:val="auto"/>
          <w:highlight w:val="none"/>
        </w:rPr>
      </w:pPr>
      <w:bookmarkStart w:id="9" w:name="_Toc223194370"/>
      <w:r>
        <w:rPr>
          <w:rFonts w:hint="eastAsia" w:ascii="宋体" w:hAnsi="宋体"/>
          <w:color w:val="auto"/>
          <w:highlight w:val="none"/>
        </w:rPr>
        <w:t>2. 总体要求</w:t>
      </w:r>
      <w:bookmarkEnd w:id="9"/>
    </w:p>
    <w:p>
      <w:pPr>
        <w:pStyle w:val="5"/>
        <w:rPr>
          <w:rFonts w:ascii="宋体" w:hAnsi="宋体"/>
          <w:color w:val="auto"/>
          <w:highlight w:val="none"/>
        </w:rPr>
      </w:pPr>
      <w:bookmarkStart w:id="10" w:name="_Toc223194371"/>
      <w:r>
        <w:rPr>
          <w:rFonts w:hint="eastAsia" w:ascii="宋体" w:hAnsi="宋体"/>
          <w:color w:val="auto"/>
          <w:highlight w:val="none"/>
        </w:rPr>
        <w:t>2.1 系统建设原则</w:t>
      </w:r>
      <w:bookmarkEnd w:id="10"/>
    </w:p>
    <w:p>
      <w:pPr>
        <w:ind w:firstLine="480"/>
        <w:rPr>
          <w:rFonts w:ascii="宋体" w:hAnsi="宋体"/>
          <w:color w:val="auto"/>
          <w:highlight w:val="none"/>
        </w:rPr>
      </w:pPr>
      <w:r>
        <w:rPr>
          <w:rFonts w:hint="eastAsia" w:ascii="宋体" w:hAnsi="宋体"/>
          <w:color w:val="auto"/>
          <w:highlight w:val="none"/>
        </w:rPr>
        <w:t>结合业务实际情况统筹规划，以需求为导向，采用高度集成和系统化的设计，将实用性与先进性相结合，具有安全性、易用性和前瞻性。</w:t>
      </w:r>
    </w:p>
    <w:p>
      <w:pPr>
        <w:ind w:firstLine="480"/>
        <w:rPr>
          <w:rFonts w:ascii="宋体" w:hAnsi="宋体"/>
          <w:color w:val="auto"/>
          <w:highlight w:val="none"/>
        </w:rPr>
      </w:pPr>
      <w:r>
        <w:rPr>
          <w:rFonts w:hint="eastAsia" w:ascii="宋体" w:hAnsi="宋体"/>
          <w:color w:val="auto"/>
          <w:highlight w:val="none"/>
        </w:rPr>
        <w:t>1、以需求为导向</w:t>
      </w:r>
    </w:p>
    <w:p>
      <w:pPr>
        <w:ind w:firstLine="480"/>
        <w:rPr>
          <w:rFonts w:ascii="宋体" w:hAnsi="宋体"/>
          <w:color w:val="auto"/>
          <w:highlight w:val="none"/>
        </w:rPr>
      </w:pPr>
      <w:r>
        <w:rPr>
          <w:rFonts w:hint="eastAsia" w:ascii="宋体" w:hAnsi="宋体"/>
          <w:color w:val="auto"/>
          <w:highlight w:val="none"/>
        </w:rPr>
        <w:t>系统设计的核心就是提供全方位的、方便快捷的信息显示服务，应充分了解客户需求，结合屏幕安装现场和显示信号的实际情况进行设计。</w:t>
      </w:r>
    </w:p>
    <w:p>
      <w:pPr>
        <w:ind w:firstLine="480"/>
        <w:rPr>
          <w:rFonts w:ascii="宋体" w:hAnsi="宋体"/>
          <w:color w:val="auto"/>
          <w:highlight w:val="none"/>
        </w:rPr>
      </w:pPr>
      <w:r>
        <w:rPr>
          <w:rFonts w:hint="eastAsia" w:ascii="宋体" w:hAnsi="宋体"/>
          <w:color w:val="auto"/>
          <w:highlight w:val="none"/>
        </w:rPr>
        <w:t>2、高度集成</w:t>
      </w:r>
    </w:p>
    <w:p>
      <w:pPr>
        <w:ind w:firstLine="480"/>
        <w:rPr>
          <w:rFonts w:ascii="宋体" w:hAnsi="宋体"/>
          <w:color w:val="auto"/>
          <w:highlight w:val="none"/>
        </w:rPr>
      </w:pPr>
      <w:r>
        <w:rPr>
          <w:rFonts w:hint="eastAsia" w:ascii="宋体" w:hAnsi="宋体"/>
          <w:color w:val="auto"/>
          <w:highlight w:val="none"/>
        </w:rPr>
        <w:t>将计算机处理、LED全彩显示屏通信、视频显示及所有信息处理集成在统一的平台上进行集中控制，并通过通用的视频接口，提供了一个高度集成、同步控制的LED全彩屏显示系统。</w:t>
      </w:r>
    </w:p>
    <w:p>
      <w:pPr>
        <w:ind w:firstLine="480"/>
        <w:rPr>
          <w:rFonts w:ascii="宋体" w:hAnsi="宋体"/>
          <w:color w:val="auto"/>
          <w:highlight w:val="none"/>
        </w:rPr>
      </w:pPr>
      <w:r>
        <w:rPr>
          <w:rFonts w:hint="eastAsia" w:ascii="宋体" w:hAnsi="宋体"/>
          <w:color w:val="auto"/>
          <w:highlight w:val="none"/>
        </w:rPr>
        <w:t>3、系统化设计</w:t>
      </w:r>
    </w:p>
    <w:p>
      <w:pPr>
        <w:ind w:firstLine="480"/>
        <w:rPr>
          <w:rFonts w:ascii="宋体" w:hAnsi="宋体"/>
          <w:color w:val="auto"/>
          <w:highlight w:val="none"/>
        </w:rPr>
      </w:pPr>
      <w:r>
        <w:rPr>
          <w:rFonts w:hint="eastAsia" w:ascii="宋体" w:hAnsi="宋体"/>
          <w:color w:val="auto"/>
          <w:highlight w:val="none"/>
        </w:rPr>
        <w:t>突破传统设计模式，运用LED显示技术的科技内涵，综合运用视频信息处理技术、LED显示技术，充分体现LED显示产品的高科技含量，并通过不同的材料对比、和谐搭配，使得LED全彩显示屏突出现代感和人文科技特色。</w:t>
      </w:r>
    </w:p>
    <w:p>
      <w:pPr>
        <w:ind w:firstLine="480"/>
        <w:rPr>
          <w:rFonts w:ascii="宋体" w:hAnsi="宋体"/>
          <w:color w:val="auto"/>
          <w:highlight w:val="none"/>
        </w:rPr>
      </w:pPr>
      <w:r>
        <w:rPr>
          <w:rFonts w:hint="eastAsia" w:ascii="宋体" w:hAnsi="宋体"/>
          <w:color w:val="auto"/>
          <w:highlight w:val="none"/>
        </w:rPr>
        <w:t>4、实用性与先进性相结合</w:t>
      </w:r>
    </w:p>
    <w:p>
      <w:pPr>
        <w:ind w:firstLine="480"/>
        <w:rPr>
          <w:rFonts w:ascii="宋体" w:hAnsi="宋体"/>
          <w:color w:val="auto"/>
          <w:highlight w:val="none"/>
        </w:rPr>
      </w:pPr>
      <w:r>
        <w:rPr>
          <w:rFonts w:hint="eastAsia" w:ascii="宋体" w:hAnsi="宋体"/>
          <w:color w:val="auto"/>
          <w:highlight w:val="none"/>
        </w:rPr>
        <w:t>LED全彩屏显示系统的各种设备和软件讲究实用，既满足现有的应用需求，又对未来需求有良好的扩展能力。</w:t>
      </w:r>
    </w:p>
    <w:p>
      <w:pPr>
        <w:ind w:firstLine="480"/>
        <w:rPr>
          <w:rFonts w:ascii="宋体" w:hAnsi="宋体"/>
          <w:color w:val="auto"/>
          <w:highlight w:val="none"/>
        </w:rPr>
      </w:pPr>
      <w:r>
        <w:rPr>
          <w:rFonts w:hint="eastAsia" w:ascii="宋体" w:hAnsi="宋体"/>
          <w:color w:val="auto"/>
          <w:highlight w:val="none"/>
        </w:rPr>
        <w:t>5、安全性</w:t>
      </w:r>
    </w:p>
    <w:p>
      <w:pPr>
        <w:ind w:firstLine="480"/>
        <w:rPr>
          <w:rFonts w:ascii="宋体" w:hAnsi="宋体"/>
          <w:color w:val="auto"/>
          <w:highlight w:val="none"/>
        </w:rPr>
      </w:pPr>
      <w:r>
        <w:rPr>
          <w:rFonts w:hint="eastAsia" w:ascii="宋体" w:hAnsi="宋体"/>
          <w:color w:val="auto"/>
          <w:highlight w:val="none"/>
        </w:rPr>
        <w:t>整体设计时，各部分关键线路、设备均采用相应的技术措施，充分考虑系统对安全和稳定的需求，保证系统安全可靠运行。</w:t>
      </w:r>
    </w:p>
    <w:p>
      <w:pPr>
        <w:ind w:firstLine="480"/>
        <w:rPr>
          <w:rFonts w:ascii="宋体" w:hAnsi="宋体"/>
          <w:color w:val="auto"/>
          <w:highlight w:val="none"/>
        </w:rPr>
      </w:pPr>
      <w:r>
        <w:rPr>
          <w:rFonts w:hint="eastAsia" w:ascii="宋体" w:hAnsi="宋体"/>
          <w:color w:val="auto"/>
          <w:highlight w:val="none"/>
        </w:rPr>
        <w:t>6、易用性</w:t>
      </w:r>
    </w:p>
    <w:p>
      <w:pPr>
        <w:ind w:firstLine="480"/>
        <w:rPr>
          <w:rFonts w:ascii="宋体" w:hAnsi="宋体"/>
          <w:color w:val="auto"/>
          <w:highlight w:val="none"/>
        </w:rPr>
      </w:pPr>
      <w:r>
        <w:rPr>
          <w:rFonts w:hint="eastAsia" w:ascii="宋体" w:hAnsi="宋体"/>
          <w:color w:val="auto"/>
          <w:highlight w:val="none"/>
        </w:rPr>
        <w:t>系统不仅能够充分满足客户的功能要求，而且系统和软件界面简洁，易于学习和操作，最大限</w:t>
      </w:r>
      <w:r>
        <w:rPr>
          <w:rFonts w:ascii="宋体" w:hAnsi="宋体"/>
          <w:color w:val="auto"/>
          <w:highlight w:val="none"/>
          <w:lang w:val="en-GB"/>
        </w:rPr>
        <w:t>度地</w:t>
      </w:r>
      <w:r>
        <w:rPr>
          <w:rFonts w:hint="eastAsia" w:ascii="宋体" w:hAnsi="宋体"/>
          <w:color w:val="auto"/>
          <w:highlight w:val="none"/>
        </w:rPr>
        <w:t>方便客户。</w:t>
      </w:r>
    </w:p>
    <w:p>
      <w:pPr>
        <w:ind w:firstLine="480"/>
        <w:rPr>
          <w:rFonts w:ascii="宋体" w:hAnsi="宋体"/>
          <w:color w:val="auto"/>
          <w:highlight w:val="none"/>
        </w:rPr>
      </w:pPr>
      <w:r>
        <w:rPr>
          <w:rFonts w:hint="eastAsia" w:ascii="宋体" w:hAnsi="宋体"/>
          <w:color w:val="auto"/>
          <w:highlight w:val="none"/>
        </w:rPr>
        <w:t>7、前瞻性</w:t>
      </w:r>
    </w:p>
    <w:p>
      <w:pPr>
        <w:ind w:firstLine="480"/>
        <w:rPr>
          <w:rFonts w:ascii="宋体" w:hAnsi="宋体"/>
          <w:color w:val="auto"/>
          <w:highlight w:val="none"/>
        </w:rPr>
      </w:pPr>
      <w:r>
        <w:rPr>
          <w:rFonts w:hint="eastAsia" w:ascii="宋体" w:hAnsi="宋体"/>
          <w:color w:val="auto"/>
          <w:highlight w:val="none"/>
        </w:rPr>
        <w:t>系统具有可扩展性，采用的硬件设备及软件系统具有足够的扩展接口，支持相应的协议和升级能力。随着应用的不断增长，系统在保证技术先进性的基础上，适度超前。</w:t>
      </w:r>
    </w:p>
    <w:p>
      <w:pPr>
        <w:pStyle w:val="5"/>
        <w:rPr>
          <w:rFonts w:ascii="宋体" w:hAnsi="宋体"/>
          <w:color w:val="auto"/>
          <w:highlight w:val="none"/>
        </w:rPr>
      </w:pPr>
      <w:bookmarkStart w:id="11" w:name="_Toc223194372"/>
      <w:r>
        <w:rPr>
          <w:rFonts w:hint="eastAsia" w:ascii="宋体" w:hAnsi="宋体"/>
          <w:color w:val="auto"/>
          <w:highlight w:val="none"/>
        </w:rPr>
        <w:t>2.2 建设技术标准</w:t>
      </w:r>
      <w:bookmarkEnd w:id="11"/>
    </w:p>
    <w:p>
      <w:pPr>
        <w:ind w:firstLine="465" w:firstLineChars="0"/>
        <w:rPr>
          <w:rFonts w:ascii="宋体" w:hAnsi="宋体"/>
          <w:color w:val="auto"/>
          <w:highlight w:val="none"/>
        </w:rPr>
      </w:pPr>
      <w:r>
        <w:rPr>
          <w:rFonts w:hint="eastAsia" w:ascii="宋体" w:hAnsi="宋体"/>
          <w:color w:val="auto"/>
          <w:highlight w:val="none"/>
        </w:rPr>
        <w:t>《发光二极管(LED)显示屏通用规范》 SJ/T 11141-2017</w:t>
      </w:r>
    </w:p>
    <w:p>
      <w:pPr>
        <w:ind w:firstLine="465" w:firstLineChars="0"/>
        <w:rPr>
          <w:rFonts w:ascii="宋体" w:hAnsi="宋体"/>
          <w:color w:val="auto"/>
          <w:highlight w:val="none"/>
        </w:rPr>
      </w:pPr>
      <w:r>
        <w:rPr>
          <w:rFonts w:hint="eastAsia" w:ascii="宋体" w:hAnsi="宋体"/>
          <w:color w:val="auto"/>
          <w:highlight w:val="none"/>
        </w:rPr>
        <w:t>《发光二极管(LED)显示屏测试方法》 SJ/T 11281-2017</w:t>
      </w:r>
    </w:p>
    <w:p>
      <w:pPr>
        <w:ind w:firstLine="465" w:firstLineChars="0"/>
        <w:rPr>
          <w:rFonts w:ascii="宋体" w:hAnsi="宋体"/>
          <w:color w:val="auto"/>
          <w:highlight w:val="none"/>
        </w:rPr>
      </w:pPr>
      <w:r>
        <w:rPr>
          <w:rFonts w:hint="eastAsia" w:ascii="宋体" w:hAnsi="宋体"/>
          <w:color w:val="auto"/>
          <w:highlight w:val="none"/>
        </w:rPr>
        <w:t>《信息安全技术 网络安全等级保护基本要求》 GB/T 22240-2020</w:t>
      </w:r>
    </w:p>
    <w:p>
      <w:pPr>
        <w:ind w:firstLine="465" w:firstLineChars="0"/>
        <w:rPr>
          <w:rFonts w:ascii="宋体" w:hAnsi="宋体"/>
          <w:color w:val="auto"/>
          <w:highlight w:val="none"/>
        </w:rPr>
      </w:pPr>
      <w:r>
        <w:rPr>
          <w:rFonts w:hint="eastAsia" w:ascii="宋体" w:hAnsi="宋体"/>
          <w:color w:val="auto"/>
          <w:highlight w:val="none"/>
        </w:rPr>
        <w:t>《数据中心设计规范》 GB 50174-2017</w:t>
      </w:r>
    </w:p>
    <w:p>
      <w:pPr>
        <w:ind w:firstLine="465" w:firstLineChars="0"/>
        <w:rPr>
          <w:rFonts w:ascii="宋体" w:hAnsi="宋体"/>
          <w:color w:val="auto"/>
          <w:highlight w:val="none"/>
        </w:rPr>
      </w:pPr>
      <w:r>
        <w:rPr>
          <w:rFonts w:hint="eastAsia" w:ascii="宋体" w:hAnsi="宋体"/>
          <w:color w:val="auto"/>
          <w:highlight w:val="none"/>
        </w:rPr>
        <w:t>《信息技术设备 串行通信接口标准》 GB/T 6107-2000</w:t>
      </w:r>
    </w:p>
    <w:p>
      <w:pPr>
        <w:ind w:firstLine="465" w:firstLineChars="0"/>
        <w:rPr>
          <w:rFonts w:ascii="宋体" w:hAnsi="宋体"/>
          <w:color w:val="auto"/>
          <w:highlight w:val="none"/>
        </w:rPr>
      </w:pPr>
      <w:r>
        <w:rPr>
          <w:rFonts w:hint="eastAsia" w:ascii="宋体" w:hAnsi="宋体"/>
          <w:color w:val="auto"/>
          <w:highlight w:val="none"/>
        </w:rPr>
        <w:t>《计算机场地通用规范》 GB/T 2887-2011</w:t>
      </w:r>
    </w:p>
    <w:p>
      <w:pPr>
        <w:ind w:firstLine="465" w:firstLineChars="0"/>
        <w:rPr>
          <w:rFonts w:ascii="宋体" w:hAnsi="宋体"/>
          <w:color w:val="auto"/>
          <w:highlight w:val="none"/>
        </w:rPr>
      </w:pPr>
      <w:r>
        <w:rPr>
          <w:rFonts w:hint="eastAsia" w:ascii="宋体" w:hAnsi="宋体"/>
          <w:color w:val="auto"/>
          <w:highlight w:val="none"/>
        </w:rPr>
        <w:t>《电磁兼容 试验和测量技术》 GB/T 17626-2018系列</w:t>
      </w:r>
    </w:p>
    <w:p>
      <w:pPr>
        <w:ind w:firstLine="465" w:firstLineChars="0"/>
        <w:rPr>
          <w:rFonts w:ascii="宋体" w:hAnsi="宋体"/>
          <w:color w:val="auto"/>
          <w:highlight w:val="none"/>
        </w:rPr>
      </w:pPr>
      <w:r>
        <w:rPr>
          <w:rFonts w:hint="eastAsia" w:ascii="宋体" w:hAnsi="宋体"/>
          <w:color w:val="auto"/>
          <w:highlight w:val="none"/>
        </w:rPr>
        <w:t>《远动设备及系统 第2-1部分：工作条件 电源和电磁兼容性》 GB/T 15153.1-2018</w:t>
      </w:r>
    </w:p>
    <w:p>
      <w:pPr>
        <w:ind w:firstLine="465" w:firstLineChars="0"/>
        <w:rPr>
          <w:rFonts w:ascii="宋体" w:hAnsi="宋体"/>
          <w:color w:val="auto"/>
          <w:highlight w:val="none"/>
        </w:rPr>
      </w:pPr>
      <w:r>
        <w:rPr>
          <w:rFonts w:hint="eastAsia" w:ascii="宋体" w:hAnsi="宋体"/>
          <w:color w:val="auto"/>
          <w:highlight w:val="none"/>
        </w:rPr>
        <w:t>《远动设备及系统 第2-2部分：工作条件 环境条件》 GB/T 15153.2-2020</w:t>
      </w:r>
    </w:p>
    <w:p>
      <w:pPr>
        <w:ind w:firstLine="465" w:firstLineChars="0"/>
        <w:rPr>
          <w:rFonts w:ascii="宋体" w:hAnsi="宋体"/>
          <w:color w:val="auto"/>
          <w:highlight w:val="none"/>
        </w:rPr>
      </w:pPr>
      <w:r>
        <w:rPr>
          <w:rFonts w:hint="eastAsia" w:ascii="宋体" w:hAnsi="宋体"/>
          <w:color w:val="auto"/>
          <w:highlight w:val="none"/>
        </w:rPr>
        <w:t>《建筑物防雷设计规范》 GB 50057-2010</w:t>
      </w:r>
    </w:p>
    <w:p>
      <w:pPr>
        <w:ind w:firstLine="465" w:firstLineChars="0"/>
        <w:rPr>
          <w:rFonts w:ascii="宋体" w:hAnsi="宋体"/>
          <w:color w:val="auto"/>
          <w:highlight w:val="none"/>
        </w:rPr>
      </w:pPr>
      <w:r>
        <w:rPr>
          <w:rFonts w:hint="eastAsia" w:ascii="宋体" w:hAnsi="宋体"/>
          <w:color w:val="auto"/>
          <w:highlight w:val="none"/>
        </w:rPr>
        <w:t>《计算机信息系统防雷保安器》 GA 173-2012</w:t>
      </w:r>
    </w:p>
    <w:p>
      <w:pPr>
        <w:ind w:firstLine="465" w:firstLineChars="0"/>
        <w:rPr>
          <w:rFonts w:ascii="宋体" w:hAnsi="宋体"/>
          <w:color w:val="auto"/>
          <w:highlight w:val="none"/>
        </w:rPr>
      </w:pPr>
      <w:r>
        <w:rPr>
          <w:rFonts w:hint="eastAsia" w:ascii="宋体" w:hAnsi="宋体"/>
          <w:color w:val="auto"/>
          <w:highlight w:val="none"/>
        </w:rPr>
        <w:t>《民用建筑电气设计规范》 JGJ 16-2019</w:t>
      </w:r>
    </w:p>
    <w:p>
      <w:pPr>
        <w:ind w:firstLine="465" w:firstLineChars="0"/>
        <w:rPr>
          <w:rFonts w:ascii="宋体" w:hAnsi="宋体"/>
          <w:color w:val="auto"/>
          <w:highlight w:val="none"/>
        </w:rPr>
      </w:pPr>
      <w:r>
        <w:rPr>
          <w:rFonts w:hint="eastAsia" w:ascii="宋体" w:hAnsi="宋体"/>
          <w:color w:val="auto"/>
          <w:highlight w:val="none"/>
        </w:rPr>
        <w:t>《电气装置安装工程 接地装置施工及验收规范》 GB 50169-2016</w:t>
      </w:r>
    </w:p>
    <w:p>
      <w:pPr>
        <w:ind w:firstLine="465" w:firstLineChars="0"/>
        <w:rPr>
          <w:rFonts w:ascii="宋体" w:hAnsi="宋体"/>
          <w:color w:val="auto"/>
          <w:highlight w:val="none"/>
        </w:rPr>
      </w:pPr>
      <w:r>
        <w:rPr>
          <w:rFonts w:hint="eastAsia" w:ascii="宋体" w:hAnsi="宋体"/>
          <w:color w:val="auto"/>
          <w:highlight w:val="none"/>
        </w:rPr>
        <w:t>《低压配电设计规范》 GB 50054-2011</w:t>
      </w:r>
    </w:p>
    <w:p>
      <w:pPr>
        <w:ind w:firstLine="465" w:firstLineChars="0"/>
        <w:rPr>
          <w:rFonts w:ascii="宋体" w:hAnsi="宋体"/>
          <w:color w:val="auto"/>
          <w:highlight w:val="none"/>
        </w:rPr>
      </w:pPr>
      <w:r>
        <w:rPr>
          <w:rFonts w:hint="eastAsia" w:ascii="宋体" w:hAnsi="宋体"/>
          <w:color w:val="auto"/>
          <w:highlight w:val="none"/>
        </w:rPr>
        <w:t>《建筑照明设计标准》 GB 50034-2013</w:t>
      </w:r>
    </w:p>
    <w:p>
      <w:pPr>
        <w:pStyle w:val="5"/>
        <w:rPr>
          <w:rFonts w:ascii="宋体" w:hAnsi="宋体"/>
          <w:color w:val="auto"/>
          <w:highlight w:val="none"/>
        </w:rPr>
      </w:pPr>
      <w:bookmarkStart w:id="12" w:name="_Toc223194373"/>
      <w:r>
        <w:rPr>
          <w:rFonts w:hint="eastAsia" w:ascii="宋体" w:hAnsi="宋体"/>
          <w:color w:val="auto"/>
          <w:highlight w:val="none"/>
        </w:rPr>
        <w:t>2.3 系统总体架构</w:t>
      </w:r>
      <w:bookmarkEnd w:id="12"/>
    </w:p>
    <w:p>
      <w:pPr>
        <w:ind w:firstLine="465" w:firstLineChars="0"/>
        <w:rPr>
          <w:rFonts w:ascii="宋体" w:hAnsi="宋体"/>
          <w:color w:val="auto"/>
          <w:highlight w:val="none"/>
        </w:rPr>
      </w:pPr>
      <w:r>
        <w:rPr>
          <w:rFonts w:hint="eastAsia" w:ascii="宋体" w:hAnsi="宋体"/>
          <w:color w:val="auto"/>
          <w:highlight w:val="none"/>
        </w:rPr>
        <w:t>本项目选控显示系统屏幕</w:t>
      </w:r>
      <w:r>
        <w:rPr>
          <w:rFonts w:hint="eastAsia" w:ascii="宋体" w:hAnsi="宋体"/>
          <w:color w:val="auto"/>
          <w:highlight w:val="none"/>
          <w:lang w:eastAsia="zh-CN"/>
        </w:rPr>
        <w:t>需</w:t>
      </w:r>
      <w:r>
        <w:rPr>
          <w:rFonts w:hint="eastAsia" w:ascii="宋体" w:hAnsi="宋体"/>
          <w:color w:val="auto"/>
          <w:highlight w:val="none"/>
        </w:rPr>
        <w:t>采用COB P0.9产品，像素间距为0.9375mm，使用标准LED显示单元组成。小间距产品一体成型的压铸铝工艺，最大限度保证了屏幕安装拼接精度和耐久度，</w:t>
      </w:r>
      <w:r>
        <w:rPr>
          <w:rFonts w:ascii="宋体" w:hAnsi="宋体"/>
          <w:color w:val="auto"/>
          <w:highlight w:val="none"/>
          <w:lang w:val="en-GB"/>
        </w:rPr>
        <w:t>并</w:t>
      </w:r>
      <w:r>
        <w:rPr>
          <w:rFonts w:hint="eastAsia" w:ascii="宋体" w:hAnsi="宋体"/>
          <w:color w:val="auto"/>
          <w:highlight w:val="none"/>
        </w:rPr>
        <w:t>具有图像无拼缝，静音，轻薄等特点。LED小间距屏幕物理像素间距小，单位面积内的</w:t>
      </w:r>
      <w:r>
        <w:rPr>
          <w:rFonts w:ascii="宋体" w:hAnsi="宋体"/>
          <w:color w:val="auto"/>
          <w:highlight w:val="none"/>
          <w:lang w:val="en-GB"/>
        </w:rPr>
        <w:t>像素</w:t>
      </w:r>
      <w:r>
        <w:rPr>
          <w:rFonts w:hint="eastAsia" w:ascii="宋体" w:hAnsi="宋体"/>
          <w:color w:val="auto"/>
          <w:highlight w:val="none"/>
        </w:rPr>
        <w:t>数量非常多，可以在很近距离观看并且没有颗粒感。</w:t>
      </w:r>
    </w:p>
    <w:p>
      <w:pPr>
        <w:ind w:firstLine="465" w:firstLineChars="0"/>
        <w:rPr>
          <w:rFonts w:ascii="宋体" w:hAnsi="宋体"/>
          <w:color w:val="auto"/>
          <w:highlight w:val="none"/>
        </w:rPr>
      </w:pPr>
      <w:r>
        <w:rPr>
          <w:rFonts w:hint="eastAsia" w:ascii="宋体" w:hAnsi="宋体"/>
          <w:color w:val="auto"/>
          <w:highlight w:val="none"/>
        </w:rPr>
        <w:t>结合现场实际业务需求，如图所示，本项目整套系统主要由2部分组成，分为LED全彩显示屏、拼控系统（图像处理系统及管理控制系统）。除了这些主要部分，根据项目具体实施情况，系统还包括配电系统等。</w:t>
      </w:r>
    </w:p>
    <w:p>
      <w:pPr>
        <w:ind w:firstLine="199" w:firstLineChars="83"/>
        <w:jc w:val="center"/>
        <w:rPr>
          <w:rFonts w:ascii="宋体" w:hAnsi="宋体"/>
          <w:color w:val="auto"/>
          <w:highlight w:val="none"/>
        </w:rPr>
      </w:pPr>
      <w:r>
        <w:rPr>
          <w:color w:val="auto"/>
          <w:highlight w:val="none"/>
        </w:rPr>
        <w:object>
          <v:shape id="_x0000_i1025" o:spt="75" type="#_x0000_t75" style="height:261.6pt;width:271.2pt;" o:ole="t" filled="f" o:preferrelative="t" stroked="f" coordsize="21600,21600">
            <v:path/>
            <v:fill on="f" focussize="0,0"/>
            <v:stroke on="f" joinstyle="miter"/>
            <v:imagedata r:id="rId13" o:title=""/>
            <o:lock v:ext="edit" aspectratio="t"/>
            <w10:wrap type="none"/>
            <w10:anchorlock/>
          </v:shape>
          <o:OLEObject Type="Embed" ProgID="Visio.Drawing.15" ShapeID="_x0000_i1025" DrawAspect="Content" ObjectID="_1468075725" r:id="rId12">
            <o:LockedField>false</o:LockedField>
          </o:OLEObject>
        </w:object>
      </w:r>
    </w:p>
    <w:p>
      <w:pPr>
        <w:pStyle w:val="5"/>
        <w:rPr>
          <w:rFonts w:ascii="宋体" w:hAnsi="宋体"/>
          <w:color w:val="auto"/>
          <w:highlight w:val="none"/>
        </w:rPr>
      </w:pPr>
      <w:bookmarkStart w:id="13" w:name="_Toc223194374"/>
      <w:r>
        <w:rPr>
          <w:rFonts w:hint="eastAsia" w:ascii="宋体" w:hAnsi="宋体"/>
          <w:color w:val="auto"/>
          <w:highlight w:val="none"/>
        </w:rPr>
        <w:t>2.</w:t>
      </w:r>
      <w:r>
        <w:rPr>
          <w:rFonts w:ascii="宋体" w:hAnsi="宋体"/>
          <w:color w:val="auto"/>
          <w:highlight w:val="none"/>
        </w:rPr>
        <w:t>4</w:t>
      </w:r>
      <w:r>
        <w:rPr>
          <w:rFonts w:hint="eastAsia" w:ascii="宋体" w:hAnsi="宋体"/>
          <w:color w:val="auto"/>
          <w:highlight w:val="none"/>
        </w:rPr>
        <w:t xml:space="preserve"> 主要设备技术指标</w:t>
      </w:r>
      <w:bookmarkEnd w:id="13"/>
    </w:p>
    <w:p>
      <w:pPr>
        <w:pStyle w:val="6"/>
        <w:rPr>
          <w:rFonts w:ascii="宋体" w:hAnsi="宋体"/>
          <w:color w:val="auto"/>
          <w:highlight w:val="none"/>
        </w:rPr>
      </w:pPr>
      <w:bookmarkStart w:id="14" w:name="_Toc223194375"/>
      <w:r>
        <w:rPr>
          <w:rFonts w:hint="eastAsia" w:ascii="宋体" w:hAnsi="宋体"/>
          <w:color w:val="auto"/>
          <w:highlight w:val="none"/>
        </w:rPr>
        <w:t>2</w:t>
      </w:r>
      <w:r>
        <w:rPr>
          <w:rFonts w:ascii="宋体" w:hAnsi="宋体"/>
          <w:color w:val="auto"/>
          <w:highlight w:val="none"/>
        </w:rPr>
        <w:t xml:space="preserve">.4.1 </w:t>
      </w:r>
      <w:r>
        <w:rPr>
          <w:rFonts w:hint="eastAsia" w:ascii="宋体" w:hAnsi="宋体"/>
          <w:color w:val="auto"/>
          <w:highlight w:val="none"/>
        </w:rPr>
        <w:t>大屏部分</w:t>
      </w:r>
      <w:bookmarkEnd w:id="14"/>
    </w:p>
    <w:p>
      <w:pPr>
        <w:ind w:firstLine="465" w:firstLineChars="0"/>
        <w:rPr>
          <w:rFonts w:ascii="宋体" w:hAnsi="宋体"/>
          <w:color w:val="auto"/>
          <w:highlight w:val="none"/>
        </w:rPr>
      </w:pPr>
      <w:r>
        <w:rPr>
          <w:rFonts w:hint="eastAsia" w:ascii="东文宋体" w:hAnsi="东文宋体" w:eastAsia="东文宋体" w:cs="东文宋体"/>
          <w:color w:val="auto"/>
          <w:highlight w:val="none"/>
          <w:lang w:val="en-US" w:eastAsia="zh-CN"/>
        </w:rPr>
        <w:t>1</w:t>
      </w:r>
      <w:r>
        <w:rPr>
          <w:rFonts w:hint="eastAsia" w:ascii="东文宋体" w:hAnsi="东文宋体" w:eastAsia="东文宋体" w:cs="东文宋体"/>
          <w:color w:val="auto"/>
          <w:highlight w:val="none"/>
        </w:rPr>
        <w:t>▲</w:t>
      </w:r>
      <w:r>
        <w:rPr>
          <w:rFonts w:hint="eastAsia" w:ascii="宋体" w:hAnsi="宋体"/>
          <w:color w:val="auto"/>
          <w:highlight w:val="none"/>
        </w:rPr>
        <w:t>为确保兼容性稳定以及便于售后维护，本次项目中的拼控器、发送卡、大屏应为同一品牌产品。</w:t>
      </w:r>
    </w:p>
    <w:p>
      <w:pPr>
        <w:ind w:firstLine="480"/>
        <w:rPr>
          <w:color w:val="auto"/>
          <w:highlight w:val="none"/>
        </w:rPr>
      </w:pPr>
    </w:p>
    <w:p>
      <w:pPr>
        <w:pStyle w:val="7"/>
        <w:numPr>
          <w:ilvl w:val="3"/>
          <w:numId w:val="0"/>
        </w:numPr>
        <w:jc w:val="left"/>
        <w:rPr>
          <w:color w:val="auto"/>
          <w:highlight w:val="none"/>
        </w:rPr>
      </w:pPr>
      <w:r>
        <w:rPr>
          <w:color w:val="auto"/>
          <w:highlight w:val="none"/>
        </w:rPr>
        <w:t>1</w:t>
      </w:r>
      <w:r>
        <w:rPr>
          <w:rFonts w:hint="eastAsia"/>
          <w:color w:val="auto"/>
          <w:highlight w:val="none"/>
        </w:rPr>
        <w:t>、LED显示单元</w:t>
      </w:r>
    </w:p>
    <w:p>
      <w:pPr>
        <w:ind w:firstLine="465" w:firstLineChars="0"/>
        <w:rPr>
          <w:rFonts w:ascii="宋体" w:hAnsi="宋体"/>
          <w:color w:val="auto"/>
          <w:highlight w:val="none"/>
        </w:rPr>
      </w:pPr>
      <w:r>
        <w:rPr>
          <w:rFonts w:hint="eastAsia" w:ascii="宋体" w:hAnsi="宋体"/>
          <w:color w:val="auto"/>
          <w:highlight w:val="none"/>
        </w:rPr>
        <w:t>箱体高集成，高兼容，简洁轻量化设计；</w:t>
      </w:r>
    </w:p>
    <w:p>
      <w:pPr>
        <w:ind w:firstLine="465" w:firstLineChars="0"/>
        <w:rPr>
          <w:rFonts w:ascii="宋体" w:hAnsi="宋体"/>
          <w:color w:val="auto"/>
          <w:highlight w:val="none"/>
        </w:rPr>
      </w:pPr>
      <w:r>
        <w:rPr>
          <w:rFonts w:hint="eastAsia" w:ascii="宋体" w:hAnsi="宋体"/>
          <w:color w:val="auto"/>
          <w:highlight w:val="none"/>
        </w:rPr>
        <w:t>高精度压铸箱体结构设计，支持灯板、电源、接收卡正面拆卸；</w:t>
      </w:r>
    </w:p>
    <w:p>
      <w:pPr>
        <w:ind w:firstLine="465" w:firstLineChars="0"/>
        <w:rPr>
          <w:rFonts w:ascii="宋体" w:hAnsi="宋体"/>
          <w:color w:val="auto"/>
          <w:highlight w:val="none"/>
        </w:rPr>
      </w:pPr>
      <w:r>
        <w:rPr>
          <w:rFonts w:hint="eastAsia" w:ascii="宋体" w:hAnsi="宋体"/>
          <w:color w:val="auto"/>
          <w:highlight w:val="none"/>
        </w:rPr>
        <w:t>焊点采用无铅无毒锡膏材料，不会对人体和环境造成危害；</w:t>
      </w:r>
    </w:p>
    <w:p>
      <w:pPr>
        <w:ind w:firstLine="465" w:firstLineChars="0"/>
        <w:rPr>
          <w:rFonts w:ascii="宋体" w:hAnsi="宋体"/>
          <w:color w:val="auto"/>
          <w:highlight w:val="none"/>
        </w:rPr>
      </w:pPr>
      <w:r>
        <w:rPr>
          <w:rFonts w:hint="eastAsia" w:ascii="宋体" w:hAnsi="宋体"/>
          <w:color w:val="auto"/>
          <w:highlight w:val="none"/>
        </w:rPr>
        <w:t>采用动态引擎算法，高亮刺眼画面细节自动识别，局部区域亮度无感调控，观看柔和舒适，图像质量提升的同时降低不必要的功耗；</w:t>
      </w:r>
      <w:r>
        <w:rPr>
          <w:rFonts w:ascii="宋体" w:hAnsi="宋体"/>
          <w:color w:val="auto"/>
          <w:highlight w:val="none"/>
        </w:rPr>
        <w:t xml:space="preserve"> </w:t>
      </w:r>
    </w:p>
    <w:p>
      <w:pPr>
        <w:ind w:firstLine="465" w:firstLineChars="0"/>
        <w:rPr>
          <w:rFonts w:ascii="宋体" w:hAnsi="宋体"/>
          <w:color w:val="auto"/>
          <w:highlight w:val="none"/>
        </w:rPr>
      </w:pPr>
      <w:r>
        <w:rPr>
          <w:rFonts w:hint="eastAsia" w:ascii="宋体" w:hAnsi="宋体"/>
          <w:color w:val="auto"/>
          <w:highlight w:val="none"/>
        </w:rPr>
        <w:t>支持自动除湿，有效保护长时间不用或潮湿环境下的灯珠；</w:t>
      </w:r>
    </w:p>
    <w:p>
      <w:pPr>
        <w:ind w:firstLine="465" w:firstLineChars="0"/>
        <w:rPr>
          <w:rFonts w:ascii="宋体" w:hAnsi="宋体"/>
          <w:color w:val="auto"/>
          <w:highlight w:val="none"/>
        </w:rPr>
      </w:pPr>
      <w:r>
        <w:rPr>
          <w:rFonts w:hint="eastAsia" w:ascii="宋体" w:hAnsi="宋体"/>
          <w:color w:val="auto"/>
          <w:highlight w:val="none"/>
        </w:rPr>
        <w:t>支持通过遥控器、平板电脑、平台端多种方式控制屏幕参数调节；</w:t>
      </w:r>
    </w:p>
    <w:p>
      <w:pPr>
        <w:ind w:firstLine="465" w:firstLineChars="0"/>
        <w:rPr>
          <w:rFonts w:ascii="宋体" w:hAnsi="宋体"/>
          <w:color w:val="auto"/>
          <w:highlight w:val="none"/>
        </w:rPr>
      </w:pPr>
      <w:r>
        <w:rPr>
          <w:rFonts w:hint="eastAsia" w:ascii="宋体" w:hAnsi="宋体"/>
          <w:color w:val="auto"/>
          <w:highlight w:val="none"/>
        </w:rPr>
        <w:t>LED像素点间距≤0.9375mm</w:t>
      </w:r>
      <w:r>
        <w:rPr>
          <w:rFonts w:ascii="宋体" w:hAnsi="宋体"/>
          <w:color w:val="auto"/>
          <w:highlight w:val="none"/>
          <w:lang w:val="en-GB"/>
        </w:rPr>
        <w:t>；</w:t>
      </w:r>
      <w:r>
        <w:rPr>
          <w:rFonts w:hint="eastAsia" w:ascii="宋体" w:hAnsi="宋体"/>
          <w:color w:val="auto"/>
          <w:highlight w:val="none"/>
        </w:rPr>
        <w:t>像素密度≥1137777点/㎡，全倒装COB，1R1G1B， 三合一封装；</w:t>
      </w:r>
    </w:p>
    <w:p>
      <w:pPr>
        <w:ind w:firstLine="465" w:firstLineChars="0"/>
        <w:rPr>
          <w:rFonts w:ascii="宋体" w:hAnsi="宋体"/>
          <w:color w:val="auto"/>
          <w:highlight w:val="none"/>
        </w:rPr>
      </w:pPr>
      <w:r>
        <w:rPr>
          <w:rFonts w:hint="eastAsia" w:ascii="宋体" w:hAnsi="宋体"/>
          <w:color w:val="auto"/>
          <w:highlight w:val="none"/>
        </w:rPr>
        <w:t>模组尺寸：300*168.75 mm，模组分辨率：320*180；</w:t>
      </w:r>
    </w:p>
    <w:p>
      <w:pPr>
        <w:ind w:firstLine="465" w:firstLineChars="0"/>
        <w:rPr>
          <w:rFonts w:ascii="宋体" w:hAnsi="宋体"/>
          <w:color w:val="auto"/>
          <w:highlight w:val="none"/>
        </w:rPr>
      </w:pPr>
      <w:r>
        <w:rPr>
          <w:rFonts w:hint="eastAsia" w:ascii="宋体" w:hAnsi="宋体"/>
          <w:color w:val="auto"/>
          <w:highlight w:val="none"/>
        </w:rPr>
        <w:t>箱体模组组成：2*2，单元长高尺寸≤600*337.5（mm）；</w:t>
      </w:r>
    </w:p>
    <w:p>
      <w:pPr>
        <w:ind w:firstLine="465" w:firstLineChars="0"/>
        <w:rPr>
          <w:rFonts w:ascii="宋体" w:hAnsi="宋体"/>
          <w:color w:val="auto"/>
          <w:highlight w:val="none"/>
        </w:rPr>
      </w:pPr>
      <w:r>
        <w:rPr>
          <w:rFonts w:hint="eastAsia" w:ascii="宋体" w:hAnsi="宋体"/>
          <w:color w:val="auto"/>
          <w:highlight w:val="none"/>
        </w:rPr>
        <w:t>箱体分辨率：640 × 360，箱体面积：0.2025 ㎡；</w:t>
      </w:r>
    </w:p>
    <w:p>
      <w:pPr>
        <w:ind w:firstLine="465" w:firstLineChars="0"/>
        <w:rPr>
          <w:rFonts w:ascii="宋体" w:hAnsi="宋体"/>
          <w:color w:val="auto"/>
          <w:highlight w:val="none"/>
        </w:rPr>
      </w:pPr>
      <w:r>
        <w:rPr>
          <w:rFonts w:hint="eastAsia" w:ascii="宋体" w:hAnsi="宋体"/>
          <w:color w:val="auto"/>
          <w:highlight w:val="none"/>
        </w:rPr>
        <w:t>箱体材质采用压铸铝箱体，维护方式支持完全前维护 ；</w:t>
      </w:r>
    </w:p>
    <w:p>
      <w:pPr>
        <w:ind w:firstLine="465" w:firstLineChars="0"/>
        <w:rPr>
          <w:rFonts w:ascii="宋体" w:hAnsi="宋体"/>
          <w:color w:val="auto"/>
          <w:highlight w:val="none"/>
        </w:rPr>
      </w:pPr>
      <w:r>
        <w:rPr>
          <w:rFonts w:hint="eastAsia" w:ascii="东文宋体" w:hAnsi="东文宋体" w:eastAsia="东文宋体" w:cs="东文宋体"/>
          <w:color w:val="auto"/>
          <w:highlight w:val="none"/>
          <w:lang w:val="en-US" w:eastAsia="zh-CN"/>
        </w:rPr>
        <w:t>2</w:t>
      </w:r>
      <w:r>
        <w:rPr>
          <w:rFonts w:hint="eastAsia" w:ascii="东文宋体" w:hAnsi="东文宋体" w:eastAsia="东文宋体" w:cs="东文宋体"/>
          <w:color w:val="auto"/>
          <w:highlight w:val="none"/>
        </w:rPr>
        <w:t>▲</w:t>
      </w:r>
      <w:r>
        <w:rPr>
          <w:rFonts w:hint="eastAsia" w:ascii="宋体" w:hAnsi="宋体"/>
          <w:color w:val="auto"/>
          <w:highlight w:val="none"/>
        </w:rPr>
        <w:t>白平衡亮度：600 cd/㎡，色温：1700-15000K可调；（提供检测报告或产品说明书等证明材料）</w:t>
      </w:r>
    </w:p>
    <w:p>
      <w:pPr>
        <w:ind w:firstLine="465" w:firstLineChars="0"/>
        <w:rPr>
          <w:rFonts w:ascii="宋体" w:hAnsi="宋体"/>
          <w:color w:val="auto"/>
          <w:highlight w:val="none"/>
        </w:rPr>
      </w:pPr>
      <w:r>
        <w:rPr>
          <w:rFonts w:hint="eastAsia" w:ascii="宋体" w:hAnsi="宋体"/>
          <w:color w:val="auto"/>
          <w:highlight w:val="none"/>
        </w:rPr>
        <w:t>可视角：160°(H)/160°(V)，对比度：3000</w:t>
      </w:r>
      <w:r>
        <w:rPr>
          <w:rFonts w:ascii="宋体" w:hAnsi="宋体"/>
          <w:color w:val="auto"/>
          <w:highlight w:val="none"/>
          <w:lang w:val="en-GB"/>
        </w:rPr>
        <w:t>:</w:t>
      </w:r>
      <w:r>
        <w:rPr>
          <w:rFonts w:hint="eastAsia" w:ascii="宋体" w:hAnsi="宋体"/>
          <w:color w:val="auto"/>
          <w:highlight w:val="none"/>
        </w:rPr>
        <w:t>1；</w:t>
      </w:r>
    </w:p>
    <w:p>
      <w:pPr>
        <w:ind w:firstLine="465" w:firstLineChars="0"/>
        <w:rPr>
          <w:rFonts w:ascii="宋体" w:hAnsi="宋体"/>
          <w:color w:val="auto"/>
          <w:highlight w:val="none"/>
        </w:rPr>
      </w:pPr>
      <w:r>
        <w:rPr>
          <w:rFonts w:hint="eastAsia" w:ascii="宋体" w:hAnsi="宋体"/>
          <w:color w:val="auto"/>
          <w:highlight w:val="none"/>
        </w:rPr>
        <w:t>色度均匀性：± 0.003Cx，Cy之内，亮度均匀性：≥ 97％ ；</w:t>
      </w:r>
    </w:p>
    <w:p>
      <w:pPr>
        <w:ind w:firstLine="465" w:firstLineChars="0"/>
        <w:rPr>
          <w:rFonts w:ascii="宋体" w:hAnsi="宋体"/>
          <w:color w:val="auto"/>
          <w:highlight w:val="none"/>
        </w:rPr>
      </w:pPr>
      <w:r>
        <w:rPr>
          <w:rFonts w:hint="eastAsia" w:ascii="宋体" w:hAnsi="宋体"/>
          <w:color w:val="auto"/>
          <w:highlight w:val="none"/>
        </w:rPr>
        <w:t>驱动方式：恒流驱动，换帧频率：60 Hz，刷新率：3840 Hz，灰度等级：18 bit；</w:t>
      </w:r>
    </w:p>
    <w:p>
      <w:pPr>
        <w:ind w:firstLine="465" w:firstLineChars="0"/>
        <w:rPr>
          <w:rFonts w:ascii="宋体" w:hAnsi="宋体"/>
          <w:color w:val="auto"/>
          <w:highlight w:val="none"/>
        </w:rPr>
      </w:pPr>
      <w:r>
        <w:rPr>
          <w:rFonts w:hint="eastAsia" w:ascii="宋体" w:hAnsi="宋体"/>
          <w:color w:val="auto"/>
          <w:highlight w:val="none"/>
        </w:rPr>
        <w:t>峰值功耗：≤ 360 W/㎡ （600nits），平均功耗：≤ 120 W/㎡；</w:t>
      </w:r>
    </w:p>
    <w:p>
      <w:pPr>
        <w:ind w:firstLine="465" w:firstLineChars="0"/>
        <w:rPr>
          <w:rFonts w:ascii="宋体" w:hAnsi="宋体"/>
          <w:color w:val="auto"/>
          <w:highlight w:val="none"/>
        </w:rPr>
      </w:pPr>
      <w:r>
        <w:rPr>
          <w:rFonts w:hint="eastAsia" w:ascii="宋体" w:hAnsi="宋体"/>
          <w:color w:val="auto"/>
          <w:highlight w:val="none"/>
        </w:rPr>
        <w:t>工作温度：-10 ℃ ~ 40 ℃，工作湿度：</w:t>
      </w:r>
      <w:r>
        <w:rPr>
          <w:rFonts w:ascii="宋体" w:hAnsi="宋体"/>
          <w:color w:val="auto"/>
          <w:highlight w:val="none"/>
          <w:lang w:val="en-GB"/>
        </w:rPr>
        <w:t>10%～90%</w:t>
      </w:r>
      <w:r>
        <w:rPr>
          <w:rFonts w:hint="eastAsia" w:ascii="宋体" w:hAnsi="宋体"/>
          <w:color w:val="auto"/>
          <w:highlight w:val="none"/>
        </w:rPr>
        <w:t xml:space="preserve"> RH（无冷凝水）；</w:t>
      </w:r>
    </w:p>
    <w:p>
      <w:pPr>
        <w:ind w:firstLine="465" w:firstLineChars="0"/>
        <w:rPr>
          <w:rFonts w:ascii="宋体" w:hAnsi="宋体"/>
          <w:color w:val="auto"/>
          <w:highlight w:val="none"/>
        </w:rPr>
      </w:pPr>
      <w:r>
        <w:rPr>
          <w:rFonts w:hint="eastAsia" w:ascii="宋体" w:hAnsi="宋体"/>
          <w:color w:val="auto"/>
          <w:highlight w:val="none"/>
        </w:rPr>
        <w:t>存储温度：-20 ℃ ~ 60 ℃，存储湿度：</w:t>
      </w:r>
      <w:r>
        <w:rPr>
          <w:rFonts w:ascii="宋体" w:hAnsi="宋体"/>
          <w:color w:val="auto"/>
          <w:highlight w:val="none"/>
          <w:lang w:val="en-GB"/>
        </w:rPr>
        <w:t>10%～90%</w:t>
      </w:r>
      <w:r>
        <w:rPr>
          <w:rFonts w:hint="eastAsia" w:ascii="宋体" w:hAnsi="宋体"/>
          <w:color w:val="auto"/>
          <w:highlight w:val="none"/>
        </w:rPr>
        <w:t xml:space="preserve"> RH（无冷凝水）。</w:t>
      </w:r>
    </w:p>
    <w:p>
      <w:pPr>
        <w:pStyle w:val="7"/>
        <w:numPr>
          <w:ilvl w:val="3"/>
          <w:numId w:val="0"/>
        </w:numPr>
        <w:jc w:val="left"/>
        <w:rPr>
          <w:color w:val="auto"/>
          <w:highlight w:val="none"/>
        </w:rPr>
      </w:pPr>
      <w:r>
        <w:rPr>
          <w:color w:val="auto"/>
          <w:highlight w:val="none"/>
        </w:rPr>
        <w:t>2</w:t>
      </w:r>
      <w:r>
        <w:rPr>
          <w:rFonts w:hint="eastAsia"/>
          <w:color w:val="auto"/>
          <w:highlight w:val="none"/>
        </w:rPr>
        <w:t>、LED室内支架</w:t>
      </w:r>
    </w:p>
    <w:p>
      <w:pPr>
        <w:ind w:firstLine="465" w:firstLineChars="0"/>
        <w:rPr>
          <w:rFonts w:ascii="宋体" w:hAnsi="宋体"/>
          <w:color w:val="auto"/>
          <w:highlight w:val="none"/>
        </w:rPr>
      </w:pPr>
      <w:r>
        <w:rPr>
          <w:rFonts w:hint="eastAsia" w:ascii="宋体" w:hAnsi="宋体"/>
          <w:color w:val="auto"/>
          <w:highlight w:val="none"/>
        </w:rPr>
        <w:t>LED一体化支架，支持大规模拼接，全封闭防尘；</w:t>
      </w:r>
    </w:p>
    <w:p>
      <w:pPr>
        <w:ind w:firstLine="465" w:firstLineChars="0"/>
        <w:rPr>
          <w:rFonts w:ascii="宋体" w:hAnsi="宋体"/>
          <w:color w:val="auto"/>
          <w:highlight w:val="none"/>
        </w:rPr>
      </w:pPr>
      <w:r>
        <w:rPr>
          <w:rFonts w:hint="eastAsia" w:ascii="宋体" w:hAnsi="宋体"/>
          <w:color w:val="auto"/>
          <w:highlight w:val="none"/>
        </w:rPr>
        <w:t>厚度600mm；</w:t>
      </w:r>
    </w:p>
    <w:p>
      <w:pPr>
        <w:ind w:firstLine="465" w:firstLineChars="0"/>
        <w:rPr>
          <w:rFonts w:ascii="宋体" w:hAnsi="宋体"/>
          <w:color w:val="auto"/>
          <w:highlight w:val="none"/>
        </w:rPr>
      </w:pPr>
      <w:r>
        <w:rPr>
          <w:rFonts w:hint="eastAsia" w:ascii="宋体" w:hAnsi="宋体"/>
          <w:color w:val="auto"/>
          <w:highlight w:val="none"/>
        </w:rPr>
        <w:t>开门及封板：前封板后开门，含侧封板、顶盖板；</w:t>
      </w:r>
    </w:p>
    <w:p>
      <w:pPr>
        <w:ind w:firstLine="465" w:firstLineChars="0"/>
        <w:rPr>
          <w:rFonts w:ascii="宋体" w:hAnsi="宋体"/>
          <w:color w:val="auto"/>
          <w:highlight w:val="none"/>
        </w:rPr>
      </w:pPr>
      <w:r>
        <w:rPr>
          <w:rFonts w:hint="eastAsia" w:ascii="宋体" w:hAnsi="宋体"/>
          <w:color w:val="auto"/>
          <w:highlight w:val="none"/>
        </w:rPr>
        <w:t>颜色</w:t>
      </w:r>
      <w:r>
        <w:rPr>
          <w:rFonts w:ascii="宋体" w:hAnsi="宋体"/>
          <w:color w:val="auto"/>
          <w:highlight w:val="none"/>
          <w:lang w:val="en-GB"/>
        </w:rPr>
        <w:t>为</w:t>
      </w:r>
      <w:r>
        <w:rPr>
          <w:rFonts w:hint="eastAsia" w:ascii="宋体" w:hAnsi="宋体"/>
          <w:color w:val="auto"/>
          <w:highlight w:val="none"/>
        </w:rPr>
        <w:t>黑色；</w:t>
      </w:r>
    </w:p>
    <w:p>
      <w:pPr>
        <w:ind w:firstLine="465" w:firstLineChars="0"/>
        <w:rPr>
          <w:rFonts w:ascii="宋体" w:hAnsi="宋体"/>
          <w:color w:val="auto"/>
          <w:highlight w:val="none"/>
        </w:rPr>
      </w:pPr>
      <w:r>
        <w:rPr>
          <w:rFonts w:hint="eastAsia" w:ascii="宋体" w:hAnsi="宋体"/>
          <w:color w:val="auto"/>
          <w:highlight w:val="none"/>
        </w:rPr>
        <w:t>材料采用SPCC高强度钢板；</w:t>
      </w:r>
    </w:p>
    <w:p>
      <w:pPr>
        <w:ind w:firstLine="465" w:firstLineChars="0"/>
        <w:rPr>
          <w:rFonts w:ascii="宋体" w:hAnsi="宋体"/>
          <w:color w:val="auto"/>
          <w:highlight w:val="none"/>
        </w:rPr>
      </w:pPr>
      <w:r>
        <w:rPr>
          <w:rFonts w:hint="eastAsia" w:ascii="宋体" w:hAnsi="宋体"/>
          <w:color w:val="auto"/>
          <w:highlight w:val="none"/>
        </w:rPr>
        <w:t>表面处理方式为静电喷塑；</w:t>
      </w:r>
    </w:p>
    <w:p>
      <w:pPr>
        <w:ind w:firstLine="465" w:firstLineChars="0"/>
        <w:rPr>
          <w:rFonts w:ascii="宋体" w:hAnsi="宋体"/>
          <w:color w:val="auto"/>
          <w:highlight w:val="none"/>
        </w:rPr>
      </w:pPr>
      <w:r>
        <w:rPr>
          <w:rFonts w:hint="eastAsia" w:ascii="宋体" w:hAnsi="宋体"/>
          <w:color w:val="auto"/>
          <w:highlight w:val="none"/>
        </w:rPr>
        <w:t>底座高度根据现场需求定制。</w:t>
      </w:r>
    </w:p>
    <w:p>
      <w:pPr>
        <w:pStyle w:val="7"/>
        <w:numPr>
          <w:ilvl w:val="3"/>
          <w:numId w:val="0"/>
        </w:numPr>
        <w:jc w:val="left"/>
        <w:rPr>
          <w:color w:val="auto"/>
          <w:highlight w:val="none"/>
        </w:rPr>
      </w:pPr>
      <w:r>
        <w:rPr>
          <w:color w:val="auto"/>
          <w:highlight w:val="none"/>
        </w:rPr>
        <w:t>3</w:t>
      </w:r>
      <w:r>
        <w:rPr>
          <w:rFonts w:hint="eastAsia"/>
          <w:color w:val="auto"/>
          <w:highlight w:val="none"/>
        </w:rPr>
        <w:t>、LED配电柜</w:t>
      </w:r>
    </w:p>
    <w:p>
      <w:pPr>
        <w:ind w:firstLine="465" w:firstLineChars="0"/>
        <w:rPr>
          <w:rFonts w:ascii="宋体" w:hAnsi="宋体"/>
          <w:color w:val="auto"/>
          <w:highlight w:val="none"/>
        </w:rPr>
      </w:pPr>
      <w:r>
        <w:rPr>
          <w:rFonts w:hint="eastAsia" w:ascii="宋体" w:hAnsi="宋体"/>
          <w:color w:val="auto"/>
          <w:highlight w:val="none"/>
        </w:rPr>
        <w:t>控制方式支持面板控制、电脑控制、电脑定时、中控控制等控制方式。面板控制: 一键延时启停</w:t>
      </w:r>
      <w:r>
        <w:rPr>
          <w:rFonts w:ascii="宋体" w:hAnsi="宋体"/>
          <w:color w:val="auto"/>
          <w:highlight w:val="none"/>
          <w:lang w:val="en-GB"/>
        </w:rPr>
        <w:t>，</w:t>
      </w:r>
      <w:r>
        <w:rPr>
          <w:rFonts w:hint="eastAsia" w:ascii="宋体" w:hAnsi="宋体"/>
          <w:color w:val="auto"/>
          <w:highlight w:val="none"/>
        </w:rPr>
        <w:t>紧急停止</w:t>
      </w:r>
      <w:r>
        <w:rPr>
          <w:rFonts w:ascii="宋体" w:hAnsi="宋体"/>
          <w:color w:val="auto"/>
          <w:highlight w:val="none"/>
          <w:lang w:val="en-GB"/>
        </w:rPr>
        <w:t>，</w:t>
      </w:r>
      <w:r>
        <w:rPr>
          <w:rFonts w:hint="eastAsia" w:ascii="宋体" w:hAnsi="宋体"/>
          <w:color w:val="auto"/>
          <w:highlight w:val="none"/>
        </w:rPr>
        <w:t>模式切换，单键单元控制；电脑控制: 可一键延时启停，单路启停，紧急停止。对功率、温度、烟雾等状态实时检测</w:t>
      </w:r>
      <w:r>
        <w:rPr>
          <w:rFonts w:ascii="宋体" w:hAnsi="宋体"/>
          <w:color w:val="auto"/>
          <w:highlight w:val="none"/>
          <w:lang w:val="en-GB"/>
        </w:rPr>
        <w:t>，</w:t>
      </w:r>
      <w:r>
        <w:rPr>
          <w:rFonts w:hint="eastAsia" w:ascii="宋体" w:hAnsi="宋体"/>
          <w:color w:val="auto"/>
          <w:highlight w:val="none"/>
        </w:rPr>
        <w:t>并保存操作记录</w:t>
      </w:r>
      <w:r>
        <w:rPr>
          <w:rFonts w:ascii="宋体" w:hAnsi="宋体"/>
          <w:color w:val="auto"/>
          <w:highlight w:val="none"/>
          <w:lang w:val="en-GB"/>
        </w:rPr>
        <w:t>，</w:t>
      </w:r>
      <w:r>
        <w:rPr>
          <w:rFonts w:hint="eastAsia" w:ascii="宋体" w:hAnsi="宋体"/>
          <w:color w:val="auto"/>
          <w:highlight w:val="none"/>
        </w:rPr>
        <w:t>报警记录；电脑定时: 每天可设置最多4组时间段，按星期启停。定好时间后，支持脱机定时运行；中控控制: 提供MODBUS-RTU、MODBUS-TCP、MODBUS-UDP协议；</w:t>
      </w:r>
    </w:p>
    <w:p>
      <w:pPr>
        <w:ind w:firstLine="465" w:firstLineChars="0"/>
        <w:rPr>
          <w:rFonts w:ascii="宋体" w:hAnsi="宋体"/>
          <w:color w:val="auto"/>
          <w:highlight w:val="none"/>
        </w:rPr>
      </w:pPr>
      <w:r>
        <w:rPr>
          <w:rFonts w:hint="eastAsia" w:ascii="宋体" w:hAnsi="宋体"/>
          <w:color w:val="auto"/>
          <w:highlight w:val="none"/>
        </w:rPr>
        <w:t>支持零线电缆高温保护、高温断电保护、短路保护、烟雾保护；</w:t>
      </w:r>
    </w:p>
    <w:p>
      <w:pPr>
        <w:ind w:firstLine="465" w:firstLineChars="0"/>
        <w:rPr>
          <w:rFonts w:ascii="宋体" w:hAnsi="宋体"/>
          <w:color w:val="auto"/>
          <w:highlight w:val="none"/>
        </w:rPr>
      </w:pPr>
      <w:r>
        <w:rPr>
          <w:rFonts w:hint="eastAsia" w:ascii="宋体" w:hAnsi="宋体"/>
          <w:color w:val="auto"/>
          <w:highlight w:val="none"/>
        </w:rPr>
        <w:t>输入电压：380V，三相五线；输出电压：220V；额定功率：20</w:t>
      </w:r>
      <w:r>
        <w:rPr>
          <w:rFonts w:ascii="宋体" w:hAnsi="宋体"/>
          <w:color w:val="auto"/>
          <w:highlight w:val="none"/>
          <w:lang w:val="en-GB"/>
        </w:rPr>
        <w:t>kW</w:t>
      </w:r>
      <w:r>
        <w:rPr>
          <w:rFonts w:hint="eastAsia" w:ascii="宋体" w:hAnsi="宋体"/>
          <w:color w:val="auto"/>
          <w:highlight w:val="none"/>
          <w:lang w:val="en-GB"/>
        </w:rPr>
        <w:t>；</w:t>
      </w:r>
    </w:p>
    <w:p>
      <w:pPr>
        <w:ind w:firstLine="465" w:firstLineChars="0"/>
        <w:rPr>
          <w:rFonts w:ascii="宋体" w:hAnsi="宋体"/>
          <w:color w:val="auto"/>
          <w:highlight w:val="none"/>
        </w:rPr>
      </w:pPr>
      <w:r>
        <w:rPr>
          <w:rFonts w:hint="eastAsia" w:ascii="宋体" w:hAnsi="宋体"/>
          <w:color w:val="auto"/>
          <w:highlight w:val="none"/>
        </w:rPr>
        <w:t>输出回路：6个单相回路（AC220V），每路输出最大带载功率：≤3.33</w:t>
      </w:r>
      <w:r>
        <w:rPr>
          <w:rFonts w:ascii="宋体" w:hAnsi="宋体"/>
          <w:color w:val="auto"/>
          <w:highlight w:val="none"/>
          <w:lang w:val="en-GB"/>
        </w:rPr>
        <w:t>kW</w:t>
      </w:r>
      <w:r>
        <w:rPr>
          <w:rFonts w:hint="eastAsia" w:ascii="宋体" w:hAnsi="宋体"/>
          <w:color w:val="auto"/>
          <w:highlight w:val="none"/>
          <w:lang w:val="en-GB"/>
        </w:rPr>
        <w:t>；</w:t>
      </w:r>
    </w:p>
    <w:p>
      <w:pPr>
        <w:ind w:firstLine="465" w:firstLineChars="0"/>
        <w:rPr>
          <w:rFonts w:ascii="宋体" w:hAnsi="宋体"/>
          <w:color w:val="auto"/>
          <w:highlight w:val="none"/>
        </w:rPr>
      </w:pPr>
      <w:r>
        <w:rPr>
          <w:rFonts w:hint="eastAsia" w:ascii="宋体" w:hAnsi="宋体"/>
          <w:color w:val="auto"/>
          <w:highlight w:val="none"/>
        </w:rPr>
        <w:t>回路状态监测：双回路；</w:t>
      </w:r>
    </w:p>
    <w:p>
      <w:pPr>
        <w:ind w:firstLine="465" w:firstLineChars="0"/>
        <w:rPr>
          <w:rFonts w:ascii="宋体" w:hAnsi="宋体"/>
          <w:color w:val="auto"/>
          <w:highlight w:val="none"/>
        </w:rPr>
      </w:pPr>
      <w:r>
        <w:rPr>
          <w:rFonts w:hint="eastAsia" w:ascii="宋体" w:hAnsi="宋体"/>
          <w:color w:val="auto"/>
          <w:highlight w:val="none"/>
        </w:rPr>
        <w:t>支持远程控制；</w:t>
      </w:r>
    </w:p>
    <w:p>
      <w:pPr>
        <w:ind w:firstLine="465" w:firstLineChars="0"/>
        <w:rPr>
          <w:rFonts w:ascii="宋体" w:hAnsi="宋体"/>
          <w:color w:val="auto"/>
          <w:highlight w:val="none"/>
        </w:rPr>
      </w:pPr>
      <w:r>
        <w:rPr>
          <w:rFonts w:hint="eastAsia" w:ascii="宋体" w:hAnsi="宋体"/>
          <w:color w:val="auto"/>
          <w:highlight w:val="none"/>
        </w:rPr>
        <w:t>支持分步逐级上电，支持计划任务上电，支持温度检测；</w:t>
      </w:r>
    </w:p>
    <w:p>
      <w:pPr>
        <w:ind w:firstLine="465" w:firstLineChars="0"/>
        <w:rPr>
          <w:rFonts w:ascii="宋体" w:hAnsi="宋体"/>
          <w:color w:val="auto"/>
          <w:highlight w:val="none"/>
        </w:rPr>
      </w:pPr>
      <w:r>
        <w:rPr>
          <w:rFonts w:hint="eastAsia" w:ascii="宋体" w:hAnsi="宋体"/>
          <w:color w:val="auto"/>
          <w:highlight w:val="none"/>
        </w:rPr>
        <w:t>支持逻辑联动控制；</w:t>
      </w:r>
    </w:p>
    <w:p>
      <w:pPr>
        <w:ind w:firstLine="465" w:firstLineChars="0"/>
        <w:rPr>
          <w:rFonts w:ascii="宋体" w:hAnsi="宋体"/>
          <w:color w:val="auto"/>
          <w:highlight w:val="none"/>
        </w:rPr>
      </w:pPr>
      <w:r>
        <w:rPr>
          <w:rFonts w:hint="eastAsia" w:ascii="宋体" w:hAnsi="宋体"/>
          <w:color w:val="auto"/>
          <w:highlight w:val="none"/>
        </w:rPr>
        <w:t>主断路器：国产品牌63A断路器*1；交流接触器：国产品牌32A交流接触器*2；子断路器：国产品牌32A微型1P断路器*6；控制回路断路器：国产品牌10A 1P+N微型漏电保护断路器*1；零地排：8位铜排*1；PLC控制器：国产品牌PLC-180控制器*1；PLC控制电源模块：国产品牌 DC24V电源*1；串口服务器：485转USB头*1；</w:t>
      </w:r>
    </w:p>
    <w:p>
      <w:pPr>
        <w:ind w:firstLine="465" w:firstLineChars="0"/>
        <w:rPr>
          <w:rFonts w:ascii="宋体" w:hAnsi="宋体"/>
          <w:color w:val="auto"/>
          <w:highlight w:val="none"/>
        </w:rPr>
      </w:pPr>
      <w:r>
        <w:rPr>
          <w:rFonts w:hint="eastAsia" w:ascii="宋体" w:hAnsi="宋体"/>
          <w:color w:val="auto"/>
          <w:highlight w:val="none"/>
        </w:rPr>
        <w:t>220V输出电缆：RVV3*2.5 mm</w:t>
      </w:r>
      <w:r>
        <w:rPr>
          <w:rFonts w:ascii="宋体" w:hAnsi="宋体"/>
          <w:color w:val="auto"/>
          <w:highlight w:val="none"/>
        </w:rPr>
        <w:t>²</w:t>
      </w:r>
      <w:r>
        <w:rPr>
          <w:rFonts w:hint="eastAsia" w:ascii="宋体" w:hAnsi="宋体"/>
          <w:color w:val="auto"/>
          <w:highlight w:val="none"/>
        </w:rPr>
        <w:t xml:space="preserve">  最多接6根；</w:t>
      </w:r>
    </w:p>
    <w:p>
      <w:pPr>
        <w:ind w:firstLine="465" w:firstLineChars="0"/>
        <w:rPr>
          <w:rFonts w:ascii="宋体" w:hAnsi="宋体"/>
          <w:color w:val="auto"/>
          <w:highlight w:val="none"/>
        </w:rPr>
      </w:pPr>
      <w:r>
        <w:rPr>
          <w:rFonts w:hint="eastAsia" w:ascii="宋体" w:hAnsi="宋体"/>
          <w:color w:val="auto"/>
          <w:highlight w:val="none"/>
        </w:rPr>
        <w:t>380V供电总电缆：YJV-4*6mm</w:t>
      </w:r>
      <w:r>
        <w:rPr>
          <w:rFonts w:ascii="宋体" w:hAnsi="宋体"/>
          <w:color w:val="auto"/>
          <w:highlight w:val="none"/>
        </w:rPr>
        <w:t>²</w:t>
      </w:r>
      <w:r>
        <w:rPr>
          <w:rFonts w:hint="eastAsia" w:ascii="宋体" w:hAnsi="宋体"/>
          <w:color w:val="auto"/>
          <w:highlight w:val="none"/>
        </w:rPr>
        <w:t>+4mm</w:t>
      </w:r>
      <w:r>
        <w:rPr>
          <w:rFonts w:ascii="宋体" w:hAnsi="宋体"/>
          <w:color w:val="auto"/>
          <w:highlight w:val="none"/>
        </w:rPr>
        <w:t>²</w:t>
      </w:r>
      <w:r>
        <w:rPr>
          <w:rFonts w:hint="eastAsia" w:ascii="宋体" w:hAnsi="宋体"/>
          <w:color w:val="auto"/>
          <w:highlight w:val="none"/>
        </w:rPr>
        <w:t>。</w:t>
      </w:r>
    </w:p>
    <w:p>
      <w:pPr>
        <w:pStyle w:val="7"/>
        <w:numPr>
          <w:ilvl w:val="3"/>
          <w:numId w:val="0"/>
        </w:numPr>
        <w:jc w:val="left"/>
        <w:rPr>
          <w:color w:val="auto"/>
          <w:highlight w:val="none"/>
        </w:rPr>
      </w:pPr>
      <w:r>
        <w:rPr>
          <w:color w:val="auto"/>
          <w:highlight w:val="none"/>
        </w:rPr>
        <w:t>4</w:t>
      </w:r>
      <w:r>
        <w:rPr>
          <w:rFonts w:hint="eastAsia"/>
          <w:color w:val="auto"/>
          <w:highlight w:val="none"/>
        </w:rPr>
        <w:t>、屏体发送卡</w:t>
      </w:r>
    </w:p>
    <w:p>
      <w:pPr>
        <w:ind w:firstLine="465" w:firstLineChars="0"/>
        <w:rPr>
          <w:rFonts w:ascii="宋体" w:hAnsi="宋体"/>
          <w:color w:val="auto"/>
          <w:highlight w:val="none"/>
        </w:rPr>
      </w:pPr>
      <w:r>
        <w:rPr>
          <w:rFonts w:hint="eastAsia" w:ascii="宋体" w:hAnsi="宋体"/>
          <w:color w:val="auto"/>
          <w:highlight w:val="none"/>
        </w:rPr>
        <w:t>1U高度半宽机箱机架式设计，工业级机箱系统；</w:t>
      </w:r>
    </w:p>
    <w:p>
      <w:pPr>
        <w:ind w:firstLine="465" w:firstLineChars="0"/>
        <w:rPr>
          <w:rFonts w:ascii="宋体" w:hAnsi="宋体"/>
          <w:color w:val="auto"/>
          <w:highlight w:val="none"/>
        </w:rPr>
      </w:pPr>
      <w:r>
        <w:rPr>
          <w:rFonts w:hint="eastAsia" w:ascii="宋体" w:hAnsi="宋体"/>
          <w:color w:val="auto"/>
          <w:highlight w:val="none"/>
        </w:rPr>
        <w:t>支持1路视频信号输入，支持HDMI1.4 分辨率1920*1200@60Hz；</w:t>
      </w:r>
    </w:p>
    <w:p>
      <w:pPr>
        <w:ind w:firstLine="465" w:firstLineChars="0"/>
        <w:rPr>
          <w:rFonts w:ascii="宋体" w:hAnsi="宋体"/>
          <w:color w:val="auto"/>
          <w:highlight w:val="none"/>
        </w:rPr>
      </w:pPr>
      <w:r>
        <w:rPr>
          <w:rFonts w:hint="eastAsia" w:ascii="宋体" w:hAnsi="宋体"/>
          <w:color w:val="auto"/>
          <w:highlight w:val="none"/>
        </w:rPr>
        <w:t>支持帧率自适应，图像采集可支持25HZ</w:t>
      </w:r>
      <w:r>
        <w:rPr>
          <w:rFonts w:ascii="宋体" w:hAnsi="宋体"/>
          <w:color w:val="auto"/>
          <w:highlight w:val="none"/>
          <w:lang w:val="en-GB"/>
        </w:rPr>
        <w:t>～</w:t>
      </w:r>
      <w:r>
        <w:rPr>
          <w:rFonts w:hint="eastAsia" w:ascii="宋体" w:hAnsi="宋体"/>
          <w:color w:val="auto"/>
          <w:highlight w:val="none"/>
        </w:rPr>
        <w:t>60HZ自适应；</w:t>
      </w:r>
    </w:p>
    <w:p>
      <w:pPr>
        <w:ind w:firstLine="465" w:firstLineChars="0"/>
        <w:rPr>
          <w:rFonts w:ascii="宋体" w:hAnsi="宋体"/>
          <w:color w:val="auto"/>
          <w:highlight w:val="none"/>
        </w:rPr>
      </w:pPr>
      <w:r>
        <w:rPr>
          <w:rFonts w:hint="eastAsia" w:ascii="宋体" w:hAnsi="宋体"/>
          <w:color w:val="auto"/>
          <w:highlight w:val="none"/>
        </w:rPr>
        <w:t>图像带载输出支持RGB444 无损画质；</w:t>
      </w:r>
    </w:p>
    <w:p>
      <w:pPr>
        <w:ind w:firstLine="465" w:firstLineChars="0"/>
        <w:rPr>
          <w:rFonts w:ascii="宋体" w:hAnsi="宋体"/>
          <w:color w:val="auto"/>
          <w:highlight w:val="none"/>
        </w:rPr>
      </w:pPr>
      <w:r>
        <w:rPr>
          <w:rFonts w:hint="eastAsia" w:ascii="宋体" w:hAnsi="宋体"/>
          <w:color w:val="auto"/>
          <w:highlight w:val="none"/>
        </w:rPr>
        <w:t>支持6路网口带载输出，带载高达390万像素，单台设备最大带载最大宽度5120，最大高度5120，每网口最大65W；</w:t>
      </w:r>
    </w:p>
    <w:p>
      <w:pPr>
        <w:ind w:firstLine="465" w:firstLineChars="0"/>
        <w:rPr>
          <w:rFonts w:ascii="宋体" w:hAnsi="宋体"/>
          <w:color w:val="auto"/>
          <w:highlight w:val="none"/>
        </w:rPr>
      </w:pPr>
      <w:r>
        <w:rPr>
          <w:rFonts w:hint="eastAsia" w:ascii="宋体" w:hAnsi="宋体"/>
          <w:color w:val="auto"/>
          <w:highlight w:val="none"/>
        </w:rPr>
        <w:t>支持多发送卡通过网络进行级联管理和统一控制；</w:t>
      </w:r>
    </w:p>
    <w:p>
      <w:pPr>
        <w:ind w:firstLine="465" w:firstLineChars="0"/>
        <w:rPr>
          <w:rFonts w:ascii="宋体" w:hAnsi="宋体"/>
          <w:color w:val="auto"/>
          <w:highlight w:val="none"/>
        </w:rPr>
      </w:pPr>
      <w:r>
        <w:rPr>
          <w:rFonts w:hint="eastAsia" w:ascii="宋体" w:hAnsi="宋体"/>
          <w:color w:val="auto"/>
          <w:highlight w:val="none"/>
        </w:rPr>
        <w:t>支持HDCP 2.2协议的高带宽数字内容保护技术；</w:t>
      </w:r>
    </w:p>
    <w:p>
      <w:pPr>
        <w:ind w:firstLine="465" w:firstLineChars="0"/>
        <w:rPr>
          <w:rFonts w:ascii="宋体" w:hAnsi="宋体"/>
          <w:color w:val="auto"/>
          <w:highlight w:val="none"/>
        </w:rPr>
      </w:pPr>
      <w:r>
        <w:rPr>
          <w:rFonts w:hint="eastAsia" w:ascii="宋体" w:hAnsi="宋体"/>
          <w:color w:val="auto"/>
          <w:highlight w:val="none"/>
        </w:rPr>
        <w:t>支持无信号模式下保留最后一帧；</w:t>
      </w:r>
    </w:p>
    <w:p>
      <w:pPr>
        <w:ind w:firstLine="465" w:firstLineChars="0"/>
        <w:rPr>
          <w:rFonts w:ascii="宋体" w:hAnsi="宋体"/>
          <w:color w:val="auto"/>
          <w:highlight w:val="none"/>
        </w:rPr>
      </w:pPr>
      <w:r>
        <w:rPr>
          <w:rFonts w:hint="eastAsia" w:ascii="东文宋体" w:hAnsi="东文宋体" w:eastAsia="东文宋体" w:cs="东文宋体"/>
          <w:color w:val="auto"/>
          <w:highlight w:val="none"/>
          <w:lang w:val="en-US" w:eastAsia="zh-CN"/>
        </w:rPr>
        <w:t>3</w:t>
      </w:r>
      <w:r>
        <w:rPr>
          <w:rFonts w:hint="eastAsia" w:ascii="东文宋体" w:hAnsi="东文宋体" w:eastAsia="东文宋体" w:cs="东文宋体"/>
          <w:color w:val="auto"/>
          <w:highlight w:val="none"/>
        </w:rPr>
        <w:t>▲</w:t>
      </w:r>
      <w:r>
        <w:rPr>
          <w:rFonts w:hint="eastAsia" w:ascii="宋体" w:hAnsi="宋体"/>
          <w:color w:val="auto"/>
          <w:highlight w:val="none"/>
        </w:rPr>
        <w:t>支持通过按键进行亮度调节、信源切换等操作；（提供检测报告或产品说明书等证明材料）</w:t>
      </w:r>
    </w:p>
    <w:p>
      <w:pPr>
        <w:ind w:firstLine="465" w:firstLineChars="0"/>
        <w:rPr>
          <w:rFonts w:ascii="宋体" w:hAnsi="宋体"/>
          <w:color w:val="auto"/>
          <w:highlight w:val="none"/>
        </w:rPr>
      </w:pPr>
      <w:r>
        <w:rPr>
          <w:rFonts w:hint="eastAsia" w:ascii="宋体" w:hAnsi="宋体"/>
          <w:color w:val="auto"/>
          <w:highlight w:val="none"/>
        </w:rPr>
        <w:t>支持输出画面的亮度、对比度、饱和度等参数的调整；</w:t>
      </w:r>
    </w:p>
    <w:p>
      <w:pPr>
        <w:ind w:firstLine="465" w:firstLineChars="0"/>
        <w:rPr>
          <w:rFonts w:ascii="宋体" w:hAnsi="宋体"/>
          <w:color w:val="auto"/>
          <w:highlight w:val="none"/>
        </w:rPr>
      </w:pPr>
      <w:r>
        <w:rPr>
          <w:rFonts w:hint="eastAsia" w:ascii="宋体" w:hAnsi="宋体"/>
          <w:color w:val="auto"/>
          <w:highlight w:val="none"/>
        </w:rPr>
        <w:t>支持对屏幕进行逐点校正配置有效消除色差，有效提高显示屏的画质；</w:t>
      </w:r>
    </w:p>
    <w:p>
      <w:pPr>
        <w:ind w:firstLine="465" w:firstLineChars="0"/>
        <w:rPr>
          <w:rFonts w:ascii="宋体" w:hAnsi="宋体"/>
          <w:color w:val="auto"/>
          <w:highlight w:val="none"/>
        </w:rPr>
      </w:pPr>
      <w:r>
        <w:rPr>
          <w:rFonts w:hint="eastAsia" w:ascii="宋体" w:hAnsi="宋体"/>
          <w:color w:val="auto"/>
          <w:highlight w:val="none"/>
        </w:rPr>
        <w:t>支持HDR输出，增强显示屏的画质，使画面色彩更加真实生动，细节更加清晰；</w:t>
      </w:r>
    </w:p>
    <w:p>
      <w:pPr>
        <w:ind w:firstLine="465" w:firstLineChars="0"/>
        <w:rPr>
          <w:rFonts w:ascii="宋体" w:hAnsi="宋体"/>
          <w:color w:val="auto"/>
          <w:highlight w:val="none"/>
        </w:rPr>
      </w:pPr>
      <w:r>
        <w:rPr>
          <w:rFonts w:hint="eastAsia" w:ascii="宋体" w:hAnsi="宋体"/>
          <w:color w:val="auto"/>
          <w:highlight w:val="none"/>
        </w:rPr>
        <w:t>支持标准、暖色、冷色等色温模式调节同时可支持自定义色温调节；</w:t>
      </w:r>
    </w:p>
    <w:p>
      <w:pPr>
        <w:ind w:firstLine="465" w:firstLineChars="0"/>
        <w:rPr>
          <w:rFonts w:ascii="宋体" w:hAnsi="宋体"/>
          <w:color w:val="auto"/>
          <w:highlight w:val="none"/>
        </w:rPr>
      </w:pPr>
      <w:r>
        <w:rPr>
          <w:rFonts w:hint="eastAsia" w:ascii="宋体" w:hAnsi="宋体"/>
          <w:color w:val="auto"/>
          <w:highlight w:val="none"/>
        </w:rPr>
        <w:t>支持3840 Hz 高刷新率输出，纳秒级响应时间，视频画面更细腻流畅；</w:t>
      </w:r>
    </w:p>
    <w:p>
      <w:pPr>
        <w:ind w:firstLine="465" w:firstLineChars="0"/>
        <w:rPr>
          <w:rFonts w:ascii="宋体" w:hAnsi="宋体"/>
          <w:color w:val="auto"/>
          <w:highlight w:val="none"/>
        </w:rPr>
      </w:pPr>
      <w:r>
        <w:rPr>
          <w:rFonts w:hint="eastAsia" w:ascii="宋体" w:hAnsi="宋体"/>
          <w:color w:val="auto"/>
          <w:highlight w:val="none"/>
        </w:rPr>
        <w:t>支持查看设备与LED屏幕的带载关系；</w:t>
      </w:r>
    </w:p>
    <w:p>
      <w:pPr>
        <w:ind w:firstLine="465" w:firstLineChars="0"/>
        <w:rPr>
          <w:rFonts w:ascii="宋体" w:hAnsi="宋体"/>
          <w:color w:val="auto"/>
          <w:highlight w:val="none"/>
        </w:rPr>
      </w:pPr>
      <w:r>
        <w:rPr>
          <w:rFonts w:hint="eastAsia" w:ascii="宋体" w:hAnsi="宋体"/>
          <w:color w:val="auto"/>
          <w:highlight w:val="none"/>
        </w:rPr>
        <w:t>支持查看设备运行状态、设备内存、CPU使用率、设备运行温度和网口使用率等参数；</w:t>
      </w:r>
    </w:p>
    <w:p>
      <w:pPr>
        <w:ind w:firstLine="465" w:firstLineChars="0"/>
        <w:rPr>
          <w:rFonts w:ascii="宋体" w:hAnsi="宋体"/>
          <w:color w:val="auto"/>
          <w:highlight w:val="none"/>
        </w:rPr>
      </w:pPr>
      <w:r>
        <w:rPr>
          <w:rFonts w:hint="eastAsia" w:ascii="宋体" w:hAnsi="宋体"/>
          <w:color w:val="auto"/>
          <w:highlight w:val="none"/>
        </w:rPr>
        <w:t>支持通过控制网口，通过网络SDK、ISAPI、OTAP等协议进行控制指令对接和设备管理；</w:t>
      </w:r>
    </w:p>
    <w:p>
      <w:pPr>
        <w:ind w:firstLine="465" w:firstLineChars="0"/>
        <w:rPr>
          <w:rFonts w:ascii="宋体" w:hAnsi="宋体"/>
          <w:color w:val="auto"/>
          <w:highlight w:val="none"/>
        </w:rPr>
      </w:pPr>
      <w:r>
        <w:rPr>
          <w:rFonts w:hint="eastAsia" w:ascii="宋体" w:hAnsi="宋体"/>
          <w:color w:val="auto"/>
          <w:highlight w:val="none"/>
        </w:rPr>
        <w:t>控制网口：2个RJ45，10M/100M/1000M自适应以太网口；</w:t>
      </w:r>
    </w:p>
    <w:p>
      <w:pPr>
        <w:ind w:firstLine="465" w:firstLineChars="0"/>
        <w:rPr>
          <w:rFonts w:ascii="宋体" w:hAnsi="宋体"/>
          <w:color w:val="auto"/>
          <w:highlight w:val="none"/>
        </w:rPr>
      </w:pPr>
      <w:r>
        <w:rPr>
          <w:rFonts w:hint="eastAsia" w:ascii="宋体" w:hAnsi="宋体"/>
          <w:color w:val="auto"/>
          <w:highlight w:val="none"/>
        </w:rPr>
        <w:t>工作温度：0°C ~ 50°C，工作湿度：10% ～ 90%；</w:t>
      </w:r>
    </w:p>
    <w:p>
      <w:pPr>
        <w:ind w:firstLine="465" w:firstLineChars="0"/>
        <w:rPr>
          <w:rFonts w:ascii="宋体" w:hAnsi="宋体"/>
          <w:color w:val="auto"/>
          <w:highlight w:val="none"/>
        </w:rPr>
      </w:pPr>
      <w:r>
        <w:rPr>
          <w:rFonts w:hint="eastAsia" w:ascii="宋体" w:hAnsi="宋体"/>
          <w:color w:val="auto"/>
          <w:highlight w:val="none"/>
        </w:rPr>
        <w:t>存储温度：-10°C ~ 50°C，存储湿度：10% ～ 90%。</w:t>
      </w:r>
    </w:p>
    <w:p>
      <w:pPr>
        <w:ind w:firstLine="465" w:firstLineChars="0"/>
        <w:rPr>
          <w:rFonts w:ascii="宋体" w:hAnsi="宋体"/>
          <w:color w:val="auto"/>
          <w:highlight w:val="none"/>
        </w:rPr>
      </w:pPr>
      <w:r>
        <w:rPr>
          <w:rFonts w:hint="eastAsia" w:ascii="宋体" w:hAnsi="宋体"/>
          <w:color w:val="auto"/>
          <w:highlight w:val="none"/>
        </w:rPr>
        <w:t>△具有2个控制网口，支持TCP/IP网络协议，双网口均可用于控制设备或设备网络级联，其中一个接口用于控制设备时，另外一个网口就用于设备网络级联。（提供首页具有CNAS或CMA标识的第三方检测报告复印件并加盖厂家公章）</w:t>
      </w:r>
    </w:p>
    <w:p>
      <w:pPr>
        <w:ind w:firstLine="465" w:firstLineChars="0"/>
        <w:rPr>
          <w:rFonts w:ascii="宋体" w:hAnsi="宋体"/>
          <w:color w:val="auto"/>
          <w:highlight w:val="none"/>
        </w:rPr>
      </w:pPr>
    </w:p>
    <w:p>
      <w:pPr>
        <w:pStyle w:val="6"/>
        <w:rPr>
          <w:rFonts w:ascii="宋体" w:hAnsi="宋体"/>
          <w:color w:val="auto"/>
          <w:highlight w:val="none"/>
        </w:rPr>
      </w:pPr>
      <w:bookmarkStart w:id="15" w:name="_Toc221694763"/>
      <w:bookmarkStart w:id="16" w:name="_Toc223194376"/>
      <w:r>
        <w:rPr>
          <w:rFonts w:ascii="宋体" w:hAnsi="宋体"/>
          <w:color w:val="auto"/>
          <w:highlight w:val="none"/>
        </w:rPr>
        <w:t xml:space="preserve">2.4.2 </w:t>
      </w:r>
      <w:r>
        <w:rPr>
          <w:rFonts w:hint="eastAsia" w:ascii="宋体" w:hAnsi="宋体"/>
          <w:color w:val="auto"/>
          <w:highlight w:val="none"/>
        </w:rPr>
        <w:t>拼控部分</w:t>
      </w:r>
      <w:bookmarkEnd w:id="15"/>
      <w:bookmarkEnd w:id="16"/>
    </w:p>
    <w:p>
      <w:pPr>
        <w:pStyle w:val="7"/>
        <w:numPr>
          <w:ilvl w:val="3"/>
          <w:numId w:val="0"/>
        </w:numPr>
        <w:jc w:val="left"/>
        <w:rPr>
          <w:color w:val="auto"/>
          <w:highlight w:val="none"/>
        </w:rPr>
      </w:pPr>
      <w:r>
        <w:rPr>
          <w:rFonts w:hint="eastAsia"/>
          <w:color w:val="auto"/>
          <w:highlight w:val="none"/>
        </w:rPr>
        <w:t>1.智能大屏管理系统单元</w:t>
      </w:r>
    </w:p>
    <w:p>
      <w:pPr>
        <w:ind w:firstLine="465" w:firstLineChars="0"/>
        <w:rPr>
          <w:rFonts w:ascii="宋体" w:hAnsi="宋体"/>
          <w:color w:val="auto"/>
          <w:highlight w:val="none"/>
        </w:rPr>
      </w:pPr>
      <w:r>
        <w:rPr>
          <w:rFonts w:hint="eastAsia" w:ascii="宋体" w:hAnsi="宋体"/>
          <w:color w:val="auto"/>
          <w:highlight w:val="none"/>
        </w:rPr>
        <w:t>应用功能：</w:t>
      </w:r>
    </w:p>
    <w:p>
      <w:pPr>
        <w:ind w:firstLine="465" w:firstLineChars="0"/>
        <w:rPr>
          <w:rFonts w:ascii="宋体" w:hAnsi="宋体"/>
          <w:color w:val="auto"/>
          <w:highlight w:val="none"/>
        </w:rPr>
      </w:pPr>
      <w:r>
        <w:rPr>
          <w:rFonts w:hint="eastAsia" w:ascii="宋体" w:hAnsi="宋体"/>
          <w:color w:val="auto"/>
          <w:highlight w:val="none"/>
        </w:rPr>
        <w:t>（1）屏幕管理：支持拼控大屏（LED、LCD、DLP）的管理，解码输出通道关联、输出分辨率调整、音频通道管理；</w:t>
      </w:r>
    </w:p>
    <w:p>
      <w:pPr>
        <w:ind w:firstLine="465" w:firstLineChars="0"/>
        <w:rPr>
          <w:rFonts w:ascii="宋体" w:hAnsi="宋体"/>
          <w:color w:val="auto"/>
          <w:highlight w:val="none"/>
        </w:rPr>
      </w:pPr>
      <w:r>
        <w:rPr>
          <w:rFonts w:hint="eastAsia" w:ascii="宋体" w:hAnsi="宋体"/>
          <w:color w:val="auto"/>
          <w:highlight w:val="none"/>
        </w:rPr>
        <w:t>（2）信号管理：支持拼控输入信号分组管理、信号权限分配给指定用户，支持同步</w:t>
      </w:r>
      <w:r>
        <w:rPr>
          <w:rFonts w:ascii="宋体" w:hAnsi="宋体"/>
          <w:color w:val="auto"/>
          <w:highlight w:val="none"/>
          <w:lang w:val="en-GB"/>
        </w:rPr>
        <w:t>座席</w:t>
      </w:r>
      <w:r>
        <w:rPr>
          <w:rFonts w:hint="eastAsia" w:ascii="宋体" w:hAnsi="宋体"/>
          <w:color w:val="auto"/>
          <w:highlight w:val="none"/>
        </w:rPr>
        <w:t>信号；</w:t>
      </w:r>
    </w:p>
    <w:p>
      <w:pPr>
        <w:ind w:firstLine="465" w:firstLineChars="0"/>
        <w:rPr>
          <w:rFonts w:ascii="宋体" w:hAnsi="宋体"/>
          <w:color w:val="auto"/>
          <w:highlight w:val="none"/>
        </w:rPr>
      </w:pPr>
      <w:r>
        <w:rPr>
          <w:rFonts w:hint="eastAsia" w:ascii="宋体" w:hAnsi="宋体"/>
          <w:color w:val="auto"/>
          <w:highlight w:val="none"/>
        </w:rPr>
        <w:t>（3）大屏控制：支持设置大屏的底图、大屏开关（关联LED配电柜）、大屏场景设置、场景分组、信号（视频信号、本地信号、抓屏信号、播控信号、</w:t>
      </w:r>
      <w:r>
        <w:rPr>
          <w:rFonts w:ascii="宋体" w:hAnsi="宋体"/>
          <w:color w:val="auto"/>
          <w:highlight w:val="none"/>
          <w:lang w:val="en-GB"/>
        </w:rPr>
        <w:t>座席</w:t>
      </w:r>
      <w:r>
        <w:rPr>
          <w:rFonts w:hint="eastAsia" w:ascii="宋体" w:hAnsi="宋体"/>
          <w:color w:val="auto"/>
          <w:highlight w:val="none"/>
        </w:rPr>
        <w:t>信号、媒体文件等）上屏、画面布局模板设置、清屏、横幅字幕、信号开窗、窗口层级设置、窗口声音开关、窗口锁定、离线编辑、大屏回显、视频点轮询；支持大屏预案设置、启停预案；</w:t>
      </w:r>
    </w:p>
    <w:p>
      <w:pPr>
        <w:ind w:firstLine="465" w:firstLineChars="0"/>
        <w:rPr>
          <w:rFonts w:ascii="宋体" w:hAnsi="宋体"/>
          <w:color w:val="auto"/>
          <w:highlight w:val="none"/>
        </w:rPr>
      </w:pPr>
      <w:r>
        <w:rPr>
          <w:rFonts w:hint="eastAsia" w:ascii="宋体" w:hAnsi="宋体"/>
          <w:color w:val="auto"/>
          <w:highlight w:val="none"/>
        </w:rPr>
        <w:t>（4）运维管理：支持查看屏幕数量、拼控器数量、拼控器在离线情况等；</w:t>
      </w:r>
    </w:p>
    <w:p>
      <w:pPr>
        <w:ind w:firstLine="465" w:firstLineChars="0"/>
        <w:rPr>
          <w:rFonts w:ascii="宋体" w:hAnsi="宋体"/>
          <w:color w:val="auto"/>
          <w:highlight w:val="none"/>
        </w:rPr>
      </w:pPr>
      <w:r>
        <w:rPr>
          <w:rFonts w:hint="eastAsia" w:ascii="宋体" w:hAnsi="宋体"/>
          <w:color w:val="auto"/>
          <w:highlight w:val="none"/>
        </w:rPr>
        <w:t>（5）支持文字、时钟、天气、网页、excel值班表等内容渲染。</w:t>
      </w:r>
    </w:p>
    <w:p>
      <w:pPr>
        <w:ind w:firstLine="465" w:firstLineChars="0"/>
        <w:rPr>
          <w:rFonts w:ascii="宋体" w:hAnsi="宋体"/>
          <w:color w:val="auto"/>
          <w:highlight w:val="none"/>
        </w:rPr>
      </w:pPr>
      <w:r>
        <w:rPr>
          <w:rFonts w:hint="eastAsia" w:ascii="宋体" w:hAnsi="宋体"/>
          <w:color w:val="auto"/>
          <w:highlight w:val="none"/>
        </w:rPr>
        <w:t>硬件配置：</w:t>
      </w:r>
    </w:p>
    <w:p>
      <w:pPr>
        <w:ind w:firstLine="465" w:firstLineChars="0"/>
        <w:rPr>
          <w:rFonts w:ascii="宋体" w:hAnsi="宋体"/>
          <w:color w:val="auto"/>
          <w:highlight w:val="none"/>
        </w:rPr>
      </w:pPr>
      <w:r>
        <w:rPr>
          <w:rFonts w:hint="eastAsia" w:ascii="宋体" w:hAnsi="宋体"/>
          <w:color w:val="auto"/>
          <w:highlight w:val="none"/>
        </w:rPr>
        <w:t>技术规格：2U双路标准机架式服务器；</w:t>
      </w:r>
    </w:p>
    <w:p>
      <w:pPr>
        <w:ind w:firstLine="465" w:firstLineChars="0"/>
        <w:rPr>
          <w:rFonts w:ascii="宋体" w:hAnsi="宋体"/>
          <w:color w:val="auto"/>
          <w:highlight w:val="none"/>
        </w:rPr>
      </w:pPr>
      <w:r>
        <w:rPr>
          <w:rFonts w:hint="eastAsia" w:ascii="宋体" w:hAnsi="宋体"/>
          <w:color w:val="auto"/>
          <w:highlight w:val="none"/>
        </w:rPr>
        <w:t>CPU：配置1颗高性能国产化处理器，单处理器核数≥24核，线程数≥48，频率≥2.5GHz，末级缓存容量≥64MB，支持内存的最高速率≥5200 MHz；</w:t>
      </w:r>
    </w:p>
    <w:p>
      <w:pPr>
        <w:ind w:firstLine="465" w:firstLineChars="0"/>
        <w:rPr>
          <w:rFonts w:ascii="宋体" w:hAnsi="宋体"/>
          <w:color w:val="auto"/>
          <w:highlight w:val="none"/>
        </w:rPr>
      </w:pPr>
      <w:r>
        <w:rPr>
          <w:rFonts w:hint="eastAsia" w:ascii="宋体" w:hAnsi="宋体"/>
          <w:color w:val="auto"/>
          <w:highlight w:val="none"/>
        </w:rPr>
        <w:t>配置64G DDR5内存，16根内存插槽；</w:t>
      </w:r>
    </w:p>
    <w:p>
      <w:pPr>
        <w:ind w:firstLine="465" w:firstLineChars="0"/>
        <w:rPr>
          <w:rFonts w:ascii="宋体" w:hAnsi="宋体"/>
          <w:color w:val="auto"/>
          <w:highlight w:val="none"/>
        </w:rPr>
      </w:pPr>
      <w:r>
        <w:rPr>
          <w:rFonts w:hint="eastAsia" w:ascii="宋体" w:hAnsi="宋体"/>
          <w:color w:val="auto"/>
          <w:highlight w:val="none"/>
        </w:rPr>
        <w:t>配置2块960G SSD盘；</w:t>
      </w:r>
    </w:p>
    <w:p>
      <w:pPr>
        <w:ind w:firstLine="465" w:firstLineChars="0"/>
        <w:rPr>
          <w:rFonts w:ascii="宋体" w:hAnsi="宋体"/>
          <w:color w:val="auto"/>
          <w:highlight w:val="none"/>
        </w:rPr>
      </w:pPr>
      <w:r>
        <w:rPr>
          <w:rFonts w:hint="eastAsia" w:ascii="宋体" w:hAnsi="宋体"/>
          <w:color w:val="auto"/>
          <w:highlight w:val="none"/>
        </w:rPr>
        <w:t>配置1块SAS+HBA卡(支持RAID 0/1/10)；</w:t>
      </w:r>
    </w:p>
    <w:p>
      <w:pPr>
        <w:ind w:firstLine="465" w:firstLineChars="0"/>
        <w:rPr>
          <w:rFonts w:ascii="宋体" w:hAnsi="宋体"/>
          <w:color w:val="auto"/>
          <w:highlight w:val="none"/>
        </w:rPr>
      </w:pPr>
      <w:r>
        <w:rPr>
          <w:rFonts w:hint="eastAsia" w:ascii="宋体" w:hAnsi="宋体"/>
          <w:color w:val="auto"/>
          <w:highlight w:val="none"/>
        </w:rPr>
        <w:t>不低于2个千兆电口和2个PCIE万兆光口；</w:t>
      </w:r>
    </w:p>
    <w:p>
      <w:pPr>
        <w:ind w:firstLine="465" w:firstLineChars="0"/>
        <w:rPr>
          <w:rFonts w:ascii="宋体" w:hAnsi="宋体"/>
          <w:color w:val="auto"/>
          <w:highlight w:val="none"/>
        </w:rPr>
      </w:pPr>
      <w:r>
        <w:rPr>
          <w:rFonts w:hint="eastAsia" w:ascii="宋体" w:hAnsi="宋体"/>
          <w:color w:val="auto"/>
          <w:highlight w:val="none"/>
        </w:rPr>
        <w:t>1个千兆RJ-45管理接口；</w:t>
      </w:r>
    </w:p>
    <w:p>
      <w:pPr>
        <w:ind w:firstLine="465" w:firstLineChars="0"/>
        <w:rPr>
          <w:rFonts w:ascii="宋体" w:hAnsi="宋体"/>
          <w:color w:val="auto"/>
          <w:highlight w:val="none"/>
        </w:rPr>
      </w:pPr>
      <w:r>
        <w:rPr>
          <w:rFonts w:hint="eastAsia" w:ascii="宋体" w:hAnsi="宋体"/>
          <w:color w:val="auto"/>
          <w:highlight w:val="none"/>
        </w:rPr>
        <w:t>2个VGA接口，4个USB接口；</w:t>
      </w:r>
    </w:p>
    <w:p>
      <w:pPr>
        <w:ind w:firstLine="465" w:firstLineChars="0"/>
        <w:rPr>
          <w:rFonts w:ascii="宋体" w:hAnsi="宋体"/>
          <w:color w:val="auto"/>
          <w:highlight w:val="none"/>
        </w:rPr>
      </w:pPr>
      <w:r>
        <w:rPr>
          <w:rFonts w:hint="eastAsia" w:ascii="宋体" w:hAnsi="宋体"/>
          <w:color w:val="auto"/>
          <w:highlight w:val="none"/>
        </w:rPr>
        <w:t>配置800W（1+1）高效CRPS冗余白金电源。</w:t>
      </w:r>
    </w:p>
    <w:p>
      <w:pPr>
        <w:pStyle w:val="7"/>
        <w:numPr>
          <w:ilvl w:val="3"/>
          <w:numId w:val="0"/>
        </w:numPr>
        <w:jc w:val="left"/>
        <w:rPr>
          <w:color w:val="auto"/>
          <w:highlight w:val="none"/>
        </w:rPr>
      </w:pPr>
      <w:r>
        <w:rPr>
          <w:rFonts w:hint="eastAsia"/>
          <w:color w:val="auto"/>
          <w:highlight w:val="none"/>
        </w:rPr>
        <w:t>2.大屏控制客户端</w:t>
      </w:r>
    </w:p>
    <w:p>
      <w:pPr>
        <w:ind w:firstLine="465" w:firstLineChars="0"/>
        <w:rPr>
          <w:rFonts w:ascii="宋体" w:hAnsi="宋体"/>
          <w:color w:val="auto"/>
          <w:highlight w:val="none"/>
        </w:rPr>
      </w:pPr>
      <w:r>
        <w:rPr>
          <w:rFonts w:hint="eastAsia" w:ascii="宋体" w:hAnsi="宋体"/>
          <w:color w:val="auto"/>
          <w:highlight w:val="none"/>
        </w:rPr>
        <w:t>支持通过客户端软件对大屏进行控制管理；</w:t>
      </w:r>
    </w:p>
    <w:p>
      <w:pPr>
        <w:ind w:firstLine="465" w:firstLineChars="0"/>
        <w:rPr>
          <w:rFonts w:ascii="宋体" w:hAnsi="宋体"/>
          <w:color w:val="auto"/>
          <w:highlight w:val="none"/>
        </w:rPr>
      </w:pPr>
      <w:r>
        <w:rPr>
          <w:rFonts w:hint="eastAsia" w:ascii="宋体" w:hAnsi="宋体"/>
          <w:color w:val="auto"/>
          <w:highlight w:val="none"/>
        </w:rPr>
        <w:t>CPU：10核16线程/2.5GHz ×1；</w:t>
      </w:r>
    </w:p>
    <w:p>
      <w:pPr>
        <w:ind w:firstLine="465" w:firstLineChars="0"/>
        <w:rPr>
          <w:rFonts w:ascii="宋体" w:hAnsi="宋体"/>
          <w:color w:val="auto"/>
          <w:highlight w:val="none"/>
        </w:rPr>
      </w:pPr>
      <w:r>
        <w:rPr>
          <w:rFonts w:hint="eastAsia" w:ascii="宋体" w:hAnsi="宋体"/>
          <w:color w:val="auto"/>
          <w:highlight w:val="none"/>
        </w:rPr>
        <w:t>内存：8G DDR4 3200 ×2；</w:t>
      </w:r>
    </w:p>
    <w:p>
      <w:pPr>
        <w:ind w:firstLine="465" w:firstLineChars="0"/>
        <w:rPr>
          <w:rFonts w:ascii="宋体" w:hAnsi="宋体"/>
          <w:color w:val="auto"/>
          <w:highlight w:val="none"/>
        </w:rPr>
      </w:pPr>
      <w:r>
        <w:rPr>
          <w:rFonts w:hint="eastAsia" w:ascii="宋体" w:hAnsi="宋体"/>
          <w:color w:val="auto"/>
          <w:highlight w:val="none"/>
        </w:rPr>
        <w:t>硬盘：512G SATA SSD ×1；</w:t>
      </w:r>
    </w:p>
    <w:p>
      <w:pPr>
        <w:ind w:firstLine="465" w:firstLineChars="0"/>
        <w:rPr>
          <w:rFonts w:ascii="宋体" w:hAnsi="宋体"/>
          <w:color w:val="auto"/>
          <w:highlight w:val="none"/>
        </w:rPr>
      </w:pPr>
      <w:r>
        <w:rPr>
          <w:rFonts w:hint="eastAsia" w:ascii="宋体" w:hAnsi="宋体"/>
          <w:color w:val="auto"/>
          <w:highlight w:val="none"/>
        </w:rPr>
        <w:t>显卡：4G独显 ×1；</w:t>
      </w:r>
    </w:p>
    <w:p>
      <w:pPr>
        <w:ind w:firstLine="465" w:firstLineChars="0"/>
        <w:rPr>
          <w:rFonts w:ascii="宋体" w:hAnsi="宋体"/>
          <w:color w:val="auto"/>
          <w:highlight w:val="none"/>
        </w:rPr>
      </w:pPr>
      <w:r>
        <w:rPr>
          <w:rFonts w:hint="eastAsia" w:ascii="宋体" w:hAnsi="宋体"/>
          <w:color w:val="auto"/>
          <w:highlight w:val="none"/>
        </w:rPr>
        <w:t>显示器：23.8英寸 ×1；</w:t>
      </w:r>
    </w:p>
    <w:p>
      <w:pPr>
        <w:ind w:firstLine="465" w:firstLineChars="0"/>
        <w:rPr>
          <w:rFonts w:ascii="宋体" w:hAnsi="宋体"/>
          <w:color w:val="auto"/>
          <w:highlight w:val="none"/>
        </w:rPr>
      </w:pPr>
      <w:r>
        <w:rPr>
          <w:rFonts w:hint="eastAsia" w:ascii="宋体" w:hAnsi="宋体"/>
          <w:color w:val="auto"/>
          <w:highlight w:val="none"/>
        </w:rPr>
        <w:t>电源：200W ×1；</w:t>
      </w:r>
    </w:p>
    <w:p>
      <w:pPr>
        <w:ind w:firstLine="465" w:firstLineChars="0"/>
        <w:rPr>
          <w:rFonts w:ascii="宋体" w:hAnsi="宋体"/>
          <w:color w:val="auto"/>
          <w:highlight w:val="none"/>
        </w:rPr>
      </w:pPr>
      <w:r>
        <w:rPr>
          <w:rFonts w:hint="eastAsia" w:ascii="宋体" w:hAnsi="宋体"/>
          <w:color w:val="auto"/>
          <w:highlight w:val="none"/>
        </w:rPr>
        <w:t>键鼠：有线键鼠 ×1。</w:t>
      </w:r>
    </w:p>
    <w:p>
      <w:pPr>
        <w:pStyle w:val="7"/>
        <w:numPr>
          <w:ilvl w:val="3"/>
          <w:numId w:val="0"/>
        </w:numPr>
        <w:jc w:val="left"/>
        <w:rPr>
          <w:color w:val="auto"/>
          <w:highlight w:val="none"/>
        </w:rPr>
      </w:pPr>
      <w:r>
        <w:rPr>
          <w:rFonts w:hint="eastAsia"/>
          <w:color w:val="auto"/>
          <w:highlight w:val="none"/>
        </w:rPr>
        <w:t>3.视频输入节点</w:t>
      </w:r>
    </w:p>
    <w:p>
      <w:pPr>
        <w:ind w:firstLine="465" w:firstLineChars="0"/>
        <w:rPr>
          <w:rFonts w:ascii="宋体" w:hAnsi="宋体"/>
          <w:color w:val="auto"/>
          <w:highlight w:val="none"/>
        </w:rPr>
      </w:pPr>
      <w:r>
        <w:rPr>
          <w:rFonts w:hint="eastAsia" w:ascii="宋体" w:hAnsi="宋体"/>
          <w:color w:val="auto"/>
          <w:highlight w:val="none"/>
        </w:rPr>
        <w:t>分布式拼控4K输入，支持1路4K60输入，支持自定义分辨率；</w:t>
      </w:r>
    </w:p>
    <w:p>
      <w:pPr>
        <w:ind w:firstLine="465" w:firstLineChars="0"/>
        <w:rPr>
          <w:rFonts w:ascii="宋体" w:hAnsi="宋体"/>
          <w:color w:val="auto"/>
          <w:highlight w:val="none"/>
        </w:rPr>
      </w:pPr>
      <w:r>
        <w:rPr>
          <w:rFonts w:hint="eastAsia" w:ascii="宋体" w:hAnsi="宋体"/>
          <w:color w:val="auto"/>
          <w:highlight w:val="none"/>
        </w:rPr>
        <w:t>YUV444的图像采样和传输处理，实现优质的色彩还原度，满足用户对于画质的高标准和严要求；</w:t>
      </w:r>
    </w:p>
    <w:p>
      <w:pPr>
        <w:ind w:firstLine="465" w:firstLineChars="0"/>
        <w:rPr>
          <w:rFonts w:ascii="宋体" w:hAnsi="宋体"/>
          <w:color w:val="auto"/>
          <w:highlight w:val="none"/>
        </w:rPr>
      </w:pPr>
      <w:r>
        <w:rPr>
          <w:rFonts w:hint="eastAsia" w:ascii="东文宋体" w:hAnsi="东文宋体" w:eastAsia="东文宋体" w:cs="东文宋体"/>
          <w:color w:val="auto"/>
          <w:highlight w:val="none"/>
          <w:lang w:val="en-US" w:eastAsia="zh-CN"/>
        </w:rPr>
        <w:t>4</w:t>
      </w:r>
      <w:r>
        <w:rPr>
          <w:rFonts w:hint="eastAsia" w:ascii="东文宋体" w:hAnsi="东文宋体" w:eastAsia="东文宋体" w:cs="东文宋体"/>
          <w:color w:val="auto"/>
          <w:highlight w:val="none"/>
        </w:rPr>
        <w:t>▲</w:t>
      </w:r>
      <w:r>
        <w:rPr>
          <w:rFonts w:hint="eastAsia" w:ascii="宋体" w:hAnsi="宋体"/>
          <w:color w:val="auto"/>
          <w:highlight w:val="none"/>
        </w:rPr>
        <w:t>支持输入图像的裁剪显示（提供检测报告或产品说明书等证明材料）</w:t>
      </w:r>
    </w:p>
    <w:p>
      <w:pPr>
        <w:ind w:firstLine="465" w:firstLineChars="0"/>
        <w:rPr>
          <w:rFonts w:ascii="宋体" w:hAnsi="宋体"/>
          <w:color w:val="auto"/>
          <w:highlight w:val="none"/>
        </w:rPr>
      </w:pPr>
      <w:r>
        <w:rPr>
          <w:rFonts w:hint="eastAsia" w:ascii="宋体" w:hAnsi="宋体"/>
          <w:color w:val="auto"/>
          <w:highlight w:val="none"/>
        </w:rPr>
        <w:t>支持ONVIF标准协议接入设备，支持GB28181协议接入设备；</w:t>
      </w:r>
    </w:p>
    <w:p>
      <w:pPr>
        <w:ind w:firstLine="465" w:firstLineChars="0"/>
        <w:rPr>
          <w:rFonts w:ascii="宋体" w:hAnsi="宋体"/>
          <w:color w:val="auto"/>
          <w:highlight w:val="none"/>
        </w:rPr>
      </w:pPr>
      <w:r>
        <w:rPr>
          <w:rFonts w:hint="eastAsia" w:ascii="宋体" w:hAnsi="宋体"/>
          <w:color w:val="auto"/>
          <w:highlight w:val="none"/>
        </w:rPr>
        <w:t>具备1000M SFP光口和1000M以太网电口，支持光电热备；</w:t>
      </w:r>
    </w:p>
    <w:p>
      <w:pPr>
        <w:ind w:firstLine="465" w:firstLineChars="0"/>
        <w:rPr>
          <w:rFonts w:ascii="宋体" w:hAnsi="宋体"/>
          <w:color w:val="auto"/>
          <w:highlight w:val="none"/>
        </w:rPr>
      </w:pPr>
      <w:r>
        <w:rPr>
          <w:rFonts w:hint="eastAsia" w:ascii="宋体" w:hAnsi="宋体"/>
          <w:color w:val="auto"/>
          <w:highlight w:val="none"/>
        </w:rPr>
        <w:t>支持单播和组播协议的切换；</w:t>
      </w:r>
    </w:p>
    <w:p>
      <w:pPr>
        <w:ind w:firstLine="465" w:firstLineChars="0"/>
        <w:rPr>
          <w:rFonts w:ascii="宋体" w:hAnsi="宋体"/>
          <w:color w:val="auto"/>
          <w:highlight w:val="none"/>
        </w:rPr>
      </w:pPr>
      <w:r>
        <w:rPr>
          <w:rFonts w:hint="eastAsia" w:ascii="宋体" w:hAnsi="宋体"/>
          <w:color w:val="auto"/>
          <w:highlight w:val="none"/>
        </w:rPr>
        <w:t>支持超高分融合，支持16 个4K超高清信号的接入；</w:t>
      </w:r>
    </w:p>
    <w:p>
      <w:pPr>
        <w:ind w:firstLine="465" w:firstLineChars="0"/>
        <w:rPr>
          <w:rFonts w:ascii="宋体" w:hAnsi="宋体"/>
          <w:color w:val="auto"/>
          <w:highlight w:val="none"/>
        </w:rPr>
      </w:pPr>
      <w:r>
        <w:rPr>
          <w:rFonts w:hint="eastAsia" w:ascii="宋体" w:hAnsi="宋体"/>
          <w:color w:val="auto"/>
          <w:highlight w:val="none"/>
        </w:rPr>
        <w:t>可视化运维维护界面可展示主控及子系统节点状态信息，支持故障自动检测、远程获取系统运行状态、远程维护设备参数；</w:t>
      </w:r>
    </w:p>
    <w:p>
      <w:pPr>
        <w:ind w:firstLine="465" w:firstLineChars="0"/>
        <w:rPr>
          <w:rFonts w:ascii="宋体" w:hAnsi="宋体"/>
          <w:color w:val="auto"/>
          <w:highlight w:val="none"/>
        </w:rPr>
      </w:pPr>
      <w:r>
        <w:rPr>
          <w:rFonts w:hint="eastAsia" w:ascii="宋体" w:hAnsi="宋体"/>
          <w:color w:val="auto"/>
          <w:highlight w:val="none"/>
        </w:rPr>
        <w:t>视频输入接口类型：HDMI 2.0*1；</w:t>
      </w:r>
    </w:p>
    <w:p>
      <w:pPr>
        <w:ind w:firstLine="465" w:firstLineChars="0"/>
        <w:rPr>
          <w:rFonts w:ascii="宋体" w:hAnsi="宋体"/>
          <w:color w:val="auto"/>
          <w:highlight w:val="none"/>
        </w:rPr>
      </w:pPr>
      <w:r>
        <w:rPr>
          <w:rFonts w:hint="eastAsia" w:ascii="宋体" w:hAnsi="宋体"/>
          <w:color w:val="auto"/>
          <w:highlight w:val="none"/>
        </w:rPr>
        <w:t>音频接口：HDMI内嵌*1+3.5mm同轴音频插孔*1；</w:t>
      </w:r>
    </w:p>
    <w:p>
      <w:pPr>
        <w:ind w:firstLine="465" w:firstLineChars="0"/>
        <w:rPr>
          <w:rFonts w:ascii="宋体" w:hAnsi="宋体"/>
          <w:color w:val="auto"/>
          <w:highlight w:val="none"/>
        </w:rPr>
      </w:pPr>
      <w:r>
        <w:rPr>
          <w:rFonts w:hint="eastAsia" w:ascii="宋体" w:hAnsi="宋体"/>
          <w:color w:val="auto"/>
          <w:highlight w:val="none"/>
        </w:rPr>
        <w:t>视频编码能力：支持H265/H264，默认H265；编码支持子码流及主码流类型，其中子码流含 CIF(352×288)/FCIF(704×576)/720P(1280×720)，主码流含 720P(1280×720) /XGA(1024×768)/XVGA(1280×960)/SXGA(1280×1024)/WXGA(1360×768)/WSXGA(1440×900)/UXGA(1600×1200)/1080P；</w:t>
      </w:r>
    </w:p>
    <w:p>
      <w:pPr>
        <w:ind w:firstLine="465" w:firstLineChars="0"/>
        <w:rPr>
          <w:rFonts w:ascii="宋体" w:hAnsi="宋体"/>
          <w:color w:val="auto"/>
          <w:highlight w:val="none"/>
        </w:rPr>
      </w:pPr>
      <w:r>
        <w:rPr>
          <w:rFonts w:hint="eastAsia" w:ascii="宋体" w:hAnsi="宋体"/>
          <w:color w:val="auto"/>
          <w:highlight w:val="none"/>
        </w:rPr>
        <w:t>音频编码通道数：1；</w:t>
      </w:r>
    </w:p>
    <w:p>
      <w:pPr>
        <w:ind w:firstLine="465" w:firstLineChars="0"/>
        <w:rPr>
          <w:rFonts w:ascii="宋体" w:hAnsi="宋体"/>
          <w:color w:val="auto"/>
          <w:highlight w:val="none"/>
        </w:rPr>
      </w:pPr>
      <w:r>
        <w:rPr>
          <w:rFonts w:hint="eastAsia" w:ascii="宋体" w:hAnsi="宋体"/>
          <w:color w:val="auto"/>
          <w:highlight w:val="none"/>
        </w:rPr>
        <w:t>音频编码格式：G722.1、G711u、G711A、G722.1.C、AAL_LC；</w:t>
      </w:r>
    </w:p>
    <w:p>
      <w:pPr>
        <w:ind w:firstLine="465" w:firstLineChars="0"/>
        <w:rPr>
          <w:rFonts w:ascii="宋体" w:hAnsi="宋体"/>
          <w:color w:val="auto"/>
          <w:highlight w:val="none"/>
        </w:rPr>
      </w:pPr>
      <w:r>
        <w:rPr>
          <w:rFonts w:hint="eastAsia" w:ascii="宋体" w:hAnsi="宋体"/>
          <w:color w:val="auto"/>
          <w:highlight w:val="none"/>
        </w:rPr>
        <w:t>其他接口：HDMI2.0*1（环通输出）；USB2.0*1；485*1；232*1；IO/IR IN*1，IO/IR OUT*1；IR POWER*1；RELAY*1；RESET*1；CONSOLE调试串口*1；</w:t>
      </w:r>
    </w:p>
    <w:p>
      <w:pPr>
        <w:ind w:firstLine="465" w:firstLineChars="0"/>
        <w:rPr>
          <w:rFonts w:ascii="宋体" w:hAnsi="宋体"/>
          <w:color w:val="auto"/>
          <w:highlight w:val="none"/>
        </w:rPr>
      </w:pPr>
      <w:r>
        <w:rPr>
          <w:rFonts w:hint="eastAsia" w:ascii="宋体" w:hAnsi="宋体"/>
          <w:color w:val="auto"/>
          <w:highlight w:val="none"/>
        </w:rPr>
        <w:t>供电方式：电源供电：AC 110V-240V/0.7A；</w:t>
      </w:r>
    </w:p>
    <w:p>
      <w:pPr>
        <w:ind w:firstLine="465" w:firstLineChars="0"/>
        <w:rPr>
          <w:rFonts w:ascii="宋体" w:hAnsi="宋体"/>
          <w:color w:val="auto"/>
          <w:highlight w:val="none"/>
        </w:rPr>
      </w:pPr>
      <w:r>
        <w:rPr>
          <w:rFonts w:hint="eastAsia" w:ascii="宋体" w:hAnsi="宋体"/>
          <w:color w:val="auto"/>
          <w:highlight w:val="none"/>
        </w:rPr>
        <w:t>POE供电：802.3at协议；</w:t>
      </w:r>
    </w:p>
    <w:p>
      <w:pPr>
        <w:ind w:firstLine="465" w:firstLineChars="0"/>
        <w:rPr>
          <w:rFonts w:ascii="宋体" w:hAnsi="宋体"/>
          <w:color w:val="auto"/>
          <w:highlight w:val="none"/>
        </w:rPr>
      </w:pPr>
      <w:r>
        <w:rPr>
          <w:rFonts w:hint="eastAsia" w:ascii="宋体" w:hAnsi="宋体"/>
          <w:color w:val="auto"/>
          <w:highlight w:val="none"/>
        </w:rPr>
        <w:t>整机功耗：≤30 W。</w:t>
      </w:r>
    </w:p>
    <w:p>
      <w:pPr>
        <w:pStyle w:val="7"/>
        <w:numPr>
          <w:ilvl w:val="3"/>
          <w:numId w:val="0"/>
        </w:numPr>
        <w:jc w:val="left"/>
        <w:rPr>
          <w:color w:val="auto"/>
          <w:highlight w:val="none"/>
        </w:rPr>
      </w:pPr>
      <w:r>
        <w:rPr>
          <w:rFonts w:hint="eastAsia"/>
          <w:color w:val="auto"/>
          <w:highlight w:val="none"/>
        </w:rPr>
        <w:t>4.视频输出节点</w:t>
      </w:r>
    </w:p>
    <w:p>
      <w:pPr>
        <w:ind w:firstLine="465" w:firstLineChars="0"/>
        <w:rPr>
          <w:rFonts w:ascii="宋体" w:hAnsi="宋体"/>
          <w:color w:val="auto"/>
          <w:highlight w:val="none"/>
        </w:rPr>
      </w:pPr>
      <w:r>
        <w:rPr>
          <w:rFonts w:hint="eastAsia" w:ascii="宋体" w:hAnsi="宋体"/>
          <w:color w:val="auto"/>
          <w:highlight w:val="none"/>
        </w:rPr>
        <w:t>分布式拼控2K输出，支持1路1080P60输出，支持自定义分辨率；</w:t>
      </w:r>
    </w:p>
    <w:p>
      <w:pPr>
        <w:ind w:firstLine="465" w:firstLineChars="0"/>
        <w:rPr>
          <w:rFonts w:ascii="宋体" w:hAnsi="宋体"/>
          <w:color w:val="auto"/>
          <w:highlight w:val="none"/>
        </w:rPr>
      </w:pPr>
      <w:r>
        <w:rPr>
          <w:rFonts w:hint="eastAsia" w:ascii="宋体" w:hAnsi="宋体"/>
          <w:color w:val="auto"/>
          <w:highlight w:val="none"/>
        </w:rPr>
        <w:t>YUV444的图像采样和传输处理，实现优质的色彩还原度，满足用户对于画质的高标准和严要求；</w:t>
      </w:r>
    </w:p>
    <w:p>
      <w:pPr>
        <w:ind w:firstLine="465" w:firstLineChars="0"/>
        <w:rPr>
          <w:rFonts w:ascii="宋体" w:hAnsi="宋体"/>
          <w:color w:val="auto"/>
          <w:highlight w:val="none"/>
        </w:rPr>
      </w:pPr>
      <w:r>
        <w:rPr>
          <w:rFonts w:hint="eastAsia" w:ascii="宋体" w:hAnsi="宋体"/>
          <w:color w:val="auto"/>
          <w:highlight w:val="none"/>
        </w:rPr>
        <w:t>具备1000M SFP光口和1000M以太网电口，支持光电热备；</w:t>
      </w:r>
    </w:p>
    <w:p>
      <w:pPr>
        <w:ind w:firstLine="465" w:firstLineChars="0"/>
        <w:rPr>
          <w:rFonts w:ascii="宋体" w:hAnsi="宋体"/>
          <w:color w:val="auto"/>
          <w:highlight w:val="none"/>
        </w:rPr>
      </w:pPr>
      <w:r>
        <w:rPr>
          <w:rFonts w:hint="eastAsia" w:ascii="东文宋体" w:hAnsi="东文宋体" w:eastAsia="东文宋体" w:cs="东文宋体"/>
          <w:color w:val="auto"/>
          <w:highlight w:val="none"/>
          <w:lang w:val="en-US" w:eastAsia="zh-CN"/>
        </w:rPr>
        <w:t>5</w:t>
      </w:r>
      <w:r>
        <w:rPr>
          <w:rFonts w:hint="eastAsia" w:ascii="东文宋体" w:hAnsi="东文宋体" w:eastAsia="东文宋体" w:cs="东文宋体"/>
          <w:color w:val="auto"/>
          <w:highlight w:val="none"/>
        </w:rPr>
        <w:t>▲</w:t>
      </w:r>
      <w:r>
        <w:rPr>
          <w:rFonts w:hint="eastAsia" w:ascii="宋体" w:hAnsi="宋体"/>
          <w:color w:val="auto"/>
          <w:highlight w:val="none"/>
        </w:rPr>
        <w:t>支持单播和组播协议的切换（提供检测报告或产品说明书等证明材料）</w:t>
      </w:r>
    </w:p>
    <w:p>
      <w:pPr>
        <w:ind w:firstLine="465" w:firstLineChars="0"/>
        <w:rPr>
          <w:rFonts w:ascii="宋体" w:hAnsi="宋体"/>
          <w:color w:val="auto"/>
          <w:highlight w:val="none"/>
        </w:rPr>
      </w:pPr>
      <w:r>
        <w:rPr>
          <w:rFonts w:hint="eastAsia" w:ascii="宋体" w:hAnsi="宋体"/>
          <w:color w:val="auto"/>
          <w:highlight w:val="none"/>
        </w:rPr>
        <w:t>可视化运维维护界面可展示主控及子系统节点状态信息，支持故障自动检测、远程获取系统运行状态、远程维护设备参数；</w:t>
      </w:r>
    </w:p>
    <w:p>
      <w:pPr>
        <w:ind w:firstLine="465" w:firstLineChars="0"/>
        <w:rPr>
          <w:rFonts w:ascii="宋体" w:hAnsi="宋体"/>
          <w:color w:val="auto"/>
          <w:highlight w:val="none"/>
        </w:rPr>
      </w:pPr>
      <w:r>
        <w:rPr>
          <w:rFonts w:hint="eastAsia" w:ascii="宋体" w:hAnsi="宋体"/>
          <w:color w:val="auto"/>
          <w:highlight w:val="none"/>
        </w:rPr>
        <w:t>视频输出接口类型：HDMI1.4*1；</w:t>
      </w:r>
    </w:p>
    <w:p>
      <w:pPr>
        <w:ind w:firstLine="465" w:firstLineChars="0"/>
        <w:rPr>
          <w:rFonts w:ascii="宋体" w:hAnsi="宋体"/>
          <w:color w:val="auto"/>
          <w:highlight w:val="none"/>
        </w:rPr>
      </w:pPr>
      <w:r>
        <w:rPr>
          <w:rFonts w:hint="eastAsia" w:ascii="宋体" w:hAnsi="宋体"/>
          <w:color w:val="auto"/>
          <w:highlight w:val="none"/>
        </w:rPr>
        <w:t>视频输出LED带载能力：单口带载260W，支持自定义分辨率，宽度288~3840，高度288~2160；</w:t>
      </w:r>
    </w:p>
    <w:p>
      <w:pPr>
        <w:ind w:firstLine="465" w:firstLineChars="0"/>
        <w:rPr>
          <w:rFonts w:ascii="宋体" w:hAnsi="宋体"/>
          <w:color w:val="auto"/>
          <w:highlight w:val="none"/>
        </w:rPr>
      </w:pPr>
      <w:r>
        <w:rPr>
          <w:rFonts w:hint="eastAsia" w:ascii="宋体" w:hAnsi="宋体"/>
          <w:color w:val="auto"/>
          <w:highlight w:val="none"/>
        </w:rPr>
        <w:t>视频输出分辨率：最大支持1080P，兼容1024×768@60Hz、1280×1024@60Hz、1366×768@60Hz、1440×900@60Hz、1280×960@60Hz、1600×1200@60Hz、1280×720P@60Hz、1920×1080P@60Hz、1920×1200@60Hz以及1280*720~1920*1200范围的自定义分辨率；</w:t>
      </w:r>
    </w:p>
    <w:p>
      <w:pPr>
        <w:ind w:firstLine="465" w:firstLineChars="0"/>
        <w:rPr>
          <w:rFonts w:ascii="宋体" w:hAnsi="宋体"/>
          <w:color w:val="auto"/>
          <w:highlight w:val="none"/>
        </w:rPr>
      </w:pPr>
      <w:r>
        <w:rPr>
          <w:rFonts w:hint="eastAsia" w:ascii="宋体" w:hAnsi="宋体"/>
          <w:color w:val="auto"/>
          <w:highlight w:val="none"/>
        </w:rPr>
        <w:t>音频接口：HDMI内嵌*1+3.5mm同轴音频插孔*1；</w:t>
      </w:r>
    </w:p>
    <w:p>
      <w:pPr>
        <w:ind w:firstLine="465" w:firstLineChars="0"/>
        <w:rPr>
          <w:rFonts w:ascii="宋体" w:hAnsi="宋体"/>
          <w:color w:val="auto"/>
          <w:highlight w:val="none"/>
        </w:rPr>
      </w:pPr>
      <w:r>
        <w:rPr>
          <w:rFonts w:hint="eastAsia" w:ascii="宋体" w:hAnsi="宋体"/>
          <w:color w:val="auto"/>
          <w:highlight w:val="none"/>
        </w:rPr>
        <w:t>视频解码通道：16，视频解码能力：支持1路3200W，或2路1600W，或4路800W，或5路600W/500W，或8路400W，或16路1080P；</w:t>
      </w:r>
    </w:p>
    <w:p>
      <w:pPr>
        <w:ind w:firstLine="465" w:firstLineChars="0"/>
        <w:rPr>
          <w:rFonts w:ascii="宋体" w:hAnsi="宋体"/>
          <w:color w:val="auto"/>
          <w:highlight w:val="none"/>
        </w:rPr>
      </w:pPr>
      <w:r>
        <w:rPr>
          <w:rFonts w:hint="eastAsia" w:ascii="宋体" w:hAnsi="宋体"/>
          <w:color w:val="auto"/>
          <w:highlight w:val="none"/>
        </w:rPr>
        <w:t>音频解码通道数：1，音频解码格式：G711A、G711U、G722、G722.1、AAC_LC ；</w:t>
      </w:r>
    </w:p>
    <w:p>
      <w:pPr>
        <w:ind w:firstLine="465" w:firstLineChars="0"/>
        <w:rPr>
          <w:rFonts w:ascii="宋体" w:hAnsi="宋体"/>
          <w:color w:val="auto"/>
          <w:highlight w:val="none"/>
        </w:rPr>
      </w:pPr>
      <w:r>
        <w:rPr>
          <w:rFonts w:hint="eastAsia" w:ascii="宋体" w:hAnsi="宋体"/>
          <w:color w:val="auto"/>
          <w:highlight w:val="none"/>
        </w:rPr>
        <w:t>单口画面分割数：1/4/9/16；</w:t>
      </w:r>
    </w:p>
    <w:p>
      <w:pPr>
        <w:ind w:firstLine="465" w:firstLineChars="0"/>
        <w:rPr>
          <w:rFonts w:ascii="宋体" w:hAnsi="宋体"/>
          <w:color w:val="auto"/>
          <w:highlight w:val="none"/>
        </w:rPr>
      </w:pPr>
      <w:r>
        <w:rPr>
          <w:rFonts w:hint="eastAsia" w:ascii="宋体" w:hAnsi="宋体"/>
          <w:color w:val="auto"/>
          <w:highlight w:val="none"/>
        </w:rPr>
        <w:t>上墙延时：本地源上墙延时：2K60延时50ms，4K60延时90ms；解码源上墙延时：300ms；</w:t>
      </w:r>
    </w:p>
    <w:p>
      <w:pPr>
        <w:ind w:firstLine="465" w:firstLineChars="0"/>
        <w:rPr>
          <w:rFonts w:ascii="宋体" w:hAnsi="宋体"/>
          <w:color w:val="auto"/>
          <w:highlight w:val="none"/>
        </w:rPr>
      </w:pPr>
      <w:r>
        <w:rPr>
          <w:rFonts w:hint="eastAsia" w:ascii="宋体" w:hAnsi="宋体"/>
          <w:color w:val="auto"/>
          <w:highlight w:val="none"/>
        </w:rPr>
        <w:t>其他接口：USB2.0*1；485*1；232*1；IO/IR IN*1，IO/IR OUT*1；IR POWER*1；RELAY*1；RESET*1；CONSOLE调试串口*1；</w:t>
      </w:r>
    </w:p>
    <w:p>
      <w:pPr>
        <w:ind w:firstLine="465" w:firstLineChars="0"/>
        <w:rPr>
          <w:rFonts w:ascii="宋体" w:hAnsi="宋体"/>
          <w:color w:val="auto"/>
          <w:highlight w:val="none"/>
        </w:rPr>
      </w:pPr>
      <w:r>
        <w:rPr>
          <w:rFonts w:hint="eastAsia" w:ascii="宋体" w:hAnsi="宋体"/>
          <w:color w:val="auto"/>
          <w:highlight w:val="none"/>
        </w:rPr>
        <w:t>供电方式：电源供电：AC 110V-240V/0.7A，POE供电：802.3at协议；</w:t>
      </w:r>
    </w:p>
    <w:p>
      <w:pPr>
        <w:pStyle w:val="7"/>
        <w:numPr>
          <w:ilvl w:val="3"/>
          <w:numId w:val="0"/>
        </w:numPr>
        <w:jc w:val="left"/>
        <w:rPr>
          <w:color w:val="auto"/>
          <w:highlight w:val="none"/>
        </w:rPr>
      </w:pPr>
      <w:r>
        <w:rPr>
          <w:rFonts w:hint="eastAsia"/>
          <w:color w:val="auto"/>
          <w:highlight w:val="none"/>
        </w:rPr>
        <w:t>5.集群网关</w:t>
      </w:r>
    </w:p>
    <w:p>
      <w:pPr>
        <w:ind w:firstLine="465" w:firstLineChars="0"/>
        <w:rPr>
          <w:rFonts w:ascii="宋体" w:hAnsi="宋体"/>
          <w:color w:val="auto"/>
          <w:highlight w:val="none"/>
        </w:rPr>
      </w:pPr>
      <w:r>
        <w:rPr>
          <w:rFonts w:hint="eastAsia" w:ascii="宋体" w:hAnsi="宋体"/>
          <w:color w:val="auto"/>
          <w:highlight w:val="none"/>
        </w:rPr>
        <w:t>机箱接口：电口：10/100/1000Base-T自适应以太网端口*24；光口：千兆光口（combo口）*8，万兆SFP+光口*4；RJ45调试串口*1，RJ45控制网口*1；RESET接口*1；</w:t>
      </w:r>
    </w:p>
    <w:p>
      <w:pPr>
        <w:ind w:firstLine="465" w:firstLineChars="0"/>
        <w:rPr>
          <w:rFonts w:ascii="宋体" w:hAnsi="宋体"/>
          <w:color w:val="auto"/>
          <w:highlight w:val="none"/>
        </w:rPr>
      </w:pPr>
      <w:r>
        <w:rPr>
          <w:rFonts w:hint="eastAsia" w:ascii="宋体" w:hAnsi="宋体"/>
          <w:color w:val="auto"/>
          <w:highlight w:val="none"/>
        </w:rPr>
        <w:t>MAC地址表：16 K；</w:t>
      </w:r>
    </w:p>
    <w:p>
      <w:pPr>
        <w:ind w:firstLine="465" w:firstLineChars="0"/>
        <w:rPr>
          <w:rFonts w:ascii="宋体" w:hAnsi="宋体"/>
          <w:color w:val="auto"/>
          <w:highlight w:val="none"/>
        </w:rPr>
      </w:pPr>
      <w:r>
        <w:rPr>
          <w:rFonts w:hint="eastAsia" w:ascii="宋体" w:hAnsi="宋体"/>
          <w:color w:val="auto"/>
          <w:highlight w:val="none"/>
        </w:rPr>
        <w:t>端口聚合：支持端口聚合，静态配置，SHELL配置；</w:t>
      </w:r>
    </w:p>
    <w:p>
      <w:pPr>
        <w:ind w:firstLine="465" w:firstLineChars="0"/>
        <w:rPr>
          <w:rFonts w:ascii="宋体" w:hAnsi="宋体"/>
          <w:color w:val="auto"/>
          <w:highlight w:val="none"/>
        </w:rPr>
      </w:pPr>
      <w:r>
        <w:rPr>
          <w:rFonts w:hint="eastAsia" w:ascii="宋体" w:hAnsi="宋体"/>
          <w:color w:val="auto"/>
          <w:highlight w:val="none"/>
        </w:rPr>
        <w:t>IGMP：支持IGMP v1/v2、支持IGMP Snooping、支持IGMP Fast Leave；</w:t>
      </w:r>
    </w:p>
    <w:p>
      <w:pPr>
        <w:ind w:firstLine="465" w:firstLineChars="0"/>
        <w:rPr>
          <w:rFonts w:ascii="宋体" w:hAnsi="宋体"/>
          <w:color w:val="auto"/>
          <w:highlight w:val="none"/>
        </w:rPr>
      </w:pPr>
      <w:r>
        <w:rPr>
          <w:rFonts w:hint="eastAsia" w:ascii="宋体" w:hAnsi="宋体"/>
          <w:color w:val="auto"/>
          <w:highlight w:val="none"/>
        </w:rPr>
        <w:t>交换容量：128 Gbps；</w:t>
      </w:r>
    </w:p>
    <w:p>
      <w:pPr>
        <w:ind w:firstLine="465" w:firstLineChars="0"/>
        <w:rPr>
          <w:rFonts w:ascii="宋体" w:hAnsi="宋体"/>
          <w:color w:val="auto"/>
          <w:highlight w:val="none"/>
        </w:rPr>
      </w:pPr>
      <w:r>
        <w:rPr>
          <w:rFonts w:hint="eastAsia" w:ascii="宋体" w:hAnsi="宋体"/>
          <w:color w:val="auto"/>
          <w:highlight w:val="none"/>
        </w:rPr>
        <w:t>包转发率：95.232 Mpps；</w:t>
      </w:r>
    </w:p>
    <w:p>
      <w:pPr>
        <w:ind w:firstLine="465" w:firstLineChars="0"/>
        <w:rPr>
          <w:rFonts w:ascii="宋体" w:hAnsi="宋体"/>
          <w:color w:val="auto"/>
          <w:highlight w:val="none"/>
        </w:rPr>
      </w:pPr>
      <w:r>
        <w:rPr>
          <w:rFonts w:hint="eastAsia" w:ascii="宋体" w:hAnsi="宋体"/>
          <w:color w:val="auto"/>
          <w:highlight w:val="none"/>
        </w:rPr>
        <w:t>内部缓存：1.5 MB；</w:t>
      </w:r>
    </w:p>
    <w:p>
      <w:pPr>
        <w:ind w:firstLine="465" w:firstLineChars="0"/>
        <w:rPr>
          <w:rFonts w:ascii="宋体" w:hAnsi="宋体"/>
          <w:color w:val="auto"/>
          <w:highlight w:val="none"/>
        </w:rPr>
      </w:pPr>
      <w:r>
        <w:rPr>
          <w:rFonts w:hint="eastAsia" w:ascii="宋体" w:hAnsi="宋体"/>
          <w:color w:val="auto"/>
          <w:highlight w:val="none"/>
        </w:rPr>
        <w:t>指示灯：1个POWER指示灯。</w:t>
      </w:r>
    </w:p>
    <w:p>
      <w:pPr>
        <w:pStyle w:val="4"/>
        <w:numPr>
          <w:ilvl w:val="0"/>
          <w:numId w:val="3"/>
        </w:numPr>
        <w:rPr>
          <w:rFonts w:ascii="宋体" w:hAnsi="宋体"/>
          <w:color w:val="auto"/>
          <w:highlight w:val="none"/>
        </w:rPr>
      </w:pPr>
      <w:bookmarkStart w:id="17" w:name="_Toc223194377"/>
      <w:r>
        <w:rPr>
          <w:rFonts w:hint="eastAsia" w:ascii="宋体" w:hAnsi="宋体"/>
          <w:color w:val="auto"/>
          <w:highlight w:val="none"/>
        </w:rPr>
        <w:t>工程量清单</w:t>
      </w:r>
      <w:bookmarkEnd w:id="17"/>
    </w:p>
    <w:tbl>
      <w:tblPr>
        <w:tblStyle w:val="23"/>
        <w:tblW w:w="5000" w:type="pct"/>
        <w:tblInd w:w="0" w:type="dxa"/>
        <w:tblLayout w:type="autofit"/>
        <w:tblCellMar>
          <w:top w:w="0" w:type="dxa"/>
          <w:left w:w="108" w:type="dxa"/>
          <w:bottom w:w="0" w:type="dxa"/>
          <w:right w:w="108" w:type="dxa"/>
        </w:tblCellMar>
      </w:tblPr>
      <w:tblGrid>
        <w:gridCol w:w="814"/>
        <w:gridCol w:w="1702"/>
        <w:gridCol w:w="711"/>
        <w:gridCol w:w="993"/>
        <w:gridCol w:w="4308"/>
      </w:tblGrid>
      <w:tr>
        <w:trPr>
          <w:trHeight w:val="528" w:hRule="atLeast"/>
        </w:trPr>
        <w:tc>
          <w:tcPr>
            <w:tcW w:w="477"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b/>
                <w:bCs/>
                <w:color w:val="auto"/>
                <w:kern w:val="0"/>
                <w:highlight w:val="none"/>
              </w:rPr>
            </w:pPr>
            <w:r>
              <w:rPr>
                <w:rFonts w:hint="eastAsia" w:ascii="宋体" w:hAnsi="宋体" w:cs="宋体"/>
                <w:b/>
                <w:bCs/>
                <w:color w:val="auto"/>
                <w:kern w:val="0"/>
                <w:highlight w:val="none"/>
              </w:rPr>
              <w:t>序号</w:t>
            </w:r>
          </w:p>
        </w:tc>
        <w:tc>
          <w:tcPr>
            <w:tcW w:w="998" w:type="pct"/>
            <w:tcBorders>
              <w:top w:val="single" w:color="auto" w:sz="4" w:space="0"/>
              <w:left w:val="nil"/>
              <w:bottom w:val="single" w:color="auto" w:sz="4" w:space="0"/>
              <w:right w:val="single" w:color="auto" w:sz="4" w:space="0"/>
            </w:tcBorders>
            <w:vAlign w:val="center"/>
          </w:tcPr>
          <w:p>
            <w:pPr>
              <w:widowControl/>
              <w:ind w:firstLine="0" w:firstLineChars="0"/>
              <w:jc w:val="center"/>
              <w:rPr>
                <w:rFonts w:ascii="宋体" w:hAnsi="宋体" w:cs="宋体"/>
                <w:b/>
                <w:bCs/>
                <w:color w:val="auto"/>
                <w:kern w:val="0"/>
                <w:highlight w:val="none"/>
              </w:rPr>
            </w:pPr>
            <w:r>
              <w:rPr>
                <w:rFonts w:hint="eastAsia" w:ascii="宋体" w:hAnsi="宋体" w:cs="宋体"/>
                <w:b/>
                <w:bCs/>
                <w:color w:val="auto"/>
                <w:kern w:val="0"/>
                <w:highlight w:val="none"/>
              </w:rPr>
              <w:t>产品类别</w:t>
            </w:r>
          </w:p>
        </w:tc>
        <w:tc>
          <w:tcPr>
            <w:tcW w:w="417" w:type="pct"/>
            <w:tcBorders>
              <w:top w:val="single" w:color="auto" w:sz="4" w:space="0"/>
              <w:left w:val="nil"/>
              <w:bottom w:val="single" w:color="auto" w:sz="4" w:space="0"/>
              <w:right w:val="single" w:color="auto" w:sz="4" w:space="0"/>
            </w:tcBorders>
            <w:vAlign w:val="center"/>
          </w:tcPr>
          <w:p>
            <w:pPr>
              <w:widowControl/>
              <w:ind w:firstLine="0" w:firstLineChars="0"/>
              <w:jc w:val="center"/>
              <w:rPr>
                <w:rFonts w:ascii="宋体" w:hAnsi="宋体" w:cs="宋体"/>
                <w:b/>
                <w:bCs/>
                <w:color w:val="auto"/>
                <w:kern w:val="0"/>
                <w:highlight w:val="none"/>
              </w:rPr>
            </w:pPr>
            <w:r>
              <w:rPr>
                <w:rFonts w:hint="eastAsia" w:ascii="宋体" w:hAnsi="宋体" w:cs="宋体"/>
                <w:b/>
                <w:bCs/>
                <w:color w:val="auto"/>
                <w:kern w:val="0"/>
                <w:highlight w:val="none"/>
              </w:rPr>
              <w:t>单位</w:t>
            </w:r>
          </w:p>
        </w:tc>
        <w:tc>
          <w:tcPr>
            <w:tcW w:w="582" w:type="pct"/>
            <w:tcBorders>
              <w:top w:val="single" w:color="auto" w:sz="4" w:space="0"/>
              <w:left w:val="nil"/>
              <w:bottom w:val="single" w:color="auto" w:sz="4" w:space="0"/>
              <w:right w:val="single" w:color="auto" w:sz="4" w:space="0"/>
            </w:tcBorders>
            <w:vAlign w:val="center"/>
          </w:tcPr>
          <w:p>
            <w:pPr>
              <w:widowControl/>
              <w:ind w:firstLine="0" w:firstLineChars="0"/>
              <w:jc w:val="center"/>
              <w:rPr>
                <w:rFonts w:ascii="宋体" w:hAnsi="宋体" w:cs="宋体"/>
                <w:b/>
                <w:bCs/>
                <w:color w:val="auto"/>
                <w:kern w:val="0"/>
                <w:highlight w:val="none"/>
              </w:rPr>
            </w:pPr>
            <w:r>
              <w:rPr>
                <w:rFonts w:hint="eastAsia" w:ascii="宋体" w:hAnsi="宋体" w:cs="宋体"/>
                <w:b/>
                <w:bCs/>
                <w:color w:val="auto"/>
                <w:kern w:val="0"/>
                <w:highlight w:val="none"/>
              </w:rPr>
              <w:t>数量</w:t>
            </w:r>
          </w:p>
        </w:tc>
        <w:tc>
          <w:tcPr>
            <w:tcW w:w="2526" w:type="pct"/>
            <w:tcBorders>
              <w:top w:val="single" w:color="auto" w:sz="4" w:space="0"/>
              <w:left w:val="nil"/>
              <w:bottom w:val="single" w:color="auto" w:sz="4" w:space="0"/>
              <w:right w:val="single" w:color="auto" w:sz="4" w:space="0"/>
            </w:tcBorders>
            <w:vAlign w:val="center"/>
          </w:tcPr>
          <w:p>
            <w:pPr>
              <w:widowControl/>
              <w:ind w:firstLine="0" w:firstLineChars="0"/>
              <w:jc w:val="center"/>
              <w:rPr>
                <w:rFonts w:ascii="宋体" w:hAnsi="宋体" w:cs="宋体"/>
                <w:b/>
                <w:bCs/>
                <w:color w:val="auto"/>
                <w:kern w:val="0"/>
                <w:highlight w:val="none"/>
              </w:rPr>
            </w:pPr>
            <w:r>
              <w:rPr>
                <w:rFonts w:hint="eastAsia" w:ascii="宋体" w:hAnsi="宋体" w:cs="宋体"/>
                <w:b/>
                <w:bCs/>
                <w:color w:val="auto"/>
                <w:kern w:val="0"/>
                <w:highlight w:val="none"/>
              </w:rPr>
              <w:t>备注</w:t>
            </w:r>
          </w:p>
        </w:tc>
      </w:tr>
      <w:tr>
        <w:tblPrEx>
          <w:tblCellMar>
            <w:top w:w="0" w:type="dxa"/>
            <w:left w:w="108" w:type="dxa"/>
            <w:bottom w:w="0" w:type="dxa"/>
            <w:right w:w="108" w:type="dxa"/>
          </w:tblCellMar>
        </w:tblPrEx>
        <w:trPr>
          <w:trHeight w:val="528" w:hRule="atLeast"/>
        </w:trPr>
        <w:tc>
          <w:tcPr>
            <w:tcW w:w="5000" w:type="pct"/>
            <w:gridSpan w:val="5"/>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b/>
                <w:bCs/>
                <w:color w:val="auto"/>
                <w:kern w:val="0"/>
                <w:highlight w:val="none"/>
              </w:rPr>
              <w:t>屏体及配电柜</w:t>
            </w:r>
          </w:p>
        </w:tc>
      </w:tr>
      <w:tr>
        <w:tblPrEx>
          <w:tblCellMar>
            <w:top w:w="0" w:type="dxa"/>
            <w:left w:w="108" w:type="dxa"/>
            <w:bottom w:w="0" w:type="dxa"/>
            <w:right w:w="108" w:type="dxa"/>
          </w:tblCellMar>
        </w:tblPrEx>
        <w:trPr>
          <w:trHeight w:val="528"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LED显示单元-屏体</w:t>
            </w:r>
            <w:r>
              <w:rPr>
                <w:rFonts w:hint="eastAsia" w:ascii="宋体" w:hAnsi="宋体" w:cs="宋体"/>
                <w:color w:val="auto"/>
                <w:kern w:val="0"/>
                <w:highlight w:val="none"/>
              </w:rPr>
              <w:t>（核心产品）</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23.69</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显示屏面积：23.69m</w:t>
            </w:r>
            <w:r>
              <w:rPr>
                <w:rFonts w:ascii="宋体" w:hAnsi="宋体" w:cs="Calibri"/>
                <w:color w:val="auto"/>
                <w:kern w:val="0"/>
                <w:highlight w:val="none"/>
              </w:rPr>
              <w:t>²</w:t>
            </w:r>
            <w:r>
              <w:rPr>
                <w:rFonts w:hint="eastAsia" w:ascii="宋体" w:hAnsi="宋体" w:cs="仿宋"/>
                <w:color w:val="auto"/>
                <w:kern w:val="0"/>
                <w:highlight w:val="none"/>
              </w:rPr>
              <w:t>，显示尺寸：</w:t>
            </w:r>
            <w:r>
              <w:rPr>
                <w:rFonts w:hint="eastAsia" w:ascii="宋体" w:hAnsi="宋体" w:cs="宋体"/>
                <w:color w:val="auto"/>
                <w:kern w:val="0"/>
                <w:highlight w:val="none"/>
              </w:rPr>
              <w:t>7.8m×3.0375m，分辨率：8320*3240</w:t>
            </w:r>
          </w:p>
        </w:tc>
      </w:tr>
      <w:tr>
        <w:tblPrEx>
          <w:tblCellMar>
            <w:top w:w="0" w:type="dxa"/>
            <w:left w:w="108" w:type="dxa"/>
            <w:bottom w:w="0" w:type="dxa"/>
            <w:right w:w="108" w:type="dxa"/>
          </w:tblCellMar>
        </w:tblPrEx>
        <w:trPr>
          <w:trHeight w:val="528"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LED显示单元-屏体备件</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2.025</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10个LED箱体备件（内含电源模块），箱体尺寸：600（W）×337.5（H）。箱体面积：0.2025 ㎡</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3</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LED室内支架</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27.59</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底座高度0.5m，支架重量（预估）：40kg*27.59m</w:t>
            </w:r>
            <w:r>
              <w:rPr>
                <w:rFonts w:ascii="宋体" w:hAnsi="宋体" w:cs="Calibri"/>
                <w:color w:val="auto"/>
                <w:kern w:val="0"/>
                <w:highlight w:val="none"/>
              </w:rPr>
              <w:t>²</w:t>
            </w:r>
            <w:r>
              <w:rPr>
                <w:rFonts w:hint="eastAsia" w:ascii="宋体" w:hAnsi="宋体" w:cs="宋体"/>
                <w:color w:val="auto"/>
                <w:kern w:val="0"/>
                <w:highlight w:val="none"/>
              </w:rPr>
              <w:t>=1103.60kg</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4</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LED网线线束</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20</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　</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5</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LED电源线线束</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12</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包含配电柜到大屏的电源线</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6</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LED配电柜</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　</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7</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屏体发送卡</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19</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含5台备件</w:t>
            </w:r>
          </w:p>
        </w:tc>
      </w:tr>
      <w:tr>
        <w:tblPrEx>
          <w:tblCellMar>
            <w:top w:w="0" w:type="dxa"/>
            <w:left w:w="108" w:type="dxa"/>
            <w:bottom w:w="0" w:type="dxa"/>
            <w:right w:w="108" w:type="dxa"/>
          </w:tblCellMar>
        </w:tblPrEx>
        <w:trPr>
          <w:trHeight w:val="276" w:hRule="atLeast"/>
        </w:trPr>
        <w:tc>
          <w:tcPr>
            <w:tcW w:w="5000" w:type="pct"/>
            <w:gridSpan w:val="5"/>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b/>
                <w:bCs/>
                <w:color w:val="auto"/>
                <w:kern w:val="0"/>
                <w:highlight w:val="none"/>
              </w:rPr>
              <w:t>屏体拼控及配套辅材</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智能大屏管理系统单元</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套</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　</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大屏控制客户端</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一备一</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3</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视频输入节点</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25</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按20台电脑</w:t>
            </w:r>
          </w:p>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含5台备件</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4</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视频输出节点</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19</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含5台备件</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5</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集群网关</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4</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含1台备件</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6</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线材</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根</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4</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　</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7</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HDMI视频线</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20</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从</w:t>
            </w:r>
            <w:r>
              <w:rPr>
                <w:rFonts w:ascii="宋体" w:hAnsi="宋体" w:cs="宋体"/>
                <w:color w:val="auto"/>
                <w:kern w:val="0"/>
                <w:highlight w:val="none"/>
                <w:lang w:val="en-GB"/>
              </w:rPr>
              <w:t>座席</w:t>
            </w:r>
            <w:r>
              <w:rPr>
                <w:rFonts w:hint="eastAsia" w:ascii="宋体" w:hAnsi="宋体" w:cs="宋体"/>
                <w:color w:val="auto"/>
                <w:kern w:val="0"/>
                <w:highlight w:val="none"/>
              </w:rPr>
              <w:t>电脑到输入节点</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8</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HDMI视频线</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台</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14</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从输出节点到发送卡</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9</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网线</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箱</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15</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接入盒子到交换机，交换机到输出盒子，发送卡到大屏</w:t>
            </w:r>
          </w:p>
        </w:tc>
      </w:tr>
      <w:tr>
        <w:tblPrEx>
          <w:tblCellMar>
            <w:top w:w="0" w:type="dxa"/>
            <w:left w:w="108" w:type="dxa"/>
            <w:bottom w:w="0" w:type="dxa"/>
            <w:right w:w="108" w:type="dxa"/>
          </w:tblCellMar>
        </w:tblPrEx>
        <w:trPr>
          <w:trHeight w:val="276" w:hRule="atLeast"/>
        </w:trPr>
        <w:tc>
          <w:tcPr>
            <w:tcW w:w="5000" w:type="pct"/>
            <w:gridSpan w:val="5"/>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b/>
                <w:bCs/>
                <w:color w:val="auto"/>
                <w:kern w:val="0"/>
                <w:highlight w:val="none"/>
              </w:rPr>
              <w:t>二类费及其他费用</w:t>
            </w: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集成费</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项</w:t>
            </w:r>
          </w:p>
        </w:tc>
        <w:tc>
          <w:tcPr>
            <w:tcW w:w="582"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p>
        </w:tc>
      </w:tr>
      <w:tr>
        <w:tblPrEx>
          <w:tblCellMar>
            <w:top w:w="0" w:type="dxa"/>
            <w:left w:w="108" w:type="dxa"/>
            <w:bottom w:w="0" w:type="dxa"/>
            <w:right w:w="108" w:type="dxa"/>
          </w:tblCellMar>
        </w:tblPrEx>
        <w:trPr>
          <w:trHeight w:val="276" w:hRule="atLeast"/>
        </w:trPr>
        <w:tc>
          <w:tcPr>
            <w:tcW w:w="477"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2</w:t>
            </w:r>
          </w:p>
        </w:tc>
        <w:tc>
          <w:tcPr>
            <w:tcW w:w="998"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现有大屏拆除、运输费用</w:t>
            </w:r>
          </w:p>
        </w:tc>
        <w:tc>
          <w:tcPr>
            <w:tcW w:w="417"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项</w:t>
            </w:r>
          </w:p>
        </w:tc>
        <w:tc>
          <w:tcPr>
            <w:tcW w:w="582" w:type="pct"/>
            <w:tcBorders>
              <w:top w:val="nil"/>
              <w:left w:val="nil"/>
              <w:bottom w:val="single" w:color="auto" w:sz="4" w:space="0"/>
              <w:right w:val="single" w:color="auto" w:sz="4" w:space="0"/>
            </w:tcBorders>
            <w:noWrap/>
            <w:vAlign w:val="center"/>
          </w:tcPr>
          <w:p>
            <w:pPr>
              <w:widowControl/>
              <w:ind w:firstLine="0" w:firstLineChars="0"/>
              <w:jc w:val="center"/>
              <w:rPr>
                <w:rFonts w:ascii="宋体" w:hAnsi="宋体" w:cs="宋体"/>
                <w:color w:val="auto"/>
                <w:kern w:val="0"/>
                <w:highlight w:val="none"/>
              </w:rPr>
            </w:pPr>
            <w:r>
              <w:rPr>
                <w:rFonts w:hint="eastAsia" w:ascii="宋体" w:hAnsi="宋体" w:cs="宋体"/>
                <w:color w:val="auto"/>
                <w:kern w:val="0"/>
                <w:highlight w:val="none"/>
              </w:rPr>
              <w:t>1</w:t>
            </w:r>
          </w:p>
        </w:tc>
        <w:tc>
          <w:tcPr>
            <w:tcW w:w="2526" w:type="pct"/>
            <w:tcBorders>
              <w:top w:val="nil"/>
              <w:left w:val="nil"/>
              <w:bottom w:val="single" w:color="auto" w:sz="4" w:space="0"/>
              <w:right w:val="single" w:color="auto" w:sz="4" w:space="0"/>
            </w:tcBorders>
            <w:vAlign w:val="center"/>
          </w:tcPr>
          <w:p>
            <w:pPr>
              <w:widowControl/>
              <w:ind w:firstLine="0" w:firstLineChars="0"/>
              <w:jc w:val="center"/>
              <w:rPr>
                <w:rFonts w:ascii="宋体" w:hAnsi="宋体" w:cs="宋体"/>
                <w:color w:val="auto"/>
                <w:kern w:val="0"/>
                <w:highlight w:val="none"/>
              </w:rPr>
            </w:pPr>
          </w:p>
        </w:tc>
      </w:tr>
    </w:tbl>
    <w:p>
      <w:pPr>
        <w:pStyle w:val="4"/>
        <w:rPr>
          <w:rFonts w:ascii="宋体" w:hAnsi="宋体"/>
          <w:color w:val="auto"/>
          <w:highlight w:val="none"/>
        </w:rPr>
      </w:pPr>
      <w:bookmarkStart w:id="18" w:name="_Toc223194378"/>
      <w:r>
        <w:rPr>
          <w:rFonts w:hint="eastAsia" w:ascii="宋体" w:hAnsi="宋体"/>
          <w:color w:val="auto"/>
          <w:highlight w:val="none"/>
        </w:rPr>
        <w:t>4. 经费估算</w:t>
      </w:r>
      <w:bookmarkEnd w:id="18"/>
    </w:p>
    <w:p>
      <w:pPr>
        <w:ind w:firstLine="480"/>
        <w:rPr>
          <w:rFonts w:ascii="宋体" w:hAnsi="宋体"/>
          <w:color w:val="auto"/>
          <w:highlight w:val="none"/>
        </w:rPr>
      </w:pPr>
      <w:r>
        <w:rPr>
          <w:rFonts w:hint="eastAsia" w:ascii="宋体" w:hAnsi="宋体"/>
          <w:color w:val="auto"/>
          <w:highlight w:val="none"/>
        </w:rPr>
        <w:t>共计</w:t>
      </w:r>
      <w:r>
        <w:rPr>
          <w:rFonts w:ascii="宋体" w:hAnsi="宋体"/>
          <w:color w:val="auto"/>
          <w:highlight w:val="none"/>
        </w:rPr>
        <w:t>192.6544</w:t>
      </w:r>
      <w:r>
        <w:rPr>
          <w:rFonts w:hint="eastAsia" w:ascii="宋体" w:hAnsi="宋体"/>
          <w:color w:val="auto"/>
          <w:highlight w:val="none"/>
        </w:rPr>
        <w:t>万元。</w:t>
      </w:r>
    </w:p>
    <w:p>
      <w:pPr>
        <w:pStyle w:val="4"/>
        <w:rPr>
          <w:rFonts w:ascii="宋体" w:hAnsi="宋体"/>
          <w:color w:val="auto"/>
          <w:highlight w:val="none"/>
        </w:rPr>
      </w:pPr>
      <w:bookmarkStart w:id="19" w:name="_Toc223194379"/>
      <w:r>
        <w:rPr>
          <w:rFonts w:hint="eastAsia" w:ascii="宋体" w:hAnsi="宋体"/>
          <w:color w:val="auto"/>
          <w:highlight w:val="none"/>
        </w:rPr>
        <w:t>5. 工程要求</w:t>
      </w:r>
      <w:bookmarkEnd w:id="19"/>
    </w:p>
    <w:p>
      <w:pPr>
        <w:pStyle w:val="5"/>
        <w:rPr>
          <w:rFonts w:ascii="宋体" w:hAnsi="宋体"/>
          <w:color w:val="auto"/>
          <w:highlight w:val="none"/>
        </w:rPr>
      </w:pPr>
      <w:bookmarkStart w:id="20" w:name="_Toc249451677"/>
      <w:bookmarkStart w:id="21" w:name="_Toc223194380"/>
      <w:r>
        <w:rPr>
          <w:rFonts w:hint="eastAsia" w:ascii="宋体" w:hAnsi="宋体"/>
          <w:color w:val="auto"/>
          <w:highlight w:val="none"/>
        </w:rPr>
        <w:t>5.1 建设周期</w:t>
      </w:r>
      <w:r>
        <w:rPr>
          <w:rFonts w:ascii="宋体" w:hAnsi="宋体"/>
          <w:color w:val="auto"/>
          <w:highlight w:val="none"/>
        </w:rPr>
        <w:t>要求</w:t>
      </w:r>
      <w:bookmarkEnd w:id="20"/>
      <w:bookmarkEnd w:id="21"/>
    </w:p>
    <w:p>
      <w:pPr>
        <w:spacing w:before="120" w:after="120"/>
        <w:ind w:firstLine="480"/>
        <w:rPr>
          <w:rFonts w:ascii="宋体" w:hAnsi="宋体"/>
          <w:color w:val="auto"/>
          <w:highlight w:val="none"/>
        </w:rPr>
      </w:pPr>
      <w:bookmarkStart w:id="22" w:name="_Toc249451679"/>
      <w:r>
        <w:rPr>
          <w:rFonts w:hint="eastAsia" w:ascii="宋体" w:hAnsi="宋体"/>
          <w:color w:val="auto"/>
          <w:highlight w:val="none"/>
        </w:rPr>
        <w:t>自项目合同签订之日起不超过30天。</w:t>
      </w:r>
    </w:p>
    <w:p>
      <w:pPr>
        <w:pStyle w:val="5"/>
        <w:rPr>
          <w:rFonts w:ascii="宋体" w:hAnsi="宋体"/>
          <w:color w:val="auto"/>
          <w:highlight w:val="none"/>
        </w:rPr>
      </w:pPr>
      <w:bookmarkStart w:id="23" w:name="_Toc223194381"/>
      <w:r>
        <w:rPr>
          <w:rFonts w:hint="eastAsia" w:ascii="宋体" w:hAnsi="宋体"/>
          <w:color w:val="auto"/>
          <w:highlight w:val="none"/>
        </w:rPr>
        <w:t>5.</w:t>
      </w:r>
      <w:r>
        <w:rPr>
          <w:rFonts w:ascii="宋体" w:hAnsi="宋体"/>
          <w:color w:val="auto"/>
          <w:highlight w:val="none"/>
        </w:rPr>
        <w:t>2</w:t>
      </w:r>
      <w:r>
        <w:rPr>
          <w:rFonts w:hint="eastAsia" w:ascii="宋体" w:hAnsi="宋体"/>
          <w:color w:val="auto"/>
          <w:highlight w:val="none"/>
        </w:rPr>
        <w:t xml:space="preserve"> </w:t>
      </w:r>
      <w:r>
        <w:rPr>
          <w:rFonts w:ascii="宋体" w:hAnsi="宋体"/>
          <w:color w:val="auto"/>
          <w:highlight w:val="none"/>
        </w:rPr>
        <w:t>知识产权要求</w:t>
      </w:r>
      <w:bookmarkEnd w:id="22"/>
      <w:bookmarkEnd w:id="23"/>
    </w:p>
    <w:p>
      <w:pPr>
        <w:ind w:firstLine="480"/>
        <w:rPr>
          <w:rFonts w:ascii="宋体" w:hAnsi="宋体"/>
          <w:color w:val="auto"/>
          <w:highlight w:val="none"/>
        </w:rPr>
      </w:pPr>
      <w:r>
        <w:rPr>
          <w:rFonts w:ascii="宋体" w:hAnsi="宋体"/>
          <w:color w:val="auto"/>
          <w:highlight w:val="none"/>
        </w:rPr>
        <w:t>投标方需对投标文件中的有关知识产权内容</w:t>
      </w:r>
      <w:r>
        <w:rPr>
          <w:rFonts w:hint="eastAsia" w:ascii="宋体" w:hAnsi="宋体"/>
          <w:color w:val="auto"/>
          <w:highlight w:val="none"/>
        </w:rPr>
        <w:t>做</w:t>
      </w:r>
      <w:r>
        <w:rPr>
          <w:rFonts w:ascii="宋体" w:hAnsi="宋体"/>
          <w:color w:val="auto"/>
          <w:highlight w:val="none"/>
        </w:rPr>
        <w:t>下述保证。保证对上述产品中涉及的知识产权是自有的或是被授权可使用的</w:t>
      </w:r>
      <w:r>
        <w:rPr>
          <w:rFonts w:hint="eastAsia" w:ascii="宋体" w:hAnsi="宋体"/>
          <w:color w:val="auto"/>
          <w:highlight w:val="none"/>
        </w:rPr>
        <w:t>，</w:t>
      </w:r>
      <w:r>
        <w:rPr>
          <w:rFonts w:ascii="宋体" w:hAnsi="宋体"/>
          <w:color w:val="auto"/>
          <w:highlight w:val="none"/>
        </w:rPr>
        <w:t>否则招标方被诉侵权产生的费用由投标方负责。</w:t>
      </w:r>
    </w:p>
    <w:p>
      <w:pPr>
        <w:spacing w:before="156"/>
        <w:ind w:firstLine="480"/>
        <w:rPr>
          <w:rFonts w:ascii="宋体" w:hAnsi="宋体"/>
          <w:color w:val="auto"/>
          <w:highlight w:val="none"/>
        </w:rPr>
      </w:pPr>
      <w:r>
        <w:rPr>
          <w:rFonts w:ascii="宋体" w:hAnsi="宋体"/>
          <w:color w:val="auto"/>
          <w:highlight w:val="none"/>
        </w:rPr>
        <w:t>本工程为公安科技专项工程，工程中</w:t>
      </w:r>
      <w:r>
        <w:rPr>
          <w:rFonts w:hint="eastAsia" w:ascii="宋体" w:hAnsi="宋体"/>
          <w:color w:val="auto"/>
          <w:highlight w:val="none"/>
        </w:rPr>
        <w:t>所委托开发的软件及其著作权归公安所有，工程中所产生的其他</w:t>
      </w:r>
      <w:r>
        <w:rPr>
          <w:rFonts w:ascii="宋体" w:hAnsi="宋体"/>
          <w:color w:val="auto"/>
          <w:highlight w:val="none"/>
        </w:rPr>
        <w:t>版权、专利、技术创新和标准、规范</w:t>
      </w:r>
      <w:r>
        <w:rPr>
          <w:rFonts w:hint="eastAsia" w:ascii="宋体" w:hAnsi="宋体"/>
          <w:color w:val="auto"/>
          <w:highlight w:val="none"/>
        </w:rPr>
        <w:t>等</w:t>
      </w:r>
      <w:r>
        <w:rPr>
          <w:rFonts w:ascii="宋体" w:hAnsi="宋体"/>
          <w:color w:val="auto"/>
          <w:highlight w:val="none"/>
        </w:rPr>
        <w:t>，其知识产权为工程</w:t>
      </w:r>
      <w:r>
        <w:rPr>
          <w:rFonts w:hint="eastAsia" w:ascii="宋体" w:hAnsi="宋体"/>
          <w:color w:val="auto"/>
          <w:highlight w:val="none"/>
        </w:rPr>
        <w:t>建设和参建</w:t>
      </w:r>
      <w:r>
        <w:rPr>
          <w:rFonts w:ascii="宋体" w:hAnsi="宋体"/>
          <w:color w:val="auto"/>
          <w:highlight w:val="none"/>
        </w:rPr>
        <w:t>双方共用。</w:t>
      </w:r>
    </w:p>
    <w:p>
      <w:pPr>
        <w:pStyle w:val="5"/>
        <w:rPr>
          <w:rFonts w:ascii="宋体" w:hAnsi="宋体"/>
          <w:color w:val="auto"/>
          <w:highlight w:val="none"/>
        </w:rPr>
      </w:pPr>
      <w:bookmarkStart w:id="24" w:name="_Toc249451681"/>
      <w:bookmarkStart w:id="25" w:name="_Toc223194382"/>
      <w:r>
        <w:rPr>
          <w:rFonts w:hint="eastAsia" w:ascii="宋体" w:hAnsi="宋体"/>
          <w:color w:val="auto"/>
          <w:highlight w:val="none"/>
        </w:rPr>
        <w:t>5.4 售后服务及质保要求</w:t>
      </w:r>
      <w:bookmarkEnd w:id="24"/>
      <w:bookmarkEnd w:id="25"/>
    </w:p>
    <w:p>
      <w:pPr>
        <w:pStyle w:val="5"/>
        <w:spacing w:before="0" w:after="0" w:line="560" w:lineRule="exact"/>
        <w:ind w:firstLine="560"/>
        <w:rPr>
          <w:rFonts w:ascii="宋体" w:hAnsi="宋体"/>
          <w:b w:val="0"/>
          <w:bCs w:val="0"/>
          <w:color w:val="auto"/>
          <w:sz w:val="24"/>
          <w:szCs w:val="22"/>
          <w:highlight w:val="none"/>
          <w:lang w:val="zh-CN"/>
        </w:rPr>
      </w:pPr>
      <w:bookmarkStart w:id="28" w:name="_GoBack"/>
      <w:bookmarkEnd w:id="28"/>
      <w:r>
        <w:rPr>
          <w:rFonts w:hint="eastAsia" w:ascii="宋体" w:hAnsi="宋体"/>
          <w:b w:val="0"/>
          <w:bCs w:val="0"/>
          <w:color w:val="auto"/>
          <w:sz w:val="24"/>
          <w:szCs w:val="22"/>
          <w:highlight w:val="none"/>
          <w:lang w:val="zh-CN"/>
        </w:rPr>
        <w:t>（</w:t>
      </w:r>
      <w:r>
        <w:rPr>
          <w:rFonts w:hint="eastAsia" w:ascii="宋体" w:hAnsi="宋体"/>
          <w:b w:val="0"/>
          <w:bCs w:val="0"/>
          <w:color w:val="auto"/>
          <w:sz w:val="24"/>
          <w:szCs w:val="22"/>
          <w:highlight w:val="none"/>
        </w:rPr>
        <w:t>1</w:t>
      </w:r>
      <w:r>
        <w:rPr>
          <w:rFonts w:hint="eastAsia" w:ascii="宋体" w:hAnsi="宋体"/>
          <w:b w:val="0"/>
          <w:bCs w:val="0"/>
          <w:color w:val="auto"/>
          <w:sz w:val="24"/>
          <w:szCs w:val="22"/>
          <w:highlight w:val="none"/>
          <w:lang w:val="zh-CN"/>
        </w:rPr>
        <w:t>）维修时限：</w:t>
      </w:r>
      <w:r>
        <w:rPr>
          <w:rFonts w:hint="eastAsia" w:ascii="宋体" w:hAnsi="宋体"/>
          <w:b w:val="0"/>
          <w:bCs w:val="0"/>
          <w:color w:val="auto"/>
          <w:sz w:val="24"/>
          <w:szCs w:val="22"/>
          <w:highlight w:val="none"/>
        </w:rPr>
        <w:t>4</w:t>
      </w:r>
      <w:r>
        <w:rPr>
          <w:rFonts w:hint="eastAsia" w:ascii="宋体" w:hAnsi="宋体"/>
          <w:b w:val="0"/>
          <w:bCs w:val="0"/>
          <w:color w:val="auto"/>
          <w:sz w:val="24"/>
          <w:szCs w:val="22"/>
          <w:highlight w:val="none"/>
          <w:lang w:val="zh-CN"/>
        </w:rPr>
        <w:t>小时内完成一般故障维修（节假日照常服务），</w:t>
      </w:r>
      <w:r>
        <w:rPr>
          <w:rFonts w:hint="eastAsia" w:ascii="宋体" w:hAnsi="宋体"/>
          <w:b w:val="0"/>
          <w:bCs w:val="0"/>
          <w:color w:val="auto"/>
          <w:sz w:val="24"/>
          <w:szCs w:val="22"/>
          <w:highlight w:val="none"/>
        </w:rPr>
        <w:t>8</w:t>
      </w:r>
      <w:r>
        <w:rPr>
          <w:rFonts w:hint="eastAsia" w:ascii="宋体" w:hAnsi="宋体"/>
          <w:b w:val="0"/>
          <w:bCs w:val="0"/>
          <w:color w:val="auto"/>
          <w:sz w:val="24"/>
          <w:szCs w:val="22"/>
          <w:highlight w:val="none"/>
          <w:lang w:val="zh-CN"/>
        </w:rPr>
        <w:t>小时内完成严重故障维修（节假日照常服务）</w:t>
      </w:r>
      <w:r>
        <w:rPr>
          <w:rFonts w:hint="eastAsia" w:ascii="宋体" w:hAnsi="宋体"/>
          <w:b w:val="0"/>
          <w:bCs w:val="0"/>
          <w:color w:val="auto"/>
          <w:sz w:val="24"/>
          <w:szCs w:val="22"/>
          <w:highlight w:val="none"/>
        </w:rPr>
        <w:t>或提供备用机</w:t>
      </w:r>
      <w:r>
        <w:rPr>
          <w:rFonts w:hint="eastAsia" w:ascii="宋体" w:hAnsi="宋体"/>
          <w:b w:val="0"/>
          <w:bCs w:val="0"/>
          <w:color w:val="auto"/>
          <w:sz w:val="24"/>
          <w:szCs w:val="22"/>
          <w:highlight w:val="none"/>
          <w:lang w:val="zh-CN"/>
        </w:rPr>
        <w:t>，提供维修报告，经甲乙双方签字确认。（提供承诺函并加盖公章）</w:t>
      </w:r>
    </w:p>
    <w:p>
      <w:pPr>
        <w:pStyle w:val="5"/>
        <w:spacing w:before="0" w:after="0" w:line="560" w:lineRule="exact"/>
        <w:ind w:firstLine="560"/>
        <w:rPr>
          <w:rFonts w:ascii="宋体" w:hAnsi="宋体"/>
          <w:b w:val="0"/>
          <w:bCs w:val="0"/>
          <w:color w:val="auto"/>
          <w:sz w:val="24"/>
          <w:szCs w:val="22"/>
          <w:highlight w:val="none"/>
          <w:lang w:val="zh-CN"/>
        </w:rPr>
      </w:pPr>
      <w:r>
        <w:rPr>
          <w:rFonts w:hint="eastAsia" w:ascii="宋体" w:hAnsi="宋体"/>
          <w:b w:val="0"/>
          <w:bCs w:val="0"/>
          <w:color w:val="auto"/>
          <w:sz w:val="24"/>
          <w:szCs w:val="22"/>
          <w:highlight w:val="none"/>
          <w:lang w:val="zh-CN"/>
        </w:rPr>
        <w:t>（</w:t>
      </w:r>
      <w:r>
        <w:rPr>
          <w:rFonts w:hint="eastAsia" w:ascii="宋体" w:hAnsi="宋体"/>
          <w:b w:val="0"/>
          <w:bCs w:val="0"/>
          <w:color w:val="auto"/>
          <w:sz w:val="24"/>
          <w:szCs w:val="22"/>
          <w:highlight w:val="none"/>
        </w:rPr>
        <w:t>2</w:t>
      </w:r>
      <w:r>
        <w:rPr>
          <w:rFonts w:hint="eastAsia" w:ascii="宋体" w:hAnsi="宋体"/>
          <w:b w:val="0"/>
          <w:bCs w:val="0"/>
          <w:color w:val="auto"/>
          <w:sz w:val="24"/>
          <w:szCs w:val="22"/>
          <w:highlight w:val="none"/>
          <w:lang w:val="zh-CN"/>
        </w:rPr>
        <w:t>）巡检服务：提供每</w:t>
      </w:r>
      <w:r>
        <w:rPr>
          <w:rFonts w:hint="eastAsia" w:ascii="宋体" w:hAnsi="宋体"/>
          <w:b w:val="0"/>
          <w:bCs w:val="0"/>
          <w:color w:val="auto"/>
          <w:sz w:val="24"/>
          <w:szCs w:val="22"/>
          <w:highlight w:val="none"/>
        </w:rPr>
        <w:t>日</w:t>
      </w:r>
      <w:r>
        <w:rPr>
          <w:rFonts w:hint="eastAsia" w:ascii="宋体" w:hAnsi="宋体"/>
          <w:b w:val="0"/>
          <w:bCs w:val="0"/>
          <w:color w:val="auto"/>
          <w:sz w:val="24"/>
          <w:szCs w:val="22"/>
          <w:highlight w:val="none"/>
          <w:lang w:val="zh-CN"/>
        </w:rPr>
        <w:t>巡检服务，巡检工程师需拥有相应能力完成所涉及产品的维护，以确保业务系统稳定运行，并提交巡检报告。</w:t>
      </w:r>
    </w:p>
    <w:p>
      <w:pPr>
        <w:pStyle w:val="5"/>
        <w:spacing w:before="0" w:after="0" w:line="560" w:lineRule="exact"/>
        <w:ind w:firstLine="560"/>
        <w:rPr>
          <w:rFonts w:ascii="宋体" w:hAnsi="宋体"/>
          <w:b w:val="0"/>
          <w:bCs w:val="0"/>
          <w:color w:val="auto"/>
          <w:sz w:val="24"/>
          <w:szCs w:val="22"/>
          <w:highlight w:val="none"/>
          <w:lang w:val="zh-CN"/>
        </w:rPr>
      </w:pPr>
      <w:r>
        <w:rPr>
          <w:rFonts w:hint="eastAsia" w:ascii="宋体" w:hAnsi="宋体"/>
          <w:b w:val="0"/>
          <w:bCs w:val="0"/>
          <w:color w:val="auto"/>
          <w:sz w:val="24"/>
          <w:szCs w:val="22"/>
          <w:highlight w:val="none"/>
          <w:lang w:val="zh-CN"/>
        </w:rPr>
        <w:t>（</w:t>
      </w:r>
      <w:r>
        <w:rPr>
          <w:rFonts w:hint="eastAsia" w:ascii="宋体" w:hAnsi="宋体"/>
          <w:b w:val="0"/>
          <w:bCs w:val="0"/>
          <w:color w:val="auto"/>
          <w:sz w:val="24"/>
          <w:szCs w:val="22"/>
          <w:highlight w:val="none"/>
        </w:rPr>
        <w:t>3</w:t>
      </w:r>
      <w:r>
        <w:rPr>
          <w:rFonts w:hint="eastAsia" w:ascii="宋体" w:hAnsi="宋体"/>
          <w:b w:val="0"/>
          <w:bCs w:val="0"/>
          <w:color w:val="auto"/>
          <w:sz w:val="24"/>
          <w:szCs w:val="22"/>
          <w:highlight w:val="none"/>
          <w:lang w:val="zh-CN"/>
        </w:rPr>
        <w:t>）</w:t>
      </w:r>
      <w:r>
        <w:rPr>
          <w:rFonts w:hint="eastAsia" w:ascii="宋体" w:hAnsi="宋体"/>
          <w:b w:val="0"/>
          <w:bCs w:val="0"/>
          <w:color w:val="auto"/>
          <w:sz w:val="24"/>
          <w:szCs w:val="22"/>
          <w:highlight w:val="none"/>
        </w:rPr>
        <w:t>驻场服务：自项目验收之日起</w:t>
      </w:r>
      <w:r>
        <w:rPr>
          <w:rFonts w:hint="eastAsia" w:ascii="宋体" w:hAnsi="宋体"/>
          <w:b w:val="0"/>
          <w:bCs w:val="0"/>
          <w:color w:val="auto"/>
          <w:sz w:val="24"/>
          <w:szCs w:val="22"/>
          <w:highlight w:val="none"/>
          <w:lang w:val="en-US" w:eastAsia="zh-CN"/>
        </w:rPr>
        <w:t>36个月</w:t>
      </w:r>
      <w:r>
        <w:rPr>
          <w:rFonts w:hint="eastAsia" w:ascii="宋体" w:hAnsi="宋体"/>
          <w:b w:val="0"/>
          <w:bCs w:val="0"/>
          <w:color w:val="auto"/>
          <w:sz w:val="24"/>
          <w:szCs w:val="22"/>
          <w:highlight w:val="none"/>
        </w:rPr>
        <w:t>内，</w:t>
      </w:r>
      <w:r>
        <w:rPr>
          <w:rFonts w:hint="eastAsia" w:ascii="宋体" w:hAnsi="宋体"/>
          <w:b w:val="0"/>
          <w:bCs w:val="0"/>
          <w:color w:val="auto"/>
          <w:sz w:val="24"/>
          <w:szCs w:val="22"/>
          <w:highlight w:val="none"/>
          <w:lang w:val="zh-CN"/>
        </w:rPr>
        <w:t>安排</w:t>
      </w:r>
      <w:r>
        <w:rPr>
          <w:rFonts w:hint="eastAsia" w:ascii="宋体" w:hAnsi="宋体"/>
          <w:b w:val="0"/>
          <w:bCs w:val="0"/>
          <w:color w:val="auto"/>
          <w:sz w:val="24"/>
          <w:szCs w:val="22"/>
          <w:highlight w:val="none"/>
        </w:rPr>
        <w:t>不少于2名技术</w:t>
      </w:r>
      <w:r>
        <w:rPr>
          <w:rFonts w:hint="eastAsia" w:ascii="宋体" w:hAnsi="宋体"/>
          <w:b w:val="0"/>
          <w:bCs w:val="0"/>
          <w:color w:val="auto"/>
          <w:sz w:val="24"/>
          <w:szCs w:val="22"/>
          <w:highlight w:val="none"/>
          <w:lang w:val="zh-CN"/>
        </w:rPr>
        <w:t>人员</w:t>
      </w:r>
      <w:r>
        <w:rPr>
          <w:rFonts w:hint="eastAsia" w:ascii="宋体" w:hAnsi="宋体"/>
          <w:b w:val="0"/>
          <w:bCs w:val="0"/>
          <w:color w:val="auto"/>
          <w:sz w:val="24"/>
          <w:szCs w:val="22"/>
          <w:highlight w:val="none"/>
        </w:rPr>
        <w:t>每日</w:t>
      </w:r>
      <w:r>
        <w:rPr>
          <w:rFonts w:hint="eastAsia" w:ascii="宋体" w:hAnsi="宋体"/>
          <w:b w:val="0"/>
          <w:bCs w:val="0"/>
          <w:color w:val="auto"/>
          <w:sz w:val="24"/>
          <w:szCs w:val="22"/>
          <w:highlight w:val="none"/>
          <w:lang w:val="zh-CN"/>
        </w:rPr>
        <w:t>驻场进（</w:t>
      </w:r>
      <w:r>
        <w:rPr>
          <w:rFonts w:hint="eastAsia" w:ascii="宋体" w:hAnsi="宋体"/>
          <w:b w:val="0"/>
          <w:bCs w:val="0"/>
          <w:color w:val="auto"/>
          <w:sz w:val="24"/>
          <w:szCs w:val="22"/>
          <w:highlight w:val="none"/>
        </w:rPr>
        <w:t>跟随业主工作时间</w:t>
      </w:r>
      <w:r>
        <w:rPr>
          <w:rFonts w:hint="eastAsia" w:ascii="宋体" w:hAnsi="宋体"/>
          <w:b w:val="0"/>
          <w:bCs w:val="0"/>
          <w:color w:val="auto"/>
          <w:sz w:val="24"/>
          <w:szCs w:val="22"/>
          <w:highlight w:val="none"/>
          <w:lang w:val="zh-CN"/>
        </w:rPr>
        <w:t>），并出具巡检记录单。（节假日照常服务）</w:t>
      </w:r>
    </w:p>
    <w:p>
      <w:pPr>
        <w:ind w:firstLine="480"/>
        <w:rPr>
          <w:rFonts w:ascii="宋体" w:hAnsi="宋体"/>
          <w:color w:val="auto"/>
          <w:highlight w:val="none"/>
          <w:lang w:val="zh-CN"/>
        </w:rPr>
      </w:pPr>
      <w:r>
        <w:rPr>
          <w:rFonts w:hint="eastAsia" w:ascii="宋体" w:hAnsi="宋体"/>
          <w:color w:val="auto"/>
          <w:highlight w:val="none"/>
          <w:lang w:val="zh-CN"/>
        </w:rPr>
        <w:t>（</w:t>
      </w:r>
      <w:r>
        <w:rPr>
          <w:rFonts w:hint="eastAsia" w:ascii="宋体" w:hAnsi="宋体"/>
          <w:color w:val="auto"/>
          <w:highlight w:val="none"/>
        </w:rPr>
        <w:t>4</w:t>
      </w:r>
      <w:r>
        <w:rPr>
          <w:rFonts w:hint="eastAsia" w:ascii="宋体" w:hAnsi="宋体"/>
          <w:color w:val="auto"/>
          <w:highlight w:val="none"/>
          <w:lang w:val="zh-CN"/>
        </w:rPr>
        <w:t>）</w:t>
      </w:r>
      <w:r>
        <w:rPr>
          <w:rFonts w:ascii="宋体" w:hAnsi="宋体"/>
          <w:color w:val="auto"/>
          <w:highlight w:val="none"/>
        </w:rPr>
        <w:t>项目服务人员服务期间，必须服从</w:t>
      </w:r>
      <w:r>
        <w:rPr>
          <w:rFonts w:hint="eastAsia" w:ascii="宋体" w:hAnsi="宋体"/>
          <w:color w:val="auto"/>
          <w:highlight w:val="none"/>
        </w:rPr>
        <w:t>招标单位</w:t>
      </w:r>
      <w:r>
        <w:rPr>
          <w:rFonts w:ascii="宋体" w:hAnsi="宋体"/>
          <w:color w:val="auto"/>
          <w:highlight w:val="none"/>
        </w:rPr>
        <w:t>管理，遵守</w:t>
      </w:r>
      <w:r>
        <w:rPr>
          <w:rFonts w:hint="eastAsia" w:ascii="宋体" w:hAnsi="宋体"/>
          <w:color w:val="auto"/>
          <w:highlight w:val="none"/>
        </w:rPr>
        <w:t>招标单位</w:t>
      </w:r>
      <w:r>
        <w:rPr>
          <w:rFonts w:ascii="宋体" w:hAnsi="宋体"/>
          <w:color w:val="auto"/>
          <w:highlight w:val="none"/>
        </w:rPr>
        <w:t>相关管理制度及保密条例。</w:t>
      </w:r>
    </w:p>
    <w:p>
      <w:pPr>
        <w:ind w:firstLine="480"/>
        <w:rPr>
          <w:rFonts w:ascii="宋体" w:hAnsi="宋体"/>
          <w:color w:val="auto"/>
          <w:highlight w:val="none"/>
          <w:lang w:val="zh-CN"/>
        </w:rPr>
      </w:pPr>
    </w:p>
    <w:p>
      <w:pPr>
        <w:pStyle w:val="5"/>
        <w:rPr>
          <w:rFonts w:ascii="宋体" w:hAnsi="宋体"/>
          <w:color w:val="auto"/>
          <w:highlight w:val="none"/>
        </w:rPr>
      </w:pPr>
      <w:r>
        <w:rPr>
          <w:rFonts w:hint="eastAsia" w:ascii="宋体" w:hAnsi="宋体"/>
          <w:color w:val="auto"/>
          <w:highlight w:val="none"/>
        </w:rPr>
        <w:t>5.5 对接要求</w:t>
      </w:r>
    </w:p>
    <w:p>
      <w:pPr>
        <w:pStyle w:val="5"/>
        <w:spacing w:before="0" w:after="0" w:line="560" w:lineRule="exact"/>
        <w:ind w:firstLine="560"/>
        <w:rPr>
          <w:rFonts w:ascii="宋体" w:hAnsi="宋体"/>
          <w:b w:val="0"/>
          <w:bCs w:val="0"/>
          <w:color w:val="auto"/>
          <w:sz w:val="24"/>
          <w:szCs w:val="22"/>
          <w:highlight w:val="none"/>
        </w:rPr>
      </w:pPr>
      <w:r>
        <w:rPr>
          <w:rFonts w:hint="eastAsia" w:ascii="宋体" w:hAnsi="宋体"/>
          <w:b w:val="0"/>
          <w:bCs w:val="0"/>
          <w:color w:val="auto"/>
          <w:sz w:val="24"/>
          <w:szCs w:val="22"/>
          <w:highlight w:val="none"/>
          <w:lang w:val="zh-CN"/>
        </w:rPr>
        <w:t>（</w:t>
      </w:r>
      <w:r>
        <w:rPr>
          <w:rFonts w:hint="eastAsia" w:ascii="宋体" w:hAnsi="宋体"/>
          <w:b w:val="0"/>
          <w:bCs w:val="0"/>
          <w:color w:val="auto"/>
          <w:sz w:val="24"/>
          <w:szCs w:val="22"/>
          <w:highlight w:val="none"/>
        </w:rPr>
        <w:t>1</w:t>
      </w:r>
      <w:r>
        <w:rPr>
          <w:rFonts w:hint="eastAsia" w:ascii="宋体" w:hAnsi="宋体"/>
          <w:b w:val="0"/>
          <w:bCs w:val="0"/>
          <w:color w:val="auto"/>
          <w:sz w:val="24"/>
          <w:szCs w:val="22"/>
          <w:highlight w:val="none"/>
          <w:lang w:val="zh-CN"/>
        </w:rPr>
        <w:t>）</w:t>
      </w:r>
      <w:r>
        <w:rPr>
          <w:rFonts w:hint="eastAsia" w:ascii="宋体" w:hAnsi="宋体"/>
          <w:b w:val="0"/>
          <w:bCs w:val="0"/>
          <w:color w:val="auto"/>
          <w:sz w:val="24"/>
          <w:szCs w:val="22"/>
          <w:highlight w:val="none"/>
        </w:rPr>
        <w:t>投标方需完成招标方现有系统对接，包括但不限于情指系统、视屏会议系统、安防平台等。接口费包含在此次项目建设总价内。</w:t>
      </w:r>
    </w:p>
    <w:p>
      <w:pPr>
        <w:pStyle w:val="5"/>
        <w:rPr>
          <w:rFonts w:ascii="宋体" w:hAnsi="宋体"/>
          <w:color w:val="auto"/>
          <w:highlight w:val="none"/>
        </w:rPr>
      </w:pPr>
      <w:bookmarkStart w:id="26" w:name="_Toc223194383"/>
      <w:r>
        <w:rPr>
          <w:rFonts w:hint="eastAsia" w:ascii="宋体" w:hAnsi="宋体"/>
          <w:color w:val="auto"/>
          <w:highlight w:val="none"/>
        </w:rPr>
        <w:t>5.6 文档要求</w:t>
      </w:r>
      <w:bookmarkEnd w:id="26"/>
    </w:p>
    <w:p>
      <w:pPr>
        <w:ind w:firstLine="480"/>
        <w:rPr>
          <w:rFonts w:ascii="宋体" w:hAnsi="宋体"/>
          <w:color w:val="auto"/>
          <w:highlight w:val="none"/>
        </w:rPr>
      </w:pPr>
      <w:r>
        <w:rPr>
          <w:rFonts w:hint="eastAsia" w:ascii="宋体" w:hAnsi="宋体"/>
          <w:color w:val="auto"/>
          <w:highlight w:val="none"/>
        </w:rPr>
        <w:t>提供完整的竣工图纸，软/硬件文档，操作/维护手册，设备清单，并帮助业主建立系统的运行、管理和维护文档，以便在故障发生时能及时提供资料，迅速找到并排除故障，将损失减至最小。</w:t>
      </w:r>
    </w:p>
    <w:p>
      <w:pPr>
        <w:ind w:firstLine="480"/>
        <w:rPr>
          <w:rFonts w:ascii="宋体" w:hAnsi="宋体"/>
          <w:color w:val="auto"/>
          <w:highlight w:val="none"/>
        </w:rPr>
      </w:pPr>
      <w:r>
        <w:rPr>
          <w:rFonts w:hint="eastAsia" w:ascii="宋体" w:hAnsi="宋体"/>
          <w:color w:val="auto"/>
          <w:highlight w:val="none"/>
        </w:rPr>
        <w:t>（1）集成设计文档</w:t>
      </w:r>
    </w:p>
    <w:p>
      <w:pPr>
        <w:ind w:firstLine="480"/>
        <w:rPr>
          <w:rFonts w:ascii="宋体" w:hAnsi="宋体"/>
          <w:color w:val="auto"/>
          <w:highlight w:val="none"/>
        </w:rPr>
      </w:pPr>
      <w:r>
        <w:rPr>
          <w:rFonts w:hint="eastAsia" w:ascii="宋体" w:hAnsi="宋体"/>
          <w:color w:val="auto"/>
          <w:highlight w:val="none"/>
        </w:rPr>
        <w:t>必须包含系统总体设计说明（含操作系统配置、系统备份、集群和运行管理等设计内容）；系统集成管理的详细设计说明；系统软件、支撑软件的其他详细设计说明。</w:t>
      </w:r>
    </w:p>
    <w:p>
      <w:pPr>
        <w:ind w:firstLine="480"/>
        <w:rPr>
          <w:rFonts w:ascii="宋体" w:hAnsi="宋体"/>
          <w:color w:val="auto"/>
          <w:highlight w:val="none"/>
        </w:rPr>
      </w:pPr>
      <w:r>
        <w:rPr>
          <w:rFonts w:hint="eastAsia" w:ascii="宋体" w:hAnsi="宋体"/>
          <w:color w:val="auto"/>
          <w:highlight w:val="none"/>
        </w:rPr>
        <w:t>（2）软件设计文档</w:t>
      </w:r>
    </w:p>
    <w:p>
      <w:pPr>
        <w:ind w:firstLine="480"/>
        <w:rPr>
          <w:rFonts w:ascii="宋体" w:hAnsi="宋体"/>
          <w:color w:val="auto"/>
          <w:highlight w:val="none"/>
        </w:rPr>
      </w:pPr>
      <w:r>
        <w:rPr>
          <w:rFonts w:hint="eastAsia" w:ascii="宋体" w:hAnsi="宋体"/>
          <w:color w:val="auto"/>
          <w:highlight w:val="none"/>
        </w:rPr>
        <w:t>必须包括以下内容：需求分析报告；概要设计说明书；详细设计说明书（含程序模块流程框图）。</w:t>
      </w:r>
    </w:p>
    <w:p>
      <w:pPr>
        <w:ind w:firstLine="480"/>
        <w:rPr>
          <w:rFonts w:ascii="宋体" w:hAnsi="宋体"/>
          <w:color w:val="auto"/>
          <w:highlight w:val="none"/>
        </w:rPr>
      </w:pPr>
      <w:r>
        <w:rPr>
          <w:rFonts w:hint="eastAsia" w:ascii="宋体" w:hAnsi="宋体"/>
          <w:color w:val="auto"/>
          <w:highlight w:val="none"/>
        </w:rPr>
        <w:t>（3）运行、操作和维护（O&amp;M）手册以及竣工图纸</w:t>
      </w:r>
    </w:p>
    <w:p>
      <w:pPr>
        <w:ind w:firstLine="480"/>
        <w:rPr>
          <w:rFonts w:ascii="宋体" w:hAnsi="宋体"/>
          <w:b/>
          <w:color w:val="auto"/>
          <w:szCs w:val="24"/>
          <w:highlight w:val="none"/>
        </w:rPr>
      </w:pPr>
      <w:r>
        <w:rPr>
          <w:rFonts w:hint="eastAsia" w:ascii="宋体" w:hAnsi="宋体"/>
          <w:color w:val="auto"/>
          <w:highlight w:val="none"/>
        </w:rPr>
        <w:t>包括以下内容：系统说明；系统运行管理手册；系统维护和故障诊断手册；系统数据设置手册；系统操作手册；各种业务终端操作手册；设备和网络综合维护和管理手册；系统开发平台操作、维护和管理手册；竣工图：在完成现场测试后的一个月内系统初验前，投标人应提交在工程实施过程中编制的竣工图。</w:t>
      </w:r>
    </w:p>
    <w:p>
      <w:pPr>
        <w:pStyle w:val="5"/>
        <w:rPr>
          <w:rFonts w:ascii="宋体" w:hAnsi="宋体"/>
          <w:color w:val="auto"/>
          <w:highlight w:val="none"/>
        </w:rPr>
      </w:pPr>
      <w:bookmarkStart w:id="27" w:name="_Toc223194384"/>
      <w:r>
        <w:rPr>
          <w:rFonts w:hint="eastAsia" w:ascii="宋体" w:hAnsi="宋体"/>
          <w:color w:val="auto"/>
          <w:highlight w:val="none"/>
        </w:rPr>
        <w:t>5.7 人员培训要求</w:t>
      </w:r>
      <w:bookmarkEnd w:id="27"/>
    </w:p>
    <w:p>
      <w:pPr>
        <w:ind w:firstLine="480"/>
        <w:rPr>
          <w:rFonts w:ascii="宋体" w:hAnsi="宋体"/>
          <w:color w:val="auto"/>
          <w:highlight w:val="none"/>
        </w:rPr>
      </w:pPr>
      <w:r>
        <w:rPr>
          <w:rFonts w:hint="eastAsia" w:ascii="宋体" w:hAnsi="宋体"/>
          <w:color w:val="auto"/>
          <w:highlight w:val="none"/>
        </w:rPr>
        <w:t>使业主对整个系统全面了解，熟悉日常维护工作，有能力处理一般性问题，并消除因使用操作不当而引起的故障，减少突发故障的发生。培训内容可分为面向操作人员和面向管理人员两类，前者注重实际操作，后者偏重系统整体结构、功能和管理等。</w:t>
      </w:r>
    </w:p>
    <w:p>
      <w:pPr>
        <w:ind w:firstLine="480"/>
        <w:rPr>
          <w:rFonts w:ascii="宋体" w:hAnsi="宋体"/>
          <w:color w:val="auto"/>
          <w:highlight w:val="none"/>
        </w:rPr>
      </w:pPr>
      <w:r>
        <w:rPr>
          <w:rFonts w:hint="eastAsia" w:ascii="宋体" w:hAnsi="宋体"/>
          <w:color w:val="auto"/>
          <w:highlight w:val="none"/>
        </w:rPr>
        <w:t>面向操作人员的培训内容主要包括：各子系统的理论基础原理结构；主要设备、器件的作用与安装位置；维护规程及简单故障盘点排除；竣工图的查阅和修改。</w:t>
      </w:r>
    </w:p>
    <w:p>
      <w:pPr>
        <w:ind w:firstLine="480"/>
        <w:rPr>
          <w:rFonts w:ascii="宋体" w:hAnsi="宋体"/>
          <w:color w:val="auto"/>
          <w:highlight w:val="none"/>
        </w:rPr>
      </w:pPr>
      <w:r>
        <w:rPr>
          <w:rFonts w:hint="eastAsia" w:ascii="宋体" w:hAnsi="宋体"/>
          <w:color w:val="auto"/>
          <w:highlight w:val="none"/>
        </w:rPr>
        <w:t>面向管理人员的培训内容主要包括：系统总体结构及各子系统相互间的关系；系统重要参数的设定和修改；竣工图的查阅。</w:t>
      </w:r>
    </w:p>
    <w:p>
      <w:pPr>
        <w:ind w:firstLine="480"/>
        <w:rPr>
          <w:rFonts w:ascii="宋体" w:hAnsi="宋体"/>
          <w:color w:val="auto"/>
          <w:highlight w:val="none"/>
        </w:rPr>
      </w:pPr>
      <w:r>
        <w:rPr>
          <w:rFonts w:hint="eastAsia" w:ascii="宋体" w:hAnsi="宋体"/>
          <w:color w:val="auto"/>
          <w:highlight w:val="none"/>
        </w:rPr>
        <w:t>1.投标人在执行合同中，应提供培训业主雇员所需的有资格的教员、适用的教材、良好培训场所以及必需的设备、器材。应采取课堂讲解和演示相结合的方法。通常课程用汉语讲授，教材应用中文编写。</w:t>
      </w:r>
    </w:p>
    <w:p>
      <w:pPr>
        <w:ind w:firstLine="480"/>
        <w:rPr>
          <w:rFonts w:ascii="宋体" w:hAnsi="宋体"/>
          <w:color w:val="auto"/>
          <w:highlight w:val="none"/>
        </w:rPr>
      </w:pPr>
      <w:r>
        <w:rPr>
          <w:rFonts w:hint="eastAsia" w:ascii="宋体" w:hAnsi="宋体"/>
          <w:color w:val="auto"/>
          <w:highlight w:val="none"/>
        </w:rPr>
        <w:t>2.在签订合同起的14个日历内，投标人应提交一份培训的详细计划及每一课程的大纲，包括培训项目、人数、时间、地点、费用（每人每日的费用）等，供业主批准。授课方式、教员职称与资历，课程的详细内容在培训开始前14天提出。</w:t>
      </w:r>
    </w:p>
    <w:p>
      <w:pPr>
        <w:ind w:firstLine="480"/>
        <w:rPr>
          <w:rFonts w:ascii="宋体" w:hAnsi="宋体"/>
          <w:color w:val="auto"/>
          <w:highlight w:val="none"/>
        </w:rPr>
      </w:pPr>
      <w:r>
        <w:rPr>
          <w:rFonts w:hint="eastAsia" w:ascii="宋体" w:hAnsi="宋体"/>
          <w:color w:val="auto"/>
          <w:highlight w:val="none"/>
        </w:rPr>
        <w:t>3.投标人派出的培训指导人员，应在所在的技术领域具有五年以上的维修经验。培训指导人员的简历连同培训计划一并提交业主，业主认为培训指导人员不合适可要求更换。</w:t>
      </w:r>
    </w:p>
    <w:p>
      <w:pPr>
        <w:ind w:firstLine="480"/>
        <w:rPr>
          <w:rFonts w:ascii="宋体" w:hAnsi="宋体"/>
          <w:color w:val="auto"/>
          <w:highlight w:val="none"/>
        </w:rPr>
      </w:pPr>
      <w:r>
        <w:rPr>
          <w:rFonts w:hint="eastAsia" w:ascii="宋体" w:hAnsi="宋体"/>
          <w:color w:val="auto"/>
          <w:highlight w:val="none"/>
        </w:rPr>
        <w:t>4.培训教程应按不同等级的受训人员分别制定，每一组应能对所有系统的特性、操作要求和维修有一个完整的了解，其中特别对软件系统进行专项培训。</w:t>
      </w:r>
    </w:p>
    <w:sectPr>
      <w:pgSz w:w="11906" w:h="16838"/>
      <w:pgMar w:top="1440" w:right="1797" w:bottom="1440" w:left="1797" w:header="851" w:footer="992" w:gutter="0"/>
      <w:pgNumType w:fmt="numberInDash"/>
      <w:cols w:space="72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0" w:firstLineChars="0"/>
      <w:jc w:val="center"/>
      <w:rPr>
        <w:sz w:val="28"/>
      </w:rPr>
    </w:pPr>
    <w:r>
      <w:rPr>
        <w:sz w:val="28"/>
      </w:rPr>
      <w:fldChar w:fldCharType="begin"/>
    </w:r>
    <w:r>
      <w:rPr>
        <w:sz w:val="28"/>
      </w:rPr>
      <w:instrText xml:space="preserve">PAGE   \* MERGEFORMAT</w:instrText>
    </w:r>
    <w:r>
      <w:rPr>
        <w:sz w:val="28"/>
      </w:rPr>
      <w:fldChar w:fldCharType="separate"/>
    </w:r>
    <w:r>
      <w:rPr>
        <w:sz w:val="28"/>
        <w:lang w:val="zh-CN"/>
      </w:rPr>
      <w:t>-</w:t>
    </w:r>
    <w:r>
      <w:rPr>
        <w:sz w:val="28"/>
      </w:rPr>
      <w:t xml:space="preserve"> 11 -</w:t>
    </w:r>
    <w:r>
      <w:rPr>
        <w:sz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0A959"/>
    <w:multiLevelType w:val="singleLevel"/>
    <w:tmpl w:val="B4B0A959"/>
    <w:lvl w:ilvl="0" w:tentative="0">
      <w:start w:val="3"/>
      <w:numFmt w:val="decimal"/>
      <w:suff w:val="space"/>
      <w:lvlText w:val="%1."/>
      <w:lvlJc w:val="left"/>
    </w:lvl>
  </w:abstractNum>
  <w:abstractNum w:abstractNumId="1">
    <w:nsid w:val="208A7ABE"/>
    <w:multiLevelType w:val="multilevel"/>
    <w:tmpl w:val="208A7ABE"/>
    <w:lvl w:ilvl="0" w:tentative="0">
      <w:start w:val="1"/>
      <w:numFmt w:val="decimal"/>
      <w:pStyle w:val="120"/>
      <w:lvlText w:val="表%1"/>
      <w:lvlJc w:val="left"/>
      <w:pPr>
        <w:ind w:left="0" w:hanging="420"/>
      </w:pPr>
      <w:rPr>
        <w:rFonts w:hint="eastAsia"/>
      </w:rPr>
    </w:lvl>
    <w:lvl w:ilvl="1" w:tentative="0">
      <w:start w:val="1"/>
      <w:numFmt w:val="lowerLetter"/>
      <w:lvlText w:val="%2)"/>
      <w:lvlJc w:val="left"/>
      <w:pPr>
        <w:ind w:left="900" w:hanging="420"/>
      </w:pPr>
    </w:lvl>
    <w:lvl w:ilvl="2" w:tentative="0">
      <w:start w:val="1"/>
      <w:numFmt w:val="lowerRoman"/>
      <w:lvlText w:val="%3."/>
      <w:lvlJc w:val="right"/>
      <w:pPr>
        <w:ind w:left="1320" w:hanging="420"/>
      </w:pPr>
    </w:lvl>
    <w:lvl w:ilvl="3" w:tentative="0">
      <w:start w:val="1"/>
      <w:numFmt w:val="decimal"/>
      <w:lvlText w:val="%4."/>
      <w:lvlJc w:val="left"/>
      <w:pPr>
        <w:ind w:left="1740" w:hanging="420"/>
      </w:pPr>
    </w:lvl>
    <w:lvl w:ilvl="4" w:tentative="0">
      <w:start w:val="1"/>
      <w:numFmt w:val="lowerLetter"/>
      <w:lvlText w:val="%5)"/>
      <w:lvlJc w:val="left"/>
      <w:pPr>
        <w:ind w:left="2160" w:hanging="420"/>
      </w:pPr>
    </w:lvl>
    <w:lvl w:ilvl="5" w:tentative="0">
      <w:start w:val="1"/>
      <w:numFmt w:val="lowerRoman"/>
      <w:lvlText w:val="%6."/>
      <w:lvlJc w:val="right"/>
      <w:pPr>
        <w:ind w:left="2580" w:hanging="420"/>
      </w:pPr>
    </w:lvl>
    <w:lvl w:ilvl="6" w:tentative="0">
      <w:start w:val="1"/>
      <w:numFmt w:val="decimal"/>
      <w:lvlText w:val="%7."/>
      <w:lvlJc w:val="left"/>
      <w:pPr>
        <w:ind w:left="3000" w:hanging="420"/>
      </w:pPr>
    </w:lvl>
    <w:lvl w:ilvl="7" w:tentative="0">
      <w:start w:val="1"/>
      <w:numFmt w:val="lowerLetter"/>
      <w:lvlText w:val="%8)"/>
      <w:lvlJc w:val="left"/>
      <w:pPr>
        <w:ind w:left="3420" w:hanging="420"/>
      </w:pPr>
    </w:lvl>
    <w:lvl w:ilvl="8" w:tentative="0">
      <w:start w:val="1"/>
      <w:numFmt w:val="lowerRoman"/>
      <w:lvlText w:val="%9."/>
      <w:lvlJc w:val="right"/>
      <w:pPr>
        <w:ind w:left="3840" w:hanging="420"/>
      </w:pPr>
    </w:lvl>
  </w:abstractNum>
  <w:abstractNum w:abstractNumId="2">
    <w:nsid w:val="315C64F6"/>
    <w:multiLevelType w:val="multilevel"/>
    <w:tmpl w:val="315C64F6"/>
    <w:lvl w:ilvl="0" w:tentative="0">
      <w:start w:val="1"/>
      <w:numFmt w:val="bullet"/>
      <w:pStyle w:val="52"/>
      <w:lvlText w:val=""/>
      <w:lvlJc w:val="left"/>
      <w:pPr>
        <w:ind w:left="1339" w:hanging="420"/>
      </w:pPr>
      <w:rPr>
        <w:rFonts w:hint="default" w:ascii="Wingdings" w:hAnsi="Wingdings"/>
      </w:rPr>
    </w:lvl>
    <w:lvl w:ilvl="1" w:tentative="0">
      <w:start w:val="1"/>
      <w:numFmt w:val="bullet"/>
      <w:lvlText w:val=""/>
      <w:lvlJc w:val="left"/>
      <w:pPr>
        <w:ind w:left="1759" w:hanging="420"/>
      </w:pPr>
      <w:rPr>
        <w:rFonts w:hint="default" w:ascii="Wingdings" w:hAnsi="Wingdings"/>
      </w:rPr>
    </w:lvl>
    <w:lvl w:ilvl="2" w:tentative="0">
      <w:start w:val="1"/>
      <w:numFmt w:val="bullet"/>
      <w:lvlText w:val=""/>
      <w:lvlJc w:val="left"/>
      <w:pPr>
        <w:ind w:left="2179" w:hanging="420"/>
      </w:pPr>
      <w:rPr>
        <w:rFonts w:hint="default" w:ascii="Wingdings" w:hAnsi="Wingdings"/>
      </w:rPr>
    </w:lvl>
    <w:lvl w:ilvl="3" w:tentative="0">
      <w:start w:val="1"/>
      <w:numFmt w:val="bullet"/>
      <w:lvlText w:val=""/>
      <w:lvlJc w:val="left"/>
      <w:pPr>
        <w:ind w:left="2599" w:hanging="420"/>
      </w:pPr>
      <w:rPr>
        <w:rFonts w:hint="default" w:ascii="Wingdings" w:hAnsi="Wingdings"/>
      </w:rPr>
    </w:lvl>
    <w:lvl w:ilvl="4" w:tentative="0">
      <w:start w:val="1"/>
      <w:numFmt w:val="bullet"/>
      <w:lvlText w:val=""/>
      <w:lvlJc w:val="left"/>
      <w:pPr>
        <w:ind w:left="3019" w:hanging="420"/>
      </w:pPr>
      <w:rPr>
        <w:rFonts w:hint="default" w:ascii="Wingdings" w:hAnsi="Wingdings"/>
      </w:rPr>
    </w:lvl>
    <w:lvl w:ilvl="5" w:tentative="0">
      <w:start w:val="1"/>
      <w:numFmt w:val="bullet"/>
      <w:lvlText w:val=""/>
      <w:lvlJc w:val="left"/>
      <w:pPr>
        <w:ind w:left="3439" w:hanging="420"/>
      </w:pPr>
      <w:rPr>
        <w:rFonts w:hint="default" w:ascii="Wingdings" w:hAnsi="Wingdings"/>
      </w:rPr>
    </w:lvl>
    <w:lvl w:ilvl="6" w:tentative="0">
      <w:start w:val="1"/>
      <w:numFmt w:val="bullet"/>
      <w:lvlText w:val=""/>
      <w:lvlJc w:val="left"/>
      <w:pPr>
        <w:ind w:left="3859" w:hanging="420"/>
      </w:pPr>
      <w:rPr>
        <w:rFonts w:hint="default" w:ascii="Wingdings" w:hAnsi="Wingdings"/>
      </w:rPr>
    </w:lvl>
    <w:lvl w:ilvl="7" w:tentative="0">
      <w:start w:val="1"/>
      <w:numFmt w:val="bullet"/>
      <w:lvlText w:val=""/>
      <w:lvlJc w:val="left"/>
      <w:pPr>
        <w:ind w:left="4279" w:hanging="420"/>
      </w:pPr>
      <w:rPr>
        <w:rFonts w:hint="default" w:ascii="Wingdings" w:hAnsi="Wingdings"/>
      </w:rPr>
    </w:lvl>
    <w:lvl w:ilvl="8" w:tentative="0">
      <w:start w:val="1"/>
      <w:numFmt w:val="bullet"/>
      <w:lvlText w:val=""/>
      <w:lvlJc w:val="left"/>
      <w:pPr>
        <w:ind w:left="4699"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NotTrackMove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NmU3NzRiNTk3MGI3NzUzYmVjNWM2ZDZiMzU4MDUifQ=="/>
  </w:docVars>
  <w:rsids>
    <w:rsidRoot w:val="000011A8"/>
    <w:rsid w:val="00000040"/>
    <w:rsid w:val="00000309"/>
    <w:rsid w:val="00000403"/>
    <w:rsid w:val="00000820"/>
    <w:rsid w:val="000008A6"/>
    <w:rsid w:val="000011A8"/>
    <w:rsid w:val="00001539"/>
    <w:rsid w:val="0000157D"/>
    <w:rsid w:val="00001759"/>
    <w:rsid w:val="000018F2"/>
    <w:rsid w:val="0000194A"/>
    <w:rsid w:val="00001E26"/>
    <w:rsid w:val="00002525"/>
    <w:rsid w:val="000028F3"/>
    <w:rsid w:val="0000299E"/>
    <w:rsid w:val="00002E65"/>
    <w:rsid w:val="00002E66"/>
    <w:rsid w:val="000036B9"/>
    <w:rsid w:val="00003761"/>
    <w:rsid w:val="00003F38"/>
    <w:rsid w:val="00004476"/>
    <w:rsid w:val="000046BD"/>
    <w:rsid w:val="00004753"/>
    <w:rsid w:val="000054B4"/>
    <w:rsid w:val="00006803"/>
    <w:rsid w:val="00006BC0"/>
    <w:rsid w:val="0000788F"/>
    <w:rsid w:val="00007F87"/>
    <w:rsid w:val="00010451"/>
    <w:rsid w:val="0001054C"/>
    <w:rsid w:val="000107D8"/>
    <w:rsid w:val="00010DC0"/>
    <w:rsid w:val="0001198A"/>
    <w:rsid w:val="00011A52"/>
    <w:rsid w:val="00012427"/>
    <w:rsid w:val="00012471"/>
    <w:rsid w:val="00012A0B"/>
    <w:rsid w:val="000130E0"/>
    <w:rsid w:val="00013170"/>
    <w:rsid w:val="00013718"/>
    <w:rsid w:val="0001386E"/>
    <w:rsid w:val="00013909"/>
    <w:rsid w:val="00013CD3"/>
    <w:rsid w:val="00014F39"/>
    <w:rsid w:val="00014FBE"/>
    <w:rsid w:val="00015733"/>
    <w:rsid w:val="0001583F"/>
    <w:rsid w:val="00015843"/>
    <w:rsid w:val="0001635F"/>
    <w:rsid w:val="000165F2"/>
    <w:rsid w:val="00016E4A"/>
    <w:rsid w:val="00017511"/>
    <w:rsid w:val="000177FB"/>
    <w:rsid w:val="00017822"/>
    <w:rsid w:val="00017C7B"/>
    <w:rsid w:val="00021245"/>
    <w:rsid w:val="000222ED"/>
    <w:rsid w:val="00022639"/>
    <w:rsid w:val="000228C1"/>
    <w:rsid w:val="00022B1E"/>
    <w:rsid w:val="00022C25"/>
    <w:rsid w:val="00022CB6"/>
    <w:rsid w:val="00023513"/>
    <w:rsid w:val="00024211"/>
    <w:rsid w:val="0002447B"/>
    <w:rsid w:val="000245BE"/>
    <w:rsid w:val="00024759"/>
    <w:rsid w:val="00024AF5"/>
    <w:rsid w:val="00024BFE"/>
    <w:rsid w:val="00025225"/>
    <w:rsid w:val="0002575D"/>
    <w:rsid w:val="000257D3"/>
    <w:rsid w:val="00025AD8"/>
    <w:rsid w:val="000263AB"/>
    <w:rsid w:val="000266B9"/>
    <w:rsid w:val="000269A5"/>
    <w:rsid w:val="00026F09"/>
    <w:rsid w:val="00027279"/>
    <w:rsid w:val="00027301"/>
    <w:rsid w:val="00027330"/>
    <w:rsid w:val="00027452"/>
    <w:rsid w:val="0002789E"/>
    <w:rsid w:val="00027BF9"/>
    <w:rsid w:val="00027F28"/>
    <w:rsid w:val="000302B5"/>
    <w:rsid w:val="000302E6"/>
    <w:rsid w:val="000304D2"/>
    <w:rsid w:val="0003072C"/>
    <w:rsid w:val="00030777"/>
    <w:rsid w:val="000307B4"/>
    <w:rsid w:val="000309B8"/>
    <w:rsid w:val="00030DB1"/>
    <w:rsid w:val="00030FDB"/>
    <w:rsid w:val="00031094"/>
    <w:rsid w:val="00031592"/>
    <w:rsid w:val="000315D1"/>
    <w:rsid w:val="000316AB"/>
    <w:rsid w:val="00031C40"/>
    <w:rsid w:val="00031E3B"/>
    <w:rsid w:val="00032556"/>
    <w:rsid w:val="00032B21"/>
    <w:rsid w:val="00032B32"/>
    <w:rsid w:val="00032B38"/>
    <w:rsid w:val="000332F2"/>
    <w:rsid w:val="00033441"/>
    <w:rsid w:val="00033630"/>
    <w:rsid w:val="00033C67"/>
    <w:rsid w:val="0003442D"/>
    <w:rsid w:val="00034689"/>
    <w:rsid w:val="0003478B"/>
    <w:rsid w:val="00034D5B"/>
    <w:rsid w:val="000350A1"/>
    <w:rsid w:val="000352D0"/>
    <w:rsid w:val="000352F6"/>
    <w:rsid w:val="0003582C"/>
    <w:rsid w:val="00035C93"/>
    <w:rsid w:val="00035DC3"/>
    <w:rsid w:val="000363B0"/>
    <w:rsid w:val="000371FD"/>
    <w:rsid w:val="0003752F"/>
    <w:rsid w:val="00037A49"/>
    <w:rsid w:val="00037E38"/>
    <w:rsid w:val="000400B7"/>
    <w:rsid w:val="0004060B"/>
    <w:rsid w:val="000406D8"/>
    <w:rsid w:val="00040803"/>
    <w:rsid w:val="00040E18"/>
    <w:rsid w:val="000413EA"/>
    <w:rsid w:val="00041483"/>
    <w:rsid w:val="000419BA"/>
    <w:rsid w:val="00041BA9"/>
    <w:rsid w:val="00041D32"/>
    <w:rsid w:val="00041F09"/>
    <w:rsid w:val="0004232E"/>
    <w:rsid w:val="00042566"/>
    <w:rsid w:val="00042899"/>
    <w:rsid w:val="00042938"/>
    <w:rsid w:val="00043087"/>
    <w:rsid w:val="0004314B"/>
    <w:rsid w:val="000434AF"/>
    <w:rsid w:val="00043506"/>
    <w:rsid w:val="00043561"/>
    <w:rsid w:val="000437E0"/>
    <w:rsid w:val="000437F2"/>
    <w:rsid w:val="00043BAE"/>
    <w:rsid w:val="00043DD4"/>
    <w:rsid w:val="00043F9B"/>
    <w:rsid w:val="00044152"/>
    <w:rsid w:val="00044BD6"/>
    <w:rsid w:val="00045344"/>
    <w:rsid w:val="000462AE"/>
    <w:rsid w:val="000469C4"/>
    <w:rsid w:val="000471B3"/>
    <w:rsid w:val="0004724D"/>
    <w:rsid w:val="0004799F"/>
    <w:rsid w:val="00047A03"/>
    <w:rsid w:val="00047B33"/>
    <w:rsid w:val="00050789"/>
    <w:rsid w:val="00050AD1"/>
    <w:rsid w:val="0005105C"/>
    <w:rsid w:val="000511D8"/>
    <w:rsid w:val="0005157A"/>
    <w:rsid w:val="00051B03"/>
    <w:rsid w:val="00051B85"/>
    <w:rsid w:val="00051BC4"/>
    <w:rsid w:val="000520CB"/>
    <w:rsid w:val="000523CB"/>
    <w:rsid w:val="00052A1D"/>
    <w:rsid w:val="00053A22"/>
    <w:rsid w:val="00053DBE"/>
    <w:rsid w:val="000544AE"/>
    <w:rsid w:val="00054510"/>
    <w:rsid w:val="00054629"/>
    <w:rsid w:val="00054971"/>
    <w:rsid w:val="00054A12"/>
    <w:rsid w:val="00054B69"/>
    <w:rsid w:val="00054BE1"/>
    <w:rsid w:val="0005512B"/>
    <w:rsid w:val="00055F5D"/>
    <w:rsid w:val="00056254"/>
    <w:rsid w:val="00056288"/>
    <w:rsid w:val="00056411"/>
    <w:rsid w:val="00056EAA"/>
    <w:rsid w:val="000572FC"/>
    <w:rsid w:val="00057408"/>
    <w:rsid w:val="00057880"/>
    <w:rsid w:val="000578DB"/>
    <w:rsid w:val="00057C5B"/>
    <w:rsid w:val="00060073"/>
    <w:rsid w:val="000603BF"/>
    <w:rsid w:val="000604A7"/>
    <w:rsid w:val="00060E1C"/>
    <w:rsid w:val="00061007"/>
    <w:rsid w:val="00061030"/>
    <w:rsid w:val="00061589"/>
    <w:rsid w:val="00061847"/>
    <w:rsid w:val="00061864"/>
    <w:rsid w:val="00061B29"/>
    <w:rsid w:val="00061BE8"/>
    <w:rsid w:val="00062107"/>
    <w:rsid w:val="00062423"/>
    <w:rsid w:val="00062495"/>
    <w:rsid w:val="00062674"/>
    <w:rsid w:val="0006310A"/>
    <w:rsid w:val="00063F7A"/>
    <w:rsid w:val="00064A6F"/>
    <w:rsid w:val="00064AA9"/>
    <w:rsid w:val="00064BA1"/>
    <w:rsid w:val="00064E3B"/>
    <w:rsid w:val="000653ED"/>
    <w:rsid w:val="0006554A"/>
    <w:rsid w:val="000665B0"/>
    <w:rsid w:val="00066842"/>
    <w:rsid w:val="00066AA9"/>
    <w:rsid w:val="00066AB3"/>
    <w:rsid w:val="00066D5D"/>
    <w:rsid w:val="00067187"/>
    <w:rsid w:val="000672F8"/>
    <w:rsid w:val="0006731C"/>
    <w:rsid w:val="0007041B"/>
    <w:rsid w:val="000706FE"/>
    <w:rsid w:val="000709EE"/>
    <w:rsid w:val="00070C29"/>
    <w:rsid w:val="000710C5"/>
    <w:rsid w:val="000711FE"/>
    <w:rsid w:val="00071CE8"/>
    <w:rsid w:val="00072765"/>
    <w:rsid w:val="00072EB9"/>
    <w:rsid w:val="000731E5"/>
    <w:rsid w:val="00073236"/>
    <w:rsid w:val="000732ED"/>
    <w:rsid w:val="0007340E"/>
    <w:rsid w:val="0007347A"/>
    <w:rsid w:val="00073664"/>
    <w:rsid w:val="00073BD5"/>
    <w:rsid w:val="00073C51"/>
    <w:rsid w:val="000740B2"/>
    <w:rsid w:val="00074E56"/>
    <w:rsid w:val="000762E7"/>
    <w:rsid w:val="000769A8"/>
    <w:rsid w:val="00076BDF"/>
    <w:rsid w:val="00076DEA"/>
    <w:rsid w:val="000772C4"/>
    <w:rsid w:val="0007742C"/>
    <w:rsid w:val="00077602"/>
    <w:rsid w:val="00077994"/>
    <w:rsid w:val="00077B90"/>
    <w:rsid w:val="00077BCA"/>
    <w:rsid w:val="00077F15"/>
    <w:rsid w:val="0008023C"/>
    <w:rsid w:val="0008078D"/>
    <w:rsid w:val="00080A87"/>
    <w:rsid w:val="00080B68"/>
    <w:rsid w:val="00081B85"/>
    <w:rsid w:val="00081E1F"/>
    <w:rsid w:val="00082233"/>
    <w:rsid w:val="000823AC"/>
    <w:rsid w:val="00082510"/>
    <w:rsid w:val="0008252E"/>
    <w:rsid w:val="00082658"/>
    <w:rsid w:val="00083360"/>
    <w:rsid w:val="000835FA"/>
    <w:rsid w:val="00083C1B"/>
    <w:rsid w:val="0008441A"/>
    <w:rsid w:val="00084588"/>
    <w:rsid w:val="000845CA"/>
    <w:rsid w:val="00084604"/>
    <w:rsid w:val="00084AF6"/>
    <w:rsid w:val="00085275"/>
    <w:rsid w:val="00085388"/>
    <w:rsid w:val="0008571B"/>
    <w:rsid w:val="00085D34"/>
    <w:rsid w:val="00085DDA"/>
    <w:rsid w:val="00086491"/>
    <w:rsid w:val="00086C10"/>
    <w:rsid w:val="00086EB5"/>
    <w:rsid w:val="00087F20"/>
    <w:rsid w:val="00090106"/>
    <w:rsid w:val="000902EF"/>
    <w:rsid w:val="0009048D"/>
    <w:rsid w:val="00090E28"/>
    <w:rsid w:val="0009172A"/>
    <w:rsid w:val="000925DA"/>
    <w:rsid w:val="0009307A"/>
    <w:rsid w:val="0009393C"/>
    <w:rsid w:val="00093CBC"/>
    <w:rsid w:val="00093F7C"/>
    <w:rsid w:val="000948E9"/>
    <w:rsid w:val="000949AF"/>
    <w:rsid w:val="000949D3"/>
    <w:rsid w:val="00094BAE"/>
    <w:rsid w:val="00094D51"/>
    <w:rsid w:val="00094D6B"/>
    <w:rsid w:val="000952CD"/>
    <w:rsid w:val="000953BF"/>
    <w:rsid w:val="00095C8D"/>
    <w:rsid w:val="00096113"/>
    <w:rsid w:val="00096203"/>
    <w:rsid w:val="000965F1"/>
    <w:rsid w:val="00096810"/>
    <w:rsid w:val="00096DD7"/>
    <w:rsid w:val="000974B2"/>
    <w:rsid w:val="00097CFF"/>
    <w:rsid w:val="00097D29"/>
    <w:rsid w:val="000A04E0"/>
    <w:rsid w:val="000A0638"/>
    <w:rsid w:val="000A090E"/>
    <w:rsid w:val="000A097F"/>
    <w:rsid w:val="000A266C"/>
    <w:rsid w:val="000A271E"/>
    <w:rsid w:val="000A387B"/>
    <w:rsid w:val="000A38B1"/>
    <w:rsid w:val="000A3DF1"/>
    <w:rsid w:val="000A3F52"/>
    <w:rsid w:val="000A4616"/>
    <w:rsid w:val="000A4B53"/>
    <w:rsid w:val="000A5379"/>
    <w:rsid w:val="000A544A"/>
    <w:rsid w:val="000A5597"/>
    <w:rsid w:val="000A57E7"/>
    <w:rsid w:val="000A58AF"/>
    <w:rsid w:val="000A5BFA"/>
    <w:rsid w:val="000A5CF9"/>
    <w:rsid w:val="000A5F90"/>
    <w:rsid w:val="000A5FBC"/>
    <w:rsid w:val="000A6055"/>
    <w:rsid w:val="000A6D79"/>
    <w:rsid w:val="000A72E1"/>
    <w:rsid w:val="000A7386"/>
    <w:rsid w:val="000A73B9"/>
    <w:rsid w:val="000A78F2"/>
    <w:rsid w:val="000B00CA"/>
    <w:rsid w:val="000B05E9"/>
    <w:rsid w:val="000B104C"/>
    <w:rsid w:val="000B22E0"/>
    <w:rsid w:val="000B3062"/>
    <w:rsid w:val="000B38DF"/>
    <w:rsid w:val="000B41B7"/>
    <w:rsid w:val="000B5257"/>
    <w:rsid w:val="000B5621"/>
    <w:rsid w:val="000B5955"/>
    <w:rsid w:val="000B5AA1"/>
    <w:rsid w:val="000B60C6"/>
    <w:rsid w:val="000B621B"/>
    <w:rsid w:val="000B76AE"/>
    <w:rsid w:val="000B7716"/>
    <w:rsid w:val="000B789A"/>
    <w:rsid w:val="000B7DE8"/>
    <w:rsid w:val="000C0427"/>
    <w:rsid w:val="000C0B5F"/>
    <w:rsid w:val="000C0D9D"/>
    <w:rsid w:val="000C0F8A"/>
    <w:rsid w:val="000C1273"/>
    <w:rsid w:val="000C13E5"/>
    <w:rsid w:val="000C1D94"/>
    <w:rsid w:val="000C2020"/>
    <w:rsid w:val="000C2B61"/>
    <w:rsid w:val="000C3F9F"/>
    <w:rsid w:val="000C402B"/>
    <w:rsid w:val="000C4207"/>
    <w:rsid w:val="000C4640"/>
    <w:rsid w:val="000C4764"/>
    <w:rsid w:val="000C4983"/>
    <w:rsid w:val="000C4B8D"/>
    <w:rsid w:val="000C4C80"/>
    <w:rsid w:val="000C4FDD"/>
    <w:rsid w:val="000C5231"/>
    <w:rsid w:val="000C554E"/>
    <w:rsid w:val="000C58E5"/>
    <w:rsid w:val="000C5BB2"/>
    <w:rsid w:val="000C5EC3"/>
    <w:rsid w:val="000C66CE"/>
    <w:rsid w:val="000C678A"/>
    <w:rsid w:val="000C67CD"/>
    <w:rsid w:val="000C6D58"/>
    <w:rsid w:val="000C7246"/>
    <w:rsid w:val="000C7801"/>
    <w:rsid w:val="000C7EAD"/>
    <w:rsid w:val="000C7F37"/>
    <w:rsid w:val="000D0273"/>
    <w:rsid w:val="000D0275"/>
    <w:rsid w:val="000D05F8"/>
    <w:rsid w:val="000D0732"/>
    <w:rsid w:val="000D0A1C"/>
    <w:rsid w:val="000D0C1A"/>
    <w:rsid w:val="000D110E"/>
    <w:rsid w:val="000D13D1"/>
    <w:rsid w:val="000D1C66"/>
    <w:rsid w:val="000D1E57"/>
    <w:rsid w:val="000D1FA5"/>
    <w:rsid w:val="000D2078"/>
    <w:rsid w:val="000D25AA"/>
    <w:rsid w:val="000D31A6"/>
    <w:rsid w:val="000D34DA"/>
    <w:rsid w:val="000D3CF5"/>
    <w:rsid w:val="000D42E1"/>
    <w:rsid w:val="000D43EA"/>
    <w:rsid w:val="000D4AEE"/>
    <w:rsid w:val="000D4FEF"/>
    <w:rsid w:val="000D50B6"/>
    <w:rsid w:val="000D52AA"/>
    <w:rsid w:val="000D56A4"/>
    <w:rsid w:val="000D5793"/>
    <w:rsid w:val="000D5CE7"/>
    <w:rsid w:val="000D5F07"/>
    <w:rsid w:val="000D5FEF"/>
    <w:rsid w:val="000D6921"/>
    <w:rsid w:val="000D6A52"/>
    <w:rsid w:val="000D6E71"/>
    <w:rsid w:val="000D736A"/>
    <w:rsid w:val="000D7536"/>
    <w:rsid w:val="000E07BC"/>
    <w:rsid w:val="000E09D3"/>
    <w:rsid w:val="000E15D7"/>
    <w:rsid w:val="000E1AB7"/>
    <w:rsid w:val="000E1AF2"/>
    <w:rsid w:val="000E225C"/>
    <w:rsid w:val="000E28C5"/>
    <w:rsid w:val="000E28E9"/>
    <w:rsid w:val="000E2A53"/>
    <w:rsid w:val="000E2E2A"/>
    <w:rsid w:val="000E3001"/>
    <w:rsid w:val="000E3069"/>
    <w:rsid w:val="000E308D"/>
    <w:rsid w:val="000E316E"/>
    <w:rsid w:val="000E3616"/>
    <w:rsid w:val="000E43C7"/>
    <w:rsid w:val="000E45F6"/>
    <w:rsid w:val="000E475A"/>
    <w:rsid w:val="000E4F15"/>
    <w:rsid w:val="000E5101"/>
    <w:rsid w:val="000E55AD"/>
    <w:rsid w:val="000E5AE7"/>
    <w:rsid w:val="000E5D57"/>
    <w:rsid w:val="000E5EFC"/>
    <w:rsid w:val="000E63D3"/>
    <w:rsid w:val="000E654A"/>
    <w:rsid w:val="000E6F57"/>
    <w:rsid w:val="000E72CF"/>
    <w:rsid w:val="000E755B"/>
    <w:rsid w:val="000E7A70"/>
    <w:rsid w:val="000E7EAE"/>
    <w:rsid w:val="000F12A0"/>
    <w:rsid w:val="000F143F"/>
    <w:rsid w:val="000F15D2"/>
    <w:rsid w:val="000F177A"/>
    <w:rsid w:val="000F258C"/>
    <w:rsid w:val="000F2590"/>
    <w:rsid w:val="000F2700"/>
    <w:rsid w:val="000F27CC"/>
    <w:rsid w:val="000F366D"/>
    <w:rsid w:val="000F38AF"/>
    <w:rsid w:val="000F3AC9"/>
    <w:rsid w:val="000F402E"/>
    <w:rsid w:val="000F404B"/>
    <w:rsid w:val="000F426E"/>
    <w:rsid w:val="000F4978"/>
    <w:rsid w:val="000F4B78"/>
    <w:rsid w:val="000F4DBD"/>
    <w:rsid w:val="000F51EB"/>
    <w:rsid w:val="000F58BE"/>
    <w:rsid w:val="000F62EF"/>
    <w:rsid w:val="000F653A"/>
    <w:rsid w:val="000F69CC"/>
    <w:rsid w:val="000F6C55"/>
    <w:rsid w:val="000F6E0E"/>
    <w:rsid w:val="000F6F7F"/>
    <w:rsid w:val="000F79A3"/>
    <w:rsid w:val="000F7A12"/>
    <w:rsid w:val="000F7BA5"/>
    <w:rsid w:val="000F7CFB"/>
    <w:rsid w:val="00100650"/>
    <w:rsid w:val="00100655"/>
    <w:rsid w:val="0010086D"/>
    <w:rsid w:val="0010096A"/>
    <w:rsid w:val="00100D72"/>
    <w:rsid w:val="00100E6D"/>
    <w:rsid w:val="00101374"/>
    <w:rsid w:val="00101519"/>
    <w:rsid w:val="0010193E"/>
    <w:rsid w:val="00101DEE"/>
    <w:rsid w:val="001021FE"/>
    <w:rsid w:val="0010221C"/>
    <w:rsid w:val="0010251A"/>
    <w:rsid w:val="001028E1"/>
    <w:rsid w:val="00102920"/>
    <w:rsid w:val="001038DD"/>
    <w:rsid w:val="00103E07"/>
    <w:rsid w:val="00103F65"/>
    <w:rsid w:val="0010427A"/>
    <w:rsid w:val="001044C6"/>
    <w:rsid w:val="001048DA"/>
    <w:rsid w:val="00104913"/>
    <w:rsid w:val="0010499F"/>
    <w:rsid w:val="001049EF"/>
    <w:rsid w:val="00104D3B"/>
    <w:rsid w:val="00105234"/>
    <w:rsid w:val="0010528C"/>
    <w:rsid w:val="0010613B"/>
    <w:rsid w:val="00106440"/>
    <w:rsid w:val="00106692"/>
    <w:rsid w:val="0010690D"/>
    <w:rsid w:val="00106C45"/>
    <w:rsid w:val="00106FD8"/>
    <w:rsid w:val="001100FE"/>
    <w:rsid w:val="0011055C"/>
    <w:rsid w:val="001109E4"/>
    <w:rsid w:val="00110F7A"/>
    <w:rsid w:val="001112B2"/>
    <w:rsid w:val="00111BB6"/>
    <w:rsid w:val="0011252C"/>
    <w:rsid w:val="00112BDB"/>
    <w:rsid w:val="00112D5A"/>
    <w:rsid w:val="00112D63"/>
    <w:rsid w:val="00113762"/>
    <w:rsid w:val="00113952"/>
    <w:rsid w:val="00113BE3"/>
    <w:rsid w:val="001144C9"/>
    <w:rsid w:val="00114565"/>
    <w:rsid w:val="0011485F"/>
    <w:rsid w:val="001150E7"/>
    <w:rsid w:val="00115165"/>
    <w:rsid w:val="00115275"/>
    <w:rsid w:val="001152F7"/>
    <w:rsid w:val="00115620"/>
    <w:rsid w:val="00115BB2"/>
    <w:rsid w:val="0011605A"/>
    <w:rsid w:val="00116926"/>
    <w:rsid w:val="00116932"/>
    <w:rsid w:val="00116947"/>
    <w:rsid w:val="00116D07"/>
    <w:rsid w:val="0011741F"/>
    <w:rsid w:val="00117665"/>
    <w:rsid w:val="00117678"/>
    <w:rsid w:val="001203F5"/>
    <w:rsid w:val="00120ADA"/>
    <w:rsid w:val="00120B8A"/>
    <w:rsid w:val="001210F1"/>
    <w:rsid w:val="00121E48"/>
    <w:rsid w:val="00121E68"/>
    <w:rsid w:val="00122093"/>
    <w:rsid w:val="00122172"/>
    <w:rsid w:val="001225A2"/>
    <w:rsid w:val="00123D5A"/>
    <w:rsid w:val="00123EF4"/>
    <w:rsid w:val="00124378"/>
    <w:rsid w:val="001248BC"/>
    <w:rsid w:val="001248F0"/>
    <w:rsid w:val="001249A0"/>
    <w:rsid w:val="001252A4"/>
    <w:rsid w:val="001252BB"/>
    <w:rsid w:val="001253DD"/>
    <w:rsid w:val="001267D2"/>
    <w:rsid w:val="0012685C"/>
    <w:rsid w:val="00126892"/>
    <w:rsid w:val="0012692D"/>
    <w:rsid w:val="001273B5"/>
    <w:rsid w:val="00127652"/>
    <w:rsid w:val="00127E0B"/>
    <w:rsid w:val="00127E28"/>
    <w:rsid w:val="001300E9"/>
    <w:rsid w:val="00130E22"/>
    <w:rsid w:val="0013101D"/>
    <w:rsid w:val="001314B4"/>
    <w:rsid w:val="001316C8"/>
    <w:rsid w:val="0013173C"/>
    <w:rsid w:val="001319E5"/>
    <w:rsid w:val="00132709"/>
    <w:rsid w:val="00133015"/>
    <w:rsid w:val="00133A6F"/>
    <w:rsid w:val="00134695"/>
    <w:rsid w:val="001346CE"/>
    <w:rsid w:val="001347C5"/>
    <w:rsid w:val="00134963"/>
    <w:rsid w:val="00134B31"/>
    <w:rsid w:val="00134CCE"/>
    <w:rsid w:val="00134E40"/>
    <w:rsid w:val="00135379"/>
    <w:rsid w:val="001355CF"/>
    <w:rsid w:val="00136107"/>
    <w:rsid w:val="001361F3"/>
    <w:rsid w:val="00136213"/>
    <w:rsid w:val="001363FD"/>
    <w:rsid w:val="001367EE"/>
    <w:rsid w:val="00136AD4"/>
    <w:rsid w:val="00136C74"/>
    <w:rsid w:val="00136ED2"/>
    <w:rsid w:val="00137125"/>
    <w:rsid w:val="0013726E"/>
    <w:rsid w:val="001375C8"/>
    <w:rsid w:val="00137674"/>
    <w:rsid w:val="00137769"/>
    <w:rsid w:val="00137DF5"/>
    <w:rsid w:val="0014057B"/>
    <w:rsid w:val="00140910"/>
    <w:rsid w:val="00140DC0"/>
    <w:rsid w:val="001410A9"/>
    <w:rsid w:val="0014158D"/>
    <w:rsid w:val="0014160D"/>
    <w:rsid w:val="00142E54"/>
    <w:rsid w:val="0014337E"/>
    <w:rsid w:val="001436B5"/>
    <w:rsid w:val="001441FA"/>
    <w:rsid w:val="00144240"/>
    <w:rsid w:val="001445DB"/>
    <w:rsid w:val="00144684"/>
    <w:rsid w:val="00144FE6"/>
    <w:rsid w:val="001450FA"/>
    <w:rsid w:val="00145137"/>
    <w:rsid w:val="00145919"/>
    <w:rsid w:val="00145C22"/>
    <w:rsid w:val="00146181"/>
    <w:rsid w:val="001461FD"/>
    <w:rsid w:val="00146DC3"/>
    <w:rsid w:val="00146FA3"/>
    <w:rsid w:val="00147124"/>
    <w:rsid w:val="00147960"/>
    <w:rsid w:val="00147C4F"/>
    <w:rsid w:val="00147CE1"/>
    <w:rsid w:val="00147E47"/>
    <w:rsid w:val="001502F5"/>
    <w:rsid w:val="00151270"/>
    <w:rsid w:val="00151404"/>
    <w:rsid w:val="00151572"/>
    <w:rsid w:val="001523DD"/>
    <w:rsid w:val="00152416"/>
    <w:rsid w:val="001525D6"/>
    <w:rsid w:val="0015275E"/>
    <w:rsid w:val="00152C87"/>
    <w:rsid w:val="00152F90"/>
    <w:rsid w:val="0015300A"/>
    <w:rsid w:val="001531DC"/>
    <w:rsid w:val="00153510"/>
    <w:rsid w:val="001536A0"/>
    <w:rsid w:val="00153864"/>
    <w:rsid w:val="00153A1C"/>
    <w:rsid w:val="00153D28"/>
    <w:rsid w:val="00154180"/>
    <w:rsid w:val="00154259"/>
    <w:rsid w:val="0015499D"/>
    <w:rsid w:val="00154A26"/>
    <w:rsid w:val="00154C6A"/>
    <w:rsid w:val="00155123"/>
    <w:rsid w:val="00155585"/>
    <w:rsid w:val="00155825"/>
    <w:rsid w:val="00155DF2"/>
    <w:rsid w:val="001571D8"/>
    <w:rsid w:val="001574E1"/>
    <w:rsid w:val="00160975"/>
    <w:rsid w:val="00160C81"/>
    <w:rsid w:val="00160CAE"/>
    <w:rsid w:val="00160D2E"/>
    <w:rsid w:val="00160EB7"/>
    <w:rsid w:val="00160F41"/>
    <w:rsid w:val="00161B50"/>
    <w:rsid w:val="00161EA0"/>
    <w:rsid w:val="001621FC"/>
    <w:rsid w:val="00162C77"/>
    <w:rsid w:val="001636AA"/>
    <w:rsid w:val="001637C5"/>
    <w:rsid w:val="00164318"/>
    <w:rsid w:val="001645C1"/>
    <w:rsid w:val="00164B62"/>
    <w:rsid w:val="00165251"/>
    <w:rsid w:val="0016532F"/>
    <w:rsid w:val="00165BF8"/>
    <w:rsid w:val="001662E2"/>
    <w:rsid w:val="00166455"/>
    <w:rsid w:val="001667F8"/>
    <w:rsid w:val="001667FC"/>
    <w:rsid w:val="0016756C"/>
    <w:rsid w:val="001679BB"/>
    <w:rsid w:val="00167CC7"/>
    <w:rsid w:val="00167DF2"/>
    <w:rsid w:val="00167F36"/>
    <w:rsid w:val="00170044"/>
    <w:rsid w:val="00170493"/>
    <w:rsid w:val="00170993"/>
    <w:rsid w:val="00170BAB"/>
    <w:rsid w:val="00170DBA"/>
    <w:rsid w:val="00170F70"/>
    <w:rsid w:val="001717AC"/>
    <w:rsid w:val="00171EBA"/>
    <w:rsid w:val="0017226E"/>
    <w:rsid w:val="00172301"/>
    <w:rsid w:val="0017286F"/>
    <w:rsid w:val="001728D0"/>
    <w:rsid w:val="0017298F"/>
    <w:rsid w:val="001730A9"/>
    <w:rsid w:val="0017331C"/>
    <w:rsid w:val="00173A4A"/>
    <w:rsid w:val="00173E2A"/>
    <w:rsid w:val="00173EDC"/>
    <w:rsid w:val="001742EC"/>
    <w:rsid w:val="001748E8"/>
    <w:rsid w:val="00174FC1"/>
    <w:rsid w:val="0017506B"/>
    <w:rsid w:val="001751E4"/>
    <w:rsid w:val="0017520A"/>
    <w:rsid w:val="001752FA"/>
    <w:rsid w:val="001762B2"/>
    <w:rsid w:val="001764D1"/>
    <w:rsid w:val="001764D3"/>
    <w:rsid w:val="001765C7"/>
    <w:rsid w:val="001768B2"/>
    <w:rsid w:val="00176B4F"/>
    <w:rsid w:val="00176C24"/>
    <w:rsid w:val="00177403"/>
    <w:rsid w:val="0017767C"/>
    <w:rsid w:val="00177BC0"/>
    <w:rsid w:val="00177BF1"/>
    <w:rsid w:val="00180616"/>
    <w:rsid w:val="00180A0B"/>
    <w:rsid w:val="00180B42"/>
    <w:rsid w:val="00180BD5"/>
    <w:rsid w:val="00180C76"/>
    <w:rsid w:val="00181370"/>
    <w:rsid w:val="0018190B"/>
    <w:rsid w:val="00181928"/>
    <w:rsid w:val="00181A59"/>
    <w:rsid w:val="00181D2C"/>
    <w:rsid w:val="0018207F"/>
    <w:rsid w:val="001820E8"/>
    <w:rsid w:val="001825B6"/>
    <w:rsid w:val="0018285D"/>
    <w:rsid w:val="00182ACB"/>
    <w:rsid w:val="001831FA"/>
    <w:rsid w:val="001832F0"/>
    <w:rsid w:val="00183E0C"/>
    <w:rsid w:val="00184046"/>
    <w:rsid w:val="00184067"/>
    <w:rsid w:val="0018416D"/>
    <w:rsid w:val="001846DB"/>
    <w:rsid w:val="00184919"/>
    <w:rsid w:val="001849E4"/>
    <w:rsid w:val="00184A00"/>
    <w:rsid w:val="00184F76"/>
    <w:rsid w:val="00185988"/>
    <w:rsid w:val="0018631A"/>
    <w:rsid w:val="001866A1"/>
    <w:rsid w:val="001869D2"/>
    <w:rsid w:val="00186A33"/>
    <w:rsid w:val="00186B78"/>
    <w:rsid w:val="00186D24"/>
    <w:rsid w:val="00187117"/>
    <w:rsid w:val="00187E66"/>
    <w:rsid w:val="00187FC9"/>
    <w:rsid w:val="00190010"/>
    <w:rsid w:val="00190076"/>
    <w:rsid w:val="0019103E"/>
    <w:rsid w:val="001917C3"/>
    <w:rsid w:val="001919D6"/>
    <w:rsid w:val="00191A06"/>
    <w:rsid w:val="00191A92"/>
    <w:rsid w:val="0019266D"/>
    <w:rsid w:val="001929C7"/>
    <w:rsid w:val="00192ABE"/>
    <w:rsid w:val="0019338A"/>
    <w:rsid w:val="001934B5"/>
    <w:rsid w:val="001939C4"/>
    <w:rsid w:val="00193A8F"/>
    <w:rsid w:val="001941C1"/>
    <w:rsid w:val="0019427B"/>
    <w:rsid w:val="0019452F"/>
    <w:rsid w:val="001945D8"/>
    <w:rsid w:val="001945E3"/>
    <w:rsid w:val="00194CBD"/>
    <w:rsid w:val="001952D3"/>
    <w:rsid w:val="00195691"/>
    <w:rsid w:val="001956CA"/>
    <w:rsid w:val="00195D27"/>
    <w:rsid w:val="00195DEE"/>
    <w:rsid w:val="001964F7"/>
    <w:rsid w:val="001968C3"/>
    <w:rsid w:val="00196BC6"/>
    <w:rsid w:val="00196C8A"/>
    <w:rsid w:val="0019704B"/>
    <w:rsid w:val="00197A87"/>
    <w:rsid w:val="001A03DA"/>
    <w:rsid w:val="001A0777"/>
    <w:rsid w:val="001A0A1C"/>
    <w:rsid w:val="001A0F38"/>
    <w:rsid w:val="001A120B"/>
    <w:rsid w:val="001A19E7"/>
    <w:rsid w:val="001A1E1B"/>
    <w:rsid w:val="001A2BFC"/>
    <w:rsid w:val="001A35F3"/>
    <w:rsid w:val="001A41B4"/>
    <w:rsid w:val="001A4592"/>
    <w:rsid w:val="001A4DE7"/>
    <w:rsid w:val="001A5164"/>
    <w:rsid w:val="001A522A"/>
    <w:rsid w:val="001A5B72"/>
    <w:rsid w:val="001A6004"/>
    <w:rsid w:val="001A6744"/>
    <w:rsid w:val="001A709B"/>
    <w:rsid w:val="001A7114"/>
    <w:rsid w:val="001A727F"/>
    <w:rsid w:val="001A7F28"/>
    <w:rsid w:val="001B031C"/>
    <w:rsid w:val="001B0961"/>
    <w:rsid w:val="001B0ADA"/>
    <w:rsid w:val="001B0B76"/>
    <w:rsid w:val="001B0F05"/>
    <w:rsid w:val="001B1046"/>
    <w:rsid w:val="001B190A"/>
    <w:rsid w:val="001B1957"/>
    <w:rsid w:val="001B1A3C"/>
    <w:rsid w:val="001B1A87"/>
    <w:rsid w:val="001B1AD9"/>
    <w:rsid w:val="001B1D20"/>
    <w:rsid w:val="001B1D32"/>
    <w:rsid w:val="001B2111"/>
    <w:rsid w:val="001B25A1"/>
    <w:rsid w:val="001B3B6A"/>
    <w:rsid w:val="001B3BE8"/>
    <w:rsid w:val="001B3EF6"/>
    <w:rsid w:val="001B48DB"/>
    <w:rsid w:val="001B4901"/>
    <w:rsid w:val="001B4AEC"/>
    <w:rsid w:val="001B4D85"/>
    <w:rsid w:val="001B4EAE"/>
    <w:rsid w:val="001B5D96"/>
    <w:rsid w:val="001B60B0"/>
    <w:rsid w:val="001B6191"/>
    <w:rsid w:val="001B6374"/>
    <w:rsid w:val="001B6497"/>
    <w:rsid w:val="001B68B0"/>
    <w:rsid w:val="001B6943"/>
    <w:rsid w:val="001B6BFA"/>
    <w:rsid w:val="001B6E03"/>
    <w:rsid w:val="001B7140"/>
    <w:rsid w:val="001B7FE6"/>
    <w:rsid w:val="001C00BA"/>
    <w:rsid w:val="001C1176"/>
    <w:rsid w:val="001C184C"/>
    <w:rsid w:val="001C19E0"/>
    <w:rsid w:val="001C2393"/>
    <w:rsid w:val="001C27B2"/>
    <w:rsid w:val="001C3A06"/>
    <w:rsid w:val="001C40EA"/>
    <w:rsid w:val="001C4320"/>
    <w:rsid w:val="001C4343"/>
    <w:rsid w:val="001C45EE"/>
    <w:rsid w:val="001C4B13"/>
    <w:rsid w:val="001C4E35"/>
    <w:rsid w:val="001C4E92"/>
    <w:rsid w:val="001C50B1"/>
    <w:rsid w:val="001C51BB"/>
    <w:rsid w:val="001C5487"/>
    <w:rsid w:val="001C58D7"/>
    <w:rsid w:val="001C6105"/>
    <w:rsid w:val="001C62C2"/>
    <w:rsid w:val="001C6A95"/>
    <w:rsid w:val="001C6BC0"/>
    <w:rsid w:val="001C6C1A"/>
    <w:rsid w:val="001C6E76"/>
    <w:rsid w:val="001C7113"/>
    <w:rsid w:val="001C75BE"/>
    <w:rsid w:val="001C7AB0"/>
    <w:rsid w:val="001C7E10"/>
    <w:rsid w:val="001D01A3"/>
    <w:rsid w:val="001D0623"/>
    <w:rsid w:val="001D089C"/>
    <w:rsid w:val="001D1158"/>
    <w:rsid w:val="001D11E6"/>
    <w:rsid w:val="001D13B3"/>
    <w:rsid w:val="001D15AE"/>
    <w:rsid w:val="001D1CC7"/>
    <w:rsid w:val="001D200A"/>
    <w:rsid w:val="001D28A7"/>
    <w:rsid w:val="001D2B49"/>
    <w:rsid w:val="001D3079"/>
    <w:rsid w:val="001D3D02"/>
    <w:rsid w:val="001D3D54"/>
    <w:rsid w:val="001D3DEF"/>
    <w:rsid w:val="001D400C"/>
    <w:rsid w:val="001D441A"/>
    <w:rsid w:val="001D4889"/>
    <w:rsid w:val="001D4EB8"/>
    <w:rsid w:val="001D513C"/>
    <w:rsid w:val="001D5625"/>
    <w:rsid w:val="001D5656"/>
    <w:rsid w:val="001D5B87"/>
    <w:rsid w:val="001D6035"/>
    <w:rsid w:val="001D67AD"/>
    <w:rsid w:val="001D779F"/>
    <w:rsid w:val="001D7B30"/>
    <w:rsid w:val="001D7C6E"/>
    <w:rsid w:val="001D7C90"/>
    <w:rsid w:val="001E049E"/>
    <w:rsid w:val="001E0808"/>
    <w:rsid w:val="001E0885"/>
    <w:rsid w:val="001E0A07"/>
    <w:rsid w:val="001E0D53"/>
    <w:rsid w:val="001E1B6F"/>
    <w:rsid w:val="001E2792"/>
    <w:rsid w:val="001E28D0"/>
    <w:rsid w:val="001E2BE9"/>
    <w:rsid w:val="001E30C2"/>
    <w:rsid w:val="001E3398"/>
    <w:rsid w:val="001E3501"/>
    <w:rsid w:val="001E37BC"/>
    <w:rsid w:val="001E3DD8"/>
    <w:rsid w:val="001E40B6"/>
    <w:rsid w:val="001E44C7"/>
    <w:rsid w:val="001E46AD"/>
    <w:rsid w:val="001E4998"/>
    <w:rsid w:val="001E49EF"/>
    <w:rsid w:val="001E4C6E"/>
    <w:rsid w:val="001E5313"/>
    <w:rsid w:val="001E53A6"/>
    <w:rsid w:val="001E5525"/>
    <w:rsid w:val="001E56E2"/>
    <w:rsid w:val="001E5708"/>
    <w:rsid w:val="001E578C"/>
    <w:rsid w:val="001E6105"/>
    <w:rsid w:val="001E63C0"/>
    <w:rsid w:val="001E6413"/>
    <w:rsid w:val="001E660E"/>
    <w:rsid w:val="001E678D"/>
    <w:rsid w:val="001E6BC3"/>
    <w:rsid w:val="001E6BE2"/>
    <w:rsid w:val="001E6DED"/>
    <w:rsid w:val="001E76F7"/>
    <w:rsid w:val="001E7752"/>
    <w:rsid w:val="001E7AD0"/>
    <w:rsid w:val="001E7F2C"/>
    <w:rsid w:val="001F0100"/>
    <w:rsid w:val="001F025A"/>
    <w:rsid w:val="001F02ED"/>
    <w:rsid w:val="001F0573"/>
    <w:rsid w:val="001F09D9"/>
    <w:rsid w:val="001F0F57"/>
    <w:rsid w:val="001F1733"/>
    <w:rsid w:val="001F1820"/>
    <w:rsid w:val="001F1C95"/>
    <w:rsid w:val="001F1CDB"/>
    <w:rsid w:val="001F1E73"/>
    <w:rsid w:val="001F24D7"/>
    <w:rsid w:val="001F266A"/>
    <w:rsid w:val="001F3751"/>
    <w:rsid w:val="001F3EEC"/>
    <w:rsid w:val="001F3FBA"/>
    <w:rsid w:val="001F4430"/>
    <w:rsid w:val="001F449F"/>
    <w:rsid w:val="001F4506"/>
    <w:rsid w:val="001F4738"/>
    <w:rsid w:val="001F4819"/>
    <w:rsid w:val="001F49DA"/>
    <w:rsid w:val="001F4CF6"/>
    <w:rsid w:val="001F50C7"/>
    <w:rsid w:val="001F5481"/>
    <w:rsid w:val="001F5AE0"/>
    <w:rsid w:val="001F5B00"/>
    <w:rsid w:val="001F5C19"/>
    <w:rsid w:val="001F6068"/>
    <w:rsid w:val="001F60F3"/>
    <w:rsid w:val="001F630E"/>
    <w:rsid w:val="001F6A3D"/>
    <w:rsid w:val="001F6BF5"/>
    <w:rsid w:val="001F72DD"/>
    <w:rsid w:val="001F745C"/>
    <w:rsid w:val="001F75A4"/>
    <w:rsid w:val="001F7FC7"/>
    <w:rsid w:val="0020021A"/>
    <w:rsid w:val="002008DF"/>
    <w:rsid w:val="0020094A"/>
    <w:rsid w:val="00200F6C"/>
    <w:rsid w:val="00201044"/>
    <w:rsid w:val="002010CD"/>
    <w:rsid w:val="00201589"/>
    <w:rsid w:val="002015C7"/>
    <w:rsid w:val="00201857"/>
    <w:rsid w:val="00201B39"/>
    <w:rsid w:val="00201CBC"/>
    <w:rsid w:val="002026F3"/>
    <w:rsid w:val="00202721"/>
    <w:rsid w:val="00202BF6"/>
    <w:rsid w:val="00203093"/>
    <w:rsid w:val="00203425"/>
    <w:rsid w:val="002038AD"/>
    <w:rsid w:val="002040B1"/>
    <w:rsid w:val="002041C8"/>
    <w:rsid w:val="002044CE"/>
    <w:rsid w:val="002044DC"/>
    <w:rsid w:val="0020524E"/>
    <w:rsid w:val="0020533D"/>
    <w:rsid w:val="00205609"/>
    <w:rsid w:val="00205892"/>
    <w:rsid w:val="00205B8F"/>
    <w:rsid w:val="00206840"/>
    <w:rsid w:val="002069FB"/>
    <w:rsid w:val="00206D2B"/>
    <w:rsid w:val="002070B9"/>
    <w:rsid w:val="0020723F"/>
    <w:rsid w:val="00207789"/>
    <w:rsid w:val="00207AA4"/>
    <w:rsid w:val="00207E05"/>
    <w:rsid w:val="00207E94"/>
    <w:rsid w:val="002101EE"/>
    <w:rsid w:val="0021076E"/>
    <w:rsid w:val="002107EB"/>
    <w:rsid w:val="002113B4"/>
    <w:rsid w:val="0021157B"/>
    <w:rsid w:val="002118EC"/>
    <w:rsid w:val="00211A87"/>
    <w:rsid w:val="00211C19"/>
    <w:rsid w:val="00211D37"/>
    <w:rsid w:val="00211F53"/>
    <w:rsid w:val="00211FC6"/>
    <w:rsid w:val="00212B25"/>
    <w:rsid w:val="00212D1F"/>
    <w:rsid w:val="00212DCE"/>
    <w:rsid w:val="00212E86"/>
    <w:rsid w:val="00213345"/>
    <w:rsid w:val="002133D6"/>
    <w:rsid w:val="00213788"/>
    <w:rsid w:val="00213932"/>
    <w:rsid w:val="00213C8F"/>
    <w:rsid w:val="002146A9"/>
    <w:rsid w:val="00214AD3"/>
    <w:rsid w:val="00215601"/>
    <w:rsid w:val="00215B08"/>
    <w:rsid w:val="002161FF"/>
    <w:rsid w:val="00216584"/>
    <w:rsid w:val="00217D8E"/>
    <w:rsid w:val="00217EAA"/>
    <w:rsid w:val="00220082"/>
    <w:rsid w:val="00220767"/>
    <w:rsid w:val="0022088C"/>
    <w:rsid w:val="00220D26"/>
    <w:rsid w:val="00220EBB"/>
    <w:rsid w:val="00220EC1"/>
    <w:rsid w:val="0022119D"/>
    <w:rsid w:val="002217F3"/>
    <w:rsid w:val="00221840"/>
    <w:rsid w:val="002221FE"/>
    <w:rsid w:val="0022239C"/>
    <w:rsid w:val="00222471"/>
    <w:rsid w:val="0022272E"/>
    <w:rsid w:val="002227E5"/>
    <w:rsid w:val="00222A37"/>
    <w:rsid w:val="00222D94"/>
    <w:rsid w:val="00222FA6"/>
    <w:rsid w:val="00223503"/>
    <w:rsid w:val="0022373E"/>
    <w:rsid w:val="00223A10"/>
    <w:rsid w:val="00223BF3"/>
    <w:rsid w:val="00224B48"/>
    <w:rsid w:val="00224D19"/>
    <w:rsid w:val="0022500E"/>
    <w:rsid w:val="0022504F"/>
    <w:rsid w:val="002252E6"/>
    <w:rsid w:val="00225814"/>
    <w:rsid w:val="00226175"/>
    <w:rsid w:val="00226BB2"/>
    <w:rsid w:val="0022719D"/>
    <w:rsid w:val="00227717"/>
    <w:rsid w:val="002301AD"/>
    <w:rsid w:val="00230270"/>
    <w:rsid w:val="002305D4"/>
    <w:rsid w:val="00230B6F"/>
    <w:rsid w:val="00231BFB"/>
    <w:rsid w:val="00231E12"/>
    <w:rsid w:val="00232178"/>
    <w:rsid w:val="002327C0"/>
    <w:rsid w:val="00232F33"/>
    <w:rsid w:val="00233133"/>
    <w:rsid w:val="00233505"/>
    <w:rsid w:val="002337DE"/>
    <w:rsid w:val="002338A2"/>
    <w:rsid w:val="00233969"/>
    <w:rsid w:val="00233AAE"/>
    <w:rsid w:val="00233BFB"/>
    <w:rsid w:val="00233EE8"/>
    <w:rsid w:val="00234353"/>
    <w:rsid w:val="00234697"/>
    <w:rsid w:val="00234A03"/>
    <w:rsid w:val="00235D05"/>
    <w:rsid w:val="00235FC8"/>
    <w:rsid w:val="00235FFD"/>
    <w:rsid w:val="002362F5"/>
    <w:rsid w:val="00236454"/>
    <w:rsid w:val="00236497"/>
    <w:rsid w:val="00236CC8"/>
    <w:rsid w:val="002374E1"/>
    <w:rsid w:val="002374F0"/>
    <w:rsid w:val="00237C70"/>
    <w:rsid w:val="00237DFD"/>
    <w:rsid w:val="00240127"/>
    <w:rsid w:val="002401A2"/>
    <w:rsid w:val="0024030C"/>
    <w:rsid w:val="002404B6"/>
    <w:rsid w:val="00240726"/>
    <w:rsid w:val="0024102D"/>
    <w:rsid w:val="002413AF"/>
    <w:rsid w:val="002415C1"/>
    <w:rsid w:val="00241667"/>
    <w:rsid w:val="002418DF"/>
    <w:rsid w:val="002418EB"/>
    <w:rsid w:val="002423E5"/>
    <w:rsid w:val="00242B75"/>
    <w:rsid w:val="002434CC"/>
    <w:rsid w:val="00243586"/>
    <w:rsid w:val="00243896"/>
    <w:rsid w:val="00243C39"/>
    <w:rsid w:val="0024427F"/>
    <w:rsid w:val="00244620"/>
    <w:rsid w:val="00244959"/>
    <w:rsid w:val="00245741"/>
    <w:rsid w:val="00245931"/>
    <w:rsid w:val="002460AC"/>
    <w:rsid w:val="002464F0"/>
    <w:rsid w:val="0024656E"/>
    <w:rsid w:val="0024692C"/>
    <w:rsid w:val="002469B5"/>
    <w:rsid w:val="00246B9C"/>
    <w:rsid w:val="00246C5F"/>
    <w:rsid w:val="00246FFF"/>
    <w:rsid w:val="0024717B"/>
    <w:rsid w:val="0024774D"/>
    <w:rsid w:val="0024780C"/>
    <w:rsid w:val="00247856"/>
    <w:rsid w:val="00247EF5"/>
    <w:rsid w:val="0025001C"/>
    <w:rsid w:val="002502A2"/>
    <w:rsid w:val="0025037F"/>
    <w:rsid w:val="002511FF"/>
    <w:rsid w:val="00251BC1"/>
    <w:rsid w:val="00251FA6"/>
    <w:rsid w:val="002521AC"/>
    <w:rsid w:val="002525B3"/>
    <w:rsid w:val="0025261C"/>
    <w:rsid w:val="00253205"/>
    <w:rsid w:val="00253869"/>
    <w:rsid w:val="0025457D"/>
    <w:rsid w:val="0025483E"/>
    <w:rsid w:val="00254D39"/>
    <w:rsid w:val="00255231"/>
    <w:rsid w:val="002554AF"/>
    <w:rsid w:val="002567CE"/>
    <w:rsid w:val="00256B9C"/>
    <w:rsid w:val="002571A4"/>
    <w:rsid w:val="002573AF"/>
    <w:rsid w:val="00260BAC"/>
    <w:rsid w:val="00260DC2"/>
    <w:rsid w:val="00261019"/>
    <w:rsid w:val="00261387"/>
    <w:rsid w:val="0026190F"/>
    <w:rsid w:val="00262107"/>
    <w:rsid w:val="00262148"/>
    <w:rsid w:val="00262A53"/>
    <w:rsid w:val="00262B81"/>
    <w:rsid w:val="00262EEA"/>
    <w:rsid w:val="00263E64"/>
    <w:rsid w:val="00264461"/>
    <w:rsid w:val="00265290"/>
    <w:rsid w:val="002656AD"/>
    <w:rsid w:val="00265B21"/>
    <w:rsid w:val="00265DC6"/>
    <w:rsid w:val="002668C1"/>
    <w:rsid w:val="00266C4A"/>
    <w:rsid w:val="00266ED6"/>
    <w:rsid w:val="00266FED"/>
    <w:rsid w:val="00267004"/>
    <w:rsid w:val="002670D8"/>
    <w:rsid w:val="002671BE"/>
    <w:rsid w:val="00267387"/>
    <w:rsid w:val="002678E0"/>
    <w:rsid w:val="00267ABB"/>
    <w:rsid w:val="00267E82"/>
    <w:rsid w:val="00267FBE"/>
    <w:rsid w:val="002701A9"/>
    <w:rsid w:val="00270BC2"/>
    <w:rsid w:val="002719BA"/>
    <w:rsid w:val="002719DA"/>
    <w:rsid w:val="00271D47"/>
    <w:rsid w:val="00271E74"/>
    <w:rsid w:val="00272D32"/>
    <w:rsid w:val="002730BD"/>
    <w:rsid w:val="00273724"/>
    <w:rsid w:val="002737F5"/>
    <w:rsid w:val="00273A8A"/>
    <w:rsid w:val="00273AF4"/>
    <w:rsid w:val="00273C0E"/>
    <w:rsid w:val="0027469E"/>
    <w:rsid w:val="00274E0C"/>
    <w:rsid w:val="00274FCE"/>
    <w:rsid w:val="00274FFD"/>
    <w:rsid w:val="00275130"/>
    <w:rsid w:val="00275575"/>
    <w:rsid w:val="00275718"/>
    <w:rsid w:val="00275AC8"/>
    <w:rsid w:val="00275BB9"/>
    <w:rsid w:val="00275EB9"/>
    <w:rsid w:val="00275F2A"/>
    <w:rsid w:val="00276267"/>
    <w:rsid w:val="00276701"/>
    <w:rsid w:val="0027698E"/>
    <w:rsid w:val="002769F5"/>
    <w:rsid w:val="00276E71"/>
    <w:rsid w:val="00277134"/>
    <w:rsid w:val="00277271"/>
    <w:rsid w:val="0027748E"/>
    <w:rsid w:val="00277512"/>
    <w:rsid w:val="002779E6"/>
    <w:rsid w:val="00277C1C"/>
    <w:rsid w:val="002802CD"/>
    <w:rsid w:val="0028072F"/>
    <w:rsid w:val="00281021"/>
    <w:rsid w:val="0028124D"/>
    <w:rsid w:val="002818AA"/>
    <w:rsid w:val="00281A29"/>
    <w:rsid w:val="00282178"/>
    <w:rsid w:val="00282303"/>
    <w:rsid w:val="00282517"/>
    <w:rsid w:val="002828EA"/>
    <w:rsid w:val="00282DF5"/>
    <w:rsid w:val="0028309A"/>
    <w:rsid w:val="00283D08"/>
    <w:rsid w:val="00283D34"/>
    <w:rsid w:val="00284215"/>
    <w:rsid w:val="002846EA"/>
    <w:rsid w:val="00284B1E"/>
    <w:rsid w:val="00284D66"/>
    <w:rsid w:val="00284E4C"/>
    <w:rsid w:val="00284EE1"/>
    <w:rsid w:val="00284FC4"/>
    <w:rsid w:val="00285024"/>
    <w:rsid w:val="00285C7C"/>
    <w:rsid w:val="00285E1E"/>
    <w:rsid w:val="00285E46"/>
    <w:rsid w:val="00286166"/>
    <w:rsid w:val="00286954"/>
    <w:rsid w:val="00286970"/>
    <w:rsid w:val="00286ABB"/>
    <w:rsid w:val="00286BD4"/>
    <w:rsid w:val="00286FC3"/>
    <w:rsid w:val="00287410"/>
    <w:rsid w:val="0028782D"/>
    <w:rsid w:val="0028791E"/>
    <w:rsid w:val="00287B87"/>
    <w:rsid w:val="00287BC1"/>
    <w:rsid w:val="00287DF4"/>
    <w:rsid w:val="002902C6"/>
    <w:rsid w:val="00290726"/>
    <w:rsid w:val="0029108D"/>
    <w:rsid w:val="0029125B"/>
    <w:rsid w:val="00291331"/>
    <w:rsid w:val="00291589"/>
    <w:rsid w:val="0029225F"/>
    <w:rsid w:val="002922FC"/>
    <w:rsid w:val="002927D6"/>
    <w:rsid w:val="002928B0"/>
    <w:rsid w:val="002930E5"/>
    <w:rsid w:val="0029355C"/>
    <w:rsid w:val="00293797"/>
    <w:rsid w:val="0029387C"/>
    <w:rsid w:val="00293C23"/>
    <w:rsid w:val="00293FC1"/>
    <w:rsid w:val="00295703"/>
    <w:rsid w:val="00295B6E"/>
    <w:rsid w:val="00295C2C"/>
    <w:rsid w:val="00295ED1"/>
    <w:rsid w:val="00296161"/>
    <w:rsid w:val="00296615"/>
    <w:rsid w:val="002973DE"/>
    <w:rsid w:val="002978D6"/>
    <w:rsid w:val="00297AAD"/>
    <w:rsid w:val="00297ABF"/>
    <w:rsid w:val="00297AC3"/>
    <w:rsid w:val="00297E20"/>
    <w:rsid w:val="00297ED2"/>
    <w:rsid w:val="002A0616"/>
    <w:rsid w:val="002A095D"/>
    <w:rsid w:val="002A0F7E"/>
    <w:rsid w:val="002A1924"/>
    <w:rsid w:val="002A1D57"/>
    <w:rsid w:val="002A1D68"/>
    <w:rsid w:val="002A1FF9"/>
    <w:rsid w:val="002A2391"/>
    <w:rsid w:val="002A2521"/>
    <w:rsid w:val="002A3460"/>
    <w:rsid w:val="002A389B"/>
    <w:rsid w:val="002A39E2"/>
    <w:rsid w:val="002A3F2A"/>
    <w:rsid w:val="002A4374"/>
    <w:rsid w:val="002A46CF"/>
    <w:rsid w:val="002A48E5"/>
    <w:rsid w:val="002A49D8"/>
    <w:rsid w:val="002A4F45"/>
    <w:rsid w:val="002A51A9"/>
    <w:rsid w:val="002A5365"/>
    <w:rsid w:val="002A5419"/>
    <w:rsid w:val="002A5656"/>
    <w:rsid w:val="002A5693"/>
    <w:rsid w:val="002A5A67"/>
    <w:rsid w:val="002A5DE0"/>
    <w:rsid w:val="002A5FAA"/>
    <w:rsid w:val="002A68E6"/>
    <w:rsid w:val="002A723E"/>
    <w:rsid w:val="002A7543"/>
    <w:rsid w:val="002B05DC"/>
    <w:rsid w:val="002B0B86"/>
    <w:rsid w:val="002B1C0C"/>
    <w:rsid w:val="002B1C5A"/>
    <w:rsid w:val="002B29E1"/>
    <w:rsid w:val="002B2A4D"/>
    <w:rsid w:val="002B2D4A"/>
    <w:rsid w:val="002B3420"/>
    <w:rsid w:val="002B35A4"/>
    <w:rsid w:val="002B3950"/>
    <w:rsid w:val="002B3C5A"/>
    <w:rsid w:val="002B3D0A"/>
    <w:rsid w:val="002B3EC8"/>
    <w:rsid w:val="002B4378"/>
    <w:rsid w:val="002B43FB"/>
    <w:rsid w:val="002B4F2B"/>
    <w:rsid w:val="002B4F62"/>
    <w:rsid w:val="002B4FA4"/>
    <w:rsid w:val="002B55C8"/>
    <w:rsid w:val="002B56E1"/>
    <w:rsid w:val="002B574E"/>
    <w:rsid w:val="002B5928"/>
    <w:rsid w:val="002B5961"/>
    <w:rsid w:val="002B59AD"/>
    <w:rsid w:val="002B5FAE"/>
    <w:rsid w:val="002B6494"/>
    <w:rsid w:val="002B6523"/>
    <w:rsid w:val="002B65EC"/>
    <w:rsid w:val="002B69D6"/>
    <w:rsid w:val="002B6BA9"/>
    <w:rsid w:val="002B6C11"/>
    <w:rsid w:val="002B6E00"/>
    <w:rsid w:val="002B7295"/>
    <w:rsid w:val="002B7397"/>
    <w:rsid w:val="002B75D5"/>
    <w:rsid w:val="002C01D6"/>
    <w:rsid w:val="002C05F3"/>
    <w:rsid w:val="002C0F0A"/>
    <w:rsid w:val="002C0FA8"/>
    <w:rsid w:val="002C1250"/>
    <w:rsid w:val="002C12B3"/>
    <w:rsid w:val="002C138C"/>
    <w:rsid w:val="002C15FC"/>
    <w:rsid w:val="002C18AE"/>
    <w:rsid w:val="002C2323"/>
    <w:rsid w:val="002C27B6"/>
    <w:rsid w:val="002C2D54"/>
    <w:rsid w:val="002C3055"/>
    <w:rsid w:val="002C31C6"/>
    <w:rsid w:val="002C3207"/>
    <w:rsid w:val="002C39D0"/>
    <w:rsid w:val="002C3B84"/>
    <w:rsid w:val="002C3FC7"/>
    <w:rsid w:val="002C4089"/>
    <w:rsid w:val="002C4290"/>
    <w:rsid w:val="002C4491"/>
    <w:rsid w:val="002C4AAA"/>
    <w:rsid w:val="002C5206"/>
    <w:rsid w:val="002C5422"/>
    <w:rsid w:val="002C579D"/>
    <w:rsid w:val="002C58CE"/>
    <w:rsid w:val="002C58DD"/>
    <w:rsid w:val="002C5FBB"/>
    <w:rsid w:val="002C6858"/>
    <w:rsid w:val="002C68FA"/>
    <w:rsid w:val="002C692B"/>
    <w:rsid w:val="002C6977"/>
    <w:rsid w:val="002C6BF6"/>
    <w:rsid w:val="002C75DC"/>
    <w:rsid w:val="002C75FD"/>
    <w:rsid w:val="002C7F33"/>
    <w:rsid w:val="002D0BC8"/>
    <w:rsid w:val="002D0CE4"/>
    <w:rsid w:val="002D124B"/>
    <w:rsid w:val="002D127C"/>
    <w:rsid w:val="002D149E"/>
    <w:rsid w:val="002D17CA"/>
    <w:rsid w:val="002D1AFF"/>
    <w:rsid w:val="002D217A"/>
    <w:rsid w:val="002D2AF1"/>
    <w:rsid w:val="002D2E5E"/>
    <w:rsid w:val="002D33A1"/>
    <w:rsid w:val="002D34DE"/>
    <w:rsid w:val="002D34E6"/>
    <w:rsid w:val="002D3857"/>
    <w:rsid w:val="002D4715"/>
    <w:rsid w:val="002D4A95"/>
    <w:rsid w:val="002D5AE7"/>
    <w:rsid w:val="002D5B08"/>
    <w:rsid w:val="002D5F2A"/>
    <w:rsid w:val="002D6000"/>
    <w:rsid w:val="002D603E"/>
    <w:rsid w:val="002D60C0"/>
    <w:rsid w:val="002D632C"/>
    <w:rsid w:val="002D634D"/>
    <w:rsid w:val="002D6AB9"/>
    <w:rsid w:val="002D6CEC"/>
    <w:rsid w:val="002D6F57"/>
    <w:rsid w:val="002D6F80"/>
    <w:rsid w:val="002E0541"/>
    <w:rsid w:val="002E0665"/>
    <w:rsid w:val="002E09B5"/>
    <w:rsid w:val="002E0ADB"/>
    <w:rsid w:val="002E0F3E"/>
    <w:rsid w:val="002E11F2"/>
    <w:rsid w:val="002E1497"/>
    <w:rsid w:val="002E1847"/>
    <w:rsid w:val="002E200D"/>
    <w:rsid w:val="002E2186"/>
    <w:rsid w:val="002E294F"/>
    <w:rsid w:val="002E3175"/>
    <w:rsid w:val="002E3544"/>
    <w:rsid w:val="002E366D"/>
    <w:rsid w:val="002E396F"/>
    <w:rsid w:val="002E398F"/>
    <w:rsid w:val="002E3A4D"/>
    <w:rsid w:val="002E40AF"/>
    <w:rsid w:val="002E4128"/>
    <w:rsid w:val="002E4206"/>
    <w:rsid w:val="002E4243"/>
    <w:rsid w:val="002E42D3"/>
    <w:rsid w:val="002E449D"/>
    <w:rsid w:val="002E4616"/>
    <w:rsid w:val="002E496F"/>
    <w:rsid w:val="002E4CE4"/>
    <w:rsid w:val="002E4E9A"/>
    <w:rsid w:val="002E5115"/>
    <w:rsid w:val="002E5283"/>
    <w:rsid w:val="002E590D"/>
    <w:rsid w:val="002E5A46"/>
    <w:rsid w:val="002E5A4B"/>
    <w:rsid w:val="002E5AD6"/>
    <w:rsid w:val="002E5B33"/>
    <w:rsid w:val="002E5DD3"/>
    <w:rsid w:val="002E6406"/>
    <w:rsid w:val="002E66EF"/>
    <w:rsid w:val="002E6808"/>
    <w:rsid w:val="002E693A"/>
    <w:rsid w:val="002E69D4"/>
    <w:rsid w:val="002E6A2D"/>
    <w:rsid w:val="002E6B7E"/>
    <w:rsid w:val="002E7183"/>
    <w:rsid w:val="002E7640"/>
    <w:rsid w:val="002F0A85"/>
    <w:rsid w:val="002F0F8A"/>
    <w:rsid w:val="002F1123"/>
    <w:rsid w:val="002F1167"/>
    <w:rsid w:val="002F1416"/>
    <w:rsid w:val="002F15F5"/>
    <w:rsid w:val="002F1702"/>
    <w:rsid w:val="002F1B2E"/>
    <w:rsid w:val="002F1D7F"/>
    <w:rsid w:val="002F26F5"/>
    <w:rsid w:val="002F290A"/>
    <w:rsid w:val="002F2FCB"/>
    <w:rsid w:val="002F3AC7"/>
    <w:rsid w:val="002F3FA2"/>
    <w:rsid w:val="002F4036"/>
    <w:rsid w:val="002F4770"/>
    <w:rsid w:val="002F4B55"/>
    <w:rsid w:val="002F4BE4"/>
    <w:rsid w:val="002F4DC7"/>
    <w:rsid w:val="002F5447"/>
    <w:rsid w:val="002F5769"/>
    <w:rsid w:val="002F5797"/>
    <w:rsid w:val="002F5B5A"/>
    <w:rsid w:val="002F62B6"/>
    <w:rsid w:val="002F68D6"/>
    <w:rsid w:val="002F7802"/>
    <w:rsid w:val="002F7B37"/>
    <w:rsid w:val="002F7FA2"/>
    <w:rsid w:val="002F7FCD"/>
    <w:rsid w:val="0030017A"/>
    <w:rsid w:val="003019A9"/>
    <w:rsid w:val="00301AE1"/>
    <w:rsid w:val="00301B77"/>
    <w:rsid w:val="00301E21"/>
    <w:rsid w:val="00301E4F"/>
    <w:rsid w:val="003020AA"/>
    <w:rsid w:val="0030267D"/>
    <w:rsid w:val="003027E3"/>
    <w:rsid w:val="00302944"/>
    <w:rsid w:val="00302A19"/>
    <w:rsid w:val="00302B72"/>
    <w:rsid w:val="00302BB7"/>
    <w:rsid w:val="00302C42"/>
    <w:rsid w:val="00302E1A"/>
    <w:rsid w:val="00303119"/>
    <w:rsid w:val="00303562"/>
    <w:rsid w:val="003039CA"/>
    <w:rsid w:val="00303B6F"/>
    <w:rsid w:val="003041A2"/>
    <w:rsid w:val="00304782"/>
    <w:rsid w:val="00304FBE"/>
    <w:rsid w:val="00304FF2"/>
    <w:rsid w:val="003056EC"/>
    <w:rsid w:val="0030570D"/>
    <w:rsid w:val="00305B13"/>
    <w:rsid w:val="00305DB6"/>
    <w:rsid w:val="00305DC6"/>
    <w:rsid w:val="003069C3"/>
    <w:rsid w:val="00306B33"/>
    <w:rsid w:val="00306CFC"/>
    <w:rsid w:val="00306D81"/>
    <w:rsid w:val="00306D9F"/>
    <w:rsid w:val="00306F94"/>
    <w:rsid w:val="0030707F"/>
    <w:rsid w:val="00307164"/>
    <w:rsid w:val="003073DA"/>
    <w:rsid w:val="00307B7D"/>
    <w:rsid w:val="00307BDA"/>
    <w:rsid w:val="00307FAC"/>
    <w:rsid w:val="00310139"/>
    <w:rsid w:val="00310693"/>
    <w:rsid w:val="003108B6"/>
    <w:rsid w:val="00310BBC"/>
    <w:rsid w:val="00310CFC"/>
    <w:rsid w:val="00310EC7"/>
    <w:rsid w:val="00311268"/>
    <w:rsid w:val="003115CC"/>
    <w:rsid w:val="00311A28"/>
    <w:rsid w:val="00311A31"/>
    <w:rsid w:val="00311A96"/>
    <w:rsid w:val="00311B90"/>
    <w:rsid w:val="00312074"/>
    <w:rsid w:val="0031258A"/>
    <w:rsid w:val="0031259E"/>
    <w:rsid w:val="00312797"/>
    <w:rsid w:val="00312FD0"/>
    <w:rsid w:val="003135A2"/>
    <w:rsid w:val="003135AC"/>
    <w:rsid w:val="003136EB"/>
    <w:rsid w:val="003137D2"/>
    <w:rsid w:val="0031387A"/>
    <w:rsid w:val="00313A50"/>
    <w:rsid w:val="00313D69"/>
    <w:rsid w:val="00313DEB"/>
    <w:rsid w:val="00313E66"/>
    <w:rsid w:val="003150FA"/>
    <w:rsid w:val="00316077"/>
    <w:rsid w:val="00316489"/>
    <w:rsid w:val="003167B2"/>
    <w:rsid w:val="00316AF7"/>
    <w:rsid w:val="00316F05"/>
    <w:rsid w:val="0031724E"/>
    <w:rsid w:val="003176B7"/>
    <w:rsid w:val="00317866"/>
    <w:rsid w:val="00317909"/>
    <w:rsid w:val="00317E99"/>
    <w:rsid w:val="003205A0"/>
    <w:rsid w:val="00321195"/>
    <w:rsid w:val="0032120E"/>
    <w:rsid w:val="00321D38"/>
    <w:rsid w:val="003223A3"/>
    <w:rsid w:val="003224E5"/>
    <w:rsid w:val="00322E54"/>
    <w:rsid w:val="003230CD"/>
    <w:rsid w:val="00323209"/>
    <w:rsid w:val="0032325A"/>
    <w:rsid w:val="00323F1F"/>
    <w:rsid w:val="00323F38"/>
    <w:rsid w:val="00324B4F"/>
    <w:rsid w:val="0032515D"/>
    <w:rsid w:val="00325DA4"/>
    <w:rsid w:val="00325E7C"/>
    <w:rsid w:val="0032618F"/>
    <w:rsid w:val="00326277"/>
    <w:rsid w:val="003263FF"/>
    <w:rsid w:val="00326DD4"/>
    <w:rsid w:val="00326EA2"/>
    <w:rsid w:val="003272EA"/>
    <w:rsid w:val="00327704"/>
    <w:rsid w:val="003279B6"/>
    <w:rsid w:val="0033066A"/>
    <w:rsid w:val="003308B0"/>
    <w:rsid w:val="003313EF"/>
    <w:rsid w:val="00331438"/>
    <w:rsid w:val="00331B77"/>
    <w:rsid w:val="00332060"/>
    <w:rsid w:val="0033213F"/>
    <w:rsid w:val="003323EF"/>
    <w:rsid w:val="0033263E"/>
    <w:rsid w:val="00332950"/>
    <w:rsid w:val="00332B57"/>
    <w:rsid w:val="00332C0D"/>
    <w:rsid w:val="00333386"/>
    <w:rsid w:val="003337DF"/>
    <w:rsid w:val="00333931"/>
    <w:rsid w:val="00333AAD"/>
    <w:rsid w:val="00333C40"/>
    <w:rsid w:val="003340F5"/>
    <w:rsid w:val="0033461E"/>
    <w:rsid w:val="00334F19"/>
    <w:rsid w:val="00334FB4"/>
    <w:rsid w:val="0033513B"/>
    <w:rsid w:val="003358A5"/>
    <w:rsid w:val="00335DB8"/>
    <w:rsid w:val="00335E07"/>
    <w:rsid w:val="003364B7"/>
    <w:rsid w:val="00336A65"/>
    <w:rsid w:val="00336A96"/>
    <w:rsid w:val="00336AED"/>
    <w:rsid w:val="00336B06"/>
    <w:rsid w:val="00336ECB"/>
    <w:rsid w:val="003376A8"/>
    <w:rsid w:val="0033790E"/>
    <w:rsid w:val="00337B23"/>
    <w:rsid w:val="003400DA"/>
    <w:rsid w:val="00340160"/>
    <w:rsid w:val="0034082C"/>
    <w:rsid w:val="00341589"/>
    <w:rsid w:val="00341766"/>
    <w:rsid w:val="003418F3"/>
    <w:rsid w:val="00341E1F"/>
    <w:rsid w:val="00342435"/>
    <w:rsid w:val="0034255B"/>
    <w:rsid w:val="00342780"/>
    <w:rsid w:val="00342D78"/>
    <w:rsid w:val="00342F79"/>
    <w:rsid w:val="00343489"/>
    <w:rsid w:val="00343636"/>
    <w:rsid w:val="00343B08"/>
    <w:rsid w:val="00344274"/>
    <w:rsid w:val="003443A6"/>
    <w:rsid w:val="00344703"/>
    <w:rsid w:val="00344A83"/>
    <w:rsid w:val="00345214"/>
    <w:rsid w:val="00345580"/>
    <w:rsid w:val="003457A0"/>
    <w:rsid w:val="00345F38"/>
    <w:rsid w:val="0034602D"/>
    <w:rsid w:val="003465D8"/>
    <w:rsid w:val="003467D8"/>
    <w:rsid w:val="00346804"/>
    <w:rsid w:val="00346E18"/>
    <w:rsid w:val="00346ED9"/>
    <w:rsid w:val="003472B0"/>
    <w:rsid w:val="0034733A"/>
    <w:rsid w:val="00347552"/>
    <w:rsid w:val="0034789C"/>
    <w:rsid w:val="00347B48"/>
    <w:rsid w:val="00347DDA"/>
    <w:rsid w:val="00350030"/>
    <w:rsid w:val="003501CF"/>
    <w:rsid w:val="0035044C"/>
    <w:rsid w:val="00350B08"/>
    <w:rsid w:val="00351224"/>
    <w:rsid w:val="0035154A"/>
    <w:rsid w:val="00351714"/>
    <w:rsid w:val="00351813"/>
    <w:rsid w:val="0035187B"/>
    <w:rsid w:val="00351A7D"/>
    <w:rsid w:val="00351BB5"/>
    <w:rsid w:val="00351C6D"/>
    <w:rsid w:val="00351DC6"/>
    <w:rsid w:val="00352248"/>
    <w:rsid w:val="0035246D"/>
    <w:rsid w:val="00352AC2"/>
    <w:rsid w:val="00352DAC"/>
    <w:rsid w:val="0035319F"/>
    <w:rsid w:val="003531BA"/>
    <w:rsid w:val="00353212"/>
    <w:rsid w:val="0035330E"/>
    <w:rsid w:val="00353B83"/>
    <w:rsid w:val="00353C0D"/>
    <w:rsid w:val="00353F7B"/>
    <w:rsid w:val="0035421C"/>
    <w:rsid w:val="003545D0"/>
    <w:rsid w:val="00354710"/>
    <w:rsid w:val="003547BA"/>
    <w:rsid w:val="00354A28"/>
    <w:rsid w:val="00354CC2"/>
    <w:rsid w:val="0035536C"/>
    <w:rsid w:val="003555DD"/>
    <w:rsid w:val="00355AE4"/>
    <w:rsid w:val="003561CD"/>
    <w:rsid w:val="00356ADE"/>
    <w:rsid w:val="00356C33"/>
    <w:rsid w:val="0035722D"/>
    <w:rsid w:val="003572C1"/>
    <w:rsid w:val="0035789B"/>
    <w:rsid w:val="00357903"/>
    <w:rsid w:val="00357B52"/>
    <w:rsid w:val="00357D6C"/>
    <w:rsid w:val="003601AB"/>
    <w:rsid w:val="00360255"/>
    <w:rsid w:val="00360330"/>
    <w:rsid w:val="0036080E"/>
    <w:rsid w:val="00360D5C"/>
    <w:rsid w:val="0036144C"/>
    <w:rsid w:val="0036192D"/>
    <w:rsid w:val="00361CEE"/>
    <w:rsid w:val="00361D2A"/>
    <w:rsid w:val="0036203B"/>
    <w:rsid w:val="0036233A"/>
    <w:rsid w:val="0036266C"/>
    <w:rsid w:val="00362D78"/>
    <w:rsid w:val="003634D2"/>
    <w:rsid w:val="003639BF"/>
    <w:rsid w:val="0036405F"/>
    <w:rsid w:val="003641B5"/>
    <w:rsid w:val="003648A9"/>
    <w:rsid w:val="003648F3"/>
    <w:rsid w:val="003649CF"/>
    <w:rsid w:val="00365D57"/>
    <w:rsid w:val="00366511"/>
    <w:rsid w:val="0036677C"/>
    <w:rsid w:val="003668BD"/>
    <w:rsid w:val="00366BD2"/>
    <w:rsid w:val="0036747D"/>
    <w:rsid w:val="00367B77"/>
    <w:rsid w:val="00367B7A"/>
    <w:rsid w:val="003703D0"/>
    <w:rsid w:val="00370721"/>
    <w:rsid w:val="00370DD8"/>
    <w:rsid w:val="0037126B"/>
    <w:rsid w:val="00371346"/>
    <w:rsid w:val="00371414"/>
    <w:rsid w:val="003718FE"/>
    <w:rsid w:val="00371B55"/>
    <w:rsid w:val="00371B73"/>
    <w:rsid w:val="00372154"/>
    <w:rsid w:val="0037241F"/>
    <w:rsid w:val="00372655"/>
    <w:rsid w:val="00372847"/>
    <w:rsid w:val="003732A1"/>
    <w:rsid w:val="00373831"/>
    <w:rsid w:val="00374232"/>
    <w:rsid w:val="00374518"/>
    <w:rsid w:val="00374656"/>
    <w:rsid w:val="003746AA"/>
    <w:rsid w:val="00374A98"/>
    <w:rsid w:val="0037548E"/>
    <w:rsid w:val="00375545"/>
    <w:rsid w:val="003755F3"/>
    <w:rsid w:val="00375830"/>
    <w:rsid w:val="00375CAD"/>
    <w:rsid w:val="00375EE9"/>
    <w:rsid w:val="00375F80"/>
    <w:rsid w:val="00376403"/>
    <w:rsid w:val="0037648F"/>
    <w:rsid w:val="00376C09"/>
    <w:rsid w:val="00377C80"/>
    <w:rsid w:val="00377D2C"/>
    <w:rsid w:val="00377F7C"/>
    <w:rsid w:val="003800C3"/>
    <w:rsid w:val="003805E4"/>
    <w:rsid w:val="00380A47"/>
    <w:rsid w:val="00380C01"/>
    <w:rsid w:val="00381167"/>
    <w:rsid w:val="003818B4"/>
    <w:rsid w:val="00381E9E"/>
    <w:rsid w:val="00382658"/>
    <w:rsid w:val="00382ABF"/>
    <w:rsid w:val="00383C32"/>
    <w:rsid w:val="003840E8"/>
    <w:rsid w:val="003845BD"/>
    <w:rsid w:val="00384B00"/>
    <w:rsid w:val="00384D3E"/>
    <w:rsid w:val="00384E19"/>
    <w:rsid w:val="00384FE5"/>
    <w:rsid w:val="0038513B"/>
    <w:rsid w:val="00385173"/>
    <w:rsid w:val="003858A8"/>
    <w:rsid w:val="00385B9E"/>
    <w:rsid w:val="00385E0D"/>
    <w:rsid w:val="00386242"/>
    <w:rsid w:val="0038642C"/>
    <w:rsid w:val="00386CC0"/>
    <w:rsid w:val="003870DB"/>
    <w:rsid w:val="003871F3"/>
    <w:rsid w:val="003872A0"/>
    <w:rsid w:val="00387690"/>
    <w:rsid w:val="003876AA"/>
    <w:rsid w:val="00387C2D"/>
    <w:rsid w:val="00387C42"/>
    <w:rsid w:val="00387EEA"/>
    <w:rsid w:val="0039049C"/>
    <w:rsid w:val="00390683"/>
    <w:rsid w:val="003909DD"/>
    <w:rsid w:val="00390D28"/>
    <w:rsid w:val="00391397"/>
    <w:rsid w:val="00391AC2"/>
    <w:rsid w:val="00391F71"/>
    <w:rsid w:val="003920C6"/>
    <w:rsid w:val="0039247F"/>
    <w:rsid w:val="003926CF"/>
    <w:rsid w:val="00392808"/>
    <w:rsid w:val="0039284C"/>
    <w:rsid w:val="00392A57"/>
    <w:rsid w:val="00392B1A"/>
    <w:rsid w:val="00392F66"/>
    <w:rsid w:val="00392FA5"/>
    <w:rsid w:val="003931C4"/>
    <w:rsid w:val="00393497"/>
    <w:rsid w:val="003937DC"/>
    <w:rsid w:val="00393D47"/>
    <w:rsid w:val="00395C49"/>
    <w:rsid w:val="00396F4A"/>
    <w:rsid w:val="00397353"/>
    <w:rsid w:val="003974CC"/>
    <w:rsid w:val="00397512"/>
    <w:rsid w:val="00397709"/>
    <w:rsid w:val="003979A9"/>
    <w:rsid w:val="003A121C"/>
    <w:rsid w:val="003A15BB"/>
    <w:rsid w:val="003A16B5"/>
    <w:rsid w:val="003A1EBD"/>
    <w:rsid w:val="003A20CA"/>
    <w:rsid w:val="003A2540"/>
    <w:rsid w:val="003A2638"/>
    <w:rsid w:val="003A27BA"/>
    <w:rsid w:val="003A27DF"/>
    <w:rsid w:val="003A289C"/>
    <w:rsid w:val="003A2966"/>
    <w:rsid w:val="003A2AFA"/>
    <w:rsid w:val="003A2B9E"/>
    <w:rsid w:val="003A2BB3"/>
    <w:rsid w:val="003A3416"/>
    <w:rsid w:val="003A3A76"/>
    <w:rsid w:val="003A4113"/>
    <w:rsid w:val="003A43CB"/>
    <w:rsid w:val="003A4652"/>
    <w:rsid w:val="003A47F7"/>
    <w:rsid w:val="003A4BD6"/>
    <w:rsid w:val="003A4C4E"/>
    <w:rsid w:val="003A4C62"/>
    <w:rsid w:val="003A5003"/>
    <w:rsid w:val="003A566B"/>
    <w:rsid w:val="003A60B8"/>
    <w:rsid w:val="003A67D4"/>
    <w:rsid w:val="003A6B51"/>
    <w:rsid w:val="003A729D"/>
    <w:rsid w:val="003A732F"/>
    <w:rsid w:val="003A736F"/>
    <w:rsid w:val="003A752B"/>
    <w:rsid w:val="003A7688"/>
    <w:rsid w:val="003A76F2"/>
    <w:rsid w:val="003A791B"/>
    <w:rsid w:val="003A7B48"/>
    <w:rsid w:val="003A7EE4"/>
    <w:rsid w:val="003B019D"/>
    <w:rsid w:val="003B035B"/>
    <w:rsid w:val="003B04A1"/>
    <w:rsid w:val="003B0CAA"/>
    <w:rsid w:val="003B0FCE"/>
    <w:rsid w:val="003B1184"/>
    <w:rsid w:val="003B12E5"/>
    <w:rsid w:val="003B1662"/>
    <w:rsid w:val="003B1A59"/>
    <w:rsid w:val="003B1DEF"/>
    <w:rsid w:val="003B1F44"/>
    <w:rsid w:val="003B2435"/>
    <w:rsid w:val="003B2732"/>
    <w:rsid w:val="003B32F7"/>
    <w:rsid w:val="003B35FA"/>
    <w:rsid w:val="003B3695"/>
    <w:rsid w:val="003B38A3"/>
    <w:rsid w:val="003B3A20"/>
    <w:rsid w:val="003B3F7F"/>
    <w:rsid w:val="003B40FD"/>
    <w:rsid w:val="003B4AE7"/>
    <w:rsid w:val="003B4C96"/>
    <w:rsid w:val="003B4DCC"/>
    <w:rsid w:val="003B5036"/>
    <w:rsid w:val="003B5098"/>
    <w:rsid w:val="003B580C"/>
    <w:rsid w:val="003B6518"/>
    <w:rsid w:val="003B66E6"/>
    <w:rsid w:val="003B77C7"/>
    <w:rsid w:val="003B79E1"/>
    <w:rsid w:val="003B7B0C"/>
    <w:rsid w:val="003B7C07"/>
    <w:rsid w:val="003B7D3A"/>
    <w:rsid w:val="003B7FE0"/>
    <w:rsid w:val="003C011D"/>
    <w:rsid w:val="003C0BA8"/>
    <w:rsid w:val="003C13A3"/>
    <w:rsid w:val="003C1ECB"/>
    <w:rsid w:val="003C1F22"/>
    <w:rsid w:val="003C327C"/>
    <w:rsid w:val="003C365E"/>
    <w:rsid w:val="003C3DB5"/>
    <w:rsid w:val="003C439A"/>
    <w:rsid w:val="003C46C7"/>
    <w:rsid w:val="003C4C19"/>
    <w:rsid w:val="003C6497"/>
    <w:rsid w:val="003C6BC3"/>
    <w:rsid w:val="003C6E32"/>
    <w:rsid w:val="003C6F18"/>
    <w:rsid w:val="003C6F9B"/>
    <w:rsid w:val="003C7444"/>
    <w:rsid w:val="003C75A8"/>
    <w:rsid w:val="003D04C8"/>
    <w:rsid w:val="003D07D9"/>
    <w:rsid w:val="003D129D"/>
    <w:rsid w:val="003D131E"/>
    <w:rsid w:val="003D15D3"/>
    <w:rsid w:val="003D1828"/>
    <w:rsid w:val="003D190D"/>
    <w:rsid w:val="003D1D67"/>
    <w:rsid w:val="003D1E3A"/>
    <w:rsid w:val="003D1FAE"/>
    <w:rsid w:val="003D205A"/>
    <w:rsid w:val="003D2369"/>
    <w:rsid w:val="003D2DA7"/>
    <w:rsid w:val="003D2DE6"/>
    <w:rsid w:val="003D2EEA"/>
    <w:rsid w:val="003D3B5D"/>
    <w:rsid w:val="003D4742"/>
    <w:rsid w:val="003D4BF6"/>
    <w:rsid w:val="003D5581"/>
    <w:rsid w:val="003D55BC"/>
    <w:rsid w:val="003D5AB6"/>
    <w:rsid w:val="003D5E4C"/>
    <w:rsid w:val="003D63F0"/>
    <w:rsid w:val="003D6928"/>
    <w:rsid w:val="003D69FF"/>
    <w:rsid w:val="003D6EF2"/>
    <w:rsid w:val="003D725D"/>
    <w:rsid w:val="003D7E32"/>
    <w:rsid w:val="003E00CE"/>
    <w:rsid w:val="003E0586"/>
    <w:rsid w:val="003E06F7"/>
    <w:rsid w:val="003E0E0C"/>
    <w:rsid w:val="003E0FBD"/>
    <w:rsid w:val="003E11B5"/>
    <w:rsid w:val="003E1F4C"/>
    <w:rsid w:val="003E2033"/>
    <w:rsid w:val="003E2A43"/>
    <w:rsid w:val="003E30BE"/>
    <w:rsid w:val="003E3118"/>
    <w:rsid w:val="003E31B4"/>
    <w:rsid w:val="003E33FB"/>
    <w:rsid w:val="003E3586"/>
    <w:rsid w:val="003E3979"/>
    <w:rsid w:val="003E3983"/>
    <w:rsid w:val="003E3BF0"/>
    <w:rsid w:val="003E3D35"/>
    <w:rsid w:val="003E3E26"/>
    <w:rsid w:val="003E44F8"/>
    <w:rsid w:val="003E47C2"/>
    <w:rsid w:val="003E4A00"/>
    <w:rsid w:val="003E4BE7"/>
    <w:rsid w:val="003E5017"/>
    <w:rsid w:val="003E52A0"/>
    <w:rsid w:val="003E539C"/>
    <w:rsid w:val="003E5A14"/>
    <w:rsid w:val="003E5A9E"/>
    <w:rsid w:val="003E5E73"/>
    <w:rsid w:val="003E6116"/>
    <w:rsid w:val="003E6626"/>
    <w:rsid w:val="003E6646"/>
    <w:rsid w:val="003E69E0"/>
    <w:rsid w:val="003E6C00"/>
    <w:rsid w:val="003E7B13"/>
    <w:rsid w:val="003E7E08"/>
    <w:rsid w:val="003F0267"/>
    <w:rsid w:val="003F0DDE"/>
    <w:rsid w:val="003F176E"/>
    <w:rsid w:val="003F1BE5"/>
    <w:rsid w:val="003F2483"/>
    <w:rsid w:val="003F2998"/>
    <w:rsid w:val="003F35DE"/>
    <w:rsid w:val="003F38D4"/>
    <w:rsid w:val="003F3979"/>
    <w:rsid w:val="003F3D95"/>
    <w:rsid w:val="003F4393"/>
    <w:rsid w:val="003F4733"/>
    <w:rsid w:val="003F4BC2"/>
    <w:rsid w:val="003F4D49"/>
    <w:rsid w:val="003F4F15"/>
    <w:rsid w:val="003F573A"/>
    <w:rsid w:val="003F5C6D"/>
    <w:rsid w:val="003F646C"/>
    <w:rsid w:val="003F6634"/>
    <w:rsid w:val="003F6DE6"/>
    <w:rsid w:val="003F75BD"/>
    <w:rsid w:val="003F7867"/>
    <w:rsid w:val="003F7BEB"/>
    <w:rsid w:val="00400058"/>
    <w:rsid w:val="004006CE"/>
    <w:rsid w:val="00400BF8"/>
    <w:rsid w:val="00401105"/>
    <w:rsid w:val="00401A78"/>
    <w:rsid w:val="00402127"/>
    <w:rsid w:val="0040212F"/>
    <w:rsid w:val="00402889"/>
    <w:rsid w:val="00402A41"/>
    <w:rsid w:val="00402BD6"/>
    <w:rsid w:val="00402C3B"/>
    <w:rsid w:val="00403413"/>
    <w:rsid w:val="00403C00"/>
    <w:rsid w:val="00403D1B"/>
    <w:rsid w:val="00403FA4"/>
    <w:rsid w:val="00404014"/>
    <w:rsid w:val="0040404C"/>
    <w:rsid w:val="00404597"/>
    <w:rsid w:val="00404671"/>
    <w:rsid w:val="004047E9"/>
    <w:rsid w:val="004048BE"/>
    <w:rsid w:val="004049B3"/>
    <w:rsid w:val="00404AD7"/>
    <w:rsid w:val="00404C89"/>
    <w:rsid w:val="004050FA"/>
    <w:rsid w:val="00405631"/>
    <w:rsid w:val="00405FE8"/>
    <w:rsid w:val="00406127"/>
    <w:rsid w:val="004065E4"/>
    <w:rsid w:val="00407486"/>
    <w:rsid w:val="00407FC7"/>
    <w:rsid w:val="00410333"/>
    <w:rsid w:val="00410443"/>
    <w:rsid w:val="00410D56"/>
    <w:rsid w:val="00411987"/>
    <w:rsid w:val="00411C8D"/>
    <w:rsid w:val="00411F3D"/>
    <w:rsid w:val="00412090"/>
    <w:rsid w:val="0041219F"/>
    <w:rsid w:val="004122DB"/>
    <w:rsid w:val="004124EF"/>
    <w:rsid w:val="004125BE"/>
    <w:rsid w:val="004129F5"/>
    <w:rsid w:val="00412B90"/>
    <w:rsid w:val="00412E49"/>
    <w:rsid w:val="00412E6E"/>
    <w:rsid w:val="004137CC"/>
    <w:rsid w:val="00413A24"/>
    <w:rsid w:val="00413C72"/>
    <w:rsid w:val="00413DB6"/>
    <w:rsid w:val="00414820"/>
    <w:rsid w:val="0041484F"/>
    <w:rsid w:val="00414E51"/>
    <w:rsid w:val="00414FE6"/>
    <w:rsid w:val="0041553D"/>
    <w:rsid w:val="00415790"/>
    <w:rsid w:val="004159F0"/>
    <w:rsid w:val="00415AF0"/>
    <w:rsid w:val="00415D1E"/>
    <w:rsid w:val="004167E7"/>
    <w:rsid w:val="00416935"/>
    <w:rsid w:val="00416F42"/>
    <w:rsid w:val="00416F71"/>
    <w:rsid w:val="00417275"/>
    <w:rsid w:val="0041728E"/>
    <w:rsid w:val="00417400"/>
    <w:rsid w:val="004176D3"/>
    <w:rsid w:val="0041791E"/>
    <w:rsid w:val="00417DD8"/>
    <w:rsid w:val="00417E33"/>
    <w:rsid w:val="00420134"/>
    <w:rsid w:val="00420A1E"/>
    <w:rsid w:val="0042108C"/>
    <w:rsid w:val="004211D9"/>
    <w:rsid w:val="0042179E"/>
    <w:rsid w:val="004217A7"/>
    <w:rsid w:val="004218F3"/>
    <w:rsid w:val="00421B5C"/>
    <w:rsid w:val="00421C77"/>
    <w:rsid w:val="00421E47"/>
    <w:rsid w:val="00421F45"/>
    <w:rsid w:val="00422394"/>
    <w:rsid w:val="0042245D"/>
    <w:rsid w:val="004226F6"/>
    <w:rsid w:val="00422841"/>
    <w:rsid w:val="00422C92"/>
    <w:rsid w:val="00422D53"/>
    <w:rsid w:val="00422DBB"/>
    <w:rsid w:val="00423126"/>
    <w:rsid w:val="004231F3"/>
    <w:rsid w:val="0042359A"/>
    <w:rsid w:val="00423C12"/>
    <w:rsid w:val="004241FF"/>
    <w:rsid w:val="004243F3"/>
    <w:rsid w:val="0042440B"/>
    <w:rsid w:val="00424B8A"/>
    <w:rsid w:val="00424B9C"/>
    <w:rsid w:val="00424F4A"/>
    <w:rsid w:val="0042510A"/>
    <w:rsid w:val="00425203"/>
    <w:rsid w:val="00425468"/>
    <w:rsid w:val="0042597C"/>
    <w:rsid w:val="00425C71"/>
    <w:rsid w:val="00425C97"/>
    <w:rsid w:val="004261C7"/>
    <w:rsid w:val="004263C3"/>
    <w:rsid w:val="004269FB"/>
    <w:rsid w:val="0042707F"/>
    <w:rsid w:val="0042709A"/>
    <w:rsid w:val="0042794E"/>
    <w:rsid w:val="00427CA4"/>
    <w:rsid w:val="00427FC8"/>
    <w:rsid w:val="00430322"/>
    <w:rsid w:val="004309B7"/>
    <w:rsid w:val="00430C3F"/>
    <w:rsid w:val="0043123E"/>
    <w:rsid w:val="004312AE"/>
    <w:rsid w:val="00431818"/>
    <w:rsid w:val="004320AF"/>
    <w:rsid w:val="00432549"/>
    <w:rsid w:val="004328B8"/>
    <w:rsid w:val="00432A31"/>
    <w:rsid w:val="00432E0E"/>
    <w:rsid w:val="0043313A"/>
    <w:rsid w:val="004331FF"/>
    <w:rsid w:val="00433240"/>
    <w:rsid w:val="00433783"/>
    <w:rsid w:val="00433E0B"/>
    <w:rsid w:val="00433EDC"/>
    <w:rsid w:val="004342BF"/>
    <w:rsid w:val="00434B62"/>
    <w:rsid w:val="00434F99"/>
    <w:rsid w:val="0043508C"/>
    <w:rsid w:val="00435502"/>
    <w:rsid w:val="004359FF"/>
    <w:rsid w:val="00435C91"/>
    <w:rsid w:val="004362DD"/>
    <w:rsid w:val="00436854"/>
    <w:rsid w:val="00436DEF"/>
    <w:rsid w:val="004378E5"/>
    <w:rsid w:val="00437A82"/>
    <w:rsid w:val="00437C99"/>
    <w:rsid w:val="00437D01"/>
    <w:rsid w:val="00437D97"/>
    <w:rsid w:val="00437E66"/>
    <w:rsid w:val="00440783"/>
    <w:rsid w:val="00440F7A"/>
    <w:rsid w:val="00441056"/>
    <w:rsid w:val="00441142"/>
    <w:rsid w:val="0044115A"/>
    <w:rsid w:val="00441523"/>
    <w:rsid w:val="00441539"/>
    <w:rsid w:val="00441766"/>
    <w:rsid w:val="00442191"/>
    <w:rsid w:val="00442474"/>
    <w:rsid w:val="0044264F"/>
    <w:rsid w:val="00442651"/>
    <w:rsid w:val="00442925"/>
    <w:rsid w:val="00442EA3"/>
    <w:rsid w:val="00442F36"/>
    <w:rsid w:val="004432F4"/>
    <w:rsid w:val="00443493"/>
    <w:rsid w:val="004435B4"/>
    <w:rsid w:val="004437A3"/>
    <w:rsid w:val="00443B01"/>
    <w:rsid w:val="00443CD2"/>
    <w:rsid w:val="00443FCA"/>
    <w:rsid w:val="004440CC"/>
    <w:rsid w:val="00444C3B"/>
    <w:rsid w:val="00444CE1"/>
    <w:rsid w:val="00444FA5"/>
    <w:rsid w:val="0044514B"/>
    <w:rsid w:val="0044521C"/>
    <w:rsid w:val="00445366"/>
    <w:rsid w:val="0044565B"/>
    <w:rsid w:val="0044573E"/>
    <w:rsid w:val="004459C7"/>
    <w:rsid w:val="00445CD7"/>
    <w:rsid w:val="00445EF1"/>
    <w:rsid w:val="00446540"/>
    <w:rsid w:val="00447119"/>
    <w:rsid w:val="0044736E"/>
    <w:rsid w:val="00447642"/>
    <w:rsid w:val="00447CD8"/>
    <w:rsid w:val="00447D53"/>
    <w:rsid w:val="00447D70"/>
    <w:rsid w:val="00450143"/>
    <w:rsid w:val="00450B08"/>
    <w:rsid w:val="00451C40"/>
    <w:rsid w:val="0045245C"/>
    <w:rsid w:val="004529BA"/>
    <w:rsid w:val="00452D80"/>
    <w:rsid w:val="00452EDF"/>
    <w:rsid w:val="0045302E"/>
    <w:rsid w:val="00453223"/>
    <w:rsid w:val="00453A97"/>
    <w:rsid w:val="00453DB6"/>
    <w:rsid w:val="00454555"/>
    <w:rsid w:val="0045544C"/>
    <w:rsid w:val="004555B1"/>
    <w:rsid w:val="00455D1B"/>
    <w:rsid w:val="00455DB2"/>
    <w:rsid w:val="004563FD"/>
    <w:rsid w:val="004566A3"/>
    <w:rsid w:val="00456A1A"/>
    <w:rsid w:val="00456BC8"/>
    <w:rsid w:val="00456EC9"/>
    <w:rsid w:val="00456F2C"/>
    <w:rsid w:val="004570EE"/>
    <w:rsid w:val="00457410"/>
    <w:rsid w:val="0045799C"/>
    <w:rsid w:val="00457DA4"/>
    <w:rsid w:val="00457F2A"/>
    <w:rsid w:val="00460B66"/>
    <w:rsid w:val="00460C2E"/>
    <w:rsid w:val="00461071"/>
    <w:rsid w:val="004610FF"/>
    <w:rsid w:val="0046163B"/>
    <w:rsid w:val="00461AC1"/>
    <w:rsid w:val="00461C68"/>
    <w:rsid w:val="00461D4D"/>
    <w:rsid w:val="0046273F"/>
    <w:rsid w:val="00462B46"/>
    <w:rsid w:val="00462CC0"/>
    <w:rsid w:val="00462EA9"/>
    <w:rsid w:val="00463049"/>
    <w:rsid w:val="00463219"/>
    <w:rsid w:val="004635B2"/>
    <w:rsid w:val="00463B8B"/>
    <w:rsid w:val="00464168"/>
    <w:rsid w:val="00464252"/>
    <w:rsid w:val="004643D8"/>
    <w:rsid w:val="00464473"/>
    <w:rsid w:val="00464CEF"/>
    <w:rsid w:val="0046503A"/>
    <w:rsid w:val="0046604B"/>
    <w:rsid w:val="00466280"/>
    <w:rsid w:val="00466DFE"/>
    <w:rsid w:val="004670B5"/>
    <w:rsid w:val="00467350"/>
    <w:rsid w:val="004677DA"/>
    <w:rsid w:val="00467B17"/>
    <w:rsid w:val="00467BA3"/>
    <w:rsid w:val="00467F33"/>
    <w:rsid w:val="0047056D"/>
    <w:rsid w:val="0047062F"/>
    <w:rsid w:val="00470942"/>
    <w:rsid w:val="00470FD6"/>
    <w:rsid w:val="00471299"/>
    <w:rsid w:val="0047215B"/>
    <w:rsid w:val="00472A4E"/>
    <w:rsid w:val="00472BA1"/>
    <w:rsid w:val="00472FB3"/>
    <w:rsid w:val="004738A6"/>
    <w:rsid w:val="00473EB6"/>
    <w:rsid w:val="00474006"/>
    <w:rsid w:val="00474498"/>
    <w:rsid w:val="00474E51"/>
    <w:rsid w:val="00474F18"/>
    <w:rsid w:val="004754B2"/>
    <w:rsid w:val="00475555"/>
    <w:rsid w:val="004755B3"/>
    <w:rsid w:val="00475C52"/>
    <w:rsid w:val="004766E0"/>
    <w:rsid w:val="004771CC"/>
    <w:rsid w:val="00477442"/>
    <w:rsid w:val="0047755B"/>
    <w:rsid w:val="00477938"/>
    <w:rsid w:val="00477DAE"/>
    <w:rsid w:val="004800E2"/>
    <w:rsid w:val="004802C1"/>
    <w:rsid w:val="004807F8"/>
    <w:rsid w:val="004818B6"/>
    <w:rsid w:val="00482761"/>
    <w:rsid w:val="00482786"/>
    <w:rsid w:val="0048279F"/>
    <w:rsid w:val="004830C3"/>
    <w:rsid w:val="00483100"/>
    <w:rsid w:val="0048331B"/>
    <w:rsid w:val="0048399E"/>
    <w:rsid w:val="004839E7"/>
    <w:rsid w:val="00484568"/>
    <w:rsid w:val="00484707"/>
    <w:rsid w:val="004851E6"/>
    <w:rsid w:val="0048536D"/>
    <w:rsid w:val="00485EFB"/>
    <w:rsid w:val="00486AAB"/>
    <w:rsid w:val="00486CE5"/>
    <w:rsid w:val="004879F1"/>
    <w:rsid w:val="00487C0C"/>
    <w:rsid w:val="00487CFF"/>
    <w:rsid w:val="0049013E"/>
    <w:rsid w:val="0049087F"/>
    <w:rsid w:val="00490FBD"/>
    <w:rsid w:val="00491AF1"/>
    <w:rsid w:val="00491DDE"/>
    <w:rsid w:val="004924D8"/>
    <w:rsid w:val="00492844"/>
    <w:rsid w:val="00493212"/>
    <w:rsid w:val="00493233"/>
    <w:rsid w:val="00493437"/>
    <w:rsid w:val="00493D2E"/>
    <w:rsid w:val="00493D2F"/>
    <w:rsid w:val="00494314"/>
    <w:rsid w:val="004945D3"/>
    <w:rsid w:val="0049567F"/>
    <w:rsid w:val="004957ED"/>
    <w:rsid w:val="004959A7"/>
    <w:rsid w:val="00495CB1"/>
    <w:rsid w:val="0049611D"/>
    <w:rsid w:val="004964B5"/>
    <w:rsid w:val="00496894"/>
    <w:rsid w:val="00496BF4"/>
    <w:rsid w:val="00496CC6"/>
    <w:rsid w:val="00496D62"/>
    <w:rsid w:val="00497244"/>
    <w:rsid w:val="004972E3"/>
    <w:rsid w:val="004977FE"/>
    <w:rsid w:val="004A0085"/>
    <w:rsid w:val="004A0137"/>
    <w:rsid w:val="004A09F6"/>
    <w:rsid w:val="004A0BFC"/>
    <w:rsid w:val="004A0D93"/>
    <w:rsid w:val="004A0F54"/>
    <w:rsid w:val="004A0F79"/>
    <w:rsid w:val="004A111E"/>
    <w:rsid w:val="004A13B8"/>
    <w:rsid w:val="004A1D07"/>
    <w:rsid w:val="004A27EB"/>
    <w:rsid w:val="004A310E"/>
    <w:rsid w:val="004A32D8"/>
    <w:rsid w:val="004A3328"/>
    <w:rsid w:val="004A3722"/>
    <w:rsid w:val="004A38DE"/>
    <w:rsid w:val="004A3DCE"/>
    <w:rsid w:val="004A43A8"/>
    <w:rsid w:val="004A4899"/>
    <w:rsid w:val="004A4E30"/>
    <w:rsid w:val="004A5136"/>
    <w:rsid w:val="004A55B1"/>
    <w:rsid w:val="004A59D5"/>
    <w:rsid w:val="004A5B77"/>
    <w:rsid w:val="004A5CEA"/>
    <w:rsid w:val="004A5F3F"/>
    <w:rsid w:val="004A5F6F"/>
    <w:rsid w:val="004A6454"/>
    <w:rsid w:val="004A66AA"/>
    <w:rsid w:val="004A6A68"/>
    <w:rsid w:val="004A6D56"/>
    <w:rsid w:val="004A7449"/>
    <w:rsid w:val="004A7632"/>
    <w:rsid w:val="004A7A54"/>
    <w:rsid w:val="004A7A90"/>
    <w:rsid w:val="004A7C51"/>
    <w:rsid w:val="004A7FE0"/>
    <w:rsid w:val="004B04B4"/>
    <w:rsid w:val="004B0926"/>
    <w:rsid w:val="004B09A4"/>
    <w:rsid w:val="004B0C6D"/>
    <w:rsid w:val="004B1134"/>
    <w:rsid w:val="004B175E"/>
    <w:rsid w:val="004B1C50"/>
    <w:rsid w:val="004B1D49"/>
    <w:rsid w:val="004B1D61"/>
    <w:rsid w:val="004B1D84"/>
    <w:rsid w:val="004B1FF8"/>
    <w:rsid w:val="004B23BD"/>
    <w:rsid w:val="004B2A4E"/>
    <w:rsid w:val="004B2EAB"/>
    <w:rsid w:val="004B2EC9"/>
    <w:rsid w:val="004B2F00"/>
    <w:rsid w:val="004B2F1F"/>
    <w:rsid w:val="004B3619"/>
    <w:rsid w:val="004B3687"/>
    <w:rsid w:val="004B3E83"/>
    <w:rsid w:val="004B4A2D"/>
    <w:rsid w:val="004B4BD5"/>
    <w:rsid w:val="004B5031"/>
    <w:rsid w:val="004B53C1"/>
    <w:rsid w:val="004B5433"/>
    <w:rsid w:val="004B54B8"/>
    <w:rsid w:val="004B5E51"/>
    <w:rsid w:val="004B6170"/>
    <w:rsid w:val="004B6F85"/>
    <w:rsid w:val="004B7084"/>
    <w:rsid w:val="004B7A45"/>
    <w:rsid w:val="004B7B3A"/>
    <w:rsid w:val="004B7CA7"/>
    <w:rsid w:val="004B7DC4"/>
    <w:rsid w:val="004C00DE"/>
    <w:rsid w:val="004C0365"/>
    <w:rsid w:val="004C0D46"/>
    <w:rsid w:val="004C17EB"/>
    <w:rsid w:val="004C1DEF"/>
    <w:rsid w:val="004C2966"/>
    <w:rsid w:val="004C3F19"/>
    <w:rsid w:val="004C3F1F"/>
    <w:rsid w:val="004C3FF8"/>
    <w:rsid w:val="004C46CD"/>
    <w:rsid w:val="004C4EB2"/>
    <w:rsid w:val="004C4F38"/>
    <w:rsid w:val="004C512F"/>
    <w:rsid w:val="004C5217"/>
    <w:rsid w:val="004C5361"/>
    <w:rsid w:val="004C58D6"/>
    <w:rsid w:val="004C5DEE"/>
    <w:rsid w:val="004C5EEA"/>
    <w:rsid w:val="004C62B7"/>
    <w:rsid w:val="004C73DC"/>
    <w:rsid w:val="004C7453"/>
    <w:rsid w:val="004C799E"/>
    <w:rsid w:val="004C7CA0"/>
    <w:rsid w:val="004D115C"/>
    <w:rsid w:val="004D12B3"/>
    <w:rsid w:val="004D1616"/>
    <w:rsid w:val="004D1677"/>
    <w:rsid w:val="004D1DE9"/>
    <w:rsid w:val="004D2242"/>
    <w:rsid w:val="004D277D"/>
    <w:rsid w:val="004D39BF"/>
    <w:rsid w:val="004D3BB6"/>
    <w:rsid w:val="004D423B"/>
    <w:rsid w:val="004D4291"/>
    <w:rsid w:val="004D43F1"/>
    <w:rsid w:val="004D448A"/>
    <w:rsid w:val="004D5B3F"/>
    <w:rsid w:val="004D5BDE"/>
    <w:rsid w:val="004D5E55"/>
    <w:rsid w:val="004D6033"/>
    <w:rsid w:val="004D671E"/>
    <w:rsid w:val="004D7271"/>
    <w:rsid w:val="004D751D"/>
    <w:rsid w:val="004D7849"/>
    <w:rsid w:val="004D7C45"/>
    <w:rsid w:val="004D7F8B"/>
    <w:rsid w:val="004E03E2"/>
    <w:rsid w:val="004E163C"/>
    <w:rsid w:val="004E2063"/>
    <w:rsid w:val="004E20FD"/>
    <w:rsid w:val="004E223D"/>
    <w:rsid w:val="004E2D47"/>
    <w:rsid w:val="004E2E56"/>
    <w:rsid w:val="004E35CE"/>
    <w:rsid w:val="004E3BD4"/>
    <w:rsid w:val="004E3D15"/>
    <w:rsid w:val="004E4BAD"/>
    <w:rsid w:val="004E4CCD"/>
    <w:rsid w:val="004E4D0B"/>
    <w:rsid w:val="004E4D38"/>
    <w:rsid w:val="004E4FA1"/>
    <w:rsid w:val="004E505D"/>
    <w:rsid w:val="004E5B8B"/>
    <w:rsid w:val="004E6522"/>
    <w:rsid w:val="004E6A4D"/>
    <w:rsid w:val="004E6F42"/>
    <w:rsid w:val="004E704E"/>
    <w:rsid w:val="004E708D"/>
    <w:rsid w:val="004E7842"/>
    <w:rsid w:val="004F05EB"/>
    <w:rsid w:val="004F06A3"/>
    <w:rsid w:val="004F0A8F"/>
    <w:rsid w:val="004F0CC7"/>
    <w:rsid w:val="004F12F9"/>
    <w:rsid w:val="004F19F3"/>
    <w:rsid w:val="004F1A49"/>
    <w:rsid w:val="004F1C5B"/>
    <w:rsid w:val="004F2040"/>
    <w:rsid w:val="004F25BF"/>
    <w:rsid w:val="004F2995"/>
    <w:rsid w:val="004F408C"/>
    <w:rsid w:val="004F4311"/>
    <w:rsid w:val="004F4536"/>
    <w:rsid w:val="004F4A49"/>
    <w:rsid w:val="004F4E79"/>
    <w:rsid w:val="004F53BB"/>
    <w:rsid w:val="004F55F6"/>
    <w:rsid w:val="004F5AD2"/>
    <w:rsid w:val="004F5F92"/>
    <w:rsid w:val="004F62D6"/>
    <w:rsid w:val="004F7322"/>
    <w:rsid w:val="004F778D"/>
    <w:rsid w:val="004F7A86"/>
    <w:rsid w:val="004F7A8D"/>
    <w:rsid w:val="004F7D81"/>
    <w:rsid w:val="00500318"/>
    <w:rsid w:val="005006B8"/>
    <w:rsid w:val="00500857"/>
    <w:rsid w:val="0050104D"/>
    <w:rsid w:val="00501258"/>
    <w:rsid w:val="00501501"/>
    <w:rsid w:val="00501A9E"/>
    <w:rsid w:val="00501C37"/>
    <w:rsid w:val="00501ED0"/>
    <w:rsid w:val="00502122"/>
    <w:rsid w:val="00502947"/>
    <w:rsid w:val="00502B79"/>
    <w:rsid w:val="00502D44"/>
    <w:rsid w:val="00502EE5"/>
    <w:rsid w:val="00502FEE"/>
    <w:rsid w:val="0050318E"/>
    <w:rsid w:val="00503D4A"/>
    <w:rsid w:val="005041B6"/>
    <w:rsid w:val="0050472D"/>
    <w:rsid w:val="00504EEE"/>
    <w:rsid w:val="00504FD6"/>
    <w:rsid w:val="0050566E"/>
    <w:rsid w:val="0050597D"/>
    <w:rsid w:val="00505B09"/>
    <w:rsid w:val="00505F2B"/>
    <w:rsid w:val="00506542"/>
    <w:rsid w:val="00507EF3"/>
    <w:rsid w:val="00510152"/>
    <w:rsid w:val="00510868"/>
    <w:rsid w:val="005108AA"/>
    <w:rsid w:val="005111B1"/>
    <w:rsid w:val="005112AD"/>
    <w:rsid w:val="00511549"/>
    <w:rsid w:val="0051181C"/>
    <w:rsid w:val="00512046"/>
    <w:rsid w:val="00512A16"/>
    <w:rsid w:val="005131C4"/>
    <w:rsid w:val="00513425"/>
    <w:rsid w:val="00514407"/>
    <w:rsid w:val="00514412"/>
    <w:rsid w:val="00514D1B"/>
    <w:rsid w:val="00515226"/>
    <w:rsid w:val="005156E4"/>
    <w:rsid w:val="00515C07"/>
    <w:rsid w:val="00516021"/>
    <w:rsid w:val="00516345"/>
    <w:rsid w:val="0051656A"/>
    <w:rsid w:val="005165E3"/>
    <w:rsid w:val="00516745"/>
    <w:rsid w:val="005167DB"/>
    <w:rsid w:val="00516C36"/>
    <w:rsid w:val="00516FE0"/>
    <w:rsid w:val="00517291"/>
    <w:rsid w:val="0051750E"/>
    <w:rsid w:val="005176BB"/>
    <w:rsid w:val="005177B9"/>
    <w:rsid w:val="005207C3"/>
    <w:rsid w:val="005209B7"/>
    <w:rsid w:val="00520A01"/>
    <w:rsid w:val="00520E44"/>
    <w:rsid w:val="00520E4F"/>
    <w:rsid w:val="00520ED9"/>
    <w:rsid w:val="00520F35"/>
    <w:rsid w:val="005212CE"/>
    <w:rsid w:val="0052196F"/>
    <w:rsid w:val="00521A9D"/>
    <w:rsid w:val="00522467"/>
    <w:rsid w:val="005226EE"/>
    <w:rsid w:val="00522A10"/>
    <w:rsid w:val="00522BE0"/>
    <w:rsid w:val="00522E4B"/>
    <w:rsid w:val="0052319A"/>
    <w:rsid w:val="00523775"/>
    <w:rsid w:val="0052393D"/>
    <w:rsid w:val="00523970"/>
    <w:rsid w:val="005239F5"/>
    <w:rsid w:val="00523CCC"/>
    <w:rsid w:val="005240B0"/>
    <w:rsid w:val="0052424B"/>
    <w:rsid w:val="005246AD"/>
    <w:rsid w:val="00524B23"/>
    <w:rsid w:val="00524B43"/>
    <w:rsid w:val="00524F03"/>
    <w:rsid w:val="00525239"/>
    <w:rsid w:val="00525F07"/>
    <w:rsid w:val="00525F9E"/>
    <w:rsid w:val="00525FEA"/>
    <w:rsid w:val="00526225"/>
    <w:rsid w:val="0052633E"/>
    <w:rsid w:val="005265D9"/>
    <w:rsid w:val="005266D9"/>
    <w:rsid w:val="005267A1"/>
    <w:rsid w:val="00526874"/>
    <w:rsid w:val="0052706A"/>
    <w:rsid w:val="00527338"/>
    <w:rsid w:val="00527974"/>
    <w:rsid w:val="00527D70"/>
    <w:rsid w:val="005308F6"/>
    <w:rsid w:val="00530A1C"/>
    <w:rsid w:val="00530B67"/>
    <w:rsid w:val="00531487"/>
    <w:rsid w:val="005315A5"/>
    <w:rsid w:val="005317E0"/>
    <w:rsid w:val="00531B23"/>
    <w:rsid w:val="00531FC5"/>
    <w:rsid w:val="00533CA5"/>
    <w:rsid w:val="0053424B"/>
    <w:rsid w:val="005346B9"/>
    <w:rsid w:val="00535489"/>
    <w:rsid w:val="005356B5"/>
    <w:rsid w:val="005358A5"/>
    <w:rsid w:val="00535C2E"/>
    <w:rsid w:val="00536A4E"/>
    <w:rsid w:val="00536B7A"/>
    <w:rsid w:val="00536EF7"/>
    <w:rsid w:val="00536F72"/>
    <w:rsid w:val="005370FC"/>
    <w:rsid w:val="005372E0"/>
    <w:rsid w:val="00537384"/>
    <w:rsid w:val="00537733"/>
    <w:rsid w:val="00537BC0"/>
    <w:rsid w:val="00537C3C"/>
    <w:rsid w:val="00537CDB"/>
    <w:rsid w:val="00537F89"/>
    <w:rsid w:val="0054004D"/>
    <w:rsid w:val="0054048F"/>
    <w:rsid w:val="0054090F"/>
    <w:rsid w:val="00540C6E"/>
    <w:rsid w:val="00540D75"/>
    <w:rsid w:val="00541189"/>
    <w:rsid w:val="005415EF"/>
    <w:rsid w:val="00541663"/>
    <w:rsid w:val="0054171E"/>
    <w:rsid w:val="00541A7B"/>
    <w:rsid w:val="00542039"/>
    <w:rsid w:val="00542282"/>
    <w:rsid w:val="00542AC2"/>
    <w:rsid w:val="00542E37"/>
    <w:rsid w:val="005436A5"/>
    <w:rsid w:val="005439D7"/>
    <w:rsid w:val="00543FF0"/>
    <w:rsid w:val="0054558D"/>
    <w:rsid w:val="00545725"/>
    <w:rsid w:val="0054575B"/>
    <w:rsid w:val="0054655F"/>
    <w:rsid w:val="00546D2F"/>
    <w:rsid w:val="0054792E"/>
    <w:rsid w:val="00547F37"/>
    <w:rsid w:val="005502A6"/>
    <w:rsid w:val="00550470"/>
    <w:rsid w:val="005504CA"/>
    <w:rsid w:val="00550908"/>
    <w:rsid w:val="00550C2C"/>
    <w:rsid w:val="005510F9"/>
    <w:rsid w:val="00551302"/>
    <w:rsid w:val="005514EC"/>
    <w:rsid w:val="005523E9"/>
    <w:rsid w:val="00552940"/>
    <w:rsid w:val="0055308D"/>
    <w:rsid w:val="0055357C"/>
    <w:rsid w:val="00553861"/>
    <w:rsid w:val="00553DAC"/>
    <w:rsid w:val="00553F8D"/>
    <w:rsid w:val="00554CBA"/>
    <w:rsid w:val="005553BA"/>
    <w:rsid w:val="00555445"/>
    <w:rsid w:val="005554F9"/>
    <w:rsid w:val="00555C26"/>
    <w:rsid w:val="00555D04"/>
    <w:rsid w:val="00555E3B"/>
    <w:rsid w:val="00555E67"/>
    <w:rsid w:val="005568D1"/>
    <w:rsid w:val="00556E42"/>
    <w:rsid w:val="005577B3"/>
    <w:rsid w:val="00557F38"/>
    <w:rsid w:val="00560ED4"/>
    <w:rsid w:val="005611BF"/>
    <w:rsid w:val="0056122F"/>
    <w:rsid w:val="00561796"/>
    <w:rsid w:val="0056180E"/>
    <w:rsid w:val="005619DD"/>
    <w:rsid w:val="00561D8E"/>
    <w:rsid w:val="005624C1"/>
    <w:rsid w:val="00562642"/>
    <w:rsid w:val="00562962"/>
    <w:rsid w:val="00562E20"/>
    <w:rsid w:val="00562EC1"/>
    <w:rsid w:val="005632C7"/>
    <w:rsid w:val="00563B0F"/>
    <w:rsid w:val="00563C66"/>
    <w:rsid w:val="00563CB0"/>
    <w:rsid w:val="00563F63"/>
    <w:rsid w:val="005641F4"/>
    <w:rsid w:val="00564570"/>
    <w:rsid w:val="00564CE6"/>
    <w:rsid w:val="00564D83"/>
    <w:rsid w:val="00564F4C"/>
    <w:rsid w:val="00564FD7"/>
    <w:rsid w:val="0056531D"/>
    <w:rsid w:val="0056567C"/>
    <w:rsid w:val="005656B8"/>
    <w:rsid w:val="00565BD4"/>
    <w:rsid w:val="00566001"/>
    <w:rsid w:val="00566184"/>
    <w:rsid w:val="00566389"/>
    <w:rsid w:val="00566470"/>
    <w:rsid w:val="00566770"/>
    <w:rsid w:val="00566A33"/>
    <w:rsid w:val="00566CCA"/>
    <w:rsid w:val="00566E39"/>
    <w:rsid w:val="00566F52"/>
    <w:rsid w:val="0056749B"/>
    <w:rsid w:val="00567581"/>
    <w:rsid w:val="00567844"/>
    <w:rsid w:val="005678C9"/>
    <w:rsid w:val="00567ACE"/>
    <w:rsid w:val="00567B1A"/>
    <w:rsid w:val="005707DB"/>
    <w:rsid w:val="00570866"/>
    <w:rsid w:val="00570930"/>
    <w:rsid w:val="005709D1"/>
    <w:rsid w:val="00570DC6"/>
    <w:rsid w:val="00570ED3"/>
    <w:rsid w:val="0057102F"/>
    <w:rsid w:val="005711C3"/>
    <w:rsid w:val="005714A9"/>
    <w:rsid w:val="00571625"/>
    <w:rsid w:val="005717DE"/>
    <w:rsid w:val="00571AC7"/>
    <w:rsid w:val="00572429"/>
    <w:rsid w:val="005724E6"/>
    <w:rsid w:val="00572836"/>
    <w:rsid w:val="00572924"/>
    <w:rsid w:val="00572940"/>
    <w:rsid w:val="00572A17"/>
    <w:rsid w:val="0057333A"/>
    <w:rsid w:val="005735AB"/>
    <w:rsid w:val="0057393C"/>
    <w:rsid w:val="00573EED"/>
    <w:rsid w:val="00574447"/>
    <w:rsid w:val="0057495A"/>
    <w:rsid w:val="005749F7"/>
    <w:rsid w:val="00574DCD"/>
    <w:rsid w:val="005751F1"/>
    <w:rsid w:val="0057581A"/>
    <w:rsid w:val="00575CDF"/>
    <w:rsid w:val="00575F66"/>
    <w:rsid w:val="00575F6A"/>
    <w:rsid w:val="0057623C"/>
    <w:rsid w:val="005763A9"/>
    <w:rsid w:val="0057653B"/>
    <w:rsid w:val="0057668E"/>
    <w:rsid w:val="00576FEA"/>
    <w:rsid w:val="00577C07"/>
    <w:rsid w:val="00577FCA"/>
    <w:rsid w:val="00577FCC"/>
    <w:rsid w:val="00582EA5"/>
    <w:rsid w:val="00583B08"/>
    <w:rsid w:val="00583BB3"/>
    <w:rsid w:val="00584111"/>
    <w:rsid w:val="00584213"/>
    <w:rsid w:val="00584F47"/>
    <w:rsid w:val="00585009"/>
    <w:rsid w:val="00585225"/>
    <w:rsid w:val="005856B4"/>
    <w:rsid w:val="0058589E"/>
    <w:rsid w:val="00586137"/>
    <w:rsid w:val="00586763"/>
    <w:rsid w:val="005868C7"/>
    <w:rsid w:val="00586A05"/>
    <w:rsid w:val="00586D47"/>
    <w:rsid w:val="00586DCB"/>
    <w:rsid w:val="00586DD4"/>
    <w:rsid w:val="00586F1E"/>
    <w:rsid w:val="00587217"/>
    <w:rsid w:val="005876D6"/>
    <w:rsid w:val="00587778"/>
    <w:rsid w:val="00587874"/>
    <w:rsid w:val="00587F89"/>
    <w:rsid w:val="00590423"/>
    <w:rsid w:val="0059075D"/>
    <w:rsid w:val="0059080C"/>
    <w:rsid w:val="00590AB9"/>
    <w:rsid w:val="00590AD2"/>
    <w:rsid w:val="00591361"/>
    <w:rsid w:val="00591B22"/>
    <w:rsid w:val="00591C9E"/>
    <w:rsid w:val="00591D61"/>
    <w:rsid w:val="00591DC4"/>
    <w:rsid w:val="00592150"/>
    <w:rsid w:val="00592958"/>
    <w:rsid w:val="00592D39"/>
    <w:rsid w:val="005941EE"/>
    <w:rsid w:val="00594A91"/>
    <w:rsid w:val="00594C78"/>
    <w:rsid w:val="00594CE6"/>
    <w:rsid w:val="0059590B"/>
    <w:rsid w:val="00595D15"/>
    <w:rsid w:val="00595D25"/>
    <w:rsid w:val="00595DC2"/>
    <w:rsid w:val="00595F42"/>
    <w:rsid w:val="00596230"/>
    <w:rsid w:val="00596828"/>
    <w:rsid w:val="00596CB9"/>
    <w:rsid w:val="00596E11"/>
    <w:rsid w:val="00596E1B"/>
    <w:rsid w:val="00597342"/>
    <w:rsid w:val="00597C51"/>
    <w:rsid w:val="00597CBB"/>
    <w:rsid w:val="00597F89"/>
    <w:rsid w:val="005A04D3"/>
    <w:rsid w:val="005A062E"/>
    <w:rsid w:val="005A0847"/>
    <w:rsid w:val="005A08C9"/>
    <w:rsid w:val="005A09CA"/>
    <w:rsid w:val="005A0A3C"/>
    <w:rsid w:val="005A0C29"/>
    <w:rsid w:val="005A0F0C"/>
    <w:rsid w:val="005A15A3"/>
    <w:rsid w:val="005A1677"/>
    <w:rsid w:val="005A18AD"/>
    <w:rsid w:val="005A2447"/>
    <w:rsid w:val="005A24A0"/>
    <w:rsid w:val="005A2D1F"/>
    <w:rsid w:val="005A3026"/>
    <w:rsid w:val="005A3780"/>
    <w:rsid w:val="005A3DE1"/>
    <w:rsid w:val="005A47C4"/>
    <w:rsid w:val="005A51C0"/>
    <w:rsid w:val="005A5499"/>
    <w:rsid w:val="005A54C2"/>
    <w:rsid w:val="005A565D"/>
    <w:rsid w:val="005A582E"/>
    <w:rsid w:val="005A5901"/>
    <w:rsid w:val="005A66FF"/>
    <w:rsid w:val="005A6FCE"/>
    <w:rsid w:val="005A73F1"/>
    <w:rsid w:val="005A740A"/>
    <w:rsid w:val="005A774E"/>
    <w:rsid w:val="005A7829"/>
    <w:rsid w:val="005A79B8"/>
    <w:rsid w:val="005A7B4B"/>
    <w:rsid w:val="005B0637"/>
    <w:rsid w:val="005B0D65"/>
    <w:rsid w:val="005B108E"/>
    <w:rsid w:val="005B10E0"/>
    <w:rsid w:val="005B13CD"/>
    <w:rsid w:val="005B1438"/>
    <w:rsid w:val="005B14C1"/>
    <w:rsid w:val="005B14FD"/>
    <w:rsid w:val="005B1C12"/>
    <w:rsid w:val="005B1D7B"/>
    <w:rsid w:val="005B1F14"/>
    <w:rsid w:val="005B1FBD"/>
    <w:rsid w:val="005B2084"/>
    <w:rsid w:val="005B209D"/>
    <w:rsid w:val="005B2108"/>
    <w:rsid w:val="005B246F"/>
    <w:rsid w:val="005B2C3E"/>
    <w:rsid w:val="005B2D23"/>
    <w:rsid w:val="005B2FDC"/>
    <w:rsid w:val="005B33D3"/>
    <w:rsid w:val="005B38EC"/>
    <w:rsid w:val="005B38EE"/>
    <w:rsid w:val="005B3E2E"/>
    <w:rsid w:val="005B43C3"/>
    <w:rsid w:val="005B5A49"/>
    <w:rsid w:val="005B5B44"/>
    <w:rsid w:val="005B5C54"/>
    <w:rsid w:val="005B6E2C"/>
    <w:rsid w:val="005B717C"/>
    <w:rsid w:val="005C0517"/>
    <w:rsid w:val="005C1310"/>
    <w:rsid w:val="005C14E5"/>
    <w:rsid w:val="005C1668"/>
    <w:rsid w:val="005C18CF"/>
    <w:rsid w:val="005C1B01"/>
    <w:rsid w:val="005C1DA4"/>
    <w:rsid w:val="005C2CD9"/>
    <w:rsid w:val="005C2F26"/>
    <w:rsid w:val="005C33BD"/>
    <w:rsid w:val="005C3832"/>
    <w:rsid w:val="005C3A0A"/>
    <w:rsid w:val="005C3A15"/>
    <w:rsid w:val="005C3AD0"/>
    <w:rsid w:val="005C4113"/>
    <w:rsid w:val="005C41F4"/>
    <w:rsid w:val="005C47BC"/>
    <w:rsid w:val="005C4B0E"/>
    <w:rsid w:val="005C4EDD"/>
    <w:rsid w:val="005C51A7"/>
    <w:rsid w:val="005C5256"/>
    <w:rsid w:val="005C5299"/>
    <w:rsid w:val="005C59C5"/>
    <w:rsid w:val="005C5C09"/>
    <w:rsid w:val="005C5CFA"/>
    <w:rsid w:val="005C5F8D"/>
    <w:rsid w:val="005C6485"/>
    <w:rsid w:val="005C64EC"/>
    <w:rsid w:val="005C68D4"/>
    <w:rsid w:val="005C6C19"/>
    <w:rsid w:val="005C6DDB"/>
    <w:rsid w:val="005C6FCC"/>
    <w:rsid w:val="005C7165"/>
    <w:rsid w:val="005C7EEF"/>
    <w:rsid w:val="005C7FEE"/>
    <w:rsid w:val="005D03A2"/>
    <w:rsid w:val="005D0948"/>
    <w:rsid w:val="005D0C5C"/>
    <w:rsid w:val="005D1045"/>
    <w:rsid w:val="005D181C"/>
    <w:rsid w:val="005D2298"/>
    <w:rsid w:val="005D26CC"/>
    <w:rsid w:val="005D3483"/>
    <w:rsid w:val="005D376F"/>
    <w:rsid w:val="005D41AA"/>
    <w:rsid w:val="005D4755"/>
    <w:rsid w:val="005D4D39"/>
    <w:rsid w:val="005D4DD0"/>
    <w:rsid w:val="005D5074"/>
    <w:rsid w:val="005D596C"/>
    <w:rsid w:val="005D5AF1"/>
    <w:rsid w:val="005D5EA8"/>
    <w:rsid w:val="005D5FB6"/>
    <w:rsid w:val="005D60D8"/>
    <w:rsid w:val="005D6609"/>
    <w:rsid w:val="005D7FAB"/>
    <w:rsid w:val="005E01DA"/>
    <w:rsid w:val="005E07F7"/>
    <w:rsid w:val="005E0CB8"/>
    <w:rsid w:val="005E1095"/>
    <w:rsid w:val="005E118E"/>
    <w:rsid w:val="005E185B"/>
    <w:rsid w:val="005E1C8F"/>
    <w:rsid w:val="005E1CE3"/>
    <w:rsid w:val="005E1E1E"/>
    <w:rsid w:val="005E1E73"/>
    <w:rsid w:val="005E209F"/>
    <w:rsid w:val="005E2321"/>
    <w:rsid w:val="005E2D98"/>
    <w:rsid w:val="005E3685"/>
    <w:rsid w:val="005E3821"/>
    <w:rsid w:val="005E3937"/>
    <w:rsid w:val="005E429C"/>
    <w:rsid w:val="005E446C"/>
    <w:rsid w:val="005E47E4"/>
    <w:rsid w:val="005E4A5F"/>
    <w:rsid w:val="005E4B10"/>
    <w:rsid w:val="005E4B1F"/>
    <w:rsid w:val="005E4FBD"/>
    <w:rsid w:val="005E5601"/>
    <w:rsid w:val="005E5CAF"/>
    <w:rsid w:val="005E64AE"/>
    <w:rsid w:val="005E66F2"/>
    <w:rsid w:val="005E68B1"/>
    <w:rsid w:val="005E6B5B"/>
    <w:rsid w:val="005E6E9E"/>
    <w:rsid w:val="005E7096"/>
    <w:rsid w:val="005E7944"/>
    <w:rsid w:val="005F0294"/>
    <w:rsid w:val="005F0648"/>
    <w:rsid w:val="005F0A13"/>
    <w:rsid w:val="005F145F"/>
    <w:rsid w:val="005F20CC"/>
    <w:rsid w:val="005F2320"/>
    <w:rsid w:val="005F2488"/>
    <w:rsid w:val="005F25DF"/>
    <w:rsid w:val="005F35A9"/>
    <w:rsid w:val="005F35E2"/>
    <w:rsid w:val="005F384E"/>
    <w:rsid w:val="005F3D73"/>
    <w:rsid w:val="005F4625"/>
    <w:rsid w:val="005F4F81"/>
    <w:rsid w:val="005F607F"/>
    <w:rsid w:val="005F6126"/>
    <w:rsid w:val="005F6465"/>
    <w:rsid w:val="005F6C74"/>
    <w:rsid w:val="005F6ED1"/>
    <w:rsid w:val="005F72BC"/>
    <w:rsid w:val="005F7A43"/>
    <w:rsid w:val="005F7A5E"/>
    <w:rsid w:val="00600317"/>
    <w:rsid w:val="00600BD7"/>
    <w:rsid w:val="00600F3C"/>
    <w:rsid w:val="00600FB8"/>
    <w:rsid w:val="006010C9"/>
    <w:rsid w:val="0060232A"/>
    <w:rsid w:val="006024FE"/>
    <w:rsid w:val="0060274C"/>
    <w:rsid w:val="0060279D"/>
    <w:rsid w:val="00602C2C"/>
    <w:rsid w:val="006030AF"/>
    <w:rsid w:val="0060367C"/>
    <w:rsid w:val="00603BE3"/>
    <w:rsid w:val="006040D8"/>
    <w:rsid w:val="00604316"/>
    <w:rsid w:val="00604FBF"/>
    <w:rsid w:val="00605565"/>
    <w:rsid w:val="0060557C"/>
    <w:rsid w:val="0060588C"/>
    <w:rsid w:val="00605892"/>
    <w:rsid w:val="00605F91"/>
    <w:rsid w:val="00606512"/>
    <w:rsid w:val="00606889"/>
    <w:rsid w:val="00606C14"/>
    <w:rsid w:val="00607316"/>
    <w:rsid w:val="00607376"/>
    <w:rsid w:val="006074FF"/>
    <w:rsid w:val="006075B6"/>
    <w:rsid w:val="00607C1D"/>
    <w:rsid w:val="00607F33"/>
    <w:rsid w:val="00610754"/>
    <w:rsid w:val="00610A0D"/>
    <w:rsid w:val="006118CE"/>
    <w:rsid w:val="0061212C"/>
    <w:rsid w:val="006122B8"/>
    <w:rsid w:val="00612445"/>
    <w:rsid w:val="0061269A"/>
    <w:rsid w:val="00612724"/>
    <w:rsid w:val="00612A4C"/>
    <w:rsid w:val="00613A4A"/>
    <w:rsid w:val="0061402D"/>
    <w:rsid w:val="006140B6"/>
    <w:rsid w:val="00614148"/>
    <w:rsid w:val="00614797"/>
    <w:rsid w:val="00614904"/>
    <w:rsid w:val="00614B88"/>
    <w:rsid w:val="00614BF0"/>
    <w:rsid w:val="00614C69"/>
    <w:rsid w:val="0061512F"/>
    <w:rsid w:val="00615227"/>
    <w:rsid w:val="006153F5"/>
    <w:rsid w:val="00615832"/>
    <w:rsid w:val="00615CF7"/>
    <w:rsid w:val="00615FBF"/>
    <w:rsid w:val="006167FC"/>
    <w:rsid w:val="00617223"/>
    <w:rsid w:val="006177B8"/>
    <w:rsid w:val="00617BDC"/>
    <w:rsid w:val="0062059D"/>
    <w:rsid w:val="0062087E"/>
    <w:rsid w:val="00620CA0"/>
    <w:rsid w:val="00620F5F"/>
    <w:rsid w:val="00621867"/>
    <w:rsid w:val="00621C51"/>
    <w:rsid w:val="006223BD"/>
    <w:rsid w:val="0062295C"/>
    <w:rsid w:val="00622989"/>
    <w:rsid w:val="00622E8A"/>
    <w:rsid w:val="00622FE9"/>
    <w:rsid w:val="00623102"/>
    <w:rsid w:val="00623169"/>
    <w:rsid w:val="006231BA"/>
    <w:rsid w:val="006233C6"/>
    <w:rsid w:val="00623425"/>
    <w:rsid w:val="00623B2A"/>
    <w:rsid w:val="0062404A"/>
    <w:rsid w:val="006241F5"/>
    <w:rsid w:val="00624A91"/>
    <w:rsid w:val="00624D4F"/>
    <w:rsid w:val="00624DE7"/>
    <w:rsid w:val="006257CC"/>
    <w:rsid w:val="00625B21"/>
    <w:rsid w:val="00626155"/>
    <w:rsid w:val="006262C5"/>
    <w:rsid w:val="0062674A"/>
    <w:rsid w:val="006268E7"/>
    <w:rsid w:val="00626AA7"/>
    <w:rsid w:val="00626D22"/>
    <w:rsid w:val="00627165"/>
    <w:rsid w:val="0062723B"/>
    <w:rsid w:val="006274A7"/>
    <w:rsid w:val="00627939"/>
    <w:rsid w:val="00627BF4"/>
    <w:rsid w:val="00627CA1"/>
    <w:rsid w:val="00630642"/>
    <w:rsid w:val="0063164C"/>
    <w:rsid w:val="00631A88"/>
    <w:rsid w:val="0063211F"/>
    <w:rsid w:val="00632202"/>
    <w:rsid w:val="006323F2"/>
    <w:rsid w:val="00632E22"/>
    <w:rsid w:val="00632FDC"/>
    <w:rsid w:val="006331BD"/>
    <w:rsid w:val="00633223"/>
    <w:rsid w:val="00633429"/>
    <w:rsid w:val="0063352A"/>
    <w:rsid w:val="006335FC"/>
    <w:rsid w:val="006337EB"/>
    <w:rsid w:val="00633CB7"/>
    <w:rsid w:val="006340AB"/>
    <w:rsid w:val="00634329"/>
    <w:rsid w:val="006343AC"/>
    <w:rsid w:val="00634A0C"/>
    <w:rsid w:val="00635C70"/>
    <w:rsid w:val="00635D9C"/>
    <w:rsid w:val="00636A05"/>
    <w:rsid w:val="00636D05"/>
    <w:rsid w:val="00637183"/>
    <w:rsid w:val="00637439"/>
    <w:rsid w:val="006374DC"/>
    <w:rsid w:val="0063783F"/>
    <w:rsid w:val="00637F0C"/>
    <w:rsid w:val="00637FD0"/>
    <w:rsid w:val="00637FF3"/>
    <w:rsid w:val="006411D3"/>
    <w:rsid w:val="006412DE"/>
    <w:rsid w:val="00641471"/>
    <w:rsid w:val="00641B2D"/>
    <w:rsid w:val="0064214F"/>
    <w:rsid w:val="006424D7"/>
    <w:rsid w:val="00642524"/>
    <w:rsid w:val="00642831"/>
    <w:rsid w:val="00642883"/>
    <w:rsid w:val="00642D80"/>
    <w:rsid w:val="0064304B"/>
    <w:rsid w:val="00643114"/>
    <w:rsid w:val="0064313A"/>
    <w:rsid w:val="006436F7"/>
    <w:rsid w:val="00643829"/>
    <w:rsid w:val="00643D20"/>
    <w:rsid w:val="006443B2"/>
    <w:rsid w:val="006445A2"/>
    <w:rsid w:val="00644640"/>
    <w:rsid w:val="00644E2D"/>
    <w:rsid w:val="006450DC"/>
    <w:rsid w:val="006454CF"/>
    <w:rsid w:val="00645541"/>
    <w:rsid w:val="00645705"/>
    <w:rsid w:val="00645AB4"/>
    <w:rsid w:val="00645C55"/>
    <w:rsid w:val="00645DFF"/>
    <w:rsid w:val="00646205"/>
    <w:rsid w:val="00646261"/>
    <w:rsid w:val="00646832"/>
    <w:rsid w:val="0064687E"/>
    <w:rsid w:val="00646DE1"/>
    <w:rsid w:val="00646FD8"/>
    <w:rsid w:val="00647EEE"/>
    <w:rsid w:val="00650377"/>
    <w:rsid w:val="006504D5"/>
    <w:rsid w:val="0065076B"/>
    <w:rsid w:val="00650B3C"/>
    <w:rsid w:val="00650C13"/>
    <w:rsid w:val="00650CAB"/>
    <w:rsid w:val="0065162F"/>
    <w:rsid w:val="00651C12"/>
    <w:rsid w:val="00651CA6"/>
    <w:rsid w:val="00651D72"/>
    <w:rsid w:val="00651E60"/>
    <w:rsid w:val="00652076"/>
    <w:rsid w:val="006521E5"/>
    <w:rsid w:val="0065274F"/>
    <w:rsid w:val="0065300D"/>
    <w:rsid w:val="00653450"/>
    <w:rsid w:val="006535B5"/>
    <w:rsid w:val="00653851"/>
    <w:rsid w:val="00653B14"/>
    <w:rsid w:val="00653BCC"/>
    <w:rsid w:val="00655136"/>
    <w:rsid w:val="00655855"/>
    <w:rsid w:val="00655E91"/>
    <w:rsid w:val="00656044"/>
    <w:rsid w:val="0065686B"/>
    <w:rsid w:val="00656AD4"/>
    <w:rsid w:val="00656C59"/>
    <w:rsid w:val="00656DF6"/>
    <w:rsid w:val="00657077"/>
    <w:rsid w:val="0065741A"/>
    <w:rsid w:val="006574B1"/>
    <w:rsid w:val="00657898"/>
    <w:rsid w:val="00657BF1"/>
    <w:rsid w:val="00657D3B"/>
    <w:rsid w:val="00657F28"/>
    <w:rsid w:val="006608AD"/>
    <w:rsid w:val="00660D25"/>
    <w:rsid w:val="00661353"/>
    <w:rsid w:val="00661C06"/>
    <w:rsid w:val="00661DBA"/>
    <w:rsid w:val="0066275F"/>
    <w:rsid w:val="00663008"/>
    <w:rsid w:val="00663269"/>
    <w:rsid w:val="00663278"/>
    <w:rsid w:val="006642BF"/>
    <w:rsid w:val="006642E0"/>
    <w:rsid w:val="006645A7"/>
    <w:rsid w:val="00664722"/>
    <w:rsid w:val="0066495A"/>
    <w:rsid w:val="006651D0"/>
    <w:rsid w:val="00665449"/>
    <w:rsid w:val="006655B0"/>
    <w:rsid w:val="00665E77"/>
    <w:rsid w:val="00665F28"/>
    <w:rsid w:val="0066647D"/>
    <w:rsid w:val="00666763"/>
    <w:rsid w:val="006668E6"/>
    <w:rsid w:val="00666DDA"/>
    <w:rsid w:val="00666F66"/>
    <w:rsid w:val="00666FFF"/>
    <w:rsid w:val="00667126"/>
    <w:rsid w:val="00667236"/>
    <w:rsid w:val="00667F0E"/>
    <w:rsid w:val="0067013C"/>
    <w:rsid w:val="0067068B"/>
    <w:rsid w:val="00670AEE"/>
    <w:rsid w:val="00670B3F"/>
    <w:rsid w:val="00670C39"/>
    <w:rsid w:val="00670DCC"/>
    <w:rsid w:val="006712BE"/>
    <w:rsid w:val="00671330"/>
    <w:rsid w:val="006717A7"/>
    <w:rsid w:val="00671B8F"/>
    <w:rsid w:val="00671C4A"/>
    <w:rsid w:val="00671D99"/>
    <w:rsid w:val="0067269E"/>
    <w:rsid w:val="0067288A"/>
    <w:rsid w:val="006731FB"/>
    <w:rsid w:val="0067330C"/>
    <w:rsid w:val="006735F7"/>
    <w:rsid w:val="00673892"/>
    <w:rsid w:val="006739F7"/>
    <w:rsid w:val="00674275"/>
    <w:rsid w:val="0067468F"/>
    <w:rsid w:val="00674B9E"/>
    <w:rsid w:val="006754C2"/>
    <w:rsid w:val="00675754"/>
    <w:rsid w:val="00675AB5"/>
    <w:rsid w:val="00675B74"/>
    <w:rsid w:val="00675DEE"/>
    <w:rsid w:val="00675F07"/>
    <w:rsid w:val="00676420"/>
    <w:rsid w:val="006768B9"/>
    <w:rsid w:val="00676CB7"/>
    <w:rsid w:val="00676E63"/>
    <w:rsid w:val="00677092"/>
    <w:rsid w:val="006770E1"/>
    <w:rsid w:val="00677120"/>
    <w:rsid w:val="00677170"/>
    <w:rsid w:val="0067718F"/>
    <w:rsid w:val="00677B2A"/>
    <w:rsid w:val="00677C5F"/>
    <w:rsid w:val="00680230"/>
    <w:rsid w:val="0068051B"/>
    <w:rsid w:val="006806BE"/>
    <w:rsid w:val="00681220"/>
    <w:rsid w:val="00681481"/>
    <w:rsid w:val="00681B12"/>
    <w:rsid w:val="00681B83"/>
    <w:rsid w:val="00681DBE"/>
    <w:rsid w:val="0068202B"/>
    <w:rsid w:val="0068205C"/>
    <w:rsid w:val="00682193"/>
    <w:rsid w:val="006821F4"/>
    <w:rsid w:val="006828D7"/>
    <w:rsid w:val="00682CFA"/>
    <w:rsid w:val="00682DD9"/>
    <w:rsid w:val="0068330F"/>
    <w:rsid w:val="00683674"/>
    <w:rsid w:val="006836C2"/>
    <w:rsid w:val="006840F9"/>
    <w:rsid w:val="0068418F"/>
    <w:rsid w:val="00684616"/>
    <w:rsid w:val="00684941"/>
    <w:rsid w:val="00684B63"/>
    <w:rsid w:val="00684CD7"/>
    <w:rsid w:val="00685A67"/>
    <w:rsid w:val="00685ADB"/>
    <w:rsid w:val="006861F5"/>
    <w:rsid w:val="0068632F"/>
    <w:rsid w:val="006865E4"/>
    <w:rsid w:val="00686C09"/>
    <w:rsid w:val="00686C8B"/>
    <w:rsid w:val="00686C9F"/>
    <w:rsid w:val="00686CA9"/>
    <w:rsid w:val="006878D5"/>
    <w:rsid w:val="00687AB0"/>
    <w:rsid w:val="00687F0C"/>
    <w:rsid w:val="00687F6F"/>
    <w:rsid w:val="00690434"/>
    <w:rsid w:val="00690A54"/>
    <w:rsid w:val="00690AAD"/>
    <w:rsid w:val="00690B23"/>
    <w:rsid w:val="00690B94"/>
    <w:rsid w:val="006910E1"/>
    <w:rsid w:val="00691403"/>
    <w:rsid w:val="0069193D"/>
    <w:rsid w:val="00691A0F"/>
    <w:rsid w:val="00691F34"/>
    <w:rsid w:val="00691FC9"/>
    <w:rsid w:val="00692191"/>
    <w:rsid w:val="00692B0C"/>
    <w:rsid w:val="0069357D"/>
    <w:rsid w:val="00693A54"/>
    <w:rsid w:val="00694436"/>
    <w:rsid w:val="00694CB2"/>
    <w:rsid w:val="00694D36"/>
    <w:rsid w:val="00694DE2"/>
    <w:rsid w:val="00694E62"/>
    <w:rsid w:val="00694F94"/>
    <w:rsid w:val="006954DE"/>
    <w:rsid w:val="0069588F"/>
    <w:rsid w:val="00695AF1"/>
    <w:rsid w:val="00695B00"/>
    <w:rsid w:val="00695C87"/>
    <w:rsid w:val="006965DA"/>
    <w:rsid w:val="0069670F"/>
    <w:rsid w:val="006968AA"/>
    <w:rsid w:val="00697B60"/>
    <w:rsid w:val="006A04C6"/>
    <w:rsid w:val="006A065E"/>
    <w:rsid w:val="006A07F3"/>
    <w:rsid w:val="006A0BB9"/>
    <w:rsid w:val="006A1282"/>
    <w:rsid w:val="006A1441"/>
    <w:rsid w:val="006A1587"/>
    <w:rsid w:val="006A1AF9"/>
    <w:rsid w:val="006A1B69"/>
    <w:rsid w:val="006A1D64"/>
    <w:rsid w:val="006A2DD1"/>
    <w:rsid w:val="006A33FA"/>
    <w:rsid w:val="006A352F"/>
    <w:rsid w:val="006A36B1"/>
    <w:rsid w:val="006A370C"/>
    <w:rsid w:val="006A3DF1"/>
    <w:rsid w:val="006A442A"/>
    <w:rsid w:val="006A46AD"/>
    <w:rsid w:val="006A4A3C"/>
    <w:rsid w:val="006A4BA2"/>
    <w:rsid w:val="006A52EB"/>
    <w:rsid w:val="006A54C1"/>
    <w:rsid w:val="006A5708"/>
    <w:rsid w:val="006A57DC"/>
    <w:rsid w:val="006A5AC1"/>
    <w:rsid w:val="006A5DB7"/>
    <w:rsid w:val="006A70CA"/>
    <w:rsid w:val="006A717B"/>
    <w:rsid w:val="006A72A4"/>
    <w:rsid w:val="006A75D1"/>
    <w:rsid w:val="006A75FA"/>
    <w:rsid w:val="006A7EE1"/>
    <w:rsid w:val="006B00E2"/>
    <w:rsid w:val="006B043F"/>
    <w:rsid w:val="006B056D"/>
    <w:rsid w:val="006B0838"/>
    <w:rsid w:val="006B0D0A"/>
    <w:rsid w:val="006B0DF1"/>
    <w:rsid w:val="006B118E"/>
    <w:rsid w:val="006B12DF"/>
    <w:rsid w:val="006B194F"/>
    <w:rsid w:val="006B1BB4"/>
    <w:rsid w:val="006B1BEE"/>
    <w:rsid w:val="006B2091"/>
    <w:rsid w:val="006B23C6"/>
    <w:rsid w:val="006B24C0"/>
    <w:rsid w:val="006B2713"/>
    <w:rsid w:val="006B2BF2"/>
    <w:rsid w:val="006B3793"/>
    <w:rsid w:val="006B37DB"/>
    <w:rsid w:val="006B3906"/>
    <w:rsid w:val="006B39A5"/>
    <w:rsid w:val="006B404F"/>
    <w:rsid w:val="006B4207"/>
    <w:rsid w:val="006B42B2"/>
    <w:rsid w:val="006B4449"/>
    <w:rsid w:val="006B4788"/>
    <w:rsid w:val="006B5190"/>
    <w:rsid w:val="006B56C9"/>
    <w:rsid w:val="006B58DC"/>
    <w:rsid w:val="006B5EA7"/>
    <w:rsid w:val="006B5F9B"/>
    <w:rsid w:val="006B609D"/>
    <w:rsid w:val="006B64B1"/>
    <w:rsid w:val="006B670C"/>
    <w:rsid w:val="006B6A87"/>
    <w:rsid w:val="006B70CB"/>
    <w:rsid w:val="006B713D"/>
    <w:rsid w:val="006B7BAF"/>
    <w:rsid w:val="006B7D5A"/>
    <w:rsid w:val="006B7EA0"/>
    <w:rsid w:val="006C04EF"/>
    <w:rsid w:val="006C064E"/>
    <w:rsid w:val="006C0BFE"/>
    <w:rsid w:val="006C1482"/>
    <w:rsid w:val="006C1629"/>
    <w:rsid w:val="006C17AA"/>
    <w:rsid w:val="006C1948"/>
    <w:rsid w:val="006C1A60"/>
    <w:rsid w:val="006C1C28"/>
    <w:rsid w:val="006C1D12"/>
    <w:rsid w:val="006C2249"/>
    <w:rsid w:val="006C2AC4"/>
    <w:rsid w:val="006C2E85"/>
    <w:rsid w:val="006C38D3"/>
    <w:rsid w:val="006C3A2D"/>
    <w:rsid w:val="006C3FCD"/>
    <w:rsid w:val="006C44CD"/>
    <w:rsid w:val="006C4C69"/>
    <w:rsid w:val="006C4F2A"/>
    <w:rsid w:val="006C53E5"/>
    <w:rsid w:val="006C5A39"/>
    <w:rsid w:val="006C68DA"/>
    <w:rsid w:val="006C6AB5"/>
    <w:rsid w:val="006C6DD3"/>
    <w:rsid w:val="006C714D"/>
    <w:rsid w:val="006C77D5"/>
    <w:rsid w:val="006C78EE"/>
    <w:rsid w:val="006C7D35"/>
    <w:rsid w:val="006D0D62"/>
    <w:rsid w:val="006D142A"/>
    <w:rsid w:val="006D190F"/>
    <w:rsid w:val="006D1912"/>
    <w:rsid w:val="006D1964"/>
    <w:rsid w:val="006D26C4"/>
    <w:rsid w:val="006D2747"/>
    <w:rsid w:val="006D2940"/>
    <w:rsid w:val="006D2E04"/>
    <w:rsid w:val="006D3768"/>
    <w:rsid w:val="006D3E28"/>
    <w:rsid w:val="006D4574"/>
    <w:rsid w:val="006D479B"/>
    <w:rsid w:val="006D481A"/>
    <w:rsid w:val="006D4F86"/>
    <w:rsid w:val="006D5A4E"/>
    <w:rsid w:val="006D5AE3"/>
    <w:rsid w:val="006D6017"/>
    <w:rsid w:val="006D6364"/>
    <w:rsid w:val="006D6D31"/>
    <w:rsid w:val="006D70E2"/>
    <w:rsid w:val="006D720E"/>
    <w:rsid w:val="006D7287"/>
    <w:rsid w:val="006D775B"/>
    <w:rsid w:val="006D7C47"/>
    <w:rsid w:val="006D7E76"/>
    <w:rsid w:val="006D7FB8"/>
    <w:rsid w:val="006E060B"/>
    <w:rsid w:val="006E0823"/>
    <w:rsid w:val="006E0DCC"/>
    <w:rsid w:val="006E0EE6"/>
    <w:rsid w:val="006E1738"/>
    <w:rsid w:val="006E1D7D"/>
    <w:rsid w:val="006E3093"/>
    <w:rsid w:val="006E35AF"/>
    <w:rsid w:val="006E38A5"/>
    <w:rsid w:val="006E3DE5"/>
    <w:rsid w:val="006E3E7E"/>
    <w:rsid w:val="006E41C4"/>
    <w:rsid w:val="006E4459"/>
    <w:rsid w:val="006E487B"/>
    <w:rsid w:val="006E4E20"/>
    <w:rsid w:val="006E50C5"/>
    <w:rsid w:val="006E52E3"/>
    <w:rsid w:val="006E5450"/>
    <w:rsid w:val="006E5A63"/>
    <w:rsid w:val="006E60FE"/>
    <w:rsid w:val="006E6534"/>
    <w:rsid w:val="006E68B5"/>
    <w:rsid w:val="006E7103"/>
    <w:rsid w:val="006E710D"/>
    <w:rsid w:val="006E7183"/>
    <w:rsid w:val="006E72C6"/>
    <w:rsid w:val="006E74A3"/>
    <w:rsid w:val="006E784F"/>
    <w:rsid w:val="006E7AB3"/>
    <w:rsid w:val="006E7D7A"/>
    <w:rsid w:val="006E7DDC"/>
    <w:rsid w:val="006F04E8"/>
    <w:rsid w:val="006F06AD"/>
    <w:rsid w:val="006F076A"/>
    <w:rsid w:val="006F0998"/>
    <w:rsid w:val="006F0B1D"/>
    <w:rsid w:val="006F0BDF"/>
    <w:rsid w:val="006F0D32"/>
    <w:rsid w:val="006F0D84"/>
    <w:rsid w:val="006F12AD"/>
    <w:rsid w:val="006F13D9"/>
    <w:rsid w:val="006F180E"/>
    <w:rsid w:val="006F30B4"/>
    <w:rsid w:val="006F32A5"/>
    <w:rsid w:val="006F32DC"/>
    <w:rsid w:val="006F38C2"/>
    <w:rsid w:val="006F399E"/>
    <w:rsid w:val="006F3A55"/>
    <w:rsid w:val="006F3FDD"/>
    <w:rsid w:val="006F4145"/>
    <w:rsid w:val="006F414D"/>
    <w:rsid w:val="006F425E"/>
    <w:rsid w:val="006F4276"/>
    <w:rsid w:val="006F43E1"/>
    <w:rsid w:val="006F4A64"/>
    <w:rsid w:val="006F5102"/>
    <w:rsid w:val="006F5525"/>
    <w:rsid w:val="006F57F4"/>
    <w:rsid w:val="006F58FA"/>
    <w:rsid w:val="006F5D98"/>
    <w:rsid w:val="006F5DF1"/>
    <w:rsid w:val="006F5E7A"/>
    <w:rsid w:val="006F5F71"/>
    <w:rsid w:val="006F6199"/>
    <w:rsid w:val="006F6BE8"/>
    <w:rsid w:val="006F7A92"/>
    <w:rsid w:val="006F7CA2"/>
    <w:rsid w:val="00700D79"/>
    <w:rsid w:val="00700FBD"/>
    <w:rsid w:val="00700FE1"/>
    <w:rsid w:val="00701456"/>
    <w:rsid w:val="007026E0"/>
    <w:rsid w:val="00702DDA"/>
    <w:rsid w:val="00702F13"/>
    <w:rsid w:val="00703309"/>
    <w:rsid w:val="00703CBF"/>
    <w:rsid w:val="00704520"/>
    <w:rsid w:val="00704557"/>
    <w:rsid w:val="00704598"/>
    <w:rsid w:val="0070459A"/>
    <w:rsid w:val="0070489C"/>
    <w:rsid w:val="00704A36"/>
    <w:rsid w:val="00705ADC"/>
    <w:rsid w:val="00705DE0"/>
    <w:rsid w:val="00705E3E"/>
    <w:rsid w:val="007060CD"/>
    <w:rsid w:val="0070653C"/>
    <w:rsid w:val="00706BDA"/>
    <w:rsid w:val="00707050"/>
    <w:rsid w:val="00707523"/>
    <w:rsid w:val="00707687"/>
    <w:rsid w:val="00707875"/>
    <w:rsid w:val="00707942"/>
    <w:rsid w:val="00707BA5"/>
    <w:rsid w:val="007101FD"/>
    <w:rsid w:val="00710256"/>
    <w:rsid w:val="0071052A"/>
    <w:rsid w:val="00710F22"/>
    <w:rsid w:val="00711204"/>
    <w:rsid w:val="00711228"/>
    <w:rsid w:val="00711411"/>
    <w:rsid w:val="0071191E"/>
    <w:rsid w:val="00711B3B"/>
    <w:rsid w:val="00711D4E"/>
    <w:rsid w:val="00711E46"/>
    <w:rsid w:val="00711ECE"/>
    <w:rsid w:val="0071256D"/>
    <w:rsid w:val="00712676"/>
    <w:rsid w:val="00712901"/>
    <w:rsid w:val="0071299D"/>
    <w:rsid w:val="00712CB7"/>
    <w:rsid w:val="00712DF3"/>
    <w:rsid w:val="00712ED2"/>
    <w:rsid w:val="00712F1E"/>
    <w:rsid w:val="00713203"/>
    <w:rsid w:val="0071320A"/>
    <w:rsid w:val="00713649"/>
    <w:rsid w:val="00713FEB"/>
    <w:rsid w:val="00714002"/>
    <w:rsid w:val="00714592"/>
    <w:rsid w:val="00714604"/>
    <w:rsid w:val="00714D98"/>
    <w:rsid w:val="00714E07"/>
    <w:rsid w:val="007154F2"/>
    <w:rsid w:val="00715DA4"/>
    <w:rsid w:val="00716118"/>
    <w:rsid w:val="00716C69"/>
    <w:rsid w:val="00716D11"/>
    <w:rsid w:val="00716D9E"/>
    <w:rsid w:val="00717246"/>
    <w:rsid w:val="007175AF"/>
    <w:rsid w:val="00717601"/>
    <w:rsid w:val="0072004F"/>
    <w:rsid w:val="00720392"/>
    <w:rsid w:val="00720A69"/>
    <w:rsid w:val="00720EB8"/>
    <w:rsid w:val="0072116F"/>
    <w:rsid w:val="007214B9"/>
    <w:rsid w:val="00721899"/>
    <w:rsid w:val="00722071"/>
    <w:rsid w:val="00722307"/>
    <w:rsid w:val="0072233D"/>
    <w:rsid w:val="007227C4"/>
    <w:rsid w:val="00722A9E"/>
    <w:rsid w:val="00722AE5"/>
    <w:rsid w:val="00722D51"/>
    <w:rsid w:val="00722EC8"/>
    <w:rsid w:val="00723282"/>
    <w:rsid w:val="00723540"/>
    <w:rsid w:val="00723784"/>
    <w:rsid w:val="007238E0"/>
    <w:rsid w:val="007239B1"/>
    <w:rsid w:val="00724176"/>
    <w:rsid w:val="00724259"/>
    <w:rsid w:val="0072442F"/>
    <w:rsid w:val="00724C54"/>
    <w:rsid w:val="00724D8A"/>
    <w:rsid w:val="00724F1A"/>
    <w:rsid w:val="0072530B"/>
    <w:rsid w:val="0072533D"/>
    <w:rsid w:val="0072544C"/>
    <w:rsid w:val="00725E9D"/>
    <w:rsid w:val="00725EA3"/>
    <w:rsid w:val="00725F35"/>
    <w:rsid w:val="00725F68"/>
    <w:rsid w:val="0072635E"/>
    <w:rsid w:val="00726992"/>
    <w:rsid w:val="00726CAE"/>
    <w:rsid w:val="00726D53"/>
    <w:rsid w:val="00727533"/>
    <w:rsid w:val="0072762F"/>
    <w:rsid w:val="00727A21"/>
    <w:rsid w:val="00727A55"/>
    <w:rsid w:val="00727A59"/>
    <w:rsid w:val="00727C93"/>
    <w:rsid w:val="00727CD6"/>
    <w:rsid w:val="00730316"/>
    <w:rsid w:val="0073059A"/>
    <w:rsid w:val="00730C08"/>
    <w:rsid w:val="00730D29"/>
    <w:rsid w:val="00730F9A"/>
    <w:rsid w:val="00731183"/>
    <w:rsid w:val="00731B1B"/>
    <w:rsid w:val="00731D0F"/>
    <w:rsid w:val="00731DFE"/>
    <w:rsid w:val="00732341"/>
    <w:rsid w:val="0073260F"/>
    <w:rsid w:val="00732619"/>
    <w:rsid w:val="007326EE"/>
    <w:rsid w:val="007328A5"/>
    <w:rsid w:val="007328C3"/>
    <w:rsid w:val="00732CBA"/>
    <w:rsid w:val="007331F4"/>
    <w:rsid w:val="007332FE"/>
    <w:rsid w:val="007337E8"/>
    <w:rsid w:val="00734306"/>
    <w:rsid w:val="007343BE"/>
    <w:rsid w:val="00734486"/>
    <w:rsid w:val="0073462A"/>
    <w:rsid w:val="00734CAC"/>
    <w:rsid w:val="007355E0"/>
    <w:rsid w:val="00735615"/>
    <w:rsid w:val="007360B9"/>
    <w:rsid w:val="00736537"/>
    <w:rsid w:val="00736991"/>
    <w:rsid w:val="007370BC"/>
    <w:rsid w:val="0073762F"/>
    <w:rsid w:val="0073784E"/>
    <w:rsid w:val="00740287"/>
    <w:rsid w:val="007403BA"/>
    <w:rsid w:val="00740918"/>
    <w:rsid w:val="00740E6C"/>
    <w:rsid w:val="00741112"/>
    <w:rsid w:val="00741C3F"/>
    <w:rsid w:val="00741C77"/>
    <w:rsid w:val="00741D3D"/>
    <w:rsid w:val="0074206C"/>
    <w:rsid w:val="007420F0"/>
    <w:rsid w:val="007421AD"/>
    <w:rsid w:val="007424B5"/>
    <w:rsid w:val="00742962"/>
    <w:rsid w:val="0074351A"/>
    <w:rsid w:val="007444A2"/>
    <w:rsid w:val="0074463A"/>
    <w:rsid w:val="0074481A"/>
    <w:rsid w:val="007448AE"/>
    <w:rsid w:val="00744B58"/>
    <w:rsid w:val="00744DCE"/>
    <w:rsid w:val="00744EE6"/>
    <w:rsid w:val="007457D7"/>
    <w:rsid w:val="00745964"/>
    <w:rsid w:val="0074632C"/>
    <w:rsid w:val="00746668"/>
    <w:rsid w:val="007466C9"/>
    <w:rsid w:val="00746924"/>
    <w:rsid w:val="00746AF1"/>
    <w:rsid w:val="00746F37"/>
    <w:rsid w:val="0074761C"/>
    <w:rsid w:val="007478E3"/>
    <w:rsid w:val="00747A59"/>
    <w:rsid w:val="00747B3B"/>
    <w:rsid w:val="00747BA3"/>
    <w:rsid w:val="00747C81"/>
    <w:rsid w:val="0075050B"/>
    <w:rsid w:val="00751014"/>
    <w:rsid w:val="007514F4"/>
    <w:rsid w:val="0075150B"/>
    <w:rsid w:val="0075150F"/>
    <w:rsid w:val="0075158B"/>
    <w:rsid w:val="007518A9"/>
    <w:rsid w:val="00751B79"/>
    <w:rsid w:val="00752030"/>
    <w:rsid w:val="00752165"/>
    <w:rsid w:val="00752972"/>
    <w:rsid w:val="00752995"/>
    <w:rsid w:val="00752A42"/>
    <w:rsid w:val="00752ABF"/>
    <w:rsid w:val="00752C6E"/>
    <w:rsid w:val="00752E63"/>
    <w:rsid w:val="007534CE"/>
    <w:rsid w:val="0075393F"/>
    <w:rsid w:val="00753D97"/>
    <w:rsid w:val="007543CB"/>
    <w:rsid w:val="00754476"/>
    <w:rsid w:val="0075463B"/>
    <w:rsid w:val="00754F42"/>
    <w:rsid w:val="00755108"/>
    <w:rsid w:val="0075530E"/>
    <w:rsid w:val="00756082"/>
    <w:rsid w:val="007561C7"/>
    <w:rsid w:val="00756333"/>
    <w:rsid w:val="007566A2"/>
    <w:rsid w:val="0075756A"/>
    <w:rsid w:val="0075761B"/>
    <w:rsid w:val="007576C6"/>
    <w:rsid w:val="007579D1"/>
    <w:rsid w:val="00757C1C"/>
    <w:rsid w:val="00757FEC"/>
    <w:rsid w:val="007600B5"/>
    <w:rsid w:val="007604C8"/>
    <w:rsid w:val="007613A2"/>
    <w:rsid w:val="007616F5"/>
    <w:rsid w:val="007616F8"/>
    <w:rsid w:val="00761A8A"/>
    <w:rsid w:val="00761BE2"/>
    <w:rsid w:val="007627C6"/>
    <w:rsid w:val="007628AB"/>
    <w:rsid w:val="00762CC6"/>
    <w:rsid w:val="00762D6F"/>
    <w:rsid w:val="00762DAD"/>
    <w:rsid w:val="007630AE"/>
    <w:rsid w:val="0076337F"/>
    <w:rsid w:val="00763381"/>
    <w:rsid w:val="007636DF"/>
    <w:rsid w:val="00764122"/>
    <w:rsid w:val="007641AB"/>
    <w:rsid w:val="00764298"/>
    <w:rsid w:val="007643D8"/>
    <w:rsid w:val="00765190"/>
    <w:rsid w:val="00765F97"/>
    <w:rsid w:val="00766D8A"/>
    <w:rsid w:val="00766E9A"/>
    <w:rsid w:val="00766F70"/>
    <w:rsid w:val="0076732A"/>
    <w:rsid w:val="00767F2F"/>
    <w:rsid w:val="0077156A"/>
    <w:rsid w:val="007716B4"/>
    <w:rsid w:val="00772073"/>
    <w:rsid w:val="0077261F"/>
    <w:rsid w:val="00772A0B"/>
    <w:rsid w:val="0077381B"/>
    <w:rsid w:val="007738C2"/>
    <w:rsid w:val="00773BFE"/>
    <w:rsid w:val="00773FCD"/>
    <w:rsid w:val="00774550"/>
    <w:rsid w:val="0077489C"/>
    <w:rsid w:val="007749D7"/>
    <w:rsid w:val="00774A08"/>
    <w:rsid w:val="00774A2A"/>
    <w:rsid w:val="00774A65"/>
    <w:rsid w:val="00774AAF"/>
    <w:rsid w:val="00774AD1"/>
    <w:rsid w:val="00774C8E"/>
    <w:rsid w:val="00774D4F"/>
    <w:rsid w:val="00774EBC"/>
    <w:rsid w:val="00775402"/>
    <w:rsid w:val="0077540B"/>
    <w:rsid w:val="00775E8D"/>
    <w:rsid w:val="00776110"/>
    <w:rsid w:val="007761A2"/>
    <w:rsid w:val="007762C1"/>
    <w:rsid w:val="00776B15"/>
    <w:rsid w:val="00776F51"/>
    <w:rsid w:val="00777660"/>
    <w:rsid w:val="00777F17"/>
    <w:rsid w:val="00777FAD"/>
    <w:rsid w:val="007800F8"/>
    <w:rsid w:val="007805E8"/>
    <w:rsid w:val="0078079E"/>
    <w:rsid w:val="00780C69"/>
    <w:rsid w:val="00780DCC"/>
    <w:rsid w:val="00780E87"/>
    <w:rsid w:val="00781215"/>
    <w:rsid w:val="007821C9"/>
    <w:rsid w:val="007821D0"/>
    <w:rsid w:val="00782906"/>
    <w:rsid w:val="00782A30"/>
    <w:rsid w:val="00782F86"/>
    <w:rsid w:val="007835B2"/>
    <w:rsid w:val="0078378C"/>
    <w:rsid w:val="00783D3E"/>
    <w:rsid w:val="0078457C"/>
    <w:rsid w:val="00784585"/>
    <w:rsid w:val="007846B6"/>
    <w:rsid w:val="00784A57"/>
    <w:rsid w:val="007853EA"/>
    <w:rsid w:val="007856C0"/>
    <w:rsid w:val="00785D2C"/>
    <w:rsid w:val="007861E0"/>
    <w:rsid w:val="00786AA7"/>
    <w:rsid w:val="00786C86"/>
    <w:rsid w:val="00786F7A"/>
    <w:rsid w:val="00787A73"/>
    <w:rsid w:val="00790269"/>
    <w:rsid w:val="007912A6"/>
    <w:rsid w:val="007916FC"/>
    <w:rsid w:val="00791CF6"/>
    <w:rsid w:val="00792486"/>
    <w:rsid w:val="007924AC"/>
    <w:rsid w:val="00792792"/>
    <w:rsid w:val="00792B32"/>
    <w:rsid w:val="00792BB6"/>
    <w:rsid w:val="00792F74"/>
    <w:rsid w:val="00793024"/>
    <w:rsid w:val="00793819"/>
    <w:rsid w:val="00793C81"/>
    <w:rsid w:val="00793C83"/>
    <w:rsid w:val="007946DB"/>
    <w:rsid w:val="00794C6D"/>
    <w:rsid w:val="00795346"/>
    <w:rsid w:val="007955F4"/>
    <w:rsid w:val="0079561E"/>
    <w:rsid w:val="00795BA3"/>
    <w:rsid w:val="007965FB"/>
    <w:rsid w:val="00796812"/>
    <w:rsid w:val="00797165"/>
    <w:rsid w:val="0079773B"/>
    <w:rsid w:val="007A0248"/>
    <w:rsid w:val="007A094B"/>
    <w:rsid w:val="007A11D6"/>
    <w:rsid w:val="007A15E9"/>
    <w:rsid w:val="007A1651"/>
    <w:rsid w:val="007A1F00"/>
    <w:rsid w:val="007A1FCF"/>
    <w:rsid w:val="007A239F"/>
    <w:rsid w:val="007A32D0"/>
    <w:rsid w:val="007A35A3"/>
    <w:rsid w:val="007A3825"/>
    <w:rsid w:val="007A3BE0"/>
    <w:rsid w:val="007A3C76"/>
    <w:rsid w:val="007A3F3B"/>
    <w:rsid w:val="007A450F"/>
    <w:rsid w:val="007A5956"/>
    <w:rsid w:val="007A615A"/>
    <w:rsid w:val="007A65D8"/>
    <w:rsid w:val="007A666B"/>
    <w:rsid w:val="007A6971"/>
    <w:rsid w:val="007A6F63"/>
    <w:rsid w:val="007A7A67"/>
    <w:rsid w:val="007A7ED2"/>
    <w:rsid w:val="007B037F"/>
    <w:rsid w:val="007B0861"/>
    <w:rsid w:val="007B0A3B"/>
    <w:rsid w:val="007B0BD2"/>
    <w:rsid w:val="007B0EA0"/>
    <w:rsid w:val="007B1A5A"/>
    <w:rsid w:val="007B2628"/>
    <w:rsid w:val="007B274C"/>
    <w:rsid w:val="007B3052"/>
    <w:rsid w:val="007B3BC2"/>
    <w:rsid w:val="007B3CDA"/>
    <w:rsid w:val="007B416A"/>
    <w:rsid w:val="007B41D7"/>
    <w:rsid w:val="007B4B7B"/>
    <w:rsid w:val="007B4DF1"/>
    <w:rsid w:val="007B4FF8"/>
    <w:rsid w:val="007B504B"/>
    <w:rsid w:val="007B510C"/>
    <w:rsid w:val="007B62C3"/>
    <w:rsid w:val="007B67CC"/>
    <w:rsid w:val="007B6DD8"/>
    <w:rsid w:val="007B7105"/>
    <w:rsid w:val="007B7117"/>
    <w:rsid w:val="007B75B6"/>
    <w:rsid w:val="007B7FBE"/>
    <w:rsid w:val="007B7FFB"/>
    <w:rsid w:val="007C000D"/>
    <w:rsid w:val="007C0A83"/>
    <w:rsid w:val="007C0DA0"/>
    <w:rsid w:val="007C1010"/>
    <w:rsid w:val="007C1349"/>
    <w:rsid w:val="007C1B60"/>
    <w:rsid w:val="007C2168"/>
    <w:rsid w:val="007C2319"/>
    <w:rsid w:val="007C23B9"/>
    <w:rsid w:val="007C281F"/>
    <w:rsid w:val="007C29F7"/>
    <w:rsid w:val="007C2E37"/>
    <w:rsid w:val="007C3397"/>
    <w:rsid w:val="007C384B"/>
    <w:rsid w:val="007C3C4B"/>
    <w:rsid w:val="007C3DB2"/>
    <w:rsid w:val="007C3ECD"/>
    <w:rsid w:val="007C489B"/>
    <w:rsid w:val="007C49E8"/>
    <w:rsid w:val="007C4CAC"/>
    <w:rsid w:val="007C4CE7"/>
    <w:rsid w:val="007C4D84"/>
    <w:rsid w:val="007C5417"/>
    <w:rsid w:val="007C54A7"/>
    <w:rsid w:val="007C5CA5"/>
    <w:rsid w:val="007C624F"/>
    <w:rsid w:val="007C6681"/>
    <w:rsid w:val="007C66B1"/>
    <w:rsid w:val="007C6BF4"/>
    <w:rsid w:val="007C6EEF"/>
    <w:rsid w:val="007C71D8"/>
    <w:rsid w:val="007C7CB0"/>
    <w:rsid w:val="007C7E55"/>
    <w:rsid w:val="007D00A4"/>
    <w:rsid w:val="007D0659"/>
    <w:rsid w:val="007D0A79"/>
    <w:rsid w:val="007D0BE6"/>
    <w:rsid w:val="007D0D80"/>
    <w:rsid w:val="007D11CA"/>
    <w:rsid w:val="007D1243"/>
    <w:rsid w:val="007D12A7"/>
    <w:rsid w:val="007D1970"/>
    <w:rsid w:val="007D1ACF"/>
    <w:rsid w:val="007D1E2F"/>
    <w:rsid w:val="007D1FBC"/>
    <w:rsid w:val="007D2546"/>
    <w:rsid w:val="007D2CE5"/>
    <w:rsid w:val="007D3447"/>
    <w:rsid w:val="007D366E"/>
    <w:rsid w:val="007D3C86"/>
    <w:rsid w:val="007D3D96"/>
    <w:rsid w:val="007D3DF4"/>
    <w:rsid w:val="007D4126"/>
    <w:rsid w:val="007D41D2"/>
    <w:rsid w:val="007D426A"/>
    <w:rsid w:val="007D43CD"/>
    <w:rsid w:val="007D4B4B"/>
    <w:rsid w:val="007D5E29"/>
    <w:rsid w:val="007D613F"/>
    <w:rsid w:val="007D6536"/>
    <w:rsid w:val="007D6A37"/>
    <w:rsid w:val="007D6BEA"/>
    <w:rsid w:val="007D7132"/>
    <w:rsid w:val="007D7672"/>
    <w:rsid w:val="007D79EE"/>
    <w:rsid w:val="007D7B1E"/>
    <w:rsid w:val="007E039A"/>
    <w:rsid w:val="007E0A92"/>
    <w:rsid w:val="007E1544"/>
    <w:rsid w:val="007E194C"/>
    <w:rsid w:val="007E1AB0"/>
    <w:rsid w:val="007E1DB7"/>
    <w:rsid w:val="007E1EB4"/>
    <w:rsid w:val="007E257C"/>
    <w:rsid w:val="007E25AB"/>
    <w:rsid w:val="007E29BB"/>
    <w:rsid w:val="007E2AFB"/>
    <w:rsid w:val="007E2B3A"/>
    <w:rsid w:val="007E2D3A"/>
    <w:rsid w:val="007E2E05"/>
    <w:rsid w:val="007E30AD"/>
    <w:rsid w:val="007E313C"/>
    <w:rsid w:val="007E3C65"/>
    <w:rsid w:val="007E4508"/>
    <w:rsid w:val="007E4568"/>
    <w:rsid w:val="007E4877"/>
    <w:rsid w:val="007E4BD5"/>
    <w:rsid w:val="007E51CB"/>
    <w:rsid w:val="007E538C"/>
    <w:rsid w:val="007E5AEF"/>
    <w:rsid w:val="007E5DBB"/>
    <w:rsid w:val="007E6F35"/>
    <w:rsid w:val="007E6F9B"/>
    <w:rsid w:val="007E703E"/>
    <w:rsid w:val="007E710E"/>
    <w:rsid w:val="007E76A2"/>
    <w:rsid w:val="007F01B5"/>
    <w:rsid w:val="007F0209"/>
    <w:rsid w:val="007F02B6"/>
    <w:rsid w:val="007F05DD"/>
    <w:rsid w:val="007F06DC"/>
    <w:rsid w:val="007F0C1A"/>
    <w:rsid w:val="007F0CAF"/>
    <w:rsid w:val="007F0CF6"/>
    <w:rsid w:val="007F110C"/>
    <w:rsid w:val="007F19EA"/>
    <w:rsid w:val="007F1F4A"/>
    <w:rsid w:val="007F2505"/>
    <w:rsid w:val="007F28AC"/>
    <w:rsid w:val="007F2EB7"/>
    <w:rsid w:val="007F3757"/>
    <w:rsid w:val="007F3AC0"/>
    <w:rsid w:val="007F3B01"/>
    <w:rsid w:val="007F40C9"/>
    <w:rsid w:val="007F43E6"/>
    <w:rsid w:val="007F5093"/>
    <w:rsid w:val="007F58BB"/>
    <w:rsid w:val="007F5DE2"/>
    <w:rsid w:val="007F625E"/>
    <w:rsid w:val="007F6624"/>
    <w:rsid w:val="007F66A2"/>
    <w:rsid w:val="007F68E8"/>
    <w:rsid w:val="007F6F3A"/>
    <w:rsid w:val="007F70F7"/>
    <w:rsid w:val="007F7741"/>
    <w:rsid w:val="007F7847"/>
    <w:rsid w:val="007F7884"/>
    <w:rsid w:val="008006DB"/>
    <w:rsid w:val="00800F83"/>
    <w:rsid w:val="008013F6"/>
    <w:rsid w:val="008017A2"/>
    <w:rsid w:val="008028A6"/>
    <w:rsid w:val="00802D47"/>
    <w:rsid w:val="008033A4"/>
    <w:rsid w:val="008034A0"/>
    <w:rsid w:val="008037DF"/>
    <w:rsid w:val="00804541"/>
    <w:rsid w:val="0080491B"/>
    <w:rsid w:val="008050A7"/>
    <w:rsid w:val="008050FC"/>
    <w:rsid w:val="00805135"/>
    <w:rsid w:val="0080560E"/>
    <w:rsid w:val="00805E8C"/>
    <w:rsid w:val="008079B7"/>
    <w:rsid w:val="00807BA8"/>
    <w:rsid w:val="00807FE8"/>
    <w:rsid w:val="00810141"/>
    <w:rsid w:val="00810A47"/>
    <w:rsid w:val="008111E0"/>
    <w:rsid w:val="0081141B"/>
    <w:rsid w:val="0081155A"/>
    <w:rsid w:val="0081167E"/>
    <w:rsid w:val="008117BC"/>
    <w:rsid w:val="0081186E"/>
    <w:rsid w:val="008118AE"/>
    <w:rsid w:val="0081203B"/>
    <w:rsid w:val="00812316"/>
    <w:rsid w:val="00812A6D"/>
    <w:rsid w:val="00812F90"/>
    <w:rsid w:val="008132DC"/>
    <w:rsid w:val="00813731"/>
    <w:rsid w:val="00813839"/>
    <w:rsid w:val="00813E6B"/>
    <w:rsid w:val="0081418D"/>
    <w:rsid w:val="00814839"/>
    <w:rsid w:val="00814C7C"/>
    <w:rsid w:val="00814DEA"/>
    <w:rsid w:val="00814F30"/>
    <w:rsid w:val="008158F9"/>
    <w:rsid w:val="00815D84"/>
    <w:rsid w:val="0081657B"/>
    <w:rsid w:val="0081686C"/>
    <w:rsid w:val="00816E92"/>
    <w:rsid w:val="008175E1"/>
    <w:rsid w:val="00817711"/>
    <w:rsid w:val="00817AE7"/>
    <w:rsid w:val="00817AF2"/>
    <w:rsid w:val="0082006B"/>
    <w:rsid w:val="008202ED"/>
    <w:rsid w:val="00820396"/>
    <w:rsid w:val="00820514"/>
    <w:rsid w:val="00820845"/>
    <w:rsid w:val="00820BF0"/>
    <w:rsid w:val="008211CE"/>
    <w:rsid w:val="008215CB"/>
    <w:rsid w:val="00821FC0"/>
    <w:rsid w:val="008222CF"/>
    <w:rsid w:val="00822318"/>
    <w:rsid w:val="00822624"/>
    <w:rsid w:val="00822634"/>
    <w:rsid w:val="00822AA3"/>
    <w:rsid w:val="00822C38"/>
    <w:rsid w:val="00822CAF"/>
    <w:rsid w:val="008237C8"/>
    <w:rsid w:val="00824357"/>
    <w:rsid w:val="00824860"/>
    <w:rsid w:val="008248C2"/>
    <w:rsid w:val="008248D6"/>
    <w:rsid w:val="00824A6F"/>
    <w:rsid w:val="00824B4F"/>
    <w:rsid w:val="00824BE7"/>
    <w:rsid w:val="00824DF7"/>
    <w:rsid w:val="00824F2A"/>
    <w:rsid w:val="0082508F"/>
    <w:rsid w:val="0082588D"/>
    <w:rsid w:val="008258D9"/>
    <w:rsid w:val="00827702"/>
    <w:rsid w:val="00827980"/>
    <w:rsid w:val="00827BAF"/>
    <w:rsid w:val="00827D7C"/>
    <w:rsid w:val="00827D81"/>
    <w:rsid w:val="00827DEA"/>
    <w:rsid w:val="0083034B"/>
    <w:rsid w:val="008306F5"/>
    <w:rsid w:val="00830A5B"/>
    <w:rsid w:val="00831286"/>
    <w:rsid w:val="00831670"/>
    <w:rsid w:val="00831AAF"/>
    <w:rsid w:val="00832CE8"/>
    <w:rsid w:val="0083334F"/>
    <w:rsid w:val="0083401A"/>
    <w:rsid w:val="008341E3"/>
    <w:rsid w:val="00834632"/>
    <w:rsid w:val="00834CC7"/>
    <w:rsid w:val="0083524D"/>
    <w:rsid w:val="00835AC8"/>
    <w:rsid w:val="00835EB9"/>
    <w:rsid w:val="0083616A"/>
    <w:rsid w:val="0083632B"/>
    <w:rsid w:val="00836949"/>
    <w:rsid w:val="008369E7"/>
    <w:rsid w:val="00837615"/>
    <w:rsid w:val="00837B57"/>
    <w:rsid w:val="00837F18"/>
    <w:rsid w:val="00840163"/>
    <w:rsid w:val="00840557"/>
    <w:rsid w:val="00840562"/>
    <w:rsid w:val="00840775"/>
    <w:rsid w:val="00840A9B"/>
    <w:rsid w:val="00840E7E"/>
    <w:rsid w:val="0084107C"/>
    <w:rsid w:val="0084140D"/>
    <w:rsid w:val="00841511"/>
    <w:rsid w:val="008415A3"/>
    <w:rsid w:val="00841B03"/>
    <w:rsid w:val="008425A1"/>
    <w:rsid w:val="00842610"/>
    <w:rsid w:val="008435D0"/>
    <w:rsid w:val="0084396B"/>
    <w:rsid w:val="00843CAC"/>
    <w:rsid w:val="00843CC5"/>
    <w:rsid w:val="00843E4F"/>
    <w:rsid w:val="00844E3B"/>
    <w:rsid w:val="00844F91"/>
    <w:rsid w:val="00845775"/>
    <w:rsid w:val="008462A9"/>
    <w:rsid w:val="00846374"/>
    <w:rsid w:val="00846478"/>
    <w:rsid w:val="0084673A"/>
    <w:rsid w:val="0084684A"/>
    <w:rsid w:val="0084691B"/>
    <w:rsid w:val="008469D6"/>
    <w:rsid w:val="0084767F"/>
    <w:rsid w:val="008479FB"/>
    <w:rsid w:val="00847AA6"/>
    <w:rsid w:val="00847C3A"/>
    <w:rsid w:val="00847DBA"/>
    <w:rsid w:val="008500A5"/>
    <w:rsid w:val="0085048C"/>
    <w:rsid w:val="0085089D"/>
    <w:rsid w:val="00850CE7"/>
    <w:rsid w:val="00850EA4"/>
    <w:rsid w:val="00850FAC"/>
    <w:rsid w:val="0085180E"/>
    <w:rsid w:val="0085199E"/>
    <w:rsid w:val="00851B2A"/>
    <w:rsid w:val="00851D06"/>
    <w:rsid w:val="00852049"/>
    <w:rsid w:val="0085220B"/>
    <w:rsid w:val="0085262F"/>
    <w:rsid w:val="008528FD"/>
    <w:rsid w:val="00853743"/>
    <w:rsid w:val="00853C6D"/>
    <w:rsid w:val="00853FF6"/>
    <w:rsid w:val="0085444B"/>
    <w:rsid w:val="00854518"/>
    <w:rsid w:val="00854624"/>
    <w:rsid w:val="00854C4F"/>
    <w:rsid w:val="00854E95"/>
    <w:rsid w:val="00854ED9"/>
    <w:rsid w:val="00854EFC"/>
    <w:rsid w:val="00855043"/>
    <w:rsid w:val="008552F3"/>
    <w:rsid w:val="00855463"/>
    <w:rsid w:val="0085555D"/>
    <w:rsid w:val="00855708"/>
    <w:rsid w:val="008557C4"/>
    <w:rsid w:val="0085594D"/>
    <w:rsid w:val="00855A8E"/>
    <w:rsid w:val="00855B37"/>
    <w:rsid w:val="00855F14"/>
    <w:rsid w:val="00856460"/>
    <w:rsid w:val="0085651A"/>
    <w:rsid w:val="0085699F"/>
    <w:rsid w:val="00856A54"/>
    <w:rsid w:val="008602B7"/>
    <w:rsid w:val="008604C2"/>
    <w:rsid w:val="00860BC1"/>
    <w:rsid w:val="00860C32"/>
    <w:rsid w:val="00860ECD"/>
    <w:rsid w:val="00861537"/>
    <w:rsid w:val="008616D8"/>
    <w:rsid w:val="00861C08"/>
    <w:rsid w:val="00862424"/>
    <w:rsid w:val="008629C8"/>
    <w:rsid w:val="00862C8E"/>
    <w:rsid w:val="00862D4F"/>
    <w:rsid w:val="008637D6"/>
    <w:rsid w:val="008637E8"/>
    <w:rsid w:val="008638E6"/>
    <w:rsid w:val="00863920"/>
    <w:rsid w:val="00863CA6"/>
    <w:rsid w:val="008642D2"/>
    <w:rsid w:val="00864347"/>
    <w:rsid w:val="00864FFE"/>
    <w:rsid w:val="00865860"/>
    <w:rsid w:val="008659B8"/>
    <w:rsid w:val="00865A6B"/>
    <w:rsid w:val="00865B66"/>
    <w:rsid w:val="00865CC9"/>
    <w:rsid w:val="00866126"/>
    <w:rsid w:val="008665C1"/>
    <w:rsid w:val="00866C1E"/>
    <w:rsid w:val="008675DE"/>
    <w:rsid w:val="0086792C"/>
    <w:rsid w:val="008700AF"/>
    <w:rsid w:val="00870C60"/>
    <w:rsid w:val="00871020"/>
    <w:rsid w:val="00871023"/>
    <w:rsid w:val="008713D9"/>
    <w:rsid w:val="008713DB"/>
    <w:rsid w:val="0087182B"/>
    <w:rsid w:val="008721D6"/>
    <w:rsid w:val="00872293"/>
    <w:rsid w:val="008724A7"/>
    <w:rsid w:val="00872606"/>
    <w:rsid w:val="008726DF"/>
    <w:rsid w:val="00872B16"/>
    <w:rsid w:val="00872C6A"/>
    <w:rsid w:val="00873AF4"/>
    <w:rsid w:val="00873D00"/>
    <w:rsid w:val="00873EBA"/>
    <w:rsid w:val="0087426E"/>
    <w:rsid w:val="0087443B"/>
    <w:rsid w:val="008746B9"/>
    <w:rsid w:val="0087492E"/>
    <w:rsid w:val="00874CC0"/>
    <w:rsid w:val="00874E2F"/>
    <w:rsid w:val="0087551A"/>
    <w:rsid w:val="00875520"/>
    <w:rsid w:val="00875572"/>
    <w:rsid w:val="00875AF1"/>
    <w:rsid w:val="00875B06"/>
    <w:rsid w:val="00875DC4"/>
    <w:rsid w:val="008763B7"/>
    <w:rsid w:val="00876613"/>
    <w:rsid w:val="008769E2"/>
    <w:rsid w:val="00876D14"/>
    <w:rsid w:val="00876E7F"/>
    <w:rsid w:val="0087729F"/>
    <w:rsid w:val="00877315"/>
    <w:rsid w:val="00877317"/>
    <w:rsid w:val="008779FE"/>
    <w:rsid w:val="00877D2D"/>
    <w:rsid w:val="0088043D"/>
    <w:rsid w:val="00880C78"/>
    <w:rsid w:val="00881254"/>
    <w:rsid w:val="00881256"/>
    <w:rsid w:val="008812A8"/>
    <w:rsid w:val="008813B4"/>
    <w:rsid w:val="008815B5"/>
    <w:rsid w:val="008816D2"/>
    <w:rsid w:val="00881713"/>
    <w:rsid w:val="00881727"/>
    <w:rsid w:val="00881AC9"/>
    <w:rsid w:val="00881F8B"/>
    <w:rsid w:val="00882201"/>
    <w:rsid w:val="00882343"/>
    <w:rsid w:val="008827AE"/>
    <w:rsid w:val="008830E9"/>
    <w:rsid w:val="00883402"/>
    <w:rsid w:val="008835D4"/>
    <w:rsid w:val="00883A91"/>
    <w:rsid w:val="00883B5E"/>
    <w:rsid w:val="00883DE0"/>
    <w:rsid w:val="00883F56"/>
    <w:rsid w:val="00884002"/>
    <w:rsid w:val="00884211"/>
    <w:rsid w:val="008847FC"/>
    <w:rsid w:val="008849D4"/>
    <w:rsid w:val="00884A74"/>
    <w:rsid w:val="00884A8D"/>
    <w:rsid w:val="008856AF"/>
    <w:rsid w:val="008859C0"/>
    <w:rsid w:val="00885C8D"/>
    <w:rsid w:val="00886453"/>
    <w:rsid w:val="008866BD"/>
    <w:rsid w:val="00886745"/>
    <w:rsid w:val="00886C64"/>
    <w:rsid w:val="00887043"/>
    <w:rsid w:val="00887926"/>
    <w:rsid w:val="00887CE5"/>
    <w:rsid w:val="008906D9"/>
    <w:rsid w:val="00890765"/>
    <w:rsid w:val="00890A35"/>
    <w:rsid w:val="00890D19"/>
    <w:rsid w:val="00890E9C"/>
    <w:rsid w:val="00890F1B"/>
    <w:rsid w:val="0089142E"/>
    <w:rsid w:val="008917BE"/>
    <w:rsid w:val="008918B4"/>
    <w:rsid w:val="008919E7"/>
    <w:rsid w:val="00891AA4"/>
    <w:rsid w:val="00892112"/>
    <w:rsid w:val="008922A5"/>
    <w:rsid w:val="0089236D"/>
    <w:rsid w:val="008928A7"/>
    <w:rsid w:val="008929DE"/>
    <w:rsid w:val="0089328A"/>
    <w:rsid w:val="008945E5"/>
    <w:rsid w:val="008949F7"/>
    <w:rsid w:val="00894C85"/>
    <w:rsid w:val="00894D3F"/>
    <w:rsid w:val="00895436"/>
    <w:rsid w:val="00895479"/>
    <w:rsid w:val="00895614"/>
    <w:rsid w:val="0089601F"/>
    <w:rsid w:val="0089602B"/>
    <w:rsid w:val="00896081"/>
    <w:rsid w:val="0089625D"/>
    <w:rsid w:val="008964EA"/>
    <w:rsid w:val="00896CD2"/>
    <w:rsid w:val="008978B9"/>
    <w:rsid w:val="008A0001"/>
    <w:rsid w:val="008A0565"/>
    <w:rsid w:val="008A08F2"/>
    <w:rsid w:val="008A0C94"/>
    <w:rsid w:val="008A0EE9"/>
    <w:rsid w:val="008A17CD"/>
    <w:rsid w:val="008A19C1"/>
    <w:rsid w:val="008A2468"/>
    <w:rsid w:val="008A2864"/>
    <w:rsid w:val="008A2BFE"/>
    <w:rsid w:val="008A2F5B"/>
    <w:rsid w:val="008A37FB"/>
    <w:rsid w:val="008A383C"/>
    <w:rsid w:val="008A3B08"/>
    <w:rsid w:val="008A4375"/>
    <w:rsid w:val="008A448B"/>
    <w:rsid w:val="008A46F4"/>
    <w:rsid w:val="008A47DB"/>
    <w:rsid w:val="008A59BA"/>
    <w:rsid w:val="008A6713"/>
    <w:rsid w:val="008A6737"/>
    <w:rsid w:val="008A6A44"/>
    <w:rsid w:val="008A723C"/>
    <w:rsid w:val="008A731A"/>
    <w:rsid w:val="008A7768"/>
    <w:rsid w:val="008A7BC1"/>
    <w:rsid w:val="008A7DCE"/>
    <w:rsid w:val="008B0951"/>
    <w:rsid w:val="008B0B05"/>
    <w:rsid w:val="008B0BE7"/>
    <w:rsid w:val="008B19F5"/>
    <w:rsid w:val="008B1D2E"/>
    <w:rsid w:val="008B28E8"/>
    <w:rsid w:val="008B2F62"/>
    <w:rsid w:val="008B3065"/>
    <w:rsid w:val="008B3809"/>
    <w:rsid w:val="008B39B2"/>
    <w:rsid w:val="008B3DF2"/>
    <w:rsid w:val="008B4132"/>
    <w:rsid w:val="008B48C8"/>
    <w:rsid w:val="008B4A79"/>
    <w:rsid w:val="008B4C46"/>
    <w:rsid w:val="008B4D9D"/>
    <w:rsid w:val="008B52BD"/>
    <w:rsid w:val="008B54B9"/>
    <w:rsid w:val="008B5812"/>
    <w:rsid w:val="008B5C35"/>
    <w:rsid w:val="008B5E7E"/>
    <w:rsid w:val="008B5EA1"/>
    <w:rsid w:val="008B686E"/>
    <w:rsid w:val="008B6D51"/>
    <w:rsid w:val="008B7068"/>
    <w:rsid w:val="008B7734"/>
    <w:rsid w:val="008B7B2B"/>
    <w:rsid w:val="008B7D29"/>
    <w:rsid w:val="008B7E8F"/>
    <w:rsid w:val="008B7FBF"/>
    <w:rsid w:val="008C0694"/>
    <w:rsid w:val="008C07EB"/>
    <w:rsid w:val="008C0D21"/>
    <w:rsid w:val="008C0DF2"/>
    <w:rsid w:val="008C0EE3"/>
    <w:rsid w:val="008C12B8"/>
    <w:rsid w:val="008C1905"/>
    <w:rsid w:val="008C1E89"/>
    <w:rsid w:val="008C222B"/>
    <w:rsid w:val="008C2384"/>
    <w:rsid w:val="008C2536"/>
    <w:rsid w:val="008C254B"/>
    <w:rsid w:val="008C266D"/>
    <w:rsid w:val="008C2875"/>
    <w:rsid w:val="008C2E38"/>
    <w:rsid w:val="008C2EEC"/>
    <w:rsid w:val="008C31F3"/>
    <w:rsid w:val="008C364B"/>
    <w:rsid w:val="008C4191"/>
    <w:rsid w:val="008C47C1"/>
    <w:rsid w:val="008C4CF0"/>
    <w:rsid w:val="008C4EE4"/>
    <w:rsid w:val="008C5004"/>
    <w:rsid w:val="008C526B"/>
    <w:rsid w:val="008C53BB"/>
    <w:rsid w:val="008C5A59"/>
    <w:rsid w:val="008C5B09"/>
    <w:rsid w:val="008C5D52"/>
    <w:rsid w:val="008C762F"/>
    <w:rsid w:val="008C765C"/>
    <w:rsid w:val="008C7772"/>
    <w:rsid w:val="008C7EB3"/>
    <w:rsid w:val="008D01B6"/>
    <w:rsid w:val="008D0D2D"/>
    <w:rsid w:val="008D0DE3"/>
    <w:rsid w:val="008D12FE"/>
    <w:rsid w:val="008D19DD"/>
    <w:rsid w:val="008D1BF1"/>
    <w:rsid w:val="008D1F03"/>
    <w:rsid w:val="008D2101"/>
    <w:rsid w:val="008D2467"/>
    <w:rsid w:val="008D2D35"/>
    <w:rsid w:val="008D2D75"/>
    <w:rsid w:val="008D319A"/>
    <w:rsid w:val="008D36E5"/>
    <w:rsid w:val="008D37A3"/>
    <w:rsid w:val="008D3931"/>
    <w:rsid w:val="008D3F68"/>
    <w:rsid w:val="008D4178"/>
    <w:rsid w:val="008D4281"/>
    <w:rsid w:val="008D47D3"/>
    <w:rsid w:val="008D4829"/>
    <w:rsid w:val="008D4DCC"/>
    <w:rsid w:val="008D594B"/>
    <w:rsid w:val="008D5D34"/>
    <w:rsid w:val="008D5D9B"/>
    <w:rsid w:val="008D628D"/>
    <w:rsid w:val="008D6466"/>
    <w:rsid w:val="008D648F"/>
    <w:rsid w:val="008D6A12"/>
    <w:rsid w:val="008D6AAA"/>
    <w:rsid w:val="008D6B48"/>
    <w:rsid w:val="008D6B7D"/>
    <w:rsid w:val="008D6CE7"/>
    <w:rsid w:val="008D6ED1"/>
    <w:rsid w:val="008D71FF"/>
    <w:rsid w:val="008D738B"/>
    <w:rsid w:val="008D7465"/>
    <w:rsid w:val="008D7C35"/>
    <w:rsid w:val="008D7D9D"/>
    <w:rsid w:val="008E01A3"/>
    <w:rsid w:val="008E02E8"/>
    <w:rsid w:val="008E03F9"/>
    <w:rsid w:val="008E0591"/>
    <w:rsid w:val="008E1040"/>
    <w:rsid w:val="008E15E9"/>
    <w:rsid w:val="008E1808"/>
    <w:rsid w:val="008E20AE"/>
    <w:rsid w:val="008E245B"/>
    <w:rsid w:val="008E26B2"/>
    <w:rsid w:val="008E2C5E"/>
    <w:rsid w:val="008E3584"/>
    <w:rsid w:val="008E3649"/>
    <w:rsid w:val="008E3DDA"/>
    <w:rsid w:val="008E4406"/>
    <w:rsid w:val="008E4861"/>
    <w:rsid w:val="008E4F0E"/>
    <w:rsid w:val="008E58A5"/>
    <w:rsid w:val="008E5B42"/>
    <w:rsid w:val="008E6292"/>
    <w:rsid w:val="008E6DFD"/>
    <w:rsid w:val="008E6EE4"/>
    <w:rsid w:val="008E706A"/>
    <w:rsid w:val="008E7236"/>
    <w:rsid w:val="008E7566"/>
    <w:rsid w:val="008F028F"/>
    <w:rsid w:val="008F0759"/>
    <w:rsid w:val="008F09B8"/>
    <w:rsid w:val="008F0B8D"/>
    <w:rsid w:val="008F0DB0"/>
    <w:rsid w:val="008F1078"/>
    <w:rsid w:val="008F1344"/>
    <w:rsid w:val="008F13C7"/>
    <w:rsid w:val="008F13E0"/>
    <w:rsid w:val="008F17B2"/>
    <w:rsid w:val="008F1AA7"/>
    <w:rsid w:val="008F1DAC"/>
    <w:rsid w:val="008F21B7"/>
    <w:rsid w:val="008F2351"/>
    <w:rsid w:val="008F23DF"/>
    <w:rsid w:val="008F23E0"/>
    <w:rsid w:val="008F39EB"/>
    <w:rsid w:val="008F3DED"/>
    <w:rsid w:val="008F434E"/>
    <w:rsid w:val="008F4353"/>
    <w:rsid w:val="008F43FB"/>
    <w:rsid w:val="008F4D8D"/>
    <w:rsid w:val="008F4E79"/>
    <w:rsid w:val="008F5968"/>
    <w:rsid w:val="008F5B88"/>
    <w:rsid w:val="008F5CDF"/>
    <w:rsid w:val="008F5F1B"/>
    <w:rsid w:val="008F692C"/>
    <w:rsid w:val="008F6A69"/>
    <w:rsid w:val="008F6CDE"/>
    <w:rsid w:val="008F7300"/>
    <w:rsid w:val="008F75B9"/>
    <w:rsid w:val="008F7C41"/>
    <w:rsid w:val="00900E2E"/>
    <w:rsid w:val="009013A1"/>
    <w:rsid w:val="00901ABA"/>
    <w:rsid w:val="00901D76"/>
    <w:rsid w:val="00901E57"/>
    <w:rsid w:val="009022DE"/>
    <w:rsid w:val="00903403"/>
    <w:rsid w:val="00903727"/>
    <w:rsid w:val="009046F4"/>
    <w:rsid w:val="009049BD"/>
    <w:rsid w:val="00904E23"/>
    <w:rsid w:val="00904E5E"/>
    <w:rsid w:val="00904E76"/>
    <w:rsid w:val="00905956"/>
    <w:rsid w:val="00905AD0"/>
    <w:rsid w:val="00905C9F"/>
    <w:rsid w:val="00905F4F"/>
    <w:rsid w:val="0090621B"/>
    <w:rsid w:val="009063A3"/>
    <w:rsid w:val="009076DA"/>
    <w:rsid w:val="009079D5"/>
    <w:rsid w:val="00910056"/>
    <w:rsid w:val="009101E3"/>
    <w:rsid w:val="009103E3"/>
    <w:rsid w:val="00910956"/>
    <w:rsid w:val="0091098A"/>
    <w:rsid w:val="009112EC"/>
    <w:rsid w:val="00911678"/>
    <w:rsid w:val="00911B38"/>
    <w:rsid w:val="009122A2"/>
    <w:rsid w:val="009122F8"/>
    <w:rsid w:val="0091240E"/>
    <w:rsid w:val="00912C0B"/>
    <w:rsid w:val="0091305F"/>
    <w:rsid w:val="00913650"/>
    <w:rsid w:val="00914296"/>
    <w:rsid w:val="009145E7"/>
    <w:rsid w:val="00914659"/>
    <w:rsid w:val="00914C71"/>
    <w:rsid w:val="00914D8F"/>
    <w:rsid w:val="009154E5"/>
    <w:rsid w:val="009158FF"/>
    <w:rsid w:val="00915D0C"/>
    <w:rsid w:val="00916491"/>
    <w:rsid w:val="00916942"/>
    <w:rsid w:val="00916AC0"/>
    <w:rsid w:val="00916DBC"/>
    <w:rsid w:val="0091760A"/>
    <w:rsid w:val="00917935"/>
    <w:rsid w:val="00917F81"/>
    <w:rsid w:val="00920002"/>
    <w:rsid w:val="009201E3"/>
    <w:rsid w:val="009203CC"/>
    <w:rsid w:val="00920AD8"/>
    <w:rsid w:val="009218DA"/>
    <w:rsid w:val="009223FC"/>
    <w:rsid w:val="00922549"/>
    <w:rsid w:val="0092259B"/>
    <w:rsid w:val="009225F4"/>
    <w:rsid w:val="009228E6"/>
    <w:rsid w:val="00922A0B"/>
    <w:rsid w:val="00922F81"/>
    <w:rsid w:val="00922F85"/>
    <w:rsid w:val="0092324A"/>
    <w:rsid w:val="00923897"/>
    <w:rsid w:val="009248C0"/>
    <w:rsid w:val="00925494"/>
    <w:rsid w:val="009255B0"/>
    <w:rsid w:val="00926230"/>
    <w:rsid w:val="00926330"/>
    <w:rsid w:val="00926899"/>
    <w:rsid w:val="00926C19"/>
    <w:rsid w:val="00926C69"/>
    <w:rsid w:val="00926C99"/>
    <w:rsid w:val="00926F95"/>
    <w:rsid w:val="00927110"/>
    <w:rsid w:val="0092715B"/>
    <w:rsid w:val="009272C5"/>
    <w:rsid w:val="009272FA"/>
    <w:rsid w:val="009273A7"/>
    <w:rsid w:val="009273F3"/>
    <w:rsid w:val="00927B65"/>
    <w:rsid w:val="00927C2B"/>
    <w:rsid w:val="00927C45"/>
    <w:rsid w:val="00930045"/>
    <w:rsid w:val="009303D5"/>
    <w:rsid w:val="00930C97"/>
    <w:rsid w:val="009325F7"/>
    <w:rsid w:val="009329C0"/>
    <w:rsid w:val="009334AE"/>
    <w:rsid w:val="00933633"/>
    <w:rsid w:val="00933BD0"/>
    <w:rsid w:val="00933CE0"/>
    <w:rsid w:val="00933FCC"/>
    <w:rsid w:val="00934402"/>
    <w:rsid w:val="00934A3C"/>
    <w:rsid w:val="00935079"/>
    <w:rsid w:val="009350CB"/>
    <w:rsid w:val="00935330"/>
    <w:rsid w:val="00935395"/>
    <w:rsid w:val="00935665"/>
    <w:rsid w:val="009356F8"/>
    <w:rsid w:val="009358D9"/>
    <w:rsid w:val="00935A8A"/>
    <w:rsid w:val="00935C47"/>
    <w:rsid w:val="00935F30"/>
    <w:rsid w:val="0093635A"/>
    <w:rsid w:val="0093670E"/>
    <w:rsid w:val="00936856"/>
    <w:rsid w:val="009369B3"/>
    <w:rsid w:val="00936B57"/>
    <w:rsid w:val="00936BA5"/>
    <w:rsid w:val="00936E93"/>
    <w:rsid w:val="009377EC"/>
    <w:rsid w:val="00937A53"/>
    <w:rsid w:val="0094046D"/>
    <w:rsid w:val="009404E1"/>
    <w:rsid w:val="00940D80"/>
    <w:rsid w:val="00941317"/>
    <w:rsid w:val="009422CE"/>
    <w:rsid w:val="00942A0E"/>
    <w:rsid w:val="0094322E"/>
    <w:rsid w:val="00943BB0"/>
    <w:rsid w:val="009454CA"/>
    <w:rsid w:val="009456A8"/>
    <w:rsid w:val="00945D94"/>
    <w:rsid w:val="00945E92"/>
    <w:rsid w:val="00946652"/>
    <w:rsid w:val="00946C46"/>
    <w:rsid w:val="009474DE"/>
    <w:rsid w:val="0094757A"/>
    <w:rsid w:val="009475F5"/>
    <w:rsid w:val="00947A5D"/>
    <w:rsid w:val="00947C61"/>
    <w:rsid w:val="00947D0B"/>
    <w:rsid w:val="00947E39"/>
    <w:rsid w:val="009501AA"/>
    <w:rsid w:val="0095032A"/>
    <w:rsid w:val="00950B3E"/>
    <w:rsid w:val="00950BFE"/>
    <w:rsid w:val="009513DF"/>
    <w:rsid w:val="009518E7"/>
    <w:rsid w:val="0095197B"/>
    <w:rsid w:val="00951AD8"/>
    <w:rsid w:val="00951E96"/>
    <w:rsid w:val="00951ED0"/>
    <w:rsid w:val="00951F12"/>
    <w:rsid w:val="00952F1D"/>
    <w:rsid w:val="0095378A"/>
    <w:rsid w:val="009539CE"/>
    <w:rsid w:val="00953BFA"/>
    <w:rsid w:val="00953DE5"/>
    <w:rsid w:val="009540B8"/>
    <w:rsid w:val="009541C9"/>
    <w:rsid w:val="009551FB"/>
    <w:rsid w:val="0095539B"/>
    <w:rsid w:val="0095544B"/>
    <w:rsid w:val="00955C01"/>
    <w:rsid w:val="00955C0F"/>
    <w:rsid w:val="00956372"/>
    <w:rsid w:val="009575E8"/>
    <w:rsid w:val="00957F02"/>
    <w:rsid w:val="009603EA"/>
    <w:rsid w:val="00960749"/>
    <w:rsid w:val="00960A94"/>
    <w:rsid w:val="00960DE8"/>
    <w:rsid w:val="0096161E"/>
    <w:rsid w:val="009617C7"/>
    <w:rsid w:val="00961AD1"/>
    <w:rsid w:val="00961E12"/>
    <w:rsid w:val="00961E65"/>
    <w:rsid w:val="009620D4"/>
    <w:rsid w:val="0096224F"/>
    <w:rsid w:val="0096238C"/>
    <w:rsid w:val="009624ED"/>
    <w:rsid w:val="00962702"/>
    <w:rsid w:val="00962D26"/>
    <w:rsid w:val="00963542"/>
    <w:rsid w:val="00963FA3"/>
    <w:rsid w:val="00964491"/>
    <w:rsid w:val="00964ED0"/>
    <w:rsid w:val="0096534B"/>
    <w:rsid w:val="009659A5"/>
    <w:rsid w:val="00965D43"/>
    <w:rsid w:val="0096730A"/>
    <w:rsid w:val="009674E8"/>
    <w:rsid w:val="009676D9"/>
    <w:rsid w:val="009678DF"/>
    <w:rsid w:val="0097011A"/>
    <w:rsid w:val="009702C7"/>
    <w:rsid w:val="00970316"/>
    <w:rsid w:val="00970518"/>
    <w:rsid w:val="0097056E"/>
    <w:rsid w:val="00970882"/>
    <w:rsid w:val="009709F1"/>
    <w:rsid w:val="00970FE1"/>
    <w:rsid w:val="00971906"/>
    <w:rsid w:val="00971C66"/>
    <w:rsid w:val="00971D2E"/>
    <w:rsid w:val="00971E2F"/>
    <w:rsid w:val="00972B3D"/>
    <w:rsid w:val="00972B44"/>
    <w:rsid w:val="00972C88"/>
    <w:rsid w:val="00973328"/>
    <w:rsid w:val="009733A9"/>
    <w:rsid w:val="00973C9B"/>
    <w:rsid w:val="00973D0F"/>
    <w:rsid w:val="009746CE"/>
    <w:rsid w:val="009747C7"/>
    <w:rsid w:val="0097482B"/>
    <w:rsid w:val="00974A16"/>
    <w:rsid w:val="00975B6F"/>
    <w:rsid w:val="00975D93"/>
    <w:rsid w:val="00976CC0"/>
    <w:rsid w:val="0097731A"/>
    <w:rsid w:val="009775BF"/>
    <w:rsid w:val="00977877"/>
    <w:rsid w:val="00977EE3"/>
    <w:rsid w:val="00980075"/>
    <w:rsid w:val="00980306"/>
    <w:rsid w:val="0098036B"/>
    <w:rsid w:val="0098046F"/>
    <w:rsid w:val="00980495"/>
    <w:rsid w:val="009807CE"/>
    <w:rsid w:val="00980B50"/>
    <w:rsid w:val="00980F6B"/>
    <w:rsid w:val="0098108B"/>
    <w:rsid w:val="009812A3"/>
    <w:rsid w:val="0098137E"/>
    <w:rsid w:val="009816A9"/>
    <w:rsid w:val="009816E4"/>
    <w:rsid w:val="00981A48"/>
    <w:rsid w:val="00981AF2"/>
    <w:rsid w:val="00982841"/>
    <w:rsid w:val="00982967"/>
    <w:rsid w:val="00982ABE"/>
    <w:rsid w:val="0098330B"/>
    <w:rsid w:val="00983610"/>
    <w:rsid w:val="00983A96"/>
    <w:rsid w:val="00983E55"/>
    <w:rsid w:val="00984512"/>
    <w:rsid w:val="009845FF"/>
    <w:rsid w:val="00984E5D"/>
    <w:rsid w:val="00985670"/>
    <w:rsid w:val="00985EF3"/>
    <w:rsid w:val="009860CF"/>
    <w:rsid w:val="009866FD"/>
    <w:rsid w:val="009869A5"/>
    <w:rsid w:val="00986D1B"/>
    <w:rsid w:val="00987678"/>
    <w:rsid w:val="00987985"/>
    <w:rsid w:val="00990404"/>
    <w:rsid w:val="0099113F"/>
    <w:rsid w:val="0099126B"/>
    <w:rsid w:val="009913D5"/>
    <w:rsid w:val="00991A61"/>
    <w:rsid w:val="00991BB5"/>
    <w:rsid w:val="00992FF7"/>
    <w:rsid w:val="009931A1"/>
    <w:rsid w:val="0099373E"/>
    <w:rsid w:val="00993870"/>
    <w:rsid w:val="009938B9"/>
    <w:rsid w:val="0099392E"/>
    <w:rsid w:val="00993C95"/>
    <w:rsid w:val="00994468"/>
    <w:rsid w:val="0099495D"/>
    <w:rsid w:val="00994AA4"/>
    <w:rsid w:val="00995154"/>
    <w:rsid w:val="009959F0"/>
    <w:rsid w:val="00995CE6"/>
    <w:rsid w:val="00995DB9"/>
    <w:rsid w:val="00995E11"/>
    <w:rsid w:val="00995E80"/>
    <w:rsid w:val="00995FE7"/>
    <w:rsid w:val="00996D6B"/>
    <w:rsid w:val="00997275"/>
    <w:rsid w:val="00997668"/>
    <w:rsid w:val="00997AF2"/>
    <w:rsid w:val="009A03D2"/>
    <w:rsid w:val="009A099E"/>
    <w:rsid w:val="009A0A83"/>
    <w:rsid w:val="009A0D61"/>
    <w:rsid w:val="009A1069"/>
    <w:rsid w:val="009A10A3"/>
    <w:rsid w:val="009A19D3"/>
    <w:rsid w:val="009A1A6B"/>
    <w:rsid w:val="009A1E80"/>
    <w:rsid w:val="009A2382"/>
    <w:rsid w:val="009A2583"/>
    <w:rsid w:val="009A2723"/>
    <w:rsid w:val="009A281F"/>
    <w:rsid w:val="009A2CDF"/>
    <w:rsid w:val="009A2FC8"/>
    <w:rsid w:val="009A3A7B"/>
    <w:rsid w:val="009A4524"/>
    <w:rsid w:val="009A4857"/>
    <w:rsid w:val="009A4A14"/>
    <w:rsid w:val="009A4B47"/>
    <w:rsid w:val="009A4CAE"/>
    <w:rsid w:val="009A4EF6"/>
    <w:rsid w:val="009A5481"/>
    <w:rsid w:val="009A5658"/>
    <w:rsid w:val="009A63D5"/>
    <w:rsid w:val="009A73E4"/>
    <w:rsid w:val="009A7933"/>
    <w:rsid w:val="009A7E53"/>
    <w:rsid w:val="009A7FA9"/>
    <w:rsid w:val="009B02FC"/>
    <w:rsid w:val="009B035D"/>
    <w:rsid w:val="009B0B0E"/>
    <w:rsid w:val="009B0D19"/>
    <w:rsid w:val="009B173C"/>
    <w:rsid w:val="009B18A8"/>
    <w:rsid w:val="009B246B"/>
    <w:rsid w:val="009B30DE"/>
    <w:rsid w:val="009B3397"/>
    <w:rsid w:val="009B33C3"/>
    <w:rsid w:val="009B3FCE"/>
    <w:rsid w:val="009B425A"/>
    <w:rsid w:val="009B455F"/>
    <w:rsid w:val="009B459C"/>
    <w:rsid w:val="009B49B3"/>
    <w:rsid w:val="009B4B54"/>
    <w:rsid w:val="009B50FD"/>
    <w:rsid w:val="009B5559"/>
    <w:rsid w:val="009B55C9"/>
    <w:rsid w:val="009B566A"/>
    <w:rsid w:val="009B5675"/>
    <w:rsid w:val="009B56E8"/>
    <w:rsid w:val="009B5C13"/>
    <w:rsid w:val="009B61F5"/>
    <w:rsid w:val="009B66A1"/>
    <w:rsid w:val="009B6BD0"/>
    <w:rsid w:val="009B7A01"/>
    <w:rsid w:val="009C0255"/>
    <w:rsid w:val="009C07BF"/>
    <w:rsid w:val="009C0960"/>
    <w:rsid w:val="009C1448"/>
    <w:rsid w:val="009C14CC"/>
    <w:rsid w:val="009C168B"/>
    <w:rsid w:val="009C1BA5"/>
    <w:rsid w:val="009C2361"/>
    <w:rsid w:val="009C2AE3"/>
    <w:rsid w:val="009C2D71"/>
    <w:rsid w:val="009C2D7F"/>
    <w:rsid w:val="009C40D0"/>
    <w:rsid w:val="009C498B"/>
    <w:rsid w:val="009C4A17"/>
    <w:rsid w:val="009C540C"/>
    <w:rsid w:val="009C54B6"/>
    <w:rsid w:val="009C55DF"/>
    <w:rsid w:val="009C58A5"/>
    <w:rsid w:val="009C5BED"/>
    <w:rsid w:val="009C5E5C"/>
    <w:rsid w:val="009C627E"/>
    <w:rsid w:val="009C668E"/>
    <w:rsid w:val="009C6B14"/>
    <w:rsid w:val="009C6FB7"/>
    <w:rsid w:val="009C713D"/>
    <w:rsid w:val="009C7D05"/>
    <w:rsid w:val="009D0467"/>
    <w:rsid w:val="009D04E2"/>
    <w:rsid w:val="009D0966"/>
    <w:rsid w:val="009D0AC4"/>
    <w:rsid w:val="009D0D18"/>
    <w:rsid w:val="009D10A3"/>
    <w:rsid w:val="009D1365"/>
    <w:rsid w:val="009D1850"/>
    <w:rsid w:val="009D186E"/>
    <w:rsid w:val="009D282F"/>
    <w:rsid w:val="009D30CB"/>
    <w:rsid w:val="009D35A3"/>
    <w:rsid w:val="009D37D0"/>
    <w:rsid w:val="009D398A"/>
    <w:rsid w:val="009D3F5A"/>
    <w:rsid w:val="009D3F60"/>
    <w:rsid w:val="009D42F5"/>
    <w:rsid w:val="009D44B9"/>
    <w:rsid w:val="009D4508"/>
    <w:rsid w:val="009D51EC"/>
    <w:rsid w:val="009D5554"/>
    <w:rsid w:val="009D5FE5"/>
    <w:rsid w:val="009D6A98"/>
    <w:rsid w:val="009D6FA0"/>
    <w:rsid w:val="009D7AFC"/>
    <w:rsid w:val="009E0350"/>
    <w:rsid w:val="009E04AD"/>
    <w:rsid w:val="009E09F2"/>
    <w:rsid w:val="009E14C8"/>
    <w:rsid w:val="009E1838"/>
    <w:rsid w:val="009E1962"/>
    <w:rsid w:val="009E199C"/>
    <w:rsid w:val="009E2301"/>
    <w:rsid w:val="009E2658"/>
    <w:rsid w:val="009E282C"/>
    <w:rsid w:val="009E2839"/>
    <w:rsid w:val="009E295A"/>
    <w:rsid w:val="009E29FB"/>
    <w:rsid w:val="009E2CAD"/>
    <w:rsid w:val="009E3E42"/>
    <w:rsid w:val="009E4187"/>
    <w:rsid w:val="009E41DC"/>
    <w:rsid w:val="009E4341"/>
    <w:rsid w:val="009E45CF"/>
    <w:rsid w:val="009E4782"/>
    <w:rsid w:val="009E4FF5"/>
    <w:rsid w:val="009E5563"/>
    <w:rsid w:val="009E58AA"/>
    <w:rsid w:val="009E5AD4"/>
    <w:rsid w:val="009E5F1D"/>
    <w:rsid w:val="009E5F89"/>
    <w:rsid w:val="009E628A"/>
    <w:rsid w:val="009E6557"/>
    <w:rsid w:val="009E68F2"/>
    <w:rsid w:val="009E7129"/>
    <w:rsid w:val="009E72A8"/>
    <w:rsid w:val="009E76A3"/>
    <w:rsid w:val="009E7877"/>
    <w:rsid w:val="009E7CFC"/>
    <w:rsid w:val="009F0355"/>
    <w:rsid w:val="009F0559"/>
    <w:rsid w:val="009F0932"/>
    <w:rsid w:val="009F13B8"/>
    <w:rsid w:val="009F17EE"/>
    <w:rsid w:val="009F1A9D"/>
    <w:rsid w:val="009F1FE6"/>
    <w:rsid w:val="009F214B"/>
    <w:rsid w:val="009F22B8"/>
    <w:rsid w:val="009F2D58"/>
    <w:rsid w:val="009F41CE"/>
    <w:rsid w:val="009F42D1"/>
    <w:rsid w:val="009F45F1"/>
    <w:rsid w:val="009F4F20"/>
    <w:rsid w:val="009F4F9A"/>
    <w:rsid w:val="009F5812"/>
    <w:rsid w:val="009F582D"/>
    <w:rsid w:val="009F58BE"/>
    <w:rsid w:val="009F59DB"/>
    <w:rsid w:val="009F5D08"/>
    <w:rsid w:val="009F624D"/>
    <w:rsid w:val="009F6746"/>
    <w:rsid w:val="009F6851"/>
    <w:rsid w:val="009F69E4"/>
    <w:rsid w:val="009F6BDF"/>
    <w:rsid w:val="009F7688"/>
    <w:rsid w:val="009F77B9"/>
    <w:rsid w:val="009F7946"/>
    <w:rsid w:val="009F798B"/>
    <w:rsid w:val="009F7ED8"/>
    <w:rsid w:val="00A00565"/>
    <w:rsid w:val="00A00B34"/>
    <w:rsid w:val="00A00BBE"/>
    <w:rsid w:val="00A00BEE"/>
    <w:rsid w:val="00A00CE4"/>
    <w:rsid w:val="00A00E96"/>
    <w:rsid w:val="00A0105F"/>
    <w:rsid w:val="00A020CF"/>
    <w:rsid w:val="00A02ADD"/>
    <w:rsid w:val="00A0388C"/>
    <w:rsid w:val="00A039B7"/>
    <w:rsid w:val="00A03C3E"/>
    <w:rsid w:val="00A03C91"/>
    <w:rsid w:val="00A03EE7"/>
    <w:rsid w:val="00A042DB"/>
    <w:rsid w:val="00A05013"/>
    <w:rsid w:val="00A05706"/>
    <w:rsid w:val="00A0586E"/>
    <w:rsid w:val="00A05E56"/>
    <w:rsid w:val="00A06046"/>
    <w:rsid w:val="00A067DE"/>
    <w:rsid w:val="00A07C1B"/>
    <w:rsid w:val="00A07C36"/>
    <w:rsid w:val="00A07C58"/>
    <w:rsid w:val="00A07E40"/>
    <w:rsid w:val="00A10134"/>
    <w:rsid w:val="00A10211"/>
    <w:rsid w:val="00A10614"/>
    <w:rsid w:val="00A111D4"/>
    <w:rsid w:val="00A11370"/>
    <w:rsid w:val="00A1139A"/>
    <w:rsid w:val="00A11A9D"/>
    <w:rsid w:val="00A11CA9"/>
    <w:rsid w:val="00A11E3B"/>
    <w:rsid w:val="00A11E72"/>
    <w:rsid w:val="00A124B9"/>
    <w:rsid w:val="00A12596"/>
    <w:rsid w:val="00A1272B"/>
    <w:rsid w:val="00A1302B"/>
    <w:rsid w:val="00A133DA"/>
    <w:rsid w:val="00A137A9"/>
    <w:rsid w:val="00A13A18"/>
    <w:rsid w:val="00A13F4C"/>
    <w:rsid w:val="00A1453B"/>
    <w:rsid w:val="00A14943"/>
    <w:rsid w:val="00A14E88"/>
    <w:rsid w:val="00A14ED1"/>
    <w:rsid w:val="00A154CA"/>
    <w:rsid w:val="00A155BE"/>
    <w:rsid w:val="00A159C5"/>
    <w:rsid w:val="00A15E6B"/>
    <w:rsid w:val="00A15F14"/>
    <w:rsid w:val="00A16B63"/>
    <w:rsid w:val="00A16E41"/>
    <w:rsid w:val="00A16FC8"/>
    <w:rsid w:val="00A17B34"/>
    <w:rsid w:val="00A17B6A"/>
    <w:rsid w:val="00A17BF3"/>
    <w:rsid w:val="00A205E1"/>
    <w:rsid w:val="00A20F59"/>
    <w:rsid w:val="00A216E1"/>
    <w:rsid w:val="00A21CD0"/>
    <w:rsid w:val="00A21E1A"/>
    <w:rsid w:val="00A21FB5"/>
    <w:rsid w:val="00A22932"/>
    <w:rsid w:val="00A22B4C"/>
    <w:rsid w:val="00A22FAC"/>
    <w:rsid w:val="00A22FCE"/>
    <w:rsid w:val="00A2366A"/>
    <w:rsid w:val="00A2371C"/>
    <w:rsid w:val="00A23AD3"/>
    <w:rsid w:val="00A23B52"/>
    <w:rsid w:val="00A23ED1"/>
    <w:rsid w:val="00A2401B"/>
    <w:rsid w:val="00A2408F"/>
    <w:rsid w:val="00A2416B"/>
    <w:rsid w:val="00A24318"/>
    <w:rsid w:val="00A24420"/>
    <w:rsid w:val="00A2450B"/>
    <w:rsid w:val="00A249A1"/>
    <w:rsid w:val="00A24C92"/>
    <w:rsid w:val="00A24DB8"/>
    <w:rsid w:val="00A24F2A"/>
    <w:rsid w:val="00A254D8"/>
    <w:rsid w:val="00A2576C"/>
    <w:rsid w:val="00A257CC"/>
    <w:rsid w:val="00A25817"/>
    <w:rsid w:val="00A25EFC"/>
    <w:rsid w:val="00A26768"/>
    <w:rsid w:val="00A26823"/>
    <w:rsid w:val="00A26917"/>
    <w:rsid w:val="00A26A21"/>
    <w:rsid w:val="00A26A4A"/>
    <w:rsid w:val="00A273C2"/>
    <w:rsid w:val="00A27498"/>
    <w:rsid w:val="00A27997"/>
    <w:rsid w:val="00A27ABA"/>
    <w:rsid w:val="00A27DD0"/>
    <w:rsid w:val="00A3002F"/>
    <w:rsid w:val="00A300B9"/>
    <w:rsid w:val="00A30B36"/>
    <w:rsid w:val="00A30C82"/>
    <w:rsid w:val="00A30CAD"/>
    <w:rsid w:val="00A31075"/>
    <w:rsid w:val="00A314B7"/>
    <w:rsid w:val="00A31A7F"/>
    <w:rsid w:val="00A31BF3"/>
    <w:rsid w:val="00A31F23"/>
    <w:rsid w:val="00A3251C"/>
    <w:rsid w:val="00A32B2C"/>
    <w:rsid w:val="00A32C7E"/>
    <w:rsid w:val="00A32FB5"/>
    <w:rsid w:val="00A33667"/>
    <w:rsid w:val="00A33A8A"/>
    <w:rsid w:val="00A33AEB"/>
    <w:rsid w:val="00A34221"/>
    <w:rsid w:val="00A3453D"/>
    <w:rsid w:val="00A345F6"/>
    <w:rsid w:val="00A34690"/>
    <w:rsid w:val="00A34812"/>
    <w:rsid w:val="00A35DDC"/>
    <w:rsid w:val="00A35FBE"/>
    <w:rsid w:val="00A364F5"/>
    <w:rsid w:val="00A369A5"/>
    <w:rsid w:val="00A36C5F"/>
    <w:rsid w:val="00A372F5"/>
    <w:rsid w:val="00A37685"/>
    <w:rsid w:val="00A376CE"/>
    <w:rsid w:val="00A37DEB"/>
    <w:rsid w:val="00A4055F"/>
    <w:rsid w:val="00A407AF"/>
    <w:rsid w:val="00A40A9E"/>
    <w:rsid w:val="00A40B31"/>
    <w:rsid w:val="00A41AD3"/>
    <w:rsid w:val="00A4236D"/>
    <w:rsid w:val="00A423D5"/>
    <w:rsid w:val="00A42427"/>
    <w:rsid w:val="00A42491"/>
    <w:rsid w:val="00A4282D"/>
    <w:rsid w:val="00A42C07"/>
    <w:rsid w:val="00A4350E"/>
    <w:rsid w:val="00A4387B"/>
    <w:rsid w:val="00A43BB2"/>
    <w:rsid w:val="00A43C36"/>
    <w:rsid w:val="00A43C92"/>
    <w:rsid w:val="00A43D68"/>
    <w:rsid w:val="00A43F21"/>
    <w:rsid w:val="00A43FB0"/>
    <w:rsid w:val="00A446CC"/>
    <w:rsid w:val="00A44774"/>
    <w:rsid w:val="00A44D31"/>
    <w:rsid w:val="00A4521D"/>
    <w:rsid w:val="00A45885"/>
    <w:rsid w:val="00A45A99"/>
    <w:rsid w:val="00A45B63"/>
    <w:rsid w:val="00A45B96"/>
    <w:rsid w:val="00A46A56"/>
    <w:rsid w:val="00A46A95"/>
    <w:rsid w:val="00A46F49"/>
    <w:rsid w:val="00A4767C"/>
    <w:rsid w:val="00A4792D"/>
    <w:rsid w:val="00A479AB"/>
    <w:rsid w:val="00A50077"/>
    <w:rsid w:val="00A50225"/>
    <w:rsid w:val="00A50F93"/>
    <w:rsid w:val="00A51182"/>
    <w:rsid w:val="00A513C7"/>
    <w:rsid w:val="00A51822"/>
    <w:rsid w:val="00A51978"/>
    <w:rsid w:val="00A5197D"/>
    <w:rsid w:val="00A51C5C"/>
    <w:rsid w:val="00A52FCB"/>
    <w:rsid w:val="00A53153"/>
    <w:rsid w:val="00A536CA"/>
    <w:rsid w:val="00A53D17"/>
    <w:rsid w:val="00A53F9D"/>
    <w:rsid w:val="00A541A6"/>
    <w:rsid w:val="00A541BB"/>
    <w:rsid w:val="00A542BD"/>
    <w:rsid w:val="00A544D6"/>
    <w:rsid w:val="00A5451A"/>
    <w:rsid w:val="00A54722"/>
    <w:rsid w:val="00A54976"/>
    <w:rsid w:val="00A54C16"/>
    <w:rsid w:val="00A5515C"/>
    <w:rsid w:val="00A55209"/>
    <w:rsid w:val="00A55291"/>
    <w:rsid w:val="00A555B8"/>
    <w:rsid w:val="00A5578D"/>
    <w:rsid w:val="00A559AF"/>
    <w:rsid w:val="00A55C6D"/>
    <w:rsid w:val="00A55F90"/>
    <w:rsid w:val="00A5617A"/>
    <w:rsid w:val="00A5620F"/>
    <w:rsid w:val="00A563F2"/>
    <w:rsid w:val="00A5659C"/>
    <w:rsid w:val="00A56857"/>
    <w:rsid w:val="00A57234"/>
    <w:rsid w:val="00A5727B"/>
    <w:rsid w:val="00A572B1"/>
    <w:rsid w:val="00A57D7E"/>
    <w:rsid w:val="00A57E26"/>
    <w:rsid w:val="00A57E71"/>
    <w:rsid w:val="00A60168"/>
    <w:rsid w:val="00A60E41"/>
    <w:rsid w:val="00A60F2C"/>
    <w:rsid w:val="00A60F3D"/>
    <w:rsid w:val="00A612DA"/>
    <w:rsid w:val="00A6132C"/>
    <w:rsid w:val="00A61754"/>
    <w:rsid w:val="00A61E05"/>
    <w:rsid w:val="00A62056"/>
    <w:rsid w:val="00A625A4"/>
    <w:rsid w:val="00A6265F"/>
    <w:rsid w:val="00A62848"/>
    <w:rsid w:val="00A62B3B"/>
    <w:rsid w:val="00A62DE1"/>
    <w:rsid w:val="00A6302A"/>
    <w:rsid w:val="00A630A6"/>
    <w:rsid w:val="00A63934"/>
    <w:rsid w:val="00A639E0"/>
    <w:rsid w:val="00A642E3"/>
    <w:rsid w:val="00A646B0"/>
    <w:rsid w:val="00A6489B"/>
    <w:rsid w:val="00A65384"/>
    <w:rsid w:val="00A65F0C"/>
    <w:rsid w:val="00A661DF"/>
    <w:rsid w:val="00A6649D"/>
    <w:rsid w:val="00A667BE"/>
    <w:rsid w:val="00A66AED"/>
    <w:rsid w:val="00A67299"/>
    <w:rsid w:val="00A67799"/>
    <w:rsid w:val="00A67A42"/>
    <w:rsid w:val="00A700D5"/>
    <w:rsid w:val="00A704E1"/>
    <w:rsid w:val="00A70892"/>
    <w:rsid w:val="00A70C16"/>
    <w:rsid w:val="00A70D67"/>
    <w:rsid w:val="00A70E01"/>
    <w:rsid w:val="00A71354"/>
    <w:rsid w:val="00A71749"/>
    <w:rsid w:val="00A71AA9"/>
    <w:rsid w:val="00A71CF6"/>
    <w:rsid w:val="00A71DE7"/>
    <w:rsid w:val="00A72825"/>
    <w:rsid w:val="00A738C7"/>
    <w:rsid w:val="00A73CBC"/>
    <w:rsid w:val="00A73D48"/>
    <w:rsid w:val="00A73E50"/>
    <w:rsid w:val="00A73FAF"/>
    <w:rsid w:val="00A744AB"/>
    <w:rsid w:val="00A74595"/>
    <w:rsid w:val="00A75069"/>
    <w:rsid w:val="00A75642"/>
    <w:rsid w:val="00A7571A"/>
    <w:rsid w:val="00A75D07"/>
    <w:rsid w:val="00A75D7E"/>
    <w:rsid w:val="00A75F95"/>
    <w:rsid w:val="00A76131"/>
    <w:rsid w:val="00A7683C"/>
    <w:rsid w:val="00A769E4"/>
    <w:rsid w:val="00A76D96"/>
    <w:rsid w:val="00A76DF1"/>
    <w:rsid w:val="00A771A6"/>
    <w:rsid w:val="00A77357"/>
    <w:rsid w:val="00A77B71"/>
    <w:rsid w:val="00A77F13"/>
    <w:rsid w:val="00A80355"/>
    <w:rsid w:val="00A80BB2"/>
    <w:rsid w:val="00A80DC6"/>
    <w:rsid w:val="00A81331"/>
    <w:rsid w:val="00A81831"/>
    <w:rsid w:val="00A8301D"/>
    <w:rsid w:val="00A83285"/>
    <w:rsid w:val="00A833DF"/>
    <w:rsid w:val="00A838BC"/>
    <w:rsid w:val="00A83B2E"/>
    <w:rsid w:val="00A84395"/>
    <w:rsid w:val="00A843AB"/>
    <w:rsid w:val="00A8456D"/>
    <w:rsid w:val="00A8484D"/>
    <w:rsid w:val="00A84E26"/>
    <w:rsid w:val="00A853E2"/>
    <w:rsid w:val="00A85C02"/>
    <w:rsid w:val="00A85F44"/>
    <w:rsid w:val="00A8624A"/>
    <w:rsid w:val="00A87074"/>
    <w:rsid w:val="00A8760B"/>
    <w:rsid w:val="00A87E96"/>
    <w:rsid w:val="00A901DB"/>
    <w:rsid w:val="00A901E0"/>
    <w:rsid w:val="00A906E4"/>
    <w:rsid w:val="00A90A7A"/>
    <w:rsid w:val="00A9112B"/>
    <w:rsid w:val="00A91158"/>
    <w:rsid w:val="00A91810"/>
    <w:rsid w:val="00A91FA0"/>
    <w:rsid w:val="00A922DA"/>
    <w:rsid w:val="00A92CF6"/>
    <w:rsid w:val="00A93674"/>
    <w:rsid w:val="00A936A6"/>
    <w:rsid w:val="00A93768"/>
    <w:rsid w:val="00A937A4"/>
    <w:rsid w:val="00A93C1E"/>
    <w:rsid w:val="00A93DCC"/>
    <w:rsid w:val="00A945AC"/>
    <w:rsid w:val="00A94ECC"/>
    <w:rsid w:val="00A94F59"/>
    <w:rsid w:val="00A95064"/>
    <w:rsid w:val="00A95917"/>
    <w:rsid w:val="00A95995"/>
    <w:rsid w:val="00A96153"/>
    <w:rsid w:val="00A9673F"/>
    <w:rsid w:val="00A96F6B"/>
    <w:rsid w:val="00A97141"/>
    <w:rsid w:val="00A97315"/>
    <w:rsid w:val="00A9766F"/>
    <w:rsid w:val="00A97B3F"/>
    <w:rsid w:val="00A97BBD"/>
    <w:rsid w:val="00A97F2C"/>
    <w:rsid w:val="00AA0171"/>
    <w:rsid w:val="00AA1579"/>
    <w:rsid w:val="00AA1819"/>
    <w:rsid w:val="00AA1A2B"/>
    <w:rsid w:val="00AA1E87"/>
    <w:rsid w:val="00AA2495"/>
    <w:rsid w:val="00AA24BE"/>
    <w:rsid w:val="00AA2543"/>
    <w:rsid w:val="00AA2B69"/>
    <w:rsid w:val="00AA2DAE"/>
    <w:rsid w:val="00AA2F68"/>
    <w:rsid w:val="00AA3180"/>
    <w:rsid w:val="00AA4017"/>
    <w:rsid w:val="00AA404E"/>
    <w:rsid w:val="00AA4538"/>
    <w:rsid w:val="00AA482C"/>
    <w:rsid w:val="00AA4DEB"/>
    <w:rsid w:val="00AA5372"/>
    <w:rsid w:val="00AA5540"/>
    <w:rsid w:val="00AA563D"/>
    <w:rsid w:val="00AA5949"/>
    <w:rsid w:val="00AA5C17"/>
    <w:rsid w:val="00AA5F20"/>
    <w:rsid w:val="00AA6165"/>
    <w:rsid w:val="00AA6C18"/>
    <w:rsid w:val="00AA6F11"/>
    <w:rsid w:val="00AA74FC"/>
    <w:rsid w:val="00AB010D"/>
    <w:rsid w:val="00AB0301"/>
    <w:rsid w:val="00AB04EC"/>
    <w:rsid w:val="00AB0AD4"/>
    <w:rsid w:val="00AB0DCD"/>
    <w:rsid w:val="00AB0FB1"/>
    <w:rsid w:val="00AB12C5"/>
    <w:rsid w:val="00AB16F2"/>
    <w:rsid w:val="00AB1AE7"/>
    <w:rsid w:val="00AB1DBE"/>
    <w:rsid w:val="00AB1E4B"/>
    <w:rsid w:val="00AB1F9A"/>
    <w:rsid w:val="00AB1FD5"/>
    <w:rsid w:val="00AB2722"/>
    <w:rsid w:val="00AB2A6B"/>
    <w:rsid w:val="00AB30A1"/>
    <w:rsid w:val="00AB3215"/>
    <w:rsid w:val="00AB3ACF"/>
    <w:rsid w:val="00AB3D5E"/>
    <w:rsid w:val="00AB3F9D"/>
    <w:rsid w:val="00AB4841"/>
    <w:rsid w:val="00AB4903"/>
    <w:rsid w:val="00AB4B44"/>
    <w:rsid w:val="00AB501A"/>
    <w:rsid w:val="00AB50A7"/>
    <w:rsid w:val="00AB55B5"/>
    <w:rsid w:val="00AB56AB"/>
    <w:rsid w:val="00AB5874"/>
    <w:rsid w:val="00AB5BCB"/>
    <w:rsid w:val="00AB6566"/>
    <w:rsid w:val="00AB6872"/>
    <w:rsid w:val="00AB734B"/>
    <w:rsid w:val="00AC0B8D"/>
    <w:rsid w:val="00AC115D"/>
    <w:rsid w:val="00AC145B"/>
    <w:rsid w:val="00AC1705"/>
    <w:rsid w:val="00AC1EE0"/>
    <w:rsid w:val="00AC2137"/>
    <w:rsid w:val="00AC2606"/>
    <w:rsid w:val="00AC2A39"/>
    <w:rsid w:val="00AC2B04"/>
    <w:rsid w:val="00AC2D6D"/>
    <w:rsid w:val="00AC3652"/>
    <w:rsid w:val="00AC37F7"/>
    <w:rsid w:val="00AC3C19"/>
    <w:rsid w:val="00AC3E10"/>
    <w:rsid w:val="00AC437C"/>
    <w:rsid w:val="00AC4BA7"/>
    <w:rsid w:val="00AC55B4"/>
    <w:rsid w:val="00AC58AE"/>
    <w:rsid w:val="00AC5908"/>
    <w:rsid w:val="00AC5A6D"/>
    <w:rsid w:val="00AC5BDB"/>
    <w:rsid w:val="00AC5C9D"/>
    <w:rsid w:val="00AC5D0F"/>
    <w:rsid w:val="00AC6170"/>
    <w:rsid w:val="00AC62D3"/>
    <w:rsid w:val="00AC632B"/>
    <w:rsid w:val="00AC77FD"/>
    <w:rsid w:val="00AC7BEF"/>
    <w:rsid w:val="00AD033E"/>
    <w:rsid w:val="00AD038D"/>
    <w:rsid w:val="00AD05A5"/>
    <w:rsid w:val="00AD06B8"/>
    <w:rsid w:val="00AD06F2"/>
    <w:rsid w:val="00AD0795"/>
    <w:rsid w:val="00AD0C84"/>
    <w:rsid w:val="00AD1607"/>
    <w:rsid w:val="00AD1CF3"/>
    <w:rsid w:val="00AD1F86"/>
    <w:rsid w:val="00AD2252"/>
    <w:rsid w:val="00AD2FDA"/>
    <w:rsid w:val="00AD33A2"/>
    <w:rsid w:val="00AD341E"/>
    <w:rsid w:val="00AD3872"/>
    <w:rsid w:val="00AD38EE"/>
    <w:rsid w:val="00AD3950"/>
    <w:rsid w:val="00AD42C1"/>
    <w:rsid w:val="00AD46B4"/>
    <w:rsid w:val="00AD4A40"/>
    <w:rsid w:val="00AD4C88"/>
    <w:rsid w:val="00AD4D37"/>
    <w:rsid w:val="00AD4DC5"/>
    <w:rsid w:val="00AD4DE8"/>
    <w:rsid w:val="00AD59A7"/>
    <w:rsid w:val="00AD5D63"/>
    <w:rsid w:val="00AD6BEC"/>
    <w:rsid w:val="00AD6CBC"/>
    <w:rsid w:val="00AD734C"/>
    <w:rsid w:val="00AD77B6"/>
    <w:rsid w:val="00AD7C0A"/>
    <w:rsid w:val="00AD7DE9"/>
    <w:rsid w:val="00AD7F43"/>
    <w:rsid w:val="00AE0295"/>
    <w:rsid w:val="00AE02EC"/>
    <w:rsid w:val="00AE094B"/>
    <w:rsid w:val="00AE0E32"/>
    <w:rsid w:val="00AE0FA8"/>
    <w:rsid w:val="00AE120E"/>
    <w:rsid w:val="00AE12E5"/>
    <w:rsid w:val="00AE1674"/>
    <w:rsid w:val="00AE1803"/>
    <w:rsid w:val="00AE1A8C"/>
    <w:rsid w:val="00AE1E5E"/>
    <w:rsid w:val="00AE23C5"/>
    <w:rsid w:val="00AE265E"/>
    <w:rsid w:val="00AE2762"/>
    <w:rsid w:val="00AE27CE"/>
    <w:rsid w:val="00AE29F1"/>
    <w:rsid w:val="00AE3213"/>
    <w:rsid w:val="00AE35B1"/>
    <w:rsid w:val="00AE3B8B"/>
    <w:rsid w:val="00AE3C13"/>
    <w:rsid w:val="00AE3DF8"/>
    <w:rsid w:val="00AE3E40"/>
    <w:rsid w:val="00AE3EB1"/>
    <w:rsid w:val="00AE3F2C"/>
    <w:rsid w:val="00AE4526"/>
    <w:rsid w:val="00AE4828"/>
    <w:rsid w:val="00AE4B2E"/>
    <w:rsid w:val="00AE5239"/>
    <w:rsid w:val="00AE55F7"/>
    <w:rsid w:val="00AE569B"/>
    <w:rsid w:val="00AE582F"/>
    <w:rsid w:val="00AE5FB9"/>
    <w:rsid w:val="00AE62D9"/>
    <w:rsid w:val="00AE647E"/>
    <w:rsid w:val="00AE6EE4"/>
    <w:rsid w:val="00AE700C"/>
    <w:rsid w:val="00AE754B"/>
    <w:rsid w:val="00AE77BE"/>
    <w:rsid w:val="00AE79F6"/>
    <w:rsid w:val="00AF0662"/>
    <w:rsid w:val="00AF075E"/>
    <w:rsid w:val="00AF0AEF"/>
    <w:rsid w:val="00AF0F02"/>
    <w:rsid w:val="00AF0F6E"/>
    <w:rsid w:val="00AF14AE"/>
    <w:rsid w:val="00AF155C"/>
    <w:rsid w:val="00AF1FEA"/>
    <w:rsid w:val="00AF2013"/>
    <w:rsid w:val="00AF20DD"/>
    <w:rsid w:val="00AF24D2"/>
    <w:rsid w:val="00AF2652"/>
    <w:rsid w:val="00AF2C70"/>
    <w:rsid w:val="00AF2DF9"/>
    <w:rsid w:val="00AF2F2D"/>
    <w:rsid w:val="00AF2FAD"/>
    <w:rsid w:val="00AF3054"/>
    <w:rsid w:val="00AF352F"/>
    <w:rsid w:val="00AF3A75"/>
    <w:rsid w:val="00AF4276"/>
    <w:rsid w:val="00AF42C8"/>
    <w:rsid w:val="00AF4558"/>
    <w:rsid w:val="00AF4C45"/>
    <w:rsid w:val="00AF4E49"/>
    <w:rsid w:val="00AF5127"/>
    <w:rsid w:val="00AF5232"/>
    <w:rsid w:val="00AF5236"/>
    <w:rsid w:val="00AF5621"/>
    <w:rsid w:val="00AF56A1"/>
    <w:rsid w:val="00AF5931"/>
    <w:rsid w:val="00AF6327"/>
    <w:rsid w:val="00AF63D5"/>
    <w:rsid w:val="00AF6583"/>
    <w:rsid w:val="00AF677A"/>
    <w:rsid w:val="00AF68A0"/>
    <w:rsid w:val="00AF6D29"/>
    <w:rsid w:val="00AF72DA"/>
    <w:rsid w:val="00AF7EFE"/>
    <w:rsid w:val="00B0004B"/>
    <w:rsid w:val="00B00E77"/>
    <w:rsid w:val="00B00E7C"/>
    <w:rsid w:val="00B0164F"/>
    <w:rsid w:val="00B01B9A"/>
    <w:rsid w:val="00B01C83"/>
    <w:rsid w:val="00B01D01"/>
    <w:rsid w:val="00B01D06"/>
    <w:rsid w:val="00B02163"/>
    <w:rsid w:val="00B022C0"/>
    <w:rsid w:val="00B02487"/>
    <w:rsid w:val="00B02CF1"/>
    <w:rsid w:val="00B033A4"/>
    <w:rsid w:val="00B03404"/>
    <w:rsid w:val="00B035C9"/>
    <w:rsid w:val="00B0375E"/>
    <w:rsid w:val="00B03E17"/>
    <w:rsid w:val="00B0487D"/>
    <w:rsid w:val="00B04F9F"/>
    <w:rsid w:val="00B052FD"/>
    <w:rsid w:val="00B054E1"/>
    <w:rsid w:val="00B05F81"/>
    <w:rsid w:val="00B0677E"/>
    <w:rsid w:val="00B06789"/>
    <w:rsid w:val="00B0729E"/>
    <w:rsid w:val="00B07811"/>
    <w:rsid w:val="00B0781B"/>
    <w:rsid w:val="00B07BE5"/>
    <w:rsid w:val="00B106B1"/>
    <w:rsid w:val="00B10AD6"/>
    <w:rsid w:val="00B1194C"/>
    <w:rsid w:val="00B11A75"/>
    <w:rsid w:val="00B11CBC"/>
    <w:rsid w:val="00B1227F"/>
    <w:rsid w:val="00B122D9"/>
    <w:rsid w:val="00B12490"/>
    <w:rsid w:val="00B12A2F"/>
    <w:rsid w:val="00B12A9C"/>
    <w:rsid w:val="00B12C75"/>
    <w:rsid w:val="00B12F39"/>
    <w:rsid w:val="00B12F3F"/>
    <w:rsid w:val="00B13111"/>
    <w:rsid w:val="00B13606"/>
    <w:rsid w:val="00B1371E"/>
    <w:rsid w:val="00B13D41"/>
    <w:rsid w:val="00B13F08"/>
    <w:rsid w:val="00B140D2"/>
    <w:rsid w:val="00B1411C"/>
    <w:rsid w:val="00B141E6"/>
    <w:rsid w:val="00B14724"/>
    <w:rsid w:val="00B15245"/>
    <w:rsid w:val="00B15312"/>
    <w:rsid w:val="00B153FD"/>
    <w:rsid w:val="00B15AC5"/>
    <w:rsid w:val="00B15B3F"/>
    <w:rsid w:val="00B15BD0"/>
    <w:rsid w:val="00B15C4E"/>
    <w:rsid w:val="00B15D11"/>
    <w:rsid w:val="00B15E76"/>
    <w:rsid w:val="00B160FD"/>
    <w:rsid w:val="00B16EAE"/>
    <w:rsid w:val="00B16EB3"/>
    <w:rsid w:val="00B1751E"/>
    <w:rsid w:val="00B17A8F"/>
    <w:rsid w:val="00B17AC1"/>
    <w:rsid w:val="00B17CB9"/>
    <w:rsid w:val="00B17FA7"/>
    <w:rsid w:val="00B17FAC"/>
    <w:rsid w:val="00B2019F"/>
    <w:rsid w:val="00B20934"/>
    <w:rsid w:val="00B20A49"/>
    <w:rsid w:val="00B20C4D"/>
    <w:rsid w:val="00B21440"/>
    <w:rsid w:val="00B21473"/>
    <w:rsid w:val="00B215E9"/>
    <w:rsid w:val="00B21CD8"/>
    <w:rsid w:val="00B22062"/>
    <w:rsid w:val="00B22305"/>
    <w:rsid w:val="00B22614"/>
    <w:rsid w:val="00B229E5"/>
    <w:rsid w:val="00B23AC8"/>
    <w:rsid w:val="00B24060"/>
    <w:rsid w:val="00B240F5"/>
    <w:rsid w:val="00B246B8"/>
    <w:rsid w:val="00B255DB"/>
    <w:rsid w:val="00B2574E"/>
    <w:rsid w:val="00B25DB4"/>
    <w:rsid w:val="00B25E2D"/>
    <w:rsid w:val="00B260B5"/>
    <w:rsid w:val="00B26724"/>
    <w:rsid w:val="00B26914"/>
    <w:rsid w:val="00B2693B"/>
    <w:rsid w:val="00B269BE"/>
    <w:rsid w:val="00B26D3F"/>
    <w:rsid w:val="00B26E9D"/>
    <w:rsid w:val="00B2721C"/>
    <w:rsid w:val="00B2748F"/>
    <w:rsid w:val="00B27921"/>
    <w:rsid w:val="00B27BA0"/>
    <w:rsid w:val="00B27EC3"/>
    <w:rsid w:val="00B27FBA"/>
    <w:rsid w:val="00B30085"/>
    <w:rsid w:val="00B30485"/>
    <w:rsid w:val="00B304B6"/>
    <w:rsid w:val="00B30844"/>
    <w:rsid w:val="00B31004"/>
    <w:rsid w:val="00B3107A"/>
    <w:rsid w:val="00B3114F"/>
    <w:rsid w:val="00B31A41"/>
    <w:rsid w:val="00B31DF9"/>
    <w:rsid w:val="00B31E55"/>
    <w:rsid w:val="00B31EB3"/>
    <w:rsid w:val="00B3236E"/>
    <w:rsid w:val="00B32BCB"/>
    <w:rsid w:val="00B32C0D"/>
    <w:rsid w:val="00B3361E"/>
    <w:rsid w:val="00B33CCB"/>
    <w:rsid w:val="00B33FFB"/>
    <w:rsid w:val="00B34336"/>
    <w:rsid w:val="00B34799"/>
    <w:rsid w:val="00B349B1"/>
    <w:rsid w:val="00B34EC3"/>
    <w:rsid w:val="00B35835"/>
    <w:rsid w:val="00B35AA5"/>
    <w:rsid w:val="00B36076"/>
    <w:rsid w:val="00B361E8"/>
    <w:rsid w:val="00B362FA"/>
    <w:rsid w:val="00B36760"/>
    <w:rsid w:val="00B36DF0"/>
    <w:rsid w:val="00B376FE"/>
    <w:rsid w:val="00B377FB"/>
    <w:rsid w:val="00B37C71"/>
    <w:rsid w:val="00B40296"/>
    <w:rsid w:val="00B4162F"/>
    <w:rsid w:val="00B417B9"/>
    <w:rsid w:val="00B41B57"/>
    <w:rsid w:val="00B41BE7"/>
    <w:rsid w:val="00B41C33"/>
    <w:rsid w:val="00B42437"/>
    <w:rsid w:val="00B42AFE"/>
    <w:rsid w:val="00B43383"/>
    <w:rsid w:val="00B43535"/>
    <w:rsid w:val="00B43BFF"/>
    <w:rsid w:val="00B4402E"/>
    <w:rsid w:val="00B44133"/>
    <w:rsid w:val="00B44469"/>
    <w:rsid w:val="00B4520D"/>
    <w:rsid w:val="00B458DF"/>
    <w:rsid w:val="00B4612B"/>
    <w:rsid w:val="00B461EB"/>
    <w:rsid w:val="00B4621C"/>
    <w:rsid w:val="00B4624C"/>
    <w:rsid w:val="00B462A0"/>
    <w:rsid w:val="00B4692B"/>
    <w:rsid w:val="00B46F46"/>
    <w:rsid w:val="00B472DD"/>
    <w:rsid w:val="00B473E7"/>
    <w:rsid w:val="00B475C7"/>
    <w:rsid w:val="00B478E9"/>
    <w:rsid w:val="00B47A77"/>
    <w:rsid w:val="00B50084"/>
    <w:rsid w:val="00B50914"/>
    <w:rsid w:val="00B50D34"/>
    <w:rsid w:val="00B50E2A"/>
    <w:rsid w:val="00B511A9"/>
    <w:rsid w:val="00B515B3"/>
    <w:rsid w:val="00B515D2"/>
    <w:rsid w:val="00B51C1D"/>
    <w:rsid w:val="00B5211D"/>
    <w:rsid w:val="00B52D3C"/>
    <w:rsid w:val="00B535C1"/>
    <w:rsid w:val="00B535C2"/>
    <w:rsid w:val="00B538E8"/>
    <w:rsid w:val="00B53ADB"/>
    <w:rsid w:val="00B53E84"/>
    <w:rsid w:val="00B54010"/>
    <w:rsid w:val="00B543EE"/>
    <w:rsid w:val="00B54ACF"/>
    <w:rsid w:val="00B54D43"/>
    <w:rsid w:val="00B54E2F"/>
    <w:rsid w:val="00B55146"/>
    <w:rsid w:val="00B555B2"/>
    <w:rsid w:val="00B55E51"/>
    <w:rsid w:val="00B5629F"/>
    <w:rsid w:val="00B56D2B"/>
    <w:rsid w:val="00B56DFF"/>
    <w:rsid w:val="00B574B0"/>
    <w:rsid w:val="00B576E9"/>
    <w:rsid w:val="00B602BF"/>
    <w:rsid w:val="00B60844"/>
    <w:rsid w:val="00B60BCF"/>
    <w:rsid w:val="00B60C51"/>
    <w:rsid w:val="00B60CD8"/>
    <w:rsid w:val="00B614F4"/>
    <w:rsid w:val="00B61967"/>
    <w:rsid w:val="00B61E56"/>
    <w:rsid w:val="00B62F60"/>
    <w:rsid w:val="00B6344D"/>
    <w:rsid w:val="00B63A52"/>
    <w:rsid w:val="00B6437B"/>
    <w:rsid w:val="00B64514"/>
    <w:rsid w:val="00B65DCF"/>
    <w:rsid w:val="00B65DEA"/>
    <w:rsid w:val="00B65E02"/>
    <w:rsid w:val="00B6645F"/>
    <w:rsid w:val="00B668CB"/>
    <w:rsid w:val="00B66A63"/>
    <w:rsid w:val="00B66E55"/>
    <w:rsid w:val="00B67820"/>
    <w:rsid w:val="00B6785D"/>
    <w:rsid w:val="00B70A25"/>
    <w:rsid w:val="00B70DF6"/>
    <w:rsid w:val="00B7138C"/>
    <w:rsid w:val="00B718F1"/>
    <w:rsid w:val="00B71CCA"/>
    <w:rsid w:val="00B71DAB"/>
    <w:rsid w:val="00B71F0F"/>
    <w:rsid w:val="00B71FB8"/>
    <w:rsid w:val="00B722B7"/>
    <w:rsid w:val="00B7240C"/>
    <w:rsid w:val="00B72AA2"/>
    <w:rsid w:val="00B72BB6"/>
    <w:rsid w:val="00B72C67"/>
    <w:rsid w:val="00B72E21"/>
    <w:rsid w:val="00B7347E"/>
    <w:rsid w:val="00B7385B"/>
    <w:rsid w:val="00B73E1C"/>
    <w:rsid w:val="00B7432F"/>
    <w:rsid w:val="00B74331"/>
    <w:rsid w:val="00B74C3B"/>
    <w:rsid w:val="00B74F58"/>
    <w:rsid w:val="00B75B44"/>
    <w:rsid w:val="00B75DEC"/>
    <w:rsid w:val="00B764E0"/>
    <w:rsid w:val="00B768FA"/>
    <w:rsid w:val="00B769C7"/>
    <w:rsid w:val="00B7709B"/>
    <w:rsid w:val="00B771C6"/>
    <w:rsid w:val="00B7750B"/>
    <w:rsid w:val="00B77A7F"/>
    <w:rsid w:val="00B77DE5"/>
    <w:rsid w:val="00B80B63"/>
    <w:rsid w:val="00B80D72"/>
    <w:rsid w:val="00B8114E"/>
    <w:rsid w:val="00B814A4"/>
    <w:rsid w:val="00B814ED"/>
    <w:rsid w:val="00B8163F"/>
    <w:rsid w:val="00B8184F"/>
    <w:rsid w:val="00B81BC8"/>
    <w:rsid w:val="00B81D89"/>
    <w:rsid w:val="00B81DDC"/>
    <w:rsid w:val="00B8234D"/>
    <w:rsid w:val="00B827E6"/>
    <w:rsid w:val="00B82B27"/>
    <w:rsid w:val="00B82B56"/>
    <w:rsid w:val="00B831E6"/>
    <w:rsid w:val="00B8325C"/>
    <w:rsid w:val="00B835F5"/>
    <w:rsid w:val="00B83B82"/>
    <w:rsid w:val="00B84040"/>
    <w:rsid w:val="00B840CC"/>
    <w:rsid w:val="00B8468A"/>
    <w:rsid w:val="00B8473F"/>
    <w:rsid w:val="00B84D5B"/>
    <w:rsid w:val="00B84FC7"/>
    <w:rsid w:val="00B8517B"/>
    <w:rsid w:val="00B852B2"/>
    <w:rsid w:val="00B857C6"/>
    <w:rsid w:val="00B8594D"/>
    <w:rsid w:val="00B86552"/>
    <w:rsid w:val="00B86670"/>
    <w:rsid w:val="00B871CE"/>
    <w:rsid w:val="00B871DC"/>
    <w:rsid w:val="00B87444"/>
    <w:rsid w:val="00B878DE"/>
    <w:rsid w:val="00B87CF5"/>
    <w:rsid w:val="00B87FC9"/>
    <w:rsid w:val="00B87FDA"/>
    <w:rsid w:val="00B900D8"/>
    <w:rsid w:val="00B906B9"/>
    <w:rsid w:val="00B90A37"/>
    <w:rsid w:val="00B90DB6"/>
    <w:rsid w:val="00B90E48"/>
    <w:rsid w:val="00B9117D"/>
    <w:rsid w:val="00B917A2"/>
    <w:rsid w:val="00B917DB"/>
    <w:rsid w:val="00B9196C"/>
    <w:rsid w:val="00B91FF4"/>
    <w:rsid w:val="00B925C0"/>
    <w:rsid w:val="00B926F4"/>
    <w:rsid w:val="00B92A06"/>
    <w:rsid w:val="00B92BC5"/>
    <w:rsid w:val="00B93182"/>
    <w:rsid w:val="00B937D3"/>
    <w:rsid w:val="00B93B86"/>
    <w:rsid w:val="00B93BC5"/>
    <w:rsid w:val="00B93CB5"/>
    <w:rsid w:val="00B93CD2"/>
    <w:rsid w:val="00B94643"/>
    <w:rsid w:val="00B95230"/>
    <w:rsid w:val="00B95800"/>
    <w:rsid w:val="00B96120"/>
    <w:rsid w:val="00B96492"/>
    <w:rsid w:val="00B96848"/>
    <w:rsid w:val="00B96D2D"/>
    <w:rsid w:val="00B974B1"/>
    <w:rsid w:val="00B977A1"/>
    <w:rsid w:val="00BA03FC"/>
    <w:rsid w:val="00BA0515"/>
    <w:rsid w:val="00BA0569"/>
    <w:rsid w:val="00BA0764"/>
    <w:rsid w:val="00BA0A3C"/>
    <w:rsid w:val="00BA0E6B"/>
    <w:rsid w:val="00BA10A7"/>
    <w:rsid w:val="00BA154D"/>
    <w:rsid w:val="00BA175C"/>
    <w:rsid w:val="00BA1F39"/>
    <w:rsid w:val="00BA20FC"/>
    <w:rsid w:val="00BA237D"/>
    <w:rsid w:val="00BA24E1"/>
    <w:rsid w:val="00BA2F36"/>
    <w:rsid w:val="00BA318F"/>
    <w:rsid w:val="00BA3695"/>
    <w:rsid w:val="00BA3E6A"/>
    <w:rsid w:val="00BA4435"/>
    <w:rsid w:val="00BA45A6"/>
    <w:rsid w:val="00BA4C2E"/>
    <w:rsid w:val="00BA53CC"/>
    <w:rsid w:val="00BA585B"/>
    <w:rsid w:val="00BA5A76"/>
    <w:rsid w:val="00BA5BE2"/>
    <w:rsid w:val="00BA5CD8"/>
    <w:rsid w:val="00BA62AC"/>
    <w:rsid w:val="00BA6424"/>
    <w:rsid w:val="00BA6946"/>
    <w:rsid w:val="00BA706E"/>
    <w:rsid w:val="00BA73AE"/>
    <w:rsid w:val="00BA74AA"/>
    <w:rsid w:val="00BA74ED"/>
    <w:rsid w:val="00BA75E5"/>
    <w:rsid w:val="00BA7BCB"/>
    <w:rsid w:val="00BA7DD9"/>
    <w:rsid w:val="00BB068A"/>
    <w:rsid w:val="00BB0EFF"/>
    <w:rsid w:val="00BB165F"/>
    <w:rsid w:val="00BB33DB"/>
    <w:rsid w:val="00BB3675"/>
    <w:rsid w:val="00BB3783"/>
    <w:rsid w:val="00BB37CF"/>
    <w:rsid w:val="00BB3BD5"/>
    <w:rsid w:val="00BB3FB0"/>
    <w:rsid w:val="00BB41EF"/>
    <w:rsid w:val="00BB425D"/>
    <w:rsid w:val="00BB46A3"/>
    <w:rsid w:val="00BB4742"/>
    <w:rsid w:val="00BB51C0"/>
    <w:rsid w:val="00BB526B"/>
    <w:rsid w:val="00BB52F1"/>
    <w:rsid w:val="00BB543D"/>
    <w:rsid w:val="00BB5503"/>
    <w:rsid w:val="00BB60A8"/>
    <w:rsid w:val="00BB62D6"/>
    <w:rsid w:val="00BB6671"/>
    <w:rsid w:val="00BB7980"/>
    <w:rsid w:val="00BB79FA"/>
    <w:rsid w:val="00BB7A21"/>
    <w:rsid w:val="00BC04E8"/>
    <w:rsid w:val="00BC0AAC"/>
    <w:rsid w:val="00BC1EC5"/>
    <w:rsid w:val="00BC1EF8"/>
    <w:rsid w:val="00BC203E"/>
    <w:rsid w:val="00BC23CB"/>
    <w:rsid w:val="00BC30DE"/>
    <w:rsid w:val="00BC351E"/>
    <w:rsid w:val="00BC3588"/>
    <w:rsid w:val="00BC3614"/>
    <w:rsid w:val="00BC380C"/>
    <w:rsid w:val="00BC3AE0"/>
    <w:rsid w:val="00BC3F83"/>
    <w:rsid w:val="00BC4493"/>
    <w:rsid w:val="00BC4797"/>
    <w:rsid w:val="00BC4D45"/>
    <w:rsid w:val="00BC4F82"/>
    <w:rsid w:val="00BC5619"/>
    <w:rsid w:val="00BC5B9E"/>
    <w:rsid w:val="00BC6235"/>
    <w:rsid w:val="00BC637A"/>
    <w:rsid w:val="00BC691E"/>
    <w:rsid w:val="00BC7886"/>
    <w:rsid w:val="00BD138C"/>
    <w:rsid w:val="00BD1636"/>
    <w:rsid w:val="00BD24FF"/>
    <w:rsid w:val="00BD2E8A"/>
    <w:rsid w:val="00BD3693"/>
    <w:rsid w:val="00BD3BC5"/>
    <w:rsid w:val="00BD3F6E"/>
    <w:rsid w:val="00BD419B"/>
    <w:rsid w:val="00BD44BE"/>
    <w:rsid w:val="00BD493F"/>
    <w:rsid w:val="00BD53F6"/>
    <w:rsid w:val="00BD555A"/>
    <w:rsid w:val="00BD569C"/>
    <w:rsid w:val="00BD634E"/>
    <w:rsid w:val="00BD64AA"/>
    <w:rsid w:val="00BD684B"/>
    <w:rsid w:val="00BD710F"/>
    <w:rsid w:val="00BD765C"/>
    <w:rsid w:val="00BD7668"/>
    <w:rsid w:val="00BD7685"/>
    <w:rsid w:val="00BD7D3C"/>
    <w:rsid w:val="00BD7DB1"/>
    <w:rsid w:val="00BE00FA"/>
    <w:rsid w:val="00BE09FD"/>
    <w:rsid w:val="00BE0C9A"/>
    <w:rsid w:val="00BE0DC0"/>
    <w:rsid w:val="00BE0EE7"/>
    <w:rsid w:val="00BE1515"/>
    <w:rsid w:val="00BE22D1"/>
    <w:rsid w:val="00BE245C"/>
    <w:rsid w:val="00BE2E0F"/>
    <w:rsid w:val="00BE2E15"/>
    <w:rsid w:val="00BE43F4"/>
    <w:rsid w:val="00BE43F8"/>
    <w:rsid w:val="00BE445E"/>
    <w:rsid w:val="00BE4CF7"/>
    <w:rsid w:val="00BE533C"/>
    <w:rsid w:val="00BE54CC"/>
    <w:rsid w:val="00BE58F1"/>
    <w:rsid w:val="00BE5A1D"/>
    <w:rsid w:val="00BE5D4D"/>
    <w:rsid w:val="00BE60A9"/>
    <w:rsid w:val="00BE640A"/>
    <w:rsid w:val="00BE6529"/>
    <w:rsid w:val="00BE66C9"/>
    <w:rsid w:val="00BE698E"/>
    <w:rsid w:val="00BE704A"/>
    <w:rsid w:val="00BE70E0"/>
    <w:rsid w:val="00BE7191"/>
    <w:rsid w:val="00BE7338"/>
    <w:rsid w:val="00BE7E25"/>
    <w:rsid w:val="00BF0667"/>
    <w:rsid w:val="00BF0748"/>
    <w:rsid w:val="00BF0908"/>
    <w:rsid w:val="00BF13E2"/>
    <w:rsid w:val="00BF156F"/>
    <w:rsid w:val="00BF1612"/>
    <w:rsid w:val="00BF1633"/>
    <w:rsid w:val="00BF1D85"/>
    <w:rsid w:val="00BF202C"/>
    <w:rsid w:val="00BF2212"/>
    <w:rsid w:val="00BF2243"/>
    <w:rsid w:val="00BF25EE"/>
    <w:rsid w:val="00BF2F94"/>
    <w:rsid w:val="00BF366A"/>
    <w:rsid w:val="00BF3D4E"/>
    <w:rsid w:val="00BF4AD7"/>
    <w:rsid w:val="00BF4CF8"/>
    <w:rsid w:val="00BF4F8C"/>
    <w:rsid w:val="00BF5195"/>
    <w:rsid w:val="00BF52EA"/>
    <w:rsid w:val="00BF5999"/>
    <w:rsid w:val="00BF68EE"/>
    <w:rsid w:val="00BF696A"/>
    <w:rsid w:val="00BF6F34"/>
    <w:rsid w:val="00BF71DC"/>
    <w:rsid w:val="00BF7409"/>
    <w:rsid w:val="00BF77B4"/>
    <w:rsid w:val="00BF78A7"/>
    <w:rsid w:val="00BF7CFC"/>
    <w:rsid w:val="00C0001D"/>
    <w:rsid w:val="00C00077"/>
    <w:rsid w:val="00C00475"/>
    <w:rsid w:val="00C00739"/>
    <w:rsid w:val="00C013C8"/>
    <w:rsid w:val="00C0153B"/>
    <w:rsid w:val="00C0198D"/>
    <w:rsid w:val="00C01FA1"/>
    <w:rsid w:val="00C02324"/>
    <w:rsid w:val="00C02624"/>
    <w:rsid w:val="00C02A31"/>
    <w:rsid w:val="00C0328F"/>
    <w:rsid w:val="00C03519"/>
    <w:rsid w:val="00C047DD"/>
    <w:rsid w:val="00C04910"/>
    <w:rsid w:val="00C04D6E"/>
    <w:rsid w:val="00C0551D"/>
    <w:rsid w:val="00C05567"/>
    <w:rsid w:val="00C0559B"/>
    <w:rsid w:val="00C060F8"/>
    <w:rsid w:val="00C06DF4"/>
    <w:rsid w:val="00C07290"/>
    <w:rsid w:val="00C07561"/>
    <w:rsid w:val="00C07D42"/>
    <w:rsid w:val="00C10126"/>
    <w:rsid w:val="00C104B8"/>
    <w:rsid w:val="00C10711"/>
    <w:rsid w:val="00C10A35"/>
    <w:rsid w:val="00C10DAF"/>
    <w:rsid w:val="00C11171"/>
    <w:rsid w:val="00C11BDE"/>
    <w:rsid w:val="00C123E8"/>
    <w:rsid w:val="00C1260B"/>
    <w:rsid w:val="00C12BF8"/>
    <w:rsid w:val="00C134B0"/>
    <w:rsid w:val="00C13C3D"/>
    <w:rsid w:val="00C143F7"/>
    <w:rsid w:val="00C144A7"/>
    <w:rsid w:val="00C152B8"/>
    <w:rsid w:val="00C15523"/>
    <w:rsid w:val="00C16097"/>
    <w:rsid w:val="00C161B1"/>
    <w:rsid w:val="00C1643A"/>
    <w:rsid w:val="00C17044"/>
    <w:rsid w:val="00C1705C"/>
    <w:rsid w:val="00C170D7"/>
    <w:rsid w:val="00C1727F"/>
    <w:rsid w:val="00C174D7"/>
    <w:rsid w:val="00C17726"/>
    <w:rsid w:val="00C17935"/>
    <w:rsid w:val="00C17C24"/>
    <w:rsid w:val="00C17EBD"/>
    <w:rsid w:val="00C200D6"/>
    <w:rsid w:val="00C20120"/>
    <w:rsid w:val="00C2061A"/>
    <w:rsid w:val="00C2069C"/>
    <w:rsid w:val="00C206D3"/>
    <w:rsid w:val="00C2089B"/>
    <w:rsid w:val="00C20B87"/>
    <w:rsid w:val="00C20DC1"/>
    <w:rsid w:val="00C20DD7"/>
    <w:rsid w:val="00C20DE4"/>
    <w:rsid w:val="00C2147A"/>
    <w:rsid w:val="00C215A5"/>
    <w:rsid w:val="00C2181B"/>
    <w:rsid w:val="00C219EF"/>
    <w:rsid w:val="00C2230B"/>
    <w:rsid w:val="00C22699"/>
    <w:rsid w:val="00C2285E"/>
    <w:rsid w:val="00C22B08"/>
    <w:rsid w:val="00C22B1F"/>
    <w:rsid w:val="00C22FA0"/>
    <w:rsid w:val="00C2308B"/>
    <w:rsid w:val="00C2333F"/>
    <w:rsid w:val="00C23366"/>
    <w:rsid w:val="00C2389A"/>
    <w:rsid w:val="00C238F8"/>
    <w:rsid w:val="00C23AB0"/>
    <w:rsid w:val="00C23F92"/>
    <w:rsid w:val="00C2419B"/>
    <w:rsid w:val="00C2501B"/>
    <w:rsid w:val="00C250F6"/>
    <w:rsid w:val="00C25408"/>
    <w:rsid w:val="00C25643"/>
    <w:rsid w:val="00C25D24"/>
    <w:rsid w:val="00C25F59"/>
    <w:rsid w:val="00C2613D"/>
    <w:rsid w:val="00C2640D"/>
    <w:rsid w:val="00C267C2"/>
    <w:rsid w:val="00C26C88"/>
    <w:rsid w:val="00C270C2"/>
    <w:rsid w:val="00C272FC"/>
    <w:rsid w:val="00C27AA0"/>
    <w:rsid w:val="00C27AE7"/>
    <w:rsid w:val="00C27CA2"/>
    <w:rsid w:val="00C27E41"/>
    <w:rsid w:val="00C30206"/>
    <w:rsid w:val="00C30B8D"/>
    <w:rsid w:val="00C30EA0"/>
    <w:rsid w:val="00C31A15"/>
    <w:rsid w:val="00C31ECE"/>
    <w:rsid w:val="00C31F15"/>
    <w:rsid w:val="00C32D45"/>
    <w:rsid w:val="00C330BD"/>
    <w:rsid w:val="00C330F7"/>
    <w:rsid w:val="00C3319A"/>
    <w:rsid w:val="00C3339A"/>
    <w:rsid w:val="00C33511"/>
    <w:rsid w:val="00C33663"/>
    <w:rsid w:val="00C33746"/>
    <w:rsid w:val="00C33E28"/>
    <w:rsid w:val="00C34285"/>
    <w:rsid w:val="00C34774"/>
    <w:rsid w:val="00C352DC"/>
    <w:rsid w:val="00C356FA"/>
    <w:rsid w:val="00C35D6A"/>
    <w:rsid w:val="00C3667D"/>
    <w:rsid w:val="00C36B3F"/>
    <w:rsid w:val="00C373A2"/>
    <w:rsid w:val="00C37B1B"/>
    <w:rsid w:val="00C40496"/>
    <w:rsid w:val="00C40963"/>
    <w:rsid w:val="00C40DA6"/>
    <w:rsid w:val="00C40E7D"/>
    <w:rsid w:val="00C40E91"/>
    <w:rsid w:val="00C4128B"/>
    <w:rsid w:val="00C412F5"/>
    <w:rsid w:val="00C41E76"/>
    <w:rsid w:val="00C41EDB"/>
    <w:rsid w:val="00C422B0"/>
    <w:rsid w:val="00C4235C"/>
    <w:rsid w:val="00C42592"/>
    <w:rsid w:val="00C427C4"/>
    <w:rsid w:val="00C42BAE"/>
    <w:rsid w:val="00C43160"/>
    <w:rsid w:val="00C43B16"/>
    <w:rsid w:val="00C43B22"/>
    <w:rsid w:val="00C43FBA"/>
    <w:rsid w:val="00C44D13"/>
    <w:rsid w:val="00C45342"/>
    <w:rsid w:val="00C456CF"/>
    <w:rsid w:val="00C463D1"/>
    <w:rsid w:val="00C464FB"/>
    <w:rsid w:val="00C466F3"/>
    <w:rsid w:val="00C46A51"/>
    <w:rsid w:val="00C471EE"/>
    <w:rsid w:val="00C4721A"/>
    <w:rsid w:val="00C47BB7"/>
    <w:rsid w:val="00C500C5"/>
    <w:rsid w:val="00C502E7"/>
    <w:rsid w:val="00C50387"/>
    <w:rsid w:val="00C504FA"/>
    <w:rsid w:val="00C50649"/>
    <w:rsid w:val="00C508C2"/>
    <w:rsid w:val="00C5094C"/>
    <w:rsid w:val="00C50D32"/>
    <w:rsid w:val="00C51344"/>
    <w:rsid w:val="00C515D1"/>
    <w:rsid w:val="00C51910"/>
    <w:rsid w:val="00C51AD1"/>
    <w:rsid w:val="00C51D62"/>
    <w:rsid w:val="00C52D8C"/>
    <w:rsid w:val="00C533EF"/>
    <w:rsid w:val="00C535B2"/>
    <w:rsid w:val="00C5385A"/>
    <w:rsid w:val="00C53D72"/>
    <w:rsid w:val="00C542D9"/>
    <w:rsid w:val="00C54729"/>
    <w:rsid w:val="00C55141"/>
    <w:rsid w:val="00C55594"/>
    <w:rsid w:val="00C5561C"/>
    <w:rsid w:val="00C55781"/>
    <w:rsid w:val="00C56824"/>
    <w:rsid w:val="00C56A33"/>
    <w:rsid w:val="00C56C78"/>
    <w:rsid w:val="00C5720A"/>
    <w:rsid w:val="00C57A4E"/>
    <w:rsid w:val="00C57EE8"/>
    <w:rsid w:val="00C60003"/>
    <w:rsid w:val="00C609B1"/>
    <w:rsid w:val="00C60BC8"/>
    <w:rsid w:val="00C60ED4"/>
    <w:rsid w:val="00C61350"/>
    <w:rsid w:val="00C6146D"/>
    <w:rsid w:val="00C61702"/>
    <w:rsid w:val="00C62218"/>
    <w:rsid w:val="00C6224D"/>
    <w:rsid w:val="00C627D7"/>
    <w:rsid w:val="00C62D97"/>
    <w:rsid w:val="00C63253"/>
    <w:rsid w:val="00C632B8"/>
    <w:rsid w:val="00C63308"/>
    <w:rsid w:val="00C6339F"/>
    <w:rsid w:val="00C636DB"/>
    <w:rsid w:val="00C63D5E"/>
    <w:rsid w:val="00C64204"/>
    <w:rsid w:val="00C642DB"/>
    <w:rsid w:val="00C64DF5"/>
    <w:rsid w:val="00C64F57"/>
    <w:rsid w:val="00C650B3"/>
    <w:rsid w:val="00C650D2"/>
    <w:rsid w:val="00C655A4"/>
    <w:rsid w:val="00C65947"/>
    <w:rsid w:val="00C65C81"/>
    <w:rsid w:val="00C66639"/>
    <w:rsid w:val="00C66911"/>
    <w:rsid w:val="00C66BEC"/>
    <w:rsid w:val="00C66EBD"/>
    <w:rsid w:val="00C672B1"/>
    <w:rsid w:val="00C6796A"/>
    <w:rsid w:val="00C67F09"/>
    <w:rsid w:val="00C67FE5"/>
    <w:rsid w:val="00C70423"/>
    <w:rsid w:val="00C70AA2"/>
    <w:rsid w:val="00C70F62"/>
    <w:rsid w:val="00C7102A"/>
    <w:rsid w:val="00C7113E"/>
    <w:rsid w:val="00C712C9"/>
    <w:rsid w:val="00C716CC"/>
    <w:rsid w:val="00C71AE9"/>
    <w:rsid w:val="00C72361"/>
    <w:rsid w:val="00C72798"/>
    <w:rsid w:val="00C72B94"/>
    <w:rsid w:val="00C72D60"/>
    <w:rsid w:val="00C72E28"/>
    <w:rsid w:val="00C72F16"/>
    <w:rsid w:val="00C730A1"/>
    <w:rsid w:val="00C7391E"/>
    <w:rsid w:val="00C74103"/>
    <w:rsid w:val="00C74136"/>
    <w:rsid w:val="00C745A2"/>
    <w:rsid w:val="00C7518A"/>
    <w:rsid w:val="00C75286"/>
    <w:rsid w:val="00C755D1"/>
    <w:rsid w:val="00C7560B"/>
    <w:rsid w:val="00C76293"/>
    <w:rsid w:val="00C76813"/>
    <w:rsid w:val="00C76CF7"/>
    <w:rsid w:val="00C77407"/>
    <w:rsid w:val="00C777B8"/>
    <w:rsid w:val="00C801F2"/>
    <w:rsid w:val="00C808AA"/>
    <w:rsid w:val="00C8110F"/>
    <w:rsid w:val="00C812E0"/>
    <w:rsid w:val="00C816D4"/>
    <w:rsid w:val="00C82975"/>
    <w:rsid w:val="00C82A08"/>
    <w:rsid w:val="00C82B8D"/>
    <w:rsid w:val="00C82E12"/>
    <w:rsid w:val="00C82FEA"/>
    <w:rsid w:val="00C832CA"/>
    <w:rsid w:val="00C841EF"/>
    <w:rsid w:val="00C842F0"/>
    <w:rsid w:val="00C8458B"/>
    <w:rsid w:val="00C848B1"/>
    <w:rsid w:val="00C8497C"/>
    <w:rsid w:val="00C84DFF"/>
    <w:rsid w:val="00C85FBC"/>
    <w:rsid w:val="00C861F4"/>
    <w:rsid w:val="00C863BF"/>
    <w:rsid w:val="00C868FE"/>
    <w:rsid w:val="00C869B0"/>
    <w:rsid w:val="00C86A17"/>
    <w:rsid w:val="00C86F11"/>
    <w:rsid w:val="00C86FC0"/>
    <w:rsid w:val="00C86FEA"/>
    <w:rsid w:val="00C87011"/>
    <w:rsid w:val="00C870DC"/>
    <w:rsid w:val="00C87C15"/>
    <w:rsid w:val="00C87F8F"/>
    <w:rsid w:val="00C906B6"/>
    <w:rsid w:val="00C90AAF"/>
    <w:rsid w:val="00C90B7C"/>
    <w:rsid w:val="00C90C51"/>
    <w:rsid w:val="00C90CF6"/>
    <w:rsid w:val="00C90DBB"/>
    <w:rsid w:val="00C90E1C"/>
    <w:rsid w:val="00C90F0F"/>
    <w:rsid w:val="00C91284"/>
    <w:rsid w:val="00C91D48"/>
    <w:rsid w:val="00C91E64"/>
    <w:rsid w:val="00C91EE5"/>
    <w:rsid w:val="00C91FF0"/>
    <w:rsid w:val="00C92331"/>
    <w:rsid w:val="00C9251E"/>
    <w:rsid w:val="00C92866"/>
    <w:rsid w:val="00C9306B"/>
    <w:rsid w:val="00C93A10"/>
    <w:rsid w:val="00C93ED4"/>
    <w:rsid w:val="00C94484"/>
    <w:rsid w:val="00C95586"/>
    <w:rsid w:val="00C956B6"/>
    <w:rsid w:val="00C9645F"/>
    <w:rsid w:val="00C96733"/>
    <w:rsid w:val="00C96DAE"/>
    <w:rsid w:val="00C9700C"/>
    <w:rsid w:val="00C974D9"/>
    <w:rsid w:val="00C97589"/>
    <w:rsid w:val="00CA015F"/>
    <w:rsid w:val="00CA0205"/>
    <w:rsid w:val="00CA0267"/>
    <w:rsid w:val="00CA0805"/>
    <w:rsid w:val="00CA0DC0"/>
    <w:rsid w:val="00CA0FB0"/>
    <w:rsid w:val="00CA1073"/>
    <w:rsid w:val="00CA1117"/>
    <w:rsid w:val="00CA1283"/>
    <w:rsid w:val="00CA1B4B"/>
    <w:rsid w:val="00CA2557"/>
    <w:rsid w:val="00CA291C"/>
    <w:rsid w:val="00CA2A57"/>
    <w:rsid w:val="00CA30FD"/>
    <w:rsid w:val="00CA31EC"/>
    <w:rsid w:val="00CA31FE"/>
    <w:rsid w:val="00CA3A75"/>
    <w:rsid w:val="00CA4194"/>
    <w:rsid w:val="00CA4220"/>
    <w:rsid w:val="00CA461D"/>
    <w:rsid w:val="00CA4D0B"/>
    <w:rsid w:val="00CA50D6"/>
    <w:rsid w:val="00CA584F"/>
    <w:rsid w:val="00CA6AA1"/>
    <w:rsid w:val="00CA6ED3"/>
    <w:rsid w:val="00CA6ED5"/>
    <w:rsid w:val="00CA71A1"/>
    <w:rsid w:val="00CA726A"/>
    <w:rsid w:val="00CA74C3"/>
    <w:rsid w:val="00CA770D"/>
    <w:rsid w:val="00CA7794"/>
    <w:rsid w:val="00CA7AE8"/>
    <w:rsid w:val="00CA7E21"/>
    <w:rsid w:val="00CB0D76"/>
    <w:rsid w:val="00CB1405"/>
    <w:rsid w:val="00CB1795"/>
    <w:rsid w:val="00CB1A41"/>
    <w:rsid w:val="00CB1B4A"/>
    <w:rsid w:val="00CB1D53"/>
    <w:rsid w:val="00CB2026"/>
    <w:rsid w:val="00CB204D"/>
    <w:rsid w:val="00CB21F6"/>
    <w:rsid w:val="00CB230A"/>
    <w:rsid w:val="00CB27EC"/>
    <w:rsid w:val="00CB3048"/>
    <w:rsid w:val="00CB3884"/>
    <w:rsid w:val="00CB3B87"/>
    <w:rsid w:val="00CB3BFE"/>
    <w:rsid w:val="00CB4524"/>
    <w:rsid w:val="00CB4570"/>
    <w:rsid w:val="00CB469E"/>
    <w:rsid w:val="00CB4E99"/>
    <w:rsid w:val="00CB519A"/>
    <w:rsid w:val="00CB52B8"/>
    <w:rsid w:val="00CB532D"/>
    <w:rsid w:val="00CB5EC6"/>
    <w:rsid w:val="00CB5F2B"/>
    <w:rsid w:val="00CB62C8"/>
    <w:rsid w:val="00CB62F7"/>
    <w:rsid w:val="00CB6737"/>
    <w:rsid w:val="00CB6908"/>
    <w:rsid w:val="00CB6BB9"/>
    <w:rsid w:val="00CB7137"/>
    <w:rsid w:val="00CB7600"/>
    <w:rsid w:val="00CB773B"/>
    <w:rsid w:val="00CB7754"/>
    <w:rsid w:val="00CB78BF"/>
    <w:rsid w:val="00CB798F"/>
    <w:rsid w:val="00CB7BF0"/>
    <w:rsid w:val="00CB7C70"/>
    <w:rsid w:val="00CC0471"/>
    <w:rsid w:val="00CC0AE1"/>
    <w:rsid w:val="00CC0B05"/>
    <w:rsid w:val="00CC0C6C"/>
    <w:rsid w:val="00CC0EFF"/>
    <w:rsid w:val="00CC1B4E"/>
    <w:rsid w:val="00CC1B72"/>
    <w:rsid w:val="00CC1C46"/>
    <w:rsid w:val="00CC1D3E"/>
    <w:rsid w:val="00CC23D2"/>
    <w:rsid w:val="00CC26B4"/>
    <w:rsid w:val="00CC2CC6"/>
    <w:rsid w:val="00CC2E92"/>
    <w:rsid w:val="00CC2F92"/>
    <w:rsid w:val="00CC30C7"/>
    <w:rsid w:val="00CC31D8"/>
    <w:rsid w:val="00CC3263"/>
    <w:rsid w:val="00CC3547"/>
    <w:rsid w:val="00CC36B3"/>
    <w:rsid w:val="00CC37A3"/>
    <w:rsid w:val="00CC38DE"/>
    <w:rsid w:val="00CC3A46"/>
    <w:rsid w:val="00CC450A"/>
    <w:rsid w:val="00CC47AA"/>
    <w:rsid w:val="00CC4994"/>
    <w:rsid w:val="00CC4C93"/>
    <w:rsid w:val="00CC56F9"/>
    <w:rsid w:val="00CC5D2F"/>
    <w:rsid w:val="00CC5E1D"/>
    <w:rsid w:val="00CC5ED8"/>
    <w:rsid w:val="00CC6927"/>
    <w:rsid w:val="00CC6D36"/>
    <w:rsid w:val="00CC6EAD"/>
    <w:rsid w:val="00CC776C"/>
    <w:rsid w:val="00CC781E"/>
    <w:rsid w:val="00CC7DBE"/>
    <w:rsid w:val="00CC7F13"/>
    <w:rsid w:val="00CD077E"/>
    <w:rsid w:val="00CD0841"/>
    <w:rsid w:val="00CD09CC"/>
    <w:rsid w:val="00CD0E01"/>
    <w:rsid w:val="00CD1112"/>
    <w:rsid w:val="00CD1408"/>
    <w:rsid w:val="00CD16CE"/>
    <w:rsid w:val="00CD18AE"/>
    <w:rsid w:val="00CD1D4B"/>
    <w:rsid w:val="00CD2166"/>
    <w:rsid w:val="00CD22F0"/>
    <w:rsid w:val="00CD2DC4"/>
    <w:rsid w:val="00CD337B"/>
    <w:rsid w:val="00CD3598"/>
    <w:rsid w:val="00CD3F63"/>
    <w:rsid w:val="00CD4258"/>
    <w:rsid w:val="00CD43ED"/>
    <w:rsid w:val="00CD43F8"/>
    <w:rsid w:val="00CD4540"/>
    <w:rsid w:val="00CD4AE4"/>
    <w:rsid w:val="00CD4E44"/>
    <w:rsid w:val="00CD50E7"/>
    <w:rsid w:val="00CD5100"/>
    <w:rsid w:val="00CD5776"/>
    <w:rsid w:val="00CD57E0"/>
    <w:rsid w:val="00CD5E10"/>
    <w:rsid w:val="00CD6738"/>
    <w:rsid w:val="00CD6B8A"/>
    <w:rsid w:val="00CD6CB8"/>
    <w:rsid w:val="00CD71F8"/>
    <w:rsid w:val="00CD7272"/>
    <w:rsid w:val="00CD738D"/>
    <w:rsid w:val="00CD7B61"/>
    <w:rsid w:val="00CE088D"/>
    <w:rsid w:val="00CE08B1"/>
    <w:rsid w:val="00CE0C14"/>
    <w:rsid w:val="00CE105A"/>
    <w:rsid w:val="00CE1CB7"/>
    <w:rsid w:val="00CE1E0B"/>
    <w:rsid w:val="00CE23A4"/>
    <w:rsid w:val="00CE28E4"/>
    <w:rsid w:val="00CE2D2A"/>
    <w:rsid w:val="00CE3761"/>
    <w:rsid w:val="00CE3AC5"/>
    <w:rsid w:val="00CE3CE5"/>
    <w:rsid w:val="00CE3D33"/>
    <w:rsid w:val="00CE436B"/>
    <w:rsid w:val="00CE46F3"/>
    <w:rsid w:val="00CE4D68"/>
    <w:rsid w:val="00CE4DD4"/>
    <w:rsid w:val="00CE4E9C"/>
    <w:rsid w:val="00CE5B8D"/>
    <w:rsid w:val="00CE5C52"/>
    <w:rsid w:val="00CE6ECD"/>
    <w:rsid w:val="00CE7132"/>
    <w:rsid w:val="00CE754E"/>
    <w:rsid w:val="00CE7DAA"/>
    <w:rsid w:val="00CF0BA7"/>
    <w:rsid w:val="00CF0BD6"/>
    <w:rsid w:val="00CF1511"/>
    <w:rsid w:val="00CF154F"/>
    <w:rsid w:val="00CF1900"/>
    <w:rsid w:val="00CF23C8"/>
    <w:rsid w:val="00CF2D59"/>
    <w:rsid w:val="00CF37C2"/>
    <w:rsid w:val="00CF3A8D"/>
    <w:rsid w:val="00CF3BFA"/>
    <w:rsid w:val="00CF4571"/>
    <w:rsid w:val="00CF459B"/>
    <w:rsid w:val="00CF57DF"/>
    <w:rsid w:val="00CF5C4F"/>
    <w:rsid w:val="00CF5C7F"/>
    <w:rsid w:val="00CF67CF"/>
    <w:rsid w:val="00CF6972"/>
    <w:rsid w:val="00CF6A33"/>
    <w:rsid w:val="00CF6C5D"/>
    <w:rsid w:val="00CF737F"/>
    <w:rsid w:val="00CF7A4C"/>
    <w:rsid w:val="00D0082A"/>
    <w:rsid w:val="00D009DF"/>
    <w:rsid w:val="00D00AF7"/>
    <w:rsid w:val="00D00B23"/>
    <w:rsid w:val="00D00D7E"/>
    <w:rsid w:val="00D00D94"/>
    <w:rsid w:val="00D00E3F"/>
    <w:rsid w:val="00D01523"/>
    <w:rsid w:val="00D01878"/>
    <w:rsid w:val="00D01B41"/>
    <w:rsid w:val="00D01E68"/>
    <w:rsid w:val="00D01FA8"/>
    <w:rsid w:val="00D02D7F"/>
    <w:rsid w:val="00D02E5B"/>
    <w:rsid w:val="00D03084"/>
    <w:rsid w:val="00D030B3"/>
    <w:rsid w:val="00D03221"/>
    <w:rsid w:val="00D03E11"/>
    <w:rsid w:val="00D03F35"/>
    <w:rsid w:val="00D04087"/>
    <w:rsid w:val="00D04116"/>
    <w:rsid w:val="00D04125"/>
    <w:rsid w:val="00D043B0"/>
    <w:rsid w:val="00D048E0"/>
    <w:rsid w:val="00D04925"/>
    <w:rsid w:val="00D0497B"/>
    <w:rsid w:val="00D0538B"/>
    <w:rsid w:val="00D05759"/>
    <w:rsid w:val="00D05914"/>
    <w:rsid w:val="00D05F22"/>
    <w:rsid w:val="00D0613F"/>
    <w:rsid w:val="00D06390"/>
    <w:rsid w:val="00D06463"/>
    <w:rsid w:val="00D06D39"/>
    <w:rsid w:val="00D075B7"/>
    <w:rsid w:val="00D0761F"/>
    <w:rsid w:val="00D0791B"/>
    <w:rsid w:val="00D102CB"/>
    <w:rsid w:val="00D102D6"/>
    <w:rsid w:val="00D1040E"/>
    <w:rsid w:val="00D1064D"/>
    <w:rsid w:val="00D10697"/>
    <w:rsid w:val="00D10EEB"/>
    <w:rsid w:val="00D11236"/>
    <w:rsid w:val="00D116ED"/>
    <w:rsid w:val="00D11C40"/>
    <w:rsid w:val="00D123A4"/>
    <w:rsid w:val="00D12BC5"/>
    <w:rsid w:val="00D137C1"/>
    <w:rsid w:val="00D139F3"/>
    <w:rsid w:val="00D13D60"/>
    <w:rsid w:val="00D14179"/>
    <w:rsid w:val="00D14826"/>
    <w:rsid w:val="00D14A44"/>
    <w:rsid w:val="00D14C41"/>
    <w:rsid w:val="00D15A41"/>
    <w:rsid w:val="00D15B88"/>
    <w:rsid w:val="00D160C3"/>
    <w:rsid w:val="00D164AE"/>
    <w:rsid w:val="00D16AF4"/>
    <w:rsid w:val="00D16C16"/>
    <w:rsid w:val="00D176A9"/>
    <w:rsid w:val="00D177DF"/>
    <w:rsid w:val="00D17DEE"/>
    <w:rsid w:val="00D20168"/>
    <w:rsid w:val="00D204C9"/>
    <w:rsid w:val="00D2242D"/>
    <w:rsid w:val="00D22783"/>
    <w:rsid w:val="00D228BF"/>
    <w:rsid w:val="00D22BBD"/>
    <w:rsid w:val="00D22D3E"/>
    <w:rsid w:val="00D2340A"/>
    <w:rsid w:val="00D24424"/>
    <w:rsid w:val="00D245BD"/>
    <w:rsid w:val="00D24DC8"/>
    <w:rsid w:val="00D253E0"/>
    <w:rsid w:val="00D2546E"/>
    <w:rsid w:val="00D26BDF"/>
    <w:rsid w:val="00D26F4E"/>
    <w:rsid w:val="00D27725"/>
    <w:rsid w:val="00D277C4"/>
    <w:rsid w:val="00D27AED"/>
    <w:rsid w:val="00D27EC8"/>
    <w:rsid w:val="00D30293"/>
    <w:rsid w:val="00D30A57"/>
    <w:rsid w:val="00D30D59"/>
    <w:rsid w:val="00D30DEC"/>
    <w:rsid w:val="00D30F02"/>
    <w:rsid w:val="00D311F4"/>
    <w:rsid w:val="00D31280"/>
    <w:rsid w:val="00D31320"/>
    <w:rsid w:val="00D31329"/>
    <w:rsid w:val="00D31479"/>
    <w:rsid w:val="00D3168B"/>
    <w:rsid w:val="00D31E3F"/>
    <w:rsid w:val="00D32088"/>
    <w:rsid w:val="00D3237B"/>
    <w:rsid w:val="00D324C0"/>
    <w:rsid w:val="00D324E5"/>
    <w:rsid w:val="00D32D68"/>
    <w:rsid w:val="00D32F3F"/>
    <w:rsid w:val="00D3315C"/>
    <w:rsid w:val="00D335CD"/>
    <w:rsid w:val="00D33731"/>
    <w:rsid w:val="00D3377F"/>
    <w:rsid w:val="00D33B52"/>
    <w:rsid w:val="00D340B9"/>
    <w:rsid w:val="00D345CA"/>
    <w:rsid w:val="00D34A34"/>
    <w:rsid w:val="00D34D67"/>
    <w:rsid w:val="00D35387"/>
    <w:rsid w:val="00D359C8"/>
    <w:rsid w:val="00D35B2F"/>
    <w:rsid w:val="00D36053"/>
    <w:rsid w:val="00D3625D"/>
    <w:rsid w:val="00D362E1"/>
    <w:rsid w:val="00D365B3"/>
    <w:rsid w:val="00D36FCD"/>
    <w:rsid w:val="00D37C36"/>
    <w:rsid w:val="00D37CC2"/>
    <w:rsid w:val="00D37CEB"/>
    <w:rsid w:val="00D37E13"/>
    <w:rsid w:val="00D37E18"/>
    <w:rsid w:val="00D40C62"/>
    <w:rsid w:val="00D40DF4"/>
    <w:rsid w:val="00D4170F"/>
    <w:rsid w:val="00D41747"/>
    <w:rsid w:val="00D41DEF"/>
    <w:rsid w:val="00D42A9E"/>
    <w:rsid w:val="00D4333D"/>
    <w:rsid w:val="00D43464"/>
    <w:rsid w:val="00D438D8"/>
    <w:rsid w:val="00D43A4E"/>
    <w:rsid w:val="00D43AA9"/>
    <w:rsid w:val="00D43D86"/>
    <w:rsid w:val="00D440BD"/>
    <w:rsid w:val="00D4413F"/>
    <w:rsid w:val="00D448AC"/>
    <w:rsid w:val="00D4494E"/>
    <w:rsid w:val="00D44CB6"/>
    <w:rsid w:val="00D456E4"/>
    <w:rsid w:val="00D45C94"/>
    <w:rsid w:val="00D45E45"/>
    <w:rsid w:val="00D46A4C"/>
    <w:rsid w:val="00D46A9E"/>
    <w:rsid w:val="00D46D10"/>
    <w:rsid w:val="00D46D29"/>
    <w:rsid w:val="00D4725D"/>
    <w:rsid w:val="00D47785"/>
    <w:rsid w:val="00D478B8"/>
    <w:rsid w:val="00D47992"/>
    <w:rsid w:val="00D47AB5"/>
    <w:rsid w:val="00D47CF8"/>
    <w:rsid w:val="00D47FD9"/>
    <w:rsid w:val="00D50BC4"/>
    <w:rsid w:val="00D51027"/>
    <w:rsid w:val="00D5187C"/>
    <w:rsid w:val="00D51E21"/>
    <w:rsid w:val="00D5217C"/>
    <w:rsid w:val="00D522BB"/>
    <w:rsid w:val="00D523D5"/>
    <w:rsid w:val="00D52B33"/>
    <w:rsid w:val="00D52F02"/>
    <w:rsid w:val="00D5365E"/>
    <w:rsid w:val="00D5399F"/>
    <w:rsid w:val="00D541AC"/>
    <w:rsid w:val="00D549F6"/>
    <w:rsid w:val="00D54CF7"/>
    <w:rsid w:val="00D5549B"/>
    <w:rsid w:val="00D55B58"/>
    <w:rsid w:val="00D55D9B"/>
    <w:rsid w:val="00D567E2"/>
    <w:rsid w:val="00D56957"/>
    <w:rsid w:val="00D56EFD"/>
    <w:rsid w:val="00D57044"/>
    <w:rsid w:val="00D578D4"/>
    <w:rsid w:val="00D60108"/>
    <w:rsid w:val="00D6029B"/>
    <w:rsid w:val="00D60E02"/>
    <w:rsid w:val="00D60FBC"/>
    <w:rsid w:val="00D6118A"/>
    <w:rsid w:val="00D6123E"/>
    <w:rsid w:val="00D61329"/>
    <w:rsid w:val="00D616BB"/>
    <w:rsid w:val="00D61A7B"/>
    <w:rsid w:val="00D61AB7"/>
    <w:rsid w:val="00D62207"/>
    <w:rsid w:val="00D62E83"/>
    <w:rsid w:val="00D62EC5"/>
    <w:rsid w:val="00D631B5"/>
    <w:rsid w:val="00D63210"/>
    <w:rsid w:val="00D63B12"/>
    <w:rsid w:val="00D63FAB"/>
    <w:rsid w:val="00D641E8"/>
    <w:rsid w:val="00D6473D"/>
    <w:rsid w:val="00D64FFF"/>
    <w:rsid w:val="00D651FB"/>
    <w:rsid w:val="00D65847"/>
    <w:rsid w:val="00D660E4"/>
    <w:rsid w:val="00D6614A"/>
    <w:rsid w:val="00D6695E"/>
    <w:rsid w:val="00D6701D"/>
    <w:rsid w:val="00D67497"/>
    <w:rsid w:val="00D677D1"/>
    <w:rsid w:val="00D6788F"/>
    <w:rsid w:val="00D67D17"/>
    <w:rsid w:val="00D7021B"/>
    <w:rsid w:val="00D70637"/>
    <w:rsid w:val="00D70679"/>
    <w:rsid w:val="00D70ED6"/>
    <w:rsid w:val="00D70FD6"/>
    <w:rsid w:val="00D710F9"/>
    <w:rsid w:val="00D716E9"/>
    <w:rsid w:val="00D71B81"/>
    <w:rsid w:val="00D72697"/>
    <w:rsid w:val="00D72869"/>
    <w:rsid w:val="00D72DB4"/>
    <w:rsid w:val="00D72DFB"/>
    <w:rsid w:val="00D72F5B"/>
    <w:rsid w:val="00D72FEC"/>
    <w:rsid w:val="00D731F3"/>
    <w:rsid w:val="00D73605"/>
    <w:rsid w:val="00D73980"/>
    <w:rsid w:val="00D73BB3"/>
    <w:rsid w:val="00D7436A"/>
    <w:rsid w:val="00D744C0"/>
    <w:rsid w:val="00D746BD"/>
    <w:rsid w:val="00D74B3D"/>
    <w:rsid w:val="00D74DB2"/>
    <w:rsid w:val="00D74E95"/>
    <w:rsid w:val="00D74F51"/>
    <w:rsid w:val="00D7527E"/>
    <w:rsid w:val="00D7547C"/>
    <w:rsid w:val="00D7577F"/>
    <w:rsid w:val="00D75C31"/>
    <w:rsid w:val="00D763FF"/>
    <w:rsid w:val="00D76687"/>
    <w:rsid w:val="00D766E5"/>
    <w:rsid w:val="00D76B9A"/>
    <w:rsid w:val="00D76F97"/>
    <w:rsid w:val="00D77251"/>
    <w:rsid w:val="00D800A1"/>
    <w:rsid w:val="00D80A27"/>
    <w:rsid w:val="00D80AC7"/>
    <w:rsid w:val="00D80E44"/>
    <w:rsid w:val="00D80F9A"/>
    <w:rsid w:val="00D81A5E"/>
    <w:rsid w:val="00D82298"/>
    <w:rsid w:val="00D824EB"/>
    <w:rsid w:val="00D826FC"/>
    <w:rsid w:val="00D8291C"/>
    <w:rsid w:val="00D83C48"/>
    <w:rsid w:val="00D83E7F"/>
    <w:rsid w:val="00D83EB7"/>
    <w:rsid w:val="00D841A7"/>
    <w:rsid w:val="00D842D1"/>
    <w:rsid w:val="00D845F4"/>
    <w:rsid w:val="00D848E0"/>
    <w:rsid w:val="00D84BFB"/>
    <w:rsid w:val="00D850E3"/>
    <w:rsid w:val="00D857EB"/>
    <w:rsid w:val="00D85814"/>
    <w:rsid w:val="00D858B6"/>
    <w:rsid w:val="00D859EA"/>
    <w:rsid w:val="00D86365"/>
    <w:rsid w:val="00D86860"/>
    <w:rsid w:val="00D86CD1"/>
    <w:rsid w:val="00D87347"/>
    <w:rsid w:val="00D8750D"/>
    <w:rsid w:val="00D87626"/>
    <w:rsid w:val="00D87684"/>
    <w:rsid w:val="00D878DC"/>
    <w:rsid w:val="00D87C6C"/>
    <w:rsid w:val="00D9106C"/>
    <w:rsid w:val="00D91398"/>
    <w:rsid w:val="00D91420"/>
    <w:rsid w:val="00D91563"/>
    <w:rsid w:val="00D91A29"/>
    <w:rsid w:val="00D91F21"/>
    <w:rsid w:val="00D9222B"/>
    <w:rsid w:val="00D9259C"/>
    <w:rsid w:val="00D926FB"/>
    <w:rsid w:val="00D927E3"/>
    <w:rsid w:val="00D92BFE"/>
    <w:rsid w:val="00D92F32"/>
    <w:rsid w:val="00D9301E"/>
    <w:rsid w:val="00D93176"/>
    <w:rsid w:val="00D93182"/>
    <w:rsid w:val="00D935F6"/>
    <w:rsid w:val="00D93751"/>
    <w:rsid w:val="00D93933"/>
    <w:rsid w:val="00D93D7B"/>
    <w:rsid w:val="00D942AD"/>
    <w:rsid w:val="00D94392"/>
    <w:rsid w:val="00D94399"/>
    <w:rsid w:val="00D9462F"/>
    <w:rsid w:val="00D94AB1"/>
    <w:rsid w:val="00D94CCE"/>
    <w:rsid w:val="00D94DFB"/>
    <w:rsid w:val="00D94E1A"/>
    <w:rsid w:val="00D95480"/>
    <w:rsid w:val="00D95564"/>
    <w:rsid w:val="00D955B5"/>
    <w:rsid w:val="00D958F6"/>
    <w:rsid w:val="00D959CE"/>
    <w:rsid w:val="00D96294"/>
    <w:rsid w:val="00D96471"/>
    <w:rsid w:val="00D97639"/>
    <w:rsid w:val="00D976FC"/>
    <w:rsid w:val="00D97CE6"/>
    <w:rsid w:val="00DA025D"/>
    <w:rsid w:val="00DA03F5"/>
    <w:rsid w:val="00DA0604"/>
    <w:rsid w:val="00DA0A46"/>
    <w:rsid w:val="00DA0ADA"/>
    <w:rsid w:val="00DA1798"/>
    <w:rsid w:val="00DA1ABB"/>
    <w:rsid w:val="00DA1DBF"/>
    <w:rsid w:val="00DA21DB"/>
    <w:rsid w:val="00DA256F"/>
    <w:rsid w:val="00DA2867"/>
    <w:rsid w:val="00DA2D9F"/>
    <w:rsid w:val="00DA35C6"/>
    <w:rsid w:val="00DA3E11"/>
    <w:rsid w:val="00DA4357"/>
    <w:rsid w:val="00DA469D"/>
    <w:rsid w:val="00DA5710"/>
    <w:rsid w:val="00DA5DD0"/>
    <w:rsid w:val="00DA5F2D"/>
    <w:rsid w:val="00DA61D4"/>
    <w:rsid w:val="00DA67AC"/>
    <w:rsid w:val="00DA6AAD"/>
    <w:rsid w:val="00DA6F0D"/>
    <w:rsid w:val="00DA7257"/>
    <w:rsid w:val="00DA73DA"/>
    <w:rsid w:val="00DA74D6"/>
    <w:rsid w:val="00DA75B4"/>
    <w:rsid w:val="00DA773A"/>
    <w:rsid w:val="00DA7E58"/>
    <w:rsid w:val="00DB02E0"/>
    <w:rsid w:val="00DB04C6"/>
    <w:rsid w:val="00DB08DB"/>
    <w:rsid w:val="00DB1297"/>
    <w:rsid w:val="00DB12C6"/>
    <w:rsid w:val="00DB1467"/>
    <w:rsid w:val="00DB14F0"/>
    <w:rsid w:val="00DB1EBE"/>
    <w:rsid w:val="00DB1FDE"/>
    <w:rsid w:val="00DB29BA"/>
    <w:rsid w:val="00DB3569"/>
    <w:rsid w:val="00DB3645"/>
    <w:rsid w:val="00DB3B1A"/>
    <w:rsid w:val="00DB3E70"/>
    <w:rsid w:val="00DB431D"/>
    <w:rsid w:val="00DB43C8"/>
    <w:rsid w:val="00DB474E"/>
    <w:rsid w:val="00DB4847"/>
    <w:rsid w:val="00DB5299"/>
    <w:rsid w:val="00DB5925"/>
    <w:rsid w:val="00DB5D60"/>
    <w:rsid w:val="00DB6BFA"/>
    <w:rsid w:val="00DB6C72"/>
    <w:rsid w:val="00DB7F71"/>
    <w:rsid w:val="00DC0003"/>
    <w:rsid w:val="00DC0238"/>
    <w:rsid w:val="00DC02DD"/>
    <w:rsid w:val="00DC1209"/>
    <w:rsid w:val="00DC1647"/>
    <w:rsid w:val="00DC171B"/>
    <w:rsid w:val="00DC1C2F"/>
    <w:rsid w:val="00DC1C82"/>
    <w:rsid w:val="00DC211F"/>
    <w:rsid w:val="00DC28FE"/>
    <w:rsid w:val="00DC2AAE"/>
    <w:rsid w:val="00DC2CA9"/>
    <w:rsid w:val="00DC33D5"/>
    <w:rsid w:val="00DC3522"/>
    <w:rsid w:val="00DC35AB"/>
    <w:rsid w:val="00DC3877"/>
    <w:rsid w:val="00DC3AB5"/>
    <w:rsid w:val="00DC3AC2"/>
    <w:rsid w:val="00DC3E1C"/>
    <w:rsid w:val="00DC4856"/>
    <w:rsid w:val="00DC4CD7"/>
    <w:rsid w:val="00DC4F24"/>
    <w:rsid w:val="00DC5017"/>
    <w:rsid w:val="00DC5927"/>
    <w:rsid w:val="00DC5CA6"/>
    <w:rsid w:val="00DC616B"/>
    <w:rsid w:val="00DC61D9"/>
    <w:rsid w:val="00DC62A2"/>
    <w:rsid w:val="00DC6622"/>
    <w:rsid w:val="00DC6EF4"/>
    <w:rsid w:val="00DC7028"/>
    <w:rsid w:val="00DC7E7E"/>
    <w:rsid w:val="00DD066A"/>
    <w:rsid w:val="00DD06C3"/>
    <w:rsid w:val="00DD087B"/>
    <w:rsid w:val="00DD12FF"/>
    <w:rsid w:val="00DD1347"/>
    <w:rsid w:val="00DD1A75"/>
    <w:rsid w:val="00DD1FF8"/>
    <w:rsid w:val="00DD2106"/>
    <w:rsid w:val="00DD23AB"/>
    <w:rsid w:val="00DD2593"/>
    <w:rsid w:val="00DD34E0"/>
    <w:rsid w:val="00DD3E8D"/>
    <w:rsid w:val="00DD4056"/>
    <w:rsid w:val="00DD479E"/>
    <w:rsid w:val="00DD4C82"/>
    <w:rsid w:val="00DD53BB"/>
    <w:rsid w:val="00DD540F"/>
    <w:rsid w:val="00DD5574"/>
    <w:rsid w:val="00DD57D4"/>
    <w:rsid w:val="00DD5971"/>
    <w:rsid w:val="00DD5AF7"/>
    <w:rsid w:val="00DD5BE8"/>
    <w:rsid w:val="00DD5C47"/>
    <w:rsid w:val="00DD5CEF"/>
    <w:rsid w:val="00DD6CD0"/>
    <w:rsid w:val="00DD6E2E"/>
    <w:rsid w:val="00DD70A8"/>
    <w:rsid w:val="00DD7187"/>
    <w:rsid w:val="00DD758C"/>
    <w:rsid w:val="00DD7AC3"/>
    <w:rsid w:val="00DE00E0"/>
    <w:rsid w:val="00DE0306"/>
    <w:rsid w:val="00DE0421"/>
    <w:rsid w:val="00DE06BD"/>
    <w:rsid w:val="00DE0894"/>
    <w:rsid w:val="00DE0B92"/>
    <w:rsid w:val="00DE0CE3"/>
    <w:rsid w:val="00DE0F93"/>
    <w:rsid w:val="00DE0FE7"/>
    <w:rsid w:val="00DE123A"/>
    <w:rsid w:val="00DE14B9"/>
    <w:rsid w:val="00DE173C"/>
    <w:rsid w:val="00DE1921"/>
    <w:rsid w:val="00DE221A"/>
    <w:rsid w:val="00DE232E"/>
    <w:rsid w:val="00DE2680"/>
    <w:rsid w:val="00DE2A66"/>
    <w:rsid w:val="00DE3250"/>
    <w:rsid w:val="00DE3550"/>
    <w:rsid w:val="00DE37FC"/>
    <w:rsid w:val="00DE3B7C"/>
    <w:rsid w:val="00DE400C"/>
    <w:rsid w:val="00DE4358"/>
    <w:rsid w:val="00DE453B"/>
    <w:rsid w:val="00DE467E"/>
    <w:rsid w:val="00DE46B3"/>
    <w:rsid w:val="00DE47C3"/>
    <w:rsid w:val="00DE48BE"/>
    <w:rsid w:val="00DE507C"/>
    <w:rsid w:val="00DE51A7"/>
    <w:rsid w:val="00DE5C0B"/>
    <w:rsid w:val="00DE63E9"/>
    <w:rsid w:val="00DE6DB4"/>
    <w:rsid w:val="00DE7581"/>
    <w:rsid w:val="00DE76D7"/>
    <w:rsid w:val="00DE7870"/>
    <w:rsid w:val="00DE7B07"/>
    <w:rsid w:val="00DE7CA0"/>
    <w:rsid w:val="00DF0F66"/>
    <w:rsid w:val="00DF14A3"/>
    <w:rsid w:val="00DF1514"/>
    <w:rsid w:val="00DF18EF"/>
    <w:rsid w:val="00DF192A"/>
    <w:rsid w:val="00DF1B76"/>
    <w:rsid w:val="00DF1BDD"/>
    <w:rsid w:val="00DF2272"/>
    <w:rsid w:val="00DF24FB"/>
    <w:rsid w:val="00DF252F"/>
    <w:rsid w:val="00DF39AA"/>
    <w:rsid w:val="00DF3F91"/>
    <w:rsid w:val="00DF456A"/>
    <w:rsid w:val="00DF4B7C"/>
    <w:rsid w:val="00DF4F37"/>
    <w:rsid w:val="00DF5365"/>
    <w:rsid w:val="00DF53F6"/>
    <w:rsid w:val="00DF545A"/>
    <w:rsid w:val="00DF560D"/>
    <w:rsid w:val="00DF5618"/>
    <w:rsid w:val="00DF567D"/>
    <w:rsid w:val="00DF582C"/>
    <w:rsid w:val="00DF5AE4"/>
    <w:rsid w:val="00DF5D08"/>
    <w:rsid w:val="00DF5F8D"/>
    <w:rsid w:val="00DF5FE3"/>
    <w:rsid w:val="00DF61D9"/>
    <w:rsid w:val="00DF62FA"/>
    <w:rsid w:val="00DF62FD"/>
    <w:rsid w:val="00DF63A0"/>
    <w:rsid w:val="00DF6541"/>
    <w:rsid w:val="00DF721A"/>
    <w:rsid w:val="00DF72BB"/>
    <w:rsid w:val="00DF7335"/>
    <w:rsid w:val="00DF73EB"/>
    <w:rsid w:val="00DF75FA"/>
    <w:rsid w:val="00DF7702"/>
    <w:rsid w:val="00DF7D14"/>
    <w:rsid w:val="00DF7D59"/>
    <w:rsid w:val="00E005B6"/>
    <w:rsid w:val="00E00ED7"/>
    <w:rsid w:val="00E00EDF"/>
    <w:rsid w:val="00E0199E"/>
    <w:rsid w:val="00E02E76"/>
    <w:rsid w:val="00E03039"/>
    <w:rsid w:val="00E030E8"/>
    <w:rsid w:val="00E0319D"/>
    <w:rsid w:val="00E034A0"/>
    <w:rsid w:val="00E03698"/>
    <w:rsid w:val="00E03841"/>
    <w:rsid w:val="00E03A2C"/>
    <w:rsid w:val="00E0427C"/>
    <w:rsid w:val="00E04D20"/>
    <w:rsid w:val="00E05647"/>
    <w:rsid w:val="00E0656C"/>
    <w:rsid w:val="00E06808"/>
    <w:rsid w:val="00E06991"/>
    <w:rsid w:val="00E07369"/>
    <w:rsid w:val="00E07773"/>
    <w:rsid w:val="00E078AC"/>
    <w:rsid w:val="00E100E9"/>
    <w:rsid w:val="00E10368"/>
    <w:rsid w:val="00E109CE"/>
    <w:rsid w:val="00E10DC1"/>
    <w:rsid w:val="00E113FD"/>
    <w:rsid w:val="00E115A7"/>
    <w:rsid w:val="00E11681"/>
    <w:rsid w:val="00E11B36"/>
    <w:rsid w:val="00E11BA6"/>
    <w:rsid w:val="00E11C1A"/>
    <w:rsid w:val="00E1269C"/>
    <w:rsid w:val="00E1382B"/>
    <w:rsid w:val="00E138E7"/>
    <w:rsid w:val="00E13C22"/>
    <w:rsid w:val="00E1423D"/>
    <w:rsid w:val="00E1440C"/>
    <w:rsid w:val="00E14AF7"/>
    <w:rsid w:val="00E15398"/>
    <w:rsid w:val="00E15415"/>
    <w:rsid w:val="00E157E1"/>
    <w:rsid w:val="00E15815"/>
    <w:rsid w:val="00E158C8"/>
    <w:rsid w:val="00E15DEF"/>
    <w:rsid w:val="00E15ED9"/>
    <w:rsid w:val="00E16992"/>
    <w:rsid w:val="00E1708D"/>
    <w:rsid w:val="00E17787"/>
    <w:rsid w:val="00E177A2"/>
    <w:rsid w:val="00E177F1"/>
    <w:rsid w:val="00E203A0"/>
    <w:rsid w:val="00E2081F"/>
    <w:rsid w:val="00E2088A"/>
    <w:rsid w:val="00E20B9A"/>
    <w:rsid w:val="00E20F6B"/>
    <w:rsid w:val="00E211FB"/>
    <w:rsid w:val="00E21435"/>
    <w:rsid w:val="00E2180B"/>
    <w:rsid w:val="00E21F2D"/>
    <w:rsid w:val="00E220C8"/>
    <w:rsid w:val="00E2256E"/>
    <w:rsid w:val="00E22A3D"/>
    <w:rsid w:val="00E22C1A"/>
    <w:rsid w:val="00E22DFD"/>
    <w:rsid w:val="00E23316"/>
    <w:rsid w:val="00E234C0"/>
    <w:rsid w:val="00E2375A"/>
    <w:rsid w:val="00E23BF8"/>
    <w:rsid w:val="00E23C4A"/>
    <w:rsid w:val="00E241E6"/>
    <w:rsid w:val="00E2425E"/>
    <w:rsid w:val="00E2489B"/>
    <w:rsid w:val="00E248C2"/>
    <w:rsid w:val="00E24A90"/>
    <w:rsid w:val="00E24BA7"/>
    <w:rsid w:val="00E24ED8"/>
    <w:rsid w:val="00E25022"/>
    <w:rsid w:val="00E252F6"/>
    <w:rsid w:val="00E258D8"/>
    <w:rsid w:val="00E25E8D"/>
    <w:rsid w:val="00E25F3E"/>
    <w:rsid w:val="00E262A5"/>
    <w:rsid w:val="00E2650A"/>
    <w:rsid w:val="00E266B0"/>
    <w:rsid w:val="00E268A1"/>
    <w:rsid w:val="00E26E52"/>
    <w:rsid w:val="00E300F5"/>
    <w:rsid w:val="00E3053D"/>
    <w:rsid w:val="00E3069F"/>
    <w:rsid w:val="00E30ECC"/>
    <w:rsid w:val="00E31394"/>
    <w:rsid w:val="00E31462"/>
    <w:rsid w:val="00E31849"/>
    <w:rsid w:val="00E31921"/>
    <w:rsid w:val="00E31933"/>
    <w:rsid w:val="00E3224A"/>
    <w:rsid w:val="00E32874"/>
    <w:rsid w:val="00E32A74"/>
    <w:rsid w:val="00E32CF9"/>
    <w:rsid w:val="00E32EAC"/>
    <w:rsid w:val="00E3367D"/>
    <w:rsid w:val="00E33FAD"/>
    <w:rsid w:val="00E3407B"/>
    <w:rsid w:val="00E345DD"/>
    <w:rsid w:val="00E34AFF"/>
    <w:rsid w:val="00E34BD8"/>
    <w:rsid w:val="00E34C49"/>
    <w:rsid w:val="00E34CB5"/>
    <w:rsid w:val="00E35244"/>
    <w:rsid w:val="00E357FA"/>
    <w:rsid w:val="00E35E51"/>
    <w:rsid w:val="00E3679C"/>
    <w:rsid w:val="00E36A5E"/>
    <w:rsid w:val="00E370BD"/>
    <w:rsid w:val="00E40770"/>
    <w:rsid w:val="00E4194C"/>
    <w:rsid w:val="00E432E9"/>
    <w:rsid w:val="00E43780"/>
    <w:rsid w:val="00E43A92"/>
    <w:rsid w:val="00E43DF8"/>
    <w:rsid w:val="00E4421B"/>
    <w:rsid w:val="00E44233"/>
    <w:rsid w:val="00E44462"/>
    <w:rsid w:val="00E44C9F"/>
    <w:rsid w:val="00E450C7"/>
    <w:rsid w:val="00E453CE"/>
    <w:rsid w:val="00E45621"/>
    <w:rsid w:val="00E456C4"/>
    <w:rsid w:val="00E45B80"/>
    <w:rsid w:val="00E45EA2"/>
    <w:rsid w:val="00E46093"/>
    <w:rsid w:val="00E46243"/>
    <w:rsid w:val="00E4638C"/>
    <w:rsid w:val="00E46749"/>
    <w:rsid w:val="00E467F4"/>
    <w:rsid w:val="00E46A88"/>
    <w:rsid w:val="00E47053"/>
    <w:rsid w:val="00E47B77"/>
    <w:rsid w:val="00E47B80"/>
    <w:rsid w:val="00E47EA9"/>
    <w:rsid w:val="00E509CE"/>
    <w:rsid w:val="00E50B43"/>
    <w:rsid w:val="00E50BC4"/>
    <w:rsid w:val="00E50CCE"/>
    <w:rsid w:val="00E50D1F"/>
    <w:rsid w:val="00E51491"/>
    <w:rsid w:val="00E515FD"/>
    <w:rsid w:val="00E51CC7"/>
    <w:rsid w:val="00E521C4"/>
    <w:rsid w:val="00E52D2C"/>
    <w:rsid w:val="00E52E1E"/>
    <w:rsid w:val="00E53947"/>
    <w:rsid w:val="00E53E15"/>
    <w:rsid w:val="00E54B80"/>
    <w:rsid w:val="00E54C08"/>
    <w:rsid w:val="00E54F05"/>
    <w:rsid w:val="00E55239"/>
    <w:rsid w:val="00E55C99"/>
    <w:rsid w:val="00E55E3A"/>
    <w:rsid w:val="00E560C7"/>
    <w:rsid w:val="00E56222"/>
    <w:rsid w:val="00E563C5"/>
    <w:rsid w:val="00E56671"/>
    <w:rsid w:val="00E56AA9"/>
    <w:rsid w:val="00E56C7C"/>
    <w:rsid w:val="00E56DC8"/>
    <w:rsid w:val="00E56F07"/>
    <w:rsid w:val="00E57424"/>
    <w:rsid w:val="00E576E1"/>
    <w:rsid w:val="00E57B88"/>
    <w:rsid w:val="00E57CC9"/>
    <w:rsid w:val="00E60014"/>
    <w:rsid w:val="00E603DD"/>
    <w:rsid w:val="00E605F6"/>
    <w:rsid w:val="00E60801"/>
    <w:rsid w:val="00E60E56"/>
    <w:rsid w:val="00E61F2F"/>
    <w:rsid w:val="00E62032"/>
    <w:rsid w:val="00E62089"/>
    <w:rsid w:val="00E62118"/>
    <w:rsid w:val="00E629CF"/>
    <w:rsid w:val="00E62DB8"/>
    <w:rsid w:val="00E62E01"/>
    <w:rsid w:val="00E6347F"/>
    <w:rsid w:val="00E635E1"/>
    <w:rsid w:val="00E63E01"/>
    <w:rsid w:val="00E6481B"/>
    <w:rsid w:val="00E64DF5"/>
    <w:rsid w:val="00E64E9A"/>
    <w:rsid w:val="00E65078"/>
    <w:rsid w:val="00E6598A"/>
    <w:rsid w:val="00E65A41"/>
    <w:rsid w:val="00E65E63"/>
    <w:rsid w:val="00E66223"/>
    <w:rsid w:val="00E665D3"/>
    <w:rsid w:val="00E66D9A"/>
    <w:rsid w:val="00E6757E"/>
    <w:rsid w:val="00E701AB"/>
    <w:rsid w:val="00E70589"/>
    <w:rsid w:val="00E706B8"/>
    <w:rsid w:val="00E70874"/>
    <w:rsid w:val="00E7131A"/>
    <w:rsid w:val="00E71787"/>
    <w:rsid w:val="00E717DC"/>
    <w:rsid w:val="00E71C6F"/>
    <w:rsid w:val="00E720F8"/>
    <w:rsid w:val="00E724D4"/>
    <w:rsid w:val="00E72C3E"/>
    <w:rsid w:val="00E72E6D"/>
    <w:rsid w:val="00E734C2"/>
    <w:rsid w:val="00E739A4"/>
    <w:rsid w:val="00E73BAA"/>
    <w:rsid w:val="00E73DDD"/>
    <w:rsid w:val="00E744E6"/>
    <w:rsid w:val="00E75397"/>
    <w:rsid w:val="00E7549B"/>
    <w:rsid w:val="00E75B13"/>
    <w:rsid w:val="00E7660C"/>
    <w:rsid w:val="00E766BF"/>
    <w:rsid w:val="00E7670A"/>
    <w:rsid w:val="00E76C5E"/>
    <w:rsid w:val="00E76D9C"/>
    <w:rsid w:val="00E76E4D"/>
    <w:rsid w:val="00E76F2C"/>
    <w:rsid w:val="00E77869"/>
    <w:rsid w:val="00E77942"/>
    <w:rsid w:val="00E8012A"/>
    <w:rsid w:val="00E8031B"/>
    <w:rsid w:val="00E806DF"/>
    <w:rsid w:val="00E80D50"/>
    <w:rsid w:val="00E80DF1"/>
    <w:rsid w:val="00E80EEC"/>
    <w:rsid w:val="00E81DCA"/>
    <w:rsid w:val="00E81FAB"/>
    <w:rsid w:val="00E8260F"/>
    <w:rsid w:val="00E826F6"/>
    <w:rsid w:val="00E828B1"/>
    <w:rsid w:val="00E82B0A"/>
    <w:rsid w:val="00E83404"/>
    <w:rsid w:val="00E83E2C"/>
    <w:rsid w:val="00E83E8D"/>
    <w:rsid w:val="00E84643"/>
    <w:rsid w:val="00E84F4F"/>
    <w:rsid w:val="00E8518E"/>
    <w:rsid w:val="00E85EF9"/>
    <w:rsid w:val="00E8744B"/>
    <w:rsid w:val="00E87665"/>
    <w:rsid w:val="00E8791B"/>
    <w:rsid w:val="00E90ABD"/>
    <w:rsid w:val="00E9110E"/>
    <w:rsid w:val="00E911AF"/>
    <w:rsid w:val="00E9173E"/>
    <w:rsid w:val="00E91D59"/>
    <w:rsid w:val="00E920A3"/>
    <w:rsid w:val="00E921A7"/>
    <w:rsid w:val="00E923F1"/>
    <w:rsid w:val="00E92B37"/>
    <w:rsid w:val="00E9307E"/>
    <w:rsid w:val="00E9313B"/>
    <w:rsid w:val="00E9322E"/>
    <w:rsid w:val="00E9338D"/>
    <w:rsid w:val="00E941EE"/>
    <w:rsid w:val="00E944E6"/>
    <w:rsid w:val="00E94C0E"/>
    <w:rsid w:val="00E94D14"/>
    <w:rsid w:val="00E94F79"/>
    <w:rsid w:val="00E952AF"/>
    <w:rsid w:val="00E952C9"/>
    <w:rsid w:val="00E95422"/>
    <w:rsid w:val="00E9595B"/>
    <w:rsid w:val="00E959EE"/>
    <w:rsid w:val="00E95B92"/>
    <w:rsid w:val="00E95B95"/>
    <w:rsid w:val="00E95C25"/>
    <w:rsid w:val="00E96D0D"/>
    <w:rsid w:val="00E96D4B"/>
    <w:rsid w:val="00E97183"/>
    <w:rsid w:val="00E971F6"/>
    <w:rsid w:val="00E97341"/>
    <w:rsid w:val="00EA01B9"/>
    <w:rsid w:val="00EA05BB"/>
    <w:rsid w:val="00EA0734"/>
    <w:rsid w:val="00EA07AA"/>
    <w:rsid w:val="00EA09EB"/>
    <w:rsid w:val="00EA0E03"/>
    <w:rsid w:val="00EA1A2E"/>
    <w:rsid w:val="00EA1AEA"/>
    <w:rsid w:val="00EA22D8"/>
    <w:rsid w:val="00EA2393"/>
    <w:rsid w:val="00EA23A6"/>
    <w:rsid w:val="00EA2664"/>
    <w:rsid w:val="00EA2A31"/>
    <w:rsid w:val="00EA2BD3"/>
    <w:rsid w:val="00EA2BF8"/>
    <w:rsid w:val="00EA2D79"/>
    <w:rsid w:val="00EA3024"/>
    <w:rsid w:val="00EA34AC"/>
    <w:rsid w:val="00EA358D"/>
    <w:rsid w:val="00EA3C06"/>
    <w:rsid w:val="00EA47E0"/>
    <w:rsid w:val="00EA50A3"/>
    <w:rsid w:val="00EA5F5D"/>
    <w:rsid w:val="00EA6205"/>
    <w:rsid w:val="00EA6279"/>
    <w:rsid w:val="00EA6617"/>
    <w:rsid w:val="00EA6769"/>
    <w:rsid w:val="00EA708A"/>
    <w:rsid w:val="00EA778C"/>
    <w:rsid w:val="00EA788C"/>
    <w:rsid w:val="00EA7FB7"/>
    <w:rsid w:val="00EB0AE5"/>
    <w:rsid w:val="00EB0BD4"/>
    <w:rsid w:val="00EB168F"/>
    <w:rsid w:val="00EB1947"/>
    <w:rsid w:val="00EB19A7"/>
    <w:rsid w:val="00EB1CAD"/>
    <w:rsid w:val="00EB263E"/>
    <w:rsid w:val="00EB3591"/>
    <w:rsid w:val="00EB35E6"/>
    <w:rsid w:val="00EB36DE"/>
    <w:rsid w:val="00EB3859"/>
    <w:rsid w:val="00EB3DE4"/>
    <w:rsid w:val="00EB3F0A"/>
    <w:rsid w:val="00EB4689"/>
    <w:rsid w:val="00EB5403"/>
    <w:rsid w:val="00EB542B"/>
    <w:rsid w:val="00EB56B1"/>
    <w:rsid w:val="00EB581B"/>
    <w:rsid w:val="00EB5C53"/>
    <w:rsid w:val="00EB5F92"/>
    <w:rsid w:val="00EB68F6"/>
    <w:rsid w:val="00EB7DFE"/>
    <w:rsid w:val="00EC0561"/>
    <w:rsid w:val="00EC066E"/>
    <w:rsid w:val="00EC0771"/>
    <w:rsid w:val="00EC0A4E"/>
    <w:rsid w:val="00EC0FBA"/>
    <w:rsid w:val="00EC111F"/>
    <w:rsid w:val="00EC120B"/>
    <w:rsid w:val="00EC1510"/>
    <w:rsid w:val="00EC18C7"/>
    <w:rsid w:val="00EC1A0F"/>
    <w:rsid w:val="00EC1B55"/>
    <w:rsid w:val="00EC1EB4"/>
    <w:rsid w:val="00EC24A2"/>
    <w:rsid w:val="00EC2E46"/>
    <w:rsid w:val="00EC2F53"/>
    <w:rsid w:val="00EC3139"/>
    <w:rsid w:val="00EC36BB"/>
    <w:rsid w:val="00EC3DCB"/>
    <w:rsid w:val="00EC3E5E"/>
    <w:rsid w:val="00EC41C2"/>
    <w:rsid w:val="00EC4366"/>
    <w:rsid w:val="00EC4A6E"/>
    <w:rsid w:val="00EC4B93"/>
    <w:rsid w:val="00EC4C90"/>
    <w:rsid w:val="00EC51CB"/>
    <w:rsid w:val="00EC522E"/>
    <w:rsid w:val="00EC53B8"/>
    <w:rsid w:val="00EC57D5"/>
    <w:rsid w:val="00EC5886"/>
    <w:rsid w:val="00EC593F"/>
    <w:rsid w:val="00EC5A0D"/>
    <w:rsid w:val="00EC5D11"/>
    <w:rsid w:val="00EC5D88"/>
    <w:rsid w:val="00EC5DC1"/>
    <w:rsid w:val="00EC66D9"/>
    <w:rsid w:val="00EC6A6B"/>
    <w:rsid w:val="00EC7650"/>
    <w:rsid w:val="00EC7987"/>
    <w:rsid w:val="00ED0802"/>
    <w:rsid w:val="00ED09F0"/>
    <w:rsid w:val="00ED0C09"/>
    <w:rsid w:val="00ED0C2B"/>
    <w:rsid w:val="00ED0C2C"/>
    <w:rsid w:val="00ED1E37"/>
    <w:rsid w:val="00ED1F8F"/>
    <w:rsid w:val="00ED2573"/>
    <w:rsid w:val="00ED25E1"/>
    <w:rsid w:val="00ED2621"/>
    <w:rsid w:val="00ED2974"/>
    <w:rsid w:val="00ED3784"/>
    <w:rsid w:val="00ED5454"/>
    <w:rsid w:val="00ED5C02"/>
    <w:rsid w:val="00ED5ED0"/>
    <w:rsid w:val="00ED614F"/>
    <w:rsid w:val="00ED6686"/>
    <w:rsid w:val="00ED7150"/>
    <w:rsid w:val="00ED72F0"/>
    <w:rsid w:val="00ED7A44"/>
    <w:rsid w:val="00ED7F6D"/>
    <w:rsid w:val="00EE0361"/>
    <w:rsid w:val="00EE0891"/>
    <w:rsid w:val="00EE0DB9"/>
    <w:rsid w:val="00EE0FB8"/>
    <w:rsid w:val="00EE1188"/>
    <w:rsid w:val="00EE245B"/>
    <w:rsid w:val="00EE2463"/>
    <w:rsid w:val="00EE2533"/>
    <w:rsid w:val="00EE2570"/>
    <w:rsid w:val="00EE2CE1"/>
    <w:rsid w:val="00EE33A7"/>
    <w:rsid w:val="00EE34EF"/>
    <w:rsid w:val="00EE358F"/>
    <w:rsid w:val="00EE3689"/>
    <w:rsid w:val="00EE373C"/>
    <w:rsid w:val="00EE41B3"/>
    <w:rsid w:val="00EE44B5"/>
    <w:rsid w:val="00EE4C4F"/>
    <w:rsid w:val="00EE5259"/>
    <w:rsid w:val="00EE5858"/>
    <w:rsid w:val="00EE5A95"/>
    <w:rsid w:val="00EE5ACB"/>
    <w:rsid w:val="00EE5E16"/>
    <w:rsid w:val="00EE608E"/>
    <w:rsid w:val="00EE70E7"/>
    <w:rsid w:val="00EE72F1"/>
    <w:rsid w:val="00EE75BA"/>
    <w:rsid w:val="00EE7D08"/>
    <w:rsid w:val="00EF0396"/>
    <w:rsid w:val="00EF03D7"/>
    <w:rsid w:val="00EF12DA"/>
    <w:rsid w:val="00EF154D"/>
    <w:rsid w:val="00EF1C28"/>
    <w:rsid w:val="00EF1F26"/>
    <w:rsid w:val="00EF2173"/>
    <w:rsid w:val="00EF226E"/>
    <w:rsid w:val="00EF2834"/>
    <w:rsid w:val="00EF2A85"/>
    <w:rsid w:val="00EF301D"/>
    <w:rsid w:val="00EF344D"/>
    <w:rsid w:val="00EF42C9"/>
    <w:rsid w:val="00EF46B9"/>
    <w:rsid w:val="00EF49BD"/>
    <w:rsid w:val="00EF51AD"/>
    <w:rsid w:val="00EF5329"/>
    <w:rsid w:val="00EF5347"/>
    <w:rsid w:val="00EF58E1"/>
    <w:rsid w:val="00EF5F4E"/>
    <w:rsid w:val="00EF5FC6"/>
    <w:rsid w:val="00EF60C2"/>
    <w:rsid w:val="00EF610A"/>
    <w:rsid w:val="00EF6160"/>
    <w:rsid w:val="00EF638C"/>
    <w:rsid w:val="00EF64F5"/>
    <w:rsid w:val="00EF6B5F"/>
    <w:rsid w:val="00EF6CD5"/>
    <w:rsid w:val="00EF70AD"/>
    <w:rsid w:val="00EF770C"/>
    <w:rsid w:val="00EF7B11"/>
    <w:rsid w:val="00EF7C59"/>
    <w:rsid w:val="00F000A9"/>
    <w:rsid w:val="00F009D4"/>
    <w:rsid w:val="00F00D51"/>
    <w:rsid w:val="00F01571"/>
    <w:rsid w:val="00F01736"/>
    <w:rsid w:val="00F019B3"/>
    <w:rsid w:val="00F01AC5"/>
    <w:rsid w:val="00F01F1F"/>
    <w:rsid w:val="00F021FD"/>
    <w:rsid w:val="00F02766"/>
    <w:rsid w:val="00F027FA"/>
    <w:rsid w:val="00F029C7"/>
    <w:rsid w:val="00F02B1A"/>
    <w:rsid w:val="00F02F7C"/>
    <w:rsid w:val="00F0348B"/>
    <w:rsid w:val="00F036AA"/>
    <w:rsid w:val="00F03F1E"/>
    <w:rsid w:val="00F041D9"/>
    <w:rsid w:val="00F045F0"/>
    <w:rsid w:val="00F04652"/>
    <w:rsid w:val="00F048F1"/>
    <w:rsid w:val="00F04999"/>
    <w:rsid w:val="00F04D02"/>
    <w:rsid w:val="00F04E14"/>
    <w:rsid w:val="00F04F39"/>
    <w:rsid w:val="00F0531C"/>
    <w:rsid w:val="00F0536C"/>
    <w:rsid w:val="00F053FD"/>
    <w:rsid w:val="00F05445"/>
    <w:rsid w:val="00F0553C"/>
    <w:rsid w:val="00F0580C"/>
    <w:rsid w:val="00F05A74"/>
    <w:rsid w:val="00F05A7E"/>
    <w:rsid w:val="00F06654"/>
    <w:rsid w:val="00F06715"/>
    <w:rsid w:val="00F07950"/>
    <w:rsid w:val="00F07A04"/>
    <w:rsid w:val="00F100FE"/>
    <w:rsid w:val="00F10944"/>
    <w:rsid w:val="00F116E7"/>
    <w:rsid w:val="00F11867"/>
    <w:rsid w:val="00F11B0D"/>
    <w:rsid w:val="00F11BBD"/>
    <w:rsid w:val="00F11E74"/>
    <w:rsid w:val="00F125C8"/>
    <w:rsid w:val="00F1263E"/>
    <w:rsid w:val="00F1316F"/>
    <w:rsid w:val="00F1340C"/>
    <w:rsid w:val="00F134E3"/>
    <w:rsid w:val="00F135BA"/>
    <w:rsid w:val="00F13635"/>
    <w:rsid w:val="00F138B5"/>
    <w:rsid w:val="00F13AD3"/>
    <w:rsid w:val="00F13DB9"/>
    <w:rsid w:val="00F1409F"/>
    <w:rsid w:val="00F1417B"/>
    <w:rsid w:val="00F14C22"/>
    <w:rsid w:val="00F152F1"/>
    <w:rsid w:val="00F15705"/>
    <w:rsid w:val="00F15747"/>
    <w:rsid w:val="00F15C32"/>
    <w:rsid w:val="00F15DC5"/>
    <w:rsid w:val="00F16A99"/>
    <w:rsid w:val="00F170AB"/>
    <w:rsid w:val="00F1764B"/>
    <w:rsid w:val="00F17891"/>
    <w:rsid w:val="00F20572"/>
    <w:rsid w:val="00F2062F"/>
    <w:rsid w:val="00F209A0"/>
    <w:rsid w:val="00F20FC2"/>
    <w:rsid w:val="00F211C1"/>
    <w:rsid w:val="00F21356"/>
    <w:rsid w:val="00F2144C"/>
    <w:rsid w:val="00F219C3"/>
    <w:rsid w:val="00F21BFF"/>
    <w:rsid w:val="00F21D60"/>
    <w:rsid w:val="00F21FFE"/>
    <w:rsid w:val="00F22543"/>
    <w:rsid w:val="00F228B8"/>
    <w:rsid w:val="00F22E03"/>
    <w:rsid w:val="00F22E9A"/>
    <w:rsid w:val="00F2331D"/>
    <w:rsid w:val="00F23555"/>
    <w:rsid w:val="00F23A87"/>
    <w:rsid w:val="00F23DA5"/>
    <w:rsid w:val="00F24317"/>
    <w:rsid w:val="00F24433"/>
    <w:rsid w:val="00F247B0"/>
    <w:rsid w:val="00F24E39"/>
    <w:rsid w:val="00F25098"/>
    <w:rsid w:val="00F25750"/>
    <w:rsid w:val="00F25ADB"/>
    <w:rsid w:val="00F25D39"/>
    <w:rsid w:val="00F26009"/>
    <w:rsid w:val="00F26269"/>
    <w:rsid w:val="00F2690D"/>
    <w:rsid w:val="00F269A2"/>
    <w:rsid w:val="00F26DC3"/>
    <w:rsid w:val="00F272B0"/>
    <w:rsid w:val="00F277FD"/>
    <w:rsid w:val="00F278B8"/>
    <w:rsid w:val="00F27CDD"/>
    <w:rsid w:val="00F27D17"/>
    <w:rsid w:val="00F27D61"/>
    <w:rsid w:val="00F27DD1"/>
    <w:rsid w:val="00F301C8"/>
    <w:rsid w:val="00F308CF"/>
    <w:rsid w:val="00F30B51"/>
    <w:rsid w:val="00F30C94"/>
    <w:rsid w:val="00F30F26"/>
    <w:rsid w:val="00F30FB2"/>
    <w:rsid w:val="00F31828"/>
    <w:rsid w:val="00F31E1D"/>
    <w:rsid w:val="00F3298D"/>
    <w:rsid w:val="00F338C5"/>
    <w:rsid w:val="00F33BF8"/>
    <w:rsid w:val="00F342AB"/>
    <w:rsid w:val="00F3434D"/>
    <w:rsid w:val="00F3450F"/>
    <w:rsid w:val="00F34F3F"/>
    <w:rsid w:val="00F35173"/>
    <w:rsid w:val="00F35319"/>
    <w:rsid w:val="00F3566A"/>
    <w:rsid w:val="00F357AC"/>
    <w:rsid w:val="00F358CC"/>
    <w:rsid w:val="00F35941"/>
    <w:rsid w:val="00F35C32"/>
    <w:rsid w:val="00F364CA"/>
    <w:rsid w:val="00F364D8"/>
    <w:rsid w:val="00F3661A"/>
    <w:rsid w:val="00F37267"/>
    <w:rsid w:val="00F374DB"/>
    <w:rsid w:val="00F377A0"/>
    <w:rsid w:val="00F37D5C"/>
    <w:rsid w:val="00F40244"/>
    <w:rsid w:val="00F406F4"/>
    <w:rsid w:val="00F406FA"/>
    <w:rsid w:val="00F408E7"/>
    <w:rsid w:val="00F40F32"/>
    <w:rsid w:val="00F4107B"/>
    <w:rsid w:val="00F410BE"/>
    <w:rsid w:val="00F411B1"/>
    <w:rsid w:val="00F41CD3"/>
    <w:rsid w:val="00F42B63"/>
    <w:rsid w:val="00F42C61"/>
    <w:rsid w:val="00F43757"/>
    <w:rsid w:val="00F43A4E"/>
    <w:rsid w:val="00F43D6C"/>
    <w:rsid w:val="00F43E58"/>
    <w:rsid w:val="00F44044"/>
    <w:rsid w:val="00F4420B"/>
    <w:rsid w:val="00F44AD8"/>
    <w:rsid w:val="00F44E5E"/>
    <w:rsid w:val="00F44F4F"/>
    <w:rsid w:val="00F450CF"/>
    <w:rsid w:val="00F4552D"/>
    <w:rsid w:val="00F45533"/>
    <w:rsid w:val="00F45980"/>
    <w:rsid w:val="00F45987"/>
    <w:rsid w:val="00F460D6"/>
    <w:rsid w:val="00F46601"/>
    <w:rsid w:val="00F4697B"/>
    <w:rsid w:val="00F469D2"/>
    <w:rsid w:val="00F46B72"/>
    <w:rsid w:val="00F46FBA"/>
    <w:rsid w:val="00F473E6"/>
    <w:rsid w:val="00F47618"/>
    <w:rsid w:val="00F478CB"/>
    <w:rsid w:val="00F5005C"/>
    <w:rsid w:val="00F503EC"/>
    <w:rsid w:val="00F504F3"/>
    <w:rsid w:val="00F50669"/>
    <w:rsid w:val="00F506CA"/>
    <w:rsid w:val="00F50801"/>
    <w:rsid w:val="00F50C8B"/>
    <w:rsid w:val="00F51157"/>
    <w:rsid w:val="00F5116F"/>
    <w:rsid w:val="00F515D5"/>
    <w:rsid w:val="00F51C82"/>
    <w:rsid w:val="00F5201B"/>
    <w:rsid w:val="00F520D0"/>
    <w:rsid w:val="00F526A4"/>
    <w:rsid w:val="00F529D2"/>
    <w:rsid w:val="00F52F51"/>
    <w:rsid w:val="00F52F55"/>
    <w:rsid w:val="00F53264"/>
    <w:rsid w:val="00F53478"/>
    <w:rsid w:val="00F53903"/>
    <w:rsid w:val="00F53EAD"/>
    <w:rsid w:val="00F542C5"/>
    <w:rsid w:val="00F54427"/>
    <w:rsid w:val="00F54680"/>
    <w:rsid w:val="00F546C9"/>
    <w:rsid w:val="00F54A6C"/>
    <w:rsid w:val="00F5548A"/>
    <w:rsid w:val="00F55A91"/>
    <w:rsid w:val="00F560F6"/>
    <w:rsid w:val="00F563C5"/>
    <w:rsid w:val="00F56D1F"/>
    <w:rsid w:val="00F56E59"/>
    <w:rsid w:val="00F5739F"/>
    <w:rsid w:val="00F578FF"/>
    <w:rsid w:val="00F57A4A"/>
    <w:rsid w:val="00F60232"/>
    <w:rsid w:val="00F606B2"/>
    <w:rsid w:val="00F608EC"/>
    <w:rsid w:val="00F60A77"/>
    <w:rsid w:val="00F60D84"/>
    <w:rsid w:val="00F60F07"/>
    <w:rsid w:val="00F61C82"/>
    <w:rsid w:val="00F61D68"/>
    <w:rsid w:val="00F6332D"/>
    <w:rsid w:val="00F634FD"/>
    <w:rsid w:val="00F63CA6"/>
    <w:rsid w:val="00F63E7C"/>
    <w:rsid w:val="00F64739"/>
    <w:rsid w:val="00F64874"/>
    <w:rsid w:val="00F64C4B"/>
    <w:rsid w:val="00F64CBF"/>
    <w:rsid w:val="00F651E9"/>
    <w:rsid w:val="00F6547E"/>
    <w:rsid w:val="00F65659"/>
    <w:rsid w:val="00F65827"/>
    <w:rsid w:val="00F65A39"/>
    <w:rsid w:val="00F6693F"/>
    <w:rsid w:val="00F66BB1"/>
    <w:rsid w:val="00F66C9D"/>
    <w:rsid w:val="00F66FFE"/>
    <w:rsid w:val="00F67376"/>
    <w:rsid w:val="00F67460"/>
    <w:rsid w:val="00F67956"/>
    <w:rsid w:val="00F67D0E"/>
    <w:rsid w:val="00F67DA2"/>
    <w:rsid w:val="00F7005F"/>
    <w:rsid w:val="00F706B4"/>
    <w:rsid w:val="00F71179"/>
    <w:rsid w:val="00F71B45"/>
    <w:rsid w:val="00F723B8"/>
    <w:rsid w:val="00F72805"/>
    <w:rsid w:val="00F72AE4"/>
    <w:rsid w:val="00F72E7A"/>
    <w:rsid w:val="00F72E92"/>
    <w:rsid w:val="00F72EB7"/>
    <w:rsid w:val="00F73311"/>
    <w:rsid w:val="00F7359E"/>
    <w:rsid w:val="00F73684"/>
    <w:rsid w:val="00F7399D"/>
    <w:rsid w:val="00F74057"/>
    <w:rsid w:val="00F749BB"/>
    <w:rsid w:val="00F74BF3"/>
    <w:rsid w:val="00F753BE"/>
    <w:rsid w:val="00F7542F"/>
    <w:rsid w:val="00F7556B"/>
    <w:rsid w:val="00F75823"/>
    <w:rsid w:val="00F759BB"/>
    <w:rsid w:val="00F76058"/>
    <w:rsid w:val="00F76CB2"/>
    <w:rsid w:val="00F76D90"/>
    <w:rsid w:val="00F76DD9"/>
    <w:rsid w:val="00F77282"/>
    <w:rsid w:val="00F77778"/>
    <w:rsid w:val="00F7790C"/>
    <w:rsid w:val="00F77F76"/>
    <w:rsid w:val="00F8029F"/>
    <w:rsid w:val="00F80D7C"/>
    <w:rsid w:val="00F80EC7"/>
    <w:rsid w:val="00F8132F"/>
    <w:rsid w:val="00F81394"/>
    <w:rsid w:val="00F81732"/>
    <w:rsid w:val="00F8184C"/>
    <w:rsid w:val="00F8241F"/>
    <w:rsid w:val="00F826A0"/>
    <w:rsid w:val="00F82B89"/>
    <w:rsid w:val="00F83CE5"/>
    <w:rsid w:val="00F83DAD"/>
    <w:rsid w:val="00F84205"/>
    <w:rsid w:val="00F8428E"/>
    <w:rsid w:val="00F84CE4"/>
    <w:rsid w:val="00F84E61"/>
    <w:rsid w:val="00F851D8"/>
    <w:rsid w:val="00F852DF"/>
    <w:rsid w:val="00F85540"/>
    <w:rsid w:val="00F85BAE"/>
    <w:rsid w:val="00F85C81"/>
    <w:rsid w:val="00F86051"/>
    <w:rsid w:val="00F86090"/>
    <w:rsid w:val="00F861E6"/>
    <w:rsid w:val="00F8683F"/>
    <w:rsid w:val="00F8691B"/>
    <w:rsid w:val="00F870B5"/>
    <w:rsid w:val="00F871AC"/>
    <w:rsid w:val="00F8722D"/>
    <w:rsid w:val="00F87333"/>
    <w:rsid w:val="00F87AB2"/>
    <w:rsid w:val="00F87F1B"/>
    <w:rsid w:val="00F87FC2"/>
    <w:rsid w:val="00F90021"/>
    <w:rsid w:val="00F90AE7"/>
    <w:rsid w:val="00F910CE"/>
    <w:rsid w:val="00F912A5"/>
    <w:rsid w:val="00F913DD"/>
    <w:rsid w:val="00F922F8"/>
    <w:rsid w:val="00F92455"/>
    <w:rsid w:val="00F92AA2"/>
    <w:rsid w:val="00F92BAA"/>
    <w:rsid w:val="00F92EB9"/>
    <w:rsid w:val="00F93130"/>
    <w:rsid w:val="00F932CA"/>
    <w:rsid w:val="00F9351E"/>
    <w:rsid w:val="00F9379B"/>
    <w:rsid w:val="00F93F92"/>
    <w:rsid w:val="00F93FDD"/>
    <w:rsid w:val="00F94AB9"/>
    <w:rsid w:val="00F95227"/>
    <w:rsid w:val="00F95318"/>
    <w:rsid w:val="00F95551"/>
    <w:rsid w:val="00F9565F"/>
    <w:rsid w:val="00F957DB"/>
    <w:rsid w:val="00F9592A"/>
    <w:rsid w:val="00F95ADF"/>
    <w:rsid w:val="00F95DB1"/>
    <w:rsid w:val="00F95E28"/>
    <w:rsid w:val="00F96019"/>
    <w:rsid w:val="00F965A2"/>
    <w:rsid w:val="00F96A8A"/>
    <w:rsid w:val="00F9775B"/>
    <w:rsid w:val="00F97903"/>
    <w:rsid w:val="00F97A4E"/>
    <w:rsid w:val="00F97B8B"/>
    <w:rsid w:val="00F97BCA"/>
    <w:rsid w:val="00F97D86"/>
    <w:rsid w:val="00FA0649"/>
    <w:rsid w:val="00FA0C94"/>
    <w:rsid w:val="00FA10B4"/>
    <w:rsid w:val="00FA1260"/>
    <w:rsid w:val="00FA1337"/>
    <w:rsid w:val="00FA18CF"/>
    <w:rsid w:val="00FA1ABE"/>
    <w:rsid w:val="00FA1BC1"/>
    <w:rsid w:val="00FA1D2F"/>
    <w:rsid w:val="00FA2000"/>
    <w:rsid w:val="00FA24CB"/>
    <w:rsid w:val="00FA2CB1"/>
    <w:rsid w:val="00FA35D1"/>
    <w:rsid w:val="00FA37F8"/>
    <w:rsid w:val="00FA38A8"/>
    <w:rsid w:val="00FA3A79"/>
    <w:rsid w:val="00FA40DD"/>
    <w:rsid w:val="00FA4558"/>
    <w:rsid w:val="00FA4698"/>
    <w:rsid w:val="00FA4A65"/>
    <w:rsid w:val="00FA4CD0"/>
    <w:rsid w:val="00FA56E6"/>
    <w:rsid w:val="00FA5D2C"/>
    <w:rsid w:val="00FA5E9B"/>
    <w:rsid w:val="00FA6112"/>
    <w:rsid w:val="00FA630D"/>
    <w:rsid w:val="00FA6471"/>
    <w:rsid w:val="00FA6BFD"/>
    <w:rsid w:val="00FA72FC"/>
    <w:rsid w:val="00FA762E"/>
    <w:rsid w:val="00FA76D5"/>
    <w:rsid w:val="00FA79F8"/>
    <w:rsid w:val="00FA7E03"/>
    <w:rsid w:val="00FB002A"/>
    <w:rsid w:val="00FB04AC"/>
    <w:rsid w:val="00FB0982"/>
    <w:rsid w:val="00FB0AFD"/>
    <w:rsid w:val="00FB0DF4"/>
    <w:rsid w:val="00FB1222"/>
    <w:rsid w:val="00FB1511"/>
    <w:rsid w:val="00FB172F"/>
    <w:rsid w:val="00FB2344"/>
    <w:rsid w:val="00FB2A60"/>
    <w:rsid w:val="00FB2DD6"/>
    <w:rsid w:val="00FB2DD9"/>
    <w:rsid w:val="00FB35AA"/>
    <w:rsid w:val="00FB36A8"/>
    <w:rsid w:val="00FB41DF"/>
    <w:rsid w:val="00FB44ED"/>
    <w:rsid w:val="00FB45CE"/>
    <w:rsid w:val="00FB47A3"/>
    <w:rsid w:val="00FB4828"/>
    <w:rsid w:val="00FB48C7"/>
    <w:rsid w:val="00FB4ADB"/>
    <w:rsid w:val="00FB4D78"/>
    <w:rsid w:val="00FB4F27"/>
    <w:rsid w:val="00FB52EA"/>
    <w:rsid w:val="00FB53EC"/>
    <w:rsid w:val="00FB5762"/>
    <w:rsid w:val="00FB58A4"/>
    <w:rsid w:val="00FB5BEB"/>
    <w:rsid w:val="00FB5C30"/>
    <w:rsid w:val="00FB65D1"/>
    <w:rsid w:val="00FB696C"/>
    <w:rsid w:val="00FB6A26"/>
    <w:rsid w:val="00FB748E"/>
    <w:rsid w:val="00FB7994"/>
    <w:rsid w:val="00FB7E39"/>
    <w:rsid w:val="00FC0286"/>
    <w:rsid w:val="00FC178A"/>
    <w:rsid w:val="00FC1914"/>
    <w:rsid w:val="00FC19FC"/>
    <w:rsid w:val="00FC1B92"/>
    <w:rsid w:val="00FC2332"/>
    <w:rsid w:val="00FC2737"/>
    <w:rsid w:val="00FC2EC9"/>
    <w:rsid w:val="00FC358B"/>
    <w:rsid w:val="00FC3AF5"/>
    <w:rsid w:val="00FC3AFD"/>
    <w:rsid w:val="00FC4252"/>
    <w:rsid w:val="00FC47D6"/>
    <w:rsid w:val="00FC4B77"/>
    <w:rsid w:val="00FC4F35"/>
    <w:rsid w:val="00FC52E2"/>
    <w:rsid w:val="00FC55CB"/>
    <w:rsid w:val="00FC560B"/>
    <w:rsid w:val="00FC591F"/>
    <w:rsid w:val="00FC5A48"/>
    <w:rsid w:val="00FC5B77"/>
    <w:rsid w:val="00FC5D26"/>
    <w:rsid w:val="00FC5F6E"/>
    <w:rsid w:val="00FC600D"/>
    <w:rsid w:val="00FC6034"/>
    <w:rsid w:val="00FC6084"/>
    <w:rsid w:val="00FC6230"/>
    <w:rsid w:val="00FC6289"/>
    <w:rsid w:val="00FC65FE"/>
    <w:rsid w:val="00FC6E4D"/>
    <w:rsid w:val="00FC746A"/>
    <w:rsid w:val="00FC768C"/>
    <w:rsid w:val="00FC771A"/>
    <w:rsid w:val="00FC7865"/>
    <w:rsid w:val="00FC7A1D"/>
    <w:rsid w:val="00FC7BC2"/>
    <w:rsid w:val="00FC7CB3"/>
    <w:rsid w:val="00FD064E"/>
    <w:rsid w:val="00FD06C4"/>
    <w:rsid w:val="00FD08BC"/>
    <w:rsid w:val="00FD1029"/>
    <w:rsid w:val="00FD1293"/>
    <w:rsid w:val="00FD129A"/>
    <w:rsid w:val="00FD14E7"/>
    <w:rsid w:val="00FD1567"/>
    <w:rsid w:val="00FD1F5F"/>
    <w:rsid w:val="00FD2412"/>
    <w:rsid w:val="00FD250E"/>
    <w:rsid w:val="00FD258D"/>
    <w:rsid w:val="00FD2DBC"/>
    <w:rsid w:val="00FD30B3"/>
    <w:rsid w:val="00FD3482"/>
    <w:rsid w:val="00FD3BFC"/>
    <w:rsid w:val="00FD4321"/>
    <w:rsid w:val="00FD4672"/>
    <w:rsid w:val="00FD4925"/>
    <w:rsid w:val="00FD4CA6"/>
    <w:rsid w:val="00FD5070"/>
    <w:rsid w:val="00FD5152"/>
    <w:rsid w:val="00FD51F8"/>
    <w:rsid w:val="00FD597E"/>
    <w:rsid w:val="00FD5F6F"/>
    <w:rsid w:val="00FD604A"/>
    <w:rsid w:val="00FD61AC"/>
    <w:rsid w:val="00FD628B"/>
    <w:rsid w:val="00FD63A8"/>
    <w:rsid w:val="00FD6403"/>
    <w:rsid w:val="00FD646B"/>
    <w:rsid w:val="00FD66ED"/>
    <w:rsid w:val="00FD6ACE"/>
    <w:rsid w:val="00FD6CCC"/>
    <w:rsid w:val="00FD6CFF"/>
    <w:rsid w:val="00FD6FC7"/>
    <w:rsid w:val="00FD707A"/>
    <w:rsid w:val="00FD754C"/>
    <w:rsid w:val="00FD783A"/>
    <w:rsid w:val="00FE0534"/>
    <w:rsid w:val="00FE06B1"/>
    <w:rsid w:val="00FE09B4"/>
    <w:rsid w:val="00FE1285"/>
    <w:rsid w:val="00FE158F"/>
    <w:rsid w:val="00FE219F"/>
    <w:rsid w:val="00FE28CF"/>
    <w:rsid w:val="00FE2B83"/>
    <w:rsid w:val="00FE2DD1"/>
    <w:rsid w:val="00FE3054"/>
    <w:rsid w:val="00FE30EC"/>
    <w:rsid w:val="00FE3C18"/>
    <w:rsid w:val="00FE45B0"/>
    <w:rsid w:val="00FE4966"/>
    <w:rsid w:val="00FE4A8E"/>
    <w:rsid w:val="00FE4D2F"/>
    <w:rsid w:val="00FE5104"/>
    <w:rsid w:val="00FE581A"/>
    <w:rsid w:val="00FE7751"/>
    <w:rsid w:val="00FE7CEE"/>
    <w:rsid w:val="00FE7EE7"/>
    <w:rsid w:val="00FF0205"/>
    <w:rsid w:val="00FF0A4D"/>
    <w:rsid w:val="00FF11B0"/>
    <w:rsid w:val="00FF1EE3"/>
    <w:rsid w:val="00FF208B"/>
    <w:rsid w:val="00FF279B"/>
    <w:rsid w:val="00FF2C59"/>
    <w:rsid w:val="00FF39CE"/>
    <w:rsid w:val="00FF3CAD"/>
    <w:rsid w:val="00FF3F56"/>
    <w:rsid w:val="00FF424A"/>
    <w:rsid w:val="00FF43C3"/>
    <w:rsid w:val="00FF441F"/>
    <w:rsid w:val="00FF4444"/>
    <w:rsid w:val="00FF5A88"/>
    <w:rsid w:val="00FF6F58"/>
    <w:rsid w:val="00FF769E"/>
    <w:rsid w:val="00FF7BD4"/>
    <w:rsid w:val="013B2B96"/>
    <w:rsid w:val="024B523E"/>
    <w:rsid w:val="026B429D"/>
    <w:rsid w:val="04DA211E"/>
    <w:rsid w:val="093021FB"/>
    <w:rsid w:val="0AF40885"/>
    <w:rsid w:val="0B136931"/>
    <w:rsid w:val="0DEF0A3C"/>
    <w:rsid w:val="0E7E2310"/>
    <w:rsid w:val="0F5012AE"/>
    <w:rsid w:val="10AC51EB"/>
    <w:rsid w:val="116E48C1"/>
    <w:rsid w:val="12687563"/>
    <w:rsid w:val="140C6C97"/>
    <w:rsid w:val="15674EC2"/>
    <w:rsid w:val="157B1D47"/>
    <w:rsid w:val="161F618A"/>
    <w:rsid w:val="174054EB"/>
    <w:rsid w:val="17ED9A35"/>
    <w:rsid w:val="181E6811"/>
    <w:rsid w:val="18827918"/>
    <w:rsid w:val="18CA3B79"/>
    <w:rsid w:val="1A83469D"/>
    <w:rsid w:val="1B16689F"/>
    <w:rsid w:val="1B393EFF"/>
    <w:rsid w:val="1BC05D1A"/>
    <w:rsid w:val="1BF7776B"/>
    <w:rsid w:val="1C836B43"/>
    <w:rsid w:val="1D452166"/>
    <w:rsid w:val="1DE62192"/>
    <w:rsid w:val="1E2C3B3A"/>
    <w:rsid w:val="1E8255C7"/>
    <w:rsid w:val="1F7677A8"/>
    <w:rsid w:val="20BA7775"/>
    <w:rsid w:val="20C75D9C"/>
    <w:rsid w:val="21A4745A"/>
    <w:rsid w:val="21FF50C2"/>
    <w:rsid w:val="24701527"/>
    <w:rsid w:val="24A120CE"/>
    <w:rsid w:val="269D6AE5"/>
    <w:rsid w:val="26F64CE5"/>
    <w:rsid w:val="278F41D1"/>
    <w:rsid w:val="27D67855"/>
    <w:rsid w:val="28FDFD77"/>
    <w:rsid w:val="298F3F7B"/>
    <w:rsid w:val="2A404310"/>
    <w:rsid w:val="2A520D01"/>
    <w:rsid w:val="2A6F1D9E"/>
    <w:rsid w:val="2D1C6567"/>
    <w:rsid w:val="2FED3C76"/>
    <w:rsid w:val="2FFEDD00"/>
    <w:rsid w:val="32D050B8"/>
    <w:rsid w:val="334D0383"/>
    <w:rsid w:val="33596D28"/>
    <w:rsid w:val="346A6E66"/>
    <w:rsid w:val="37E54325"/>
    <w:rsid w:val="381B4890"/>
    <w:rsid w:val="39A87656"/>
    <w:rsid w:val="3A360E75"/>
    <w:rsid w:val="3C0761D6"/>
    <w:rsid w:val="3C330C58"/>
    <w:rsid w:val="3E854E75"/>
    <w:rsid w:val="3F087854"/>
    <w:rsid w:val="40B7360A"/>
    <w:rsid w:val="42611561"/>
    <w:rsid w:val="43456877"/>
    <w:rsid w:val="44327110"/>
    <w:rsid w:val="44F36676"/>
    <w:rsid w:val="450F09B3"/>
    <w:rsid w:val="456B6AD1"/>
    <w:rsid w:val="45DB490B"/>
    <w:rsid w:val="476D25D3"/>
    <w:rsid w:val="4B1B110F"/>
    <w:rsid w:val="4B5F3CB3"/>
    <w:rsid w:val="4C7B1665"/>
    <w:rsid w:val="4D0020C1"/>
    <w:rsid w:val="4D0E6C05"/>
    <w:rsid w:val="4DDA049B"/>
    <w:rsid w:val="4DFC24E2"/>
    <w:rsid w:val="4E485869"/>
    <w:rsid w:val="4F4E1E6F"/>
    <w:rsid w:val="4FF802F7"/>
    <w:rsid w:val="505B69EA"/>
    <w:rsid w:val="51F51CEF"/>
    <w:rsid w:val="53E94829"/>
    <w:rsid w:val="54D76D03"/>
    <w:rsid w:val="552F6C70"/>
    <w:rsid w:val="588500FC"/>
    <w:rsid w:val="59FD0205"/>
    <w:rsid w:val="5A505FFE"/>
    <w:rsid w:val="5D765DE9"/>
    <w:rsid w:val="5DE63B80"/>
    <w:rsid w:val="5E7EFD0E"/>
    <w:rsid w:val="60EA5239"/>
    <w:rsid w:val="623941D1"/>
    <w:rsid w:val="63907B72"/>
    <w:rsid w:val="645C4CE2"/>
    <w:rsid w:val="65C62675"/>
    <w:rsid w:val="672A6364"/>
    <w:rsid w:val="67766731"/>
    <w:rsid w:val="67891809"/>
    <w:rsid w:val="6833299C"/>
    <w:rsid w:val="6A95095F"/>
    <w:rsid w:val="6B7F9AAE"/>
    <w:rsid w:val="6EF957F8"/>
    <w:rsid w:val="6F362234"/>
    <w:rsid w:val="6F6D18AA"/>
    <w:rsid w:val="6F885CC3"/>
    <w:rsid w:val="723003D4"/>
    <w:rsid w:val="7419253B"/>
    <w:rsid w:val="75402F44"/>
    <w:rsid w:val="756D3813"/>
    <w:rsid w:val="785D4A1E"/>
    <w:rsid w:val="79DD46EC"/>
    <w:rsid w:val="7BEE62DE"/>
    <w:rsid w:val="7DE7B339"/>
    <w:rsid w:val="7FD5583B"/>
    <w:rsid w:val="7FD83689"/>
    <w:rsid w:val="B9AF67AC"/>
    <w:rsid w:val="CE7DD747"/>
    <w:rsid w:val="CF7FCE99"/>
    <w:rsid w:val="FB3EC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3">
    <w:name w:val="heading 1"/>
    <w:basedOn w:val="1"/>
    <w:next w:val="1"/>
    <w:link w:val="35"/>
    <w:qFormat/>
    <w:uiPriority w:val="9"/>
    <w:pPr>
      <w:keepNext/>
      <w:keepLines/>
      <w:spacing w:before="340" w:after="330" w:line="578" w:lineRule="auto"/>
      <w:ind w:firstLine="0" w:firstLineChars="0"/>
      <w:outlineLvl w:val="0"/>
    </w:pPr>
    <w:rPr>
      <w:b/>
      <w:bCs/>
      <w:kern w:val="44"/>
      <w:sz w:val="44"/>
      <w:szCs w:val="44"/>
    </w:rPr>
  </w:style>
  <w:style w:type="paragraph" w:styleId="4">
    <w:name w:val="heading 2"/>
    <w:basedOn w:val="1"/>
    <w:next w:val="1"/>
    <w:link w:val="36"/>
    <w:qFormat/>
    <w:uiPriority w:val="9"/>
    <w:pPr>
      <w:keepNext/>
      <w:keepLines/>
      <w:spacing w:before="260" w:after="260" w:line="415" w:lineRule="auto"/>
      <w:ind w:firstLine="0" w:firstLineChars="0"/>
      <w:outlineLvl w:val="1"/>
    </w:pPr>
    <w:rPr>
      <w:rFonts w:ascii="Cambria" w:hAnsi="Cambria"/>
      <w:b/>
      <w:bCs/>
      <w:sz w:val="32"/>
      <w:szCs w:val="32"/>
    </w:rPr>
  </w:style>
  <w:style w:type="paragraph" w:styleId="5">
    <w:name w:val="heading 3"/>
    <w:basedOn w:val="1"/>
    <w:next w:val="1"/>
    <w:link w:val="37"/>
    <w:qFormat/>
    <w:uiPriority w:val="9"/>
    <w:pPr>
      <w:keepNext/>
      <w:keepLines/>
      <w:spacing w:before="260" w:after="260" w:line="415" w:lineRule="auto"/>
      <w:ind w:firstLine="0" w:firstLineChars="0"/>
      <w:outlineLvl w:val="2"/>
    </w:pPr>
    <w:rPr>
      <w:b/>
      <w:bCs/>
      <w:sz w:val="32"/>
      <w:szCs w:val="32"/>
    </w:rPr>
  </w:style>
  <w:style w:type="paragraph" w:styleId="6">
    <w:name w:val="heading 4"/>
    <w:basedOn w:val="1"/>
    <w:next w:val="1"/>
    <w:link w:val="38"/>
    <w:qFormat/>
    <w:uiPriority w:val="9"/>
    <w:pPr>
      <w:keepNext/>
      <w:keepLines/>
      <w:spacing w:before="280" w:after="290" w:line="377" w:lineRule="auto"/>
      <w:ind w:firstLine="0" w:firstLineChars="0"/>
      <w:outlineLvl w:val="3"/>
    </w:pPr>
    <w:rPr>
      <w:rFonts w:ascii="Cambria" w:hAnsi="Cambria"/>
      <w:b/>
      <w:bCs/>
      <w:sz w:val="28"/>
      <w:szCs w:val="28"/>
    </w:rPr>
  </w:style>
  <w:style w:type="paragraph" w:styleId="7">
    <w:name w:val="heading 5"/>
    <w:basedOn w:val="1"/>
    <w:next w:val="1"/>
    <w:link w:val="39"/>
    <w:qFormat/>
    <w:uiPriority w:val="9"/>
    <w:pPr>
      <w:keepNext/>
      <w:keepLines/>
      <w:ind w:firstLine="0" w:firstLineChars="0"/>
      <w:outlineLvl w:val="4"/>
    </w:pPr>
    <w:rPr>
      <w:b/>
      <w:bCs/>
      <w:sz w:val="28"/>
      <w:szCs w:val="28"/>
    </w:rPr>
  </w:style>
  <w:style w:type="paragraph" w:styleId="8">
    <w:name w:val="heading 6"/>
    <w:basedOn w:val="1"/>
    <w:next w:val="1"/>
    <w:link w:val="40"/>
    <w:qFormat/>
    <w:uiPriority w:val="9"/>
    <w:pPr>
      <w:keepNext/>
      <w:keepLines/>
      <w:spacing w:before="240" w:after="64" w:line="320" w:lineRule="auto"/>
      <w:outlineLvl w:val="5"/>
    </w:pPr>
    <w:rPr>
      <w:rFonts w:ascii="等线 Light" w:hAnsi="等线 Light" w:eastAsia="等线 Light"/>
      <w:b/>
      <w:bCs/>
      <w:szCs w:val="24"/>
    </w:rPr>
  </w:style>
  <w:style w:type="character" w:default="1" w:styleId="29">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4"/>
    <w:unhideWhenUsed/>
    <w:qFormat/>
    <w:uiPriority w:val="99"/>
    <w:pPr>
      <w:spacing w:after="120"/>
    </w:pPr>
  </w:style>
  <w:style w:type="paragraph" w:styleId="9">
    <w:name w:val="Normal Indent"/>
    <w:basedOn w:val="1"/>
    <w:qFormat/>
    <w:uiPriority w:val="0"/>
    <w:pPr>
      <w:adjustRightInd w:val="0"/>
      <w:snapToGrid w:val="0"/>
      <w:ind w:left="250" w:hanging="250" w:hangingChars="250"/>
    </w:pPr>
    <w:rPr>
      <w:sz w:val="28"/>
      <w:szCs w:val="24"/>
    </w:rPr>
  </w:style>
  <w:style w:type="paragraph" w:styleId="10">
    <w:name w:val="caption"/>
    <w:basedOn w:val="1"/>
    <w:next w:val="1"/>
    <w:qFormat/>
    <w:uiPriority w:val="35"/>
    <w:rPr>
      <w:rFonts w:ascii="Cambria" w:hAnsi="Cambria" w:eastAsia="黑体"/>
      <w:sz w:val="20"/>
      <w:szCs w:val="20"/>
    </w:rPr>
  </w:style>
  <w:style w:type="paragraph" w:styleId="11">
    <w:name w:val="Document Map"/>
    <w:basedOn w:val="1"/>
    <w:link w:val="41"/>
    <w:unhideWhenUsed/>
    <w:qFormat/>
    <w:uiPriority w:val="99"/>
    <w:rPr>
      <w:rFonts w:ascii="宋体"/>
      <w:sz w:val="18"/>
      <w:szCs w:val="18"/>
    </w:rPr>
  </w:style>
  <w:style w:type="paragraph" w:styleId="12">
    <w:name w:val="annotation text"/>
    <w:basedOn w:val="1"/>
    <w:link w:val="42"/>
    <w:unhideWhenUsed/>
    <w:qFormat/>
    <w:uiPriority w:val="99"/>
    <w:pPr>
      <w:jc w:val="left"/>
    </w:pPr>
  </w:style>
  <w:style w:type="paragraph" w:styleId="13">
    <w:name w:val="toc 3"/>
    <w:basedOn w:val="1"/>
    <w:next w:val="1"/>
    <w:unhideWhenUsed/>
    <w:qFormat/>
    <w:uiPriority w:val="39"/>
    <w:pPr>
      <w:tabs>
        <w:tab w:val="right" w:leader="dot" w:pos="8296"/>
      </w:tabs>
      <w:ind w:left="1275" w:leftChars="354" w:hanging="425" w:hangingChars="177"/>
    </w:pPr>
  </w:style>
  <w:style w:type="paragraph" w:styleId="14">
    <w:name w:val="Date"/>
    <w:basedOn w:val="1"/>
    <w:next w:val="1"/>
    <w:link w:val="43"/>
    <w:unhideWhenUsed/>
    <w:qFormat/>
    <w:uiPriority w:val="99"/>
    <w:pPr>
      <w:ind w:left="100" w:leftChars="2500"/>
    </w:pPr>
  </w:style>
  <w:style w:type="paragraph" w:styleId="15">
    <w:name w:val="Balloon Text"/>
    <w:basedOn w:val="1"/>
    <w:link w:val="44"/>
    <w:unhideWhenUsed/>
    <w:qFormat/>
    <w:uiPriority w:val="99"/>
    <w:pPr>
      <w:spacing w:line="240" w:lineRule="auto"/>
    </w:pPr>
    <w:rPr>
      <w:sz w:val="18"/>
      <w:szCs w:val="18"/>
    </w:rPr>
  </w:style>
  <w:style w:type="paragraph" w:styleId="16">
    <w:name w:val="footer"/>
    <w:basedOn w:val="1"/>
    <w:link w:val="45"/>
    <w:unhideWhenUsed/>
    <w:qFormat/>
    <w:uiPriority w:val="99"/>
    <w:pPr>
      <w:tabs>
        <w:tab w:val="center" w:pos="4153"/>
        <w:tab w:val="right" w:pos="8306"/>
      </w:tabs>
      <w:snapToGrid w:val="0"/>
      <w:spacing w:line="240" w:lineRule="auto"/>
      <w:jc w:val="left"/>
    </w:pPr>
    <w:rPr>
      <w:sz w:val="18"/>
      <w:szCs w:val="18"/>
    </w:rPr>
  </w:style>
  <w:style w:type="paragraph" w:styleId="17">
    <w:name w:val="header"/>
    <w:basedOn w:val="1"/>
    <w:link w:val="4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toc 4"/>
    <w:basedOn w:val="1"/>
    <w:next w:val="1"/>
    <w:unhideWhenUsed/>
    <w:qFormat/>
    <w:uiPriority w:val="39"/>
    <w:pPr>
      <w:ind w:left="1260" w:leftChars="600"/>
    </w:pPr>
  </w:style>
  <w:style w:type="paragraph" w:styleId="19">
    <w:name w:val="toc 2"/>
    <w:basedOn w:val="1"/>
    <w:next w:val="1"/>
    <w:unhideWhenUsed/>
    <w:qFormat/>
    <w:uiPriority w:val="39"/>
    <w:pPr>
      <w:tabs>
        <w:tab w:val="right" w:leader="dot" w:pos="8296"/>
      </w:tabs>
      <w:ind w:left="480" w:leftChars="200" w:firstLine="370" w:firstLineChars="154"/>
    </w:pPr>
  </w:style>
  <w:style w:type="paragraph" w:styleId="20">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21">
    <w:name w:val="annotation subject"/>
    <w:basedOn w:val="12"/>
    <w:next w:val="12"/>
    <w:link w:val="47"/>
    <w:unhideWhenUsed/>
    <w:qFormat/>
    <w:uiPriority w:val="99"/>
    <w:rPr>
      <w:b/>
      <w:bCs/>
    </w:rPr>
  </w:style>
  <w:style w:type="paragraph" w:styleId="22">
    <w:name w:val="Body Text First Indent"/>
    <w:basedOn w:val="2"/>
    <w:link w:val="48"/>
    <w:semiHidden/>
    <w:qFormat/>
    <w:uiPriority w:val="0"/>
    <w:pPr>
      <w:spacing w:line="240" w:lineRule="auto"/>
      <w:ind w:firstLine="420" w:firstLineChars="100"/>
    </w:pPr>
    <w:rPr>
      <w:sz w:val="21"/>
      <w:szCs w:val="24"/>
    </w:rPr>
  </w:style>
  <w:style w:type="table" w:styleId="24">
    <w:name w:val="Table Grid"/>
    <w:basedOn w:val="23"/>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5">
    <w:name w:val="Light Shading Accent 1"/>
    <w:basedOn w:val="23"/>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26">
    <w:name w:val="Light Shading Accent 5"/>
    <w:basedOn w:val="23"/>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27">
    <w:name w:val="Light Grid Accent 1"/>
    <w:basedOn w:val="23"/>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eastAsia="宋体"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l2br w:val="nil"/>
          <w:tr2bl w:val="nil"/>
        </w:tcBorders>
      </w:tcPr>
    </w:tblStylePr>
    <w:tblStylePr w:type="lastRow">
      <w:pPr>
        <w:spacing w:before="0" w:after="0" w:line="240" w:lineRule="auto"/>
      </w:pPr>
      <w:rPr>
        <w:rFonts w:eastAsia="宋体"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rFonts w:eastAsia="宋体" w:cs="Times New Roman"/>
        <w:b/>
        <w:bCs/>
      </w:rPr>
    </w:tblStylePr>
    <w:tblStylePr w:type="lastCol">
      <w:rPr>
        <w:rFonts w:eastAsia="宋体" w:cs="Times New Roman"/>
        <w:b/>
        <w:bCs/>
      </w:rPr>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styleId="28">
    <w:name w:val="Light Grid Accent 5"/>
    <w:basedOn w:val="23"/>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eastAsia="宋体"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l2br w:val="nil"/>
          <w:tr2bl w:val="nil"/>
        </w:tcBorders>
      </w:tcPr>
    </w:tblStylePr>
    <w:tblStylePr w:type="lastRow">
      <w:pPr>
        <w:spacing w:before="0" w:after="0" w:line="240" w:lineRule="auto"/>
      </w:pPr>
      <w:rPr>
        <w:rFonts w:eastAsia="宋体"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eastAsia="宋体" w:cs="Times New Roman"/>
        <w:b/>
        <w:bCs/>
      </w:rPr>
    </w:tblStylePr>
    <w:tblStylePr w:type="lastCol">
      <w:rPr>
        <w:rFonts w:eastAsia="宋体"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character" w:styleId="30">
    <w:name w:val="Strong"/>
    <w:qFormat/>
    <w:uiPriority w:val="0"/>
    <w:rPr>
      <w:b/>
    </w:rPr>
  </w:style>
  <w:style w:type="character" w:styleId="31">
    <w:name w:val="FollowedHyperlink"/>
    <w:unhideWhenUsed/>
    <w:qFormat/>
    <w:uiPriority w:val="99"/>
    <w:rPr>
      <w:color w:val="800080"/>
      <w:u w:val="single"/>
    </w:rPr>
  </w:style>
  <w:style w:type="character" w:styleId="32">
    <w:name w:val="Hyperlink"/>
    <w:unhideWhenUsed/>
    <w:qFormat/>
    <w:uiPriority w:val="99"/>
    <w:rPr>
      <w:color w:val="0000FF"/>
      <w:u w:val="single"/>
    </w:rPr>
  </w:style>
  <w:style w:type="character" w:styleId="33">
    <w:name w:val="annotation reference"/>
    <w:unhideWhenUsed/>
    <w:qFormat/>
    <w:uiPriority w:val="99"/>
    <w:rPr>
      <w:sz w:val="21"/>
      <w:szCs w:val="21"/>
    </w:rPr>
  </w:style>
  <w:style w:type="character" w:customStyle="1" w:styleId="34">
    <w:name w:val="正文文本 字符"/>
    <w:link w:val="2"/>
    <w:semiHidden/>
    <w:qFormat/>
    <w:uiPriority w:val="99"/>
    <w:rPr>
      <w:kern w:val="2"/>
      <w:sz w:val="24"/>
      <w:szCs w:val="22"/>
    </w:rPr>
  </w:style>
  <w:style w:type="character" w:customStyle="1" w:styleId="35">
    <w:name w:val="标题 1 字符"/>
    <w:link w:val="3"/>
    <w:qFormat/>
    <w:uiPriority w:val="9"/>
    <w:rPr>
      <w:b/>
      <w:bCs/>
      <w:kern w:val="44"/>
      <w:sz w:val="44"/>
      <w:szCs w:val="44"/>
    </w:rPr>
  </w:style>
  <w:style w:type="character" w:customStyle="1" w:styleId="36">
    <w:name w:val="标题 2 字符"/>
    <w:link w:val="4"/>
    <w:qFormat/>
    <w:uiPriority w:val="9"/>
    <w:rPr>
      <w:rFonts w:ascii="Cambria" w:hAnsi="Cambria" w:eastAsia="宋体" w:cs="Times New Roman"/>
      <w:b/>
      <w:bCs/>
      <w:kern w:val="2"/>
      <w:sz w:val="32"/>
      <w:szCs w:val="32"/>
    </w:rPr>
  </w:style>
  <w:style w:type="character" w:customStyle="1" w:styleId="37">
    <w:name w:val="标题 3 字符"/>
    <w:link w:val="5"/>
    <w:qFormat/>
    <w:uiPriority w:val="9"/>
    <w:rPr>
      <w:b/>
      <w:bCs/>
      <w:kern w:val="2"/>
      <w:sz w:val="32"/>
      <w:szCs w:val="32"/>
    </w:rPr>
  </w:style>
  <w:style w:type="character" w:customStyle="1" w:styleId="38">
    <w:name w:val="标题 4 字符"/>
    <w:link w:val="6"/>
    <w:qFormat/>
    <w:uiPriority w:val="9"/>
    <w:rPr>
      <w:rFonts w:ascii="Cambria" w:hAnsi="Cambria" w:eastAsia="宋体" w:cs="Times New Roman"/>
      <w:b/>
      <w:bCs/>
      <w:kern w:val="2"/>
      <w:sz w:val="28"/>
      <w:szCs w:val="28"/>
    </w:rPr>
  </w:style>
  <w:style w:type="character" w:customStyle="1" w:styleId="39">
    <w:name w:val="标题 5 字符"/>
    <w:link w:val="7"/>
    <w:qFormat/>
    <w:uiPriority w:val="9"/>
    <w:rPr>
      <w:b/>
      <w:bCs/>
      <w:kern w:val="2"/>
      <w:sz w:val="28"/>
      <w:szCs w:val="28"/>
    </w:rPr>
  </w:style>
  <w:style w:type="character" w:customStyle="1" w:styleId="40">
    <w:name w:val="标题 6 字符"/>
    <w:link w:val="8"/>
    <w:qFormat/>
    <w:uiPriority w:val="9"/>
    <w:rPr>
      <w:rFonts w:ascii="等线 Light" w:hAnsi="等线 Light" w:eastAsia="等线 Light" w:cs="Times New Roman"/>
      <w:b/>
      <w:bCs/>
      <w:kern w:val="2"/>
      <w:sz w:val="24"/>
      <w:szCs w:val="24"/>
    </w:rPr>
  </w:style>
  <w:style w:type="character" w:customStyle="1" w:styleId="41">
    <w:name w:val="文档结构图 字符"/>
    <w:link w:val="11"/>
    <w:semiHidden/>
    <w:qFormat/>
    <w:uiPriority w:val="99"/>
    <w:rPr>
      <w:rFonts w:ascii="宋体"/>
      <w:kern w:val="2"/>
      <w:sz w:val="18"/>
      <w:szCs w:val="18"/>
    </w:rPr>
  </w:style>
  <w:style w:type="character" w:customStyle="1" w:styleId="42">
    <w:name w:val="批注文字 字符"/>
    <w:link w:val="12"/>
    <w:semiHidden/>
    <w:qFormat/>
    <w:uiPriority w:val="99"/>
    <w:rPr>
      <w:kern w:val="2"/>
      <w:sz w:val="24"/>
      <w:szCs w:val="22"/>
    </w:rPr>
  </w:style>
  <w:style w:type="character" w:customStyle="1" w:styleId="43">
    <w:name w:val="日期 字符"/>
    <w:link w:val="14"/>
    <w:semiHidden/>
    <w:qFormat/>
    <w:uiPriority w:val="99"/>
    <w:rPr>
      <w:kern w:val="2"/>
      <w:sz w:val="24"/>
      <w:szCs w:val="22"/>
    </w:rPr>
  </w:style>
  <w:style w:type="character" w:customStyle="1" w:styleId="44">
    <w:name w:val="批注框文本 字符"/>
    <w:link w:val="15"/>
    <w:semiHidden/>
    <w:qFormat/>
    <w:uiPriority w:val="99"/>
    <w:rPr>
      <w:kern w:val="2"/>
      <w:sz w:val="18"/>
      <w:szCs w:val="18"/>
    </w:rPr>
  </w:style>
  <w:style w:type="character" w:customStyle="1" w:styleId="45">
    <w:name w:val="页脚 字符"/>
    <w:link w:val="16"/>
    <w:qFormat/>
    <w:uiPriority w:val="99"/>
    <w:rPr>
      <w:kern w:val="2"/>
      <w:sz w:val="18"/>
      <w:szCs w:val="18"/>
    </w:rPr>
  </w:style>
  <w:style w:type="character" w:customStyle="1" w:styleId="46">
    <w:name w:val="页眉 字符"/>
    <w:link w:val="17"/>
    <w:semiHidden/>
    <w:qFormat/>
    <w:uiPriority w:val="99"/>
    <w:rPr>
      <w:kern w:val="2"/>
      <w:sz w:val="18"/>
      <w:szCs w:val="18"/>
    </w:rPr>
  </w:style>
  <w:style w:type="character" w:customStyle="1" w:styleId="47">
    <w:name w:val="批注主题 字符"/>
    <w:link w:val="21"/>
    <w:semiHidden/>
    <w:qFormat/>
    <w:uiPriority w:val="99"/>
    <w:rPr>
      <w:b/>
      <w:bCs/>
      <w:kern w:val="2"/>
      <w:sz w:val="24"/>
      <w:szCs w:val="22"/>
    </w:rPr>
  </w:style>
  <w:style w:type="character" w:customStyle="1" w:styleId="48">
    <w:name w:val="正文首行缩进 字符"/>
    <w:link w:val="22"/>
    <w:semiHidden/>
    <w:qFormat/>
    <w:uiPriority w:val="0"/>
    <w:rPr>
      <w:rFonts w:ascii="Times New Roman" w:hAnsi="Times New Roman"/>
      <w:kern w:val="2"/>
      <w:sz w:val="21"/>
      <w:szCs w:val="24"/>
    </w:rPr>
  </w:style>
  <w:style w:type="character" w:customStyle="1" w:styleId="49">
    <w:name w:val="标书正文 Char"/>
    <w:link w:val="50"/>
    <w:qFormat/>
    <w:uiPriority w:val="0"/>
    <w:rPr>
      <w:rFonts w:ascii="宋体" w:hAnsi="宋体"/>
      <w:kern w:val="2"/>
      <w:sz w:val="24"/>
      <w:szCs w:val="24"/>
    </w:rPr>
  </w:style>
  <w:style w:type="paragraph" w:customStyle="1" w:styleId="50">
    <w:name w:val="标书正文"/>
    <w:basedOn w:val="1"/>
    <w:link w:val="49"/>
    <w:qFormat/>
    <w:uiPriority w:val="0"/>
    <w:rPr>
      <w:rFonts w:ascii="宋体" w:hAnsi="宋体"/>
      <w:szCs w:val="24"/>
    </w:rPr>
  </w:style>
  <w:style w:type="character" w:customStyle="1" w:styleId="51">
    <w:name w:val="公文_正文 字符"/>
    <w:link w:val="52"/>
    <w:qFormat/>
    <w:uiPriority w:val="0"/>
    <w:rPr>
      <w:rFonts w:ascii="Times New Roman" w:hAnsi="Times New Roman" w:eastAsia="仿宋_GB2312"/>
      <w:sz w:val="32"/>
      <w:szCs w:val="30"/>
    </w:rPr>
  </w:style>
  <w:style w:type="paragraph" w:customStyle="1" w:styleId="52">
    <w:name w:val="公文_正文"/>
    <w:basedOn w:val="1"/>
    <w:link w:val="51"/>
    <w:qFormat/>
    <w:uiPriority w:val="0"/>
    <w:pPr>
      <w:widowControl/>
      <w:numPr>
        <w:ilvl w:val="0"/>
        <w:numId w:val="1"/>
      </w:numPr>
      <w:spacing w:line="240" w:lineRule="auto"/>
      <w:ind w:firstLine="0" w:firstLineChars="0"/>
    </w:pPr>
    <w:rPr>
      <w:rFonts w:eastAsia="仿宋_GB2312"/>
      <w:kern w:val="0"/>
      <w:sz w:val="32"/>
      <w:szCs w:val="30"/>
    </w:rPr>
  </w:style>
  <w:style w:type="paragraph" w:customStyle="1" w:styleId="53">
    <w:name w:val="xl73"/>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54">
    <w:name w:val="xl77"/>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55">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5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57">
    <w:name w:val="文章正文格式"/>
    <w:basedOn w:val="1"/>
    <w:qFormat/>
    <w:uiPriority w:val="0"/>
    <w:pPr>
      <w:snapToGrid w:val="0"/>
      <w:spacing w:line="540" w:lineRule="atLeast"/>
      <w:ind w:firstLine="578"/>
    </w:pPr>
    <w:rPr>
      <w:rFonts w:ascii="宋体"/>
      <w:spacing w:val="8"/>
      <w:sz w:val="28"/>
      <w:szCs w:val="28"/>
    </w:rPr>
  </w:style>
  <w:style w:type="paragraph" w:customStyle="1" w:styleId="58">
    <w:name w:val="font5"/>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59">
    <w:name w:val="xl92"/>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60">
    <w:name w:val="_Style 59"/>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1">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6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6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64">
    <w:name w:val="列出段落1"/>
    <w:basedOn w:val="1"/>
    <w:qFormat/>
    <w:uiPriority w:val="34"/>
    <w:pPr>
      <w:spacing w:line="240" w:lineRule="auto"/>
      <w:ind w:firstLine="420"/>
    </w:pPr>
    <w:rPr>
      <w:sz w:val="21"/>
      <w:szCs w:val="24"/>
    </w:rPr>
  </w:style>
  <w:style w:type="paragraph" w:customStyle="1" w:styleId="6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sz w:val="20"/>
      <w:szCs w:val="20"/>
    </w:rPr>
  </w:style>
  <w:style w:type="paragraph" w:customStyle="1" w:styleId="6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67">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6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69">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70">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7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7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7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74">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7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76">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7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sz w:val="20"/>
      <w:szCs w:val="20"/>
    </w:rPr>
  </w:style>
  <w:style w:type="paragraph" w:customStyle="1" w:styleId="7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7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80">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81">
    <w:name w:val="xl74"/>
    <w:basedOn w:val="1"/>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sz w:val="20"/>
      <w:szCs w:val="20"/>
    </w:rPr>
  </w:style>
  <w:style w:type="paragraph" w:customStyle="1" w:styleId="8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8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84">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85">
    <w:name w:val="font6"/>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86">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87">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8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89">
    <w:name w:val="正文＋小四＋缩进2字符"/>
    <w:basedOn w:val="1"/>
    <w:qFormat/>
    <w:uiPriority w:val="0"/>
    <w:rPr>
      <w:szCs w:val="24"/>
    </w:rPr>
  </w:style>
  <w:style w:type="paragraph" w:customStyle="1" w:styleId="9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styleId="91">
    <w:name w:val="List Paragraph"/>
    <w:basedOn w:val="1"/>
    <w:qFormat/>
    <w:uiPriority w:val="34"/>
    <w:pPr>
      <w:spacing w:line="240" w:lineRule="auto"/>
      <w:ind w:firstLine="420"/>
    </w:pPr>
    <w:rPr>
      <w:rFonts w:ascii="Calibri" w:hAnsi="Calibri"/>
      <w:sz w:val="21"/>
    </w:rPr>
  </w:style>
  <w:style w:type="paragraph" w:customStyle="1" w:styleId="92">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sz w:val="20"/>
      <w:szCs w:val="20"/>
    </w:rPr>
  </w:style>
  <w:style w:type="paragraph" w:customStyle="1" w:styleId="9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Cs w:val="24"/>
    </w:rPr>
  </w:style>
  <w:style w:type="paragraph" w:customStyle="1" w:styleId="94">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95">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9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97">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9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9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100">
    <w:name w:val="font7"/>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10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102">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10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宋体" w:hAnsi="宋体" w:cs="宋体"/>
      <w:kern w:val="0"/>
      <w:sz w:val="20"/>
      <w:szCs w:val="20"/>
    </w:rPr>
  </w:style>
  <w:style w:type="paragraph" w:customStyle="1" w:styleId="104">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105">
    <w:name w:val="GP正文(首行缩进)"/>
    <w:basedOn w:val="1"/>
    <w:qFormat/>
    <w:uiPriority w:val="0"/>
    <w:pPr>
      <w:ind w:firstLine="480"/>
    </w:pPr>
    <w:rPr>
      <w:szCs w:val="21"/>
    </w:rPr>
  </w:style>
  <w:style w:type="paragraph" w:customStyle="1" w:styleId="106">
    <w:name w:val="文档说明"/>
    <w:basedOn w:val="1"/>
    <w:link w:val="107"/>
    <w:qFormat/>
    <w:uiPriority w:val="0"/>
    <w:pPr>
      <w:jc w:val="left"/>
    </w:pPr>
    <w:rPr>
      <w:rFonts w:ascii="Cambria" w:hAnsi="Cambria"/>
      <w:szCs w:val="24"/>
    </w:rPr>
  </w:style>
  <w:style w:type="character" w:customStyle="1" w:styleId="107">
    <w:name w:val="文档说明 Char"/>
    <w:link w:val="106"/>
    <w:qFormat/>
    <w:uiPriority w:val="0"/>
    <w:rPr>
      <w:rFonts w:ascii="Cambria" w:hAnsi="Cambria"/>
      <w:kern w:val="2"/>
      <w:sz w:val="24"/>
      <w:szCs w:val="24"/>
    </w:rPr>
  </w:style>
  <w:style w:type="character" w:customStyle="1" w:styleId="108">
    <w:name w:val="b03a2lc"/>
    <w:qFormat/>
    <w:uiPriority w:val="0"/>
  </w:style>
  <w:style w:type="character" w:customStyle="1" w:styleId="109">
    <w:name w:val="nq65h2693i"/>
    <w:qFormat/>
    <w:uiPriority w:val="0"/>
  </w:style>
  <w:style w:type="character" w:customStyle="1" w:styleId="110">
    <w:name w:val="u74q35257c"/>
    <w:qFormat/>
    <w:uiPriority w:val="0"/>
  </w:style>
  <w:style w:type="paragraph" w:customStyle="1" w:styleId="111">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11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Cs w:val="24"/>
    </w:rPr>
  </w:style>
  <w:style w:type="paragraph" w:customStyle="1" w:styleId="113">
    <w:name w:val="xl67"/>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11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宋体" w:hAnsi="宋体" w:cs="宋体"/>
      <w:kern w:val="0"/>
      <w:sz w:val="18"/>
      <w:szCs w:val="18"/>
    </w:rPr>
  </w:style>
  <w:style w:type="paragraph" w:customStyle="1" w:styleId="11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sz w:val="18"/>
      <w:szCs w:val="18"/>
    </w:rPr>
  </w:style>
  <w:style w:type="character" w:customStyle="1" w:styleId="116">
    <w:name w:val="font51"/>
    <w:qFormat/>
    <w:uiPriority w:val="0"/>
    <w:rPr>
      <w:rFonts w:hint="eastAsia" w:ascii="等线" w:hAnsi="等线" w:eastAsia="等线" w:cs="等线"/>
      <w:color w:val="auto"/>
      <w:sz w:val="18"/>
      <w:szCs w:val="18"/>
      <w:u w:val="none"/>
    </w:rPr>
  </w:style>
  <w:style w:type="character" w:customStyle="1" w:styleId="117">
    <w:name w:val="font81"/>
    <w:qFormat/>
    <w:uiPriority w:val="0"/>
    <w:rPr>
      <w:rFonts w:hint="eastAsia" w:ascii="宋体" w:hAnsi="宋体" w:eastAsia="宋体" w:cs="宋体"/>
      <w:color w:val="auto"/>
      <w:sz w:val="20"/>
      <w:szCs w:val="20"/>
      <w:u w:val="none"/>
    </w:rPr>
  </w:style>
  <w:style w:type="character" w:customStyle="1" w:styleId="118">
    <w:name w:val="font61"/>
    <w:qFormat/>
    <w:uiPriority w:val="0"/>
    <w:rPr>
      <w:rFonts w:hint="eastAsia" w:ascii="等线" w:hAnsi="等线" w:eastAsia="等线" w:cs="等线"/>
      <w:color w:val="FF0000"/>
      <w:sz w:val="18"/>
      <w:szCs w:val="18"/>
      <w:u w:val="none"/>
    </w:rPr>
  </w:style>
  <w:style w:type="character" w:customStyle="1" w:styleId="119">
    <w:name w:val="font71"/>
    <w:qFormat/>
    <w:uiPriority w:val="0"/>
    <w:rPr>
      <w:rFonts w:hint="eastAsia" w:ascii="宋体" w:hAnsi="宋体" w:eastAsia="宋体" w:cs="宋体"/>
      <w:color w:val="auto"/>
      <w:sz w:val="18"/>
      <w:szCs w:val="18"/>
      <w:u w:val="none"/>
    </w:rPr>
  </w:style>
  <w:style w:type="paragraph" w:customStyle="1" w:styleId="120">
    <w:name w:val="表注"/>
    <w:basedOn w:val="1"/>
    <w:next w:val="1"/>
    <w:qFormat/>
    <w:uiPriority w:val="0"/>
    <w:pPr>
      <w:numPr>
        <w:ilvl w:val="0"/>
        <w:numId w:val="2"/>
      </w:numPr>
      <w:ind w:left="920" w:hanging="440" w:firstLineChars="0"/>
      <w:jc w:val="center"/>
    </w:pPr>
    <w:rPr>
      <w:rFonts w:eastAsia="仿宋"/>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emf"/><Relationship Id="rId12" Type="http://schemas.openxmlformats.org/officeDocument/2006/relationships/package" Target="embeddings/Microsoft_Visio___1.vsdx"/><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22</Pages>
  <Words>1739</Words>
  <Characters>9916</Characters>
  <Lines>82</Lines>
  <Paragraphs>23</Paragraphs>
  <TotalTime>9</TotalTime>
  <ScaleCrop>false</ScaleCrop>
  <LinksUpToDate>false</LinksUpToDate>
  <CharactersWithSpaces>11632</CharactersWithSpaces>
  <Application>WPS Office_12.8.2.1113_F1E327BC-269C-435d-A152-05C5408002CA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2026-03-01T06:40:00Z</dcterms:created>
  <dc:creator>shaofeng</dc:creator>
  <cp:lastModifiedBy>朱  晨</cp:lastModifiedBy>
  <cp:lastPrinted>2026-04-22T08:46:00Z</cp:lastPrinted>
  <dcterms:modified xsi:type="dcterms:W3CDTF">2026-07-06T08:55:13Z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84663841F6510BC44347336A2E84A7D8_43</vt:lpwstr>
  </property>
  <property fmtid="{D5CDD505-2E9C-101B-9397-08002B2CF9AE}" pid="4" name="KSOTemplateDocerSaveRecord">
    <vt:lpwstr>eyJoZGlkIjoiODQ4ZDNhNGU3MTRhNjM1OGQ3OTc1MjRiMjA3OTgxZTciLCJ1c2VySWQiOiIzOTA4MjYzMDQifQ==</vt:lpwstr>
  </property>
</Properties>
</file>