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1CDD2">
      <w:pPr>
        <w:spacing w:line="560" w:lineRule="exact"/>
        <w:ind w:firstLine="696"/>
        <w:jc w:val="center"/>
        <w:outlineLvl w:val="0"/>
        <w:rPr>
          <w:rFonts w:ascii="方正小标宋简体" w:hAnsi="方正小标宋简体" w:eastAsia="方正小标宋简体" w:cs="方正小标宋简体"/>
          <w:snapToGrid w:val="0"/>
          <w:spacing w:val="-6"/>
          <w:kern w:val="0"/>
          <w:sz w:val="36"/>
          <w:szCs w:val="36"/>
        </w:rPr>
      </w:pPr>
    </w:p>
    <w:p w14:paraId="5A533561">
      <w:pPr>
        <w:spacing w:line="560" w:lineRule="exact"/>
        <w:ind w:firstLine="696"/>
        <w:jc w:val="center"/>
        <w:outlineLvl w:val="0"/>
        <w:rPr>
          <w:sz w:val="44"/>
        </w:rPr>
      </w:pPr>
      <w:r>
        <w:rPr>
          <w:rFonts w:hint="eastAsia" w:ascii="方正小标宋简体" w:hAnsi="方正小标宋简体" w:eastAsia="方正小标宋简体" w:cs="方正小标宋简体"/>
          <w:snapToGrid w:val="0"/>
          <w:spacing w:val="-6"/>
          <w:kern w:val="0"/>
          <w:sz w:val="36"/>
          <w:szCs w:val="36"/>
        </w:rPr>
        <w:t>上海“数字法院”（二期）-数助办案子系统建设项目采购需求</w:t>
      </w:r>
    </w:p>
    <w:p w14:paraId="1D2DAB36">
      <w:pPr>
        <w:tabs>
          <w:tab w:val="left" w:pos="7513"/>
        </w:tabs>
        <w:jc w:val="left"/>
        <w:rPr>
          <w:rFonts w:ascii="黑体" w:hAnsi="黑体" w:eastAsia="黑体" w:cs="黑体"/>
          <w:b/>
          <w:bCs/>
          <w:szCs w:val="32"/>
        </w:rPr>
      </w:pPr>
    </w:p>
    <w:p w14:paraId="3AD6236D">
      <w:pPr>
        <w:tabs>
          <w:tab w:val="left" w:pos="7513"/>
        </w:tabs>
        <w:spacing w:line="560" w:lineRule="exact"/>
        <w:ind w:firstLine="0" w:firstLineChars="0"/>
        <w:jc w:val="left"/>
        <w:outlineLvl w:val="0"/>
        <w:rPr>
          <w:rFonts w:ascii="黑体" w:hAnsi="黑体" w:eastAsia="黑体" w:cs="黑体"/>
          <w:b/>
          <w:bCs/>
          <w:szCs w:val="32"/>
        </w:rPr>
      </w:pPr>
      <w:r>
        <w:rPr>
          <w:rFonts w:hint="eastAsia" w:ascii="黑体" w:hAnsi="黑体" w:eastAsia="黑体" w:cs="黑体"/>
          <w:b/>
          <w:bCs/>
          <w:szCs w:val="32"/>
        </w:rPr>
        <w:t>一、项目概述</w:t>
      </w:r>
    </w:p>
    <w:p w14:paraId="1260271A">
      <w:pPr>
        <w:tabs>
          <w:tab w:val="left" w:pos="7513"/>
        </w:tabs>
        <w:ind w:firstLine="640"/>
        <w:jc w:val="left"/>
        <w:rPr>
          <w:color w:val="000000"/>
        </w:rPr>
      </w:pPr>
      <w:r>
        <w:rPr>
          <w:rFonts w:hint="eastAsia"/>
          <w:color w:val="000000"/>
        </w:rPr>
        <w:t>习总书记多次就推动数字中国建设作出重要部署。党的二十大报告指出，要加快建设网络强国、数字中国。2023年2月，中共中央、国务院印发《数字中国建设整体布局规划》，对数字中国建设进行顶层设计和整体谋划。2025年2月，中共中央印发《关于加强新时代审判工作的意见》，明确提出要加强数字法院建设。</w:t>
      </w:r>
    </w:p>
    <w:p w14:paraId="62545B2F">
      <w:pPr>
        <w:tabs>
          <w:tab w:val="left" w:pos="7513"/>
        </w:tabs>
        <w:ind w:firstLine="640"/>
        <w:jc w:val="left"/>
        <w:rPr>
          <w:color w:val="000000"/>
        </w:rPr>
      </w:pPr>
      <w:r>
        <w:rPr>
          <w:rFonts w:hint="eastAsia"/>
          <w:color w:val="000000"/>
        </w:rPr>
        <w:t>数字法院建设是贯彻落实数字中国战略的重要举措，是司法领域实现全面数字赋能、全程预警监督、保障适法统一、提升司法质效的重塑性变革。上海高院深入贯彻落实党中央、上海市委市政府“数字化转型”决策部署和最高人民法院信息化建设五年发展规划，坚持围绕“数字改革赋能”的工作目标，将建设“数字法院”作为“数字改革赋能”的重要抓手。2023年以来，上海数字法院建设初期从审判监督角度切入，通过小场景建设系统化、机制化地提示预警案件瑕疵，提升评查监督效能。本项目拟利用人工智能、大数据、智能体等前沿技术，进一步结合审判业务实际需求，将应用场景延伸至辅助办案，通过开发与案件办理相关的各类数字化应用场景，为法官提供相关信息提示和智能辅助。</w:t>
      </w:r>
    </w:p>
    <w:p w14:paraId="3D488846">
      <w:pPr>
        <w:tabs>
          <w:tab w:val="left" w:pos="7513"/>
        </w:tabs>
        <w:spacing w:line="560" w:lineRule="exact"/>
        <w:ind w:firstLine="0" w:firstLineChars="0"/>
        <w:jc w:val="left"/>
        <w:outlineLvl w:val="0"/>
        <w:rPr>
          <w:rFonts w:ascii="黑体" w:hAnsi="黑体" w:eastAsia="黑体" w:cs="黑体"/>
          <w:b/>
          <w:bCs/>
          <w:szCs w:val="32"/>
        </w:rPr>
      </w:pPr>
      <w:r>
        <w:rPr>
          <w:rFonts w:hint="eastAsia" w:ascii="黑体" w:hAnsi="黑体" w:eastAsia="黑体" w:cs="黑体"/>
          <w:b/>
          <w:bCs/>
          <w:szCs w:val="32"/>
        </w:rPr>
        <w:t>二、服务地点</w:t>
      </w:r>
    </w:p>
    <w:p w14:paraId="76B15BD2">
      <w:pPr>
        <w:tabs>
          <w:tab w:val="left" w:pos="7513"/>
        </w:tabs>
        <w:ind w:firstLine="640"/>
        <w:jc w:val="left"/>
        <w:rPr>
          <w:rFonts w:ascii="仿宋_GB2312" w:eastAsia="仿宋_GB2312"/>
          <w:szCs w:val="32"/>
        </w:rPr>
      </w:pPr>
      <w:r>
        <w:rPr>
          <w:rFonts w:hint="eastAsia" w:ascii="仿宋_GB2312" w:eastAsia="仿宋_GB2312"/>
          <w:szCs w:val="32"/>
        </w:rPr>
        <w:t>本项目最终执行地包括如下地点：</w:t>
      </w:r>
    </w:p>
    <w:p w14:paraId="2E3AAA66">
      <w:pPr>
        <w:tabs>
          <w:tab w:val="left" w:pos="7513"/>
        </w:tabs>
        <w:ind w:firstLine="640"/>
        <w:jc w:val="left"/>
        <w:rPr>
          <w:rFonts w:ascii="仿宋_GB2312" w:eastAsia="仿宋_GB2312"/>
          <w:szCs w:val="32"/>
        </w:rPr>
      </w:pPr>
      <w:r>
        <w:rPr>
          <w:rFonts w:hint="eastAsia" w:ascii="仿宋_GB2312" w:eastAsia="仿宋_GB2312"/>
          <w:szCs w:val="32"/>
        </w:rPr>
        <w:t>上海市高级人民法院、上海各中级人民法院、基层人民法院。</w:t>
      </w:r>
    </w:p>
    <w:p w14:paraId="50BB399D">
      <w:pPr>
        <w:tabs>
          <w:tab w:val="left" w:pos="7513"/>
        </w:tabs>
        <w:spacing w:line="560" w:lineRule="exact"/>
        <w:ind w:firstLine="0" w:firstLineChars="0"/>
        <w:jc w:val="left"/>
        <w:outlineLvl w:val="0"/>
        <w:rPr>
          <w:rFonts w:ascii="黑体" w:hAnsi="黑体" w:eastAsia="黑体" w:cs="黑体"/>
          <w:b/>
          <w:bCs/>
          <w:szCs w:val="32"/>
        </w:rPr>
      </w:pPr>
      <w:r>
        <w:rPr>
          <w:rFonts w:hint="eastAsia" w:ascii="黑体" w:hAnsi="黑体" w:eastAsia="黑体" w:cs="黑体"/>
          <w:b/>
          <w:bCs/>
          <w:szCs w:val="32"/>
        </w:rPr>
        <w:t>三、服务周期</w:t>
      </w:r>
    </w:p>
    <w:p w14:paraId="0E40F02D">
      <w:pPr>
        <w:tabs>
          <w:tab w:val="left" w:pos="7513"/>
        </w:tabs>
        <w:ind w:firstLine="640"/>
        <w:jc w:val="left"/>
        <w:rPr>
          <w:rFonts w:hint="eastAsia" w:ascii="仿宋_GB2312" w:eastAsia="仿宋_GB2312"/>
          <w:szCs w:val="32"/>
          <w:lang w:eastAsia="zh-CN"/>
        </w:rPr>
      </w:pPr>
      <w:r>
        <w:rPr>
          <w:rFonts w:hint="eastAsia" w:ascii="仿宋_GB2312" w:eastAsia="仿宋_GB2312"/>
          <w:szCs w:val="32"/>
        </w:rPr>
        <w:t>本项目建设周期为：</w:t>
      </w:r>
      <w:r>
        <w:rPr>
          <w:rFonts w:hint="eastAsia" w:ascii="仿宋_GB2312" w:eastAsia="仿宋_GB2312"/>
          <w:szCs w:val="32"/>
          <w:lang w:eastAsia="zh-CN"/>
        </w:rPr>
        <w:t>自合同签订生效之日起</w:t>
      </w:r>
      <w:r>
        <w:rPr>
          <w:rFonts w:hint="eastAsia" w:ascii="仿宋_GB2312" w:eastAsia="仿宋_GB2312"/>
          <w:szCs w:val="32"/>
        </w:rPr>
        <w:t>12个月</w:t>
      </w:r>
      <w:r>
        <w:rPr>
          <w:rFonts w:hint="eastAsia" w:ascii="仿宋_GB2312" w:eastAsia="仿宋_GB2312"/>
          <w:szCs w:val="32"/>
          <w:lang w:eastAsia="zh-CN"/>
        </w:rPr>
        <w:t>内（含</w:t>
      </w:r>
      <w:r>
        <w:rPr>
          <w:rFonts w:hint="eastAsia" w:ascii="仿宋_GB2312" w:eastAsia="仿宋_GB2312"/>
          <w:szCs w:val="32"/>
          <w:lang w:val="en-US" w:eastAsia="zh-CN"/>
        </w:rPr>
        <w:t>1个月试运行期</w:t>
      </w:r>
      <w:r>
        <w:rPr>
          <w:rFonts w:hint="eastAsia" w:ascii="仿宋_GB2312" w:eastAsia="仿宋_GB2312"/>
          <w:szCs w:val="32"/>
          <w:lang w:eastAsia="zh-CN"/>
        </w:rPr>
        <w:t>）。</w:t>
      </w:r>
    </w:p>
    <w:p w14:paraId="3FC6FE7E">
      <w:pPr>
        <w:tabs>
          <w:tab w:val="left" w:pos="7513"/>
        </w:tabs>
        <w:spacing w:line="560" w:lineRule="exact"/>
        <w:ind w:firstLine="0" w:firstLineChars="0"/>
        <w:jc w:val="left"/>
        <w:outlineLvl w:val="0"/>
        <w:rPr>
          <w:rFonts w:ascii="黑体" w:hAnsi="黑体" w:eastAsia="黑体" w:cs="黑体"/>
          <w:b/>
          <w:bCs/>
          <w:szCs w:val="32"/>
        </w:rPr>
      </w:pPr>
      <w:r>
        <w:rPr>
          <w:rFonts w:hint="eastAsia" w:ascii="黑体" w:hAnsi="黑体" w:eastAsia="黑体" w:cs="黑体"/>
          <w:b/>
          <w:bCs/>
          <w:szCs w:val="32"/>
        </w:rPr>
        <w:t>四、建设内容</w:t>
      </w:r>
    </w:p>
    <w:p w14:paraId="2F1CD98E">
      <w:pPr>
        <w:tabs>
          <w:tab w:val="left" w:pos="7513"/>
        </w:tabs>
        <w:ind w:firstLine="640"/>
        <w:jc w:val="left"/>
        <w:rPr>
          <w:rFonts w:ascii="仿宋_GB2312" w:eastAsia="仿宋_GB2312"/>
          <w:szCs w:val="32"/>
        </w:rPr>
      </w:pPr>
      <w:r>
        <w:rPr>
          <w:rFonts w:ascii="仿宋_GB2312" w:eastAsia="仿宋_GB2312"/>
          <w:szCs w:val="32"/>
        </w:rPr>
        <w:t>本项目建设内容涉及软件开发、硬件产品购置、</w:t>
      </w:r>
      <w:r>
        <w:rPr>
          <w:rFonts w:hint="eastAsia" w:ascii="仿宋_GB2312" w:eastAsia="仿宋_GB2312"/>
          <w:szCs w:val="32"/>
        </w:rPr>
        <w:t>服务费用</w:t>
      </w:r>
      <w:r>
        <w:rPr>
          <w:rFonts w:ascii="仿宋_GB2312" w:eastAsia="仿宋_GB2312"/>
          <w:szCs w:val="32"/>
        </w:rPr>
        <w:t>，各模块建设内容如下</w:t>
      </w:r>
      <w:r>
        <w:rPr>
          <w:rFonts w:hint="eastAsia" w:ascii="仿宋_GB2312" w:eastAsia="仿宋_GB2312"/>
          <w:szCs w:val="32"/>
        </w:rPr>
        <w:t>。</w:t>
      </w:r>
    </w:p>
    <w:p w14:paraId="39ADBF4D">
      <w:pPr>
        <w:ind w:firstLine="0" w:firstLineChars="0"/>
        <w:outlineLvl w:val="1"/>
        <w:rPr>
          <w:rFonts w:ascii="楷体" w:hAnsi="楷体" w:eastAsia="楷体" w:cs="楷体"/>
          <w:b/>
          <w:bCs/>
          <w:szCs w:val="32"/>
        </w:rPr>
      </w:pPr>
      <w:r>
        <w:rPr>
          <w:rFonts w:hint="eastAsia" w:ascii="楷体" w:hAnsi="楷体" w:eastAsia="楷体" w:cs="楷体"/>
          <w:b/>
          <w:bCs/>
          <w:szCs w:val="32"/>
        </w:rPr>
        <w:t>（一）软件开发建设</w:t>
      </w:r>
    </w:p>
    <w:p w14:paraId="1E4164DB">
      <w:pPr>
        <w:ind w:firstLine="0" w:firstLineChars="0"/>
        <w:outlineLvl w:val="2"/>
        <w:rPr>
          <w:rFonts w:ascii="楷体" w:hAnsi="楷体" w:eastAsia="楷体" w:cs="楷体"/>
          <w:b/>
          <w:bCs/>
          <w:szCs w:val="32"/>
        </w:rPr>
      </w:pPr>
      <w:r>
        <w:rPr>
          <w:rFonts w:hint="eastAsia" w:ascii="楷体" w:hAnsi="楷体" w:eastAsia="楷体" w:cs="楷体"/>
          <w:b/>
          <w:bCs/>
          <w:szCs w:val="32"/>
        </w:rPr>
        <w:t>1.办案智能辅助应用场景</w:t>
      </w:r>
    </w:p>
    <w:tbl>
      <w:tblPr>
        <w:tblStyle w:val="7"/>
        <w:tblW w:w="4999" w:type="pct"/>
        <w:tblInd w:w="0" w:type="dxa"/>
        <w:tblLayout w:type="autofit"/>
        <w:tblCellMar>
          <w:top w:w="0" w:type="dxa"/>
          <w:left w:w="108" w:type="dxa"/>
          <w:bottom w:w="0" w:type="dxa"/>
          <w:right w:w="108" w:type="dxa"/>
        </w:tblCellMar>
      </w:tblPr>
      <w:tblGrid>
        <w:gridCol w:w="719"/>
        <w:gridCol w:w="2260"/>
        <w:gridCol w:w="5541"/>
      </w:tblGrid>
      <w:tr w14:paraId="27104EF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33A83">
            <w:pPr>
              <w:widowControl/>
              <w:ind w:firstLine="0" w:firstLineChars="0"/>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序号</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66CA36C">
            <w:pPr>
              <w:widowControl/>
              <w:ind w:firstLine="0" w:firstLineChars="0"/>
              <w:jc w:val="left"/>
              <w:textAlignment w:val="top"/>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功能名称</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70B8147">
            <w:pPr>
              <w:widowControl/>
              <w:ind w:firstLine="0" w:firstLineChars="0"/>
              <w:jc w:val="left"/>
              <w:textAlignment w:val="top"/>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功能描述</w:t>
            </w:r>
          </w:p>
        </w:tc>
      </w:tr>
      <w:tr w14:paraId="62602E8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2581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A6C58D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类案要素-可视化界面-类案要素可视化</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4851D5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对不同的类案，在审理要素自动获取的基础上，为法官提供“自动收起”和“自动展开”功能，法官可以对类案审理要素进行手段编辑功能，并提供保存功能。支持根据不同类案查看“要素抽取规则”为法官提供该类案件要素抽取规则，包括各类要素名称以及该类要素抽取的规则设置。</w:t>
            </w:r>
          </w:p>
        </w:tc>
      </w:tr>
      <w:tr w14:paraId="36C75A47">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54C0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575E6A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类案要素-可视化界面-涉案当事人信息</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784976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与审判业务系统对接，利用大模型能力自动获取涉案当事人基本信息，并支持根据不同的罪名，呈现被告人身份信息或罪犯身份信息，信息内容包括：姓名、性别、民族、出生日期、身份证号、住所地、联系电话、总涉案件。与最高法当事人画像对接，展示当事人全国涉案数据包括：涉案分析、关系分析、地址信息、行为分析、信用分析、信访分析。</w:t>
            </w:r>
          </w:p>
        </w:tc>
      </w:tr>
      <w:tr w14:paraId="3574A35F">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EB8C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FC0650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类案要素-证据要素-关键证据识别和反向定位</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E720FC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各类要素式审判辅助场景，提供关键证据识别和反向定位，根据分类的证据，从对应的卷宗文件中抓取关联材料，并显示证据的数量，无证据的不显示数据，法官可以点击数据，展开各项证据列表，选中列表中证据，快速在卷宗中的位置。</w:t>
            </w:r>
          </w:p>
        </w:tc>
      </w:tr>
      <w:tr w14:paraId="74245C6A">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B75D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3F3430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要件指引-审查结论-智能归纳模式</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39B08D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开发要件指引应用场景界面，依托大模型能力，根据法官审理案件提供类案要件指引，支持通过对案情进行分析，分类罗列出在审案件审查要点（红色、绿色），自动提取、比对审查信息点，对存疑要件进行提示。比如：商标侵权类案的抗辩，因为涉及到进货单、发票、合同等数字较多的复杂文件审查，法官收到翻阅费精力且需反复勘误，通过大模型审查提示，结合证据关联性，提示法官复核哪些要点。</w:t>
            </w:r>
          </w:p>
        </w:tc>
      </w:tr>
      <w:tr w14:paraId="6876B56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2793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2EC772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要件指引-审查结论-动态要件指引图谱</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582CF3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依托大模型构建动态知识图谱，根据案由自动生成可视化审查指引（思维导图/逻辑链等多模态呈现），智能标注"已审查"（分色显示通过/关注/不涉及）与"未审查"维度（红色预警），实时追踪审查进度并提示遗漏风险，支持点击节点查看审查标准、批注标记，为法官提供结构化、交互式的全流程审查辅助，提升审查覆盖率和裁判质量。</w:t>
            </w:r>
          </w:p>
        </w:tc>
      </w:tr>
      <w:tr w14:paraId="65DF09B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FA10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26F55A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要件指引-审查结论-推理过程追溯</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27731F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可视化大模型"事实-证据-结论"的完整推理链条，针对不同的案由审查点，支持法官逐层审查AI推导逻辑，关键证据自动高亮并支持一键反向定位至电子卷宗，提供矛盾证据对比、推理路径模拟及说理片段生成等功能，实现从审查结论到原始材料的双向穿透式验证，确保AI辅助裁判过程透明可信，辅助裁判说理，发现潜在逻辑漏洞。</w:t>
            </w:r>
          </w:p>
        </w:tc>
      </w:tr>
      <w:tr w14:paraId="5A94CFCF">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24F6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DE0E1B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要件指引-关联法条-法条关联</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D1BFD7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根据不同类案的审查结论，匹配关联该类案涉及审查结论的法律法规、司法解释及典型案例裁判要点，通过层级结构清晰展示法条体系，智能标注关键条款与适用性说明，实现"审查结论-法律依据-裁判实践"的智能关联，提升法律适用的准确性和效率。</w:t>
            </w:r>
          </w:p>
        </w:tc>
      </w:tr>
      <w:tr w14:paraId="131242CA">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B267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A6264F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要件指引-典型案例-典型案例关联</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C70BB5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基于审查结论和法条适用场景，匹配最高人民法院指导性案例及高相似度判例，智能提取裁判要旨，通过三维关联图谱直观呈现"本案-法条-类案"的逻辑关系，为法官提供权威、精准的案例参考，助力统一裁判尺度。</w:t>
            </w:r>
          </w:p>
        </w:tc>
      </w:tr>
      <w:tr w14:paraId="218FB48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890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B81BBD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要件指引-关联指引-关联规范指引</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37CAF0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案件案由和审查结论，自动匹配并推送相关类案裁判规范、要件指引及法律依据，通过智能分析精准关联核心法条、司法解释及裁判规则出处，并以结构化方式呈现审查要点与法律要件的对应关系，为法官提供权威、精准的办案规范参考，确保裁判标准统一、法律适用准确。</w:t>
            </w:r>
          </w:p>
        </w:tc>
      </w:tr>
      <w:tr w14:paraId="579DBCD7">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096C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8B8E47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要件指引-关联指引-原文模式</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95865D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不同类案审查结论自动关联的规范指引，需支持原文模式，法官通过点击关联指引的“查看原文”按钮，展示办案要件指南原书，并定位到该审查点的对应部分，加黄色底色提出显示，支持选择“全屏展示”，将原文页面扩展。</w:t>
            </w:r>
          </w:p>
        </w:tc>
      </w:tr>
      <w:tr w14:paraId="5EBAF632">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0346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980403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要件指引-注意事项-自动关联注意事项</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980BF3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根据不同案由的审查结论，自动生成针对性注意事项指引，包括关键审查要点、常见风险预警和最新司法解释提示，并通过智能分析推送同类案件高频瑕疵点和裁判尺度差异，为法官提供动态化、精准化的办案风险防控支持，确保审查规范性和裁判统一性。</w:t>
            </w:r>
          </w:p>
        </w:tc>
      </w:tr>
      <w:tr w14:paraId="6376F05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676B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406539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要件指引-推荐内容意见反馈-点踩反馈设置</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4D6F14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接入数助办案管理中枢，为法官提供便捷的"点踩"反馈渠道，支持选择问题类型（如：审查结果推送不准确、推理过程中较模糊 不能很好溯源、关联法条/类案推送不准确、其他）、文字描述及图片，实现场景化的模型优化建议收集，并通过自动关联案件数据与人工复核机制形成闭环优化体系，持续提升要件指引的准确性与实用性。</w:t>
            </w:r>
          </w:p>
        </w:tc>
      </w:tr>
      <w:tr w14:paraId="6AE48470">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BC0E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9EAD9C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要件指引-推荐内容意见反馈-一键截图</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219202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针对要件指引，开发在线截图功能，支持全屏/区域截图，附加文字说明，支持PNG/JPG格式，实现法官对要件指引、审查结论或系统推荐内容进行可视化反馈，为优化模型训练和系统迭代，提供建议收集。</w:t>
            </w:r>
          </w:p>
        </w:tc>
      </w:tr>
      <w:tr w14:paraId="6F40000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A9DD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D9659A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要件指引-推荐内容意见反馈-标注工具</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73BAC4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针对对截图一键反馈，提供内置标注工具（如：箭头、框选、马赛克、铅笔、圆圈、文字标注等）以高亮问题区域，确保模糊截图中的当事人敏感信息（姓名、身份证号等）。</w:t>
            </w:r>
          </w:p>
        </w:tc>
      </w:tr>
      <w:tr w14:paraId="3A406D9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1A0C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0F97B8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案件摘要-涉案主体模块-涉案主体</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B2CF6D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民商事一审案件涉案当事人-原告信息摘要，需包括：涉案当事人名称（原告）、法定代表人信息、法人电话、统一信用代码信息、原告地址以及原告委托诉讼代理人。提供民商事一审涉案当事人-被告信息摘要，需包括：涉案当事人名称（被告）、法定代表人信息、法人证件号码、法人电话、统一信用代码信息、被告地址以及原告委托诉讼代理人。提供民商事二审案件涉案当事人-上诉人信息摘要，需包括：涉案当事人名称（上诉人）、法定代表人信息、法人电话、统一信用代码信息、地址以及委托诉讼代理人。提供民商事二审案件涉案当事人-被上诉人信息摘要，多被上诉人依次展示，需包括：涉案当事人名称（被上诉人）、法定代表人信息、法人电话、统一信用代码信息、地址以及委托诉讼代理人。</w:t>
            </w:r>
          </w:p>
        </w:tc>
      </w:tr>
      <w:tr w14:paraId="0652D73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A4C5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98090E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案件摘要-原告诉请模块-摘要模式选择</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4CF69F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原告诉请大模型智能归纳模式，支持通过大模型自动解析电子卷宗，为法官精准提取原告全部诉讼请求（包括变更/新增请求），智能关联对应的事实陈述、理由依据及证据材料位置，为法官提供结构化原告诉讼主张；支持原告请求内容与卷宗原文的双向定位跳转（点击请求自动定位至左侧卷宗关联段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提供原告诉请原文提取模式，实现原告诉请的多阶段动态追踪，支持通过大模型从电子卷宗中精准提取并分类标注原告的庭前诉请（起诉状）、庭审诉请（笔录）、变更诉请（补充材料），自动构建原告诉请演变路线；并基于模型规则实现原告各版本诉请与对应事实理由的智能关联匹配，并同步更新证据关联关系，确保法官可一键对比不同阶段诉请的延续性与合规性。</w:t>
            </w:r>
          </w:p>
        </w:tc>
      </w:tr>
      <w:tr w14:paraId="1DB2215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563C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52ED59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案件摘要-原告诉请模块-证据来源关联</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29AB3E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原告诉请自动关联当前证据来源，该功能需在智能归纳模式和原文提取模式通用，法官通过点击“证据来源”，弹出证据关联弹框，支持对已经显示的证据来源在列表中自动勾选。如原告诉请当前显示的证据来源为“起诉状”、“庭审笔录”，则打开“关联证据”界面，自动勾选“起诉状”和“庭审笔录”两份材料。提供关联证据来源目录与电子卷宗材料联动，证据目录中文件夹前方不展示复选框，只对节点中的材料前方展示复选框，法官点击确定后，选中的材料作为“来源证据”显示，下次打开案件摘要后，仍然为最后一次结果。</w:t>
            </w:r>
          </w:p>
        </w:tc>
      </w:tr>
      <w:tr w14:paraId="4F69BA7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FB40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B34AF2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案件摘要-原告诉请模块-卷宗素材拖拽生成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0AAF82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选中左侧卷宗内容段后进行快速拖拽内容到庭前诉请、庭审诉请、变更诉请、诉请归纳、事实与理由。同时自动添加关联证据材料，点击证据材料支持反定位并高亮拖拽内容。支持手动调整诉请抽取材料后进行大模型的重新抽取，抽取内容提示后支持手动确认后替换。支持对确认的内容进行锁定，锁定后的内容后台停止抽取任务，确认后的内容将用于摘要一键辅助生成。</w:t>
            </w:r>
          </w:p>
        </w:tc>
      </w:tr>
      <w:tr w14:paraId="0009190A">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D7C2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90C909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案件摘要-被告答辩模块-新增答辩内容</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4E48BD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结构化答辩模板管理中心，支持法官在庭前准备和庭审过程中高效处理被告答辩内容，配置侵害商标权纠纷类案和侵害外观设计专利权纠纷类案答辩模板并支持自定义保存。支持新增或编辑答辩内容，支持法官一键引用答辩模版的内容进行修改完善。支持手动调整被告答辩抽取材料后进行大模型的重新抽取，抽取内容提示后支持手动确认后替换。支持对确认的内容进行锁定，锁定后的内容后台停止抽取任务，确认后的内容将用于摘要一键生成</w:t>
            </w:r>
          </w:p>
        </w:tc>
      </w:tr>
      <w:tr w14:paraId="057A0F42">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6B02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3A6828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案件摘要-被告答辩模块-证据材料反定位</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609EAE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支持选中左侧卷宗内容段后进行快速拖拽内容到被告答辩内容段或者新增被告答辩内容。同时自动添加关联证据材料，点击证据材料支持反定位并高亮拖拽内容。</w:t>
            </w:r>
          </w:p>
        </w:tc>
      </w:tr>
      <w:tr w14:paraId="7C31AAF2">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F6CD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40758A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案件摘要-举证质证模块-意见筛选</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9B581D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原被告双方举证质证摘要实时更新功能，依托案件摘要大模型能力，支持实时更新、自动提取并结构化呈现原被告双方的举证主张与质证意见，通过举证质证智能归纳，为法官构建"主张-反驳"的对抗性观点映射关系，辅助法官快速了解双方争议事实。为法官提供举证质证意见筛选功能，支持从举证人维度（全部、原告、被告）、是否采信维度（采纳、不采纳）两个维度筛选。</w:t>
            </w:r>
          </w:p>
        </w:tc>
      </w:tr>
      <w:tr w14:paraId="2D75191A">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2FED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86910D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案件摘要-举证质证模块-证据关联</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F9FDDB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举证质证证据材料自动关联，支持通过大模型对原被告提出的证据材料进行智能归纳，并自动关联证据材料来源，同时为法官提供内容来源的反向定位，法官可以快速在证据材料中查阅证据内容。</w:t>
            </w:r>
          </w:p>
        </w:tc>
      </w:tr>
      <w:tr w14:paraId="29A09160">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C704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D88DCA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案件摘要-争议焦点归纳模块-争议焦点清单</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C6F23A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一审二审争议焦点智能摘要，基于法律大模型对案件材料（如：起诉状、答辩意见、上诉状、答辩状、原审判决书等）进行深度解析，自动提取并结构化争议焦点。如：针对侵害商标权纠纷一审案件，对侵权主体认定（被告是否与侵权商品直接关联）、商标近似性判断（视觉/含义相似度分析）、输出标准化争议焦点摘要，支持按要素重要性排序，并自动标注各方主张冲突点。如：针对外观专利纠纷二审案件，对侵权范围（被诉侵权产品是否落入涉案专利权的保护范围）、赔偿金额（一审判决确定的赔偿数额是否合理）、输出标准化争议焦点摘要，支持按要素重要性排序，并自动标注各方主张冲突点。</w:t>
            </w:r>
          </w:p>
        </w:tc>
      </w:tr>
      <w:tr w14:paraId="05F7616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B14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00FFDF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案件摘要-争议焦点归纳模块-推理过程可视化</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0A2614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可解释AI技术，结构化展示案件争议焦点模型的完整推理过程，支持从电子卷宗中如起诉状、答辩状、庭审笔录等核心诉求提取原被告诉请进行解析，到矛盾检测矩阵、焦点生成路径等推理过程的可视化演绎，最终为法官输出基于大模型智能归纳的争议焦点。通过动态追踪案件审理进程，实现争议焦点的智能演进与实时更新，如在庭审阶段（如：庭前会议、举证质证、法庭辩论等），系统自动捕捉新提交证据、当事人陈述变化，通过增量学习机制持续优化焦点模型。支持实时更新争议焦点，可视化展示焦点变化路径（如："新增举证责任争议""消除事实认定分歧"），并提示需特别注意的最新争议维度。</w:t>
            </w:r>
          </w:p>
        </w:tc>
      </w:tr>
      <w:tr w14:paraId="4FFA5EE2">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E9DA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C1119C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案件摘要-争议焦点归纳模块-双方当事人焦点证据关联</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F1B03A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辅助生成有争议要素对比清单，通过智能对比分析，自动生成结构化争议要素清单，实现诉讼双方核心主张、证据材料及法律依据的多维度对抗式呈现，针对有争议要素为法官提供争议焦点审查路径说明，需包括审查要素、审查范围、可供归入或参酌的法律法规、审查要点。</w:t>
            </w:r>
          </w:p>
        </w:tc>
      </w:tr>
      <w:tr w14:paraId="4BF20D5F">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D223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7C01B8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案件摘要-争议焦点归纳模块-法律依据</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52CF11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自动关联法律依据，利用法律检索大模型，并基于类案知识图谱实现多维度法律关联，支持从核心法条（针对不同的类案，优先从专业法条检索，针对侵害商标权纠纷案件，优先从《商标法》进行法律依据关联；其次，司法解释，结合最高《商标民事纠纷解释》进行法律依据关联；再者，地域规则，如：上海高院《知识产权侵权损害赔偿指引》等维度进行法律依据推送。支持推荐法条的编辑和调整，法官可输入需要检索的内容，通过大模型语义理解检索关联的法条，点击确认后可保存争议对应的法条。</w:t>
            </w:r>
          </w:p>
        </w:tc>
      </w:tr>
      <w:tr w14:paraId="0CCADDAE">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A608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84EF7E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案件摘要-争议焦点归纳模块-争议焦点模板调用</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EA57BC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争议焦点模板管理，内置可编辑的焦点知识库，支持模板调用，快速生成“原/被告是否适格主体”“被诉行为是否非商标性使用”“涉案纠纷是否属于两个注册商标之间的争议”等专业场景焦点框架。</w:t>
            </w:r>
          </w:p>
        </w:tc>
      </w:tr>
      <w:tr w14:paraId="12197D3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BB22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AA37F7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案件摘要-争议焦点归纳模块-新增争议焦点</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3C005D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一审案件提供新增争议焦点，支持法官手动完善争议焦点内容，包括：标题、原告、主张内容，证据来源。被告、主张内容，证据来源，法律依据，认定结论。支持法官手动编辑争议焦点，如诉请答辩内容有调整，争议焦点内容不自动更新，用户可手动点击重新生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针对二审案件提供新增争议焦点，支持法官手动完善争议焦点内容，包括：标题、上诉人、主张内容，证据来源。被上诉人、主张内容，原审法院、原审法院主张、证据来源，法律依据，认定结论。支持法官手动编辑争议焦点，如诉请答辩内容有调整，争议焦点内容不自动更新，用户可手动点击重新生成。</w:t>
            </w:r>
          </w:p>
        </w:tc>
      </w:tr>
      <w:tr w14:paraId="4D60B432">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F23B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490BB8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案件摘要-争议焦点归纳模块-卷宗内容拖拽</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900082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选中左侧卷宗内容段后进行快速拖拽内容到一审案件的原告主张、被告主张，二审案件的上诉人主张、被上诉人主张。同时自动添加关联证据材料，点击证据材料支持反定位并高亮拖拽内容。支持对确认的内容进行锁定，锁定后的内容后台停止抽取任务，确认后的内容将用于摘要一键生成</w:t>
            </w:r>
          </w:p>
        </w:tc>
      </w:tr>
      <w:tr w14:paraId="1A12C19F">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9785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620515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案件摘要-事实查明模块-事实查明智能归纳</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66FB42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利用大模型能力构建全流程事实认定辅助，支持从电子卷宗中自动提取起诉状、答辩状、证据材料中的事实主张，支持智能识别关键事实要素（如：涉案时间、地点、行为、结果等），实时动态更新事实查明归纳，支持法官进一步优化完善事实查明内容。</w:t>
            </w:r>
          </w:p>
        </w:tc>
      </w:tr>
      <w:tr w14:paraId="7979FA2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F957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130B28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案件摘要-事实查明模块-新增审查点/审查点维护</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267704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添加多个审查点，法官通过点“新增审查点”，选择对应的审查点，并支持输入认定结论、认定依据、选择关联证据，以及对证据进行采信认定。完成添加后按照顺序自动排序展示，每个审查点下的多个事实内容也按添加顺序自动排序。提供审查点维护，支持在每个审查点下方，新增添加功能，通过拖拉拽添加的证据，以及手动添加的证据。支持对确认的内容进行锁定，锁定后的内容后台停止抽取任务，法官确认后的内容将用于摘要一键辅助生成。</w:t>
            </w:r>
          </w:p>
        </w:tc>
      </w:tr>
      <w:tr w14:paraId="55D5A45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AD8A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D374D4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案件摘要-上诉请求模块-摘要模式选择</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04AB80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上诉诉请大模型智能归纳模式，支持通过大模型自动解析电子卷宗，为法官精准提取上诉人全部诉讼请求（包括变更/新增请求），智能关联对应的事实陈述、理由依据及证据材料位置，为法官提供结构化原告诉讼主张；支持上诉人请求内容与卷宗原文的双向定位跳转（点击请求自动定位至左侧卷宗关联段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提供上诉人诉请原文提取模式，实现上诉人诉请的多阶段动态追踪，支持通过大模型从电子卷宗中精准提取并分类标注上诉人的庭前诉请（起诉状）、庭审诉请（笔录）、变更诉请（补充材料），自动构建上诉人诉请演变路线；并基于模型规则实现原告各版本诉请与对应事实理由的智能关联匹配，并同步更新证据关联关系，确保法官可一键对比不同阶段诉请的延续性与合规性。</w:t>
            </w:r>
          </w:p>
        </w:tc>
      </w:tr>
      <w:tr w14:paraId="48570D5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0655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6D664C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案件摘要-上诉请求模块-证据来源关联</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AB23CA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上诉人诉请自动关联当前证据来源，该功能需在智能归纳模式和原文提取模式通用，法官通过点击“证据来源”，弹出证据关联弹框，支持对已经显示的证据来源在列表中自动勾选。如上诉人诉请当前显示的证据来源为“起诉状”、“庭审笔录”，则打开“关联证据”界面，自动勾选“起诉状”和“庭审笔录”两份材料。提供关联证据来源目录与电子卷宗材料联动，证据目录中文件夹前方不展示复选框，只对节点中的材料前方展示复选框，法官点击确定后，选中的材料作为“来源证据”显示，下次打开案件摘要后，仍然为最后一次结果。</w:t>
            </w:r>
          </w:p>
        </w:tc>
      </w:tr>
      <w:tr w14:paraId="6FE5E5EE">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6949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A06171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案件摘要-上诉请求模块-证据来源批注补齐编辑</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78541F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关联证据来源批注，支持证据列表的关键词检索，法官在点击该来源证据材料时，左侧阅卷的卷宗目录列表切换到该份证据材料，并展示这份证据下的所有批注。左侧阅卷头部的批注切换查看按钮对该列表生效，如选择显示批注，则可以看到批注内容。反之则无法查看批注内容。提供上诉人诉求编辑功能，除了通过大模型自动归纳、提取上诉人诉请信息，需支持法官对诉请结果进行审核补全编辑。</w:t>
            </w:r>
          </w:p>
        </w:tc>
      </w:tr>
      <w:tr w14:paraId="3FBA613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2BA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B3FD10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案件摘要-被上诉抗辩模块-关联证据列表</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3AA833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实时被上诉人答辩智能归纳，支持通过大模型从电子卷宗中动态归纳被告答辩，自动归纳被上诉人答辩状、庭审笔录中的关键事实主张，智能关联卷宗内对应证据材料并提供关联证据列表，支持法官从证据列表中（原告材料、被告材料、法院材料、正卷待分配文件夹等）新增证据来源。</w:t>
            </w:r>
          </w:p>
        </w:tc>
      </w:tr>
      <w:tr w14:paraId="68513327">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EF9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91C54B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案件摘要-被上诉抗辩模块-新增答辩内容</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68EC2D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结构化答辩模板管理中心，支持法官在庭前准备和庭审过程中高效处理被上诉人答辩内容，配置侵害商标权纠纷类案和侵害外观设计专利权纠纷类案答辩模板并支持自定义保存。支持新增或编辑答辩内容，支持法官一键引用答辩模版的内容进行修改完善。支持手动调整被告答辩抽取材料后进行大模型的重新抽取，抽取内容提示后支持手动确认后替换。支持对确认的内容进行锁定，锁定后的内容后台停止抽取任务，确认后的内容将用于摘要一键生成</w:t>
            </w:r>
          </w:p>
        </w:tc>
      </w:tr>
      <w:tr w14:paraId="5890F131">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104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6B8965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案件摘要-二审案件原审信息-二审关联原审信息</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5CDC27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案件摘要整体功能模块，针对二审案件支持依据一审判决书智能归纳原审信息内容，支持对于原审信息（如：原审诉请、原审认定事实、原审法院认为、原审法院判决）进行编辑修改。对于智能归纳证据可选择添加材料。提供案件摘要的下载与预览。</w:t>
            </w:r>
          </w:p>
        </w:tc>
      </w:tr>
      <w:tr w14:paraId="10778774">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A8EB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3B6DEC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庭审提纲-庭审系统对接-政务外网庭审新增庭审提纲</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6C8F4A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法庭庭审系统点击网上阅卷，网上阅卷右侧功能区新增庭审提纲入口，与庭审业务系统，实时生成动态庭审提纲并智能标注审查要点，根据诉讼进程自动推送关联法条、证据审查提醒及询问建议，提升庭审效率与规范性。</w:t>
            </w:r>
          </w:p>
        </w:tc>
      </w:tr>
      <w:tr w14:paraId="3EAFFB0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C86E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C61725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庭审提纲-庭审系统对接-互联网庭审新增庭审提纲</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281A0F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与互联网庭审系统对接，点击网上阅卷，网上阅卷右侧功能区新增庭审提纲入口，点击庭审提纲后，阅卷目录区收起，功能区区域向左延展切换到该案由的庭审提纲展示。</w:t>
            </w:r>
          </w:p>
        </w:tc>
      </w:tr>
      <w:tr w14:paraId="620BBABD">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2F13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0B9AC5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庭审提纲-功能页面开发-庭审提纲管理</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C707EB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智能辅助应用板块支持根据该案件的案由类型、审判级别判断是否存在提问提纲，有则展示该栏目，否则不展示；有则获取该案件的问题列表，并按照后端配置的顺序依次展示；支持根据该预设问题配置选项，如选择字典值，则默认展示配置的字典项内容，并支持用户手动勾选；如未选择字典值，则默认展示编辑框文本支持用户输入；支持用户对每个问题输入修改确认后，状态修改为已完成，展示预览模式，可查看确认的内容；已完成的内容支持再次编辑修改。鼠标移入显示编辑，支持双击进入编辑（展开编辑项）.</w:t>
            </w:r>
          </w:p>
        </w:tc>
      </w:tr>
      <w:tr w14:paraId="489DE6E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949A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3DC894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庭审提纲-功能页面开发-提问提纲更新</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556FBD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在庭审提纲页面允许法官、书记员等根据庭审进展实时编辑和调整提问内容，支持文本增加、删除、修改内容、保存等。</w:t>
            </w:r>
          </w:p>
        </w:tc>
      </w:tr>
      <w:tr w14:paraId="5438FD7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8CEB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52C9C5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庭审提纲-功能页面开发-类案提纲动态匹配</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271084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提纲辅助生成嵌入庭审系统，根据当前个案案由动态匹配，匹配案件摘要动态展示当前庭审提纲，系统自动完成不同案由庭审主要提问内容的审查，并根据不同案由的特殊性问题，通过庭审提纲配置中心进行个性化配置，以确保庭审提纲的准确性和适应性。</w:t>
            </w:r>
          </w:p>
        </w:tc>
      </w:tr>
      <w:tr w14:paraId="69A1EBE8">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DF5D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ECAE46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量刑建议-妨害公务罪</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39CA2C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案件要素智能分析，识别犯罪主体类型（一般/特殊主体、聋哑人、精神病人等）和定罪要素（暴力、威胁、阻碍公务等），结合从轻情节（未成年人、老年人、自首、立功等10%-60%幅度）与从重情节（伤情等级、社会影响、累犯等）进行综合评估，同时对接公诉机关量刑区间、起诉书指控事实等数据，提供包含基准刑计算、刑期调整幅度、最终建议区间的量刑方案，并附加其他罪名提示、无罪可能性分析及社会反响风险预警，实现量刑建议辅助生成。</w:t>
            </w:r>
          </w:p>
        </w:tc>
      </w:tr>
      <w:tr w14:paraId="42571E78">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BC2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63EBFE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量刑建议-危险驾驶罪</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68EBC0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危险驾驶罪案件，通过智能分析犯罪主体类型（一般/特殊主体、聋哑人、限制行为能力精神病人等），重点评估血液酒精含量、事故责任（主责/全责）、逃逸、特殊路段（高速/快速路）、运营车辆载客、超员超载超速、抗拒执法、无证驾驶、伪造车牌等从重情节，同时考量认罪认罚、自首、坦白、立功、赔偿等从轻情节，结合前科劣迹（酒驾处罚史、危险驾驶犯罪记录）进行综合刑期计算，自动生成与公诉机关量刑建议相衔接的精准刑期建议区间，实现危险驾驶罪量刑智能化评估。</w:t>
            </w:r>
          </w:p>
        </w:tc>
      </w:tr>
      <w:tr w14:paraId="02D09F4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42FB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639843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量刑建议-袭警罪</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D6B271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袭警罪案件，通过智能识别犯罪主体类型（一般/特殊主体、聋哑人、限制行为能力精神病人等）和定罪要素（暴力袭击正在依法执行职务的人民警察），综合评估从轻情节（未成年人、老年人、自首立功等10%-60%幅度）与从重情节（伤情等级、持械、煽动群众、累犯等），对接公诉机关量刑区间和起诉书指控事实，自动生成包含基准刑计算、刑期调整及最终建议区间的量刑方案，并提供其他罪名关联提示、无罪可能性分析及社会反响风险预警，实现袭警罪量刑建议的精准化、规范化。</w:t>
            </w:r>
          </w:p>
        </w:tc>
      </w:tr>
      <w:tr w14:paraId="5CE99810">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3A0A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45D763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司法辅助工具-图片智能比对</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B8F1D3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依托大模型技术，实现智能化图片在线比对功能，法官只需上传待比对图片，系统即可快速分析图像特征，精准识别图形、文字等关键元素的差异，自动生成对比结果，解决商标对比等场景下人工肉眼比对效率低、易出错的问题，大幅减轻法官工作量，以科技赋能司法工作，提升案件审理的准确性与效率。</w:t>
            </w:r>
          </w:p>
        </w:tc>
      </w:tr>
      <w:tr w14:paraId="745544E4">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DF29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CD811D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司法辅助工具-道交辅助计算-案件与主体信息读取</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194C81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读取案件车辆信息（如保险情况、责任比例）与当事人信息（如伤残等级、被扶养人情况）等，支持补充完善事故发生日期、适用标准、定残死亡日期、误工期、护理期、住院天数等要素信息。</w:t>
            </w:r>
          </w:p>
        </w:tc>
      </w:tr>
      <w:tr w14:paraId="3E2694D8">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8181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99E53A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司法辅助工具-道交辅助计算-赔偿计算模块</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2FC08B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根据赔偿参考标准，自动计算赔偿金额，支持结果页面手动调整部分数据，实时更新计算结果。包括：</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1.计算基本赔偿项目：根据赔偿基本要素自动计算医疗费、护理费、营养费、残疾死亡赔偿金、丧葬费等基本赔偿费用。支持直接录入交通费、伤者住宿费等赔偿项目。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伤残等级计算伤残系数：根据多个伤残等级计算伤残总系数。伤残等级分为十级，最低为十级，最高为一级。系数最低为0.1，每上升一级，增加0.1。存在多个伤残等级的，以最高等级对应的系数，加上其余伤残等级的折算系数。</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3.财产损失金额计算：财产损失包括衣物损失、车辆损失、其他财务损失。</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被扶养人赔付金额计算：可通过被扶养人是否成年、适用标准、被扶养人年龄、计算年限来计算对被扶养人所需赔付金额。计算年限，计算赔偿的当事人未满60周岁为20年，超过60周岁，每增加一岁，减少一年，最低需计算5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5.赔偿总额汇总：根据基本赔偿项目、伤残系数、财产损失金额、被扶养人赔付金额等计算赔偿总额。</w:t>
            </w:r>
          </w:p>
        </w:tc>
      </w:tr>
      <w:tr w14:paraId="63B0D53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9133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F08CA9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司法辅助工具-道交辅助计算-赔偿方案详解</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3D372D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支持查看各项赔偿金额，包括交强险、商业险、侵权人承担金额。</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提供赔偿项目详解，包括计算依据、保险规则等说明，辅助用户理解结果来源。</w:t>
            </w:r>
          </w:p>
        </w:tc>
      </w:tr>
      <w:tr w14:paraId="6B4807E7">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2C3E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98C672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司法辅助工具-道交辅助计算-计算规则配置</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202D0A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1.支持配置道交计算器的相关通用数据，设置通用参考标准。所需配置数据包括：适用年度、城镇人均可支配收入、城镇人均消费性支出、农村人均可支配收入、农村人均消费性支出、上海市最低工资标准等。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2.实现车辆保险参数设置包括，机动车责任比例（如全责、主责等），设置交强险限额（医疗费、残疾赔偿金、物损费）、商业险限额及鉴定费承担方。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3.其他费用与责任划分，包括：定义律师费、日用品 / 住院杂费等项目的金额及承担方（如侵权方、保险公司）。</w:t>
            </w:r>
          </w:p>
        </w:tc>
      </w:tr>
      <w:tr w14:paraId="371AB450">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8E0E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1A2DC2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涉毒案件数据协同（626平台配套建设）-易涉毒关键信息库</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9217C2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基于“626”平台提供的涉毒关键信息，分别构建易涉毒物品信息库、易涉毒人员库、易涉毒企事业单位库、易涉毒案由库，实时同步 626 平台的《易涉毒物品清单》《易涉毒人员证件号码表》《易涉毒企事业单位表》，确保涉毒关键信息库数据准确、及时。</w:t>
            </w:r>
          </w:p>
        </w:tc>
      </w:tr>
      <w:tr w14:paraId="60A87A7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ADCB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DD5DFF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涉毒案件数据协同（626平台配套建设）-易涉毒案件多维检索-易涉毒物品智能检索</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530F01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易涉毒物品智能检索：基于易涉毒物品信息库，对过去三年内的刑事、民事及行政案件的法律文书进行关键字匹配，识别与易涉毒物品相关的案件，并提供详细的案件详情，包括但不限于：案件基本信息、涉案人员资料、裁判文书摘要、关联字典表、取保候审记录、减刑假释及暂予监外执行情况、以及涉及物品的详细信息。</w:t>
            </w:r>
          </w:p>
        </w:tc>
      </w:tr>
      <w:tr w14:paraId="69861CF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730F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C2BDF3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涉毒案件数据协同（626平台配套建设）-易涉毒案件多维检索-易涉毒人员智能检索</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12E941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易涉毒人员智能检索：基于易涉毒人员库，通过易涉毒人员证件号码，与审判办案系统“当事人信息”数据进行碰撞，检索符合条件的所有相关案件信息，覆盖刑事案件、行政处罚案件和民事纠纷案件。</w:t>
            </w:r>
          </w:p>
        </w:tc>
      </w:tr>
      <w:tr w14:paraId="1A1A1FD7">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25A8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DD8343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涉毒案件数据协同（626平台配套建设）-易涉毒案件多维检索-易涉企事业单位智能检索</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1251CD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易涉企事业单位智能检索：基于易涉毒企事业单位库，通过组织机构代码或统一社会信用代码与法院审判系统的“企业被告人”数据进行碰撞，检索所有与这些单位相关的案件信息，覆盖刑事案件、行政处罚案件和民事纠纷案件。</w:t>
            </w:r>
          </w:p>
        </w:tc>
      </w:tr>
      <w:tr w14:paraId="7B3D2E7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F615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7BC574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涉毒案件数据协同（626平台配套建设）-易涉毒案件多维检索-</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犯罪案由智能检索</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C3BAD4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犯罪案由智能检索：基于易涉毒案由库，通过案由、罪名检索审判办案系统中的全部涉毒案由相关案件信息。主要涉及1）非法生产、买卖、运输制毒物品、走私制毒物品罪 2）非法持有</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罪 3）包庇</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犯罪分子罪 4）窝藏、转移、隐瞒</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、毒赃罪 5）走私制毒物品罪 6）走私、贩卖、运输、制造</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罪 7）非法买卖制毒物品罪 8）引诱、教唆、欺骗他人吸毒罪 9）非法买卖、运输、携带、持有</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原植物种子、幼苗罪 10）强迫他人吸毒罪 11）非法提供麻醉药品、精神药品罪 12）其他</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犯罪 13）非法种植</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 xml:space="preserve">原植物罪 14）容留他人吸毒罪 </w:t>
            </w:r>
            <w:r>
              <w:rPr>
                <w:rFonts w:hint="eastAsia" w:asciiTheme="minorEastAsia" w:hAnsiTheme="minorEastAsia" w:eastAsiaTheme="minorEastAsia" w:cstheme="minorEastAsia"/>
                <w:color w:val="000000"/>
                <w:kern w:val="0"/>
                <w:sz w:val="24"/>
                <w:lang w:eastAsia="zh-CN"/>
              </w:rPr>
              <w:t>DP</w:t>
            </w:r>
            <w:r>
              <w:rPr>
                <w:rFonts w:hint="eastAsia" w:asciiTheme="minorEastAsia" w:hAnsiTheme="minorEastAsia" w:eastAsiaTheme="minorEastAsia" w:cstheme="minorEastAsia"/>
                <w:color w:val="000000"/>
                <w:kern w:val="0"/>
                <w:sz w:val="24"/>
              </w:rPr>
              <w:t>犯罪</w:t>
            </w:r>
          </w:p>
        </w:tc>
      </w:tr>
      <w:tr w14:paraId="447CB33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EDEB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04BD9C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涉毒案件数据协同（626平台配套建设）-涉毒案件线索集</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749ABD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汇聚易涉毒案件多维检索的案件线索信息，包括易涉毒物品、人员、企事业单位、法院易涉毒案由的相关案件信息，通过分类汇总归集到易涉毒案件线索库。</w:t>
            </w:r>
          </w:p>
        </w:tc>
      </w:tr>
      <w:tr w14:paraId="1B96F50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E835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35F310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涉毒案件数据协同（626平台配套建设）-数据共享</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5EC502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根据《上海禁毒626平台数据共享交换规范【法院】v20231123-修订》要求，开发数据共享接口，根据共享机制，定时将线索库中的案件相关信息（包括案件信息、当事人信息、裁判文书信息等）推送给“626”平台，实现数据互通与协同管理，保障法院系统与上海禁毒智能化管理服务预警平台“626”平台间数据高效、安全传输，提升双方数据交互能力。</w:t>
            </w:r>
          </w:p>
        </w:tc>
      </w:tr>
      <w:tr w14:paraId="76E3A56D">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F47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1134F5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类案智能推送-库网融合智能检索系统法答网数据对接</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32EE96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与库网融合智能检索系统进行数据对接，实现法答网全国法官问答数据对接，直接通过接口查询问答数据，建立智能问答检索技术通道。</w:t>
            </w:r>
          </w:p>
        </w:tc>
      </w:tr>
      <w:tr w14:paraId="07748128">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0072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A0ACDA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类案智能推送-库网融合智能检索系统法答网数据检索入参分析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76719A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将案件卷宗中的案件信息进行案件要素解构，提取诉讼请求、案件事实理由相关要素信息，从法答网全国问答数据库检索相关法律问答。</w:t>
            </w:r>
          </w:p>
        </w:tc>
      </w:tr>
      <w:tr w14:paraId="2016074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5D6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A3600B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类案智能推送-库网融合智能检索系统法答网数据相似度匹配</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BF1FE8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基于诉讼请求、事实理由相关案件要素分析，对接法信法律基座大模型语义分析能力，基于多维度参数相似度加权计算，在全国范围内的法律知识问答中甄选与本案涉及的法律问题高度相似的问答记录。</w:t>
            </w:r>
          </w:p>
        </w:tc>
      </w:tr>
      <w:tr w14:paraId="2E068A6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567E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B7883B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类案智能推送-库网融合智能检索系统法答网数据优选</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D16E98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将相似度较高的法答网问答记录，根据法院和地域进行优选排序，优先推送上海法院相关问答，更具备参考性；然后展示跨地域相关问答，给法官外地相关案例问题的实践参考。</w:t>
            </w:r>
          </w:p>
        </w:tc>
      </w:tr>
      <w:tr w14:paraId="5D07C08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0D8F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A88ADB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类案智能推送-类案智能推送法信法律基座大模型对接</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8831CC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建设全国案例库类案推送功能应用，通过与法信法律基座大模型数据对接，研发相似案例查询匹配相关数据接口，为法官推送类案提供技术通道，在全国案例库筛选指导案例和参考案例中的相似案例，推送给法官参考决策，实现法律裁判适法统一。</w:t>
            </w:r>
          </w:p>
        </w:tc>
      </w:tr>
      <w:tr w14:paraId="65F22950">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5CC0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23D4D5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类案智能推送-案情解析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4151E9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通过引入大模型的语义分析能力，对案件情况从诉讼请求、事实理由进行案件要素解析，为案例相似度匹配提供基础参数。</w:t>
            </w:r>
          </w:p>
        </w:tc>
      </w:tr>
      <w:tr w14:paraId="642C8CD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CFDA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3B90D4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类案智能推送-多维度相似度匹配</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EA74C4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通过多维度相似度模型，依据案件详情详细参数，与全国案例库中的案件进行多维相似度匹配，甄选与本案案情高度相似的案例，并提供案件评分。</w:t>
            </w:r>
          </w:p>
        </w:tc>
      </w:tr>
      <w:tr w14:paraId="691E75B4">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A05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AF0B32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类案智能推送-案例优选</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DA24D1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根据大模型返回的类案推送案件，依据评分值进行过滤，低于70分的案件不予推送。70分以上的案件，根据事实理由、诉讼请求、争议焦点都相似的案件合并优先推荐列表，推送法官优先查阅。</w:t>
            </w:r>
          </w:p>
        </w:tc>
      </w:tr>
      <w:tr w14:paraId="6603772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7184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E965EC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类案智能推送-类案多维度列表展示</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65D5D5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支持查看对应的优先推荐案件列表、事实理由案件列表、诉请相似案件列表；列表展示案件案号、名称、匹配度，支持根据匹配度进行排序，优先推荐匹配度高的案件给法官予以辅助分析。</w:t>
            </w:r>
          </w:p>
        </w:tc>
      </w:tr>
      <w:tr w14:paraId="3713FC7F">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982F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113CE4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类案智能推送-案例特征标签</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6CCE76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全国案例库推送的案例根据案例类型区分典型案例、参考案例等案件特征标签，通过不同的标签重点提示，方便法官查阅和参考。</w:t>
            </w:r>
          </w:p>
        </w:tc>
      </w:tr>
      <w:tr w14:paraId="4D44648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5CF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822F03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类案智能推送-类案案件详情</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7425FE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案件详情查看页面，支持查看类案案件的判决书全文，关键词，基本案情、裁判理由、裁判要旨、关联索引等内容。</w:t>
            </w:r>
          </w:p>
        </w:tc>
      </w:tr>
      <w:tr w14:paraId="6C6502D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6E7D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A13ACD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类案智能推送-类案案件匹配依据高亮提示</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D8871B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类案详情页中支持对类案推送依据文字高亮显示，支持文书中事实理由、诉讼请求段落高亮显示，便于法官查阅与决策。</w:t>
            </w:r>
          </w:p>
        </w:tc>
      </w:tr>
      <w:tr w14:paraId="5CBD8BA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C6D5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F7390F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类案智能推送-类案案件与本案信息对比展示</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6B6DE0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支持在推送类案的详情页面查看本案的当事人、案由、标的、争议焦点等基本信息与类案详情对比查看。</w:t>
            </w:r>
          </w:p>
        </w:tc>
      </w:tr>
      <w:tr w14:paraId="03346DE1">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C246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96BAD1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类案智能推送-类案自定义检索</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10A11E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建设类案自定义检索功能，支持法官输入一段查询文字，通过引用大模型的语义理解与分析能力，分析用户要查询的类案，推送法官查阅。</w:t>
            </w:r>
          </w:p>
        </w:tc>
      </w:tr>
      <w:tr w14:paraId="0C055BEE">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4ACE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C00E22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类案智能推送-类案推送数据统计</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A83CAB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在AI助理面板直接展示类案推送统计数据情况，为0数据不显示。点击查看更多，打开类案推送页面。</w:t>
            </w:r>
          </w:p>
        </w:tc>
      </w:tr>
      <w:tr w14:paraId="78556BA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C001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FE2E65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商事调解组织摇号管理-特邀商事调解组织管理</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88A74F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全市法院实际调解业务需求，精准核定入册商事调解机构数量，严格依据综合评估得分执行入册流程。搭建完善的商事调解组织和联系人的动态管理机制，支持调解组织信息的实时更新、多维度高效检索，实现调解机构全生命周期管理（覆盖新增、修改、删除、查询等）</w:t>
            </w:r>
          </w:p>
        </w:tc>
      </w:tr>
      <w:tr w14:paraId="268B9AC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CDFB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258C5F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商事调解组织摇号管理-商事调解组织摇号方式选择</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3F88F6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法官针对个案灵活启动商事调解组织选定流程。主要支持两种方式：若选择当事人指定，可从商事调解组织名册中自主挑选机构；若采用法院随机摇号选定，系统自动进入随机摇号流程，满足不同案件调解组织选定场景需求。</w:t>
            </w:r>
          </w:p>
        </w:tc>
      </w:tr>
      <w:tr w14:paraId="19BFA78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F87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417099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商事调解组织摇号管理-候选商事调解组织信息查看</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D942E0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针对单个摇号案件，支持法官查看本次摇号涉及的候选调解组织清单，涵盖机构基本信息、业务资质等内容，辅助法官全面了解候选对象，为调解组织选定提供信息支撑。</w:t>
            </w:r>
          </w:p>
        </w:tc>
      </w:tr>
      <w:tr w14:paraId="3564C6D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B63E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C14663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商事调解组织摇号管理-商事调解组织随机摇号</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E332AA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构建和维护摇号规则，对需随机摇号指定调解组织的案件，按规则执行随机匹配，及时产生摇号结果，保障摇号公平、有序推进。</w:t>
            </w:r>
          </w:p>
        </w:tc>
      </w:tr>
      <w:tr w14:paraId="0DC7339A">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5AD8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5459E2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商事调解组织摇号管理-摇号结果通知与公示</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851E85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摇号结果产生后，向中签调解机构发送消息提醒，并支持当事人和调解组织通过诉讼服务平台查看摇号结果，确保随机指定商事调解组织工作的公平公正和信息及时公开。</w:t>
            </w:r>
          </w:p>
        </w:tc>
      </w:tr>
      <w:tr w14:paraId="3BE1210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0B97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9231D3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商事调解组织摇号管理-调解信息填报</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BA5DBE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调解完成后，支持商事调解组织通过诉讼服务平台在线填报调解结果，录入法院所需调解信息，并将调解组织填报的调解结果等信息回传至法官工作平台，支持承办法官在线查看，实现调解数据规范化采集。</w:t>
            </w:r>
          </w:p>
        </w:tc>
      </w:tr>
      <w:tr w14:paraId="782D57FB">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349F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516E07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商事调解组织摇号管理-调解服务评价</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4E6CC1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结案后，承办法官依据调解机构反馈的材料、结果等，对调解服务进行评价。评价结果同步至高院商事调解机构等级评定体系，作为等级调整、资质管理的重要参考依据，推动调解服务质量迭代升级。</w:t>
            </w:r>
          </w:p>
        </w:tc>
      </w:tr>
      <w:tr w14:paraId="5958934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FE0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B66A74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商事调解组织摇号管理-摇号全流程存证</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46D2FE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对商事调解组织随机摇号全过程（含流程操作、关键节点数据、最终结果等）实施司法链上链存证，支持查看存证结果，保障数据不可篡改、可追溯，为摇号流程合规性提供司法级信任支撑。</w:t>
            </w:r>
          </w:p>
        </w:tc>
      </w:tr>
      <w:tr w14:paraId="6F0D924D">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F20F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420961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“人、案、链”信息汇聚-当事人图谱</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1A2F9A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数据中台，汇总展示当事人的通讯信息、账号信息、送达情况、财产信息等数据，辅助法官快速全面掌握当事人关键信息；对接上海市大数据中心，汇总展示实有人口信息、家庭关系、居住证等数据，基于多维度协查数据进行动态展示，辅助法官深入了解当事人案件背景，提升审判效率。</w:t>
            </w:r>
          </w:p>
        </w:tc>
      </w:tr>
      <w:tr w14:paraId="0A08A30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041F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765503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“人、案、链”信息汇聚-案件图谱-案件全景视图</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516F17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通过整合案件多维度信息，构建直观、全面的案件展示体系。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1.应用场景提示：深度归纳案件接收的各类应用场景提示信息，精准提炼核心问题，以简洁明了的方式呈现案件关键要点；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2.案件详情信息：采用数据可视化与流程可视化双模式，系统呈现案件从立案、分案到结案全流程的关键信息，涵盖当事人、审判组织、开庭排期等核心要素，帮助使用者快速掌握案件动态；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3.案件标签：实现自动识别标签与人工标记标签的分类展示，依据业务规则智能识别 “涉外商独资企业案件”“涉港澳台投资企业案件” 等特征标签，并进行分类展示。</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4.实现对关联案件的案件范围进行快速筛选，支持按照法院范围、案件状态，结案时间范围等情况筛选。</w:t>
            </w:r>
          </w:p>
        </w:tc>
      </w:tr>
      <w:tr w14:paraId="34E17AB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E51B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F9E7C7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“人、案、链”信息汇聚-案件图谱-关联案件全景画像-诉讼链条分析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3FAA21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聚焦案件全流程，系统梳理展现案件自启动至结案的完整诉讼轨迹。详细记录相邻两个案件间的流转周期，精确计算 “当事人一件事” 的整体解决时长，直观呈现案件处理效率。通过对应案件比指标量化不同阶段案件关联度，结合诉讼链均时间，综合评估司法资源利用效率与案件办理效能，为优化诉讼流程、提升司法服务水平提供数据支撑与决策依据。</w:t>
            </w:r>
          </w:p>
        </w:tc>
      </w:tr>
      <w:tr w14:paraId="5D2A6257">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1A55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947606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“人、案、链”信息汇聚-案件图谱-关联案件全景画像-关联案件分析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CE629C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聚焦案件审理过程中，关联案件对当前案件产生实质性影响的复杂司法场景。深度剖析 “劳动仲裁裁决案件中止执行提示预警”“再审后未及时裁定终结执行”“执行案件涉套路贷”“道交案件交强险超额” 等典型情形，通过梳理关联案件的审理进程、争议焦点及裁判结果，精准定位其对当前案件审理方向、裁判依据和执行结果的潜在影响。构建多维度关联案件画像，量化风险传导路径，为法官精准把握案件脉络、防范法律适用冲突、提升司法裁判质效提供可视化决策参考，有效规避因关联案件审理不当引发的司法风险。</w:t>
            </w:r>
          </w:p>
        </w:tc>
      </w:tr>
      <w:tr w14:paraId="175DC44B">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949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B5B3D1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“人、案、链”信息汇聚-案件图谱-关联案件全景画像-程序空转预警分析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0CB1FC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汇总展示“撤诉再起诉”、“一案反复终本”、“同一诉争事实多重起诉”等程序空转应用场景推送的关于本案的风险预警信息，包括场景编号、场景名称、场景提示语（最后一次）、承办法院、承办部门、审判长、承办法官、立案日期、立案案由、结案日期、结案方式。</w:t>
            </w:r>
          </w:p>
        </w:tc>
      </w:tr>
      <w:tr w14:paraId="0E203DCC">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7592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6AF02D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“人、案、链”信息汇聚-案件图谱-关联案件全景画像-系列案件分散立案审理情况分析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9415D8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案由相同、当事人相同的系列案件，精准追踪其在分案流程中分散至不同业务庭、审判团队及承办法官的流转轨迹，直观呈现各案件在不同审判单元的分布情况；通过对比分析不同承办法官的裁判结果，预警潜在的适法不统一风险。同时，结合案件审理周期、资源占用量等指标，量化评估分散立案对司法效率的负面影响，为优化分案规则、规范系列案件审理流程、提升司法裁判统一性和资源利用效能提供数据支撑与决策依据。</w:t>
            </w:r>
          </w:p>
        </w:tc>
      </w:tr>
      <w:tr w14:paraId="4F0AF96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0074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EB6311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“人、案、链”信息汇聚-卷宗溯源</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0A944E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围绕个案，展示电子卷宗基本信息、文件流转的全流程存验证等信息；提供文件核验服务；针对合议庭笔录场景，提供电子签名的记录展示，实现电子卷宗的全流程溯源。</w:t>
            </w:r>
          </w:p>
        </w:tc>
      </w:tr>
      <w:tr w14:paraId="5EEACC3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D38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D1AAAA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庭审系统改造-庭前准备模块-开庭排期升级</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F6B4DA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对接上海审判办案系统，进行开庭排期：包括审判案件、执行案件，诉前调案件，庭审可对此三类案件进行融合、提讯等开庭排期。</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融合法庭排期时法官可以根据实际互联网参加人员进行排期选人，庭审系统根据办案排期选人进行精准短信发送，包括排期新建、排期修改和取消排期操作后短信发送。</w:t>
            </w:r>
          </w:p>
        </w:tc>
      </w:tr>
      <w:tr w14:paraId="59EE190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C7FF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577FEE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庭审系统改造-庭前准备模块-当事人参庭码</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9FE8A9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支持生成当事人参庭码，与当事人身份信息关联、与案件关联作为验证和授权当事人参线上的数字化凭证。</w:t>
            </w:r>
          </w:p>
        </w:tc>
      </w:tr>
      <w:tr w14:paraId="7AA1C231">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CD57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C39296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庭审系统改造-庭前准备模块-开庭过程引导</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9EFED2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根据开庭流程，利用显示屏对开庭过程进行引导。包括：通过法官通道显示屏上通知提示法官入场，通过屏幕通知传唤证人，通过羁押室内屏幕通知羁押传唤被告人。</w:t>
            </w:r>
          </w:p>
        </w:tc>
      </w:tr>
      <w:tr w14:paraId="4D8B8D3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5DD4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D0190F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庭审系统改造-庭前准备模块-参庭人员到庭情况确认</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F0BD72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读取审判系统案件当次排期对应的当事人及代理人信息，并且可以进行“是否到庭”开关标识。与访客系统对接获取人员信息并与本案当事人和代理人进行匹配，匹配成功，则自动标记“已到庭”，支持法官编辑修改。</w:t>
            </w:r>
          </w:p>
        </w:tc>
      </w:tr>
      <w:tr w14:paraId="72D7586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1DF7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3B5504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庭审系统改造-庭前准备模块-待确认人员添加为代理人或当事人</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C05D14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若未匹配成功，则将该人员加入“待确认人员”列表，由管理员根据当日开庭案件的代理人或当事人进行手动匹配。根据匹配结果，自动更新排期结果页面的代理人缺席状态。</w:t>
            </w:r>
          </w:p>
        </w:tc>
      </w:tr>
      <w:tr w14:paraId="1058A3E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BD4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BF3DE1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庭审系统改造-庭前准备模块-庭审现场材料递交（线下）</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A49CAD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如当事人/代理人携带光盘介质递交材料，则可通过政务外网电脑，在庭审软件中打开材料递交页面，从光驱导入文件后进行提交。</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如当事人/代理人携带纸质材料，也可通过政务外网电脑，在庭审软件中打开材料递交页面，连接高拍仪扫描后进行提交。</w:t>
            </w:r>
          </w:p>
        </w:tc>
      </w:tr>
      <w:tr w14:paraId="25F5D14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5EB5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BB9482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庭审系统改造-庭前准备模块-庭审现场材料递交（线上）</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C9D24E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如当事人无光盘介质，可通过互联网进行提交，实现方式为扫码打开材料递交页面，从本地选择文件进行上传。</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法官从“出庭情况”页面对到庭人员生成二维码，通过庭审系统同步屏幕的方式推送至当事人/代理人法台电脑，让当事人/代理人扫码打开材料递交页面进行材料递交。</w:t>
            </w:r>
          </w:p>
        </w:tc>
      </w:tr>
      <w:tr w14:paraId="2EFE7234">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5E4B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B4C927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庭审系统改造-举证质证-卷宗材料质证与分享-跨网庭审证据分级共享功能</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2C7B8B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支持"单页精准分享"和"整份完整共享"两种模式，支持按需选择当前页码或全部材料进行定向分发，既满足庭审焦点讨论的即时性要求，又确保证据传递的完整性与灵活性。</w:t>
            </w:r>
          </w:p>
        </w:tc>
      </w:tr>
      <w:tr w14:paraId="290F8EC7">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8DE9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53F805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庭审系统改造-举证质证-卷宗材料质证与分享-证据材料同步标绘</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394D81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政务外网端，面向法官、书记员及当事人提供证据材料同步标绘功能。其中，"法官"和"书记员"角色可发起卷宗材料标绘，并支持与所有政务外网庭审参与人进行实时多人协同标绘。系统在标绘内容左侧自动显示对应角色名称，便于身份识别。"法官"和"书记员"均可在标绘过程中随时终止标绘操作。</w:t>
            </w:r>
          </w:p>
        </w:tc>
      </w:tr>
      <w:tr w14:paraId="59BC4848">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F7B9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17BB77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庭审系统改造-举证质证-卷宗材料质证与分享-全流程电子证据管理</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1B125B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覆盖庭前庭中的全流程电子证据管理，支持当事人及律师通过内外网双通道上传多格式证据材料（含音视频/文档等），经法官审核入卷后，庭审各方可实时共享、协同标注证据内容，所有标注结果即时同步至外网参庭人员，实现证据提交-审核-共享-标注-归档的全流程数字化管理。</w:t>
            </w:r>
          </w:p>
        </w:tc>
      </w:tr>
      <w:tr w14:paraId="52AD73CD">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7CA4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DB46B0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庭审系统改造-举证质证-实物质证举证-实物证据展示</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4F6A76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基于高拍仪设备或者一体机为多摄像可旋转角度，向法庭旁听人员、当事人、书记员及外网当事人展示实物证据（例如刑事案件凶器刀枪棍棒等），支持全屏展示实物证据画面。</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融合开庭时互联网端代理人/当事人、看守所等场所人员可查看法庭内证据展示</w:t>
            </w:r>
          </w:p>
        </w:tc>
      </w:tr>
      <w:tr w14:paraId="326B56E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2795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B34D9D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庭审系统改造-举证质证-实物质证举证-实物证据同屏举证</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2149E2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法官允许的情况下，选择高拍仪等实物证据画面发起同屏举证，支持将画面共享给书记员、法官、法庭现场内当事人端以及法庭旁听电视屏幕、融合参庭互联网参庭人员及远程提讯参庭人员，通过高拍仪将实物证据材料向相关人员同时展示实物证据。</w:t>
            </w:r>
          </w:p>
        </w:tc>
      </w:tr>
      <w:tr w14:paraId="26F258FA">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5E1B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67D7C6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庭审系统改造-举证质证-实物质证举证-实物证据质证标记</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5E13691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实物质证举证时在证据展示画面上进行手动标记圈画实物证据画面，并支持查看他人圈画内容，不同角色圈画的内容以颜色进行区分。</w:t>
            </w:r>
          </w:p>
        </w:tc>
      </w:tr>
      <w:tr w14:paraId="7BB71B0D">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266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74398A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庭审系统改造-智能笔录-智能快捷键</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7A7699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笔录区域新增智能快捷键功能，集成标准化文本编辑操作（复制/粘贴/剪切/全选等），通过快捷键组合与操作优化实现高效编辑，在保障司法安全性的前提下，提升笔录处理效率，同时完整记录操作日志满足审计要求。</w:t>
            </w:r>
          </w:p>
        </w:tc>
      </w:tr>
      <w:tr w14:paraId="420B8541">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4A9F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54752DB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庭审系统改造-智能笔录-智能化笔录管理</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61DE751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在协同应用场景中，提供智能化笔录管理功能，支持实时保存编辑中的笔录内容，支持在异常情况下找回未及时保存的笔录数据；</w:t>
            </w:r>
          </w:p>
        </w:tc>
      </w:tr>
      <w:tr w14:paraId="0AB8DE46">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767E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3AE9F8F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庭审系统改造-智能笔录-导出到本地电脑</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D6BF95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在协调应用场景中，支持笔录导出到本地电脑，结束庭审前任意阶段均可导出，提供当庭笔录打印输出功能，确保协同庭审记录的完整性和可追溯性。</w:t>
            </w:r>
          </w:p>
        </w:tc>
      </w:tr>
      <w:tr w14:paraId="059AB1A5">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1615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51E886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庭审系统改造-智能笔录-笔录分享</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C79352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在协调应用场景中，支持笔录分享，将协同案件开庭笔录分享给互联网庭审参与原被告及代理人。</w:t>
            </w:r>
          </w:p>
        </w:tc>
      </w:tr>
      <w:tr w14:paraId="4CBF92EF">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D230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105</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576D92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庭审系统改造-智能笔录-智能庭审笔录转写控制</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B9190C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智能庭审笔录转写控制功能，支持法官/法官助理根据庭审进程需要，在笔录任意位置灵活启停语音转写服务，通过"插入转写"和"停止转写"的无缝切换实现转写内容的精准控制，既确保笔录完整性和准确性，又保留完整操作记录满足司法程序要求。</w:t>
            </w:r>
          </w:p>
        </w:tc>
      </w:tr>
      <w:tr w14:paraId="13826509">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65D5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106</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E1611D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庭审系统改造-智能笔录-智能庭审重点标记</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F56462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提供智能庭审重点标记功能，通过文字/语音双模式实时标注关键内容，自动生成结构化归档索引，实现标记内容的时间轴与类型双维度管理，庭后可快速检索定位，提升后续卷宗查阅与裁判文书制作效率。</w:t>
            </w:r>
          </w:p>
        </w:tc>
      </w:tr>
      <w:tr w14:paraId="617CA7B0">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83D6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107</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98A3E7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庭审系统改造-智能笔录-智能化语音转写交互</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7D90A31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智能化语音转写交互改造，采用气泡式UI实时展示转写内容，法官可自主控制展示状态并执行复制/清空/插入等便捷操作，结合语音转写引擎，实现庭审记录效率提升，同时确保转写内容的可控性与操作灵活性。</w:t>
            </w:r>
          </w:p>
        </w:tc>
      </w:tr>
      <w:tr w14:paraId="7B8AB61E">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1A5C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108</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0C48D94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庭审系统改造-智能笔录-协同案件热词管理</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6C9C76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协同案件热词管理功能模块，支持法官/法官助理对热词库进行全方位管理，自由添加刑事案件专业术语、一键插入笔录、实时编辑优化、置顶高频词汇、删除冗余词条、标记常用热词等操作，确保庭审专业词汇的精准识别与高效应用。</w:t>
            </w:r>
          </w:p>
        </w:tc>
      </w:tr>
      <w:tr w14:paraId="53937C54">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F135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109</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7637EBF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庭审系统改造-智能笔录-协同案件诉讼材料训练管理</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3307BDA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新增协同案件诉讼材料训练管理功能模块，支持导入涉案卷宗等诉讼资料，对资料进行训练，训练完成后可提升庭审语音识别结果准确率。</w:t>
            </w:r>
          </w:p>
        </w:tc>
      </w:tr>
      <w:tr w14:paraId="5F189354">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C94F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110</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2E3DBBA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庭审系统改造-智能笔录-协同批注阅览</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98F904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PC端、移动端协同批注阅览功能，法官及法官助理可通过菜单快速进入批注阅览界面。该功能支持实时同步显示双方在不同的终端设备的批注内容，实现跨端批注信息的无缝对接与管理，确保庭审要点标注的全方位可视化与高效协同。</w:t>
            </w:r>
          </w:p>
        </w:tc>
      </w:tr>
      <w:tr w14:paraId="723DF2F4">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509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111</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4E0616C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庭审系统改造-智能笔录-笔录变速回听核验</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2008BD9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提供智能庭审笔录回听核验功能，提供变速播放回听功能；支持结合自动修改标记与片段循环功能，使庭审记录核验效率提升，确保法官、法官助理、书记员多方协同下的记录完整性与司法严谨性。</w:t>
            </w:r>
          </w:p>
        </w:tc>
      </w:tr>
      <w:tr w14:paraId="21D2C133">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12E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112</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B3E7CC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庭审系统改造-文书签名捺印-签名角色控制</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1F8E7AD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支持法官书记员等庭中签字，支持融合外网代理人、当事人通过PC或者小程序签字回填，支持临时新增本地、线上、提讯等场景代理人、当事人签字。</w:t>
            </w:r>
          </w:p>
        </w:tc>
      </w:tr>
      <w:tr w14:paraId="0272F07B">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3DAA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113</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1050AFC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庭审系统改造-文书签名捺印-签名结果调整</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473C8A3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支持对签名结果进行调整，包括：</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1支持签名图片实时预览</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2支持预览后针对签名效果不满意的人员发起重签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3支持套签，当事人的签名显示在笔录的每一页</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4支持针对单个人员发起签名、批量发起签名、全部重签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5支持临时添加待签名人员，并针对多个临时添加的人员批量发起重签</w:t>
            </w:r>
          </w:p>
        </w:tc>
      </w:tr>
      <w:tr w14:paraId="6D3CC0DA">
        <w:tblPrEx>
          <w:tblCellMar>
            <w:top w:w="0" w:type="dxa"/>
            <w:left w:w="108" w:type="dxa"/>
            <w:bottom w:w="0" w:type="dxa"/>
            <w:right w:w="108" w:type="dxa"/>
          </w:tblCellMar>
        </w:tblPrEx>
        <w:trPr>
          <w:trHeight w:val="380" w:hRule="atLeast"/>
        </w:trPr>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CD2F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114</w:t>
            </w:r>
          </w:p>
        </w:tc>
        <w:tc>
          <w:tcPr>
            <w:tcW w:w="1326" w:type="pct"/>
            <w:tcBorders>
              <w:top w:val="single" w:color="000000" w:sz="4" w:space="0"/>
              <w:left w:val="single" w:color="000000" w:sz="4" w:space="0"/>
              <w:bottom w:val="single" w:color="000000" w:sz="4" w:space="0"/>
              <w:right w:val="single" w:color="000000" w:sz="4" w:space="0"/>
            </w:tcBorders>
            <w:shd w:val="clear" w:color="auto" w:fill="auto"/>
          </w:tcPr>
          <w:p w14:paraId="61F25E2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庭审系统改造-文书签名捺印-签名捺印设备对接接口</w:t>
            </w:r>
          </w:p>
        </w:tc>
        <w:tc>
          <w:tcPr>
            <w:tcW w:w="3251" w:type="pct"/>
            <w:tcBorders>
              <w:top w:val="single" w:color="000000" w:sz="4" w:space="0"/>
              <w:left w:val="single" w:color="000000" w:sz="4" w:space="0"/>
              <w:bottom w:val="single" w:color="000000" w:sz="4" w:space="0"/>
              <w:right w:val="single" w:color="000000" w:sz="4" w:space="0"/>
            </w:tcBorders>
            <w:shd w:val="clear" w:color="auto" w:fill="auto"/>
          </w:tcPr>
          <w:p w14:paraId="0632270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开发对接接口，支持WOCAM、蒙恬、TIM-100等签名捺印设备。</w:t>
            </w:r>
          </w:p>
        </w:tc>
      </w:tr>
    </w:tbl>
    <w:p w14:paraId="3B9FA0A0">
      <w:pPr>
        <w:ind w:firstLine="0" w:firstLineChars="0"/>
      </w:pPr>
      <w:r>
        <w:rPr>
          <w:rFonts w:hint="eastAsia"/>
        </w:rPr>
        <w:br w:type="page"/>
      </w:r>
    </w:p>
    <w:p w14:paraId="27ED470C">
      <w:pPr>
        <w:ind w:firstLine="0" w:firstLineChars="0"/>
        <w:outlineLvl w:val="2"/>
        <w:rPr>
          <w:rFonts w:ascii="楷体" w:hAnsi="楷体" w:eastAsia="楷体" w:cs="楷体"/>
          <w:b/>
          <w:bCs/>
          <w:szCs w:val="32"/>
        </w:rPr>
      </w:pPr>
      <w:r>
        <w:rPr>
          <w:rFonts w:hint="eastAsia" w:ascii="楷体" w:hAnsi="楷体" w:eastAsia="楷体" w:cs="楷体"/>
          <w:b/>
          <w:bCs/>
          <w:szCs w:val="32"/>
        </w:rPr>
        <w:t>2.应用场景支撑服务</w:t>
      </w:r>
    </w:p>
    <w:tbl>
      <w:tblPr>
        <w:tblStyle w:val="7"/>
        <w:tblW w:w="0" w:type="auto"/>
        <w:tblInd w:w="93" w:type="dxa"/>
        <w:tblLayout w:type="autofit"/>
        <w:tblCellMar>
          <w:top w:w="0" w:type="dxa"/>
          <w:left w:w="108" w:type="dxa"/>
          <w:bottom w:w="0" w:type="dxa"/>
          <w:right w:w="108" w:type="dxa"/>
        </w:tblCellMar>
      </w:tblPr>
      <w:tblGrid>
        <w:gridCol w:w="492"/>
        <w:gridCol w:w="2288"/>
        <w:gridCol w:w="5649"/>
      </w:tblGrid>
      <w:tr w14:paraId="48712844">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491AA5">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C0F8DA">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功能名称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7C047">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功能描述</w:t>
            </w:r>
          </w:p>
        </w:tc>
      </w:tr>
      <w:tr w14:paraId="39719D69">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153F7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9FF0A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提示预警类服务-适法统一-海事海商类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E5FDE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申请承认（认可）和执行外国及港澳台法院判决、仲裁裁决案件申请费收取适法统一、境外利息标准生效状态提示预警、国际货物买卖合同纠纷优先适用《联合国国际货物销售合同公约》提示预警、民商事案件当事人双重国籍甄别预警共4个适法统一-海事海商类场景模型，主要包括：收集、处理与场景模型目标相关的数据，并根据业务规则研判算子组件配置构建场景模型；构建完成后，对建立的模型进行验证、优化；调整模型算法、参数配置，使场景模型规则可以正常运行等工作。旨在实现海事海商领域关键环节的适法统一，提升裁判标准化水平和效率。</w:t>
            </w:r>
          </w:p>
        </w:tc>
      </w:tr>
      <w:tr w14:paraId="77E8EDCF">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92F9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3DCE7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提示预警类服务-适法统一-金融类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4658A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民商事案件利息计算区间规范使用LPR提示预警、共有产权保障房抵押中住房保障机构产权份额保留提示预警、保险人追偿权纠纷驾驶证被扣留属于驾驶人未取得驾驶资格或未取得相应驾驶资格适法统一、融资租赁诉解除合同模式下留购价款规范处理提示预警、现有应收账款质押权实现方式适法统一、涉营运性机动车许可证保险条款性质认定适法统一、民商事案件保全保险费、保全担保费负担适法统一、以虚构租赁物规避监管的融资租赁风险行为提示预警、融资租赁诉解除合同的违约金基数适法统一、融资租赁法律关系性质甄别预警共10个适法统一-金融类场景模型，主要包括：收集、处理与场景模型目标相关的数据，并根据业务规则研判算子组件配置构建场景模型；构建完成后，对建立的模型进行验证、优化；调整模型算法、参数配置，使场景模型规则可以正常运行等工作。实现了民商事案件中关键法律适用标准的统一裁判指引和风险行为智能预警，旨在提升金融司法审判质效与风险防控能力。</w:t>
            </w:r>
          </w:p>
        </w:tc>
      </w:tr>
      <w:tr w14:paraId="3B0501FB">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C4577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0771B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提示预警类服务-适法统一-民事类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44F7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个体工商户（有字号）登记经营者与实际经营者不一致时责任承担适法统一、网络带货主播与平台企业劳动关系认定提示预警、债权人代位权诉讼合并审理按比例清偿提示预警、“优者危险负担”下机动车方主张财损同案抵扣提示预警、丧葬费重复赔偿案件提示预警、案外人租赁权异议被驳后救济方式适法统一、“名为资产委托，实为租赁”房屋租赁合同纠纷提示预警、展销会举办者、柜台出租者赔偿责任认定提示预警、涉探望权未明确方式、时间及协助义务提示预警、撤销婚姻纠纷案件“重大疾病”认定提示预警、“名为买卖，实为赠与”房产纠纷提示预警、涉同一地址违章建筑的房屋租赁合同效力认定提示预警、涉老型误工费案件适法统一共13个适法统一-民事类场景模型，主要包括：收集、处理与场景模型目标相关的数据，并根据业务规则研判算子组件配置构建场景模型；构建完成后，对建立的模型进行验证、优化；调整模型算法、参数配置，使场景模型规则可以正常运行等工作。实现司法裁判标准的智能辅助统一，为法官提供类案预警，以解决特定法律争议中的适法分歧、统一裁判尺度、提升审判质效。</w:t>
            </w:r>
          </w:p>
        </w:tc>
      </w:tr>
      <w:tr w14:paraId="2008CBA6">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FC868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EBF33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提示预警类服务-适法统一-商事类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B67A7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财产保全费用终局承担主体适法统一、新旧公司法重点条文衔接适用提示预警、民商事案件无当事人约定判决承担连带责任应有明确法律依据提示预警、终结诉讼案件诉讼费收取适法统一、公司盈余分配纠纷案件财源审查提示预警、一人公司股东承担连带责任提示预警、上市公司依法承担保证责任提示预警、反诉案件裁判文书涉反诉费规范表述提示预警、公司法定代表人诉讼代表权提示预警、破产案件受理费收取适法统一、股东重复承担未出资导致补充清偿责任甄别预警、公司法定代表人涤除案件送达及当事人自认事实审查提示预警、移送管辖案件诉讼费移交适法统一共13个适法统一-商事类场景模型，主要包括：收集、处理与场景模型目标相关的数据，并根据业务规则研判算子组件配置构建场景模型；构建完成后，对建立的模型进行验证、优化；调整模型算法、参数配置，使场景模型规则可以正常运行等工作。通过提示、预警和审查机制，确保商事案件中的法律适用统一性、正确性和风险防控。</w:t>
            </w:r>
          </w:p>
        </w:tc>
      </w:tr>
      <w:tr w14:paraId="1D0CF93F">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96F3A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B08A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提示预警类服务-适法统一-行政类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64D55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行政相对人申请调取证据未出具决定书适法统一、行政诉讼中对相同规范性文件重复审查提示预警、单独行政赔偿案件诉讼费收取适法统一、殴打他人或故意伤害他人身体行政处罚加重情节审查提示预警、下级机关（派出机构）负责人作为上级机关（所属单位）负责人出庭应诉提示预警、行政非诉执行案件行政机关超期申请提示预警、市场监管领域行政诉讼“职业打假人”甄别预警共7个适法统一-行政类场景模型，主要包括：收集、处理与场景模型目标相关的数据，并根据业务规则研判算子组件配置构建场景模型；构建完成后，对建立的模型进行验证、优化；调整模型算法、参数配置，使场景模型规则可以正常运行等工作。通过智能预警和适法统一机制，实现了对行政执法、行政诉讼关键环节的规范化监督与法律适用统一，以提升司法行政效率和裁判一致性。</w:t>
            </w:r>
          </w:p>
        </w:tc>
      </w:tr>
      <w:tr w14:paraId="18A0B977">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D237C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608B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提示预警类服务-适法统一-知产类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65CDC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知识产权案件公证书重复使用致合理开支重复计算提示预警、侵害发明专利权纠纷案件赔偿金额适法统一、知识产权假冒刑事类案量刑适法统一、涉电商平台侵害商标权案件赔偿金额适法统一、不正当竞争纠纷新旧司法解释规范引用提示预警、因恶意提起知识产权诉讼损害责任案件裁判文书规范提示预警共6个适法统一-知产类场景模型，主要包括：收集、处理与场景模型目标相关的数据，并根据业务规则研判算子组件配置构建场景模型；构建完成后，对建立的模型进行验证、优化；调整模型算法、参数配置，使场景模型规则可以正常运行等工作。旨在通过提示预警和规范审查机制，确保知识产权案件中的法律适用统一性、赔偿规则合理性及程序操作规范性。</w:t>
            </w:r>
          </w:p>
        </w:tc>
      </w:tr>
      <w:tr w14:paraId="2D0E73E0">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D3EC2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3DB9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提示预警类服务-适法统一-执行类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5229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与公司执行终本案件相关联的股东损害公司债权人利益责任纠纷提示预警、同一股东“股损”类案件涉审判及执行情况提示预警、执行终本案件财产查控提示预警（胜诉债权）、自然人借贷利息收益通报征税甄别预警、法定代表人以变更登记诉讼逃避执行措施甄别预警共5个适法统一-执行类场景模型，主要包括：收集、处理与场景模型目标相关的数据，并根据业务规则研判算子组件配置构建场景模型；构建完成后，对建立的模型进行验证、优化；调整模型算法、参数配置，使场景模型规则可以正常运行等工作。通过关联案件预警、财产查控提示及逃避执行行为甄别等机制，提升执行案件的风险识别能力与程序效能，保障债权实现及执行公正。</w:t>
            </w:r>
          </w:p>
        </w:tc>
      </w:tr>
      <w:tr w14:paraId="1E100B91">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64A8A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2A32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提示预警类服务-适法统一-立案类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158B3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涉财产分割离婚案件受理费收取适法统一、合同纠纷类管辖异议案件合同签订地认定适法统一、无独立请求权第三人破产案件移送规范提示预警、人格权纠纷案件诉讼费规范表述提示预警、诉前保全民事裁定法条规范引用提示预警共5个适法统一-立案类场景模型，主要包括：收集、处理与场景模型目标相关的数据，并根据业务规则研判算子组件配置构建场景模型；构建完成后，对建立的模型进行验证、优化；调整模型算法、参数配置，使场景模型规则可以正常运行等工作。通过统一费用收取标准、规范管辖认定及法律文书引用、强化程序移送审查等机制，确保立案环节法律适用统一性与诉讼程序规范性。</w:t>
            </w:r>
          </w:p>
        </w:tc>
      </w:tr>
      <w:tr w14:paraId="2D6F8AEF">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6C684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74E1E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提示预警类服务-适法统一-刑事风险提示类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6361C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被告人先行被实际羁押时间折抵刑期提示预警、刑事案件遗漏罚金刑提示预警、盗窃罪罚金刑规范适用提示预警、帮助信息网络犯罪活动罪缺漏情节严重表述提示预警、裁判文书中刑事和解规范适用提示预警、刑事案件特定被告人程序适用规范提示预警、有期徒刑、拘役刑期计算提示预警、破坏社会主义市场经济秩序犯罪案文书遗漏处理违法所得提示预警、烟草类非法经营案件查扣烟草遗漏处理提示预警、缓刑考验期限内犯新罪未撤销缓刑并予以数罪并罚提示预警、“请托”类诈骗案件涉案财物处理提示预警、醉酒危险驾驶犯罪案件无证驾驶行政罚款数额折抵罚金提示预警共12个适法统一—风险提示预警类场景模型。其主要工作包括：收集、处理与场景模型目标相关的数据，并根据业务规则研判算子组件配置构建场景模型；构建完成后，对建立的模型进行验证、优化，调整模型算法、参数配置，使场景模型规则可以满足业务需求。通过智能预警机制统一法律适用标准，减少裁判疏漏，增强社会规则预期，促进公平正义与社会和谐。</w:t>
            </w:r>
          </w:p>
        </w:tc>
      </w:tr>
      <w:tr w14:paraId="095CEAAE">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5902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CA14F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提示预警类服务-适法统一-刑事裁量一致类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E25B3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构建机动车租赁后处置型合同诈骗案适法统一、掩饰、隐瞒犯罪所得、犯罪所得收益案件罚金刑适法统一、污染环境罪案件禁止令适法统一、诈骗案件罚金刑适法统一、危险驾驶罪案件罚金刑适法统一、三类涉</w:t>
            </w:r>
            <w:r>
              <w:rPr>
                <w:rFonts w:hint="eastAsia" w:asciiTheme="minorEastAsia" w:hAnsiTheme="minorEastAsia" w:eastAsiaTheme="minorEastAsia" w:cstheme="minorEastAsia"/>
                <w:sz w:val="24"/>
                <w:lang w:eastAsia="zh-CN"/>
              </w:rPr>
              <w:t>DP</w:t>
            </w:r>
            <w:r>
              <w:rPr>
                <w:rFonts w:hint="eastAsia" w:asciiTheme="minorEastAsia" w:hAnsiTheme="minorEastAsia" w:eastAsiaTheme="minorEastAsia" w:cstheme="minorEastAsia"/>
                <w:sz w:val="24"/>
              </w:rPr>
              <w:t>类案件罚金刑适法统一、危险驾驶罪从重处罚背景下量刑适法统一、故意伤害罪案件缓刑适法统一、新型</w:t>
            </w:r>
            <w:r>
              <w:rPr>
                <w:rFonts w:hint="eastAsia" w:asciiTheme="minorEastAsia" w:hAnsiTheme="minorEastAsia" w:eastAsiaTheme="minorEastAsia" w:cstheme="minorEastAsia"/>
                <w:sz w:val="24"/>
                <w:lang w:eastAsia="zh-CN"/>
              </w:rPr>
              <w:t>DP</w:t>
            </w:r>
            <w:r>
              <w:rPr>
                <w:rFonts w:hint="eastAsia" w:asciiTheme="minorEastAsia" w:hAnsiTheme="minorEastAsia" w:eastAsiaTheme="minorEastAsia" w:cstheme="minorEastAsia"/>
                <w:sz w:val="24"/>
              </w:rPr>
              <w:t>案件</w:t>
            </w:r>
            <w:r>
              <w:rPr>
                <w:rFonts w:hint="eastAsia" w:asciiTheme="minorEastAsia" w:hAnsiTheme="minorEastAsia" w:eastAsiaTheme="minorEastAsia" w:cstheme="minorEastAsia"/>
                <w:sz w:val="24"/>
                <w:lang w:eastAsia="zh-CN"/>
              </w:rPr>
              <w:t>DP</w:t>
            </w:r>
            <w:r>
              <w:rPr>
                <w:rFonts w:hint="eastAsia" w:asciiTheme="minorEastAsia" w:hAnsiTheme="minorEastAsia" w:eastAsiaTheme="minorEastAsia" w:cstheme="minorEastAsia"/>
                <w:sz w:val="24"/>
              </w:rPr>
              <w:t>纯度量刑情节适法统一、职务犯罪案件缓刑适法统一、危害税收类案件罚金刑适法统一共11个适法统一—裁量一致场景模型。其主要工作包括：收集、处理与场景模型目标相关的数据，并根据业务规则研判算子组件配置构建场景模型；构建完成后，对建立的模型进行验证、优化，调整模型算法、参数配置，使场景模型规则可以满足业务需求。通过数字规则嵌入统一法律适用标尺，破解上述案件的量刑偏差，消除同案不同罚的情况，提升裁判公信力与惩戒预防效能。</w:t>
            </w:r>
          </w:p>
        </w:tc>
      </w:tr>
      <w:tr w14:paraId="2E954801">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5F05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4DB0E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提示预警类服务-适法统一-其他类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4930C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受害人死亡的人身损害赔偿案件适法统一、民间借贷案件中父母越权抵押未成年子女财产行为提示预警、涉监护人赔偿责任提示预警、破产衍生案件移送管辖适法统一、民商事案件涉经济犯罪裁定驳回起诉适法统一、同一交通事故多次诉讼案件提示预警、工伤和侵权案件重复赔偿提示预警、离婚后财产纠纷中恶意串通处置不动产协助逃债提示预警、“名为车辆租赁，实为车牌租赁”甄别预警共9个适法统一-其他类场景模型，主要包括：收集、处理与场景模型目标相关的数据，并根据业务规则研判算子组件配置构建场景模型；构建完成后，对建立的模型进行验证、优化；调整模型算法、参数配置，使场景模型规则可以正常运行等工作。通过统一裁判尺度、甄别规避行为及强化跨领域规则衔接，确保人身损害、借贷担保、破产移送等多元案件中法律适用统一性与裁判结果公正性。</w:t>
            </w:r>
          </w:p>
        </w:tc>
      </w:tr>
      <w:tr w14:paraId="7A66E4FA">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CEB3B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27E22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提示预警类服务-信息协同-民事类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D9E40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追加股东类执行案件股东登记信息提示预警、赌资包装成民间借贷虚假诉讼甄别预警、职业公民代理甄别预警、被执行人通过执异案件转让已申执债权提示预警、申请确定监护人、申请指定监护人案件当事人涉诉涉执、被采取信用惩戒措施信息提示预警、机动车交通事故责任纠纷案件交强险超限额判决提示预警、“人伤黄牛”保险诈骗甄别预警、利用“民间借贷”虚假诉讼套取住房公积金提示预警、自然人民事行为能力欠缺提示预警、当事人被申请宣告无（或限制）民事行为能力提示预警、“职业打假人”甄别预警、“假离婚，实逃债”甄别预警共12个信息协同-民事场景模型。主要包括：收集、处理与场景模型目标相关的数据，并根据业务规则研判算子组件配置构建场景模型；构建完成后，对建立的模型进行验证、优化；调整模型算法、参数配置，使场景模型规则可以正常运行等工作。通过智能化预警提升审判质效、压缩违法空间，推动司法资源优化配置与社会诚信建设。</w:t>
            </w:r>
          </w:p>
        </w:tc>
      </w:tr>
      <w:tr w14:paraId="61BE02F1">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8187E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048B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提示预警类服务-信息协同-商事类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2B26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代理人死亡或丧失行为能力提示预警、民商事案件诉讼费退费关联被执行人财产线索提示预警、民商事案件涉嫌经济犯罪移送公安提示预警、当事人已被另案宣告死亡提示预警、民商事案件关联诉前保全事项提示预警、代位权诉讼适用仲裁协议风险提示预警、破产（强制清算）申请受理后涉破产（强制清算）企业涉民商事在办他案提示预警、涉讼企业名称变更提示预警、破产程序终结后企业未及时注销登记提示预警共9个信息协同-商事场景模型。主要包括：收集、处理与场景模型目标相关的数据，并根据业务规则研判算子组件配置构建场景模型；构建完成后，对建立的模型进行验证、优化；调整模型算法、参数配置，使场景模型规则可以正常运行等工作。提升商事审判质效与市场秩序维护能力。</w:t>
            </w:r>
          </w:p>
        </w:tc>
      </w:tr>
      <w:tr w14:paraId="66066D5C">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98EE3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CAFE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提示预警类服务-信息协同-金融类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B2B6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融资租赁合同案件涉假冒他人甄别预警、意外伤害保险合同案件涉保险诈骗甄别预警、委托理财合同纠纷案件涉非法吸收公众存款罪提示预警、机动车交通事故涉财产保险纠纷中单方委托评估虚高甄别预警、供应链金融纠纷风险甄别预警共5个信息协同-金融场景模型。主要包括：收集、处理与场景模型目标相关的数据，并根据业务规则研判算子组件配置构建场景模型；构建完成后，对建立的模型进行验证、优化；调整模型算法、参数配置，使场景模型规则可以正常运行等工作。通过对金融纠纷案件进行甄别预警，提升司法公信力、降低再审率。</w:t>
            </w:r>
          </w:p>
        </w:tc>
      </w:tr>
      <w:tr w14:paraId="57965953">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34FDE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11B89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提示预警类服务-信息协同-立案类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C2DEF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劳动争议案件关联仲裁保全提示预警、依据确权主文申请强制执行立案规范提示预警、房屋租赁合同、委托合同纠纷案件房产中介公司经营异常风险提示预警、代位权诉讼适用债务人与其相对人之间管辖协议风险提示预警共4个信息协同-立案场景模型。主要包括：收集、处理与场景模型目标相关的数据，并根据业务规则研判算子组件配置构建场景模型；构建完成后，对建立的模型进行验证、优化；调整模型算法、参数配置，使场景模型规则可以正常运行等工作。有效提高司法质效，提升司法公信力。</w:t>
            </w:r>
          </w:p>
        </w:tc>
      </w:tr>
      <w:tr w14:paraId="61775607">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A2F9D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EFFC1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提示预警类服务-信息协同-未成年家事类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5611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侵权类案件遗漏未成年被告监护人作共同被告提示预警、欠缺行为能力人诉讼中未指定法定代理人提示预警、继承类案件当事人关联信息提示预警、已获承认外国法院离婚判决当事人重复提起离婚诉讼提示预警共4个信息协同-未成年家事信息协同场景模型。主要包括：收集、处理与场景模型目标相关的数据，并根据业务规则研判算子组件配置构建场景模型；构建完成后，对建立的模型进行验证、优化；调整模型算法、参数配置，使场景模型规则可以正常运行等工作。通过智能提示和甄别，防范重复诉讼、遗漏必要当事人（尤其是未成年人监护人）、欠缺法定代理人、信息缺失及虚构债务等风险，以保障诉讼程序合法合规并重点保护未成年人及弱势群体的合法权益。</w:t>
            </w:r>
          </w:p>
        </w:tc>
      </w:tr>
      <w:tr w14:paraId="634C7F84">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441CE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854FB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提示预警类服务-信息协同-行政类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0AC44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行政判决撤销行政处罚后“程序空转”甄别预警、当事人滥用行政诉讼诉权甄别预警、固定资产登记提示预警、侵权行为民事诉讼与治安管理处罚行政诉讼法律事实冲突风险提示预警、当事人对行政机关依据法院准予执行裁定实施强制性拆除行为提起行政诉讼提示预警共5个信息协同-行政场景模型。主要包括：收集、处理与场景模型目标相关的数据，并根据业务规则研判算子组件配置构建场景模型；构建完成后，对建立的模型进行验证、优化；调整模型算法、参数配置，使场景模型规则可以正常运行等工作。提升行政审判质效，规范行政行为，并促进行政争议的实质性化解。</w:t>
            </w:r>
          </w:p>
        </w:tc>
      </w:tr>
      <w:tr w14:paraId="7650907A">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CE9A5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C52B4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提示预警类服务-信息协同-执行类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66F3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劳动仲裁执行案件中止执行提示预警、国内仲裁执行案件关联仲裁保全案件提示预警、向信托计划管理人发放执行案款提示预警、下落不明被执行人在他案中起诉提示预警、“股损”类案件执行完毕后原关联案件未解除执行措施提示预警、执行保全被申请人另案参加诉讼送达线索提示预警、被执行人服刑监禁信息提示预警、被限高法定代表人与工商登记法定代表人不一致提示预警、执行终本案件财产查控提示预警（工资收入）、申请执行人转让债权逃避涉民商事、刑事案件债务甄别预警、涉劳动纠纷案件“执转破”提示预警、危险驾驶案件罚金刑执行提示预警、低保等显著证明被执行人生活困难信息提示预警、终本案件被执行人在他案执行完毕提示预警共14个信息协同-执行场景模型。主要包括：收集、处理与场景模型目标相关的数据，并根据业务规则研判算子组件配置构建场景模型；构建完成后，对建立的模型进行验证、优化；调整模型算法、参数配置，使场景模型规则可以正常运行等工作。提升执行精准度与效率。</w:t>
            </w:r>
          </w:p>
        </w:tc>
      </w:tr>
      <w:tr w14:paraId="6A2BFA21">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3728F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401D4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提示预警类服务-信息协同-刑事类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95528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卖淫类刑事案件隐名处理提示预警、人身伤害类刑事案件刑附民衔接提示预警、被告人犯罪前科提示预警、刑事财产刑执行监狱罚金缴纳提示预警、非法集资类案件同案人关联案件提示预警、前罪执行完毕前发现漏罪数罪并罚提示预警、涉</w:t>
            </w:r>
            <w:r>
              <w:rPr>
                <w:rFonts w:hint="eastAsia" w:asciiTheme="minorEastAsia" w:hAnsiTheme="minorEastAsia" w:eastAsiaTheme="minorEastAsia" w:cstheme="minorEastAsia"/>
                <w:sz w:val="24"/>
                <w:lang w:eastAsia="zh-CN"/>
              </w:rPr>
              <w:t>DP</w:t>
            </w:r>
            <w:r>
              <w:rPr>
                <w:rFonts w:hint="eastAsia" w:asciiTheme="minorEastAsia" w:hAnsiTheme="minorEastAsia" w:eastAsiaTheme="minorEastAsia" w:cstheme="minorEastAsia"/>
                <w:sz w:val="24"/>
              </w:rPr>
              <w:t>类刑事案件</w:t>
            </w:r>
            <w:r>
              <w:rPr>
                <w:rFonts w:hint="eastAsia" w:asciiTheme="minorEastAsia" w:hAnsiTheme="minorEastAsia" w:eastAsiaTheme="minorEastAsia" w:cstheme="minorEastAsia"/>
                <w:sz w:val="24"/>
                <w:lang w:eastAsia="zh-CN"/>
              </w:rPr>
              <w:t>DP</w:t>
            </w:r>
            <w:r>
              <w:rPr>
                <w:rFonts w:hint="eastAsia" w:asciiTheme="minorEastAsia" w:hAnsiTheme="minorEastAsia" w:eastAsiaTheme="minorEastAsia" w:cstheme="minorEastAsia"/>
                <w:sz w:val="24"/>
              </w:rPr>
              <w:t>再犯情节提示预警共7个信息协同类场景模。其主要工作包括：收集、处理与场景模型目标相关的数据，并根据业务规则研判算子组件配置构建场景模型；构建完成后，对建立的模型进行验证、优化，调整模型算法、参数配置，使场景模型规则可以满足业务需求。打通数据堵点、防范权利保障缺失、裁判依据遗漏及执行脱节风险，确保司法流程闭环高效运转。</w:t>
            </w:r>
          </w:p>
        </w:tc>
      </w:tr>
      <w:tr w14:paraId="67C6B4C2">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678C7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843DB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提示预警类服务-信息协同-其他类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A5053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涉套路贷犯罪被告人释放后以未被发现的虚假借款合同再次起诉甄别预警、追加变更被执行人异议之诉中股东承担补充赔偿责任提示预警、破产申请受理后，其他法院受理债务人民商事案件提示预警、同一劳动者涉多家用人单位多次诉讼行为甄别预警、海上保险关联案件协调处理提示预警共5个信息协同-其他场景模型。主要包括：收集、处理与场景模型目标相关的数据，并根据业务规则研判算子组件配置构建场景模型；构建完成后，对建立的模型进行验证、优化；调整模型算法、参数配置，使场景模型规则可以正常运行等工作。保障裁判准确性与执行有效性，并维护司法秩序和市场诚信。</w:t>
            </w:r>
          </w:p>
        </w:tc>
      </w:tr>
      <w:tr w14:paraId="0FE1DB3F">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60D0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86E06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应用场景构建服务-庭审提纲场景构建服务-配置权限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B1124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支持后台配置提问提纲，针对各院信息部门开放庭审提纲的配置权限，支持案由+案件性质+审判级别+启用状态仅允许配置一个庭审提纲。</w:t>
            </w:r>
          </w:p>
        </w:tc>
      </w:tr>
      <w:tr w14:paraId="3A3BC0D0">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0269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1879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应用场景构建服务-庭审提纲场景构建服务-案由配置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9DE5E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法官点击“新增提纲”按钮 或者 “编辑”操作按钮，可编辑提纲名称、所属案由、案件类型、使用状态、审判级别。 其中所属案由支持可以添加多个案由。</w:t>
            </w:r>
          </w:p>
        </w:tc>
      </w:tr>
      <w:tr w14:paraId="1DD51296">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6717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F822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应用场景构建服务-庭审提纲场景构建服务-提问内容配置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74D09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全市23家法院根据不同类案需求，配置提纲内容，提纲名称支持输入文字，不超过100个字；所属案由；案由仅支持输入编码，并和实际案件的案由保持一致；支持添加/删除所属案由，案由不允许为空；案件类型；下拉选择，民事/刑事/行政/执行（以实际数据情况为主）审判级别：下拉选择，一审/二审；创建法院：输入法院名称，不超过100个字；使用状态：启用/停用</w:t>
            </w:r>
          </w:p>
        </w:tc>
      </w:tr>
      <w:tr w14:paraId="60C374A3">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44D60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FD1E1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应用场景构建服务-庭审提纲场景构建服务-提问问题维护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A89DB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法官通过点击提纲列表中的“问题配置”操作按钮，进入该案由的问题列表页面。点击返回，可以返回上一级提问提纲列表；点击“新增问答”或者“编辑”按钮，弹窗展示问题配置界面，可以维护问题名称、展示顺序、是否字典值、类型、使用状态。</w:t>
            </w:r>
          </w:p>
        </w:tc>
      </w:tr>
      <w:tr w14:paraId="753E8002">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FE08F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D1F4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应用场景构建服务-庭审提纲场景构建服务-问题编目设置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04FA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其中问题编码不允许手动输入，由系统自动生成；问题名称支持输入文字，不超过100个字；展示顺序支持输入数字；是否字典值：是/否，是：展示类型和字典项；否；不展示类型和字典项；类型：单选/多选；字典项：支持输入文字，不超过100个字，可任一增加删除字典项；使用状态：启用/停用</w:t>
            </w:r>
          </w:p>
        </w:tc>
      </w:tr>
      <w:tr w14:paraId="41914648">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9DD37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3DE9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应用场景构建服务-文书生成构建服务-文书模板管理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55D87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构建文书模板统一管理功能，汇集文书预生成应用场景下的 60 余类文书模板，全面覆盖民事判决书、调解书、裁定书，刑事判决书及程序类文书等司法文书类型。支持从案件类型、审判层级、案由类别等多维度进行精细化分类管理，实现模板的快速检索；支持记录模板版本迭代信息。</w:t>
            </w:r>
          </w:p>
        </w:tc>
      </w:tr>
      <w:tr w14:paraId="53620684">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03BD3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44381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应用场景构建服务-文书生成构建服务-文书预生成引擎</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56E7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自定义文书预生成触发规则。当案件进程满足预设条件时，自动唤醒文书预生成服务，同步推送案件核心信息，实现案件办理与文书制作的无缝衔接。基于案件审判层级、案由类型、复杂特征等多维度信息，构建动态文书模板智能匹配机制。自动识别案件所处业务阶段，从海量文书模板库中精准筛选并匹配最优文书模板。</w:t>
            </w:r>
          </w:p>
        </w:tc>
      </w:tr>
      <w:tr w14:paraId="279C9213">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BD877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7EECA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应用场景构建服务-文书生成构建服务-指令调用服务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E4B0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支持法官可对请求事项、事实理由等文书段落提出修改指令要求。依据法官指令、调取相应段落的Prompt、结合指令内容权重、段落语料，再调用大模型重新生成内容，满足法官个性化文书制作需求。</w:t>
            </w:r>
          </w:p>
        </w:tc>
      </w:tr>
      <w:tr w14:paraId="67F5DEE9">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5CC8B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DA43B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应用场景构建服务-文书生成构建服务-预生成文书智能推送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772E0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基于预生成文书的推送规则，构建智能化文书推送机制。通过实时监听案件办理流程中的关键节点，结合法官操作行为分析与案件多维度智能研判，精准识别可能的审理结论，并自动匹配对应的预生成文书。调用AI助理提醒法官，通过交互式确认界面让法官对智能分析的结论进行确认。根据法官最终判定的审理结论，并提供相应文书入口，一键直达文书编辑页面有效融合人工智能辅助决策能力与法官自由裁量权，既提升文书生成效率与规范性。</w:t>
            </w:r>
          </w:p>
        </w:tc>
      </w:tr>
      <w:tr w14:paraId="6FD156E2">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2E7A3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BF88D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应用场景构建服务-要件指引场景构建服务-类案审查点要件指引-配置维护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AF470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维护与管理，支持对案由、审查点名称、父级审查点、匹配类型、审查阶段、审查节点、排序、数据来源、提示词配置与审查、推送标识等配置库数据项的编辑与修改。</w:t>
            </w:r>
          </w:p>
        </w:tc>
      </w:tr>
      <w:tr w14:paraId="3C9B2EA7">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E349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60EB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应用场景构建服务-要件指引场景构建服务-类案审查点要件指引-提示词维护机制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BF023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审查要点支持配置大模型能力提取，可支持对大模型提示词进行相关配置，可以手动输入更新维护提示词，也支持从提示词管理平台引入提示词。</w:t>
            </w:r>
          </w:p>
        </w:tc>
      </w:tr>
      <w:tr w14:paraId="140439AE">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5F44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7EA4A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应用场景构建服务-要件指引场景构建服务-类案审查点要件指引-结构化数据来源配置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922CC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审查要点支持识别规则引用现有业务系统独有数据中台数据，支持数据来源、数据库取用接口的配置管理，根据配置自动获取对应的业务数据，如起诉状、证据材料等。</w:t>
            </w:r>
          </w:p>
        </w:tc>
      </w:tr>
      <w:tr w14:paraId="61949884">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D06CE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2119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应用场景构建服务-要件指引场景构建服务-类案审查点要件指引-推送内容模板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7915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支持关于审查点命中后的推送内容模板配置，当案件根据要件指引库的规则结合个案实际数据命中审查要点时，系统可以根据配置的推送内容目进行相关内容的输出与展示。</w:t>
            </w:r>
          </w:p>
        </w:tc>
      </w:tr>
      <w:tr w14:paraId="7F0F1958">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6AEE4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7DED0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应用场景构建服务-要件指引场景构建服务-类案审查点要件指引-关联要素配置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5C6C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对接技术底座要素管理模块，支持对关联要素进行配置，配置支持要素编码关联，要素启用禁用、要素缺失规则等内容。</w:t>
            </w:r>
          </w:p>
        </w:tc>
      </w:tr>
      <w:tr w14:paraId="16805C4D">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ADBF3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0BF26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应用场景构建服务-要件指引场景构建服务-类案审查点要件指引-关联法条配置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E2566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支持审查点对应的法律法规库关联配置，包括关联的法律法规名称、关联条款、条款内容、展示排序等配置与维护。</w:t>
            </w:r>
          </w:p>
        </w:tc>
      </w:tr>
      <w:tr w14:paraId="7CD55A58">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2BF0A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8BA8C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应用场景构建服务-要件指引场景构建服务-类案审查点要件指引-关联法条检索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FC44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支持通过关键词搜索关联法条，检索结果记录智能标记是否已添加。</w:t>
            </w:r>
          </w:p>
        </w:tc>
      </w:tr>
      <w:tr w14:paraId="2E928155">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B0084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31B9D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应用场景构建服务-要件指引场景构建服务-类案审查点要件指引-关联法条推送逻辑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9C58F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1.通过人为输入、搜索查询得到的法条标记为手动；</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2.纯系统推送的法条标记为关联；</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3.手动或关联标签为AI助理要件指引推送逻辑提供属性标识。</w:t>
            </w:r>
          </w:p>
        </w:tc>
      </w:tr>
      <w:tr w14:paraId="23682F2E">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9B48F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22E31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应用场景构建服务-要件指引场景构建服务-类案审查点要件指引-关联类案配置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BAB9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支持对审查点对应案例库进行关联配置，包括关联的案例名称、案号、案例核心内容、展示排序等配置与维护。</w:t>
            </w:r>
          </w:p>
        </w:tc>
      </w:tr>
      <w:tr w14:paraId="199C75B1">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C1774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0C233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应用场景构建服务-要件指引场景构建服务-类案审查点要件指引-关联类案检索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3976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支持通过关键词搜索关联类案，检索结果记录智能标记是否已添加，提升类案配置效率。</w:t>
            </w:r>
          </w:p>
        </w:tc>
      </w:tr>
      <w:tr w14:paraId="2199824D">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848A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2ADB6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应用场景构建服务-要件指引场景构建服务-类案审查点要件指引-关联类案案例推送逻辑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37318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关联类案的推送逻辑：</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1.若存在手动类案时不自动推送类案；若没有手动类案时自动推送三个类案。</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2.类案要件指引平台要根据审查点名称+案由查询推送案例；通用要件指引配置平台根据案件类型+审查点。</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3.推送案例需要展示案件层级（动态取法律检索系统的案件层级，例如：指导案例、普通案例）。</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4.支持案件层级配置，若系统自动推送的案例或搜索添加的案例，则默认带入案例系统返回的案件层级，支持编辑。若手动添加的案例，则默认为空。</w:t>
            </w:r>
          </w:p>
        </w:tc>
      </w:tr>
      <w:tr w14:paraId="7643A241">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37BC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D915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应用场景构建服务-要件指引场景构建服务-类案审查点要件指引-关联指引检索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C5C3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支持审查点核心指引规范内容的配置，包含审查点多级标题、审查点名称、审查点子父级关系、审查点内容等配置与维护。</w:t>
            </w:r>
          </w:p>
        </w:tc>
      </w:tr>
      <w:tr w14:paraId="2DD50D5F">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082A4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95B7C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应用场景构建服务-要件指引场景构建服务-类案审查点要件指引-关联注意事项配置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A1EC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支持审查点注意事项内容的配置，包含注意事项内容、注意事项展示排序等参数配置与维护。</w:t>
            </w:r>
          </w:p>
        </w:tc>
      </w:tr>
      <w:tr w14:paraId="7ACA0055">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FFE8B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8626C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应用场景构建服务-要件指引场景构建服务-通用审查点要件指引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884F9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通用审查点配置项项维护，包含审查点名称、类型、子父级关系、适用范围、案件类型、审判级别、服务接口类型、匹配类型、审查阶段、数据来源等关联知识的配置与维护。审查点通用配置平台支持配置审查规则，但是不支持推送至知识指引。</w:t>
            </w:r>
          </w:p>
        </w:tc>
      </w:tr>
      <w:tr w14:paraId="572E0E03">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893C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4954A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应用场景构建服务-要件指引场景构建服务-prompt提示词验证与管理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8F32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法官基于一个审查点提供多个验证案号时，每次验证都生成新的提示语；</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与prompt管理平台打通，支持prompt提示词管理和验证功能；</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自动生成prompt支持两种不同的调试模式，1.生成新的prompt调试：根据审查逻辑生成Prompt并调试数据；2.使用现有prompt调试：记住上次调试生成的Prompt，使用上次生成的Prompt进行调试。</w:t>
            </w:r>
          </w:p>
        </w:tc>
      </w:tr>
      <w:tr w14:paraId="5A848A1B">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06D1F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9BCDD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应用场景构建服务-要件指引场景构建服务-prompt提示词手动录入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89F81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当提示词维护方式支持手动录入方式，该种情况下，审查逻辑非必填，提示词必填；没有生成提示词的逻辑，只会基于prompt提示词输入内容进行调试。保存后自动生成提示词编码，且该审查点也可在审查点配置管理平台选取并配置。</w:t>
            </w:r>
          </w:p>
        </w:tc>
      </w:tr>
      <w:tr w14:paraId="7FB29013">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5C3B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4BFC3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应用场景构建服务-要件指引场景构建服务-prompt提示词类型标签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44B61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新增提示词类型标签，支持定义手动或自动；自动类提示词点击编辑进入自动页面；手动类提示词点击编辑按钮进入手动录入页面；编辑时需要带入prompt提示词、审查逻辑的内容。</w:t>
            </w:r>
          </w:p>
        </w:tc>
      </w:tr>
      <w:tr w14:paraId="4312F82B">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6165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C001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应用场景构建服务-要件指引场景构建服务-数据来源维护与管理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13213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支持多种数据来源配置，在数据来源选择材料时，支持缺失方案必选设置，默认值选择为不涉及，用于实现程序上是否继续走大模型审查的控制。</w:t>
            </w:r>
          </w:p>
        </w:tc>
      </w:tr>
    </w:tbl>
    <w:p w14:paraId="670ECB3A">
      <w:pPr>
        <w:ind w:firstLine="640"/>
      </w:pPr>
      <w:r>
        <w:rPr>
          <w:rFonts w:hint="eastAsia"/>
        </w:rPr>
        <w:br w:type="page"/>
      </w:r>
    </w:p>
    <w:p w14:paraId="014999EB">
      <w:pPr>
        <w:ind w:firstLine="0" w:firstLineChars="0"/>
        <w:outlineLvl w:val="2"/>
        <w:rPr>
          <w:rFonts w:ascii="楷体" w:hAnsi="楷体" w:eastAsia="楷体" w:cs="楷体"/>
          <w:b/>
          <w:bCs/>
          <w:szCs w:val="32"/>
        </w:rPr>
      </w:pPr>
      <w:r>
        <w:rPr>
          <w:rFonts w:hint="eastAsia" w:ascii="楷体" w:hAnsi="楷体" w:eastAsia="楷体" w:cs="楷体"/>
          <w:b/>
          <w:bCs/>
          <w:szCs w:val="32"/>
        </w:rPr>
        <w:t>3.AI助理</w:t>
      </w:r>
    </w:p>
    <w:tbl>
      <w:tblPr>
        <w:tblStyle w:val="7"/>
        <w:tblW w:w="0" w:type="auto"/>
        <w:tblInd w:w="93" w:type="dxa"/>
        <w:tblLayout w:type="autofit"/>
        <w:tblCellMar>
          <w:top w:w="0" w:type="dxa"/>
          <w:left w:w="108" w:type="dxa"/>
          <w:bottom w:w="0" w:type="dxa"/>
          <w:right w:w="108" w:type="dxa"/>
        </w:tblCellMar>
      </w:tblPr>
      <w:tblGrid>
        <w:gridCol w:w="496"/>
        <w:gridCol w:w="1625"/>
        <w:gridCol w:w="6308"/>
      </w:tblGrid>
      <w:tr w14:paraId="36319945">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85BBC1">
            <w:pPr>
              <w:tabs>
                <w:tab w:val="left" w:pos="7513"/>
              </w:tabs>
              <w:ind w:firstLine="0" w:firstLineChars="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6AAC3B">
            <w:pPr>
              <w:tabs>
                <w:tab w:val="left" w:pos="7513"/>
              </w:tabs>
              <w:ind w:firstLine="0" w:firstLineChars="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功能名称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584653">
            <w:pPr>
              <w:tabs>
                <w:tab w:val="left" w:pos="7513"/>
              </w:tabs>
              <w:ind w:firstLine="0" w:firstLineChars="0"/>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功能描述</w:t>
            </w:r>
          </w:p>
        </w:tc>
      </w:tr>
      <w:tr w14:paraId="00663582">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A8871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F3CCB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应用场景接入服务-全市网级服务-办案类-预审查异常提示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717CD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全市网办案场景下通过对接案款系统、审判系统和律师/当事人系统等业务系统，经过OCR技术自动识别案件材料中的关键信息（如：案号、当事人身份、案由、证据内容等），并利用大模型自然语言理解分析能力与预设的司法标准对比分析，快速定位异常或不合规内容，并通过AI助理前端窗口实时向法官推送展示相关异常项和相关异常信息，实现案件材料的智能预审，减少人工筛查工作量。</w:t>
            </w:r>
          </w:p>
        </w:tc>
      </w:tr>
      <w:tr w14:paraId="4428DDA8">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71B61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885B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应用场景接入服务-全市网级服务-办案类-待办消息提示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7AFC1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全市网系统办案场景下通过标准化SDK（软件开发工具包）实现与案款系统、大数据协查系统、一案一群等业务系统的无缝嵌入，在AI助理对话窗口，定时向办案人员推送办案信息（如：延期发放、待审批发放等办案类信息）的待审批事项和审批进度等内容。同时，系统具备实时统计能力，可动态汇总办案类消息的总数并以可视化方式展示。此外，系统支持数据联动分析，当预审查出现异常时，自动关联相关审批数据，生成综合预警报告，辅助决策者快速定位问题并优化流程。</w:t>
            </w:r>
          </w:p>
        </w:tc>
      </w:tr>
      <w:tr w14:paraId="48CEB87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DBFE0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4B5AE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应用场景接入服务-全市网级服务-办案类-快速审批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A158A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全市网系统办案场景下通过标准化SDK（软件开发工具包）实现与案款系统、大数据协查系统、一案一群等业务系统的无缝嵌入，在AI助理对话窗口，定时向办案人员推送办案信息（如：延期发放、待审批发放等办案类信息）的待审批事项和审批进度等内容并提供多消息汇聚、合并和一键快速批量审批功能，一键快速办理多个汇聚案件，减少人工审批工作量。</w:t>
            </w:r>
          </w:p>
        </w:tc>
      </w:tr>
      <w:tr w14:paraId="3302CDB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2F00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681EC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应用场景接入服务-全市网级服务-办公类-待办消息提示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D2F1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全市网系统办公场景下通过统一管理配置与内控系统、人事系统、数字政工等业务系统对接，在AI助理对话窗口，定时向办案人员推送办案信息（如：合同管理待审批、资金申请待审批等办公类信息）的待审批事项和审批进度等内容。同时，系统具备实时统计能力，可动态汇总办公类消息的总数并以可视化方式展示，辅助决策者快速定位问题并优化审批流程。</w:t>
            </w:r>
          </w:p>
        </w:tc>
      </w:tr>
      <w:tr w14:paraId="3DD337D8">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930AD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1CF54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应用场景接入服务-全市网级服务-办公类-快捷审批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8109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全市网系统办公场景下通过统一管理配置与内控系统、人事系统、数字政工等业务系统对接，在AI助理对话窗口，定时向办案人员推送办案信息（如：合同管理待审批、资金申请待审批等办公类信息）的待审批事项和审批进度等内容并提供多消息汇聚、合并和一键快速批量审批功能，一键快速办理多个汇聚案件，减少人工审批工作量。</w:t>
            </w:r>
          </w:p>
        </w:tc>
      </w:tr>
      <w:tr w14:paraId="1C5A917A">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D565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7DFF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应用场景接入服务-系统级服务-立案管理-应用场景智能体接入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D1D41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立案管理系统中通过助手管理后台接入应用智能体（如：应用场景提示反馈处置等），法官可通过AI助理对话窗口进行提示信息交互（如：查一下我有哪些待反馈的案件信息/应用场景信息？），主动触发筛查与推送任务，获取立案系统案件信息、法官信息等信息作为请求参数调用智能体，并将归纳总结的内容及来源数据按照规定的模板通过AI助理推送至承办法官（如：您有X个应用场景提示未反馈，请点击链接进行处理），提高法官在立案场景下办公的效率。</w:t>
            </w:r>
          </w:p>
        </w:tc>
      </w:tr>
      <w:tr w14:paraId="7C2903C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D4472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58D69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应用场景接入服务-系统级服务-立案管理-常规待办消息提示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5B826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立案管理系统通过标准化组件，在助手管理后台深度定制化改造AI助理对话窗口功能，可根据不同案件类型、法院要求或用户偏好动态调整模板内容，并接入立案管理平台推送信息（如：案件裁定书生成状态、起诉状生成状态、案件立案日期等信息），法官可通过AI助理对话窗口查看立案管理系统推送信息和处理待办（如：（2025）沪XXXX刑初XX号 收到上海市XX区人民检查院针对本案的补充材料），提高法官在立案场景下办公的效率和准确性。</w:t>
            </w:r>
          </w:p>
        </w:tc>
      </w:tr>
      <w:tr w14:paraId="1A662B7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44F2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EAF09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应用场景接入服务-系统级服务-立案管理-窗口座席配置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1A176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窗口坐席配置服务，支持全市法院信息管理部门对本院的诉讼服务大厅的窗口坐席进行配置，支持录入窗口号、电脑IP地址、读卡器IP地址等信息，以关联当事人信息推送和窗口法官电脑的关系，实现AI助理为法官所在的窗口电脑及登录的业务系统消息精准推送。</w:t>
            </w:r>
          </w:p>
        </w:tc>
      </w:tr>
      <w:tr w14:paraId="106AF1A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A3739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769CC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应用场景接入服务-系统级服务-审判工作台-应用场景智能体接入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978C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审判工作台中通过助手管理后台接入不少于6个办案应用智能体（如：文书送达智能体、辅助立案智能体等），法官可通过AI助理对话窗口进行提示信息交互（如：查一下我有哪些待开庭信息智能？），主动触发筛查与推送任务，获取审判工作台中案件信息、法官信息等信息作为请求参数调用智能体，并将归纳总结的内容及来源数据按照规定的模板通过AI助理推送至承办法官（如：您本周有X个待开庭信息，这里为您列举XX开庭信息——案号、开庭时间和法庭信息，详细信息请点击链接），提高法官在审批场景下办公的效率。</w:t>
            </w:r>
          </w:p>
        </w:tc>
      </w:tr>
      <w:tr w14:paraId="6426A098">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8DAB6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0C96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应用场景接入服务-系统级服务-审判工作台-常规待办消息提示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A91D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审判工作台中通过标准化组件，在助手管理后台深度定制化改造AI助理对话窗口功能，可根据不同案件类型、法院要求或用户偏好动态调整模板内容，并接入审判工作台推送信息（如：诉讼费缴纳通知、管辖异议申请、当事人提交新证据等信息），法官可通过AI助理对话窗口查看审判工作台推送信息和处理待办（如：（2025）沪XXXX刑初XX号 存在当事人发起的减、免、缓申请已过缴纳诉讼费截止日期，是否再次发起缴纳诉讼费通知，请您确认），提高法官在审判场景下办公的效率和准确性。</w:t>
            </w:r>
          </w:p>
        </w:tc>
      </w:tr>
      <w:tr w14:paraId="258BAB0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A73EE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04A15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应用场景接入服务-系统级服务-执行法官工作台-应用场景智能体接入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D7ED4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执行法官工作台中通过助手管理后台接入应用智能体（如：送达结果智能检测等），法官可通过AI助理对话窗口进行提示信息交互（如：查一下我有哪些待超过X天仍在送达中的案件？），主动触发筛查与推送任务，获取执行法官工作台中案件信息、法官信息等信息作为请求参数调用智能体，并将归纳总结的内容及来源数据按照规定的模板通过AI助理推送至承办法官（如：您本周有X个超过X天仍在送达中的案件，请尽快处理，详细信息请点击链接-案号、送达对象和发送时间等内容），提高法官在执行场景下办公的效率。</w:t>
            </w:r>
          </w:p>
        </w:tc>
      </w:tr>
      <w:tr w14:paraId="48B8FE83">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37E9B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DFCD8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应用场景接入服务-系统级服务-执行法官工作台-常规待办消息提示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B20E4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执行法官工作台通过标准化组件，在助手管理后台深度定制化改造AI助理对话窗口功能，可根据不同案件类型、法院要求或用户偏好动态调整模板内容，并接入执行法官平台推送信息（如：缴纳上诉费通知送达监控、文书送达等信息），法官可通过AI助理对话窗口查看执行法官工作台推送信息和处理待办（如：（2025）沪XXXX刑初XX号 上诉状于XX日收到，未发送上诉费缴费通知），提高法官在执行场景下办公的效率和准确性。</w:t>
            </w:r>
          </w:p>
        </w:tc>
      </w:tr>
      <w:tr w14:paraId="33D3ABE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3B788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6FB4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应用场景接入服务-系统级服务-诉讼服务工作台-应用场景智能体接入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6F37C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诉讼服务工作台中通过助手管理后台接入不少于7个诉讼服务应用智能体（如：调解智能体、诉讼费智能体等），法官可通过AI助理对话窗口进行提示信息交互（如：查一下我有X个未归档案件即将超期？），主动触发筛查与推送任务，获取诉讼服务工作台中案件信息、法官信息等信息作为请求参数调用智能体，并将归纳总结的内容及来源数据按照规定的模板通过AI助理推送至承办法官（如：您共有X个未归档案件即将超期，点击前往处理），提高法官在多元解纷场景下办公的效率。</w:t>
            </w:r>
          </w:p>
        </w:tc>
      </w:tr>
      <w:tr w14:paraId="7061FEA6">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15EF9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6D893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应用场景接入服务-系统级服务-诉讼服务工作台-常规待办消息提示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4E03E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诉讼服务工作台通过标准化组件，在助手管理后台深度定制化改造AI助理对话窗口功能，可根据不同案件类型、法院要求或用户偏好动态调整模板内容，并接入诉讼服务工作台推送信息（如：调解期限消息通），法官可通过AI助理对话窗口查看诉讼服务工作台推送信息和处理待办（如：您共有X个案件调解期限仅剩5天，如需延长调解期限，请及时处理，详细信息请点击链接），提高法官在执行场景下办公的效率和准确性。</w:t>
            </w:r>
          </w:p>
        </w:tc>
      </w:tr>
      <w:tr w14:paraId="298CA0F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C565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EB86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应用场景接入服务-个案级服务-定制化接口-应用场景智能体接入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AED38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数助办案系统中通过助手管理后台接入应用智能体（如：超期未结案件判定等），法官可通过AI助理对话窗口进行提示信息交互（如：查一下我有哪些待超期未结案件？），主动触发筛查与推送任务，获取数助办案系统中案件信息、时间信息等信息作为请求参数调用智能体，并将归纳总结的内容及来源数据按照规定的模板通过AI助理推送至承办法官（如：您本周有X个案件即将变为12个月未结案件，点击链接前往处理），提高法官在办案场景下办公的效率。</w:t>
            </w:r>
          </w:p>
        </w:tc>
      </w:tr>
      <w:tr w14:paraId="2F78D5F3">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15E63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3235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应用场景接入服务-个案级服务-标准接口-常规待办消息提示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29668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数助办案系统通过标准化组件，在助手管理后台深度定制化改造AI助理对话窗口功能，可根据不同案件类型、法院要求或用户偏好动态调整模板内容，并接入数助办案系统推送信息（如：上诉移送、要素式起诉状公共送达、合约移送等信息），法官可通过AI助理对话窗口查看数助办案系统推送信息和处理待办（如：（2025）沪XXXX刑初XX号 XXX与XXX物业服务合同纠纷一案，您已根据XX提供的地址（含户籍/注册地）进行送到，但均未有效送到，本案是否需要公告送达），提高法官在数助办案场景下办公的效率和准确性。</w:t>
            </w:r>
          </w:p>
        </w:tc>
      </w:tr>
      <w:tr w14:paraId="12D45EBE">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3E1FB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8CCD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应用场景接入服务-知识问答服务-问答交互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5DA5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基于AI助理窗体框架在用户提问框上方增加“知识问答”按钮，支持干警鼠标移入图标显示“知识库问答”，点击按钮进入知识问答模式。用户提问区上方显示知识库问答相关面板，其他功能按钮隐藏。</w:t>
            </w:r>
          </w:p>
        </w:tc>
      </w:tr>
      <w:tr w14:paraId="219A82A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039C4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E1290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应用场景接入服务-知识问答服务-知识库问答面板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41B4F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知识库问答面板显示被选中数量和知识库总数量，面板中提供当前场景可选的知识库（包括：裁判文书库、法律法规库、案例库、适法统一、论文课题等），默认全选中。知识库选择区域高度固定三行，超出的知识库通过上下滚动显示。用户输入问题，发送给AI助理进行解答，AI助理将在所选知识库中进行检索，归纳出对应答案。</w:t>
            </w:r>
          </w:p>
        </w:tc>
      </w:tr>
      <w:tr w14:paraId="2B4A35A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3DC67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F50A0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应用场景接入服务-知识问答服务-问答知识库选择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5BBD8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全部知识库"按钮默认折叠，点击展开显示所有知识库，默认全选并按设定顺序（未设定则按名称拼音正序）排列。用户可勾选或取消勾选知识库，取消勾选后左侧同步移除对应知识库；若仅余单一库时尝试取消勾选，系统提示“知识库问答需要至少保留一个库”。</w:t>
            </w:r>
          </w:p>
        </w:tc>
      </w:tr>
      <w:tr w14:paraId="5A08A01F">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AF0F7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8B0706">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应用场景接入服务-知识问答服务-知识库问答展示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B7C3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顶部展示知识库返回结果中大模型归纳内容，展示内容控制在250个字符以内，超出部分省略号展示。展示知识库返回结果中的文件来源内容，方式按照知识库名称进行组织，并展示对应的文件数量，格式为{知识库名称}（{文件数量}条）。</w:t>
            </w:r>
          </w:p>
        </w:tc>
      </w:tr>
      <w:tr w14:paraId="1B438A66">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9259E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B22A2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应用场景接入服务-知识问答服务-回答过程进度反馈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63FE4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用户等待AI助理输出的过程中，增加任务链运行到哪个节点的进度即时反馈，例如“正在进行图片理解...”或“正在执行代码解析...”。在返回首字时，清除气泡框内的过程反馈提示，开始流式输出结果。</w:t>
            </w:r>
          </w:p>
        </w:tc>
      </w:tr>
      <w:tr w14:paraId="05A6DBB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08C47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187E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应用场景接入服务-知识问答服务-指定库问答模式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EAAE3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用户点击推荐库后，进入知识问答模式，用户再发送提问则指定在该知识库中检索答案（不经过智能体）。此时提问框上方知识库问答控件显示所选知识库名称。移入知识库名称显示关闭按钮，点击关闭按钮可退出知识问答模式，回到智能体问答。</w:t>
            </w:r>
          </w:p>
        </w:tc>
      </w:tr>
      <w:tr w14:paraId="7AC2705E">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3E80F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A7A79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应用场景接入服务-知识问答服务-归纳参考文件来源定位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703D7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AI助理根据用户提问，在所选知识库中检索并归纳出答案，支持引用到的相关知识库和文档名称显示在归纳的答案下方，干警点击文档名称可跳转查看具体知识库的具体法律法规核心条款。</w:t>
            </w:r>
          </w:p>
        </w:tc>
      </w:tr>
      <w:tr w14:paraId="42702C7A">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A7810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680C4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AI助理对话窗体开发-待办事项聚合展示-助手悬浮球动态提醒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CBF93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助手悬浮球动态提醒，AI助理动态实时提醒待办事项，当有待办事项时会主动告知用户，鼠标移入悬浮球可查看不同类型的待办数量，支持点击查看待办事项的具体内容，助力法官/法官助理高效处理事务，避免遗漏。</w:t>
            </w:r>
          </w:p>
        </w:tc>
      </w:tr>
      <w:tr w14:paraId="1A5F59DF">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3DAC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A0B4E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AI助理对话窗体开发-待办事项聚合展示-窗口式对话处理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D6C1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提供窗口式对话处理，通过AI助理对话式集中展示了要处理的信息，法官/法官助理无需切换多个界面，只需要通过AI助理对话框查询待办事项，让待办管理更高效、更流畅。</w:t>
            </w:r>
          </w:p>
        </w:tc>
      </w:tr>
      <w:tr w14:paraId="20D944D9">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3E4F1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D7F47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AI助理对话窗体开发-待办事项聚合展示-待办聚合展示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24AA8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提供待办聚合展示，按照办公、办案等具体业务场景，针对不同业务维度智能聚合不同类型的待办，实现不同待办分类可视化呈现，告别杂乱列表，提供批量快捷处理，让办事更具效率。</w:t>
            </w:r>
          </w:p>
        </w:tc>
      </w:tr>
      <w:tr w14:paraId="1217BCF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F1F6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E269E0">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AI助理对话窗体开发-待办事项聚合展示-待办汇总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B459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提供法官/法官助理的全量待办汇总，支持法官/法官助理快速查找已办和待办的全量信息。根据办公、办案等场景对待办进行分类展示。</w:t>
            </w:r>
          </w:p>
        </w:tc>
      </w:tr>
      <w:tr w14:paraId="37D90D8E">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A13867">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8858D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AI助理对话窗体开发-多轮对话管理-新对话功能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F0776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提供新对话功能，支持法官和助理随时新建独立对话，保存当前对话为历史记录，并立即开启新对话，确保交互界面符合法官办公习惯，提升办公办案沟通效率。</w:t>
            </w:r>
          </w:p>
        </w:tc>
      </w:tr>
      <w:tr w14:paraId="42BF9B35">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D0F63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5708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AI助理对话窗体开发-多轮对话管理-场景识别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A49EE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基于场景化的意图识别能力，根据法官/法官助理的输入内容，根据后台的场景划分及触发规则，识别法官/法官助理所在的办公或者办案场景，智能匹配对应场景下的智能体能力，进一步提升模型能力的准确性</w:t>
            </w:r>
          </w:p>
        </w:tc>
      </w:tr>
      <w:tr w14:paraId="31175C68">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9CA6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FFD25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AI助理对话窗体开发-多轮对话管理-来回对话交互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9334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支持来回对话，根据会话内容将历史对话记录带入到提问中，在多轮对话交互中，准备识别法官和法官助理的对话意图获取更准确的对话结果。</w:t>
            </w:r>
          </w:p>
        </w:tc>
      </w:tr>
      <w:tr w14:paraId="4FBF5A1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A3A2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94511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AI助理对话窗体开发-多轮对话管理-重新开启对话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E6E10C">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针对全新对话功能，提供法官/法官助理清除当前对话记录，重新开启对话，确保案件辅助准确性。</w:t>
            </w:r>
          </w:p>
        </w:tc>
      </w:tr>
      <w:tr w14:paraId="5EA074F7">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AD31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6348E8">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AI助理对话窗体开发-多轮对话管理-历史对话查询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402CF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提供历史对话功能，支持法官/法官助理查看、点击和删除历史对话，并按照时间归类，展示历史对话最新问题，提升法官查询效率。</w:t>
            </w:r>
          </w:p>
        </w:tc>
      </w:tr>
      <w:tr w14:paraId="6391BD92">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9A102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13F35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AI助理对话窗体开发-问答交互-重新问答</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FF240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针对重新问答功能，提供对生成的内容调用Ai能力进行二次生成，并重新调用生成差异化回答版本，实现输出结果的多样性。</w:t>
            </w:r>
          </w:p>
        </w:tc>
      </w:tr>
      <w:tr w14:paraId="6924B6A4">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39219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BCFBC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AI助理对话窗体开发-问答交互-回答内容样式动态渲染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EF3B21">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针对各类办案应用场景提供差异化样式渲染，助理提供回答内容样式动态渲染能力，支持根据业务的配置规则、智能体的输出内容，对回答内容的样式进行动态渲染，支持表单样式、表格样式、列表样式的加载</w:t>
            </w:r>
          </w:p>
        </w:tc>
      </w:tr>
      <w:tr w14:paraId="667E3AE1">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46FAE">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F6CB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AI助理对话窗体开发-问答交互-点赞及点踩互动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2272A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针对应用场景接入服务生成内容提供点赞及点踩互动功能，同时支持一键快速复制回答内容，确保法官可便捷执行内容评价与信息复用操作，有效提升业务效率与使用体验。</w:t>
            </w:r>
          </w:p>
        </w:tc>
      </w:tr>
      <w:tr w14:paraId="67581DB5">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700F43">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045612">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AI助理对话窗体开发-问答交互-服务唤醒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02D584">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提供应用场景接入服务唤醒功能，法官通过点击可快速激活，进入问答对话窗口，确保在任意界面皆可一键触达智能服务，降低法官学习成本，提升人机协同效率。</w:t>
            </w:r>
          </w:p>
        </w:tc>
      </w:tr>
      <w:tr w14:paraId="670881DB">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02C57D">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201B5">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AI助理对话窗体开发-应用场景管理-用户行为识别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2025DA">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用户行为识别，根据URL及页面截图识别，助手会自动获取当前浏览器页面的URL地址和系统截图，根据URL和截图的关键标识及后台配置规则，识别用户当前所在的业务系统，进一步识别出法官所在的办公、办案的行为场景</w:t>
            </w:r>
          </w:p>
        </w:tc>
      </w:tr>
      <w:tr w14:paraId="07D92A1C">
        <w:tblPrEx>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615C9B">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53D199">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AI助理对话窗体开发-应用场景管理-引导语定制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82268F">
            <w:pPr>
              <w:tabs>
                <w:tab w:val="left" w:pos="7513"/>
              </w:tabs>
              <w:ind w:firstLine="0" w:firstLineChars="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提供引导语功能，支持介绍当前智能体主要功能，设置友好引导语，展示3个当前对话智能体推荐指令，清晰引导法官使用并自定义配置，确保引导语精准匹配法官业务需求与任务目标。</w:t>
            </w:r>
          </w:p>
        </w:tc>
      </w:tr>
    </w:tbl>
    <w:p w14:paraId="4CB552A0">
      <w:pPr>
        <w:ind w:firstLine="640"/>
      </w:pPr>
    </w:p>
    <w:p w14:paraId="1C12D56F">
      <w:pPr>
        <w:rPr>
          <w:rFonts w:ascii="楷体" w:hAnsi="楷体" w:eastAsia="楷体" w:cs="楷体"/>
          <w:b/>
          <w:bCs/>
          <w:szCs w:val="32"/>
        </w:rPr>
      </w:pPr>
      <w:r>
        <w:rPr>
          <w:rFonts w:hint="eastAsia" w:ascii="楷体" w:hAnsi="楷体" w:eastAsia="楷体" w:cs="楷体"/>
          <w:b/>
          <w:bCs/>
          <w:szCs w:val="32"/>
        </w:rPr>
        <w:br w:type="page"/>
      </w:r>
    </w:p>
    <w:p w14:paraId="5FA232DE">
      <w:pPr>
        <w:ind w:firstLine="0" w:firstLineChars="0"/>
        <w:outlineLvl w:val="2"/>
        <w:rPr>
          <w:rFonts w:ascii="楷体" w:hAnsi="楷体" w:eastAsia="楷体" w:cs="楷体"/>
          <w:b/>
          <w:bCs/>
          <w:szCs w:val="32"/>
        </w:rPr>
      </w:pPr>
      <w:r>
        <w:rPr>
          <w:rFonts w:hint="eastAsia" w:ascii="楷体" w:hAnsi="楷体" w:eastAsia="楷体" w:cs="楷体"/>
          <w:b/>
          <w:bCs/>
          <w:szCs w:val="32"/>
        </w:rPr>
        <w:t>4.智能体建设</w:t>
      </w:r>
    </w:p>
    <w:tbl>
      <w:tblPr>
        <w:tblStyle w:val="7"/>
        <w:tblW w:w="4999" w:type="pct"/>
        <w:tblInd w:w="0" w:type="dxa"/>
        <w:tblLayout w:type="autofit"/>
        <w:tblCellMar>
          <w:top w:w="0" w:type="dxa"/>
          <w:left w:w="108" w:type="dxa"/>
          <w:bottom w:w="0" w:type="dxa"/>
          <w:right w:w="108" w:type="dxa"/>
        </w:tblCellMar>
      </w:tblPr>
      <w:tblGrid>
        <w:gridCol w:w="671"/>
        <w:gridCol w:w="2253"/>
        <w:gridCol w:w="5596"/>
      </w:tblGrid>
      <w:tr w14:paraId="25B1B981">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C5828">
            <w:pPr>
              <w:widowControl/>
              <w:ind w:firstLine="0" w:firstLineChars="0"/>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序号</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BF9F1">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功能名称</w:t>
            </w:r>
          </w:p>
        </w:tc>
        <w:tc>
          <w:tcPr>
            <w:tcW w:w="3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62EE9">
            <w:pPr>
              <w:widowControl/>
              <w:ind w:firstLine="0" w:firstLineChars="0"/>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功能描述</w:t>
            </w:r>
          </w:p>
        </w:tc>
      </w:tr>
      <w:tr w14:paraId="775BA75E">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532A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21B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文书送达智能体-感知与交互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722453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一、感知与交互：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监测送达任务发起时机，通过AI助理实现与法官的信息交互，确认任务所附带内容及执行任务确认，包括以下内容：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1.识别送达任务发起时机，是否可发起自动送达任务如： 过程性文书是否已生成（受理通知书、举证通知书）、送达的结案文书是否已签发</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识别送达文书类型、发送对象、案件类型（民事一审）、案由等，以判断应同时自动附加发送的文书。例如：信用卡纠纷、物业服务合同纠纷、机动车交通事故责任纠纷、股东知情权纠纷等案件，向被告发送《应诉通知书》时附加《事实答辩表》。如是金融借款合同纠纷则再附加《金融借款合同纠纷诉请变更申请》。</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3.识别是否可打包送达，以减少送达频次，避免过多打扰当事人。如当前已有多份文书需向同一当事人送达，则将文书打包，一次发送。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识别是否可直接送达，还是以AI助理消息提醒或是页面交互方式，告知法官待办任务。例如《传票》、庭前过程文书（《受理通知书》、《举证通知书》）等，制作完成就可直接送达。如是《失信限高决定书》通过与法官交互确认可送达后执行送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5.识别案件当前已到达送达时机（如《受理通知书》、《传票》等已生成），且识别到缺失送达关键信息（如联系电话），则生成待办提示信息，通过与法官交互补充信息后执行送达。</w:t>
            </w:r>
          </w:p>
        </w:tc>
      </w:tr>
      <w:tr w14:paraId="224EC5C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D75F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CBE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文书送达智能体-意图识别与任务分流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2C989D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通过交互确定法官送达意图，并依据规则确定不同送达任务的执行方式。</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1.文书生成时，运行文书规范化表述预警模型，获得文书风险审查结果。确定是否发起文书送达阻断任务。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2.监测送达任务执行情况，确定是否启用失联修复任务。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3.监测经失联修复后的送达任务执行情况，如失败则执行邮寄送达任务。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4.监测邮寄送达执行情况，如失败则执行公告送达任务。</w:t>
            </w:r>
          </w:p>
        </w:tc>
      </w:tr>
      <w:tr w14:paraId="2D2CEBFA">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9D77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9024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文书送达智能体-任务执行与智能调度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99FACC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三、任务执行与智能调度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1.电子送达任务：自动校验文书完整性、自动生成送达信息单、自动送达或在法官同意后执行电子送达。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阻断任务：若预警模型即时反馈有风险，启动文书阻断任务，并向法官发出风险预警消息并给出修正意见，通过交互确定是否修正或忽略意见继续送达。若2小时内收到规范化表述的预警模型输出结果，若有风险启动文书阻断任务，并向法官发出风险预警消息并给出修正意见，通过交互确定是否继续送达。若留滞2小时后仍未收到文书规范化表述的预警模型输出结果，则继续执行送达任务。若风险预警消息推出24时，无任何处理，则继续送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失联修复任务：电子送达发起后2小时内无送达回执，判断任务失败，并对失败原因进行分析。若运营商网络原因，自动执行重新送达；若短信发送失败或短信发送成功但当事人主观原因不反馈的，系统自动多渠道获取联系电话（当事人历年案件送达成功信息、运营商协查、上海大数据中心协查）。利用大数据中心进行协查时，为提高准确度，根据当事人类型分别工商（企业）、运营商（自然人）、律师库（律师）发起协查。自动比对分析号码，更新联系方式，运营商协查获取的号码与发送失败的号码进行去重，按照新号码直接发送电子送达确认书，其他途径协查获取的手机号与法官预先填写有差异时，提交法官确认是否依据新号码发送，确认则直接发送电子送达。理解法官是否需对新号码重新送达，确认则重新执行自动送达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4.邮寄送达任务：预生成邮寄面单，利用AI助理消息中枢向法官询问是否转邮寄送达，若同意邮寄且确认面单信息后，发起邮寄送达。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公告送达任务：判断送达地域，若市内送达则预生成市内公告文书，否则预生成市外公告文书；利用AI助理消息中枢向法官询问是否转公告送达；若同意公告送达且确认公告文书内容后，执行公告送达任务；监测市外公告送达缴费情况，回填缴费信息。</w:t>
            </w:r>
          </w:p>
        </w:tc>
      </w:tr>
      <w:tr w14:paraId="4452DAD0">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0BD3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E0D0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文书送达智能体-持续学习与优化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4A251B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四、持续学习与优化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1.模拟法官日常的使用场景，测试任务链的完整性和性能，并通过管理后台收集法官使用反馈和日常使用数据，对提示词、任务链进行优化。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2.构建送达记忆体，记忆送达成功信息，为下次送达提供推荐联系信息数据。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基于智能体预审查及推送的消息，集成构建送达信息集成页面，法官可查看电子送达/邮寄送达/公告送达的待办任务，支持一键发起送达或取消送达，查看近期的送达情况，查看有失联修复的途径查到的新送达地址，查看模型提示的阻断送达风险预警信息，选择修改后送达或忽略直接送达，提升送达管理透明度和效率。</w:t>
            </w:r>
          </w:p>
        </w:tc>
      </w:tr>
      <w:tr w14:paraId="13251573">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0908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9AA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辅助立案智能体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F0FF70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针对劳动者与用人单位对同一仲裁裁决均提出诉讼或撤销申请的情形，通过AI语义分析与管辖规则库，自动识别双诉案件特征，智能推送合并审理建议、管辖调整方案及文书生成策略，实现类案集中处理、裁量标准统一与裁判文书自动化生产，提升审判质效与司法公信力。服务内容如下：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一、感知与交互：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实时抓取立案系统的案件基础数据，通过技术识别诉讼主体身份（劳动者/用人单位）、诉讼请求及关联仲裁裁决文书编号；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对接审判系统调取管辖信息，动态感知双方起诉案件的受理法院、立案时间等关键节点；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通过法官工作台弹窗与高亮标注方式，向承办法官实时推送双诉案件关联性预警提示。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二、意图识别与任务分流：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基于裁判规则库构建双诉案件判定模型，当识别到同一仲裁裁决存在双向起诉时，自动比对「劳动者起诉」与「用人单位起诉」的受理法院字段：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若为同一法院，触发「合并审理」流程并推送民事裁定书生成指令；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若为不同法院且存在管辖权争议，触发「依职权移送管辖」审查流程；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若用人单位单独提出撤裁申请且不符合法定条件，触发「驳回撤裁申请」审查流程。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三、任务执行与智能调度：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内置「合并审理」「移送管辖」「驳回撤裁」三类民事裁定书智能模板，根据案件特征自动填充当事人信息、仲裁裁决内容、管辖依据等结构化数据；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调用裁判文书生成引擎，对需人工确认的争议焦点、法律依据等非标准化内容生成多版本建议文本，供法官勾选修订；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通过审判系统接口自动发起电子送达任务，对生成的裁定书同步加盖电子签章并归档至电子卷宗。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四、持续学习与优化：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采集法官对AI生成裁定的采纳率、修改标注数据，优化文书模板的条款表述与变量填充逻辑；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基于历史管辖权异议裁判结果，动态更新管辖规则判定权重系数；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通过案例反哺机制，将新型争议场景纳入双诉识别模型训练样本库，提升复杂情形的分类准确率。</w:t>
            </w:r>
          </w:p>
        </w:tc>
      </w:tr>
      <w:tr w14:paraId="64B10E6F">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FD68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5EBF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当事人信息收集与分析智能体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AE06E7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一、感知与交互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针对案件被告人信息，系统通过法官操作行为触发协查审批流任务；在审批通过后自动启动信息协查流程，并将协查结果推送至申请人。当法官打开相关页面时，系统根据业务规则主动触发协查结果推送及信访预警任务，向法官推送信访预警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法官主动点击“信息协查”操作，自动触发“信息协查”任务链；法官打开当事人信息操作，自动触发“涉及信访预警”任务链。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信息协查：系统根据法官操作自动调用审批流程工具，依据既定业务规则向对应节点审批人推送待办事项；审批通过后，智能体发起信息协查任务，调用接口获取上海市公共数据平台信息，包括公安实有人口信息、残疾人证信息、家庭亲属关系、个人社保缴费情况和企业登记信息等，并进行整合汇总；协查完成后，按既定规则主动向法官反馈协查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当事人涉及信访预警：系统以案件信息和当事人信息作为请求参数触发智能体，调用数据中台接口，在全市法院信访结构化数据中查找该当事人相关的信访记录；借助大模型归纳总结能力，对信访记录进行分类整理与总结；根据业务规则生成不同维度的数据标签，实现对当事人的信访风险标记，并将预警信息推送至承办法官。</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四、持续学习与优化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系统模拟法官日常使用场景，测试各任务链的完整性与运行性能，并通过管理后台收集法官使用反馈和操作数据，持续对提示词、任务流程、模型输出逻辑进行优化，不断提升系统的智能化水平和服务质量。</w:t>
            </w:r>
          </w:p>
        </w:tc>
      </w:tr>
      <w:tr w14:paraId="717E0890">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890A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292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被执行人财产线索分析及处置智能体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02E5EB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一、感知与交互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系统实时接入当事人提交的执行线索结构化数据、执行流程节点数据、大数据中心协同数据，并通过全国执行财产查询接口获取被执行人财产线索及变化情况。向法官发起授权申请，经法官确认后，定期对财产线索进行轮询查询，并根据法官授权自动启动财产处置流程；根据案件结案状态获取执行完毕案件信息，在法官授权下自动解除相关执行措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系统通过当事人提交的执行线索结构化数据或完成人机对话提交笔录入卷，识别财产线索处置意图，自动触发执行线索收集办理任务链。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三、上下文与多轮对话管理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支持10-30轮自然语言对话，具备关键信息定期总结能力，支持动态意图识别；系统可跟踪对话状态，在信息采集完成后主动结束对话，确保交互高效有序。</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四、任务执行与智能调度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当事人通过执行线索提交服务主动操作，系统启动执行线索收集任务，通过文本交互引导其提交执行线索，并将交互内容抽取为结构化数据回填至办案系统；自动调用法官AI助理待办事项接口，向法官推送财产核实任务；核实后的财产线索纳入当事人财产版图并提示法官查看；经法官授权后，结合业务规则进行财产预处理和文书预生成，提醒法官确认；确认后自动触发财产处置流程和文书送达任务链，完成电子送达并监控送达状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五、持续学习与优化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系统模拟法官与当事人的使用场景，测试任务链完整性及文书生成效果，并通过管理后台收集用户反馈与日常使用数据，持续优化提示词设计和任务流程，不断提升智能化服务水平。</w:t>
            </w:r>
          </w:p>
        </w:tc>
      </w:tr>
      <w:tr w14:paraId="1B1FCF6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6FC7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7CE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司法鉴定专项管理-感知与交互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48911E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在司法鉴定业务流转进程中，通过感知司法鉴定业务流转变化，驱动司法鉴定各模型规则执行，当流程办理角色对象进入平台或个案时，在AI助理进行交互，包括以下内容：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1.感知鉴定事件流转到新的对象时，触发待办提醒模型规则执行，为推送对象提供待办提醒；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2.监控鉴定事件流程阶段变化，根据预设的司法鉴定流程节点监控模型，触发超期提醒模型规则执行，为推送对象提供超期提醒；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3.感知到流程流转至承办审核登记阶段，触发谈话预创建模型规则启动执行；</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4.感知到流程流转至审核阶段，触发预审查模型规则执行，为推送对象提供法鉴定预审查要件指引；</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5.感知到流程流转至鉴定开始、鉴定结束，触发审限暂定/恢复审查模型规则执行，为推送对象提供法鉴定审限暂定/恢复要件指引；</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6.感知到流程流转至立案庭审核接收，触发机构推荐模型规则执行，为推送对象推荐机构；</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7.感知到流程流转至立案庭审核接收，触发文书预生成模型规则执行，为推送对象推荐预生成司法鉴定告知书、委托书。</w:t>
            </w:r>
          </w:p>
        </w:tc>
      </w:tr>
      <w:tr w14:paraId="16DE880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1E0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1BF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司法鉴定专项管理-意图识别与任务分流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A1D813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分析推送对象在当前司法鉴定所处流程阶段的办理意图，通过AI助理人机交互为推送对象提供指向操作，根据操作的点击事件触发办理任务执行或阶段流转：</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1.分析推送对象存在谈话意图，可链接至“微法庭”创建、修改排期，进入谈话；</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2.分析推送对象存在审核判断的意图，可链接至“要件指引”查看司法鉴定预审查结果；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3.分析推送对象存在判断审限暂定恢复是否恰当的意图，可链接至“要件指引”查看司法鉴定审限暂停/恢复审查结果；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4.分析推送对象存在选定机构意图，为操作人提供“机构推荐分析结果”；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5.分析推送对象存在将告知书、委托书发送委托机构的意图，可链接至预生成的“司法鉴定告知书/委托书”编辑修改、发起送达；</w:t>
            </w:r>
          </w:p>
        </w:tc>
      </w:tr>
      <w:tr w14:paraId="0D6F755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AE1B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9D1F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司法鉴定专项管理-任务执行与智能调度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F970D5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司法鉴定业务流转进程中会触发待办提醒、超期提醒、预审查、谈话、审限暂停、告知书、委托书预生成、审限恢复、机构推荐、分析报告这些模型的调度执行，通过AI助理人机交互中的指向操作，为操作人提供接续智能调度，实现利用AI助理驱动司法鉴定全流程办理、可视化智能体应用成效管理的目标：</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1.启动：推送阶段条件成就时触发；</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2.任务执行：推送对象进入平台或个案时通过AI助理进行人机交互，操作人通过点击事件触发指向操作模型根据指向操作的意图接续调度或触发业务流转；</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智能调度：继续办理意图引发调度对应业务办理页面；继续谈话意图引发调度微法庭排期；继续审查意图引发调用要件指引模型；继续选定机构意图，引发机构推荐分析结果呈现；继续告知书、委托书发送委托机构的意图，发起送达；</w:t>
            </w:r>
          </w:p>
        </w:tc>
      </w:tr>
      <w:tr w14:paraId="0B7468C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92DD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5CA3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司法鉴定专项管理-持续学习与优化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8E0BC7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模拟法官日常的使用场景，测试任务链的完整性及输出信息的效果，并通过管理后台收集法官使用反馈和日常使用数据，对提示词、任务链进行优化。</w:t>
            </w:r>
          </w:p>
        </w:tc>
      </w:tr>
      <w:tr w14:paraId="3F88C8C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863F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5F6E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辅助结案智能体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00CBC8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查询提出撤诉申请的案件信息，AI助理向法官推送提醒，法官进行是否同意撤诉判定，如法官同意撤诉，自动生成撤诉裁定书，完成撤诉流程。在终版文书生成后，自动识别回填案件空缺信息，回填内容与已录入信息项区别显示。提高法官工作效率。</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建设内容如下：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一、感知与交互：自动对提出撤诉申请的案件进行识别，构建生成撤诉裁定书的判断逻辑关系，实现自动感知同意撤诉记录时，生成撤诉裁定书。实时感知案件终版文书的电子材料，及时识别回填案件空缺信息。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对撤诉申请条件进行识别，区分同意撤诉申请和不同意撤诉申请类型，根据不同类型执行不同任务，同意撤诉申请，生成撤诉笔录并辅助生成撤诉裁定书入卷。并从生成的裁定书中自动抓取案由、宣判日期、是否缺席审判等关键要素，智能回填至案件对应要素中。不同意撤诉申请，生成撤诉申请记录并入卷。</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1.获取案件信息、法官信息作为请求参数触发智能体；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2.调用要素提取能力，提取案件关键要素（包括：姓名、性别、案由等信息）；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3.调用文书生成服务，自动生成撤诉裁定书；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4.调用AI助理消息待办接口，提醒法官进行确认。</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四、持续学习与优化：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模拟法官日常的使用场景，测试任务链的完整性及文书生成的效果，并通过管理后台收集法官使用反馈和日常使用数据，对提示词、任务链进行优化。</w:t>
            </w:r>
          </w:p>
        </w:tc>
      </w:tr>
      <w:tr w14:paraId="7455E719">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8338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CF5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排期智能体-感知与交互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8E0BBB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排期智能体：通过实时对接审判业务系统，整合案件排期与刑事案件警力安排功能，运用智能算法综合多维度因素自动完成排期决策、任务分流执行与多渠道送达提醒，并基于历史数据持续优化模型与规则，实现庭审排期全流程标准化、自动化与智能化，提升司法业务效率与协同管理能力。</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1.实时对接审判业务系统，自动感知法官名下案件状态，精准识别案件是否满足排期条件，主动推送排期提醒。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2.持续监控开庭时间节点，结合当事人信息、送达状态及刑事案件被告人风险等级、羁押地点等数据，动态判断是否触发开庭时间提醒或警力安排流程。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3.通过 AI 助理与法官、审判组织成员、法警等进行智能交互。</w:t>
            </w:r>
          </w:p>
        </w:tc>
      </w:tr>
      <w:tr w14:paraId="4AACF82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AA19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0369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排期智能体-意图识别与任务分流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B18674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排期任务分流：识别排期意图，基于预设排期规则、法官偏好、庭室类型、案件复杂程度等因素，精准识别排期意图，并结合法庭资源、人员日程安排生成多个候选排期方案。根据开庭时间识别出“需提醒”的案件，精准推送提醒消息，确保排期相关任务按流程、分角色有序流转。</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警力安排任务分流：针对刑事案件，依据被告人风险等级、法庭位置等信息，解析警力调配规范，自动判断所需警力类型（提押、庭审警戒、还押等），生成警力申请需求，推动任务按角色、流程在审判组织与法警部门间自动流转。</w:t>
            </w:r>
          </w:p>
        </w:tc>
      </w:tr>
      <w:tr w14:paraId="06F79833">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E341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45D2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排期智能体-任务执行与智能调度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18BFA4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1.排期任务执行：依托智能调度算法，综合考虑法官工作习惯、法庭使用频率、辅助人员排班、法警值班表及专业技能匹配等因素，自动生成最优开庭时段推荐，并支持一键确认完成排期。</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2.排期完成后，系统自动生成标准化开庭传票，联动送达智能体和消息服务平台，通过 12368 短信、微信公众号等多渠道送达当事人。</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3.自动生成预填关键信息的警力申请表单，经审判组织成员一键提交、法警队长一键确认后，锁定警力人员并分配任务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4.通过 AI 助理向法警推送任务详情。开庭前 3 日，系统再次触发精准提醒，确保当事人按时到庭，警力准时到岗。</w:t>
            </w:r>
          </w:p>
        </w:tc>
      </w:tr>
      <w:tr w14:paraId="2187EAAE">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3B9C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C9C7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排期智能体-持续学习与优化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F81ED2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基于历史排期数据、法庭资源利用率、法官工作效率、当事人出庭率、警力执行结果等关键指标，不断训练和优化排期推荐模型、提醒策略及警力调配规则。通过对各类排期场景与警力安排情况的持续分析和反馈，提升排期建议准确性与警力调配适配性</w:t>
            </w:r>
          </w:p>
        </w:tc>
      </w:tr>
      <w:tr w14:paraId="22883E8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4294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7F29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网上换押智能体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37BCC6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一、感知与交互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通过办案系统的业务数据感知发起换押环节，识别换押信息，为法官预填写生成换押文书。通过AI法官助理将换押证及换押回执推送给承办法官，待法官确认后，依托智能体为法官实现一系列预生成工作。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根据获取的网上换押信息，对法官需要办理的事项进行分析识别，推送待办任务，提醒法官办理。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三、上下文与多轮对话管理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记录法官在当前会话中的所有换押信息有效输入，确保多轮交互时语义连贯、逻辑闭环。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四、任务执行与智能调度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1.基于移送机关提交的换押材料获取要素信息，并进行语义理解；</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2.识别换押信息，适配换押证的文书模板；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3.基于获取的要素信息回填到换押证的模板内，供法官查看和调用；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4.法官审阅后送达至移送机关及看守所，看守所回执回传至系统；</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五、持续学习与优化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模拟法官日常的使用场景，测试任务链的完整性和性能，并通过管理后台收集法官使用反馈和日常使用数据，对提示词、任务链进行优化。</w:t>
            </w:r>
          </w:p>
        </w:tc>
      </w:tr>
      <w:tr w14:paraId="7441D007">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FDA5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D58A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代管款专项管理-感知与交互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B8B937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代管款智能体”，实现对代管款发放过程中关键节点的智能化辅助核查与监管，推动执行案件中资金管理工作的数字化转型。一方面，提升法院在案外人发款审核中的精准性与效率；另一方面，强化对延期发放行为的合规性监管，助力构建更加安全、透明、规范的司法代管款管理体系。服务内容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1.根据代管款发放流程，获取收款人信息，针对案外人发放情形，进行证明材料识别，并通过AI助理与法官进行提示信息交互；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2.根据代管款延期发放流程，获取申请人延期申请理由及上传的证明材料，并通过AI助理与法官进行提示信息交互；</w:t>
            </w:r>
          </w:p>
        </w:tc>
      </w:tr>
      <w:tr w14:paraId="5229D62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660B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2A87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代管款专项管理-意图识别与任务分流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E45B12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1.实时监听代管款发放流程，根据获取的流程节点、收款人信息，识别用户意图，如案外人发款、延期发放审查等进行智能任务分派。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2.案外人发放预审查任务分流：根据获取的收款人信息为案外人的情形，自动触发案外人发放流程，对案外人证明材料进行识别，根据案件类型（刑事案件、民事案件），进行任务分流。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3.案款延期发放申请预审查任务分流：根据申请理由对审查任务进行分流，如需要进行案款分配的、申请执行人经通知未认领的、案件依法被中止或暂缓执行的等15项延期理由。</w:t>
            </w:r>
          </w:p>
        </w:tc>
      </w:tr>
      <w:tr w14:paraId="4ABDBA1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B93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E6DF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代管款专项管理-任务执行与智能调度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632E61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在代管款业务流转进程中，区分以下智能交互场景，根据意图识别结果调用AI助理提醒，集成构建各类角色的代管款办理应用，支持一键审判待认领、待发放、待授权等多种代管款申请，再根据任务执行结果触发对应的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案外人发放预审查任务流：调用要素提取能力，提取被害人信息，法院信息（法院名称、开户行、户名、账号）等，如为刑事案件则判断刑事判决书、移送执行书、被害人清单、补充清单是否存在案外人信息，如民事案件则判断案外人主体是否为法院、个人、公司，并根据规则对证明材料进行判定，并通过AI助理向法官及审批人发出预警并提醒进行核对和审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延迟发放预审查任务流：调用要素提取能力，提取延期发放理由和证明材料中的关键要素信息；调用大模型分析能力，提交材料重点要素信息和15项延期理由进行核对分析，得出审查结果，如预审查异常，通过AI助理向法官及审批人发出预警提示并引导进行【同意】【不同意】【查看详情】操作。</w:t>
            </w:r>
          </w:p>
        </w:tc>
      </w:tr>
      <w:tr w14:paraId="79DB2621">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94E7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8917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代管款专项管理-持续学习与优化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34055B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模拟法官日常的使用场景，测试任务链的完整性及输出信息的效果，并通过管理后台收集法官使用反馈和日常使用数据，搭建可视化司法鉴定专项管理应用成效页面，对提示词、任务链进行优化。</w:t>
            </w:r>
          </w:p>
        </w:tc>
      </w:tr>
      <w:tr w14:paraId="0507B8E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8017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735C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审限管理智能体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2D6B58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审限预警智能体”通过构建自动化的审限监测与预警机制，自动识别并筛选出临近审限节点的案件以及已超审限未结案的案件，并依据预设的审限规则和时间节点进行动态监测，帮助法官高效掌控办案节奏，降低超期风险，同时为院庭长及审判管理部门提供有力的监督抓手，助力打造更加高效、规范、透明的审判管理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一、感知与交互：获取案件结构化信息，筛选和识别即将到期、超审限预警的案件，并通过AI助理与法官进行提示信息交互；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意图识别与任务分流：根据获取的案件信息，对审限时间进行识别，区分即将到期、超审限的案件，根据不同类型执行不同任务，审限近7天即将到期案件，通过AI助理提示法官审限到期，并支持查看详情；对于审限已超期案件，通过AI助理预警提示已超审限N天，并支持查看详情；</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三、任务执行与智能调度：调用要素提取能力，提取案件关键要素（包括：法官ID、案件信息、审限时间等），并调用AI助理消息待办接口，发送即将到期、超审限预警，提醒法官进行办理；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四、持续学习与优化：模拟法官日常的使用场景，测试任务链的完整性及输出信息的效果，并通过管理后台收集法官使用反馈和日常使用数据，对提示词、任务链进行优化。</w:t>
            </w:r>
          </w:p>
        </w:tc>
      </w:tr>
      <w:tr w14:paraId="6F4616C7">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C7A9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7FC6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辅助归档智能体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DBC1E6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一、感知与交互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实时监测关键业务节点（如上诉状入卷、申归提交、初验/复验完成、归档确认）；自动捕获流程状态变化（例：初验结果为“不通过”时触发提示）。</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根据操作行为识别任务类型（如书记员提交申归后自动触发承办人审核提示）结合业务规则判断优先级，将通知按角色职责分发，并实现跨系统调度：归档确认后自动通知立案管理系统启动移送流程。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自动勾选关键字段，上诉状入卷时，“本案是否上诉”标记为“是”）。归档确认后自动触发移送提示，打通案件流转通道。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四、持续学习与优化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通过退件/反复归档等异常数据，反向优化提示机制（如加强初验结果通知的及时性）。</w:t>
            </w:r>
          </w:p>
        </w:tc>
      </w:tr>
      <w:tr w14:paraId="5FCFE98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DA94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8241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上诉移送专项管理-感知与交互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DA2B9F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智能体服务场景：根据审判业务实际工作需要，对上诉移送进行全流程管控。结合案件信息、依托大模型，实现对移送流程各环节的预审查、预处理、预生成。通过对上诉移送全流程的监控，提供法官预警提示，辅助法官避免遗漏。</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感知与交互：智能体通过审判办案系统的业务数据感知一审案件结案后，识别案件当事人发生上诉情况，为法官预填写上诉信息、对上诉移送的快速审查，包括：上诉主体核验、材料完整性审查、上诉状递交时效性审查、公告是否到期审查、上诉状副本是否送达被上诉人的审查、二审法院管辖权审查、上诉费是否缴纳的审查。通过AI法官助理将审查结果推送给承办法官、一审法院签收人、二审法院签收人，待法官确认后，依托智能体为法官实现一系列预处理、预生成工作。</w:t>
            </w:r>
          </w:p>
        </w:tc>
      </w:tr>
      <w:tr w14:paraId="5138717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03D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50DD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上诉移送专项管理-意图识别与任务分流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9F10EF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2.意图识别与任务分流：意图识别与任务分流：根据获取的上诉移送信息，对法官需要办理的事项进行分析识别数据汇总，区分不同状态的上诉移送事件，推送待办任务，提醒法官进行办理。</w:t>
            </w:r>
          </w:p>
        </w:tc>
      </w:tr>
      <w:tr w14:paraId="4092A0C4">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FE1B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C616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上诉移送专项管理-任务执行与智能调度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FF1796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任务执行与智能调度：任务执行与智能调度：获取办案系统数据，筛查当事人提起上诉的民事一审结案案件，进行智能审查，根据意图识别结果调用AI助理提醒，通过AI法官助理推送审查结果给一审案件承办法官；法官确认移送后，发送预审查结果至一审立案庭审查 ；一审立案庭确认移送后，发送预审查结果至二审法院立案庭审查；二审法院立案庭审查通过后，预填写立案信息及文书生成，供法官审阅。并在上诉移送的各个环节，进行超期预警监控，提醒法官办理，辅助法官避免遗漏。</w:t>
            </w:r>
          </w:p>
        </w:tc>
      </w:tr>
      <w:tr w14:paraId="23A48F5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968A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A38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上诉移送专项管理-持续学习与优化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252FDA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4.持续学习与优化：持续学习与优化：测试任务链的完整性和性能，并通过管理后台收集移送审查任务数据，搭建可视化司法鉴定专项管理应用成效页面，并对提示词、任务链进行优化。</w:t>
            </w:r>
          </w:p>
        </w:tc>
      </w:tr>
      <w:tr w14:paraId="3740DFE7">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D402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E2CD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执行财产自动分配智能体</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C56108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自动抓取并确认债权人等关键信息，结合分配顺位和分配规则，自动计算分配顺序、受偿比例和金额并生成财产分配方案，从而提高执行规范化和效率，防止错误及遗漏分配。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一、感知与交互​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通过构建财产分配模板、分配顺位和债权分配规则，自动抓取本案及参与分配债权人信息，支持法官通过补充分配方案和信息，分配方案生成后，通过AI助理与法官进行提示信息交互。​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基于提取的债权人和财产信息，结合内置的分配顺位和债权分配规则、调用模板填充、分配计算、方案生成等任务流程。​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依据信息提取和风险判定结果自动化执行任务。首先，将确认后的债权人信息、财产信息自动填充到参与分配方案的对应栏目，无需法官手动录入。接着，根据内置的分配顺序规则（如优先受偿权优先于普通债权，普通债权按比例分配），自动对债权人进行排序；同时调用预设计算公式，结合财产总金额、各债权金额等数据，自动计算每个债权人的受偿比例和具体金额。若法官手动勾选调整分配顺序或修改某债权金额，系统立即联动计算模块重新计算受偿结果，确保实时更新。方案生成后，自动关联案件信息形成完整文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四、持续学习与优化​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模拟法官日常的使用场景，测试分配方案及规则的完整性及输出方案的效果，持续优化分配方案和计算规则，通过不断迭代，提高生成方案的规范化程度和法官使用效率。</w:t>
            </w:r>
          </w:p>
        </w:tc>
      </w:tr>
      <w:tr w14:paraId="755E653E">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2EA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DCFD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文书预生成类-民事判决书预生成智能体-感知与交互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E22790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构建民事判决书预预生成智能体，整合民事侵权纠纷（机动车交通事故、商标权 / 专利权侵害）、民事合同纠纷（信用卡、金融借款、物业、股权转让）、其他民事纠纷（股东知情权、证券虚假陈述）三大类案件，通过统一的智能处理框架解析案件材料，匹配对应模板与生成规则，自动生成规范化民事判决书初稿，覆盖民事案件核心场景，实现 “一类智能体适配多类型民事案件” 的高效处理模式。</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（一）感知与交互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感知法官在民事案件办理过程中的节点信息，能够接收获取对应案件相关资料，如机动车交通事故责任纠纷案件获取起诉状、事故责任认定书、保单、病历、庭审笔录、司法鉴定意见书等，侵害商标权纠纷获取商标注册证、侵权取证材料（含时间戳）、公证书、庭审笔录、答辩状等；侵害外观设计专利权纠纷获取专利证书、侵权产品比对材料、庭审笔录、当事人主张事实表、案件争议归纳表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2.提供简洁易用的交互界面，查看判决书文本，支持法官在线编辑。</w:t>
            </w:r>
          </w:p>
        </w:tc>
      </w:tr>
      <w:tr w14:paraId="11F23D2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13E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C44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文书预生成类-民事判决书预生成智能体-意图识别与任务分流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21E1E4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根据案件类型（如合同纠纷、侵权纠纷、信用卡纠纷等）和法官意图，将任务分配到对应的民事侵权纠纷、民事合同纠纷、其他民事纠纷任务。比如，对于金融借款合同纠纷，分配到民事合同纠纷分析子任务，匹配对应文书模版、段落生成规则、提示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2.对于侵权的按“权利基础→侵权事实→责任认定” 拆分任务，对于合同的按 “合同效力→履行事实→违约认定” 拆分任务。其他民事的如 “股东纠纷”“证券虚假陈述” 等，按 “权利基础认定→事实争议审查→法律适用” 拆分任务。</w:t>
            </w:r>
          </w:p>
        </w:tc>
      </w:tr>
      <w:tr w14:paraId="5D8340D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FF6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84D0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文书预生成类-民事判决书预生成智能体-上下文与多轮对话管理</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699857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（三）上下文与多轮对话管理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支持法官在文书生成过程中重新输入指令（提示词），在多轮交互中，准确理解法官的意图和提到的信息。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根据法官在多轮对话中提供的新信息或修改意见，依据指令内容自动按照权重、段落历史语料，生成更具针对性的全新生成指令。及时调整文书生成的意图和方向。如法官在看到初稿后提出增加某一争议点的分析，智能体据此调整后续生成策略。</w:t>
            </w:r>
          </w:p>
        </w:tc>
      </w:tr>
      <w:tr w14:paraId="61125231">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99A9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8120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文书预生成类-民事判决书预生成智能体-任务执行与智能调度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342C65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（四）任务执行与智能调度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1.模板调用：根据案件类型调用对应的民事判决书模板，如针对侵害商标权纠纷调用专门的商标权纠纷判决书模板。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2.案件要素提取：调用通过NLP技术，自动解析起诉状、答辩状、证据清单、庭审笔录等材料，提取关键案件事实要素。</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段落生成：按照民事判决书模板调用预先制定的各个文书段落生成规则，结合归纳提示词，调用文书构建服务生成诉讼请求、事实理由、答辩意见、审理查明等5个段落内容。如：金融借款合同纠纷判决书，根据庭审笔录、原告主张事实表、被告答辩事实表、案件争议归纳表归纳总结当事人信息、诉讼请求、事实和理由、事实认定、裁判理由、裁判依据、判决主文段落。根据原告主张事实表中的诉讼请求，归纳总结原告诉讼请求；根据被告答辩事实表中的答辩意见，归纳总结被告答辩内容；根据案件争议归纳表中的无争议要素和有争议要素，归纳总结事实认定和裁判理由。</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4.资源调度：合理调度计算资源，确保在规定时间内完成文书生成任务。对于复杂案件，可分配更多的计算资源进行深度分析和生成。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5.初稿预生成并审核：生成初稿后，自动审核，检查逻辑一致性、法律适用准确性等。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6.调用AI助理提醒法官文书生成结果消息，内容包含案件名称、案号、文书生成状态等，并支持一键查看详细文书。</w:t>
            </w:r>
          </w:p>
        </w:tc>
      </w:tr>
      <w:tr w14:paraId="52C71615">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907B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10AE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文书预生成类-民事判决书预生成智能体-持续学习与优化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E5DA42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（五）持续学习与优化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1.收集法官使用反馈、生成的文书数据以及案件实际处理结果等信息。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2.基于日志分析优化文书段落提示词（如针对股东知情权案件，强化 “前置程序是否完成” 的论证提示）；</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3.依据法官使用情况反馈结合机器学习提升要素提取准确性。</w:t>
            </w:r>
          </w:p>
        </w:tc>
      </w:tr>
      <w:tr w14:paraId="6DF1ADF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1983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8B21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文书预生成类-刑事判决书预生成智能体-感知与交互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F3B51C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刑事类文书预预生成智能体，整合危害公共安全类犯罪（危险驾驶罪、交通肇事罪）、侵犯财产类犯罪（盗窃罪、诈骗罪、掩饰、隐瞒犯罪所得、犯罪所得收益罪）、妨害社会管理秩序类犯罪（帮助信息网络犯罪活动罪、袭警罪、妨害公务罪）、侵犯公民人身权利类犯罪（故意伤害罪）四大类高频刑事案件，通过标准化的智能处理框架深度解析案件材料，精准匹配对应文书模板与生成规则，自动生成规范化刑事判决书初稿，全面覆盖刑事审判核心场景，实现 “一类智能体适配多类型刑事案件” 的高效司法文书处理模式。</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（一）感知与交互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1.感知法官在刑事案件办理过程中的节点信息，能够接收获取案件相关资料，如危险驾驶罪 / 交通肇事罪获取公诉书、强制措施记录、事故认定书、酒精检测报告、庭审笔录等；盗窃 / 诈骗 / 故意伤害罪获取起诉书、认罪认罚具结书、被害人陈述、庭审笔录、鉴定意见等；其他罪名获取起诉书、庭审笔录、证据材料（如监控录像、证人证言）、量刑建议书等。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2.提供简洁易用的交互界面，查看判决书文本，支持法官在线编辑。</w:t>
            </w:r>
          </w:p>
        </w:tc>
      </w:tr>
      <w:tr w14:paraId="779D485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F40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397E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文书预生成类-刑事判决书预生成智能体-意图识别与任务分流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DAA40C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根据案件类型（如盗窃罪、危险驾驶罪、袭警罪等）和法官意图，将任务分配到合同分析危害公共安全类犯罪、侵犯财产类犯罪、妨害社会管理秩序类犯罪、侵犯公民人身权利类犯罪等文书预生成子任务。如盗窃罪将分配到侵犯财产类犯罪子任务，匹配对应文书模版、段落生成规则、提示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2.识别 “减刑“假释”“撤销决定” 等意图，按 “罪犯信息一报请理由→财产履行一法条适用” 拆分任务，区分 “法定从严”“未成年” 等特殊情形。</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3.精准识别法官输入的指令分析审理查明、案件定罪、量刑建议等方面的意图。如法官强调要体现对被告人从轻处罚的考量，智能体识别该意图。</w:t>
            </w:r>
          </w:p>
        </w:tc>
      </w:tr>
      <w:tr w14:paraId="5B8B41D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5407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C5D4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文书预生成类-刑事判决书预生成智能体-上下文与多轮对话管理</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19F087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（三）上下文与多轮对话管理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支持法官在文书生成过程中重新输入指令（提示词），在多轮交互中，跟踪法官提及的案件细节和要求，形成清晰的案件处理思路和修改要求。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根据法官在多轮对话中提供的新信息或修改意见，依据指令内容自动按照权重、段落历史语料，生成更具针对性的全新生成指令。及时调整文书生成的意图和方向。如对量刑幅度的调整（如醉驾刑期减少 1 个月），在同类型案件中保持尺度一致；支持多轮反馈（修改量刑情节后重新生成 “本院认为”）。</w:t>
            </w:r>
          </w:p>
        </w:tc>
      </w:tr>
      <w:tr w14:paraId="70CADE9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3C3F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C773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文书预生成类-刑事判决书预生成智能体-任务执行与智能调度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C01352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（四）任务执行与智能调度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1.模板调用：根据案件类型调用对应的刑事判决书模板，如针对盗窃罪案件调用专门的盗窃罪案件判决书模板。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2.案件要素提取：调用通过NLP技术，自动解析公诉机关提供的起诉书正本、量刑建议书、认罪认罚具结书、庭审笔录等材料，提取关键案件事实要素。</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3.段落生成：按照刑事判决书模板调用预先制定的各个文书段落生成规则，结合归纳提示词，调用文书构建服务生成被告人情况、审理查明、证据认定情况、量刑建议、辩护人意见、本院认为等段落内容。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4.资源调度：合理调度计算资源，确保在规定时间内完成文书生成任务。对于复杂案件，可分配更多的计算资源进行深度分析和生成。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5.初稿预生成并审核：生成初稿后，自动审核，检查逻辑一致性、法律适用准确性等。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6.调用AI助理提醒法官文书生成结果消息，内容包含案件名称、案号、文书生成状态等，并支持一键查看详细文书。</w:t>
            </w:r>
          </w:p>
        </w:tc>
      </w:tr>
      <w:tr w14:paraId="611332E5">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C054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8606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文书预生成类-刑事判决书预生成智能体-持续学习与优化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E75242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（五）持续学习与优化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1.收集法官使用反馈、生成的文书数据以及案件实际处理结果等信息。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2.基于日志分析优化文书段落提示词提高刑事类文书预生成的质量和准确性；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3.依据法官使用情况反馈结合机器学习提升要素提取准确性。</w:t>
            </w:r>
          </w:p>
        </w:tc>
      </w:tr>
      <w:tr w14:paraId="67BBF3F4">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B5DE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2B17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文书预生成类-减刑假释案件文书预生成智能体-感知与交互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BE10741">
            <w:pPr>
              <w:widowControl/>
              <w:ind w:firstLine="0" w:firstLineChars="0"/>
              <w:jc w:val="left"/>
              <w:textAlignment w:val="top"/>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构建减刑假释案件文书预生成智能体，整合减刑假释案件准许撤销决定书、减刑假释案件裁定书等减刑假释类文书，通过一体化智能处理框架系统解析案件材料，精准匹配对应文书模板与生成规则，自动生成规范化减刑假释类法律文书初稿，全面覆盖减刑假释案件决定、裁定全流程核心场景，实现 “一类智能体适配多类型减刑假释文书” 的高效司法文书处理模式。</w:t>
            </w:r>
          </w:p>
          <w:p w14:paraId="15B9A9D8">
            <w:pPr>
              <w:widowControl/>
              <w:ind w:firstLine="0" w:firstLineChars="0"/>
              <w:jc w:val="left"/>
              <w:textAlignment w:val="top"/>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（一）感知与交互</w:t>
            </w:r>
          </w:p>
          <w:p w14:paraId="2DDD7782">
            <w:pPr>
              <w:widowControl/>
              <w:ind w:firstLine="0" w:firstLineChars="0"/>
              <w:jc w:val="left"/>
              <w:textAlignment w:val="top"/>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1.感知法官在减刑假释案件办理过程中的节点信息。</w:t>
            </w:r>
          </w:p>
          <w:p w14:paraId="1E85B41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2.提供简洁易用的交互界面，查看判决书文本，支持法官在线编辑。</w:t>
            </w:r>
          </w:p>
        </w:tc>
      </w:tr>
      <w:tr w14:paraId="2E5049A1">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6B2E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DBC8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文书预生成类-减刑假释案件文书预生成智能体-意图识别与任务分流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978A4C2">
            <w:pPr>
              <w:widowControl/>
              <w:ind w:firstLine="0" w:firstLineChars="0"/>
              <w:jc w:val="left"/>
              <w:textAlignment w:val="top"/>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（二）意图识别与任务分流</w:t>
            </w:r>
          </w:p>
          <w:p w14:paraId="0653E8C6">
            <w:pPr>
              <w:widowControl/>
              <w:ind w:firstLine="0" w:firstLineChars="0"/>
              <w:jc w:val="left"/>
              <w:textAlignment w:val="top"/>
              <w:rPr>
                <w:rFonts w:asciiTheme="minorEastAsia" w:hAnsiTheme="minorEastAsia" w:eastAsiaTheme="minorEastAsia" w:cstheme="minorEastAsia"/>
                <w:color w:val="000000"/>
                <w:kern w:val="0"/>
                <w:sz w:val="24"/>
              </w:rPr>
            </w:pPr>
            <w:r>
              <w:rPr>
                <w:rFonts w:hint="eastAsia" w:asciiTheme="minorEastAsia" w:hAnsiTheme="minorEastAsia" w:eastAsiaTheme="minorEastAsia" w:cstheme="minorEastAsia"/>
                <w:color w:val="000000"/>
                <w:kern w:val="0"/>
                <w:sz w:val="24"/>
              </w:rPr>
              <w:t>1.根据办理节点识别法官意图，将任务分配到减刑假释案件准许撤销决定书、减刑假释案件裁定书等文书预生成子任务。自动匹配文书模版和段落生成规则，如减刑假释案件裁定书匹配对应的文书模版、段落生成规则、提示词。</w:t>
            </w:r>
          </w:p>
          <w:p w14:paraId="6E03A2F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2.精准识别法官输入的指令分析生成撤销、裁定等方面的意图。</w:t>
            </w:r>
          </w:p>
        </w:tc>
      </w:tr>
      <w:tr w14:paraId="529D1BB5">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F2BC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708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文书预生成类-减刑假释案件文书预生成智能体-上下文与多轮对话管理</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EEA78A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（三）上下文与多轮对话管理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支持法官在文书生成过程中重新输入指令（提示词），在多轮交互中，跟踪法官提及的案件细节和要求，形成清晰的减刑假释案件修改要求。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根据法官在多轮对话中提供的新信息或修改意见，依据指令内容自动按照权重、段落历史语料，生成更具针对性的全新生成指令。及时调整文书生成的意图和方向。</w:t>
            </w:r>
          </w:p>
        </w:tc>
      </w:tr>
      <w:tr w14:paraId="7C1CD5F4">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03B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D50D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文书预生成类-减刑假释案件文书预生成智能体-任务执行与智能调度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9E8074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（四）任务执行与智能调度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1.模板调用：根据案件类型调用对应的减刑假释案件准许撤销决定书、减刑假释案件裁定书模板。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2.案件要素提取：调用通过NLP技术，自动解析公诉机关提供的执行机关报请材料、财产性判项履行记录、检察机关意见、庭审笔录、罪犯消费记录、社区矫正机关意见等材料，提取关键减刑假释事实要素。</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段落生成：按照减刑假释文书模板调用预先制定的各个文书段落生成规则，结合归纳提示词，调用文书构建服务，生成罪犯基础信息、假释时间要素、悔改表现要素、认罪服法、监规纪律、教育劳动、财产性判项、立功表现要素、社区矫正意见、机关意见要素、特殊情形提示、结论等段落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4.资源调度：合理调度计算资源，确保在规定时间内完成文书生成任务。对于复杂案件，可分配更多的计算资源进行深度分析和生成。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5.初稿预生成并审核：生成初稿后，自动审核，检查逻辑一致性、法律适用准确性等。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6.调用AI助理提醒法官文书生成结果消息，内容包含案件名称、案号、文书生成状态等，并支持一键查看详细文书。</w:t>
            </w:r>
          </w:p>
        </w:tc>
      </w:tr>
      <w:tr w14:paraId="7364446E">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E08D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CCF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文书预生成类-减刑假释案件文书预生成智能体-持续学习与优化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77EC53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（五）持续学习与优化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1.收集法官使用反馈、生成的文书数据以及案件实际处理结果等信息。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2.基于日志分析优化文书段落提示词提高减刑假释案件文书预生成的质量和准确性；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3.依据法官使用情况反馈结合机器学习提升要素提取准确性。</w:t>
            </w:r>
          </w:p>
        </w:tc>
      </w:tr>
      <w:tr w14:paraId="6D4D1E07">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EA73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9D72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文书预生成类-执行与审查案件文书预生成智能体-感知与交互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66AB1B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执行与审查案件文书预生成智能体，整合申请撤销劳动仲裁案件审理报告、终本案件核查报告两类执行与审查文书，基于仲裁裁决、终本案件数据等材料，生成规范化审查报告，辅助法官高效完成执行审查工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（一）感知与交互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1.感知法官在申请撤销劳动仲裁案件、终本案件核查办理过程中的节点信息，能够接收获取审查材料、仲裁数据、终本数据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2.提供简洁易用的交互界面，查看文书初稿，支持法官在线编辑。</w:t>
            </w:r>
          </w:p>
        </w:tc>
      </w:tr>
      <w:tr w14:paraId="2C2BE2D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B1D4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1A9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文书预生成类-执行与审查案件文书预生成智能体-意图识别与任务分流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74FF33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1.根据办理节点识别法官意图，将任务分配到申请撤销劳动仲裁案件审理报告、终本案件核查报告等文书预生成子任务，匹配对应的文书模版、段落生成规则、提示词。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2.识别 “劳动仲裁审査”“终本核査” 意图，按 “基本信息一审査要点一结论” 拆分任务，匹配对应数据提取规则(如终本案件优先提取合规性指标)。</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3.精准识别法官输入的指令分析生成申请撤销劳动仲裁案件审理报告、终本案件核查报告等方面的意图。</w:t>
            </w:r>
          </w:p>
        </w:tc>
      </w:tr>
      <w:tr w14:paraId="3662B1E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95BB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B8B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文书预生成类-执行与审查案件文书预生成智能体-上下文与多轮对话管理</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5F065A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（三）上下文与多轮对话管理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1.支持法官在文书生成过程中重新输入指令（提示词），在多轮交互中，跟踪法官提及的案件细节和要求，形成清晰的执行与审查报告生成思路和修改要求。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2.根据法官在多轮对话中提供的新信息或修改意见，依据指令内容自动按照权重、段落历史语料，生成更具针对性的全新生成指令。及时调整报告生成的意图和方向，支持多轮反馈。</w:t>
            </w:r>
          </w:p>
        </w:tc>
      </w:tr>
      <w:tr w14:paraId="3F3F57A3">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63D6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5AE8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文书预生成类-执行与审查案件文书预生成智能体-任务执行与智能调度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4D890B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（四）任务执行与智能调度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1.模板调用：根据案件类型调用对应的申请撤销劳动仲裁案件审理报告、终本案件核查报告模板，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2.案件要素提取，自动从终本案件材料和劳动仲裁案件材料中提取报告要素信息。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3.段落生成：根据报告生成规则，结合归纳提示词，调用文书构建服务，生成审查报告，如终本审查报告基于 “程序合规性 + 财产处置情况” 自动生成报告内容，主要涉及基本情况、主要问题、带财处置等内容。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4.资源调度：合理调度计算资源，确保在规定时间内完成文书生成任务。对于复杂报告，可分配更多的计算资源进行深度分析和生成。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5.初稿预生成并审核：生成初稿后，自动审核，检查逻辑一致性、法律适用准确性等。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6.调用AI助理提醒法官文书生成结果消息，内容包含报告名称、生成状态等，并支持一键查看详细文书。</w:t>
            </w:r>
          </w:p>
        </w:tc>
      </w:tr>
      <w:tr w14:paraId="10E4A257">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D91E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4978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文书预生成类-执行与审查案件文书预生成智能体-持续学习与优化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675297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（五）持续学习与优化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1.收集法官使用反馈、生成的文书数据以及报告实际处理结果等信息。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2.基于日志分析优化文书段落提示词提高执行和审查报告预生成的质量和准确性；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3.依据法官使用情况反馈结合机器学习提升要素提取准确性。</w:t>
            </w:r>
          </w:p>
        </w:tc>
      </w:tr>
      <w:tr w14:paraId="5D32409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0FA8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9333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文书预生成类-行政案件文书预生成智能体-感知与交互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8185EE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构建行政案件文书预生成智能体，聚焦工伤保险资格或待遇认定行政案件，通过解析行政行为决定书、复议材料、庭审笔录等，生成行政判决书初稿，重点审查行政行为的合法性与合理性，确保裁判理由与行政诉讼法规范一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（一）感知与交互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感知法官在工伤保险资格或待遇认定案件办理过程中的节点信息，能够接收获取根据庭审笔录、原告主张事实表、被告（原行为机关）答辩事实表、被告（复议机关）答辩事实表、第三人述称事实表、案件争议归纳表等材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2.提供简洁易用的交互界面，查看预生成文书初稿，支持法官在线编辑。</w:t>
            </w:r>
          </w:p>
        </w:tc>
      </w:tr>
      <w:tr w14:paraId="5DC6533E">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7176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5F68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文书预生成类-行政案件文书预生成智能体-意图识别与任务分流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AB011C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（二）意图识别与任务分流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1.根据办理节点识别法官意图，工伤保险资格或待遇认定行政案件匹配对应的文书模版、段落生成规则、提示词。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2通过 “行政判决”“工伤认定” 等关键词识别意图，按 “行政行为认定→程序合法性审查→实体合法性审查” 拆分任务，优先解析被告（行政机关）的答辩材料与行政行为决定书。</w:t>
            </w:r>
          </w:p>
        </w:tc>
      </w:tr>
      <w:tr w14:paraId="1316F79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E09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D090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文书预生成类-行政案件文书预生成智能体-上下文与多轮对话管理</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23438D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（三）上下文与多轮对话管理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支持法官在文书生成过程中重新输入指令（提示词），在多轮交互中，跟踪法官提及的案件细节和要求，形成清晰的案件审理思路和修改要求。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记忆法官对 “行政程序瑕疵” 的认定标准（如 “轻微程序瑕疵是否影响实体结果”），在同类案件中保持裁判逻辑一致，支持多轮反馈。</w:t>
            </w:r>
          </w:p>
        </w:tc>
      </w:tr>
      <w:tr w14:paraId="52BAB6C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4899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3630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文书预生成类-行政案件文书预生成智能体-任务执行与智能调度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2BDEFC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（四）任务执行与智能调度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1.模板调用：根据案件类型调用对应的行政案件文书模板，如工伤保险资格或待遇认定行政案件，调用工伤保险资格或待遇认定行政案件判决书模板。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2.案件要素提取：调用通过NLP技术，自动提取庭审笔录、原告主张事实表、被告（原行为机关）答辩事实表、被告（复议机关）答辩事实表、第三人述称事实表、案件争议归纳表归纳总结当事人段 - 行政、原告诉称、被告辩称、第三人述称等要素。</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3.任务执行：调用 OCR 处理非文本材料→行政行为合规性识别→程序瑕疵认定→法条关联适用法规→大模型按提示词生成裁判段落→模板引擎组合成完整文书；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4差异化处理：对工伤保险案件，重点校验 “工伤认定与事实依据的关联性”；对行政处罚案件，优先核查 “处罚幅度与违法情节的匹配度”；对行政许可案件，聚焦 “许可条件与申请人资质的符合性”。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5.初稿预生成并审核：生成初稿后，自动审核，检查逻辑一致性、法律适用准确性等。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6.调用AI助理提醒法官文书生成结果消息，内容包含案件名称、案号、文书生成状态等，并支持一键查看详细文书。</w:t>
            </w:r>
          </w:p>
        </w:tc>
      </w:tr>
      <w:tr w14:paraId="680201EA">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02AD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FFAB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文书预生成类-行政案件文书预生成智能体-持续学习与优化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3ED5F5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（五）持续学习与优化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1.收集法官使用反馈、生成的文书数据以及案件实际处理结果等信息。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2.基于日志分析优化文书段落提示词提高行政案件文书预生成的质量和准确性；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3.依据法官使用情况反馈结合机器学习提升要素提取准确性。</w:t>
            </w:r>
          </w:p>
        </w:tc>
      </w:tr>
      <w:tr w14:paraId="0376D1C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D6A2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C0B0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要件指引类-要件指引智能体-感知与交互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11ECA8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审判系统获取案号、案件进展阶段等结构化字段，对接法院电子卷宗系统获取起诉状、庭审笔录、证据清单、证据材料等实体材料并调用OCR能力识别非结构化文本（如扫描件、图片式证据），并通过模型能力提取关键实体（如当事人名称、案由、审查点关键词等）。在案件进入指定进展阶段时自动触发审查，或由法官手动触发审查。</w:t>
            </w:r>
          </w:p>
        </w:tc>
      </w:tr>
      <w:tr w14:paraId="07B531D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C5DE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35B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要件指引类-要件指引智能体-意图识别与任务分流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26C96F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运用模型能力分析案由类型、案件进展阶段及OCR识别后的卷宗文本，结合知识库进行意图理解，自动识别需触发的要件指引任务链。例如：在一起房屋租赁合同纠纷案件的起诉状中识别到被告（租客）诉请退回押金，则自动触发“押金事项”任务。在一起离婚纠纷案件的证据材料中识别到不满18岁孩子的出生证明，则自动触发“未成年子女抚养归属”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2、依据意图识别结论，从12类案由下的166个指引点中，动态筛选并分流当前案件需执行的指引任务，确保审查覆盖完整。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3、依据预定义的指引点与证据间关联标签，为每个指引点自动分配对应的卷宗证据材料文本，实现指引输入项的智能调度与精准适配。</w:t>
            </w:r>
          </w:p>
        </w:tc>
      </w:tr>
      <w:tr w14:paraId="704EB26F">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F376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3E8A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要件指引类-要件指引智能体-任务执行与智能调度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0D2D5A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1、依据意图识别结果，调用相应的智能体任务链，触发对应任务。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针对每条指引任务所需的多样化证据材料，系统自动从OCR文本结果中提取对应材料的文本内容，同时实时接入外部数据系统获取关键结构化信息（如在商标状态审查中，对接上海市知识产权局数据库获取实时商标状态），支撑全面且准确的数据基础。</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基于从提示词平台获取的定制化prompt，系统借助大模型能力对OCR文本与非结构化、结构化数据进行深度融合分析。不仅详细分析每项证据材料，更深入挖掘材料之间的关联关系、矛盾冲突及相互印证情况。同时，系统能够识别多个指引点之间存在的嵌套审查与印证依赖关系，通过智能推理实现跨指引点的综合研判，显著提升分析的准确性与复杂问题的处理能力。</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4、指引完成后，系统自动生成包含指引结论、相关法律依据（如《民法典》《民事诉讼法》）、典型案例、关联操作指引及风险提示在内的完整结果，并将其统一封装为结构化数据输出，便于后续使用与解析。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5、借助类案知识图谱技术，系统将个案所有指引点进行整合与关联分析，自动生成可视化的思维导图，直观展示案件指引逻辑与要点结构。</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最终指引结果与思维导图将在要件审判指引功能界面中集中展示，关联证据指引表支持指引结论关联并反定位证据材料；同时通过AI助手接口实时向法官推送指引结论消息提醒，为法官提供多维度、智能化的办案辅助。</w:t>
            </w:r>
          </w:p>
        </w:tc>
      </w:tr>
      <w:tr w14:paraId="6D0D87A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4B14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9ECF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要件指引类-要件指引智能体-持续学习与优化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133ECD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3、用户数据反馈调优：通过管理后台收集法官使用反馈和操作数据，持续对提示词、任务流程、模型输出逻辑进行优化</w:t>
            </w:r>
          </w:p>
        </w:tc>
      </w:tr>
      <w:tr w14:paraId="7156111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5E40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C8E4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要件指引类-证据指引智能体-感知与交互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230FEE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审判系统获取案号、案件进展阶段等结构化字段，对接政法协同通道和电子卷宗系统获取公安侦查卷宗、检察起诉书、法院庭审笔录等材料等实体材料，调用OCR能力识别讯问笔录、鉴定意见、书证、物证照片等非结构化文本，通过模型能力提取关键实体（如犯罪嫌疑人、作案时间、地点、手段、涉案金额等）。在案件进入指定进展阶段时自动触发审查，或由法官手动触发审查。</w:t>
            </w:r>
          </w:p>
        </w:tc>
      </w:tr>
      <w:tr w14:paraId="4A01EDD5">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A4CA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C68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要件指引类-证据指引智能体-意图识别与任务分流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BA9E96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运用模型能力分析案由类型、案件进展阶段及OCR识别后的卷宗文本，结合刑事案件证据指引规范和类案办案要件指南进行意图理解，自动识别需触发的证据审查任务链，包括通用审查任务和专项审查任务。例如：刑事案件通用审查被告人刑事责任年龄、行为人精神状况等；若案由为危险驾驶罪，则必须审查被告人是否醉酒驾驶、被告人是否有驾驶资质、被告人是否醉酒驾驶特殊车辆等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2、依据意图识别结论，从10类案由下的85个审查点中，动态筛选并分流当前案件需执行的审查任务，确保审查覆盖完整。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3、依据预定义的审查点与证据间关联标签，为每个审查点自动分配对应的卷宗证据材料文本，实现审查输入项的智能调度与精准适配。</w:t>
            </w:r>
          </w:p>
        </w:tc>
      </w:tr>
      <w:tr w14:paraId="4AD0C20A">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671F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5642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要件指引类-证据指引智能体-任务执行与智能调度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694AC4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1、依据意图识别结果，调用相应的智能体任务链，触发对应任务。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刑事证据智能审查与法律关系深度集成：基于提示词平台生成的场景化prompt，系统调用模型能力对多源证据材料进行关联性与合法性分析，重点审查证据之间是否印证、是否存在矛盾、是否形成完整证明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实施多层次任务审查机制，依据案情逐层深入审查，以“危险驾驶罪”为例，自动聚焦“被告人是否驾驶特殊车辆”“是否发生交通事故”“驾驶资质是否合规”等核心审查方向；若案件处于侦查阶段，则优先调度“血液酒精检测合法性”“证人证言一致性”等审查点；如涉案人为未成年人，则进一步启用“年龄证明材料的真实性”“讯问时合适成年人在场情况”等审查策略，实现复杂情境下的精准审查与资源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4、结构化结果生成与法律知识封装，审查完成后，系统自动生成包含结论、刑事法律依据（如《刑法》《刑事诉讼法》、相关司法解释）、典型判例、审判指引及风险提示的结构化审查结果。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5、刑事知识图谱支持的要件可视化整合：依托刑事类案知识图谱，将个案中的所有审查点进行逻辑整合与关系挖掘，生成可视化的思维导图，清晰展示犯罪构成要件、证据链结构与争议焦点分布。</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刑事审判辅助结果推送与实时提醒：最终审查结果及思维导图嵌入刑事要件审判指引界面，关联证据指引表支持审查结论关联并反定位证据材料；并通过AI助手接口实时向法官推送消息提醒，为刑事案件的快速定位焦点、精准适用法律提供智能支持。</w:t>
            </w:r>
          </w:p>
        </w:tc>
      </w:tr>
      <w:tr w14:paraId="3D7F657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8B98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F476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要件指引类-证据指引智能体-持续学习与优化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209B5E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3、用户数据反馈调优：通过管理后台收集法官使用反馈和操作数据，持续对提示词、任务流程、模型输出逻辑进行优化</w:t>
            </w:r>
          </w:p>
        </w:tc>
      </w:tr>
      <w:tr w14:paraId="1601D9CF">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6797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8E46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类案要素类-类案要素智能体-感知与交互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08A8D0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审判系统获取结构化字段信息，例如：案件基本信息（如案号、案由、当事人姓名等），对接法院电子卷宗系统获取起诉状、庭审笔录、证据清单、证据材料等实体材料并调用OCR能力识别非结构化文本（如扫描件、图片式证据）。在指定节点定时自动触发要素抽取任务（例如立案后执行抽取起诉状任务）或在需要时由用户手动触发抽取任务。</w:t>
            </w:r>
          </w:p>
        </w:tc>
      </w:tr>
      <w:tr w14:paraId="00784C13">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10D8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F6C9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类案要素类-类案要素智能体-意图识别与任务分流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5E0551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运用模型能力分析案由类型、案件进展阶段及OCR识别后的卷宗文本，结合类案要素知识库进行意图识别，自动识别需触发的审查任务链，包括通用通用要素任务和类案要素任务。例如：民事案件起诉书材料需要抽取当事人姓名、诉请意见等通用要素；金融借款合同纠纷的借款合同材料中需要抽取本金金额、质押人、逾期利息基数等类案要素。</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2、依据意图识别结论，从14类案由下的1000+要素中，动态筛选并分流当前案件需执行的要素抽取任务，确保要素抽取覆盖完整。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3、依据预定义的要素与证据间关联标签，为每个要素自动确认对应的卷宗证据材料文本，实现要素输入项的智能调度与精准适配。</w:t>
            </w:r>
          </w:p>
        </w:tc>
      </w:tr>
      <w:tr w14:paraId="758F6DA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88B4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EA70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类案要素类-类案要素智能体-任务执行与智能调度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A4A3C3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1、依据意图识别结果，调用相应的智能体任务链，触发对应任务。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2、依据抽取任务确认需要抽取类案要素的材料类型，从OCR文本结果中提取相应材料的文本内容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3、基于从提示词平台获取的prompt，借助模型能力对OCR文本进行抽取分析，抽取内容包括要素名称、抽取值、原始文本片段等内容。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4、将抽取结果保存至数据库，后续以接口形式提供给审判管理系统、数助办案系统或可视化大屏等业务应用，支持以“类案要素清单”形式呈现，方便法官快速浏览核心要素。</w:t>
            </w:r>
          </w:p>
        </w:tc>
      </w:tr>
      <w:tr w14:paraId="1B72B623">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6B9C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DF0F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类案要素类-类案要素智能体-持续学习与优化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D9EAC9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3、用户数据反馈调优：通过管理后台收集法官对抽取结果的修正和标注，持续对提示词、任务流程、模型输出逻辑进行优化</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4、动态模板配置：支持动态维护通用要素模板和案由专用模板；支持新增案由、新增要素字段，无需重新训练模型。</w:t>
            </w:r>
          </w:p>
        </w:tc>
      </w:tr>
      <w:tr w14:paraId="456974F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D1A7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9CF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案件摘要类-诉辩分析智能体-感知与交互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84BDEB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从法院电子卷宗系统获取起诉状、答辩状等文本材料并调用OCR能力进行文本识别；对接庭审语音系统获取音转字的庭审笔录文字内容。可在案件到达对应进展阶段时自动触发任务，将OCR和音转字的文本内容输入模型进行诉请答辩抽取，也可由法官手动触发提取任务。</w:t>
            </w:r>
          </w:p>
        </w:tc>
      </w:tr>
      <w:tr w14:paraId="73AC1E1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CA51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FB5E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案件摘要类-诉辩分析智能体-意图识别与任务分流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775C07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1、根据案件所处阶段（如立案、排期前3天、庭审、判决前等），确定分析重点。例如立案环节重点审理原告诉请，排期前3天审理被告答辩。</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2、根据不同的材料触发不同的分析策略：</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若材料为起诉状，则触发“原告诉讼请求提取”“事实与理由归纳”等任务；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若材料为答辩状，则触发“被告答辩意见提取”“抗辩理由归纳”等任务；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若材料为庭审笔录，则触发“各方当庭意见提取”等任务；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若处于多次庭审，则触发“多阶段意见对比分析”任务。</w:t>
            </w:r>
          </w:p>
        </w:tc>
      </w:tr>
      <w:tr w14:paraId="28982CF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2263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B034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案件摘要类-诉辩分析智能体-任务执行与智能调度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4C4E3C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1、立案时，通过模型自动从起诉状中提取原告的庭前诉请意见；当答辩状录入系统后，同步提取被告的庭前答辩意见。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2、庭审结束后，自动从庭审笔录中识别并提取原、被告在庭审过程中陈述的诉请与答辩意见。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3、若审判过程中当事人提交了变更诉请或答辩意见书，则从中自动抽取最新的意见内容。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4、对当事人在不同阶段提出的诉请和答辩意见进行归纳与总结。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5、将各阶段的诉请与答辩原文及归纳内容统一组织为结构化数据，包括：当事人诉讼地位（原告/被告/第三人）、意见类型（庭前/庭审/归纳意见）、意见摘要及原文引用等字段。</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6、将分析结果推送至“数助办案”平台，支持按“庭前诉请/答辩原文”、“庭审诉请/答辩原文”、“归纳诉请/答辩”等多维度进行检索和查看。</w:t>
            </w:r>
          </w:p>
        </w:tc>
      </w:tr>
      <w:tr w14:paraId="570D4F89">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C6DD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D9C5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案件摘要类-诉辩分析智能体-持续学习与优化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C3E93F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3、用户数据反馈调优：通过管理后台收集法官对抽取结果的修正和标注，持续对提示词、任务流程、模型输出逻辑进行优化</w:t>
            </w:r>
          </w:p>
        </w:tc>
      </w:tr>
      <w:tr w14:paraId="26C4751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A746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C6F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案件摘要类-争议焦点归纳智能体-感知与交互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CEC4ED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对接诉辩分析智能体，获取原告诉请、被告答辩的原文，在案件同时具备诉请意见和答辩意见时自动触发任务或者由用户手动触发任务。</w:t>
            </w:r>
          </w:p>
        </w:tc>
      </w:tr>
      <w:tr w14:paraId="421A9414">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B04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A60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案件摘要类-争议焦点归纳智能体-意图识别与任务分流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3CB57E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识别案件进展阶段（例如庭前、庭中）和庭审阶段进展阶段（如法庭调查、法庭辩论、最后陈述等），确定分析重点。庭前主要在于起诉状和答辩状焦点的归纳总结，庭中主要是法庭辩论关节和举证质证环节的焦点归纳。</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2、根据不同的材料类型进行任务分流：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若材料为起诉状+答辩状，则触发“庭前争议焦点总结”任务；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若材料为庭审笔录，则触发“庭审争议焦点总结”“争议焦点动态归纳”任务；</w:t>
            </w:r>
          </w:p>
        </w:tc>
      </w:tr>
      <w:tr w14:paraId="5B80AD9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8EC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7F6D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案件摘要类-争议焦点归纳智能体-任务执行与智能调度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0EA445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触发“争议焦点总结”任务，调用模型进行语义理解和焦点归纳，自动识别双方无争议的事实，如时间、地点、基础法律关系等，形成无争议事实清单。进行争议焦点归纳：提取双方存在分歧的事实与法律问题，如合同是否履行、违约是否成立、损失金额认定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2、触发“证据支撑分析”任务，调用模型进行证据关联与支撑分析，自动关联双方证据材料，分析证据与主张的支撑关系；标识证据缺失或证据矛盾点，提示法官重点关注。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3、结构化输出争议焦点结果：无争议事实清单、争议焦点清单、每个焦点的详细分析、证据支撑情况。</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4、在数助办案系统、庭审显示屏可视化展示展示争议焦点内容，同时通过AI助手接口向法官推送审查结果的消息提醒。</w:t>
            </w:r>
          </w:p>
        </w:tc>
      </w:tr>
      <w:tr w14:paraId="7656027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429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10C8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案件摘要类-争议焦点归纳智能体-持续学习与优化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E99248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3、用户数据反馈调优：通过管理后台收集法官对争议焦点清单的修正和标注，持续对提示词、任务流程、模型输出逻辑进行优化</w:t>
            </w:r>
          </w:p>
        </w:tc>
      </w:tr>
      <w:tr w14:paraId="5ACD1F4E">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452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F912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案件摘要类-原审事实分析智能体-感知与交互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D737A6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原审案件和本案案件的电子卷宗，获取原审起诉状、答辩状、庭审笔录、证据清单、裁判文书、二审新提交的起诉意见、上诉状、新证据材料等；调用OCR能力识别扫描版一审裁判文书、证据材料等。在二审案件立案后自动触发任务。</w:t>
            </w:r>
          </w:p>
        </w:tc>
      </w:tr>
      <w:tr w14:paraId="4D242ACB">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5DD6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BE9E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案件摘要类-原审事实分析智能体-意图识别与任务分流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5FD8DB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运用模型能力分析案由类型、案件进展阶段及OCR识别后的卷宗文本，结合原审案件知识库进行意图识别，自动识别需触发的审查任务链。例如：依据上诉状中的上诉理由，如"事实认定错误"、"法律适用错误"、"程序违法"等，触发不同的分析任务。依据二审是否提交新的证据材料，判断是否触发"新证据分析"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2、依据案件类型（民事、刑事、行政等），触发不同的分析重点和方法（民事侧重争议焦点，刑事侧重量刑分析）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3、依据预定义的审查点与证据间关联标签，为每个任务自动确认对应的卷宗证据材料文本，实现任务的智能调度与精准适配。</w:t>
            </w:r>
          </w:p>
        </w:tc>
      </w:tr>
      <w:tr w14:paraId="18B49FA9">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AD06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4A6F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案件摘要类-原审事实分析智能体-任务执行与智能调度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E8AA42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1、依据意图识别结果，调用相应的智能体任务链，触发对应任务。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原审判决智能解析：二审案件立案后，系统自动触发“原审判决分析”任务，通过模型能力智能提取并分析原审案件的诉请与答辩内容、争议焦点、证据材料及判决意见，深入解析原审判决的法律逻辑与适用依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3、上诉意见抽取与核心争议归纳：结合二审上诉材料，系统自动抽取当事人对原审判决的异议内容，识别上诉核心诉求，总结不满原因并关联相关证据，构建二审争议焦点体系。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4、新证据审查与一审影响评估：针对二审新提交的证据，系统自动分析其证明力、关联性与合法性，评估新证据是否支持上诉理由、是否足以动摇原审事实认定或法律适用。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5、多维度核心分析任务的执行与调度，系统依次执行以下关键分析任务，实现原审与二审材料的深度融合研判：</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1）原审事实与法律适用重建：提取原审各方主张、归纳争议焦点，分析原审证据采纳逻辑、事实认定路径及判决依据；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2）二审新材料专项分析：提取上诉理由与新诉讼意见，分析新证据的证明力及对原审事实认定的影响，进行新旧事实比对；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3）二审事实认定与法律适用演变分析：识别事实认定差异与矛盾点，研判事实变化对法律责任的影响；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4）判罚标准跨审级评估：分析原审法律适用标准，预测二审可能的法律适用调整，并提供类案判罚参考。</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6、结构化输出与智能司法辅助：</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系统生成结构化分析报告，内容包括原审事实分析、二审新证据与主张等，并自动推送至“数助办案”平台。</w:t>
            </w:r>
          </w:p>
        </w:tc>
      </w:tr>
      <w:tr w14:paraId="612B15F5">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90EA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DD3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案件摘要类-原审事实分析智能体-持续学习与优化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997928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3、用户数据反馈调优：通过管理后台收集法官对原审事实分析、二审新证据与主张等内容的修正和标注，持续对提示词、任务流程、模型输出逻辑进行优化</w:t>
            </w:r>
          </w:p>
        </w:tc>
      </w:tr>
      <w:tr w14:paraId="50592E00">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1D05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8327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案件摘要类-量刑建议智能体-感知与交互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F12C05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对接审判获取案件基本信息（罪名、犯罪事实、被告人情况等）；接入电子卷宗系统获取起诉书、辩护意见、庭审笔录、证据材料等并调用OCR能力识别提取犯罪事实、量刑情节、证据情况等关键信息。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在案件开庭后自动触发任务，也可由法官手动触发任务。</w:t>
            </w:r>
          </w:p>
        </w:tc>
      </w:tr>
      <w:tr w14:paraId="00DBBA6F">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BB4D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30EA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案件摘要类-量刑建议智能体-意图识别与任务分流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3FA47E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1、识别刑事案件罪名（例如危险驾驶罪、袭警罪等）；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2、分析法规涉及的量刑要素，例如犯罪事实（金额、后果、手段等）；识别量刑情节（自首、立功、累犯、退赃退赔等）；评估证据充分性和排他性。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3、根据审理阶段（庭前、庭审、合议）确定分析深度；识别可能存在量刑争议的复杂情况。</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4、若被告人认罪认罚，检察院通常会有明确的量刑建议，触发"量刑对比分析"任务；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5、根据案件复杂程度，动态调整计算精度和分析深度。</w:t>
            </w:r>
          </w:p>
        </w:tc>
      </w:tr>
      <w:tr w14:paraId="7E925F54">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54B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5135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案件摘要类-量刑建议智能体-任务执行与智能调度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AB59C9A">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1、案由驱动与任务链智能调用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系统根据从审判系统获取的刑事案件案由（如危险驾驶罪、袭警罪等），自动调用与该罪名相适应的量刑建议任务链，确保审查的针对性与专业性。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2、多源信息融合与模型推理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基于提示词平台生成的场景化 prompt，结合最高人民法院及地方量刑指导意见，系统调用模型能力对OCR提取的文书内容（包括犯罪事实、量刑情节、证据材料等）进行多维度分析，实现量刑情节的精准识别与法律推理。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3、核心计算与量刑平衡任务，系统自动执行以下关键计算与权衡任务：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基础刑期计算：依据犯罪数额、后果等关键事实确定基准刑，自动关联量刑指导意见具体条款；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量刑情节联动调整：支持从重情节（如累犯、主犯）、从轻情节（如自首、立功、退赃退赔）的量化计算与情节冲突时的智能权衡；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4、检察院建议提取与对比：自动提取检察院量刑建议内容，与系统计算结果进行比对。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5、可视化交互与实时模拟工具</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提供量刑计算器可视化界面，支持法官手动调整量刑参数（如情节增减、数额修改），实时反馈刑期变化，增强量刑过程的透明性与交互性。</w:t>
            </w:r>
          </w:p>
        </w:tc>
      </w:tr>
      <w:tr w14:paraId="6E195153">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FC28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3619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案件摘要类-量刑建议智能体-持续学习与优化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154119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3、用户数据反馈调优：通过管理后台收集法官使用反馈和操作数据，持续对提示词、任务流程、模型输出逻辑进行优化</w:t>
            </w:r>
          </w:p>
        </w:tc>
      </w:tr>
      <w:tr w14:paraId="7F5C41D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25161">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64DA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案件摘要类-犯罪事实分析智能体-感知与交互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A7F125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从政法协同通道和电子卷宗系统获取起诉书、量刑建议书和案件证据材料（被告人供述、被害人陈述、证人证言、勘验笔录、鉴定意见等）；调用OCR技术识别扫描版证据材料；可在案件到达对应进展阶段时自动触发任务，也可由法官手动触发任务。</w:t>
            </w:r>
          </w:p>
        </w:tc>
      </w:tr>
      <w:tr w14:paraId="2683C244">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C5F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3BF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案件摘要类-犯罪事实分析智能体-意图识别与任务分流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403CF743">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运用模型能力分析案由类型、案件进展阶段及OCR识别后的卷宗文本，结合刑事案件知识库进行意图识别，智能识别不同的犯罪情形，触发不同的总结任务。例如案件是否包含不同犯罪参与情形，包括单人作案、共同犯罪、有组织犯罪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识别被告人认罪态度和证据充分性等情形，若证据充分且被告人认罪认罚，则触发标准事实分析任务链，重点进行犯罪构成要素提取、事实时间线构建和量刑情节快速分析；若证据存在冲突、案情复杂或被告人不认罪，则启动深度事实分析任务链，重点进行证据间矛盾分析、证据链完整性审查、量刑尺度精细化评估和潜在事实争议挖掘。</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3、依据预定义任务与证据间关联标签，为每个任务自动确认对应的卷宗证据材料文本，实现任务的智能调度与精准适配。</w:t>
            </w:r>
          </w:p>
        </w:tc>
      </w:tr>
      <w:tr w14:paraId="1F8C97D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C623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AD39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案件摘要类-犯罪事实分析智能体-任务执行与智能调度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90CC61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1、依据意图识别结果，调用相应的智能体任务链，触发对应任务，进行通用犯罪事实归纳：</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1）案件线索来源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2）被告人锁定与到案经过</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3）作案人员：主体身份信息及犯罪地位（主犯、从犯等）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4）作案时间：时间点、时间段及时间序列还原</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5）作案地点：具体位置与环境特征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6）作案手段：方法、工具与实施过程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7）作案目的：动机与主观意图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8）作案后果：损失程度、伤害结果等客观影响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每部分犯罪事实附加对应的证据材料来源，以及证据充分行排他性分析。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2、案由专项事实归纳能力，系统支持对特定案由的关键事实进行专项识别与提取，例如：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交通肇事罪：车辆信息、驾驶状态、事故责任认定等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故意伤害罪：被害人伤情鉴定、伤害方式、主观故意等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3、证据—结论双向关联与实时推送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通过关联证据指引表，系统实现审查结论与证据材料的双向定位与溯源。分析完成后，通过AI助手接口向法官实时推送结构化事实分析结果及关键消息提醒，显著提升事实审查的效率与透明度。</w:t>
            </w:r>
          </w:p>
        </w:tc>
      </w:tr>
      <w:tr w14:paraId="26027B6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D6C4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FF27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案件摘要类-犯罪事实分析智能体-持续学习与优化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E4A97F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3、用户数据反馈调优：通过管理后台收集法官对归纳总结结果的修正和标注，持续对提示词、任务流程、模型输出逻辑进行优化</w:t>
            </w:r>
          </w:p>
        </w:tc>
      </w:tr>
      <w:tr w14:paraId="4E2FD94A">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5F88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7376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案件摘要类-控辩意见分析智能体-感知与交互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06987E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通过政法协同通道和电子卷宗系统获取起诉书、辩护词、被告人陈述、被害人意见书等并调用OCR技术识别扫描获取文本结果；连接庭审管理系统获取庭审笔录、辩论录音录以音转字的文字结果；可在案件到达对应进展阶段时自动触发任务，也可由法官手动触发任务。</w:t>
            </w:r>
          </w:p>
        </w:tc>
      </w:tr>
      <w:tr w14:paraId="062E425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64C6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52CD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案件摘要类-控辩意见分析智能体-意图识别与任务分流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D0DD3C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1、诉讼参与方与角色识别</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智能识别案件各类参与方，并明确其诉讼地位与角色，包括公诉人、被告人、辩护人、被害人、诉讼代理人等，为意见归属与对抗关系构建提供基础。</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2、意见阶段属性识别</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自动区分意见所属审理阶段，包括庭前意见（如起诉书、辩护词）、当庭意见（庭审笔录、辩论发言）及庭后意见（补充代理词、最后陈述等），支撑时序化、多轮次意见跟踪与分析。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3、根据被告人是否认罪认罚，系统自动调度差异化分析任务链：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若为认罪认罚案件，触发“标准意见分析”任务链，重点提取公诉方提出的量刑建议、案件事实认定及法律适用意见，快速梳理无争议内容；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为被告不认罪或不认罚案件，则启动“复杂意见分析”任务链及“态度变化分析”子任务，重点挖掘被告方异议内容、各方争议焦点，并监测被告人庭审前后态度演变情况，辅助识别核心对抗点与潜在事实争议。</w:t>
            </w:r>
          </w:p>
        </w:tc>
      </w:tr>
      <w:tr w14:paraId="69F8997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F29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AF87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案件摘要类-控辩意见分析智能体-任务执行与智能调度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5B5813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1、多角色多来源意见抽取与归纳</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利用模型能力从起诉书、答辩状、庭审笔录、代理词等多类型OCR文本中，自动抽取并归纳不同诉讼角色的意见内容，包括：</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公诉方意见：犯罪事实认定、法律适用意见、量刑建议；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被告人意见：事实承认情况、辩解理由、量刑诉求；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辩护人意见：证据质证观点、法律适用异议、量刑辩护理由；</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被害人意见：损失陈述、量刑建议、赔偿诉求。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2、多维度核心分析任务调度与执行</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w:t>
            </w:r>
            <w:r>
              <w:rPr>
                <w:rFonts w:hint="eastAsia" w:asciiTheme="minorEastAsia" w:hAnsiTheme="minorEastAsia" w:eastAsiaTheme="minorEastAsia" w:cstheme="minorEastAsia"/>
                <w:color w:val="000000"/>
                <w:kern w:val="0"/>
                <w:sz w:val="24"/>
                <w:lang w:eastAsia="zh-CN"/>
              </w:rPr>
              <w:t>）</w:t>
            </w:r>
            <w:r>
              <w:rPr>
                <w:rFonts w:hint="eastAsia" w:asciiTheme="minorEastAsia" w:hAnsiTheme="minorEastAsia" w:eastAsiaTheme="minorEastAsia" w:cstheme="minorEastAsia"/>
                <w:color w:val="000000"/>
                <w:kern w:val="0"/>
                <w:sz w:val="24"/>
              </w:rPr>
              <w:t>多方意见提取与结构化归纳</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按角色与阶段自动聚类上述意见，形成角色</w:t>
            </w:r>
            <w:r>
              <w:rPr>
                <w:rFonts w:hint="eastAsia" w:asciiTheme="minorEastAsia" w:hAnsiTheme="minorEastAsia" w:eastAsiaTheme="minorEastAsia" w:cstheme="minorEastAsia"/>
                <w:color w:val="000000"/>
                <w:kern w:val="0"/>
                <w:sz w:val="24"/>
              </w:rPr>
              <w:noBreakHyphen/>
            </w:r>
            <w:r>
              <w:rPr>
                <w:rFonts w:hint="eastAsia" w:asciiTheme="minorEastAsia" w:hAnsiTheme="minorEastAsia" w:eastAsiaTheme="minorEastAsia" w:cstheme="minorEastAsia"/>
                <w:color w:val="000000"/>
                <w:kern w:val="0"/>
                <w:sz w:val="24"/>
              </w:rPr>
              <w:t>观点</w:t>
            </w:r>
            <w:r>
              <w:rPr>
                <w:rFonts w:hint="eastAsia" w:asciiTheme="minorEastAsia" w:hAnsiTheme="minorEastAsia" w:eastAsiaTheme="minorEastAsia" w:cstheme="minorEastAsia"/>
                <w:color w:val="000000"/>
                <w:kern w:val="0"/>
                <w:sz w:val="24"/>
              </w:rPr>
              <w:noBreakHyphen/>
            </w:r>
            <w:r>
              <w:rPr>
                <w:rFonts w:hint="eastAsia" w:asciiTheme="minorEastAsia" w:hAnsiTheme="minorEastAsia" w:eastAsiaTheme="minorEastAsia" w:cstheme="minorEastAsia"/>
                <w:color w:val="000000"/>
                <w:kern w:val="0"/>
                <w:sz w:val="24"/>
              </w:rPr>
              <w:t>阶段的对应关系，支撑快速查阅与比对。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w:t>
            </w:r>
            <w:r>
              <w:rPr>
                <w:rFonts w:hint="eastAsia" w:asciiTheme="minorEastAsia" w:hAnsiTheme="minorEastAsia" w:eastAsiaTheme="minorEastAsia" w:cstheme="minorEastAsia"/>
                <w:color w:val="000000"/>
                <w:kern w:val="0"/>
                <w:sz w:val="24"/>
                <w:lang w:eastAsia="zh-CN"/>
              </w:rPr>
              <w:t>）</w:t>
            </w:r>
            <w:r>
              <w:rPr>
                <w:rFonts w:hint="eastAsia" w:asciiTheme="minorEastAsia" w:hAnsiTheme="minorEastAsia" w:eastAsiaTheme="minorEastAsia" w:cstheme="minorEastAsia"/>
                <w:color w:val="000000"/>
                <w:kern w:val="0"/>
                <w:sz w:val="24"/>
              </w:rPr>
              <w:t>多阶段意见对比与演进分析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支持包括：起诉阶段与庭审阶段意见变化比对、多次庭审意见的比对分析、争议焦点自动识别与分类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3、认罪认罚态度多维度分析，从以下几个角度进行全面评估：</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认罪阶段：侦查、审查起诉、庭审；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认罪程度：全部认罪、部分认罪、当庭翻供；</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认罚态度：退赃退赔、赔偿谅解、悔罪表现；</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态度变化：如从拒不认罪到认罪，或认罪后翻供。</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4、结构化输出与可视化交互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分析结果以结构化格式返回，支持以可视化清单的形式展示各方意见对比、争议分布及认罪态度。系统允许法官手动修订分析结果或重新触发指定内容的抽取与分析，增强系统灵活性与人机协同能力。</w:t>
            </w:r>
          </w:p>
        </w:tc>
      </w:tr>
      <w:tr w14:paraId="2EE86400">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FB85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C765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案件摘要类-控辩意见分析智能体-持续学习与优化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DE19F8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3、用户数据反馈调优：通过管理后台收集法官对归纳总结结果的修正和标注，持续对提示词、任务流程、模型输出逻辑进行优化</w:t>
            </w:r>
          </w:p>
        </w:tc>
      </w:tr>
      <w:tr w14:paraId="596940FE">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1FF50">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E134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庭审辅助类-庭审提纲生成智能体-感知与交互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92553E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审判管理系统获取案件基本信息（案由、当事人、审判组织等），从法院电子卷宗系统获取起诉状、答辩状等文本材料并调用OCR能力进行文本识别，连接争议焦点智能体接口，获取已归纳的无争议事实和争议焦点；对接庭审语音系统实时获取音转字的庭审笔录文字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可在排期后自动触发任务，或由用户手动触发任务。</w:t>
            </w:r>
          </w:p>
        </w:tc>
      </w:tr>
      <w:tr w14:paraId="7D7BD974">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D6B25">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E2E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庭审辅助类-庭审提纲生成智能体-意图识别与任务分流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F4498D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1、识别不同的案件类型（民事、商事、刑事、行政等），触发相应的提纲模板。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2、识别不同庭审阶段（庭前准备、法庭调查、法庭辩论、最后陈述等），确定提纲生成重点。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3、根据争议焦点数量、证据数量、当事人数量等评估案件复杂程度，决定提纲的详细程度。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4、根据案件复杂程度和庭审阶段触发不同的任务，例如：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若为简单案件，则触发“标准庭审提纲生成”任务；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若为复杂案件，则触发“详细庭审提纲生成”任务，包含子焦点分解、证据分组、时间分配等；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若处于庭前阶段，则重点生成“事实调查提纲”和“争议焦点梳理”；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若处于庭审中，则支持“实时提纲调整”。</w:t>
            </w:r>
          </w:p>
        </w:tc>
      </w:tr>
      <w:tr w14:paraId="39C7339C">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8DE2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3670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庭审辅助类-庭审提纲生成智能体-任务执行与智能调度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7D042E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1、案件分析与庭审提纲自动生成：排期后，系统通过模型智能分析案由、争议焦点、原被告诉请与答辩信息，自动生成结构化庭审提纲，协助法官规划庭审阶段顺序、审理要点及质证环节关键问题清单。</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多维知识嵌入与结构化输出：系统自动关联相关法律条文（包括《民事诉讼法》《民法典》等具体条款），推送类案庭审处理方式作为参考，并嵌入法官常用话术与程序性提示。提纲以结构化形式组织，涵盖以下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3、庭审阶段规划（如法庭调查、辩论、最后陈述等）：各阶段审理事项及要点、证据清单与质证指引、法律依据与类案参考索引、程序性提示（包括权利义务告知、庭审纪律宣读等）。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4、多端推送与协同编辑支持：生成的庭审提纲自动推送至“数助办案”系统或庭审现场显示屏，支持法官与书记员在线编辑、多版本保存与实时共享，确保庭审准备与流程协同高效。</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实时庭审动态感知与智能指引更新：在庭审过程中，系统实时分析语音转写文本，自动识别各方发言中出现的新争议、待澄清事实或其他需当庭确认的问题，动态生成新增庭审提纲指引，实现庭审过程的智能响应与持续优化。</w:t>
            </w:r>
          </w:p>
        </w:tc>
      </w:tr>
      <w:tr w14:paraId="507A1B3A">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C8FB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AA3A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庭审辅助类-庭审提纲生成智能体-持续学习与优化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C1B9A1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3、用户数据反馈调优：通过管理后台收集法官对庭审提纲的修正和标注，持续对提示词、任务流程、模型输出逻辑进行优化</w:t>
            </w:r>
          </w:p>
        </w:tc>
      </w:tr>
      <w:tr w14:paraId="7D5B22E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B75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D71F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庭审辅助类-调解意图分析智能体-感知与交互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414E4ED">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实时接入数字法庭语音识别系统，获取庭审过程中的音转文数据流，持续监听当事人、代理人及其他诉讼参与人的发言内容。通过与审判管理系统、电子卷宗系统的对接，利用OCR能力获取案件基本信息、当事人身份、案由、争议焦点数据。智能体在庭审过程中自动开启。</w:t>
            </w:r>
          </w:p>
        </w:tc>
      </w:tr>
      <w:tr w14:paraId="689C249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274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3457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庭审辅助类-调解意图分析智能体-意图识别与任务分流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B1FA28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1、意图分类与任务触发：</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若识别到一方或双方表达出初步调解意向，则触发「调解引导话术生成」任务链；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若识别到双方均明确接受调解，则触发「调解流程启动」任务链，进入调解事项明确阶段；</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若当事人虽表达意愿但存在犹豫或条件，则触发「调解意愿深化分析」任务，识别其核心关切与潜在障碍。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2、阶段自适应策略：</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系统能识别庭审阶段（如法庭调查、辩论、最后陈述），并结合不同阶段调整监听策略与话术推荐内容。例如在辩论阶段尾声更侧重捕捉和解机会。</w:t>
            </w:r>
          </w:p>
        </w:tc>
      </w:tr>
      <w:tr w14:paraId="6159F60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BA34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97</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C461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庭审辅助类-调解意图分析智能体-任务执行与智能调度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570B78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1、调解意图识别：</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事实分析庭审过程中各方音转文的发言内容，利用模型能力识别分析各方的调解意图。一旦识别到调解意图，系统立即在庭审界面中弹出提醒，并通过AI助手推送消息。同时自动生成法官可用的话术建议，例如：“当事人是否愿意在法庭主持下进行调解？”、“双方是否可以就××事项进一步协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2、调解意愿确认与事项明确：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引导法官协助双方明确调解意愿、调解事项和基本方案，系统实时提取各方陈述中的协商要点、共同认可的事实及存在分歧的内容，并结构化为待调解事项清单。</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3、调解书生成与智能编辑支持：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在双方达成一致后，系统基于已结构化的调解结果、案件基本信息及法律文书规范，自动生成调解书草案，支持法官在线修改、补充条款。修改完成后，可经由电子签名系统完成双方签署，并自动回传至审判管理系统归档。</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4、与业务系统无缝集成：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调解书生成后，自动关联原案号并同步至电子卷宗，可供后续检索、统计或调用。</w:t>
            </w:r>
          </w:p>
        </w:tc>
      </w:tr>
      <w:tr w14:paraId="27BC5AA5">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52C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98</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442E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庭审辅助类-调解意图分析智能体-持续学习与优化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16E89B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3、用户数据反馈调优：通过管理后台收集法官对调解意图识别准确性的标注、调解引导话术的采纳情况、调解文书的修改情况等，持续对提示词、任务流程、模型输出逻辑进行优化</w:t>
            </w:r>
          </w:p>
        </w:tc>
      </w:tr>
      <w:tr w14:paraId="0F76366D">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B8F7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99</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93F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庭审辅助类-辩护人回避预警智能体-感知与交互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284FF2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接入法院人事管理系统，获取全院工作人员（含已离职人员）的基本信息、任职部门、职务、离职时间等关键数据；同时对接电子卷宗系统系统通过OCR能力获取授权委托书、律师事务所公函等材料中的辩护人信息。在案件立案阶段自动进入审查。</w:t>
            </w:r>
          </w:p>
        </w:tc>
      </w:tr>
      <w:tr w14:paraId="6DE74D20">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382C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100</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1B6A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庭审辅助类-辩护人回避预警智能体-意图识别与任务分流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F483CE7">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1、身份与关联关系识别：</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智能体识别出辩护人/代理人的身份是否为法院离任人员，并进一步区分离任前是否为公务员，公务员则触发“公务员离任预警”任务链，非公务员触发“非公务员离任预警”任务链。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2、规则匹配与风险分级：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根据预设回避规则（如“法院工作人员离任后二年内，不得以律师身份担任诉讼代理人或者辩护人”“不得担任原任职法院所审理案件的辩护人”等），对识别出的离任人员代理行为进行合规性判断，并依据风险程度进行三级分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3、任务分流机制：</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根据预警级别触发不同的处理任务链：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一级预警：实时阻断案件分配并立即推送监督人员；</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二级预警：提示法官及监督人员核查并确认是否批准代理；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三级预警：生成风险提示，建议法官重点关注或进一步核实。</w:t>
            </w:r>
          </w:p>
        </w:tc>
      </w:tr>
      <w:tr w14:paraId="6913CF67">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5754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DD12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庭审辅助类-辩护人回避预警智能体-任务执行与智能调度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1DDC288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1、多源数据融合与实时比对：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立案阶段识别到代理人或辩护人是法院离任人员时，调用模型能力分析代理案件信息以及离职信息，判断是否触发风险预警。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2、预警生成与推送机制：</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识别到风险后，系统自动生成结构化预警信息，包括违规情形、风险等级等，并通过消息接口实时推送至案件经办法官及法院监督人员。</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3、风险数据统计与分析看板：</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所有预警数据自动同步至监督系统，支持按时间、部门、人员、风险等级等维度进行统计分析，形成风险画像与趋势报告，为法院廉政建设与人员管理提供数据支持。</w:t>
            </w:r>
          </w:p>
        </w:tc>
      </w:tr>
      <w:tr w14:paraId="4C33DB9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C08D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046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庭审辅助类-辩护人回避预警智能体-持续学习与优化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6A68EAC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3、用户数据反馈调优：通过管理后台收集法官对预警准确度的标注情况等，持续对提示词、任务流程、模型输出逻辑进行优化</w:t>
            </w:r>
          </w:p>
        </w:tc>
      </w:tr>
      <w:tr w14:paraId="209185D0">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D55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A1C1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预审查类-诉讼主体审查智能体-感知与交互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4A8156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审判系统获取当事人基本信息等结构化数据；接入工商信息系统查询企业状态（存续、注销、吊销、破产等）；连接户籍管理系统核实自然人身份信息（年龄、行为能力、生存状态等）；对接案件管理系统查询关联案件信息（如破产案件）。对接电子卷宗系统获取起诉状、身份证等实体材料调用OCR能力进行识别。在案件立案时自动触发审查任务。</w:t>
            </w:r>
          </w:p>
        </w:tc>
      </w:tr>
      <w:tr w14:paraId="0970BA6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FAD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BDF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预审查类-诉讼主体审查智能体-意图识别与任务分流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FDC8C0C">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1、识别当事人类型，包括企业法人、自然人、其他组织等类型；区分原告、被告、第三人等诉讼地位。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2、识别案件类型，判断主体资格审查的重点和标准。</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3、分析立案材料完整性，判断是否需要补充材料；识别可能存在的主体资格问题类型。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4、根据当事人类型触发不同的任务分流策略，例如：</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若当事人为企业法人，则触发"企业主体资格审查"任务链：企业存续状态检查、法定代表人资格审查、破产程序审查</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若当事人为自然人，则触发"自然人主体资格审查"任务链：年龄和行为能力审查、生存状态核查、监护人资格审查</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5、支持批量案件并行审查和优先处理机制。</w:t>
            </w:r>
          </w:p>
        </w:tc>
      </w:tr>
      <w:tr w14:paraId="34125706">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ECC0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105</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B21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预审查类-诉讼主体审查智能体-任务执行与智能调度</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FDBA80E">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1、多源数据接入与自动核验：</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立案阶段自动触发审查任务，智能体整合案件结构化数据、OCR识别提取的诉讼主体信息，并实时对接外部系统（如户籍管理系统、企业工商信息平台等），完成主体身份与资质的自动化核验与比对。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2、智能体通过模型能力，根据主体类型自动调度并执行以下审查任务：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企业主体审查：涵盖企业存续状态、法定代表人资格、是否处于破产程序等关键维度；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自然人主体审查：包括年龄合规性、民事行为能力、生存状态等法定要件审查。</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3、审查结果结构化生成与司法联动：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审查完成后，系统自动生成包含审查结论、法律依据（如《民法典》《民事诉讼法》相关规定）、典型案例、操作指引及风险提示的结构化结果，并实时推送至“数助办案”系统。系统根据审查结果（通过/不通过）自动区分预警等级，并辅助生成不予受理或驳回起诉裁定书草案。</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4、知识图谱支持的可视化审查导图：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借助类案知识图谱技术，系统将个案所有审查要点进行整合与关联分析，自动生成可视化思维导图，清晰展示诉讼主体审查的逻辑结构与合规性脉络。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5、多端推送与智能辅助提醒：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全部审查结果与思维导图在要件审判指引界面集中展示，并通过AI助手接口实时向法官推送消息提醒，为法官提供多维度、智能化的诉讼主体审查辅助。</w:t>
            </w:r>
          </w:p>
        </w:tc>
      </w:tr>
      <w:tr w14:paraId="686221E9">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DF2B">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106</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AEE0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预审查类-诉讼主体审查智能体-持续学习与优化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062F1A74">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1、场景模拟测试优化：系统模拟法官日常使用场景，测试各任务链的完整性与运行性能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2、场景化数据增强：整合专业法官业务实例文件以及材料样例，通过系统化分析输出效果分析报告，并将其作为数据增强体系的关键输入源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3、用户数据反馈调优：通过管理后台收集法官使用反馈和操作数据，持续对提示词、任务流程、模型输出逻辑进行优化</w:t>
            </w:r>
          </w:p>
        </w:tc>
      </w:tr>
      <w:tr w14:paraId="6579AB0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CDC0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111</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A550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预审查类-诉前财产保全智能体-感知与交互</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55C1391F">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接审判系统获取案号、案件进展阶段等结构化字段，对接法院电子卷宗系统获取财产保全申请书、财产线索、诉讼财产保全责任保险单、担保书/担保证明等材料等实体材料并调用OCR能力识别非结构化文本（如扫描件、图片式证据）。</w:t>
            </w:r>
          </w:p>
        </w:tc>
      </w:tr>
      <w:tr w14:paraId="18AED172">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B1CC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112</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7E13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预审查类-诉前财产保全智能体-意图识别与任务分流</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390920C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智能体基于卷宗目录信息以及卷宗文件材料，优先从申请书中意图是否为财产保全的意图，基于保全类型智能进行动态任务分流策略，系统自动抽取关键实体要素如申请保全金额，进行结构化槽位回填，智能构建执行策略以及任务分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1）当案件处于立案、分案节点时，自动执行材料完整性判断任务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2）当识别到诉前财产保全申请书时，自动执行申请金额的审查判断任务，同步调用结构化信息获取任务，获取案件标的额</w:t>
            </w:r>
          </w:p>
        </w:tc>
      </w:tr>
      <w:tr w14:paraId="7D67DA5A">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3449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113</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2B77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预审查类-诉前财产保全智能体-任务执行与智能调度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（工具函数/插件调用、流程任务建模等）</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28DCD89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1、执行材料完整性判断任务：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判断当前材料是否为长PDF文件，调用OCR能力进行技术处理，进一步结合语义分析判断是否存在关键材料，关键材料为均存在时，完成材料完整性判断，相关结果推送业务系统。</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2、执行申请金额的审查任务时：</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调用OCR识别工具申请保全金额，优先调用结构化数据接口获取案件标的额，判断标的额是否为空，为空则调度OCR识别工具提取关键要素诉请金额，调用计算工具计算获诉请累计金额；调用“申请金额审查Prompt”，执行推理并输出结果，输出结果可以被AI助理、费款系统、审判管理系统等进行调用，实时推送提示法官</w:t>
            </w:r>
          </w:p>
        </w:tc>
      </w:tr>
      <w:tr w14:paraId="27216438">
        <w:tblPrEx>
          <w:tblCellMar>
            <w:top w:w="0" w:type="dxa"/>
            <w:left w:w="108" w:type="dxa"/>
            <w:bottom w:w="0" w:type="dxa"/>
            <w:right w:w="108" w:type="dxa"/>
          </w:tblCellMar>
        </w:tblPrEx>
        <w:trPr>
          <w:trHeight w:val="480" w:hRule="atLeast"/>
        </w:trPr>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5DD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114</w:t>
            </w:r>
          </w:p>
        </w:tc>
        <w:tc>
          <w:tcPr>
            <w:tcW w:w="13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6770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预审查类-诉前财产保全智能体-持续学习与优化</w:t>
            </w:r>
          </w:p>
        </w:tc>
        <w:tc>
          <w:tcPr>
            <w:tcW w:w="3283" w:type="pct"/>
            <w:tcBorders>
              <w:top w:val="single" w:color="000000" w:sz="4" w:space="0"/>
              <w:left w:val="single" w:color="000000" w:sz="4" w:space="0"/>
              <w:bottom w:val="single" w:color="000000" w:sz="4" w:space="0"/>
              <w:right w:val="single" w:color="000000" w:sz="4" w:space="0"/>
            </w:tcBorders>
            <w:shd w:val="clear" w:color="auto" w:fill="auto"/>
          </w:tcPr>
          <w:p w14:paraId="72A119D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针对诉前财产保全的业务特性（如保全金额、申请金额等），构建独立优化路径，基于财保案件构建测试集，包括：1）多维度案例标注担保书或者保全证明的保全金额等；2）场景化数据增强：整合专业法官业务实例文件以及材料样例，通过系统化分析输出效果分析报告，并将其作为数据增强体系的关键输入源。3）标注结果校验机制：结合关键业务场景进行人工复核确认，并进行提示词调优，提升效果</w:t>
            </w:r>
          </w:p>
        </w:tc>
      </w:tr>
    </w:tbl>
    <w:p w14:paraId="76D40179">
      <w:pPr>
        <w:ind w:firstLine="0" w:firstLineChars="0"/>
      </w:pPr>
    </w:p>
    <w:p w14:paraId="29EC37C3">
      <w:pPr>
        <w:ind w:firstLine="0" w:firstLineChars="0"/>
        <w:outlineLvl w:val="1"/>
        <w:rPr>
          <w:rFonts w:ascii="楷体" w:hAnsi="楷体" w:eastAsia="楷体" w:cs="楷体"/>
          <w:b/>
          <w:bCs/>
          <w:szCs w:val="32"/>
        </w:rPr>
      </w:pPr>
      <w:r>
        <w:rPr>
          <w:rFonts w:hint="eastAsia" w:ascii="楷体" w:hAnsi="楷体" w:eastAsia="楷体" w:cs="楷体"/>
          <w:b/>
          <w:bCs/>
          <w:szCs w:val="32"/>
        </w:rPr>
        <w:t>（二）硬件产品购置</w:t>
      </w:r>
    </w:p>
    <w:tbl>
      <w:tblPr>
        <w:tblStyle w:val="7"/>
        <w:tblW w:w="5000" w:type="pct"/>
        <w:tblInd w:w="0" w:type="dxa"/>
        <w:tblLayout w:type="fixed"/>
        <w:tblCellMar>
          <w:top w:w="0" w:type="dxa"/>
          <w:left w:w="108" w:type="dxa"/>
          <w:bottom w:w="0" w:type="dxa"/>
          <w:right w:w="108" w:type="dxa"/>
        </w:tblCellMar>
      </w:tblPr>
      <w:tblGrid>
        <w:gridCol w:w="436"/>
        <w:gridCol w:w="1779"/>
        <w:gridCol w:w="1186"/>
        <w:gridCol w:w="4169"/>
        <w:gridCol w:w="516"/>
        <w:gridCol w:w="436"/>
      </w:tblGrid>
      <w:tr w14:paraId="1F90FE73">
        <w:tblPrEx>
          <w:tblCellMar>
            <w:top w:w="0" w:type="dxa"/>
            <w:left w:w="108" w:type="dxa"/>
            <w:bottom w:w="0" w:type="dxa"/>
            <w:right w:w="108" w:type="dxa"/>
          </w:tblCellMar>
        </w:tblPrEx>
        <w:trPr>
          <w:trHeight w:val="2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4DACA">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序号</w:t>
            </w:r>
          </w:p>
        </w:tc>
        <w:tc>
          <w:tcPr>
            <w:tcW w:w="10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AD84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名称</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39F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类别</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1D41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配置要求</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CA67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数量</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44D4D">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单位</w:t>
            </w:r>
          </w:p>
        </w:tc>
      </w:tr>
      <w:tr w14:paraId="571D38EA">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5E7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36D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庭审助手触摸显示器(法官及当事人)</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F7E3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9EE6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产品性能指标不低于以下参数：23.8寸、10点电容屏、16:9宽屏电容屏、分辨率1920*1080、HDMI</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980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D5B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7A7D9911">
        <w:tblPrEx>
          <w:tblCellMar>
            <w:top w:w="0" w:type="dxa"/>
            <w:left w:w="108" w:type="dxa"/>
            <w:bottom w:w="0" w:type="dxa"/>
            <w:right w:w="108" w:type="dxa"/>
          </w:tblCellMar>
        </w:tblPrEx>
        <w:trPr>
          <w:trHeight w:val="114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3CD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43B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手动翻转支架及嵌入式底盒</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DE12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CF6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手动翻转支架及嵌入式底盒，嵌入法台家具，可实现庭审助手触摸显示器多角度显示调整，空铝合金材质。激光切割整板切割。数控加工边缘倒角。表面加工处理：航空铝合金喷砂阳极氧化。</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F7AE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FAD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套</w:t>
            </w:r>
          </w:p>
        </w:tc>
      </w:tr>
      <w:tr w14:paraId="7E2FE545">
        <w:tblPrEx>
          <w:tblCellMar>
            <w:top w:w="0" w:type="dxa"/>
            <w:left w:w="108" w:type="dxa"/>
            <w:bottom w:w="0" w:type="dxa"/>
            <w:right w:w="108" w:type="dxa"/>
          </w:tblCellMar>
        </w:tblPrEx>
        <w:trPr>
          <w:trHeight w:val="85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4F58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FC0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电容式指纹模组</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61EF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PC机配件</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3743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产品性能指标不低于以下参数：电容式，无外壳、嵌入桌面；支持国产操作化系统(银河麒麟、中标麒麟、统信操作系统(鲲鹏、龙芯、飞腾、海光、兆芯平台))</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28D4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0472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w:t>
            </w:r>
          </w:p>
        </w:tc>
      </w:tr>
      <w:tr w14:paraId="112F2A79">
        <w:tblPrEx>
          <w:tblCellMar>
            <w:top w:w="0" w:type="dxa"/>
            <w:left w:w="108" w:type="dxa"/>
            <w:bottom w:w="0" w:type="dxa"/>
            <w:right w:w="108" w:type="dxa"/>
          </w:tblCellMar>
        </w:tblPrEx>
        <w:trPr>
          <w:trHeight w:val="285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04C3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AA87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嵌入式鹅颈话筒</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3128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话筒</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C1CE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产品性能指标不低于以下参数：嵌入式鹅颈话筒</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输入接口 3针卡侬母</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输出接口 3针卡侬公</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指向性 心型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频率响应 20-20000Hz</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灵敏度 -33dB,22.4mV</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输出阻抗 120Ω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最大声压级 125dB(1%</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等效噪声 18dB-A</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幻象供电 48V DC</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AF2E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CCB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w:t>
            </w:r>
          </w:p>
        </w:tc>
      </w:tr>
      <w:tr w14:paraId="461D2AA2">
        <w:tblPrEx>
          <w:tblCellMar>
            <w:top w:w="0" w:type="dxa"/>
            <w:left w:w="108" w:type="dxa"/>
            <w:bottom w:w="0" w:type="dxa"/>
            <w:right w:w="108" w:type="dxa"/>
          </w:tblCellMar>
        </w:tblPrEx>
        <w:trPr>
          <w:trHeight w:val="228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5EA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DB7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立杆话筒</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3690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话筒</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532E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产品性能指标不低于以下参数：换能方式： 电容式</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指向性： 超心形指向  ，完全独立的双咪杆，双路卡侬接口输出，一只故障不影响另一只正常使用，完全独立双备份。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频率响应：30Hz-20kHz</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输出阻坑：75Ω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灵敏度： -38dB±2dB</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供电电压： DC48V</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其它特点： 高度、角度可调</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823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9D6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支</w:t>
            </w:r>
          </w:p>
        </w:tc>
      </w:tr>
      <w:tr w14:paraId="6558BAF7">
        <w:tblPrEx>
          <w:tblCellMar>
            <w:top w:w="0" w:type="dxa"/>
            <w:left w:w="108" w:type="dxa"/>
            <w:bottom w:w="0" w:type="dxa"/>
            <w:right w:w="108" w:type="dxa"/>
          </w:tblCellMar>
        </w:tblPrEx>
        <w:trPr>
          <w:trHeight w:val="28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9D8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333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显示屏壁挂支架</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4CE4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212B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产品性能指标不低于以下参数：金属壁挂安装升缩支架</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26E0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EB3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w:t>
            </w:r>
          </w:p>
        </w:tc>
      </w:tr>
      <w:tr w14:paraId="4C45156B">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505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635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互联网端当事人电视机（65寸）</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B0A0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A4D4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产品性能指标不低于以下参数：65寸；分辨率3840*2160；带232接口；</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1978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595F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639DE524">
        <w:tblPrEx>
          <w:tblCellMar>
            <w:top w:w="0" w:type="dxa"/>
            <w:left w:w="108" w:type="dxa"/>
            <w:bottom w:w="0" w:type="dxa"/>
            <w:right w:w="108" w:type="dxa"/>
          </w:tblCellMar>
        </w:tblPrEx>
        <w:trPr>
          <w:trHeight w:val="85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E7D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CBF3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电视机升降器(嵌入安装)</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E742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7303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产品性能指标不低于以下参数：定制显示屏升降器，法庭护栏采用箱体装饰，升降显示屏隐藏在护栏箱体内，使用时候把显示屏上升，不使用时候下降到箱体内容。</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FE59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4794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套</w:t>
            </w:r>
          </w:p>
        </w:tc>
      </w:tr>
      <w:tr w14:paraId="0B5D6B9E">
        <w:tblPrEx>
          <w:tblCellMar>
            <w:top w:w="0" w:type="dxa"/>
            <w:left w:w="108" w:type="dxa"/>
            <w:bottom w:w="0" w:type="dxa"/>
            <w:right w:w="108" w:type="dxa"/>
          </w:tblCellMar>
        </w:tblPrEx>
        <w:trPr>
          <w:trHeight w:val="285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0D8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0BB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电子席位牌</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6C3B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21DE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产品性能指标不低于以下参数：桌牌尺寸长度同法台家具宽度；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间距:1.25mm；</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使用环境:室内；</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模组尺寸:320*160(mm)；</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刷新：3840；</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LED灯型号:SMD1010；</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亮度:500nit；</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扫描方式:1/32恒流；</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最大功耗:450W/㎡；</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像素密度:640000 pixels/㎡。</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882C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38</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11D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米</w:t>
            </w:r>
          </w:p>
        </w:tc>
      </w:tr>
      <w:tr w14:paraId="4BE55B43">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3C6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7CC7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异步播放盒</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1548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E9AF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产品性能指标不低于以下参数：带载130万像素；输入:1xHDMI；输出:1xAudio、2x网口、1xUSB、1xHDMI(环出)。</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0E26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F70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54BB1DB9">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FC2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EF2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异步播放盒</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4CF3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C4B6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产品性能指标不低于以下参数：带载65万像素；输入:1xHDMI；输出:1xAudio、2x网口、1xUSB、1xHDMI(环出)。</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1C06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1CDA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5D2D161F">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045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12</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62F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场照明电源模块</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B4B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采编压缩卡</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8B9B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产品性能指标不低于以下参数：≥8路电源开关通道；≥8个I/O通道；单通道的最大电流：≥20A；总输入电流容量：≥50A；</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23EF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C91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0750234B">
        <w:tblPrEx>
          <w:tblCellMar>
            <w:top w:w="0" w:type="dxa"/>
            <w:left w:w="108" w:type="dxa"/>
            <w:bottom w:w="0" w:type="dxa"/>
            <w:right w:w="108" w:type="dxa"/>
          </w:tblCellMar>
        </w:tblPrEx>
        <w:trPr>
          <w:trHeight w:val="256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7B4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13</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FA8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法官通道公告屏（21.5寸）</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7C67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显示屏</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DDA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产品性能指标不低于以下参数：不小于21.5寸LCD显示屏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亮度不低于 350 cd/ m2</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分 辨 率不低于1920 x 1080 RGB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显示比例： 9:16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角度不小于 178° (L/R/U/D)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性能不低于 Cortex-A7八核 Android系统，主频2GHz，内存2GB DDR3，内置存储器8GB EMMC，需支持竖屏播放、集成高清解码芯片</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接口类型：RJ45，电源，开关，USB</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364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DC8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0436FC7A">
        <w:tblPrEx>
          <w:tblCellMar>
            <w:top w:w="0" w:type="dxa"/>
            <w:left w:w="108" w:type="dxa"/>
            <w:bottom w:w="0" w:type="dxa"/>
            <w:right w:w="108" w:type="dxa"/>
          </w:tblCellMar>
        </w:tblPrEx>
        <w:trPr>
          <w:trHeight w:val="28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971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14</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2CF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多媒体信息接口</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703D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模块</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CBAF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产品性能指标不低于以下参数：桌插和地插接口</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CD11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18</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944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w:t>
            </w:r>
          </w:p>
        </w:tc>
      </w:tr>
      <w:tr w14:paraId="36447206">
        <w:tblPrEx>
          <w:tblCellMar>
            <w:top w:w="0" w:type="dxa"/>
            <w:left w:w="108" w:type="dxa"/>
            <w:bottom w:w="0" w:type="dxa"/>
            <w:right w:w="108" w:type="dxa"/>
          </w:tblCellMar>
        </w:tblPrEx>
        <w:trPr>
          <w:trHeight w:val="9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EAD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15</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987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控制主机</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0AD9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视频矩阵</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29D1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产品性能指标不低于以下参数：≥512MB RAM；</w:t>
            </w:r>
          </w:p>
          <w:p w14:paraId="5CD96F3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≥4GB闪存；</w:t>
            </w:r>
          </w:p>
          <w:p w14:paraId="3E45705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具有USB 2.0端口；</w:t>
            </w:r>
          </w:p>
          <w:p w14:paraId="49DB104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w:t>
            </w:r>
            <w:r>
              <w:rPr>
                <w:rFonts w:hint="eastAsia" w:asciiTheme="minorEastAsia" w:hAnsiTheme="minorEastAsia" w:eastAsiaTheme="minorEastAsia" w:cstheme="minorEastAsia"/>
                <w:color w:val="000000"/>
                <w:sz w:val="24"/>
                <w:highlight w:val="none"/>
              </w:rPr>
              <w:t>需</w:t>
            </w:r>
            <w:r>
              <w:rPr>
                <w:rFonts w:hint="eastAsia" w:asciiTheme="minorEastAsia" w:hAnsiTheme="minorEastAsia" w:eastAsiaTheme="minorEastAsia" w:cstheme="minorEastAsia"/>
                <w:color w:val="000000"/>
                <w:sz w:val="24"/>
                <w:highlight w:val="none"/>
                <w:lang w:val="en-US" w:eastAsia="zh-CN"/>
              </w:rPr>
              <w:t>提供数据采集与控制接口，以</w:t>
            </w:r>
            <w:r>
              <w:rPr>
                <w:rFonts w:hint="eastAsia" w:asciiTheme="minorEastAsia" w:hAnsiTheme="minorEastAsia" w:eastAsiaTheme="minorEastAsia" w:cstheme="minorEastAsia"/>
                <w:color w:val="000000"/>
                <w:sz w:val="24"/>
                <w:highlight w:val="none"/>
              </w:rPr>
              <w:t>支持</w:t>
            </w:r>
            <w:r>
              <w:rPr>
                <w:rFonts w:hint="eastAsia" w:asciiTheme="minorEastAsia" w:hAnsiTheme="minorEastAsia" w:eastAsiaTheme="minorEastAsia" w:cstheme="minorEastAsia"/>
                <w:color w:val="000000"/>
                <w:sz w:val="24"/>
                <w:highlight w:val="none"/>
                <w:lang w:val="en-US" w:eastAsia="zh-CN"/>
              </w:rPr>
              <w:t>第三方</w:t>
            </w:r>
            <w:r>
              <w:rPr>
                <w:rFonts w:hint="eastAsia" w:asciiTheme="minorEastAsia" w:hAnsiTheme="minorEastAsia" w:eastAsiaTheme="minorEastAsia" w:cstheme="minorEastAsia"/>
                <w:color w:val="000000"/>
                <w:sz w:val="24"/>
                <w:highlight w:val="none"/>
              </w:rPr>
              <w:t>管理平台</w:t>
            </w:r>
            <w:r>
              <w:rPr>
                <w:rFonts w:hint="eastAsia" w:asciiTheme="minorEastAsia" w:hAnsiTheme="minorEastAsia" w:eastAsiaTheme="minorEastAsia" w:cstheme="minorEastAsia"/>
                <w:color w:val="000000"/>
                <w:sz w:val="24"/>
              </w:rPr>
              <w:t>对设备的远程状态监测与控制；需支持基于Web的远程控制；</w:t>
            </w:r>
          </w:p>
          <w:p w14:paraId="3AF77B7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▲≥1个RS-232/422/485 COM端口、≥2个RS-232 COM端口、≥8个红外/RS-232、≥8个继电器和≥8个I/O端口；</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C86D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3E8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2ED97762">
        <w:tblPrEx>
          <w:tblCellMar>
            <w:top w:w="0" w:type="dxa"/>
            <w:left w:w="108" w:type="dxa"/>
            <w:bottom w:w="0" w:type="dxa"/>
            <w:right w:w="108" w:type="dxa"/>
          </w:tblCellMar>
        </w:tblPrEx>
        <w:trPr>
          <w:trHeight w:val="28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41B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16</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018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庭审中控配套产品</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05F8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视频矩阵</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D55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集中控制配套产品</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C853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0E12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套</w:t>
            </w:r>
          </w:p>
        </w:tc>
      </w:tr>
      <w:tr w14:paraId="5A61ACB0">
        <w:tblPrEx>
          <w:tblCellMar>
            <w:top w:w="0" w:type="dxa"/>
            <w:left w:w="108" w:type="dxa"/>
            <w:bottom w:w="0" w:type="dxa"/>
            <w:right w:w="108" w:type="dxa"/>
          </w:tblCellMar>
        </w:tblPrEx>
        <w:trPr>
          <w:trHeight w:val="427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B88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17</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49E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法庭物联网关</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0BEE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RFID发卡机</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6072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产品性能指标不低于以下参数：支持标准的TCP/IP堆栈，UDP/IP，DHCP，SSL，TLS，HTTP，HTTPS，SSH，SFTP(SSH文件传输协议)，SNMP，BACnet，Modbus，IPv4或IPv6；</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支持SSL加密传输，支持服务身份验证；确保法庭内设备数据的传输安全；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支持连接MQTT协议平台，支持WebSocket，支持JSON格式上报；</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支持静电防护；支持防浪涌保护；支持脉冲群干扰；支持过压过流保护；</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提供本地及政务云端数据存储功能，确保法庭数据的完整性和可追溯性；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支持边缘采集、计算、上报；支持自动轮询、解析，按照配置选择性上报；支持对采集到的数据进行初步清洗、筛选和计算分析；提供边缘计算和决策能力，支持云边协调，实现数据的实时分析和处理。</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9899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2CFB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10B0F030">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46F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18</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1E5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24口接入交换机（设备网）</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FAF0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交换机</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A6B6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产品性能指标不低于以下参数：24个10/100/1000BASE-T以太网端口,4个万兆SFP+,交流供电</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1FE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F78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1CC77EBF">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2AF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19</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94B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光模块</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4221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交换机配件</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0D01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产品性能指标不低于以下参数：光模块-SFP+-10G-多模模块(850nm,0.3km,LC)</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215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449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w:t>
            </w:r>
          </w:p>
        </w:tc>
      </w:tr>
      <w:tr w14:paraId="78B67E5B">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435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20</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C9C9">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家具内暗藏机架</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478E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机柜</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19B1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产品性能指标不低于以下参数：600×600X2000，12U，19英寸;机架</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A487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BB8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51A1D796">
        <w:tblPrEx>
          <w:tblCellMar>
            <w:top w:w="0" w:type="dxa"/>
            <w:left w:w="108" w:type="dxa"/>
            <w:bottom w:w="0" w:type="dxa"/>
            <w:right w:w="108" w:type="dxa"/>
          </w:tblCellMar>
        </w:tblPrEx>
        <w:trPr>
          <w:trHeight w:val="28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DB14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21</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C14A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桥架、管路、线缆、接插件、USB延长器等辅材</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5DFC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线缆</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B272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定制</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1968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B86A">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批</w:t>
            </w:r>
          </w:p>
        </w:tc>
      </w:tr>
      <w:tr w14:paraId="2F92E970">
        <w:tblPrEx>
          <w:tblCellMar>
            <w:top w:w="0" w:type="dxa"/>
            <w:left w:w="108" w:type="dxa"/>
            <w:bottom w:w="0" w:type="dxa"/>
            <w:right w:w="108" w:type="dxa"/>
          </w:tblCellMar>
        </w:tblPrEx>
        <w:trPr>
          <w:trHeight w:val="513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DDB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22</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08D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互联网融合庭审编解码设备</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BDF7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编解码机</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553E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产品性能指标不低于以下参数：部署在互联网侧，融合庭审环境下，实现政务外网和互联网之间音视频的合成处理、传输等功能，参数要求如下：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1、视频特性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视频编解码：H.263、H.263+、H.264 BP、H.264 HP、H.264 HP SVC、H.265 等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数据内容分辨率：1080p、720p等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2、音频特性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音频编解码：支持OPus、G.711、G.722、G.729、AAC等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3、网络适应能力</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网络丢包30%视频流畅；网络丢包50%语音清晰流畅；</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带宽范围：支持低带宽传输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4、接口</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音频输入接口：XLR接口或RCA接口；</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音频输出接口：XLR接口或RCA接口；</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视频输入接口：HDMI 视频输入接口；</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视频输出接口：HDMI 视频输出接口；</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其他接口：USB 接口；RS232串口；RJ45以太网口。</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A3E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742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r w14:paraId="78197101">
        <w:tblPrEx>
          <w:tblCellMar>
            <w:top w:w="0" w:type="dxa"/>
            <w:left w:w="108" w:type="dxa"/>
            <w:bottom w:w="0" w:type="dxa"/>
            <w:right w:w="108" w:type="dxa"/>
          </w:tblCellMar>
        </w:tblPrEx>
        <w:trPr>
          <w:trHeight w:val="570"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B770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23</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F81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HDMI单向光端机</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A29F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光纤收发器</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C7F3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产品性能指标不低于以下参数：非压缩全高清HDMI视频光端机1路视频+独立正向音频 hdmi光纤延长器收发器 1对</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FC6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F9C8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对</w:t>
            </w:r>
          </w:p>
        </w:tc>
      </w:tr>
      <w:tr w14:paraId="0EA6E353">
        <w:tblPrEx>
          <w:tblCellMar>
            <w:top w:w="0" w:type="dxa"/>
            <w:left w:w="108" w:type="dxa"/>
            <w:bottom w:w="0" w:type="dxa"/>
            <w:right w:w="108" w:type="dxa"/>
          </w:tblCellMar>
        </w:tblPrEx>
        <w:trPr>
          <w:trHeight w:val="855" w:hRule="atLeast"/>
        </w:trPr>
        <w:tc>
          <w:tcPr>
            <w:tcW w:w="2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17D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24</w:t>
            </w:r>
          </w:p>
        </w:tc>
        <w:tc>
          <w:tcPr>
            <w:tcW w:w="10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5A3B">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互联网庭审摄像机（应急）</w:t>
            </w:r>
          </w:p>
        </w:tc>
        <w:tc>
          <w:tcPr>
            <w:tcW w:w="6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7507F">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摄像设备</w:t>
            </w:r>
          </w:p>
        </w:tc>
        <w:tc>
          <w:tcPr>
            <w:tcW w:w="2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D9944">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产品性能指标不低于以下参数：1.广角可对焦，镜头范围不小于90度；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2.高动态范围，分辨率≥4K</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27CD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D30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台</w:t>
            </w:r>
          </w:p>
        </w:tc>
      </w:tr>
    </w:tbl>
    <w:p w14:paraId="28FF28A6">
      <w:pPr>
        <w:ind w:firstLine="640" w:firstLineChars="0"/>
        <w:jc w:val="left"/>
        <w:rPr>
          <w:rFonts w:hint="eastAsia"/>
          <w:lang w:eastAsia="zh-CN"/>
        </w:rPr>
      </w:pPr>
      <w:r>
        <w:rPr>
          <w:rFonts w:hint="eastAsia"/>
        </w:rPr>
        <w:t>▲指标需提供技术支持资料，以制造商公开发布的印刷资料（产品彩页、产品说明书、产品白皮书、官网截图）、界面截图、第三方检测机构出具的检测报告或在有效期内的证书扫描件等为准，投标人可以只提供上述材料关键页的复印件，关键页需体现投标产品的品牌、规格型号、相关性能指标，相关性能指标需以醒目的方式标明；凡不符合上述要求的视为无效技术支持资料</w:t>
      </w:r>
      <w:r>
        <w:rPr>
          <w:rFonts w:hint="eastAsia"/>
          <w:lang w:eastAsia="zh-CN"/>
        </w:rPr>
        <w:t>。</w:t>
      </w:r>
    </w:p>
    <w:p w14:paraId="4BEB89FA">
      <w:pPr>
        <w:ind w:firstLine="640" w:firstLineChars="0"/>
        <w:jc w:val="left"/>
        <w:rPr>
          <w:rFonts w:hint="eastAsia"/>
          <w:lang w:eastAsia="zh-CN"/>
        </w:rPr>
      </w:pPr>
    </w:p>
    <w:p w14:paraId="565887B5">
      <w:pPr>
        <w:ind w:firstLine="0" w:firstLineChars="0"/>
        <w:outlineLvl w:val="1"/>
        <w:rPr>
          <w:rFonts w:ascii="楷体" w:hAnsi="楷体" w:eastAsia="楷体" w:cs="楷体"/>
          <w:b/>
          <w:bCs/>
          <w:szCs w:val="32"/>
        </w:rPr>
      </w:pPr>
      <w:r>
        <w:rPr>
          <w:rFonts w:hint="eastAsia" w:ascii="楷体" w:hAnsi="楷体" w:eastAsia="楷体" w:cs="楷体"/>
          <w:b/>
          <w:bCs/>
          <w:szCs w:val="32"/>
        </w:rPr>
        <w:t>（三）数据治理服务</w:t>
      </w:r>
    </w:p>
    <w:p w14:paraId="37FE0395">
      <w:pPr>
        <w:ind w:firstLine="0" w:firstLineChars="0"/>
        <w:outlineLvl w:val="2"/>
        <w:rPr>
          <w:rFonts w:ascii="楷体" w:hAnsi="楷体" w:eastAsia="楷体" w:cs="楷体"/>
          <w:b/>
          <w:bCs/>
          <w:szCs w:val="32"/>
        </w:rPr>
      </w:pPr>
      <w:r>
        <w:rPr>
          <w:rFonts w:hint="eastAsia" w:ascii="楷体" w:hAnsi="楷体" w:eastAsia="楷体" w:cs="楷体"/>
          <w:b/>
          <w:bCs/>
          <w:szCs w:val="32"/>
        </w:rPr>
        <w:t>1.数据标签服务</w:t>
      </w:r>
    </w:p>
    <w:p w14:paraId="4B66ABD6">
      <w:pPr>
        <w:ind w:firstLine="640"/>
      </w:pPr>
      <w:r>
        <w:t>数据标签服务，</w:t>
      </w:r>
      <w:r>
        <w:rPr>
          <w:rFonts w:hint="eastAsia"/>
        </w:rPr>
        <w:t>57个类案，</w:t>
      </w:r>
      <w:r>
        <w:t>共计8300个标签。其中，类案要素标签抽取案件共性要素和特性要素，支撑类案要素精准提取；要件指引标签对指定案由的审查点、审查结果、关联法条进行结构化标注，让机器掌握法官的“审查逻辑”；证据指引标签对类案的证据名称、审查规则、证据链完整性进行标注，支撑证据校验与风险提示；案件摘要标签对类案解构诉请、答辩、争议焦点、事实查明进行结构化标注，实现文书的结构化重组，为文书辅助生成提供精准的素材支撑；建设预审查与庭审辅助标签聚焦管辖异议、财产保全、调解意图识别、庭后待办等应用场景，为诉前调解和庭审辅助提供精准数据支持</w:t>
      </w:r>
      <w:r>
        <w:rPr>
          <w:rFonts w:hint="eastAsia"/>
        </w:rPr>
        <w:t>。具体服务需求如下：</w:t>
      </w:r>
    </w:p>
    <w:tbl>
      <w:tblPr>
        <w:tblStyle w:val="7"/>
        <w:tblW w:w="4997" w:type="pct"/>
        <w:tblInd w:w="0" w:type="dxa"/>
        <w:tblLayout w:type="autofit"/>
        <w:tblCellMar>
          <w:top w:w="0" w:type="dxa"/>
          <w:left w:w="108" w:type="dxa"/>
          <w:bottom w:w="0" w:type="dxa"/>
          <w:right w:w="108" w:type="dxa"/>
        </w:tblCellMar>
      </w:tblPr>
      <w:tblGrid>
        <w:gridCol w:w="787"/>
        <w:gridCol w:w="1005"/>
        <w:gridCol w:w="509"/>
        <w:gridCol w:w="696"/>
        <w:gridCol w:w="3745"/>
        <w:gridCol w:w="1775"/>
      </w:tblGrid>
      <w:tr w14:paraId="4D4E527D">
        <w:tblPrEx>
          <w:tblCellMar>
            <w:top w:w="0" w:type="dxa"/>
            <w:left w:w="108" w:type="dxa"/>
            <w:bottom w:w="0" w:type="dxa"/>
            <w:right w:w="108" w:type="dxa"/>
          </w:tblCellMar>
        </w:tblPrEx>
        <w:trPr>
          <w:trHeight w:val="570"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2FD6A">
            <w:pPr>
              <w:widowControl/>
              <w:ind w:firstLine="0" w:firstLineChars="0"/>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序号</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1998F">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数据治理服务事项</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E289">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测算单位</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118B3">
            <w:pPr>
              <w:widowControl/>
              <w:ind w:firstLine="0" w:firstLineChars="0"/>
              <w:jc w:val="center"/>
              <w:textAlignment w:val="center"/>
              <w:rPr>
                <w:rFonts w:asciiTheme="minorEastAsia" w:hAnsiTheme="minorEastAsia" w:eastAsiaTheme="minorEastAsia" w:cstheme="minorEastAsia"/>
                <w:b/>
                <w:bCs/>
                <w:color w:val="1F2329"/>
                <w:sz w:val="24"/>
              </w:rPr>
            </w:pPr>
            <w:r>
              <w:rPr>
                <w:rFonts w:hint="eastAsia" w:asciiTheme="minorEastAsia" w:hAnsiTheme="minorEastAsia" w:eastAsiaTheme="minorEastAsia" w:cstheme="minorEastAsia"/>
                <w:b/>
                <w:bCs/>
                <w:color w:val="1F2329"/>
                <w:kern w:val="0"/>
                <w:sz w:val="24"/>
              </w:rPr>
              <w:t>工作量</w:t>
            </w:r>
          </w:p>
        </w:tc>
        <w:tc>
          <w:tcPr>
            <w:tcW w:w="22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5B439">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治理对象及范围（数据来源）</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6C048">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治理成效及交付物</w:t>
            </w:r>
          </w:p>
        </w:tc>
      </w:tr>
      <w:tr w14:paraId="2EDB5AA6">
        <w:tblPrEx>
          <w:tblCellMar>
            <w:top w:w="0" w:type="dxa"/>
            <w:left w:w="108" w:type="dxa"/>
            <w:bottom w:w="0" w:type="dxa"/>
            <w:right w:w="108" w:type="dxa"/>
          </w:tblCellMar>
        </w:tblPrEx>
        <w:trPr>
          <w:trHeight w:val="2195"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51A4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C07DD">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类案要素</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F5DA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个标签</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FB49D">
            <w:pPr>
              <w:widowControl/>
              <w:ind w:firstLine="0" w:firstLineChars="0"/>
              <w:jc w:val="center"/>
              <w:textAlignment w:val="center"/>
              <w:rPr>
                <w:rFonts w:asciiTheme="minorEastAsia" w:hAnsiTheme="minorEastAsia" w:eastAsiaTheme="minorEastAsia" w:cstheme="minorEastAsia"/>
                <w:color w:val="1F2329"/>
                <w:sz w:val="24"/>
              </w:rPr>
            </w:pPr>
            <w:r>
              <w:rPr>
                <w:rFonts w:hint="eastAsia" w:asciiTheme="minorEastAsia" w:hAnsiTheme="minorEastAsia" w:eastAsiaTheme="minorEastAsia" w:cstheme="minorEastAsia"/>
                <w:color w:val="1F2329"/>
                <w:kern w:val="0"/>
                <w:sz w:val="24"/>
              </w:rPr>
              <w:t>2000</w:t>
            </w:r>
          </w:p>
        </w:tc>
        <w:tc>
          <w:tcPr>
            <w:tcW w:w="2202" w:type="pct"/>
            <w:tcBorders>
              <w:top w:val="single" w:color="000000" w:sz="4" w:space="0"/>
              <w:left w:val="single" w:color="000000" w:sz="4" w:space="0"/>
              <w:bottom w:val="single" w:color="000000" w:sz="4" w:space="0"/>
              <w:right w:val="single" w:color="000000" w:sz="4" w:space="0"/>
            </w:tcBorders>
            <w:shd w:val="clear" w:color="auto" w:fill="auto"/>
          </w:tcPr>
          <w:p w14:paraId="4B94A079">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1.由法官提供的14个类案要素业务规则文档（excel/word/pdf）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2.结构化数据字段清单，来源于审判管理系统包含案件编号、当事人信息、审理程序等字段。</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3.真实卷宗材料，包括起诉状、答辩状、证据清单、庭审笔录等，用于验证规则与实际证据的对应。</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涵盖14个类案，包括：侵害外观设计专利权纠纷、股东知情权纠纷、侵害商标权纠纷、工伤保险资格或待遇认定、申请撤销仲裁裁决（商事）、申请撤销仲裁裁决（劳动仲裁裁决）、证券虚假陈述责任纠纷、金融借款合同纠纷、物业服务合同纠纷、信用卡纠纷、终本案件、袭警罪、妨害公务罪、危险驾驶罪。</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b/>
                <w:bCs/>
                <w:color w:val="000000"/>
                <w:kern w:val="0"/>
                <w:sz w:val="24"/>
              </w:rPr>
              <w:t>需提供类案要素数据标签详细的实施路径流程图以及具体流程说明。</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DDE05">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1、通用案件共性要素标签体系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2、14个案由类案要素标签体系</w:t>
            </w:r>
          </w:p>
        </w:tc>
      </w:tr>
      <w:tr w14:paraId="2CAEAD3A">
        <w:tblPrEx>
          <w:tblCellMar>
            <w:top w:w="0" w:type="dxa"/>
            <w:left w:w="108" w:type="dxa"/>
            <w:bottom w:w="0" w:type="dxa"/>
            <w:right w:w="108" w:type="dxa"/>
          </w:tblCellMar>
        </w:tblPrEx>
        <w:trPr>
          <w:trHeight w:val="5415"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3664E">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185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要件指引</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279E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个标签</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2E5D1">
            <w:pPr>
              <w:widowControl/>
              <w:ind w:firstLine="0" w:firstLineChars="0"/>
              <w:jc w:val="center"/>
              <w:textAlignment w:val="center"/>
              <w:rPr>
                <w:rFonts w:asciiTheme="minorEastAsia" w:hAnsiTheme="minorEastAsia" w:eastAsiaTheme="minorEastAsia" w:cstheme="minorEastAsia"/>
                <w:color w:val="1F2329"/>
                <w:sz w:val="24"/>
              </w:rPr>
            </w:pPr>
            <w:r>
              <w:rPr>
                <w:rFonts w:hint="eastAsia" w:asciiTheme="minorEastAsia" w:hAnsiTheme="minorEastAsia" w:eastAsiaTheme="minorEastAsia" w:cstheme="minorEastAsia"/>
                <w:color w:val="1F2329"/>
                <w:kern w:val="0"/>
                <w:sz w:val="24"/>
              </w:rPr>
              <w:t>1600</w:t>
            </w:r>
          </w:p>
        </w:tc>
        <w:tc>
          <w:tcPr>
            <w:tcW w:w="2202" w:type="pct"/>
            <w:tcBorders>
              <w:top w:val="single" w:color="000000" w:sz="4" w:space="0"/>
              <w:left w:val="single" w:color="000000" w:sz="4" w:space="0"/>
              <w:bottom w:val="single" w:color="000000" w:sz="4" w:space="0"/>
              <w:right w:val="single" w:color="000000" w:sz="4" w:space="0"/>
            </w:tcBorders>
            <w:shd w:val="clear" w:color="auto" w:fill="auto"/>
          </w:tcPr>
          <w:p w14:paraId="0F69822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1、由法官提供的12个类案的要件指引审查点规则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2、法律条文（最高法司法解释、民法典、民事事诉讼法等）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3、上海高院案例库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4、标注审查结果的卷宗数据，用于验证真实审查结果和标注的对应</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5、结构化数据（案件基本信息、当事人信息、大数据中心数据）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12个类案包括：侵害外观设计专利权纠纷、侵害商标权纠纷、机动车交通事故责任纠纷、机动车交通事故责任纠纷、工伤保险资格或待遇认定、信用卡纠纷、金融借款合同纠纷、买卖合同纠纷、民间借贷合同纠纷、劳动合同纠纷、离婚纠纷、融资租赁合同纠纷。</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b/>
                <w:bCs/>
                <w:color w:val="000000"/>
                <w:kern w:val="0"/>
                <w:sz w:val="24"/>
              </w:rPr>
              <w:t>需提供要件指引数据标签详细的实施路径流程图以及具体流程说明</w:t>
            </w:r>
            <w:r>
              <w:rPr>
                <w:rFonts w:hint="eastAsia" w:asciiTheme="minorEastAsia" w:hAnsiTheme="minorEastAsia" w:eastAsiaTheme="minorEastAsia" w:cstheme="minorEastAsia"/>
                <w:color w:val="000000"/>
                <w:kern w:val="0"/>
                <w:sz w:val="24"/>
              </w:rPr>
              <w:t>。</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B17B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1、12个类案审查点业务标签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2、审查结果标签体系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3、证据类型标签体系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4、法条匹配标签与案例匹配标签</w:t>
            </w:r>
          </w:p>
        </w:tc>
      </w:tr>
      <w:tr w14:paraId="4A65C7D5">
        <w:tblPrEx>
          <w:tblCellMar>
            <w:top w:w="0" w:type="dxa"/>
            <w:left w:w="108" w:type="dxa"/>
            <w:bottom w:w="0" w:type="dxa"/>
            <w:right w:w="108" w:type="dxa"/>
          </w:tblCellMar>
        </w:tblPrEx>
        <w:trPr>
          <w:trHeight w:val="5130"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C9B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3</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8C03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证据指引</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C737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个标签</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D1123">
            <w:pPr>
              <w:widowControl/>
              <w:ind w:firstLine="0" w:firstLineChars="0"/>
              <w:jc w:val="center"/>
              <w:textAlignment w:val="center"/>
              <w:rPr>
                <w:rFonts w:asciiTheme="minorEastAsia" w:hAnsiTheme="minorEastAsia" w:eastAsiaTheme="minorEastAsia" w:cstheme="minorEastAsia"/>
                <w:color w:val="1F2329"/>
                <w:sz w:val="24"/>
              </w:rPr>
            </w:pPr>
            <w:r>
              <w:rPr>
                <w:rFonts w:hint="eastAsia" w:asciiTheme="minorEastAsia" w:hAnsiTheme="minorEastAsia" w:eastAsiaTheme="minorEastAsia" w:cstheme="minorEastAsia"/>
                <w:color w:val="1F2329"/>
                <w:kern w:val="0"/>
                <w:sz w:val="24"/>
              </w:rPr>
              <w:t>1000</w:t>
            </w:r>
          </w:p>
        </w:tc>
        <w:tc>
          <w:tcPr>
            <w:tcW w:w="2202" w:type="pct"/>
            <w:tcBorders>
              <w:top w:val="single" w:color="000000" w:sz="4" w:space="0"/>
              <w:left w:val="single" w:color="000000" w:sz="4" w:space="0"/>
              <w:bottom w:val="single" w:color="000000" w:sz="4" w:space="0"/>
              <w:right w:val="single" w:color="000000" w:sz="4" w:space="0"/>
            </w:tcBorders>
            <w:shd w:val="clear" w:color="auto" w:fill="auto"/>
          </w:tcPr>
          <w:p w14:paraId="4E6A51A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1、由法官提供的10个类案的证据指引审查点规则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2、法律条文（最高法司法解释、民法典、民事事诉讼法等）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3、上海高院案例库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4、标注审查结果的卷宗数据，用于验证真实审查结果和标注的对应</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5、结构化数据（案件基本信息、当事人信息等）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涵盖10个类案包括：减刑假释（刑罚变更为减刑）、故意伤害罪、盗窃罪、交通肇事罪、醉驾危险驾驶罪、诈骗罪、强奸罪、猥亵儿童罪、帮助信息网络犯罪活动罪、（掩饰、隐瞒犯罪所得、犯罪所得收益罪）</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b/>
                <w:bCs/>
                <w:color w:val="000000"/>
                <w:kern w:val="0"/>
                <w:sz w:val="24"/>
              </w:rPr>
              <w:t>需提供证据指引数据标签详细的实施路径流程图以及具体流程说明。</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921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1、证据实体标签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2、审查规则关联标签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3、证据链完整性标签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4、可信度与来源标签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5、法条匹配标签与案例匹配标签</w:t>
            </w:r>
          </w:p>
        </w:tc>
      </w:tr>
      <w:tr w14:paraId="704C7739">
        <w:tblPrEx>
          <w:tblCellMar>
            <w:top w:w="0" w:type="dxa"/>
            <w:left w:w="108" w:type="dxa"/>
            <w:bottom w:w="0" w:type="dxa"/>
            <w:right w:w="108" w:type="dxa"/>
          </w:tblCellMar>
        </w:tblPrEx>
        <w:trPr>
          <w:trHeight w:val="3990"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41B1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7371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案件摘要</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78BF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个标签</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A2697">
            <w:pPr>
              <w:widowControl/>
              <w:ind w:firstLine="0" w:firstLineChars="0"/>
              <w:jc w:val="center"/>
              <w:textAlignment w:val="center"/>
              <w:rPr>
                <w:rFonts w:asciiTheme="minorEastAsia" w:hAnsiTheme="minorEastAsia" w:eastAsiaTheme="minorEastAsia" w:cstheme="minorEastAsia"/>
                <w:color w:val="1F2329"/>
                <w:sz w:val="24"/>
              </w:rPr>
            </w:pPr>
            <w:r>
              <w:rPr>
                <w:rFonts w:hint="eastAsia" w:asciiTheme="minorEastAsia" w:hAnsiTheme="minorEastAsia" w:eastAsiaTheme="minorEastAsia" w:cstheme="minorEastAsia"/>
                <w:color w:val="1F2329"/>
                <w:kern w:val="0"/>
                <w:sz w:val="24"/>
              </w:rPr>
              <w:t>3000</w:t>
            </w:r>
          </w:p>
        </w:tc>
        <w:tc>
          <w:tcPr>
            <w:tcW w:w="2202" w:type="pct"/>
            <w:tcBorders>
              <w:top w:val="single" w:color="000000" w:sz="4" w:space="0"/>
              <w:left w:val="single" w:color="000000" w:sz="4" w:space="0"/>
              <w:bottom w:val="single" w:color="000000" w:sz="4" w:space="0"/>
              <w:right w:val="single" w:color="000000" w:sz="4" w:space="0"/>
            </w:tcBorders>
            <w:shd w:val="clear" w:color="auto" w:fill="auto"/>
          </w:tcPr>
          <w:p w14:paraId="13D4DCC5">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1、由法官提供的21个类案高质量卷宗数据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2、法官提供的争议焦点样例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3、法官提供的庭审提纲规则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4、结构化数据（案件基本信息、当事人信息等）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涵盖21类案包括：侵害商标权纠纷、侵害外观设计专利权纠纷、离婚纠纷、买卖合同纠纷、民间借贷纠纷、申请确认监护人、申请指定监护人、机动车交通事故责任纠纷、股东知情权纠纷、申请撤销仲裁裁决等21个类案。</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b/>
                <w:bCs/>
                <w:color w:val="000000"/>
                <w:kern w:val="0"/>
                <w:sz w:val="24"/>
              </w:rPr>
              <w:t>需提供案件摘要数据标签详细的实施路径流程图以及具体流程说明。</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8CD97">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1、一审案件摘要标签体系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2、二审案件摘要标签体系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3、21类案由模块与抽取证据类型标签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4、21类案由文书与摘要模块映射标签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5、争议焦点标签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6、庭审提纲标签</w:t>
            </w:r>
          </w:p>
        </w:tc>
      </w:tr>
      <w:tr w14:paraId="37E6A9FB">
        <w:tblPrEx>
          <w:tblCellMar>
            <w:top w:w="0" w:type="dxa"/>
            <w:left w:w="108" w:type="dxa"/>
            <w:bottom w:w="0" w:type="dxa"/>
            <w:right w:w="108" w:type="dxa"/>
          </w:tblCellMar>
        </w:tblPrEx>
        <w:trPr>
          <w:trHeight w:val="3135"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E96E2">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3520E">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庭审辅助</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0227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个标签</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A4239">
            <w:pPr>
              <w:widowControl/>
              <w:ind w:firstLine="0" w:firstLineChars="0"/>
              <w:jc w:val="center"/>
              <w:textAlignment w:val="center"/>
              <w:rPr>
                <w:rFonts w:asciiTheme="minorEastAsia" w:hAnsiTheme="minorEastAsia" w:eastAsiaTheme="minorEastAsia" w:cstheme="minorEastAsia"/>
                <w:color w:val="1F2329"/>
                <w:sz w:val="24"/>
              </w:rPr>
            </w:pPr>
            <w:r>
              <w:rPr>
                <w:rFonts w:hint="eastAsia" w:asciiTheme="minorEastAsia" w:hAnsiTheme="minorEastAsia" w:eastAsiaTheme="minorEastAsia" w:cstheme="minorEastAsia"/>
                <w:color w:val="1F2329"/>
                <w:kern w:val="0"/>
                <w:sz w:val="24"/>
              </w:rPr>
              <w:t>50</w:t>
            </w:r>
          </w:p>
        </w:tc>
        <w:tc>
          <w:tcPr>
            <w:tcW w:w="2202" w:type="pct"/>
            <w:tcBorders>
              <w:top w:val="single" w:color="000000" w:sz="4" w:space="0"/>
              <w:left w:val="single" w:color="000000" w:sz="4" w:space="0"/>
              <w:bottom w:val="single" w:color="000000" w:sz="4" w:space="0"/>
              <w:right w:val="single" w:color="000000" w:sz="4" w:space="0"/>
            </w:tcBorders>
            <w:shd w:val="clear" w:color="auto" w:fill="auto"/>
          </w:tcPr>
          <w:p w14:paraId="78E80B91">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1、由法官提供的类案高质量庭审笔录数据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2、法官提供的庭审待办归纳规则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3、法官提供的调解结论归纳规则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4、结构化数据（案件基本信息、当事人信息、开庭信息）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庭审辅助数据标签服务包括：调解结论意图识别、庭后待办生成</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b/>
                <w:bCs/>
                <w:color w:val="000000"/>
                <w:kern w:val="0"/>
                <w:sz w:val="24"/>
              </w:rPr>
              <w:t>需提供庭审辅助数据标签详细的实施路径流程图以及具体流程说明</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82F2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1、调解结论意图识别标签体系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2、庭后待办标签体系</w:t>
            </w:r>
          </w:p>
        </w:tc>
      </w:tr>
      <w:tr w14:paraId="35996699">
        <w:tblPrEx>
          <w:tblCellMar>
            <w:top w:w="0" w:type="dxa"/>
            <w:left w:w="108" w:type="dxa"/>
            <w:bottom w:w="0" w:type="dxa"/>
            <w:right w:w="108" w:type="dxa"/>
          </w:tblCellMar>
        </w:tblPrEx>
        <w:trPr>
          <w:trHeight w:val="3990"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0F733">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54EB6">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预审查</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121D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个标签</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11538">
            <w:pPr>
              <w:widowControl/>
              <w:ind w:firstLine="0" w:firstLineChars="0"/>
              <w:jc w:val="center"/>
              <w:textAlignment w:val="center"/>
              <w:rPr>
                <w:rFonts w:asciiTheme="minorEastAsia" w:hAnsiTheme="minorEastAsia" w:eastAsiaTheme="minorEastAsia" w:cstheme="minorEastAsia"/>
                <w:color w:val="1F2329"/>
                <w:sz w:val="24"/>
              </w:rPr>
            </w:pPr>
            <w:r>
              <w:rPr>
                <w:rFonts w:hint="eastAsia" w:asciiTheme="minorEastAsia" w:hAnsiTheme="minorEastAsia" w:eastAsiaTheme="minorEastAsia" w:cstheme="minorEastAsia"/>
                <w:color w:val="1F2329"/>
                <w:kern w:val="0"/>
                <w:sz w:val="24"/>
              </w:rPr>
              <w:t>650</w:t>
            </w:r>
          </w:p>
        </w:tc>
        <w:tc>
          <w:tcPr>
            <w:tcW w:w="2202" w:type="pct"/>
            <w:tcBorders>
              <w:top w:val="single" w:color="000000" w:sz="4" w:space="0"/>
              <w:left w:val="single" w:color="000000" w:sz="4" w:space="0"/>
              <w:bottom w:val="single" w:color="000000" w:sz="4" w:space="0"/>
              <w:right w:val="single" w:color="000000" w:sz="4" w:space="0"/>
            </w:tcBorders>
            <w:shd w:val="clear" w:color="auto" w:fill="auto"/>
          </w:tcPr>
          <w:p w14:paraId="26CDF7E2">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1、由法官提供的预审查审查点规则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2、法律条文（最高法司法解释、民法典、民事事诉讼法等）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3、上海高院案例库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4、标注审查结果的卷宗数据，用于验证真实审查结果和标注的对应</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5、结构化数据（案件基本信息、当事人信息、大数据中心数据）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预审查数据标签服务包括：主体、管辖审查，诉前财产保全。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b/>
                <w:bCs/>
                <w:color w:val="000000"/>
                <w:kern w:val="0"/>
                <w:sz w:val="24"/>
              </w:rPr>
              <w:t>需提供预审查数据标签详细的实施路径流程图以及具体流程说明</w:t>
            </w:r>
          </w:p>
        </w:tc>
        <w:tc>
          <w:tcPr>
            <w:tcW w:w="10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1949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1、预审查审查点业务标签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2、审查结果标签体系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3、证据类型标签</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4、新增法条匹配标签与案例匹配标签</w:t>
            </w:r>
          </w:p>
        </w:tc>
      </w:tr>
    </w:tbl>
    <w:p w14:paraId="5A47A98E">
      <w:pPr>
        <w:ind w:firstLine="0" w:firstLineChars="0"/>
      </w:pPr>
    </w:p>
    <w:p w14:paraId="7FE256BC">
      <w:pPr>
        <w:ind w:firstLine="0" w:firstLineChars="0"/>
        <w:outlineLvl w:val="2"/>
        <w:rPr>
          <w:rFonts w:ascii="楷体" w:hAnsi="楷体" w:eastAsia="楷体" w:cs="楷体"/>
          <w:b/>
          <w:bCs/>
          <w:szCs w:val="32"/>
        </w:rPr>
      </w:pPr>
      <w:r>
        <w:rPr>
          <w:rFonts w:hint="eastAsia" w:ascii="楷体" w:hAnsi="楷体" w:eastAsia="楷体" w:cs="楷体"/>
          <w:b/>
          <w:bCs/>
          <w:szCs w:val="32"/>
        </w:rPr>
        <w:t>2.数据融合服务</w:t>
      </w:r>
    </w:p>
    <w:p w14:paraId="65BBB879">
      <w:pPr>
        <w:ind w:firstLine="560"/>
        <w:rPr>
          <w:rFonts w:ascii="宋体" w:hAnsi="宋体" w:cs="宋体"/>
          <w:color w:val="000000"/>
          <w:sz w:val="28"/>
          <w:szCs w:val="28"/>
        </w:rPr>
      </w:pPr>
      <w:r>
        <w:rPr>
          <w:rFonts w:ascii="宋体" w:hAnsi="宋体" w:cs="宋体"/>
          <w:color w:val="000000"/>
          <w:sz w:val="28"/>
          <w:szCs w:val="28"/>
        </w:rPr>
        <w:t>数据融合服务，预计有48494万条。在前述标签体系指导下对类案卷宗进行精细化解构，形成可直接用于比对、碰撞、分析、训练、共享的高质量数据集。通过数据采集与处理，收集上述指定案由的卷宗数据，完成清洗、脱敏、格式转换与分类编目，确保数据合规可用；深度标注与质检，按照标签体系对卷宗文本逐项标注，并建立质量核验，把关标注准确率；成果结构化输出，形成结构化的要素表、审查结果表、证据映射表等标准化数据表及逻辑化审查规则知识图谱，确保治理成果直接供智能化引擎调用。</w:t>
      </w:r>
      <w:r>
        <w:rPr>
          <w:rFonts w:hint="eastAsia" w:ascii="宋体" w:hAnsi="宋体" w:cs="宋体"/>
          <w:color w:val="000000"/>
          <w:sz w:val="28"/>
          <w:szCs w:val="28"/>
        </w:rPr>
        <w:t>具体需求如下：</w:t>
      </w:r>
    </w:p>
    <w:tbl>
      <w:tblPr>
        <w:tblStyle w:val="7"/>
        <w:tblW w:w="4998" w:type="pct"/>
        <w:tblInd w:w="0" w:type="dxa"/>
        <w:tblLayout w:type="autofit"/>
        <w:tblCellMar>
          <w:top w:w="0" w:type="dxa"/>
          <w:left w:w="108" w:type="dxa"/>
          <w:bottom w:w="0" w:type="dxa"/>
          <w:right w:w="108" w:type="dxa"/>
        </w:tblCellMar>
      </w:tblPr>
      <w:tblGrid>
        <w:gridCol w:w="487"/>
        <w:gridCol w:w="640"/>
        <w:gridCol w:w="458"/>
        <w:gridCol w:w="817"/>
        <w:gridCol w:w="2660"/>
        <w:gridCol w:w="3457"/>
      </w:tblGrid>
      <w:tr w14:paraId="164C5A7A">
        <w:tblPrEx>
          <w:tblCellMar>
            <w:top w:w="0" w:type="dxa"/>
            <w:left w:w="108" w:type="dxa"/>
            <w:bottom w:w="0" w:type="dxa"/>
            <w:right w:w="108" w:type="dxa"/>
          </w:tblCellMar>
        </w:tblPrEx>
        <w:trPr>
          <w:trHeight w:val="57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C3C13">
            <w:pPr>
              <w:widowControl/>
              <w:ind w:firstLine="0" w:firstLineChars="0"/>
              <w:jc w:val="center"/>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序号</w:t>
            </w:r>
          </w:p>
        </w:tc>
        <w:tc>
          <w:tcPr>
            <w:tcW w:w="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B3098">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数据治理服务事项</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F617">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测算单位</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864D7">
            <w:pPr>
              <w:widowControl/>
              <w:ind w:firstLine="0" w:firstLineChars="0"/>
              <w:jc w:val="center"/>
              <w:textAlignment w:val="center"/>
              <w:rPr>
                <w:rFonts w:asciiTheme="minorEastAsia" w:hAnsiTheme="minorEastAsia" w:eastAsiaTheme="minorEastAsia" w:cstheme="minorEastAsia"/>
                <w:b/>
                <w:bCs/>
                <w:color w:val="1F2329"/>
                <w:sz w:val="24"/>
              </w:rPr>
            </w:pPr>
            <w:r>
              <w:rPr>
                <w:rFonts w:hint="eastAsia" w:asciiTheme="minorEastAsia" w:hAnsiTheme="minorEastAsia" w:eastAsiaTheme="minorEastAsia" w:cstheme="minorEastAsia"/>
                <w:b/>
                <w:bCs/>
                <w:color w:val="1F2329"/>
                <w:kern w:val="0"/>
                <w:sz w:val="24"/>
              </w:rPr>
              <w:t>工作量</w:t>
            </w:r>
          </w:p>
        </w:tc>
        <w:tc>
          <w:tcPr>
            <w:tcW w:w="1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7296A">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治理对象及范围（数据来源）</w:t>
            </w:r>
          </w:p>
        </w:tc>
        <w:tc>
          <w:tcPr>
            <w:tcW w:w="1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F431B">
            <w:pPr>
              <w:widowControl/>
              <w:ind w:firstLine="0" w:firstLineChars="0"/>
              <w:jc w:val="left"/>
              <w:textAlignment w:val="center"/>
              <w:rPr>
                <w:rFonts w:asciiTheme="minorEastAsia" w:hAnsiTheme="minorEastAsia" w:eastAsiaTheme="minorEastAsia" w:cstheme="minorEastAsia"/>
                <w:b/>
                <w:bCs/>
                <w:color w:val="000000"/>
                <w:sz w:val="24"/>
              </w:rPr>
            </w:pPr>
            <w:r>
              <w:rPr>
                <w:rFonts w:hint="eastAsia" w:asciiTheme="minorEastAsia" w:hAnsiTheme="minorEastAsia" w:eastAsiaTheme="minorEastAsia" w:cstheme="minorEastAsia"/>
                <w:b/>
                <w:bCs/>
                <w:color w:val="000000"/>
                <w:kern w:val="0"/>
                <w:sz w:val="24"/>
              </w:rPr>
              <w:t>治理成效及交付物</w:t>
            </w:r>
          </w:p>
        </w:tc>
      </w:tr>
      <w:tr w14:paraId="4D74A72F">
        <w:tblPrEx>
          <w:tblCellMar>
            <w:top w:w="0" w:type="dxa"/>
            <w:left w:w="108" w:type="dxa"/>
            <w:bottom w:w="0" w:type="dxa"/>
            <w:right w:w="108" w:type="dxa"/>
          </w:tblCellMar>
        </w:tblPrEx>
        <w:trPr>
          <w:trHeight w:val="419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A696F">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7</w:t>
            </w:r>
          </w:p>
        </w:tc>
        <w:tc>
          <w:tcPr>
            <w:tcW w:w="53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669A1E0">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数据融合服务</w:t>
            </w:r>
          </w:p>
        </w:tc>
        <w:tc>
          <w:tcPr>
            <w:tcW w:w="28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ED50AC">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万条</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67B0E97">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48494</w:t>
            </w:r>
          </w:p>
        </w:tc>
        <w:tc>
          <w:tcPr>
            <w:tcW w:w="1859" w:type="pct"/>
            <w:tcBorders>
              <w:top w:val="single" w:color="000000" w:sz="4" w:space="0"/>
              <w:left w:val="single" w:color="000000" w:sz="4" w:space="0"/>
              <w:bottom w:val="single" w:color="000000" w:sz="4" w:space="0"/>
              <w:right w:val="single" w:color="000000" w:sz="4" w:space="0"/>
            </w:tcBorders>
            <w:shd w:val="clear" w:color="auto" w:fill="FFFFFF"/>
          </w:tcPr>
          <w:p w14:paraId="34A9EC3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1.要素规则：由法官提供要素抽取规则文档（excel/word/pdf）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2.结构化数据表单:来源于审判管理系统包含案件编号、当事人信息、审理程序等字段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3.非结构化卷宗材料：包括判决书、起诉状、证据清单、庭审笔录等，用于验证规则与实际证据的对应性</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涵盖14个类案，包括：侵害外观设计专利权纠纷、股东知情权纠纷、侵害商标权纠纷、工伤保险资格或待遇认定、申请撤销仲裁裁决（商事）、申请撤销仲裁裁决（劳动仲裁裁决）、证券虚假陈述责任纠纷、金融借款合同纠纷、金融借款合同纠纷、信用卡纠纷、终本案件、袭警罪、妨害公务罪、危险驾驶罪。</w:t>
            </w:r>
          </w:p>
        </w:tc>
        <w:tc>
          <w:tcPr>
            <w:tcW w:w="1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AE291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1、结构化的类案要素文本标注数据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2、结构化的代理信息文本标注数据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3、结构化的当事人身份信息文本数据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具体信息表如下：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T_GUIDE_YSZB（要素值表）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yscq_dlrxx（代理人信息抽取表）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yscq_dsrsfxx（当事人身份信息抽取表）</w:t>
            </w:r>
          </w:p>
        </w:tc>
      </w:tr>
      <w:tr w14:paraId="43EEF1AB">
        <w:tblPrEx>
          <w:tblCellMar>
            <w:top w:w="0" w:type="dxa"/>
            <w:left w:w="108" w:type="dxa"/>
            <w:bottom w:w="0" w:type="dxa"/>
            <w:right w:w="108" w:type="dxa"/>
          </w:tblCellMar>
        </w:tblPrEx>
        <w:trPr>
          <w:trHeight w:val="5985"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27B8">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8</w:t>
            </w: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8B88DD">
            <w:pPr>
              <w:widowControl/>
              <w:ind w:firstLine="0" w:firstLineChars="0"/>
              <w:rPr>
                <w:rFonts w:asciiTheme="minorEastAsia" w:hAnsiTheme="minorEastAsia" w:eastAsiaTheme="minorEastAsia" w:cstheme="minorEastAsia"/>
                <w:color w:val="000000"/>
                <w:sz w:val="24"/>
              </w:rPr>
            </w:pPr>
          </w:p>
        </w:tc>
        <w:tc>
          <w:tcPr>
            <w:tcW w:w="28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457767">
            <w:pPr>
              <w:widowControl/>
              <w:ind w:firstLine="0" w:firstLineChars="0"/>
              <w:rPr>
                <w:rFonts w:asciiTheme="minorEastAsia" w:hAnsiTheme="minorEastAsia" w:eastAsiaTheme="minorEastAsia" w:cstheme="minorEastAsia"/>
                <w:color w:val="000000"/>
                <w:sz w:val="24"/>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7084604">
            <w:pPr>
              <w:widowControl/>
              <w:ind w:firstLine="0" w:firstLineChars="0"/>
              <w:jc w:val="center"/>
              <w:rPr>
                <w:rFonts w:asciiTheme="minorEastAsia" w:hAnsiTheme="minorEastAsia" w:eastAsiaTheme="minorEastAsia" w:cstheme="minorEastAsia"/>
                <w:color w:val="000000"/>
                <w:sz w:val="24"/>
              </w:rPr>
            </w:pPr>
          </w:p>
        </w:tc>
        <w:tc>
          <w:tcPr>
            <w:tcW w:w="1859" w:type="pct"/>
            <w:tcBorders>
              <w:top w:val="single" w:color="000000" w:sz="4" w:space="0"/>
              <w:left w:val="single" w:color="000000" w:sz="4" w:space="0"/>
              <w:bottom w:val="single" w:color="000000" w:sz="4" w:space="0"/>
              <w:right w:val="single" w:color="000000" w:sz="4" w:space="0"/>
            </w:tcBorders>
            <w:shd w:val="clear" w:color="auto" w:fill="FFFFFF"/>
          </w:tcPr>
          <w:p w14:paraId="1BF698DB">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1.审查点规则:办案模型阶段融合后的审查点规则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2.法律条文库:最高法司法解释、民法典、民事诉讼法等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3.民事卷宗数据:办案模型融合后的卷宗数据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4.结构化数据:案件基本信息、当事人信息、大数据中心数据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5.上海高院案例库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6.办案模型输出的审查结果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7.电子卷宗的OCR结果数据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8.原始电子卷宗</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12个类案包括：侵害外观设计专利权纠纷、侵害商标权纠纷、机动车交通事故责任纠纷、机动车交通事故责任纠纷、工伤保险资格或待遇认定、信用卡纠纷、金融借款合同纠纷、买卖合同纠纷、民间借贷合同纠纷、劳动合同纠纷、离婚纠纷、融资租赁合同纠纷。</w:t>
            </w:r>
          </w:p>
        </w:tc>
        <w:tc>
          <w:tcPr>
            <w:tcW w:w="1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340433">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1、高质量要件指引审查点规则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2、结构化的要件审查结果数据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3、证据映射对照表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4、结构化的要件审查文本数据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具体信息表如下：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essentials_guide_result（审查结果表）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essentials_guide_result_ext（审查结果明细表）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result_fdw（要件指引反定位表）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T_CASE_GUIDE（要件指引结果表）</w:t>
            </w:r>
          </w:p>
        </w:tc>
      </w:tr>
      <w:tr w14:paraId="6C1587A3">
        <w:tblPrEx>
          <w:tblCellMar>
            <w:top w:w="0" w:type="dxa"/>
            <w:left w:w="108" w:type="dxa"/>
            <w:bottom w:w="0" w:type="dxa"/>
            <w:right w:w="108" w:type="dxa"/>
          </w:tblCellMar>
        </w:tblPrEx>
        <w:trPr>
          <w:trHeight w:val="5415"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7124C">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9</w:t>
            </w: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7C36C5">
            <w:pPr>
              <w:widowControl/>
              <w:ind w:firstLine="0" w:firstLineChars="0"/>
              <w:rPr>
                <w:rFonts w:asciiTheme="minorEastAsia" w:hAnsiTheme="minorEastAsia" w:eastAsiaTheme="minorEastAsia" w:cstheme="minorEastAsia"/>
                <w:color w:val="000000"/>
                <w:sz w:val="24"/>
              </w:rPr>
            </w:pPr>
          </w:p>
        </w:tc>
        <w:tc>
          <w:tcPr>
            <w:tcW w:w="28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4947D9">
            <w:pPr>
              <w:widowControl/>
              <w:ind w:firstLine="0" w:firstLineChars="0"/>
              <w:rPr>
                <w:rFonts w:asciiTheme="minorEastAsia" w:hAnsiTheme="minorEastAsia" w:eastAsiaTheme="minorEastAsia" w:cstheme="minorEastAsia"/>
                <w:color w:val="000000"/>
                <w:sz w:val="24"/>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10FC8E">
            <w:pPr>
              <w:widowControl/>
              <w:ind w:firstLine="0" w:firstLineChars="0"/>
              <w:jc w:val="center"/>
              <w:rPr>
                <w:rFonts w:asciiTheme="minorEastAsia" w:hAnsiTheme="minorEastAsia" w:eastAsiaTheme="minorEastAsia" w:cstheme="minorEastAsia"/>
                <w:color w:val="000000"/>
                <w:sz w:val="24"/>
              </w:rPr>
            </w:pPr>
          </w:p>
        </w:tc>
        <w:tc>
          <w:tcPr>
            <w:tcW w:w="1859" w:type="pct"/>
            <w:tcBorders>
              <w:top w:val="single" w:color="000000" w:sz="4" w:space="0"/>
              <w:left w:val="single" w:color="000000" w:sz="4" w:space="0"/>
              <w:bottom w:val="single" w:color="000000" w:sz="4" w:space="0"/>
              <w:right w:val="single" w:color="000000" w:sz="4" w:space="0"/>
            </w:tcBorders>
            <w:shd w:val="clear" w:color="auto" w:fill="FFFFFF"/>
          </w:tcPr>
          <w:p w14:paraId="049B5940">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1.审查点规则:办案模型阶段融合后的审查点规则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2.法律条文库:最高法司法解释、刑法等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3.民事卷宗数据:办案模型融合后的卷宗数据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4.结构化数据:案件基本信息、当事人信息、大数据中心数据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5.上海高院案例库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6.办案模型输出的审查结果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7.电子卷宗的OCR结果数据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8.原始电子卷宗</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涵盖10个类案包括：减刑假释（刑罚变更为减刑）、故意伤害罪、盗窃罪、交通肇事罪、醉驾危险驾驶罪、诈骗罪、强奸罪、猥亵儿童罪、帮助信息网络犯罪活动罪、（掩饰、隐瞒犯罪所得、犯罪所得收益罪）</w:t>
            </w:r>
          </w:p>
        </w:tc>
        <w:tc>
          <w:tcPr>
            <w:tcW w:w="1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C36B41">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1、高质量证据审查审查点规则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2、结构化的证据审查结果数据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3、证据映射对照表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4、结构化的证据审查文本数据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具体信息表如下：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essentials_guide_result（审查结果表）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essentials_guide_result_ext（审查结果明细表）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result_fdw（要件指引反定位表）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T_CASE_GUIDE（要件指引结果表）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case_digest_dlcq_dsr（段落抽取要当事人表）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case_digest_dlcq_info（段落抽取信息表）</w:t>
            </w:r>
          </w:p>
        </w:tc>
      </w:tr>
      <w:tr w14:paraId="47369BFE">
        <w:tblPrEx>
          <w:tblCellMar>
            <w:top w:w="0" w:type="dxa"/>
            <w:left w:w="108" w:type="dxa"/>
            <w:bottom w:w="0" w:type="dxa"/>
            <w:right w:w="108" w:type="dxa"/>
          </w:tblCellMar>
        </w:tblPrEx>
        <w:trPr>
          <w:trHeight w:val="4265"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C4496">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10</w:t>
            </w: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82536B">
            <w:pPr>
              <w:widowControl/>
              <w:ind w:firstLine="0" w:firstLineChars="0"/>
              <w:rPr>
                <w:rFonts w:asciiTheme="minorEastAsia" w:hAnsiTheme="minorEastAsia" w:eastAsiaTheme="minorEastAsia" w:cstheme="minorEastAsia"/>
                <w:color w:val="000000"/>
                <w:sz w:val="24"/>
              </w:rPr>
            </w:pPr>
          </w:p>
        </w:tc>
        <w:tc>
          <w:tcPr>
            <w:tcW w:w="28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496556">
            <w:pPr>
              <w:widowControl/>
              <w:ind w:firstLine="0" w:firstLineChars="0"/>
              <w:rPr>
                <w:rFonts w:asciiTheme="minorEastAsia" w:hAnsiTheme="minorEastAsia" w:eastAsiaTheme="minorEastAsia" w:cstheme="minorEastAsia"/>
                <w:color w:val="000000"/>
                <w:sz w:val="24"/>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47CE3E">
            <w:pPr>
              <w:widowControl/>
              <w:ind w:firstLine="0" w:firstLineChars="0"/>
              <w:jc w:val="center"/>
              <w:rPr>
                <w:rFonts w:asciiTheme="minorEastAsia" w:hAnsiTheme="minorEastAsia" w:eastAsiaTheme="minorEastAsia" w:cstheme="minorEastAsia"/>
                <w:color w:val="000000"/>
                <w:sz w:val="24"/>
              </w:rPr>
            </w:pPr>
          </w:p>
        </w:tc>
        <w:tc>
          <w:tcPr>
            <w:tcW w:w="1859" w:type="pct"/>
            <w:tcBorders>
              <w:top w:val="single" w:color="000000" w:sz="4" w:space="0"/>
              <w:left w:val="single" w:color="000000" w:sz="4" w:space="0"/>
              <w:bottom w:val="single" w:color="000000" w:sz="4" w:space="0"/>
              <w:right w:val="single" w:color="000000" w:sz="4" w:space="0"/>
            </w:tcBorders>
            <w:shd w:val="clear" w:color="auto" w:fill="FFFFFF"/>
          </w:tcPr>
          <w:p w14:paraId="61972F9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1.案件摘要标签体系</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2.庭审笔录</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3.法官提供的争议焦点样例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4.法官提供的庭审提纲规则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5.办案模型处理后的卷宗数据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6.裁判文书数据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7.案件基本信息表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8.卷宗编目规则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涵盖21类案包括：侵害商标权纠纷、侵害外观设计专利权纠纷、离婚纠纷、买卖合同纠纷、民间借贷纠纷、申请确认监护人、申请指定监护人、机动车交通事故责任纠纷、股东知情权纠纷、申请撤销仲裁裁决等21个类案。</w:t>
            </w:r>
          </w:p>
        </w:tc>
        <w:tc>
          <w:tcPr>
            <w:tcW w:w="1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E49F8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 xml:space="preserve">1、结构化的诉请归纳结果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2、结构化的举证质证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3、争议焦点映射规则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4、结构化的事实查明段落</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5、结构化的答辩内容</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具体信息表如下：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case_digest_dlcq_content（诉请答辩结果表）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zz_content（质证内容表）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case_digest_slcm_info（审理查明信息表）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case_digest_slcm_zj（审理查明证据表）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case_digest_zyjd_info（争议焦点主表）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case_digest_zyjd_tlgc（争议焦点推理过程）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 xml:space="preserve">case_digest_zyjd_ysfy（争议焦点原审法院表） </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case_digest_zyjd_zz（争议焦点主张表）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case_digest_dlcq_content-诉请答辩结果表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case_digest_zyjd_info-争议焦点主表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yscq_kbyj（控辩意见抽取信息）</w:t>
            </w:r>
          </w:p>
        </w:tc>
      </w:tr>
      <w:tr w14:paraId="60C35032">
        <w:tblPrEx>
          <w:tblCellMar>
            <w:top w:w="0" w:type="dxa"/>
            <w:left w:w="108" w:type="dxa"/>
            <w:bottom w:w="0" w:type="dxa"/>
            <w:right w:w="108" w:type="dxa"/>
          </w:tblCellMar>
        </w:tblPrEx>
        <w:trPr>
          <w:trHeight w:val="1295"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42D19">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11</w:t>
            </w: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6510E0">
            <w:pPr>
              <w:widowControl/>
              <w:ind w:firstLine="0" w:firstLineChars="0"/>
              <w:rPr>
                <w:rFonts w:asciiTheme="minorEastAsia" w:hAnsiTheme="minorEastAsia" w:eastAsiaTheme="minorEastAsia" w:cstheme="minorEastAsia"/>
                <w:color w:val="000000"/>
                <w:sz w:val="24"/>
              </w:rPr>
            </w:pPr>
          </w:p>
        </w:tc>
        <w:tc>
          <w:tcPr>
            <w:tcW w:w="28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CCA7E1">
            <w:pPr>
              <w:widowControl/>
              <w:ind w:firstLine="0" w:firstLineChars="0"/>
              <w:rPr>
                <w:rFonts w:asciiTheme="minorEastAsia" w:hAnsiTheme="minorEastAsia" w:eastAsiaTheme="minorEastAsia" w:cstheme="minorEastAsia"/>
                <w:color w:val="000000"/>
                <w:sz w:val="24"/>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956E68">
            <w:pPr>
              <w:widowControl/>
              <w:ind w:firstLine="0" w:firstLineChars="0"/>
              <w:jc w:val="center"/>
              <w:rPr>
                <w:rFonts w:asciiTheme="minorEastAsia" w:hAnsiTheme="minorEastAsia" w:eastAsiaTheme="minorEastAsia" w:cstheme="minorEastAsia"/>
                <w:color w:val="000000"/>
                <w:sz w:val="24"/>
              </w:rPr>
            </w:pPr>
          </w:p>
        </w:tc>
        <w:tc>
          <w:tcPr>
            <w:tcW w:w="1859" w:type="pct"/>
            <w:tcBorders>
              <w:top w:val="single" w:color="000000" w:sz="4" w:space="0"/>
              <w:left w:val="single" w:color="000000" w:sz="4" w:space="0"/>
              <w:bottom w:val="single" w:color="000000" w:sz="4" w:space="0"/>
              <w:right w:val="single" w:color="000000" w:sz="4" w:space="0"/>
            </w:tcBorders>
            <w:shd w:val="clear" w:color="auto" w:fill="FFFFFF"/>
          </w:tcPr>
          <w:p w14:paraId="174BF328">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1.审查点规则:办案模型阶段融合后的审查点规则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2.法律条文库:最高法司法解释、民法典、民事诉讼法等</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3.民事卷宗数据:办案模型融合后的卷宗数据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4.结构化数据:案件基本信息、当事人信息、大数据中心数据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5.上海高院案例库</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6.办案模型输出的审查结果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7.电子卷宗的OCR结果数据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8.原始电子卷宗</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预审查数据标签服务包括：主体、管辖审查，诉前财产保全。</w:t>
            </w:r>
          </w:p>
        </w:tc>
        <w:tc>
          <w:tcPr>
            <w:tcW w:w="1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4ABCA2">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1、结构化的预审查结果数据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2、结构化的预审查结果与材料关联数据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3、结构化的预审查文本数据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4、高质量的预审查规则</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具体信息表如下：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yscq_gxqxx（管辖权信息抽取表）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case_digest_scd（审查点表）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case_digest_scd_glzj（审查点关联证据表）</w:t>
            </w:r>
          </w:p>
        </w:tc>
      </w:tr>
      <w:tr w14:paraId="75FD86CE">
        <w:tblPrEx>
          <w:tblCellMar>
            <w:top w:w="0" w:type="dxa"/>
            <w:left w:w="108" w:type="dxa"/>
            <w:bottom w:w="0" w:type="dxa"/>
            <w:right w:w="108" w:type="dxa"/>
          </w:tblCellMar>
        </w:tblPrEx>
        <w:trPr>
          <w:trHeight w:val="3420" w:hRule="atLeast"/>
        </w:trPr>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F224">
            <w:pPr>
              <w:widowControl/>
              <w:ind w:firstLine="0" w:firstLineChars="0"/>
              <w:jc w:val="center"/>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12</w:t>
            </w:r>
          </w:p>
        </w:tc>
        <w:tc>
          <w:tcPr>
            <w:tcW w:w="53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839352">
            <w:pPr>
              <w:widowControl/>
              <w:ind w:firstLine="0" w:firstLineChars="0"/>
              <w:rPr>
                <w:rFonts w:asciiTheme="minorEastAsia" w:hAnsiTheme="minorEastAsia" w:eastAsiaTheme="minorEastAsia" w:cstheme="minorEastAsia"/>
                <w:color w:val="000000"/>
                <w:sz w:val="24"/>
              </w:rPr>
            </w:pPr>
          </w:p>
        </w:tc>
        <w:tc>
          <w:tcPr>
            <w:tcW w:w="28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35FA0B">
            <w:pPr>
              <w:widowControl/>
              <w:ind w:firstLine="0" w:firstLineChars="0"/>
              <w:rPr>
                <w:rFonts w:asciiTheme="minorEastAsia" w:hAnsiTheme="minorEastAsia" w:eastAsiaTheme="minorEastAsia" w:cstheme="minorEastAsia"/>
                <w:color w:val="000000"/>
                <w:sz w:val="24"/>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30887F">
            <w:pPr>
              <w:widowControl/>
              <w:ind w:firstLine="0" w:firstLineChars="0"/>
              <w:jc w:val="center"/>
              <w:rPr>
                <w:rFonts w:asciiTheme="minorEastAsia" w:hAnsiTheme="minorEastAsia" w:eastAsiaTheme="minorEastAsia" w:cstheme="minorEastAsia"/>
                <w:color w:val="000000"/>
                <w:sz w:val="24"/>
              </w:rPr>
            </w:pPr>
          </w:p>
        </w:tc>
        <w:tc>
          <w:tcPr>
            <w:tcW w:w="1859" w:type="pct"/>
            <w:tcBorders>
              <w:top w:val="single" w:color="000000" w:sz="4" w:space="0"/>
              <w:left w:val="single" w:color="000000" w:sz="4" w:space="0"/>
              <w:bottom w:val="single" w:color="000000" w:sz="4" w:space="0"/>
              <w:right w:val="single" w:color="000000" w:sz="4" w:space="0"/>
            </w:tcBorders>
            <w:shd w:val="clear" w:color="auto" w:fill="FFFFFF"/>
          </w:tcPr>
          <w:p w14:paraId="533737D6">
            <w:pPr>
              <w:widowControl/>
              <w:ind w:firstLine="0" w:firstLineChars="0"/>
              <w:jc w:val="left"/>
              <w:textAlignment w:val="top"/>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一、数据治理对象：</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1.民事卷宗数据:庭审模型融合后的庭审数据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2.结构化数据信息：调解信息、审判组织信息、排期信息</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3.庭审笔录的OCR结果数据</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4.调解文书</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二、数据治理范围：</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庭中调解结论意图识别、庭后待办事项生成</w:t>
            </w:r>
          </w:p>
        </w:tc>
        <w:tc>
          <w:tcPr>
            <w:tcW w:w="14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E34F48">
            <w:pPr>
              <w:widowControl/>
              <w:ind w:firstLine="0" w:firstLineChars="0"/>
              <w:jc w:val="left"/>
              <w:textAlignment w:val="center"/>
              <w:rPr>
                <w:rFonts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kern w:val="0"/>
                <w:sz w:val="24"/>
              </w:rPr>
              <w:t>1、结构化的调解结论结果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2、结构化的庭审待办结果</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3、高质量调解意图清单和庭后待办事项清单</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具体信息表如下：</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t_ts_tjjlxx（庭审调解结论表）</w:t>
            </w:r>
            <w:r>
              <w:rPr>
                <w:rFonts w:hint="eastAsia" w:asciiTheme="minorEastAsia" w:hAnsiTheme="minorEastAsia" w:eastAsiaTheme="minorEastAsia" w:cstheme="minorEastAsia"/>
                <w:color w:val="000000"/>
                <w:kern w:val="0"/>
                <w:sz w:val="24"/>
              </w:rPr>
              <w:br w:type="textWrapping"/>
            </w:r>
            <w:r>
              <w:rPr>
                <w:rFonts w:hint="eastAsia" w:asciiTheme="minorEastAsia" w:hAnsiTheme="minorEastAsia" w:eastAsiaTheme="minorEastAsia" w:cstheme="minorEastAsia"/>
                <w:color w:val="000000"/>
                <w:kern w:val="0"/>
                <w:sz w:val="24"/>
              </w:rPr>
              <w:t>t_ts_dbsx（庭审待办事项记录表）</w:t>
            </w:r>
          </w:p>
        </w:tc>
      </w:tr>
    </w:tbl>
    <w:p w14:paraId="53659725">
      <w:pPr>
        <w:ind w:firstLine="0" w:firstLineChars="0"/>
        <w:rPr>
          <w:rFonts w:ascii="宋体" w:hAnsi="宋体" w:cs="宋体"/>
          <w:color w:val="000000"/>
          <w:sz w:val="28"/>
          <w:szCs w:val="28"/>
        </w:rPr>
      </w:pPr>
    </w:p>
    <w:p w14:paraId="70EB5B95">
      <w:pPr>
        <w:tabs>
          <w:tab w:val="left" w:pos="7513"/>
        </w:tabs>
        <w:ind w:firstLine="0" w:firstLineChars="0"/>
        <w:jc w:val="left"/>
        <w:outlineLvl w:val="0"/>
        <w:rPr>
          <w:rFonts w:ascii="仿宋" w:hAnsi="仿宋" w:cs="仿宋"/>
          <w:b/>
          <w:bCs/>
          <w:szCs w:val="32"/>
        </w:rPr>
      </w:pPr>
      <w:bookmarkStart w:id="0" w:name="_Toc445714952"/>
      <w:bookmarkStart w:id="1" w:name="_Toc430868372"/>
      <w:bookmarkStart w:id="2" w:name="_Toc7991"/>
      <w:r>
        <w:rPr>
          <w:rFonts w:hint="eastAsia" w:ascii="仿宋" w:hAnsi="仿宋" w:cs="仿宋"/>
          <w:b/>
          <w:bCs/>
          <w:szCs w:val="32"/>
        </w:rPr>
        <w:t>五、系统实施要求</w:t>
      </w:r>
      <w:bookmarkEnd w:id="0"/>
      <w:bookmarkEnd w:id="1"/>
      <w:bookmarkEnd w:id="2"/>
    </w:p>
    <w:p w14:paraId="65E4E5BD">
      <w:pPr>
        <w:outlineLvl w:val="1"/>
        <w:rPr>
          <w:rFonts w:ascii="楷体" w:hAnsi="楷体" w:eastAsia="楷体" w:cs="楷体"/>
          <w:b/>
          <w:bCs/>
          <w:szCs w:val="32"/>
        </w:rPr>
      </w:pPr>
      <w:bookmarkStart w:id="3" w:name="_Toc32168"/>
      <w:r>
        <w:rPr>
          <w:rFonts w:hint="eastAsia" w:ascii="楷体" w:hAnsi="楷体" w:eastAsia="楷体" w:cs="楷体"/>
          <w:b/>
          <w:bCs/>
          <w:szCs w:val="32"/>
        </w:rPr>
        <w:t>1、项目进度要求</w:t>
      </w:r>
      <w:bookmarkEnd w:id="3"/>
    </w:p>
    <w:p w14:paraId="5D7010BF">
      <w:pPr>
        <w:ind w:firstLine="560"/>
        <w:rPr>
          <w:rFonts w:ascii="宋体" w:hAnsi="宋体" w:cs="宋体"/>
          <w:color w:val="000000"/>
          <w:sz w:val="28"/>
          <w:szCs w:val="28"/>
        </w:rPr>
      </w:pPr>
      <w:r>
        <w:rPr>
          <w:rFonts w:hint="eastAsia" w:ascii="宋体" w:hAnsi="宋体" w:cs="宋体"/>
          <w:color w:val="000000"/>
          <w:sz w:val="28"/>
          <w:szCs w:val="28"/>
        </w:rPr>
        <w:t>自合同签订之日起</w:t>
      </w:r>
      <w:r>
        <w:rPr>
          <w:rFonts w:ascii="宋体" w:hAnsi="宋体" w:cs="宋体"/>
          <w:color w:val="000000"/>
          <w:sz w:val="28"/>
          <w:szCs w:val="28"/>
        </w:rPr>
        <w:t>12</w:t>
      </w:r>
      <w:r>
        <w:rPr>
          <w:rFonts w:hint="eastAsia" w:ascii="宋体" w:hAnsi="宋体" w:cs="宋体"/>
          <w:color w:val="000000"/>
          <w:sz w:val="28"/>
          <w:szCs w:val="28"/>
        </w:rPr>
        <w:t>个月内完成本项目建设内容（含</w:t>
      </w:r>
      <w:r>
        <w:rPr>
          <w:rFonts w:hint="eastAsia" w:ascii="宋体" w:hAnsi="宋体" w:cs="宋体"/>
          <w:color w:val="000000"/>
          <w:sz w:val="28"/>
          <w:szCs w:val="28"/>
          <w:lang w:val="en-US" w:eastAsia="zh-CN"/>
        </w:rPr>
        <w:t>1</w:t>
      </w:r>
      <w:r>
        <w:rPr>
          <w:rFonts w:hint="eastAsia" w:ascii="宋体" w:hAnsi="宋体" w:cs="宋体"/>
          <w:color w:val="000000"/>
          <w:sz w:val="28"/>
          <w:szCs w:val="28"/>
        </w:rPr>
        <w:t>个月系统试运行）。</w:t>
      </w:r>
    </w:p>
    <w:p w14:paraId="24B2CB99">
      <w:pPr>
        <w:outlineLvl w:val="1"/>
        <w:rPr>
          <w:rFonts w:ascii="楷体" w:hAnsi="楷体" w:eastAsia="楷体" w:cs="楷体"/>
          <w:b/>
          <w:bCs/>
          <w:szCs w:val="32"/>
        </w:rPr>
      </w:pPr>
      <w:bookmarkStart w:id="4" w:name="_Toc445714954"/>
      <w:bookmarkStart w:id="5" w:name="_Toc2614"/>
      <w:bookmarkStart w:id="6" w:name="_Toc28360"/>
      <w:bookmarkStart w:id="7" w:name="_Toc430868374"/>
      <w:r>
        <w:rPr>
          <w:rFonts w:hint="eastAsia" w:ascii="楷体" w:hAnsi="楷体" w:eastAsia="楷体" w:cs="楷体"/>
          <w:b/>
          <w:bCs/>
          <w:szCs w:val="32"/>
        </w:rPr>
        <w:t>2、安装实施要求</w:t>
      </w:r>
    </w:p>
    <w:p w14:paraId="265547A4">
      <w:pPr>
        <w:ind w:firstLine="560"/>
        <w:rPr>
          <w:rFonts w:ascii="宋体" w:hAnsi="宋体" w:cs="宋体"/>
          <w:sz w:val="28"/>
          <w:szCs w:val="28"/>
        </w:rPr>
      </w:pPr>
      <w:r>
        <w:rPr>
          <w:rFonts w:hint="eastAsia" w:ascii="宋体" w:hAnsi="宋体" w:cs="宋体"/>
          <w:sz w:val="28"/>
          <w:szCs w:val="28"/>
        </w:rPr>
        <w:t>本次项目所需云服务器、操作系统、数据库、中间件等产品由招标单位提供或申请。</w:t>
      </w:r>
    </w:p>
    <w:p w14:paraId="4E6CE9FF">
      <w:pPr>
        <w:ind w:firstLine="560"/>
        <w:rPr>
          <w:rFonts w:ascii="宋体" w:hAnsi="宋体" w:cs="宋体"/>
          <w:sz w:val="28"/>
          <w:szCs w:val="28"/>
        </w:rPr>
      </w:pPr>
      <w:r>
        <w:rPr>
          <w:rFonts w:hint="eastAsia" w:ascii="宋体" w:hAnsi="宋体" w:cs="宋体"/>
          <w:sz w:val="28"/>
          <w:szCs w:val="28"/>
        </w:rPr>
        <w:t>投标单位需要按照招标单位指定地点进行系统集成及设备安装，系统建设完成后符合上海大数据中心提供的国产化云环境运行的技术要求。</w:t>
      </w:r>
    </w:p>
    <w:bookmarkEnd w:id="4"/>
    <w:bookmarkEnd w:id="5"/>
    <w:bookmarkEnd w:id="6"/>
    <w:bookmarkEnd w:id="7"/>
    <w:p w14:paraId="15823162">
      <w:pPr>
        <w:outlineLvl w:val="1"/>
        <w:rPr>
          <w:rFonts w:ascii="楷体" w:hAnsi="楷体" w:eastAsia="楷体" w:cs="楷体"/>
          <w:b/>
          <w:bCs/>
          <w:szCs w:val="32"/>
        </w:rPr>
      </w:pPr>
      <w:bookmarkStart w:id="8" w:name="_Toc445714955"/>
      <w:bookmarkStart w:id="9" w:name="_Toc430868375"/>
      <w:bookmarkStart w:id="10" w:name="_Toc16301"/>
      <w:r>
        <w:rPr>
          <w:rFonts w:ascii="楷体" w:hAnsi="楷体" w:eastAsia="楷体" w:cs="楷体"/>
          <w:b/>
          <w:bCs/>
          <w:szCs w:val="32"/>
        </w:rPr>
        <w:t>3、</w:t>
      </w:r>
      <w:r>
        <w:rPr>
          <w:rFonts w:hint="eastAsia" w:ascii="楷体" w:hAnsi="楷体" w:eastAsia="楷体" w:cs="楷体"/>
          <w:b/>
          <w:bCs/>
          <w:szCs w:val="32"/>
        </w:rPr>
        <w:t>人员配置要求</w:t>
      </w:r>
    </w:p>
    <w:p w14:paraId="7E4A1A53">
      <w:pPr>
        <w:ind w:firstLine="560"/>
        <w:rPr>
          <w:rFonts w:ascii="宋体" w:hAnsi="宋体" w:cs="宋体"/>
          <w:sz w:val="28"/>
          <w:szCs w:val="28"/>
        </w:rPr>
      </w:pPr>
      <w:r>
        <w:rPr>
          <w:rFonts w:hint="eastAsia" w:ascii="宋体" w:hAnsi="宋体" w:cs="宋体"/>
          <w:sz w:val="28"/>
          <w:szCs w:val="28"/>
        </w:rPr>
        <w:t>本期项目实施期间，投标单位应安排具有专业技术水平的专职人员参与本次项目建设。投标单位参与本项目的人员，在项目建设期间保持基本稳定。如果出现人员变动需事先向招标单位汇报，替换人员需得到招标单位批准。投标单位应安排至少以下角色人员：</w:t>
      </w:r>
    </w:p>
    <w:p w14:paraId="27FB7FD7">
      <w:pPr>
        <w:ind w:firstLine="560"/>
        <w:rPr>
          <w:rFonts w:hint="eastAsia" w:ascii="宋体" w:hAnsi="宋体" w:cs="宋体"/>
          <w:sz w:val="28"/>
          <w:szCs w:val="28"/>
        </w:rPr>
      </w:pPr>
      <w:r>
        <w:rPr>
          <w:rFonts w:hint="eastAsia" w:ascii="宋体" w:hAnsi="宋体" w:cs="宋体"/>
          <w:sz w:val="28"/>
          <w:szCs w:val="28"/>
        </w:rPr>
        <w:t>项目经理1名，具有5年及以上类似项目实施经验，具有信息系统项目管理师证书的优先考虑，负责对项目实行质量、安全、进度、成本管理等；</w:t>
      </w:r>
    </w:p>
    <w:p w14:paraId="09AD464C">
      <w:pPr>
        <w:ind w:firstLine="560"/>
        <w:rPr>
          <w:rFonts w:hint="eastAsia" w:ascii="宋体" w:hAnsi="宋体" w:cs="宋体"/>
          <w:sz w:val="28"/>
          <w:szCs w:val="28"/>
        </w:rPr>
      </w:pPr>
      <w:r>
        <w:rPr>
          <w:rFonts w:hint="eastAsia" w:ascii="宋体" w:hAnsi="宋体" w:cs="宋体"/>
          <w:sz w:val="28"/>
          <w:szCs w:val="28"/>
        </w:rPr>
        <w:t>技术负责人1名，具有高级工程师</w:t>
      </w:r>
      <w:r>
        <w:rPr>
          <w:rFonts w:hint="eastAsia" w:ascii="宋体" w:hAnsi="宋体" w:cs="宋体"/>
          <w:sz w:val="28"/>
          <w:szCs w:val="28"/>
          <w:lang w:eastAsia="zh-CN"/>
        </w:rPr>
        <w:t>职称</w:t>
      </w:r>
      <w:r>
        <w:rPr>
          <w:rFonts w:hint="eastAsia" w:ascii="宋体" w:hAnsi="宋体" w:cs="宋体"/>
          <w:sz w:val="28"/>
          <w:szCs w:val="28"/>
        </w:rPr>
        <w:t>证书</w:t>
      </w:r>
      <w:r>
        <w:rPr>
          <w:rFonts w:hint="eastAsia" w:ascii="宋体" w:hAnsi="宋体" w:cs="宋体"/>
          <w:sz w:val="28"/>
          <w:szCs w:val="28"/>
          <w:lang w:eastAsia="zh-CN"/>
        </w:rPr>
        <w:t>、</w:t>
      </w:r>
      <w:r>
        <w:rPr>
          <w:rFonts w:hint="eastAsia" w:ascii="宋体" w:hAnsi="宋体" w:cs="宋体"/>
          <w:sz w:val="28"/>
          <w:szCs w:val="28"/>
        </w:rPr>
        <w:t>注册信息安全专业人员证书（CISP）或信息安全保障人员认证证书（CISAW）的优先考虑，负责项目具体技术选型、架构设计。</w:t>
      </w:r>
    </w:p>
    <w:p w14:paraId="2B8A7E09">
      <w:pPr>
        <w:ind w:firstLine="560"/>
        <w:rPr>
          <w:rFonts w:ascii="宋体" w:hAnsi="宋体" w:cs="宋体"/>
          <w:sz w:val="28"/>
          <w:szCs w:val="28"/>
        </w:rPr>
      </w:pPr>
      <w:r>
        <w:rPr>
          <w:rFonts w:hint="eastAsia" w:ascii="宋体" w:hAnsi="宋体" w:cs="宋体"/>
          <w:sz w:val="28"/>
          <w:szCs w:val="28"/>
        </w:rPr>
        <w:t>项目技术团队成员：软件开发人员不少于19名，负责根据用户要求，进行需求分析、设计、实现和测试等工作；技术支持人员不少于15名，负责为本项目相关系统提供售后服务，帮助用户诊断并解决其在使用系统过程中出现的有明显症状的，可能由系统导致的技术问题。项目技术团队组成具有计算机相关专业职称或下述考试证书的优先考虑，包括：信息系统项目管理师、系统分析师、系统架构设计师、网络规划设计师、系统规划与管理师、软件评测师、软件设计师、网络工程师、系统集成项目管理工程师、数据库系统工程师。</w:t>
      </w:r>
    </w:p>
    <w:p w14:paraId="7E72B9FC">
      <w:pPr>
        <w:ind w:firstLine="560"/>
        <w:rPr>
          <w:rFonts w:ascii="宋体" w:hAnsi="宋体" w:cs="宋体"/>
          <w:sz w:val="28"/>
          <w:szCs w:val="28"/>
        </w:rPr>
      </w:pPr>
      <w:r>
        <w:rPr>
          <w:rFonts w:hint="eastAsia" w:ascii="宋体" w:hAnsi="宋体" w:cs="宋体"/>
          <w:sz w:val="28"/>
          <w:szCs w:val="28"/>
        </w:rPr>
        <w:t>投标单位应保证，在本项目建设期间，应保持持续稳定的人力投入。其中应承诺项目实施期间项目主要负责人（项目</w:t>
      </w:r>
      <w:r>
        <w:rPr>
          <w:rFonts w:hint="eastAsia" w:ascii="宋体" w:hAnsi="宋体" w:cs="宋体"/>
          <w:sz w:val="28"/>
          <w:szCs w:val="28"/>
          <w:lang w:eastAsia="zh-CN"/>
        </w:rPr>
        <w:t>经理</w:t>
      </w:r>
      <w:r>
        <w:rPr>
          <w:rFonts w:hint="eastAsia" w:ascii="宋体" w:hAnsi="宋体" w:cs="宋体"/>
          <w:sz w:val="28"/>
          <w:szCs w:val="28"/>
        </w:rPr>
        <w:t>、技术负责人）90%以上时间在本项目现场。组织或参与项目例会、项目协调会等项目相关会议。</w:t>
      </w:r>
    </w:p>
    <w:p w14:paraId="04CEBAB4">
      <w:pPr>
        <w:ind w:firstLine="560"/>
        <w:rPr>
          <w:rFonts w:ascii="宋体" w:hAnsi="宋体" w:cs="宋体"/>
          <w:sz w:val="28"/>
          <w:szCs w:val="28"/>
        </w:rPr>
      </w:pPr>
      <w:r>
        <w:rPr>
          <w:rFonts w:hint="eastAsia" w:ascii="宋体" w:hAnsi="宋体" w:cs="宋体"/>
          <w:sz w:val="28"/>
          <w:szCs w:val="28"/>
        </w:rPr>
        <w:t>指定一名项目经理和客户经理建立与招标单位对口联系。</w:t>
      </w:r>
    </w:p>
    <w:p w14:paraId="68457FC4">
      <w:pPr>
        <w:ind w:firstLine="560"/>
        <w:rPr>
          <w:rFonts w:ascii="宋体" w:hAnsi="宋体" w:cs="宋体"/>
          <w:sz w:val="28"/>
          <w:szCs w:val="28"/>
        </w:rPr>
      </w:pPr>
      <w:r>
        <w:rPr>
          <w:rFonts w:hint="eastAsia" w:ascii="宋体" w:hAnsi="宋体" w:cs="宋体"/>
          <w:sz w:val="28"/>
          <w:szCs w:val="28"/>
        </w:rPr>
        <w:t>项目在初验前，项目负责人不能撤离，在初验后根据需要有专业的维护团队在岗。</w:t>
      </w:r>
    </w:p>
    <w:p w14:paraId="20F567B2">
      <w:pPr>
        <w:ind w:firstLine="560"/>
        <w:rPr>
          <w:rFonts w:ascii="宋体" w:hAnsi="宋体" w:cs="宋体"/>
          <w:sz w:val="28"/>
          <w:szCs w:val="28"/>
        </w:rPr>
      </w:pPr>
      <w:r>
        <w:rPr>
          <w:rFonts w:hint="eastAsia" w:ascii="宋体" w:hAnsi="宋体" w:cs="宋体"/>
          <w:sz w:val="28"/>
          <w:szCs w:val="28"/>
        </w:rPr>
        <w:t>投标单位应提供整体的项目系统集成、设备安装及实施管理方案。</w:t>
      </w:r>
    </w:p>
    <w:p w14:paraId="1545D69A">
      <w:pPr>
        <w:numPr>
          <w:ilvl w:val="0"/>
          <w:numId w:val="1"/>
        </w:numPr>
        <w:outlineLvl w:val="1"/>
        <w:rPr>
          <w:rFonts w:ascii="楷体" w:hAnsi="楷体" w:eastAsia="楷体" w:cs="楷体"/>
          <w:b/>
          <w:bCs/>
          <w:color w:val="000000"/>
          <w:szCs w:val="32"/>
        </w:rPr>
      </w:pPr>
      <w:r>
        <w:rPr>
          <w:rFonts w:hint="eastAsia" w:ascii="楷体" w:hAnsi="楷体" w:eastAsia="楷体" w:cs="楷体"/>
          <w:b/>
          <w:bCs/>
          <w:color w:val="000000"/>
          <w:szCs w:val="32"/>
        </w:rPr>
        <w:t>进度与计划管理要求</w:t>
      </w:r>
    </w:p>
    <w:p w14:paraId="5DAE0E4C">
      <w:pPr>
        <w:ind w:firstLine="560"/>
        <w:rPr>
          <w:rFonts w:ascii="宋体" w:hAnsi="宋体" w:cs="宋体"/>
          <w:sz w:val="28"/>
          <w:szCs w:val="28"/>
          <w:highlight w:val="none"/>
        </w:rPr>
      </w:pPr>
      <w:r>
        <w:rPr>
          <w:rFonts w:hint="eastAsia" w:ascii="宋体" w:hAnsi="宋体" w:cs="宋体"/>
          <w:sz w:val="28"/>
          <w:szCs w:val="28"/>
        </w:rPr>
        <w:t>本项目建设周期为12个月。要求项目合同签订后，1-3个月内完成定制开发等相关工作，系统主体功能具备试运行条件。</w:t>
      </w:r>
      <w:r>
        <w:rPr>
          <w:rFonts w:hint="eastAsia" w:ascii="宋体" w:hAnsi="宋体" w:cs="宋体"/>
          <w:sz w:val="28"/>
          <w:szCs w:val="28"/>
          <w:highlight w:val="none"/>
        </w:rPr>
        <w:t>3-1</w:t>
      </w:r>
      <w:r>
        <w:rPr>
          <w:rFonts w:hint="eastAsia" w:ascii="宋体" w:hAnsi="宋体" w:cs="宋体"/>
          <w:sz w:val="28"/>
          <w:szCs w:val="28"/>
          <w:highlight w:val="none"/>
          <w:lang w:val="en-US" w:eastAsia="zh-CN"/>
        </w:rPr>
        <w:t>1</w:t>
      </w:r>
      <w:r>
        <w:rPr>
          <w:rFonts w:hint="eastAsia" w:ascii="宋体" w:hAnsi="宋体" w:cs="宋体"/>
          <w:sz w:val="28"/>
          <w:szCs w:val="28"/>
          <w:highlight w:val="none"/>
        </w:rPr>
        <w:t>个月内完成全部功能开发测试，并能够上线运行。同时试运行不少于</w:t>
      </w:r>
      <w:r>
        <w:rPr>
          <w:rFonts w:hint="eastAsia" w:ascii="宋体" w:hAnsi="宋体" w:cs="宋体"/>
          <w:sz w:val="28"/>
          <w:szCs w:val="28"/>
          <w:highlight w:val="none"/>
          <w:lang w:val="en-US" w:eastAsia="zh-CN"/>
        </w:rPr>
        <w:t>1</w:t>
      </w:r>
      <w:r>
        <w:rPr>
          <w:rFonts w:hint="eastAsia" w:ascii="宋体" w:hAnsi="宋体" w:cs="宋体"/>
          <w:sz w:val="28"/>
          <w:szCs w:val="28"/>
          <w:highlight w:val="none"/>
        </w:rPr>
        <w:t>个月，期间应能够按照建设单位需求进行系统软件功能的持续优化、开发。</w:t>
      </w:r>
    </w:p>
    <w:p w14:paraId="187DAB34">
      <w:pPr>
        <w:ind w:firstLine="560"/>
        <w:rPr>
          <w:rFonts w:ascii="宋体" w:hAnsi="宋体" w:cs="宋体"/>
          <w:sz w:val="28"/>
          <w:szCs w:val="28"/>
        </w:rPr>
      </w:pPr>
      <w:r>
        <w:rPr>
          <w:rFonts w:hint="eastAsia" w:ascii="宋体" w:hAnsi="宋体" w:cs="宋体"/>
          <w:sz w:val="28"/>
          <w:szCs w:val="28"/>
        </w:rPr>
        <w:t>招标单位有权监督和管理投标项目的测试、安装、集成、验收等各项工作，投标单位必须接受并服从采购人的监督、管理要求。</w:t>
      </w:r>
    </w:p>
    <w:p w14:paraId="1D3AB645">
      <w:pPr>
        <w:ind w:firstLine="560"/>
        <w:rPr>
          <w:rFonts w:ascii="宋体" w:hAnsi="宋体" w:cs="宋体"/>
          <w:sz w:val="28"/>
          <w:szCs w:val="28"/>
        </w:rPr>
      </w:pPr>
      <w:r>
        <w:rPr>
          <w:rFonts w:hint="eastAsia" w:ascii="宋体" w:hAnsi="宋体" w:cs="宋体"/>
          <w:sz w:val="28"/>
          <w:szCs w:val="28"/>
        </w:rPr>
        <w:t>投标单位中标后必须提交正式的系统集成工作方案，明确系统集成方式、方法、过程步骤、需协调的事项等，并经采购人审核、同意。</w:t>
      </w:r>
    </w:p>
    <w:p w14:paraId="50E13C9D">
      <w:pPr>
        <w:ind w:firstLine="560"/>
        <w:rPr>
          <w:rFonts w:ascii="宋体" w:hAnsi="宋体" w:cs="宋体"/>
          <w:sz w:val="28"/>
          <w:szCs w:val="28"/>
        </w:rPr>
      </w:pPr>
      <w:r>
        <w:rPr>
          <w:rFonts w:hint="eastAsia" w:ascii="宋体" w:hAnsi="宋体" w:cs="宋体"/>
          <w:sz w:val="28"/>
          <w:szCs w:val="28"/>
        </w:rPr>
        <w:t>中标人在实施过程中必须按周、月提交进度报告，对项目问题等进行说明，制定合理的解决措施。</w:t>
      </w:r>
    </w:p>
    <w:p w14:paraId="07E54B72">
      <w:pPr>
        <w:outlineLvl w:val="1"/>
        <w:rPr>
          <w:rFonts w:ascii="楷体" w:hAnsi="楷体" w:eastAsia="楷体" w:cs="楷体"/>
          <w:b/>
          <w:bCs/>
          <w:color w:val="000000"/>
          <w:szCs w:val="32"/>
        </w:rPr>
      </w:pPr>
      <w:r>
        <w:rPr>
          <w:rFonts w:hint="eastAsia" w:ascii="楷体" w:hAnsi="楷体" w:eastAsia="楷体" w:cs="楷体"/>
          <w:b/>
          <w:bCs/>
          <w:color w:val="000000"/>
          <w:szCs w:val="32"/>
        </w:rPr>
        <w:t>5、质量与安全管理要求</w:t>
      </w:r>
    </w:p>
    <w:p w14:paraId="02E898A6">
      <w:pPr>
        <w:ind w:firstLine="560"/>
        <w:rPr>
          <w:rFonts w:ascii="宋体" w:hAnsi="宋体" w:cs="宋体"/>
          <w:sz w:val="28"/>
          <w:szCs w:val="28"/>
        </w:rPr>
      </w:pPr>
      <w:r>
        <w:rPr>
          <w:rFonts w:hint="eastAsia" w:ascii="宋体" w:hAnsi="宋体" w:cs="宋体"/>
          <w:sz w:val="28"/>
          <w:szCs w:val="28"/>
        </w:rPr>
        <w:t>投标单位需提交正式的质量控制方案，明确质量控制点、控制内容、 质量要求、检查记录要求，并经采购人审核、批准。</w:t>
      </w:r>
    </w:p>
    <w:p w14:paraId="33670CBC">
      <w:pPr>
        <w:ind w:firstLine="560"/>
        <w:rPr>
          <w:rFonts w:ascii="宋体" w:hAnsi="宋体" w:cs="宋体"/>
          <w:sz w:val="28"/>
          <w:szCs w:val="28"/>
        </w:rPr>
      </w:pPr>
      <w:r>
        <w:rPr>
          <w:rFonts w:hint="eastAsia" w:ascii="宋体" w:hAnsi="宋体" w:cs="宋体"/>
          <w:sz w:val="28"/>
          <w:szCs w:val="28"/>
        </w:rPr>
        <w:t>投标单位在项目实施过程中应开展质量保证活动，所提交的进度报告应包括质量报告内容，对质量问题制定改进措施并有效执行。</w:t>
      </w:r>
    </w:p>
    <w:p w14:paraId="443516E0">
      <w:pPr>
        <w:ind w:firstLine="560"/>
        <w:rPr>
          <w:rFonts w:ascii="宋体" w:hAnsi="宋体" w:cs="宋体"/>
          <w:sz w:val="28"/>
          <w:szCs w:val="28"/>
        </w:rPr>
      </w:pPr>
      <w:r>
        <w:rPr>
          <w:rFonts w:hint="eastAsia" w:ascii="宋体" w:hAnsi="宋体" w:cs="宋体"/>
          <w:sz w:val="28"/>
          <w:szCs w:val="28"/>
        </w:rPr>
        <w:t>投标单位需接受招标单位的质量监督检查，提供真实有效的相关质量活动记录、证据，接受采购人提出的质量问题整改要求，承担质量责任及因质量问题导致的进度延迟责任。</w:t>
      </w:r>
    </w:p>
    <w:p w14:paraId="5FEC9CD7">
      <w:pPr>
        <w:ind w:firstLine="560"/>
        <w:rPr>
          <w:rFonts w:ascii="宋体" w:hAnsi="宋体" w:cs="宋体"/>
          <w:sz w:val="28"/>
          <w:szCs w:val="28"/>
        </w:rPr>
      </w:pPr>
      <w:r>
        <w:rPr>
          <w:rFonts w:hint="eastAsia" w:ascii="宋体" w:hAnsi="宋体" w:cs="宋体"/>
          <w:sz w:val="28"/>
          <w:szCs w:val="28"/>
        </w:rPr>
        <w:t>投标单位需服从监理方在招标单位授权范围内对本项目工程质量、安全的监督。</w:t>
      </w:r>
    </w:p>
    <w:p w14:paraId="0C3CADF1">
      <w:pPr>
        <w:ind w:firstLine="560"/>
        <w:rPr>
          <w:rFonts w:ascii="宋体" w:hAnsi="宋体" w:cs="宋体"/>
          <w:sz w:val="28"/>
          <w:szCs w:val="28"/>
        </w:rPr>
      </w:pPr>
      <w:r>
        <w:rPr>
          <w:rFonts w:hint="eastAsia" w:ascii="宋体" w:hAnsi="宋体" w:cs="宋体"/>
          <w:sz w:val="28"/>
          <w:szCs w:val="28"/>
        </w:rPr>
        <w:t>投标单位工作人员在工作过程中，不得以任何形式私自外传、记录、下载和存储本系统中的任何信息和数据；不得使用未经招标单位主管部门许可的计算机和存储设备对上述信息和数据进行运行和操作。</w:t>
      </w:r>
    </w:p>
    <w:p w14:paraId="7AEA3DF4">
      <w:pPr>
        <w:ind w:firstLine="560"/>
        <w:rPr>
          <w:rFonts w:ascii="宋体" w:hAnsi="宋体" w:cs="宋体"/>
          <w:sz w:val="28"/>
          <w:szCs w:val="28"/>
        </w:rPr>
      </w:pPr>
      <w:r>
        <w:rPr>
          <w:rFonts w:hint="eastAsia" w:ascii="宋体" w:hAnsi="宋体" w:cs="宋体"/>
          <w:sz w:val="28"/>
          <w:szCs w:val="28"/>
        </w:rPr>
        <w:t>投标单位工作人员未经招标单位相关工作人员许可，不得将本系统中的任何信息和数据以任何形式在任何网络和媒体上发布和传播。</w:t>
      </w:r>
    </w:p>
    <w:p w14:paraId="473B4EFC">
      <w:pPr>
        <w:ind w:firstLine="560"/>
        <w:rPr>
          <w:rFonts w:ascii="Times New Roman" w:hAnsi="Times New Roman"/>
          <w:sz w:val="28"/>
          <w:szCs w:val="20"/>
        </w:rPr>
      </w:pPr>
      <w:r>
        <w:rPr>
          <w:rFonts w:hint="eastAsia" w:ascii="宋体" w:hAnsi="宋体" w:cs="宋体"/>
          <w:sz w:val="28"/>
          <w:szCs w:val="28"/>
        </w:rPr>
        <w:t>维护工作中的一切行为，应该符合招标单位信息安全的有关规定</w:t>
      </w:r>
      <w:r>
        <w:rPr>
          <w:rFonts w:hint="eastAsia" w:ascii="Times New Roman" w:hAnsi="Times New Roman"/>
          <w:sz w:val="28"/>
          <w:szCs w:val="20"/>
        </w:rPr>
        <w:t>。</w:t>
      </w:r>
    </w:p>
    <w:p w14:paraId="3970F068">
      <w:pPr>
        <w:outlineLvl w:val="1"/>
        <w:rPr>
          <w:rFonts w:ascii="楷体" w:hAnsi="楷体" w:eastAsia="楷体" w:cs="楷体"/>
          <w:b/>
          <w:bCs/>
          <w:szCs w:val="32"/>
        </w:rPr>
      </w:pPr>
      <w:r>
        <w:rPr>
          <w:rFonts w:hint="eastAsia" w:ascii="楷体" w:hAnsi="楷体" w:eastAsia="楷体" w:cs="楷体"/>
          <w:b/>
          <w:bCs/>
          <w:szCs w:val="32"/>
        </w:rPr>
        <w:t>6</w:t>
      </w:r>
      <w:r>
        <w:rPr>
          <w:rFonts w:ascii="楷体" w:hAnsi="楷体" w:eastAsia="楷体" w:cs="楷体"/>
          <w:b/>
          <w:bCs/>
          <w:szCs w:val="32"/>
        </w:rPr>
        <w:t>、</w:t>
      </w:r>
      <w:r>
        <w:rPr>
          <w:rFonts w:hint="eastAsia" w:ascii="楷体" w:hAnsi="楷体" w:eastAsia="楷体" w:cs="楷体"/>
          <w:b/>
          <w:bCs/>
          <w:szCs w:val="32"/>
        </w:rPr>
        <w:t>培训要求</w:t>
      </w:r>
    </w:p>
    <w:p w14:paraId="586D61B2">
      <w:pPr>
        <w:ind w:firstLine="560"/>
        <w:rPr>
          <w:rFonts w:ascii="宋体" w:hAnsi="宋体" w:cs="宋体"/>
          <w:sz w:val="28"/>
          <w:szCs w:val="28"/>
        </w:rPr>
      </w:pPr>
      <w:r>
        <w:rPr>
          <w:rFonts w:hint="eastAsia" w:ascii="宋体" w:hAnsi="宋体" w:cs="宋体"/>
          <w:sz w:val="28"/>
          <w:szCs w:val="28"/>
        </w:rPr>
        <w:t>本次项目投标单位应负责对招标单位的技术支撑队伍进行维护培训，满足招标单位能独立进行系统维护需要；</w:t>
      </w:r>
    </w:p>
    <w:p w14:paraId="1269C491">
      <w:pPr>
        <w:ind w:firstLine="560"/>
        <w:rPr>
          <w:rFonts w:ascii="宋体" w:hAnsi="宋体" w:cs="宋体"/>
          <w:sz w:val="28"/>
          <w:szCs w:val="28"/>
        </w:rPr>
      </w:pPr>
      <w:r>
        <w:rPr>
          <w:rFonts w:hint="eastAsia" w:ascii="宋体" w:hAnsi="宋体" w:cs="宋体"/>
          <w:sz w:val="28"/>
          <w:szCs w:val="28"/>
        </w:rPr>
        <w:t>投标单位应负责招标单位相关的工作人员、系统管理人员的技术培训，培训内容包括：技术培训、管理培训使用培训；</w:t>
      </w:r>
    </w:p>
    <w:p w14:paraId="74E264E8">
      <w:pPr>
        <w:ind w:firstLine="560"/>
        <w:rPr>
          <w:rFonts w:ascii="宋体" w:hAnsi="宋体" w:cs="宋体"/>
          <w:sz w:val="28"/>
          <w:szCs w:val="28"/>
        </w:rPr>
      </w:pPr>
      <w:r>
        <w:rPr>
          <w:rFonts w:hint="eastAsia" w:ascii="宋体" w:hAnsi="宋体" w:cs="宋体"/>
          <w:sz w:val="28"/>
          <w:szCs w:val="28"/>
        </w:rPr>
        <w:t>培训方式采用集中培训、现场培训、发放宣传材料等相结合的方式， 针对不同层次的人员，开设不同的培训课程和确定培训方式；</w:t>
      </w:r>
    </w:p>
    <w:p w14:paraId="09AFD22A">
      <w:pPr>
        <w:ind w:firstLine="560"/>
        <w:rPr>
          <w:rFonts w:ascii="宋体" w:hAnsi="宋体" w:cs="宋体"/>
          <w:sz w:val="28"/>
          <w:szCs w:val="28"/>
        </w:rPr>
      </w:pPr>
      <w:r>
        <w:rPr>
          <w:rFonts w:hint="eastAsia" w:ascii="宋体" w:hAnsi="宋体" w:cs="宋体"/>
          <w:sz w:val="28"/>
          <w:szCs w:val="28"/>
        </w:rPr>
        <w:t>投标单位应提出培训的课程、培训地点和所需的培训时间及培训教材， 如对合同中确定的培训地点、时间等项目，如果在项目实施过程中投标单位提出变更，应提出书面通知。</w:t>
      </w:r>
    </w:p>
    <w:p w14:paraId="1BF7CB4A">
      <w:pPr>
        <w:outlineLvl w:val="1"/>
        <w:rPr>
          <w:rFonts w:ascii="楷体" w:hAnsi="楷体" w:eastAsia="楷体" w:cs="楷体"/>
          <w:b/>
          <w:bCs/>
          <w:szCs w:val="32"/>
        </w:rPr>
      </w:pPr>
      <w:r>
        <w:rPr>
          <w:rFonts w:hint="eastAsia" w:ascii="楷体" w:hAnsi="楷体" w:eastAsia="楷体" w:cs="楷体"/>
          <w:b/>
          <w:bCs/>
          <w:szCs w:val="32"/>
        </w:rPr>
        <w:t>7</w:t>
      </w:r>
      <w:r>
        <w:rPr>
          <w:rFonts w:ascii="楷体" w:hAnsi="楷体" w:eastAsia="楷体" w:cs="楷体"/>
          <w:b/>
          <w:bCs/>
          <w:szCs w:val="32"/>
        </w:rPr>
        <w:t>、</w:t>
      </w:r>
      <w:r>
        <w:rPr>
          <w:rFonts w:hint="eastAsia" w:ascii="楷体" w:hAnsi="楷体" w:eastAsia="楷体" w:cs="楷体"/>
          <w:b/>
          <w:bCs/>
          <w:szCs w:val="32"/>
        </w:rPr>
        <w:t>验收要求</w:t>
      </w:r>
    </w:p>
    <w:p w14:paraId="6786B533">
      <w:pPr>
        <w:ind w:firstLine="560"/>
        <w:rPr>
          <w:rFonts w:ascii="宋体" w:hAnsi="宋体" w:cs="宋体"/>
          <w:sz w:val="28"/>
          <w:szCs w:val="28"/>
        </w:rPr>
      </w:pPr>
      <w:r>
        <w:rPr>
          <w:rFonts w:hint="eastAsia" w:ascii="宋体" w:hAnsi="宋体" w:cs="宋体"/>
          <w:sz w:val="28"/>
          <w:szCs w:val="28"/>
        </w:rPr>
        <w:t>投标单位与招标单位在验收过程中将密切合作，招标单位承诺：在法律法规和政策允许的范围内，积极为投标单位提供与项目相关的协调和帮助。</w:t>
      </w:r>
    </w:p>
    <w:p w14:paraId="4C651A2C">
      <w:pPr>
        <w:ind w:firstLine="560"/>
        <w:rPr>
          <w:rFonts w:ascii="宋体" w:hAnsi="宋体" w:cs="宋体"/>
          <w:sz w:val="28"/>
          <w:szCs w:val="28"/>
        </w:rPr>
      </w:pPr>
      <w:r>
        <w:rPr>
          <w:rFonts w:hint="eastAsia" w:ascii="宋体" w:hAnsi="宋体" w:cs="宋体"/>
          <w:sz w:val="28"/>
          <w:szCs w:val="28"/>
        </w:rPr>
        <w:t>投标单位可在合同工期内提交项目成果终稿并书面提出验收申请。投标单位递交合格的项目成果终稿之日视为投标单位实际工期结束日，项目终验验收不合格视为投标单位实际工期未结束（持续计算），直到投标单位提交合格的项目成果终稿之日为止。</w:t>
      </w:r>
    </w:p>
    <w:p w14:paraId="352F26C7">
      <w:pPr>
        <w:ind w:firstLine="560"/>
        <w:rPr>
          <w:rFonts w:ascii="宋体" w:hAnsi="宋体" w:cs="宋体"/>
          <w:sz w:val="28"/>
          <w:szCs w:val="28"/>
        </w:rPr>
      </w:pPr>
      <w:r>
        <w:rPr>
          <w:rFonts w:hint="eastAsia" w:ascii="宋体" w:hAnsi="宋体" w:cs="宋体"/>
          <w:sz w:val="28"/>
          <w:szCs w:val="28"/>
        </w:rPr>
        <w:t>投标单位在递交项目成果终稿的同时向招标单位提出书面验收申请（项目</w:t>
      </w:r>
      <w:r>
        <w:rPr>
          <w:rFonts w:hint="eastAsia" w:ascii="宋体" w:hAnsi="宋体" w:cs="宋体"/>
          <w:sz w:val="28"/>
          <w:szCs w:val="28"/>
          <w:lang w:eastAsia="zh-CN"/>
        </w:rPr>
        <w:t>经理</w:t>
      </w:r>
      <w:r>
        <w:rPr>
          <w:rFonts w:hint="eastAsia" w:ascii="宋体" w:hAnsi="宋体" w:cs="宋体"/>
          <w:sz w:val="28"/>
          <w:szCs w:val="28"/>
        </w:rPr>
        <w:t>签字）。未向招标单位提交书面验收申请的，视为投标单位实际工期未结束。</w:t>
      </w:r>
    </w:p>
    <w:p w14:paraId="44F5FBE1">
      <w:pPr>
        <w:ind w:firstLine="560"/>
        <w:rPr>
          <w:rFonts w:ascii="宋体" w:hAnsi="宋体" w:cs="宋体"/>
          <w:sz w:val="28"/>
          <w:szCs w:val="28"/>
        </w:rPr>
      </w:pPr>
      <w:r>
        <w:rPr>
          <w:rFonts w:hint="eastAsia" w:ascii="宋体" w:hAnsi="宋体" w:cs="宋体"/>
          <w:sz w:val="28"/>
          <w:szCs w:val="28"/>
        </w:rPr>
        <w:t>招标单位对验收的认可、参加或放弃参加验收和测试，均不能减轻投标单</w:t>
      </w:r>
      <w:r>
        <w:rPr>
          <w:rFonts w:hint="eastAsia" w:ascii="宋体" w:hAnsi="宋体" w:cs="宋体"/>
          <w:sz w:val="28"/>
          <w:szCs w:val="28"/>
          <w:lang w:eastAsia="zh-CN"/>
        </w:rPr>
        <w:t>位</w:t>
      </w:r>
      <w:r>
        <w:rPr>
          <w:rFonts w:hint="eastAsia" w:ascii="宋体" w:hAnsi="宋体" w:cs="宋体"/>
          <w:sz w:val="28"/>
          <w:szCs w:val="28"/>
        </w:rPr>
        <w:t>对合同的任何责任。</w:t>
      </w:r>
    </w:p>
    <w:p w14:paraId="6C6AAB97">
      <w:pPr>
        <w:ind w:firstLine="560"/>
        <w:rPr>
          <w:rFonts w:ascii="Times New Roman" w:hAnsi="Times New Roman"/>
          <w:sz w:val="28"/>
          <w:szCs w:val="20"/>
        </w:rPr>
      </w:pPr>
      <w:r>
        <w:rPr>
          <w:rFonts w:hint="eastAsia" w:ascii="宋体" w:hAnsi="宋体" w:cs="宋体"/>
          <w:sz w:val="28"/>
          <w:szCs w:val="28"/>
        </w:rPr>
        <w:t>招标单位有权拒绝接收有明显缺陷的产品（服务）或要求进行改造，由此引起的一切费用由投标单位负责。改造后的产品（服务）重新进行验收。</w:t>
      </w:r>
      <w:bookmarkStart w:id="11" w:name="_GoBack"/>
      <w:bookmarkEnd w:id="11"/>
    </w:p>
    <w:p w14:paraId="6440CEF0">
      <w:pPr>
        <w:tabs>
          <w:tab w:val="left" w:pos="7513"/>
        </w:tabs>
        <w:ind w:firstLine="0" w:firstLineChars="0"/>
        <w:jc w:val="left"/>
        <w:outlineLvl w:val="0"/>
        <w:rPr>
          <w:rFonts w:ascii="仿宋" w:hAnsi="仿宋" w:cs="仿宋"/>
          <w:b/>
          <w:bCs/>
          <w:szCs w:val="32"/>
        </w:rPr>
      </w:pPr>
      <w:r>
        <w:rPr>
          <w:rFonts w:hint="eastAsia" w:ascii="仿宋" w:hAnsi="仿宋" w:cs="仿宋"/>
          <w:b/>
          <w:bCs/>
          <w:szCs w:val="32"/>
        </w:rPr>
        <w:t>六、售后服务</w:t>
      </w:r>
      <w:bookmarkEnd w:id="8"/>
      <w:bookmarkEnd w:id="9"/>
      <w:bookmarkEnd w:id="10"/>
      <w:r>
        <w:rPr>
          <w:rFonts w:hint="eastAsia" w:ascii="仿宋" w:hAnsi="仿宋" w:cs="仿宋"/>
          <w:b/>
          <w:bCs/>
          <w:szCs w:val="32"/>
        </w:rPr>
        <w:t>要求</w:t>
      </w:r>
    </w:p>
    <w:p w14:paraId="0C820385">
      <w:pPr>
        <w:outlineLvl w:val="1"/>
        <w:rPr>
          <w:rFonts w:ascii="楷体" w:hAnsi="楷体" w:eastAsia="楷体" w:cs="楷体"/>
          <w:b/>
          <w:bCs/>
          <w:szCs w:val="32"/>
        </w:rPr>
      </w:pPr>
      <w:r>
        <w:rPr>
          <w:rFonts w:hint="eastAsia" w:ascii="楷体" w:hAnsi="楷体" w:eastAsia="楷体" w:cs="楷体"/>
          <w:b/>
          <w:bCs/>
          <w:szCs w:val="32"/>
        </w:rPr>
        <w:t>1、基本服务要求</w:t>
      </w:r>
    </w:p>
    <w:p w14:paraId="1E06ADFD">
      <w:pPr>
        <w:ind w:firstLine="560"/>
        <w:rPr>
          <w:rFonts w:ascii="宋体" w:hAnsi="宋体" w:cs="宋体"/>
          <w:sz w:val="28"/>
          <w:szCs w:val="28"/>
        </w:rPr>
      </w:pPr>
      <w:r>
        <w:rPr>
          <w:rFonts w:hint="eastAsia" w:ascii="宋体" w:hAnsi="宋体" w:cs="宋体"/>
          <w:sz w:val="28"/>
          <w:szCs w:val="28"/>
        </w:rPr>
        <w:t>投标单位需具有较强的系统集成能力，熟悉系统，并能够就系统的研发、测试及系统与硬件设备、系统软件之间的联调配备现场技术服务团队。</w:t>
      </w:r>
    </w:p>
    <w:p w14:paraId="22F29C39">
      <w:pPr>
        <w:ind w:firstLine="560"/>
        <w:rPr>
          <w:rFonts w:ascii="宋体" w:hAnsi="宋体" w:cs="宋体"/>
          <w:sz w:val="28"/>
          <w:szCs w:val="28"/>
          <w:highlight w:val="none"/>
        </w:rPr>
      </w:pPr>
      <w:r>
        <w:rPr>
          <w:rFonts w:hint="eastAsia" w:ascii="宋体" w:hAnsi="宋体" w:cs="宋体"/>
          <w:sz w:val="28"/>
          <w:szCs w:val="28"/>
        </w:rPr>
        <w:t>系统上线后提供现场运维服务，保障系统的正常运行。</w:t>
      </w:r>
      <w:r>
        <w:rPr>
          <w:rFonts w:hint="eastAsia" w:ascii="宋体" w:hAnsi="宋体" w:cs="宋体"/>
          <w:sz w:val="28"/>
          <w:szCs w:val="28"/>
          <w:highlight w:val="none"/>
          <w:lang w:eastAsia="zh-CN"/>
        </w:rPr>
        <w:t>要求</w:t>
      </w:r>
      <w:r>
        <w:rPr>
          <w:rFonts w:hint="eastAsia" w:ascii="宋体" w:hAnsi="宋体" w:cs="宋体"/>
          <w:sz w:val="28"/>
          <w:szCs w:val="28"/>
          <w:highlight w:val="none"/>
          <w:lang w:val="en-US" w:eastAsia="zh-CN"/>
        </w:rPr>
        <w:t>硬件产品</w:t>
      </w:r>
      <w:r>
        <w:rPr>
          <w:rFonts w:hint="eastAsia" w:ascii="宋体" w:hAnsi="宋体" w:cs="宋体"/>
          <w:sz w:val="28"/>
          <w:szCs w:val="28"/>
          <w:highlight w:val="none"/>
          <w:lang w:eastAsia="zh-CN"/>
        </w:rPr>
        <w:t>提供通过验收之日起</w:t>
      </w:r>
      <w:r>
        <w:rPr>
          <w:rFonts w:hint="eastAsia" w:ascii="宋体" w:hAnsi="宋体" w:cs="宋体"/>
          <w:sz w:val="28"/>
          <w:szCs w:val="28"/>
          <w:highlight w:val="none"/>
        </w:rPr>
        <w:t>3年</w:t>
      </w:r>
      <w:r>
        <w:rPr>
          <w:rFonts w:hint="eastAsia" w:ascii="宋体" w:hAnsi="宋体" w:cs="宋体"/>
          <w:sz w:val="28"/>
          <w:szCs w:val="28"/>
          <w:highlight w:val="none"/>
          <w:lang w:eastAsia="zh-CN"/>
        </w:rPr>
        <w:t>的免费质保，</w:t>
      </w:r>
      <w:r>
        <w:rPr>
          <w:rFonts w:hint="eastAsia" w:ascii="宋体" w:hAnsi="宋体" w:cs="宋体"/>
          <w:sz w:val="28"/>
          <w:szCs w:val="28"/>
          <w:highlight w:val="none"/>
          <w:lang w:val="en-US" w:eastAsia="zh-CN"/>
        </w:rPr>
        <w:t>应用软件提供通过验收之日起1年</w:t>
      </w:r>
      <w:r>
        <w:rPr>
          <w:rFonts w:hint="eastAsia" w:ascii="宋体" w:hAnsi="宋体" w:cs="宋体"/>
          <w:sz w:val="28"/>
          <w:szCs w:val="28"/>
          <w:highlight w:val="none"/>
          <w:lang w:eastAsia="zh-CN"/>
        </w:rPr>
        <w:t>的免费质保</w:t>
      </w:r>
      <w:r>
        <w:rPr>
          <w:rFonts w:hint="eastAsia" w:ascii="宋体" w:hAnsi="宋体" w:cs="宋体"/>
          <w:sz w:val="28"/>
          <w:szCs w:val="28"/>
          <w:highlight w:val="none"/>
        </w:rPr>
        <w:t>。</w:t>
      </w:r>
    </w:p>
    <w:p w14:paraId="61626963">
      <w:pPr>
        <w:ind w:firstLine="560"/>
        <w:rPr>
          <w:rFonts w:ascii="宋体" w:hAnsi="宋体" w:cs="宋体"/>
          <w:sz w:val="28"/>
          <w:szCs w:val="28"/>
        </w:rPr>
      </w:pPr>
      <w:r>
        <w:rPr>
          <w:rFonts w:hint="eastAsia" w:ascii="宋体" w:hAnsi="宋体" w:cs="宋体"/>
          <w:sz w:val="28"/>
          <w:szCs w:val="28"/>
        </w:rPr>
        <w:t>提供限时修复服务：系统软件原因引起的故障，1个工作日内恢复使用。</w:t>
      </w:r>
    </w:p>
    <w:p w14:paraId="499A04CD">
      <w:pPr>
        <w:outlineLvl w:val="1"/>
        <w:rPr>
          <w:rFonts w:ascii="楷体" w:hAnsi="楷体" w:eastAsia="楷体" w:cs="楷体"/>
          <w:b/>
          <w:bCs/>
          <w:szCs w:val="32"/>
        </w:rPr>
      </w:pPr>
      <w:r>
        <w:rPr>
          <w:rFonts w:hint="eastAsia" w:ascii="楷体" w:hAnsi="楷体" w:eastAsia="楷体" w:cs="楷体"/>
          <w:b/>
          <w:bCs/>
          <w:szCs w:val="32"/>
        </w:rPr>
        <w:t>2、电话支持要求</w:t>
      </w:r>
    </w:p>
    <w:p w14:paraId="487E586A">
      <w:pPr>
        <w:ind w:firstLine="560"/>
        <w:rPr>
          <w:rFonts w:ascii="宋体" w:hAnsi="宋体" w:cs="宋体"/>
          <w:sz w:val="28"/>
          <w:szCs w:val="28"/>
        </w:rPr>
      </w:pPr>
      <w:r>
        <w:rPr>
          <w:rFonts w:hint="eastAsia" w:ascii="宋体" w:hAnsi="宋体" w:cs="宋体"/>
          <w:sz w:val="28"/>
          <w:szCs w:val="28"/>
        </w:rPr>
        <w:t>提供7*24电话支持，包含原厂支持中心的电话技术支持服务。</w:t>
      </w:r>
    </w:p>
    <w:p w14:paraId="500EECE0">
      <w:pPr>
        <w:outlineLvl w:val="1"/>
        <w:rPr>
          <w:rFonts w:ascii="楷体" w:hAnsi="楷体" w:eastAsia="楷体" w:cs="楷体"/>
          <w:b/>
          <w:bCs/>
          <w:szCs w:val="32"/>
        </w:rPr>
      </w:pPr>
      <w:r>
        <w:rPr>
          <w:rFonts w:hint="eastAsia" w:ascii="楷体" w:hAnsi="楷体" w:eastAsia="楷体" w:cs="楷体"/>
          <w:b/>
          <w:bCs/>
          <w:szCs w:val="32"/>
        </w:rPr>
        <w:t>3、现场服务要求</w:t>
      </w:r>
    </w:p>
    <w:p w14:paraId="73EEF01D">
      <w:pPr>
        <w:tabs>
          <w:tab w:val="left" w:pos="7513"/>
        </w:tabs>
        <w:spacing w:line="520" w:lineRule="exact"/>
        <w:ind w:firstLine="560"/>
        <w:jc w:val="left"/>
        <w:rPr>
          <w:rFonts w:ascii="宋体" w:hAnsi="宋体" w:cs="宋体"/>
          <w:sz w:val="28"/>
          <w:szCs w:val="28"/>
        </w:rPr>
      </w:pPr>
      <w:r>
        <w:rPr>
          <w:rFonts w:hint="eastAsia" w:ascii="宋体" w:hAnsi="宋体" w:cs="宋体"/>
          <w:sz w:val="28"/>
          <w:szCs w:val="28"/>
        </w:rPr>
        <w:t>提供5*9现场支持。</w:t>
      </w:r>
    </w:p>
    <w:p w14:paraId="0AA27E8E">
      <w:pPr>
        <w:outlineLvl w:val="1"/>
        <w:rPr>
          <w:rFonts w:ascii="楷体" w:hAnsi="楷体" w:eastAsia="楷体" w:cs="楷体"/>
          <w:b/>
          <w:bCs/>
          <w:szCs w:val="32"/>
        </w:rPr>
      </w:pPr>
      <w:r>
        <w:rPr>
          <w:rFonts w:hint="eastAsia" w:ascii="楷体" w:hAnsi="楷体" w:eastAsia="楷体" w:cs="楷体"/>
          <w:b/>
          <w:bCs/>
          <w:szCs w:val="32"/>
        </w:rPr>
        <w:t>4、非工作时间应急服务要求</w:t>
      </w:r>
    </w:p>
    <w:p w14:paraId="0AC5C9CF">
      <w:pPr>
        <w:ind w:firstLine="560"/>
        <w:rPr>
          <w:rFonts w:ascii="宋体" w:hAnsi="宋体" w:cs="宋体"/>
          <w:sz w:val="28"/>
          <w:szCs w:val="28"/>
        </w:rPr>
      </w:pPr>
      <w:r>
        <w:rPr>
          <w:rFonts w:hint="eastAsia" w:ascii="宋体" w:hAnsi="宋体" w:cs="宋体"/>
          <w:sz w:val="28"/>
          <w:szCs w:val="28"/>
        </w:rPr>
        <w:t>提供非工作时间1小时内上门服务。</w:t>
      </w:r>
    </w:p>
    <w:p w14:paraId="1A1DD86C">
      <w:pPr>
        <w:ind w:firstLine="560"/>
        <w:rPr>
          <w:rFonts w:ascii="宋体" w:hAnsi="宋体" w:cs="宋体"/>
          <w:sz w:val="28"/>
          <w:szCs w:val="28"/>
        </w:rPr>
      </w:pPr>
      <w:r>
        <w:rPr>
          <w:rFonts w:hint="eastAsia" w:ascii="宋体" w:hAnsi="宋体" w:cs="宋体"/>
          <w:sz w:val="28"/>
          <w:szCs w:val="28"/>
        </w:rPr>
        <w:t>遇突发故障，工作时间需半小时响应，如有紧急或重大情况发生，根据院方要求增派工程师提供现场服务。</w:t>
      </w:r>
    </w:p>
    <w:p w14:paraId="3D263F4E">
      <w:pPr>
        <w:outlineLvl w:val="1"/>
        <w:rPr>
          <w:rFonts w:ascii="楷体" w:hAnsi="楷体" w:eastAsia="楷体" w:cs="楷体"/>
          <w:b/>
          <w:bCs/>
          <w:szCs w:val="32"/>
        </w:rPr>
      </w:pPr>
      <w:r>
        <w:rPr>
          <w:rFonts w:hint="eastAsia" w:ascii="楷体" w:hAnsi="楷体" w:eastAsia="楷体" w:cs="楷体"/>
          <w:b/>
          <w:bCs/>
          <w:szCs w:val="32"/>
        </w:rPr>
        <w:t>5、特定活动保障</w:t>
      </w:r>
    </w:p>
    <w:p w14:paraId="36C65603">
      <w:pPr>
        <w:ind w:firstLine="560"/>
        <w:rPr>
          <w:rFonts w:ascii="宋体" w:hAnsi="宋体" w:cs="宋体"/>
          <w:sz w:val="28"/>
          <w:szCs w:val="28"/>
        </w:rPr>
      </w:pPr>
      <w:r>
        <w:rPr>
          <w:rFonts w:hint="eastAsia" w:ascii="宋体" w:hAnsi="宋体" w:cs="宋体"/>
          <w:sz w:val="28"/>
          <w:szCs w:val="28"/>
        </w:rPr>
        <w:t>投标单位应承诺在招标单位特定活动时期,按照招标单位要求，提供专人进行活动保障。</w:t>
      </w:r>
    </w:p>
    <w:p w14:paraId="0338760E">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国标宋体"/>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国标宋体">
    <w:panose1 w:val="02000500000000000000"/>
    <w:charset w:val="86"/>
    <w:family w:val="auto"/>
    <w:pitch w:val="default"/>
    <w:sig w:usb0="00000001" w:usb1="28000000" w:usb2="00000000" w:usb3="00000000" w:csb0="00060007"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GWZT-EN">
    <w:panose1 w:val="020204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FF13D">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07B52">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799D7">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B4503">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7163A">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5B5CB">
    <w:pPr>
      <w:pStyle w:val="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CD4ED"/>
    <w:multiLevelType w:val="singleLevel"/>
    <w:tmpl w:val="FEFCD4ED"/>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78CA5CA1"/>
    <w:rsid w:val="00277507"/>
    <w:rsid w:val="00352F29"/>
    <w:rsid w:val="00414A7A"/>
    <w:rsid w:val="00540204"/>
    <w:rsid w:val="00621AC8"/>
    <w:rsid w:val="00671930"/>
    <w:rsid w:val="00933616"/>
    <w:rsid w:val="00BB2895"/>
    <w:rsid w:val="00CA4ABE"/>
    <w:rsid w:val="160B6B83"/>
    <w:rsid w:val="217F592E"/>
    <w:rsid w:val="22FC59F1"/>
    <w:rsid w:val="2FAF5D60"/>
    <w:rsid w:val="3DE50D5D"/>
    <w:rsid w:val="3FA32888"/>
    <w:rsid w:val="46512483"/>
    <w:rsid w:val="524565F7"/>
    <w:rsid w:val="533267F6"/>
    <w:rsid w:val="54560AEA"/>
    <w:rsid w:val="55410F72"/>
    <w:rsid w:val="557F0593"/>
    <w:rsid w:val="5EA5194F"/>
    <w:rsid w:val="73E90FE1"/>
    <w:rsid w:val="78CA5CA1"/>
    <w:rsid w:val="7F77FEEF"/>
    <w:rsid w:val="D7FF3C25"/>
    <w:rsid w:val="FF7A71DF"/>
    <w:rsid w:val="FFCED0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3" w:firstLineChars="200"/>
      <w:jc w:val="both"/>
    </w:pPr>
    <w:rPr>
      <w:rFonts w:ascii="Calibri" w:hAnsi="Calibri" w:eastAsia="仿宋" w:cs="Times New Roman"/>
      <w:kern w:val="2"/>
      <w:sz w:val="32"/>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unhideWhenUsed/>
    <w:qFormat/>
    <w:uiPriority w:val="0"/>
    <w:pPr>
      <w:spacing w:after="120"/>
    </w:pPr>
  </w:style>
  <w:style w:type="paragraph" w:styleId="4">
    <w:name w:val="Balloon Text"/>
    <w:basedOn w:val="1"/>
    <w:link w:val="12"/>
    <w:qFormat/>
    <w:uiPriority w:val="0"/>
    <w:pPr>
      <w:spacing w:line="240" w:lineRule="auto"/>
    </w:pPr>
    <w:rPr>
      <w:sz w:val="18"/>
      <w:szCs w:val="18"/>
    </w:rPr>
  </w:style>
  <w:style w:type="paragraph" w:styleId="5">
    <w:name w:val="footer"/>
    <w:basedOn w:val="1"/>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spacing w:line="240" w:lineRule="auto"/>
      <w:jc w:val="center"/>
    </w:pPr>
    <w:rPr>
      <w:sz w:val="18"/>
      <w:szCs w:val="18"/>
    </w:rPr>
  </w:style>
  <w:style w:type="character" w:styleId="9">
    <w:name w:val="annotation reference"/>
    <w:basedOn w:val="8"/>
    <w:qFormat/>
    <w:uiPriority w:val="0"/>
    <w:rPr>
      <w:sz w:val="21"/>
      <w:szCs w:val="21"/>
    </w:rPr>
  </w:style>
  <w:style w:type="character" w:customStyle="1" w:styleId="10">
    <w:name w:val="font21"/>
    <w:basedOn w:val="8"/>
    <w:qFormat/>
    <w:uiPriority w:val="0"/>
    <w:rPr>
      <w:rFonts w:hint="eastAsia" w:ascii="宋体" w:hAnsi="宋体" w:eastAsia="宋体" w:cs="宋体"/>
      <w:b/>
      <w:bCs/>
      <w:color w:val="000000"/>
      <w:sz w:val="24"/>
      <w:szCs w:val="24"/>
      <w:u w:val="none"/>
    </w:rPr>
  </w:style>
  <w:style w:type="character" w:customStyle="1" w:styleId="11">
    <w:name w:val="页眉 Char"/>
    <w:basedOn w:val="8"/>
    <w:link w:val="6"/>
    <w:qFormat/>
    <w:uiPriority w:val="0"/>
    <w:rPr>
      <w:rFonts w:ascii="Calibri" w:hAnsi="Calibri" w:eastAsia="仿宋"/>
      <w:kern w:val="2"/>
      <w:sz w:val="18"/>
      <w:szCs w:val="18"/>
    </w:rPr>
  </w:style>
  <w:style w:type="character" w:customStyle="1" w:styleId="12">
    <w:name w:val="批注框文本 Char"/>
    <w:basedOn w:val="8"/>
    <w:link w:val="4"/>
    <w:qFormat/>
    <w:uiPriority w:val="0"/>
    <w:rPr>
      <w:rFonts w:ascii="Calibri" w:hAnsi="Calibri" w:eastAsia="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127</Pages>
  <Words>11906</Words>
  <Characters>67867</Characters>
  <Lines>565</Lines>
  <Paragraphs>159</Paragraphs>
  <TotalTime>7</TotalTime>
  <ScaleCrop>false</ScaleCrop>
  <LinksUpToDate>false</LinksUpToDate>
  <CharactersWithSpaces>79614</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2026-05-10T14:16:00Z</dcterms:created>
  <dc:creator>魏坤强</dc:creator>
  <cp:lastModifiedBy>王婉婷</cp:lastModifiedBy>
  <dcterms:modified xsi:type="dcterms:W3CDTF">2026-08-12T08:48:07Z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62CDD1132C504729A87418C564B4634A_13</vt:lpwstr>
  </property>
  <property fmtid="{D5CDD505-2E9C-101B-9397-08002B2CF9AE}" pid="4" name="KSOTemplateDocerSaveRecord">
    <vt:lpwstr>eyJoZGlkIjoiN2U0ODNmOWVjNTA1NGU0ZTk4ZmRhYzY1YzRhYWNiMmEiLCJ1c2VySWQiOiI0NDYxMDA3OTEifQ==</vt:lpwstr>
  </property>
  <property fmtid="{D5CDD505-2E9C-101B-9397-08002B2CF9AE}" pid="5" name="CWM64d509204b8611f180004fd600004fd6">
    <vt:lpwstr>CWMGiPtOr0x2SDcYvzS3JKm2i/dkpQ006Xrk9jua+wX2/v+1Tu3GmuTfYqazkRxcMBBVKbhuURDj0nr/JXgwAOd2g==</vt:lpwstr>
  </property>
</Properties>
</file>