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C6AF3">
      <w:pPr>
        <w:spacing w:line="720" w:lineRule="auto"/>
        <w:jc w:val="center"/>
        <w:rPr>
          <w:rFonts w:ascii="宋体"/>
          <w:b/>
          <w:bCs/>
        </w:rPr>
      </w:pPr>
      <w:bookmarkStart w:id="4" w:name="_GoBack"/>
      <w:bookmarkEnd w:id="4"/>
      <w:r>
        <w:rPr>
          <w:rFonts w:hint="eastAsia" w:ascii="宋体" w:hAnsi="宋体" w:cs="宋体"/>
          <w:b/>
          <w:bCs/>
          <w:sz w:val="32"/>
          <w:szCs w:val="32"/>
        </w:rPr>
        <w:t>博物馆物业管理服务采购需求</w:t>
      </w:r>
    </w:p>
    <w:p w14:paraId="003241A2">
      <w:pPr>
        <w:rPr>
          <w:rFonts w:ascii="宋体"/>
          <w:b/>
          <w:bCs/>
          <w:sz w:val="28"/>
          <w:szCs w:val="28"/>
        </w:rPr>
      </w:pPr>
      <w:r>
        <w:rPr>
          <w:rFonts w:hint="eastAsia" w:ascii="宋体" w:hAnsi="宋体" w:cs="宋体"/>
          <w:b/>
          <w:bCs/>
          <w:sz w:val="28"/>
          <w:szCs w:val="28"/>
        </w:rPr>
        <w:t>一、物业服务项目概况：</w:t>
      </w:r>
    </w:p>
    <w:p w14:paraId="57BB1D3E">
      <w:pPr>
        <w:spacing w:line="360" w:lineRule="auto"/>
        <w:ind w:firstLine="420" w:firstLineChars="200"/>
        <w:rPr>
          <w:rFonts w:ascii="宋体" w:hAnsi="宋体" w:cs="宋体"/>
        </w:rPr>
      </w:pPr>
      <w:r>
        <w:rPr>
          <w:rFonts w:hint="eastAsia" w:ascii="宋体" w:hAnsi="宋体" w:cs="宋体"/>
        </w:rPr>
        <w:t>上海中国航海博物馆（简称“中海博”）是经国务院批准设立的我国首家国家级航海博物馆，由国家交通运输部和上海市人民政府共同建造，于2010年7月5日正式对外开放。整体展示以“航海”为主线、“博物”为基础，分设航海历史馆、船舶馆、航海与港口馆、海员馆、海事与海上安全馆、军事航海馆等六大主题馆，海洋展区、航海体育与休闲两个专题展区，并建有天象馆（球幕影院）和4D影院。</w:t>
      </w:r>
    </w:p>
    <w:p w14:paraId="0C770120">
      <w:pPr>
        <w:spacing w:line="360" w:lineRule="auto"/>
        <w:ind w:firstLine="420" w:firstLineChars="200"/>
        <w:rPr>
          <w:rFonts w:ascii="宋体" w:hAnsi="宋体" w:cs="宋体"/>
        </w:rPr>
      </w:pPr>
      <w:r>
        <w:rPr>
          <w:rFonts w:hint="eastAsia" w:ascii="宋体" w:hAnsi="宋体" w:cs="宋体"/>
        </w:rPr>
        <w:t>中海博以“弘扬航海文化，传播华夏文明”为办馆宗旨，主要功能包括文物收藏、学术研究、陈列展示、社会教育、科普文化等，以传承发扬“热爱祖国、睦邻友好、科学航海”的精神，弘扬中华民族灿烂的航海文明和优秀传统文化，营造上海国际航运中心文化氛围，致力成为普及航海知识、展现我国航海事业发展历程与技术的学术研究基地、科普教育基地，以及诠释海洋文明、海洋权益、海洋资源保护的爱国主义教育基地、国防教育基地。</w:t>
      </w:r>
    </w:p>
    <w:p w14:paraId="0F255C0F">
      <w:pPr>
        <w:spacing w:line="360" w:lineRule="auto"/>
        <w:ind w:firstLine="420" w:firstLineChars="200"/>
        <w:rPr>
          <w:rFonts w:ascii="宋体" w:hAnsi="宋体" w:cs="宋体"/>
        </w:rPr>
      </w:pPr>
      <w:r>
        <w:rPr>
          <w:rFonts w:hint="eastAsia" w:ascii="宋体" w:hAnsi="宋体" w:cs="宋体"/>
        </w:rPr>
        <w:t>自开馆以来，中海博凭借展览展示、品牌活动、优质服务等，荣获“国家一级博物馆”“国家AAAA级旅游景区”“全国文明单位”，首批“全国中小学生研学实践教育基地”、首批“国家交通运输科普基地”、首届全国交通运输优秀文博馆推选“十佳文博馆”、“科普中国共建基地”“中国航海学会航海科普教育基地”等荣誉称号，多次荣获“上海市博物馆陈列展览精品奖”“上海市博物馆卓越教育项目”等奖项，并获评可移动文物修复资质、上海市民间收藏文物鉴定咨询服务点等专业资质。中国航海博物馆目前对社会公众日常开放时间为9︰30-16︰00，每周一闭馆（节假日除外）进行博物馆日常维保。上述开放时间为初步参考时间。中国航海博物馆日常开放时间与节假日、大客流、大型活动、免费开放日等大客流期间具体开放时间应按采购人具体要求执行，投标方配备的人员应按采购人具体要求执行，增加相应岗位人员及加班费均已包含在中标价中，采购人不支付任何形式的人员费用及加班费用。安全保卫及工程设备设施实行</w:t>
      </w:r>
      <w:r>
        <w:rPr>
          <w:rFonts w:ascii="宋体" w:hAnsi="宋体" w:cs="宋体"/>
        </w:rPr>
        <w:t>24</w:t>
      </w:r>
      <w:r>
        <w:rPr>
          <w:rFonts w:hint="eastAsia" w:ascii="宋体" w:hAnsi="宋体" w:cs="宋体"/>
        </w:rPr>
        <w:t>小时运行维护。</w:t>
      </w:r>
    </w:p>
    <w:p w14:paraId="2F8B63E3">
      <w:pPr>
        <w:spacing w:line="360" w:lineRule="auto"/>
        <w:ind w:firstLine="422" w:firstLineChars="200"/>
        <w:rPr>
          <w:rFonts w:ascii="宋体"/>
        </w:rPr>
      </w:pPr>
      <w:r>
        <w:rPr>
          <w:rFonts w:hint="eastAsia" w:ascii="宋体" w:hAnsi="宋体" w:cs="宋体"/>
          <w:b/>
          <w:bCs/>
        </w:rPr>
        <w:t>物业名称：</w:t>
      </w:r>
      <w:r>
        <w:rPr>
          <w:rFonts w:hint="eastAsia" w:ascii="宋体" w:hAnsi="宋体" w:cs="宋体"/>
        </w:rPr>
        <w:t>上海中国航海博物馆（下称：“采购人”）。</w:t>
      </w:r>
    </w:p>
    <w:p w14:paraId="74FD2021">
      <w:pPr>
        <w:spacing w:line="360" w:lineRule="auto"/>
        <w:ind w:firstLine="422" w:firstLineChars="200"/>
        <w:rPr>
          <w:rFonts w:ascii="宋体"/>
        </w:rPr>
      </w:pPr>
      <w:r>
        <w:rPr>
          <w:rFonts w:hint="eastAsia" w:ascii="宋体" w:hAnsi="宋体" w:cs="宋体"/>
          <w:b/>
          <w:bCs/>
        </w:rPr>
        <w:t>物业类型：</w:t>
      </w:r>
      <w:r>
        <w:rPr>
          <w:rFonts w:hint="eastAsia" w:ascii="宋体" w:hAnsi="宋体" w:cs="宋体"/>
        </w:rPr>
        <w:t>国家一级博物馆、全国文明单位、国家</w:t>
      </w:r>
      <w:r>
        <w:rPr>
          <w:rFonts w:ascii="宋体" w:hAnsi="宋体" w:cs="宋体"/>
        </w:rPr>
        <w:t>4A</w:t>
      </w:r>
      <w:r>
        <w:rPr>
          <w:rFonts w:hint="eastAsia" w:ascii="宋体" w:hAnsi="宋体" w:cs="宋体"/>
        </w:rPr>
        <w:t>级景区。</w:t>
      </w:r>
    </w:p>
    <w:p w14:paraId="54672696">
      <w:pPr>
        <w:spacing w:line="360" w:lineRule="auto"/>
        <w:ind w:firstLine="422" w:firstLineChars="200"/>
        <w:rPr>
          <w:rFonts w:ascii="宋体"/>
        </w:rPr>
      </w:pPr>
      <w:r>
        <w:rPr>
          <w:rFonts w:hint="eastAsia" w:ascii="宋体" w:hAnsi="宋体" w:cs="宋体"/>
          <w:b/>
          <w:bCs/>
        </w:rPr>
        <w:t>物业性质：</w:t>
      </w:r>
      <w:r>
        <w:rPr>
          <w:rFonts w:hint="eastAsia" w:ascii="宋体" w:hAnsi="宋体" w:cs="宋体"/>
        </w:rPr>
        <w:t>重要公共建筑。</w:t>
      </w:r>
    </w:p>
    <w:p w14:paraId="79196FED">
      <w:pPr>
        <w:spacing w:line="360" w:lineRule="auto"/>
        <w:ind w:firstLine="422" w:firstLineChars="200"/>
        <w:rPr>
          <w:rFonts w:ascii="宋体"/>
        </w:rPr>
      </w:pPr>
      <w:r>
        <w:rPr>
          <w:rFonts w:hint="eastAsia" w:ascii="宋体" w:hAnsi="宋体" w:cs="宋体"/>
          <w:b/>
          <w:bCs/>
        </w:rPr>
        <w:t>物业地点：</w:t>
      </w:r>
      <w:r>
        <w:rPr>
          <w:rFonts w:hint="eastAsia" w:ascii="宋体" w:hAnsi="宋体" w:cs="宋体"/>
        </w:rPr>
        <w:t>上海市浦东新区南汇新城镇申港大道</w:t>
      </w:r>
      <w:r>
        <w:rPr>
          <w:rFonts w:ascii="宋体" w:hAnsi="宋体" w:cs="宋体"/>
        </w:rPr>
        <w:t>197</w:t>
      </w:r>
      <w:r>
        <w:rPr>
          <w:rFonts w:hint="eastAsia" w:ascii="宋体" w:hAnsi="宋体" w:cs="宋体"/>
        </w:rPr>
        <w:t>号。</w:t>
      </w:r>
    </w:p>
    <w:p w14:paraId="158FA239">
      <w:pPr>
        <w:spacing w:line="360" w:lineRule="auto"/>
        <w:ind w:firstLine="420" w:firstLineChars="200"/>
        <w:rPr>
          <w:rFonts w:ascii="宋体"/>
        </w:rPr>
      </w:pPr>
      <w:r>
        <w:rPr>
          <w:rFonts w:hint="eastAsia" w:ascii="宋体" w:hAnsi="宋体" w:cs="宋体"/>
        </w:rPr>
        <w:t>已开放基地面积：</w:t>
      </w:r>
      <w:r>
        <w:rPr>
          <w:rFonts w:ascii="宋体" w:hAnsi="宋体" w:cs="宋体"/>
        </w:rPr>
        <w:t>48663.3</w:t>
      </w:r>
      <w:r>
        <w:rPr>
          <w:rFonts w:hint="eastAsia" w:ascii="宋体" w:hAnsi="宋体" w:cs="宋体"/>
        </w:rPr>
        <w:t>㎡，其中绿地面积</w:t>
      </w:r>
      <w:r>
        <w:rPr>
          <w:rFonts w:ascii="宋体" w:hAnsi="宋体" w:cs="宋体"/>
        </w:rPr>
        <w:t>11370</w:t>
      </w:r>
      <w:r>
        <w:rPr>
          <w:rFonts w:hint="eastAsia" w:ascii="宋体" w:hAnsi="宋体" w:cs="宋体"/>
        </w:rPr>
        <w:t>㎡，建筑面积：45423.95㎡，其中室内展览区域面积</w:t>
      </w:r>
      <w:r>
        <w:rPr>
          <w:rFonts w:ascii="宋体" w:hAnsi="宋体" w:cs="宋体"/>
        </w:rPr>
        <w:t>22252</w:t>
      </w:r>
      <w:r>
        <w:rPr>
          <w:rFonts w:hint="eastAsia" w:ascii="宋体" w:hAnsi="宋体" w:cs="宋体"/>
        </w:rPr>
        <w:t>㎡，办公区域面积</w:t>
      </w:r>
      <w:r>
        <w:rPr>
          <w:rFonts w:ascii="宋体" w:hAnsi="宋体" w:cs="宋体"/>
        </w:rPr>
        <w:t xml:space="preserve">3242 </w:t>
      </w:r>
      <w:r>
        <w:rPr>
          <w:rFonts w:hint="eastAsia" w:ascii="宋体" w:hAnsi="宋体" w:cs="宋体"/>
        </w:rPr>
        <w:t>㎡。</w:t>
      </w:r>
    </w:p>
    <w:p w14:paraId="35CF9CF2">
      <w:pPr>
        <w:spacing w:line="360" w:lineRule="auto"/>
        <w:ind w:firstLine="420" w:firstLineChars="200"/>
        <w:rPr>
          <w:rFonts w:ascii="宋体"/>
        </w:rPr>
      </w:pPr>
      <w:r>
        <w:rPr>
          <w:rFonts w:hint="eastAsia" w:ascii="宋体" w:hAnsi="宋体" w:cs="宋体"/>
        </w:rPr>
        <w:t>建筑层数与高度：</w:t>
      </w:r>
      <w:r>
        <w:rPr>
          <w:rFonts w:ascii="宋体" w:hAnsi="宋体" w:cs="宋体"/>
        </w:rPr>
        <w:t>4</w:t>
      </w:r>
      <w:r>
        <w:rPr>
          <w:rFonts w:hint="eastAsia" w:ascii="宋体" w:hAnsi="宋体" w:cs="宋体"/>
        </w:rPr>
        <w:t>层，</w:t>
      </w:r>
      <w:r>
        <w:rPr>
          <w:rFonts w:ascii="宋体" w:hAnsi="宋体" w:cs="宋体"/>
        </w:rPr>
        <w:t>23.95m</w:t>
      </w:r>
      <w:r>
        <w:rPr>
          <w:rFonts w:hint="eastAsia" w:ascii="宋体" w:hAnsi="宋体" w:cs="宋体"/>
        </w:rPr>
        <w:t>，建筑帆体最高点</w:t>
      </w:r>
      <w:r>
        <w:rPr>
          <w:rFonts w:ascii="宋体" w:hAnsi="宋体" w:cs="宋体"/>
        </w:rPr>
        <w:t>70</w:t>
      </w:r>
      <w:r>
        <w:rPr>
          <w:rFonts w:hint="eastAsia" w:ascii="宋体" w:hAnsi="宋体" w:cs="宋体"/>
        </w:rPr>
        <w:t>米。</w:t>
      </w:r>
    </w:p>
    <w:p w14:paraId="2207FEDE">
      <w:pPr>
        <w:spacing w:line="360" w:lineRule="auto"/>
        <w:ind w:firstLine="420" w:firstLineChars="200"/>
        <w:rPr>
          <w:rFonts w:ascii="宋体"/>
        </w:rPr>
      </w:pPr>
      <w:r>
        <w:rPr>
          <w:rFonts w:hint="eastAsia" w:ascii="宋体" w:hAnsi="宋体" w:cs="宋体"/>
        </w:rPr>
        <w:t>灯塔建筑：</w:t>
      </w:r>
      <w:r>
        <w:rPr>
          <w:rFonts w:ascii="宋体" w:hAnsi="宋体" w:cs="宋体"/>
        </w:rPr>
        <w:t>4</w:t>
      </w:r>
      <w:r>
        <w:rPr>
          <w:rFonts w:hint="eastAsia" w:ascii="宋体" w:hAnsi="宋体" w:cs="宋体"/>
        </w:rPr>
        <w:t>层，占地面积</w:t>
      </w:r>
      <w:r>
        <w:rPr>
          <w:rFonts w:ascii="宋体" w:hAnsi="宋体" w:cs="宋体"/>
        </w:rPr>
        <w:t>40.6</w:t>
      </w:r>
      <w:r>
        <w:rPr>
          <w:rFonts w:hint="eastAsia" w:ascii="宋体" w:hAnsi="宋体" w:cs="宋体"/>
        </w:rPr>
        <w:t>㎡，建筑面积</w:t>
      </w:r>
      <w:r>
        <w:rPr>
          <w:rFonts w:ascii="宋体" w:hAnsi="宋体" w:cs="宋体"/>
        </w:rPr>
        <w:t>147.69</w:t>
      </w:r>
      <w:r>
        <w:rPr>
          <w:rFonts w:hint="eastAsia" w:ascii="宋体" w:hAnsi="宋体" w:cs="宋体"/>
        </w:rPr>
        <w:t>㎡。</w:t>
      </w:r>
    </w:p>
    <w:p w14:paraId="3443C9EC">
      <w:pPr>
        <w:spacing w:line="360" w:lineRule="auto"/>
        <w:ind w:firstLine="420" w:firstLineChars="200"/>
        <w:rPr>
          <w:rFonts w:ascii="宋体"/>
        </w:rPr>
      </w:pPr>
      <w:r>
        <w:rPr>
          <w:rFonts w:hint="eastAsia" w:ascii="宋体" w:hAnsi="宋体" w:cs="宋体"/>
        </w:rPr>
        <w:t>外围开放展区：营口灯船区域，占地面积</w:t>
      </w:r>
      <w:r>
        <w:rPr>
          <w:rFonts w:ascii="宋体" w:hAnsi="宋体" w:cs="宋体"/>
        </w:rPr>
        <w:t>3100</w:t>
      </w:r>
      <w:r>
        <w:rPr>
          <w:rFonts w:hint="eastAsia" w:ascii="宋体" w:hAnsi="宋体" w:cs="宋体"/>
        </w:rPr>
        <w:t>㎡。</w:t>
      </w:r>
    </w:p>
    <w:p w14:paraId="6ADD8996">
      <w:pPr>
        <w:spacing w:line="360" w:lineRule="auto"/>
        <w:ind w:firstLine="420" w:firstLineChars="200"/>
        <w:rPr>
          <w:rFonts w:ascii="宋体"/>
        </w:rPr>
      </w:pPr>
      <w:r>
        <w:rPr>
          <w:rFonts w:hint="eastAsia" w:ascii="宋体" w:hAnsi="宋体" w:cs="宋体"/>
        </w:rPr>
        <w:t>建筑耐火等级：一级。</w:t>
      </w:r>
    </w:p>
    <w:p w14:paraId="27A0DD7B">
      <w:pPr>
        <w:spacing w:line="360" w:lineRule="auto"/>
        <w:ind w:firstLine="420" w:firstLineChars="200"/>
        <w:rPr>
          <w:rFonts w:ascii="宋体"/>
        </w:rPr>
      </w:pPr>
      <w:r>
        <w:rPr>
          <w:rFonts w:hint="eastAsia" w:ascii="宋体" w:hAnsi="宋体" w:cs="宋体"/>
        </w:rPr>
        <w:t>本招标项目类别为全委托，以上物业概况数据供参考，以现场物业实际情况为准。</w:t>
      </w:r>
    </w:p>
    <w:p w14:paraId="2D210D91">
      <w:pPr>
        <w:spacing w:line="360" w:lineRule="auto"/>
        <w:rPr>
          <w:rFonts w:ascii="宋体"/>
          <w:b/>
          <w:bCs/>
        </w:rPr>
      </w:pPr>
      <w:r>
        <w:rPr>
          <w:rFonts w:hint="eastAsia" w:ascii="宋体" w:hAnsi="宋体" w:cs="宋体"/>
          <w:b/>
          <w:bCs/>
        </w:rPr>
        <w:t>二、各层功能区域及主要设备设施表及管理目标</w:t>
      </w:r>
    </w:p>
    <w:p w14:paraId="56ACDDAE">
      <w:pPr>
        <w:spacing w:line="360" w:lineRule="auto"/>
        <w:ind w:firstLine="420" w:firstLineChars="200"/>
        <w:rPr>
          <w:rFonts w:ascii="宋体"/>
        </w:rPr>
      </w:pPr>
      <w:r>
        <w:rPr>
          <w:rFonts w:ascii="宋体" w:hAnsi="宋体" w:cs="宋体"/>
        </w:rPr>
        <w:t>1</w:t>
      </w:r>
      <w:r>
        <w:rPr>
          <w:rFonts w:hint="eastAsia" w:ascii="宋体" w:hAnsi="宋体" w:cs="宋体"/>
        </w:rPr>
        <w:t>、各层功能区域：</w:t>
      </w:r>
    </w:p>
    <w:tbl>
      <w:tblPr>
        <w:tblStyle w:val="9"/>
        <w:tblW w:w="5000"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7191"/>
      </w:tblGrid>
      <w:tr w14:paraId="4BCC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tcPr>
          <w:p w14:paraId="01398C50">
            <w:pPr>
              <w:spacing w:line="360" w:lineRule="auto"/>
              <w:jc w:val="center"/>
              <w:rPr>
                <w:rFonts w:ascii="宋体"/>
              </w:rPr>
            </w:pPr>
            <w:r>
              <w:rPr>
                <w:rFonts w:hint="eastAsia" w:ascii="宋体" w:hAnsi="宋体" w:cs="宋体"/>
              </w:rPr>
              <w:t>楼层</w:t>
            </w:r>
          </w:p>
        </w:tc>
        <w:tc>
          <w:tcPr>
            <w:tcW w:w="4219" w:type="pct"/>
            <w:noWrap/>
          </w:tcPr>
          <w:p w14:paraId="65CBFC3D">
            <w:pPr>
              <w:spacing w:line="360" w:lineRule="auto"/>
              <w:jc w:val="center"/>
              <w:rPr>
                <w:rFonts w:ascii="宋体"/>
              </w:rPr>
            </w:pPr>
            <w:r>
              <w:rPr>
                <w:rFonts w:hint="eastAsia" w:ascii="宋体" w:hAnsi="宋体" w:cs="宋体"/>
              </w:rPr>
              <w:t>功能分布情况</w:t>
            </w:r>
          </w:p>
        </w:tc>
      </w:tr>
      <w:tr w14:paraId="0F9B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vAlign w:val="center"/>
          </w:tcPr>
          <w:p w14:paraId="0C984E4B">
            <w:pPr>
              <w:spacing w:line="360" w:lineRule="auto"/>
              <w:jc w:val="center"/>
              <w:rPr>
                <w:rFonts w:ascii="宋体"/>
              </w:rPr>
            </w:pPr>
            <w:r>
              <w:rPr>
                <w:rFonts w:hint="eastAsia" w:ascii="宋体" w:hAnsi="宋体" w:cs="宋体"/>
              </w:rPr>
              <w:t>一楼</w:t>
            </w:r>
          </w:p>
        </w:tc>
        <w:tc>
          <w:tcPr>
            <w:tcW w:w="4219" w:type="pct"/>
            <w:noWrap/>
          </w:tcPr>
          <w:p w14:paraId="54F034F5">
            <w:pPr>
              <w:spacing w:line="360" w:lineRule="auto"/>
              <w:jc w:val="left"/>
              <w:rPr>
                <w:rFonts w:ascii="宋体"/>
              </w:rPr>
            </w:pPr>
            <w:r>
              <w:rPr>
                <w:rFonts w:hint="eastAsia" w:ascii="宋体" w:hAnsi="宋体" w:cs="宋体"/>
              </w:rPr>
              <w:t>汽车库、高压配电、电梯机房、中央冷热水机房、消防泵房、生活用水泵房、柴油发电机房、污水处理房、信息中心机房、通信无线覆盖机房、洗衣房、通信广播机房、理化实验室、文物修复实验室、专业资料研究室、仓库、自行车停车棚、更衣室、驾驶员休息室、监控中心、物管中心、展区、临展厅、文物库房、办公室、收发室、餐厅、卫生间、强电间、弱电间、空调机房、船模研制中心等。</w:t>
            </w:r>
          </w:p>
        </w:tc>
      </w:tr>
      <w:tr w14:paraId="30FA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vAlign w:val="center"/>
          </w:tcPr>
          <w:p w14:paraId="0F05A379">
            <w:pPr>
              <w:spacing w:line="360" w:lineRule="auto"/>
              <w:jc w:val="center"/>
              <w:rPr>
                <w:rFonts w:ascii="宋体"/>
              </w:rPr>
            </w:pPr>
            <w:r>
              <w:rPr>
                <w:rFonts w:hint="eastAsia" w:ascii="宋体" w:hAnsi="宋体" w:cs="宋体"/>
              </w:rPr>
              <w:t>二楼</w:t>
            </w:r>
          </w:p>
        </w:tc>
        <w:tc>
          <w:tcPr>
            <w:tcW w:w="4219" w:type="pct"/>
            <w:noWrap/>
          </w:tcPr>
          <w:p w14:paraId="7F6C0CFC">
            <w:pPr>
              <w:spacing w:line="360" w:lineRule="auto"/>
              <w:jc w:val="left"/>
              <w:rPr>
                <w:rFonts w:ascii="宋体"/>
              </w:rPr>
            </w:pPr>
            <w:r>
              <w:rPr>
                <w:rFonts w:hint="eastAsia" w:ascii="宋体" w:hAnsi="宋体" w:cs="宋体"/>
              </w:rPr>
              <w:t>展区、</w:t>
            </w:r>
            <w:r>
              <w:rPr>
                <w:rFonts w:ascii="宋体" w:hAnsi="宋体" w:cs="宋体"/>
              </w:rPr>
              <w:t>4D</w:t>
            </w:r>
            <w:r>
              <w:rPr>
                <w:rFonts w:hint="eastAsia" w:ascii="宋体" w:hAnsi="宋体" w:cs="宋体"/>
              </w:rPr>
              <w:t>电影院、天象馆、报告厅、卫生间、强电间、弱电间、空调机房、蛇形杆通道、纪念品商店等。</w:t>
            </w:r>
          </w:p>
        </w:tc>
      </w:tr>
      <w:tr w14:paraId="75EE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vAlign w:val="center"/>
          </w:tcPr>
          <w:p w14:paraId="26957EC0">
            <w:pPr>
              <w:spacing w:line="360" w:lineRule="auto"/>
              <w:jc w:val="center"/>
              <w:rPr>
                <w:rFonts w:ascii="宋体"/>
              </w:rPr>
            </w:pPr>
            <w:r>
              <w:rPr>
                <w:rFonts w:hint="eastAsia" w:ascii="宋体" w:hAnsi="宋体" w:cs="宋体"/>
              </w:rPr>
              <w:t>三楼</w:t>
            </w:r>
          </w:p>
        </w:tc>
        <w:tc>
          <w:tcPr>
            <w:tcW w:w="4219" w:type="pct"/>
            <w:noWrap/>
          </w:tcPr>
          <w:p w14:paraId="72E8642E">
            <w:pPr>
              <w:spacing w:line="360" w:lineRule="auto"/>
              <w:jc w:val="left"/>
              <w:rPr>
                <w:rFonts w:ascii="宋体"/>
              </w:rPr>
            </w:pPr>
            <w:r>
              <w:rPr>
                <w:rFonts w:hint="eastAsia" w:ascii="宋体" w:hAnsi="宋体" w:cs="宋体"/>
              </w:rPr>
              <w:t>会议室、办公室、临展厅、职工之家、档案室、贵宾接待室、卫生间、强电间、弱电间、空调机房等。</w:t>
            </w:r>
          </w:p>
        </w:tc>
      </w:tr>
      <w:tr w14:paraId="1F1D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vAlign w:val="center"/>
          </w:tcPr>
          <w:p w14:paraId="02CD1C2A">
            <w:pPr>
              <w:spacing w:line="360" w:lineRule="auto"/>
              <w:jc w:val="center"/>
              <w:rPr>
                <w:rFonts w:ascii="宋体"/>
              </w:rPr>
            </w:pPr>
            <w:r>
              <w:rPr>
                <w:rFonts w:hint="eastAsia" w:ascii="宋体" w:hAnsi="宋体" w:cs="宋体"/>
              </w:rPr>
              <w:t>四楼</w:t>
            </w:r>
          </w:p>
        </w:tc>
        <w:tc>
          <w:tcPr>
            <w:tcW w:w="4219" w:type="pct"/>
            <w:noWrap/>
          </w:tcPr>
          <w:p w14:paraId="44748B05">
            <w:pPr>
              <w:spacing w:line="360" w:lineRule="auto"/>
              <w:jc w:val="left"/>
              <w:rPr>
                <w:rFonts w:ascii="宋体"/>
              </w:rPr>
            </w:pPr>
            <w:r>
              <w:rPr>
                <w:rFonts w:hint="eastAsia" w:ascii="宋体" w:hAnsi="宋体" w:cs="宋体"/>
              </w:rPr>
              <w:t>值班室、办公室、档案室、贵宾接待室、会议室、图书馆、卫生间、强电间、弱电间、空调机房等。</w:t>
            </w:r>
          </w:p>
        </w:tc>
      </w:tr>
      <w:tr w14:paraId="14CF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pct"/>
            <w:noWrap/>
            <w:vAlign w:val="center"/>
          </w:tcPr>
          <w:p w14:paraId="10BA940C">
            <w:pPr>
              <w:spacing w:line="360" w:lineRule="auto"/>
              <w:jc w:val="center"/>
              <w:rPr>
                <w:rFonts w:ascii="宋体"/>
              </w:rPr>
            </w:pPr>
            <w:r>
              <w:rPr>
                <w:rFonts w:hint="eastAsia" w:ascii="宋体" w:hAnsi="宋体" w:cs="宋体"/>
              </w:rPr>
              <w:t>室外</w:t>
            </w:r>
          </w:p>
        </w:tc>
        <w:tc>
          <w:tcPr>
            <w:tcW w:w="4219" w:type="pct"/>
            <w:noWrap/>
          </w:tcPr>
          <w:p w14:paraId="1B219962">
            <w:pPr>
              <w:spacing w:line="360" w:lineRule="auto"/>
              <w:jc w:val="left"/>
              <w:rPr>
                <w:rFonts w:ascii="宋体"/>
              </w:rPr>
            </w:pPr>
            <w:r>
              <w:rPr>
                <w:rFonts w:hint="eastAsia" w:ascii="宋体" w:hAnsi="宋体" w:cs="宋体"/>
              </w:rPr>
              <w:t>移动厕所、垃圾房、灯塔、展项、木栈道、灯船展区、东西门岗、大木舵修复室等。</w:t>
            </w:r>
          </w:p>
        </w:tc>
      </w:tr>
    </w:tbl>
    <w:p w14:paraId="78BF3164">
      <w:pPr>
        <w:spacing w:line="360" w:lineRule="auto"/>
        <w:outlineLvl w:val="1"/>
        <w:rPr>
          <w:rFonts w:ascii="宋体"/>
        </w:rPr>
      </w:pPr>
      <w:bookmarkStart w:id="0" w:name="_Toc447093315"/>
    </w:p>
    <w:p w14:paraId="5003AE2D">
      <w:pPr>
        <w:spacing w:line="360" w:lineRule="auto"/>
        <w:ind w:firstLine="420" w:firstLineChars="200"/>
        <w:outlineLvl w:val="1"/>
        <w:rPr>
          <w:rFonts w:ascii="宋体"/>
        </w:rPr>
      </w:pPr>
      <w:r>
        <w:rPr>
          <w:rFonts w:ascii="宋体" w:hAnsi="宋体" w:cs="宋体"/>
        </w:rPr>
        <w:t>2</w:t>
      </w:r>
      <w:r>
        <w:rPr>
          <w:rFonts w:hint="eastAsia" w:ascii="宋体" w:hAnsi="宋体" w:cs="宋体"/>
        </w:rPr>
        <w:t>、中海博主要设备设施</w:t>
      </w:r>
    </w:p>
    <w:bookmarkEnd w:id="0"/>
    <w:tbl>
      <w:tblPr>
        <w:tblStyle w:val="9"/>
        <w:tblW w:w="8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103"/>
        <w:gridCol w:w="2913"/>
        <w:gridCol w:w="1092"/>
        <w:gridCol w:w="2977"/>
      </w:tblGrid>
      <w:tr w14:paraId="4AAB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rPr>
        <w:tc>
          <w:tcPr>
            <w:tcW w:w="0" w:type="auto"/>
            <w:shd w:val="clear" w:color="auto" w:fill="FFFFFF"/>
            <w:tcMar>
              <w:top w:w="0" w:type="dxa"/>
              <w:left w:w="0" w:type="dxa"/>
              <w:bottom w:w="0" w:type="dxa"/>
              <w:right w:w="0" w:type="dxa"/>
            </w:tcMar>
            <w:vAlign w:val="center"/>
          </w:tcPr>
          <w:p w14:paraId="67FEE967">
            <w:pPr>
              <w:widowControl w:val="0"/>
              <w:jc w:val="center"/>
              <w:rPr>
                <w:b/>
                <w:bCs/>
              </w:rPr>
            </w:pPr>
            <w:r>
              <w:rPr>
                <w:b/>
                <w:bCs/>
              </w:rPr>
              <w:t>设备类别</w:t>
            </w:r>
          </w:p>
        </w:tc>
        <w:tc>
          <w:tcPr>
            <w:tcW w:w="0" w:type="auto"/>
            <w:shd w:val="clear" w:color="auto" w:fill="FFFFFF"/>
            <w:tcMar>
              <w:top w:w="0" w:type="dxa"/>
              <w:left w:w="0" w:type="dxa"/>
              <w:bottom w:w="0" w:type="dxa"/>
              <w:right w:w="0" w:type="dxa"/>
            </w:tcMar>
            <w:vAlign w:val="center"/>
          </w:tcPr>
          <w:p w14:paraId="5D1BA828">
            <w:pPr>
              <w:widowControl w:val="0"/>
              <w:jc w:val="center"/>
              <w:rPr>
                <w:b/>
                <w:bCs/>
              </w:rPr>
            </w:pPr>
            <w:r>
              <w:rPr>
                <w:b/>
                <w:bCs/>
              </w:rPr>
              <w:t>具体设备名称</w:t>
            </w:r>
          </w:p>
        </w:tc>
        <w:tc>
          <w:tcPr>
            <w:tcW w:w="1092" w:type="dxa"/>
            <w:shd w:val="clear" w:color="auto" w:fill="FFFFFF"/>
            <w:tcMar>
              <w:top w:w="0" w:type="dxa"/>
              <w:left w:w="0" w:type="dxa"/>
              <w:bottom w:w="0" w:type="dxa"/>
              <w:right w:w="0" w:type="dxa"/>
            </w:tcMar>
            <w:vAlign w:val="center"/>
          </w:tcPr>
          <w:p w14:paraId="77FD3CE8">
            <w:pPr>
              <w:widowControl w:val="0"/>
              <w:jc w:val="center"/>
              <w:rPr>
                <w:b/>
                <w:bCs/>
              </w:rPr>
            </w:pPr>
            <w:r>
              <w:rPr>
                <w:b/>
                <w:bCs/>
              </w:rPr>
              <w:t>数量</w:t>
            </w:r>
          </w:p>
        </w:tc>
        <w:tc>
          <w:tcPr>
            <w:tcW w:w="2977" w:type="dxa"/>
            <w:shd w:val="clear" w:color="auto" w:fill="FFFFFF"/>
            <w:tcMar>
              <w:top w:w="0" w:type="dxa"/>
              <w:left w:w="0" w:type="dxa"/>
              <w:bottom w:w="0" w:type="dxa"/>
              <w:right w:w="0" w:type="dxa"/>
            </w:tcMar>
            <w:vAlign w:val="center"/>
          </w:tcPr>
          <w:p w14:paraId="05B58211">
            <w:pPr>
              <w:widowControl w:val="0"/>
              <w:jc w:val="center"/>
              <w:rPr>
                <w:b/>
                <w:bCs/>
              </w:rPr>
            </w:pPr>
            <w:r>
              <w:rPr>
                <w:b/>
                <w:bCs/>
              </w:rPr>
              <w:t>备注说明</w:t>
            </w:r>
          </w:p>
        </w:tc>
      </w:tr>
      <w:tr w14:paraId="725A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restart"/>
            <w:shd w:val="clear" w:color="auto" w:fill="FFFFFF"/>
            <w:tcMar>
              <w:top w:w="0" w:type="dxa"/>
              <w:left w:w="0" w:type="dxa"/>
              <w:bottom w:w="0" w:type="dxa"/>
              <w:right w:w="0" w:type="dxa"/>
            </w:tcMar>
            <w:vAlign w:val="center"/>
          </w:tcPr>
          <w:p w14:paraId="6317404A">
            <w:pPr>
              <w:widowControl w:val="0"/>
              <w:jc w:val="center"/>
            </w:pPr>
            <w:r>
              <w:rPr>
                <w:b/>
                <w:bCs/>
              </w:rPr>
              <w:t>电气、电梯设备</w:t>
            </w:r>
          </w:p>
        </w:tc>
        <w:tc>
          <w:tcPr>
            <w:tcW w:w="0" w:type="auto"/>
            <w:shd w:val="clear" w:color="auto" w:fill="FFFFFF"/>
            <w:tcMar>
              <w:top w:w="0" w:type="dxa"/>
              <w:left w:w="0" w:type="dxa"/>
              <w:bottom w:w="0" w:type="dxa"/>
              <w:right w:w="0" w:type="dxa"/>
            </w:tcMar>
            <w:vAlign w:val="center"/>
          </w:tcPr>
          <w:p w14:paraId="6AF77C95">
            <w:pPr>
              <w:widowControl w:val="0"/>
            </w:pPr>
            <w:r>
              <w:t>变压器</w:t>
            </w:r>
          </w:p>
        </w:tc>
        <w:tc>
          <w:tcPr>
            <w:tcW w:w="1092" w:type="dxa"/>
            <w:shd w:val="clear" w:color="auto" w:fill="FFFFFF"/>
            <w:tcMar>
              <w:top w:w="0" w:type="dxa"/>
              <w:left w:w="0" w:type="dxa"/>
              <w:bottom w:w="0" w:type="dxa"/>
              <w:right w:w="0" w:type="dxa"/>
            </w:tcMar>
            <w:vAlign w:val="center"/>
          </w:tcPr>
          <w:p w14:paraId="5B132FC5">
            <w:pPr>
              <w:widowControl w:val="0"/>
              <w:jc w:val="center"/>
            </w:pPr>
            <w:r>
              <w:t>4 台</w:t>
            </w:r>
          </w:p>
        </w:tc>
        <w:tc>
          <w:tcPr>
            <w:tcW w:w="2977" w:type="dxa"/>
            <w:shd w:val="clear" w:color="auto" w:fill="FFFFFF"/>
            <w:tcMar>
              <w:top w:w="0" w:type="dxa"/>
              <w:left w:w="0" w:type="dxa"/>
              <w:bottom w:w="0" w:type="dxa"/>
              <w:right w:w="0" w:type="dxa"/>
            </w:tcMar>
            <w:vAlign w:val="center"/>
          </w:tcPr>
          <w:p w14:paraId="3D28EF49">
            <w:pPr>
              <w:widowControl w:val="0"/>
            </w:pPr>
            <w:r>
              <w:t>-</w:t>
            </w:r>
          </w:p>
        </w:tc>
      </w:tr>
      <w:tr w14:paraId="6F26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45C330B6">
            <w:pPr>
              <w:widowControl w:val="0"/>
              <w:jc w:val="center"/>
              <w:rPr>
                <w:b/>
                <w:bCs/>
              </w:rPr>
            </w:pPr>
          </w:p>
        </w:tc>
        <w:tc>
          <w:tcPr>
            <w:tcW w:w="0" w:type="auto"/>
            <w:shd w:val="clear" w:color="auto" w:fill="FFFFFF"/>
            <w:tcMar>
              <w:top w:w="0" w:type="dxa"/>
              <w:left w:w="0" w:type="dxa"/>
              <w:bottom w:w="0" w:type="dxa"/>
              <w:right w:w="0" w:type="dxa"/>
            </w:tcMar>
            <w:vAlign w:val="center"/>
          </w:tcPr>
          <w:p w14:paraId="5A710E0E">
            <w:pPr>
              <w:jc w:val="left"/>
              <w:textAlignment w:val="center"/>
              <w:rPr>
                <w:rFonts w:ascii="宋体" w:hAnsi="宋体" w:cs="宋体"/>
                <w:color w:val="000000"/>
                <w:sz w:val="20"/>
                <w:szCs w:val="20"/>
              </w:rPr>
            </w:pPr>
            <w:r>
              <w:rPr>
                <w:rFonts w:hint="eastAsia" w:ascii="宋体" w:hAnsi="宋体" w:cs="宋体"/>
                <w:color w:val="000000"/>
                <w:sz w:val="20"/>
                <w:szCs w:val="20"/>
              </w:rPr>
              <w:t>高压配电室金属铠装开关柜</w:t>
            </w:r>
          </w:p>
        </w:tc>
        <w:tc>
          <w:tcPr>
            <w:tcW w:w="1092" w:type="dxa"/>
            <w:shd w:val="clear" w:color="auto" w:fill="FFFFFF"/>
            <w:tcMar>
              <w:top w:w="0" w:type="dxa"/>
              <w:left w:w="0" w:type="dxa"/>
              <w:bottom w:w="0" w:type="dxa"/>
              <w:right w:w="0" w:type="dxa"/>
            </w:tcMar>
            <w:vAlign w:val="center"/>
          </w:tcPr>
          <w:p w14:paraId="37457926">
            <w:pPr>
              <w:widowControl w:val="0"/>
              <w:jc w:val="center"/>
            </w:pPr>
            <w:r>
              <w:rPr>
                <w:rFonts w:hint="eastAsia"/>
              </w:rPr>
              <w:t>10套</w:t>
            </w:r>
          </w:p>
        </w:tc>
        <w:tc>
          <w:tcPr>
            <w:tcW w:w="2977" w:type="dxa"/>
            <w:shd w:val="clear" w:color="auto" w:fill="FFFFFF"/>
            <w:tcMar>
              <w:top w:w="0" w:type="dxa"/>
              <w:left w:w="0" w:type="dxa"/>
              <w:bottom w:w="0" w:type="dxa"/>
              <w:right w:w="0" w:type="dxa"/>
            </w:tcMar>
            <w:vAlign w:val="center"/>
          </w:tcPr>
          <w:p w14:paraId="4C1B2517">
            <w:pPr>
              <w:widowControl w:val="0"/>
            </w:pPr>
          </w:p>
        </w:tc>
      </w:tr>
      <w:tr w14:paraId="501B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c>
          <w:tcPr>
            <w:tcW w:w="0" w:type="auto"/>
            <w:vMerge w:val="continue"/>
            <w:shd w:val="clear" w:color="auto" w:fill="FFFFFF"/>
            <w:tcMar>
              <w:top w:w="0" w:type="dxa"/>
              <w:left w:w="0" w:type="dxa"/>
              <w:bottom w:w="0" w:type="dxa"/>
              <w:right w:w="0" w:type="dxa"/>
            </w:tcMar>
            <w:vAlign w:val="center"/>
          </w:tcPr>
          <w:p w14:paraId="36DBEA76">
            <w:pPr>
              <w:widowControl w:val="0"/>
              <w:jc w:val="center"/>
              <w:rPr>
                <w:b/>
                <w:bCs/>
              </w:rPr>
            </w:pPr>
          </w:p>
        </w:tc>
        <w:tc>
          <w:tcPr>
            <w:tcW w:w="0" w:type="auto"/>
            <w:shd w:val="clear" w:color="auto" w:fill="FFFFFF"/>
            <w:tcMar>
              <w:top w:w="0" w:type="dxa"/>
              <w:left w:w="0" w:type="dxa"/>
              <w:bottom w:w="0" w:type="dxa"/>
              <w:right w:w="0" w:type="dxa"/>
            </w:tcMar>
            <w:vAlign w:val="center"/>
          </w:tcPr>
          <w:p w14:paraId="192EBBAE">
            <w:pPr>
              <w:jc w:val="left"/>
              <w:textAlignment w:val="center"/>
              <w:rPr>
                <w:rFonts w:ascii="宋体" w:hAnsi="宋体" w:cs="宋体"/>
                <w:color w:val="000000"/>
                <w:sz w:val="20"/>
                <w:szCs w:val="20"/>
              </w:rPr>
            </w:pPr>
            <w:r>
              <w:rPr>
                <w:rFonts w:hint="eastAsia" w:ascii="宋体" w:hAnsi="宋体" w:cs="宋体"/>
                <w:color w:val="000000"/>
                <w:sz w:val="20"/>
                <w:szCs w:val="20"/>
              </w:rPr>
              <w:t>直流电源柜</w:t>
            </w:r>
          </w:p>
        </w:tc>
        <w:tc>
          <w:tcPr>
            <w:tcW w:w="1092" w:type="dxa"/>
            <w:shd w:val="clear" w:color="auto" w:fill="FFFFFF"/>
            <w:tcMar>
              <w:top w:w="0" w:type="dxa"/>
              <w:left w:w="0" w:type="dxa"/>
              <w:bottom w:w="0" w:type="dxa"/>
              <w:right w:w="0" w:type="dxa"/>
            </w:tcMar>
            <w:vAlign w:val="center"/>
          </w:tcPr>
          <w:p w14:paraId="46063A14">
            <w:pPr>
              <w:widowControl w:val="0"/>
              <w:jc w:val="center"/>
            </w:pPr>
            <w:r>
              <w:rPr>
                <w:rFonts w:hint="eastAsia"/>
              </w:rPr>
              <w:t>1套</w:t>
            </w:r>
          </w:p>
        </w:tc>
        <w:tc>
          <w:tcPr>
            <w:tcW w:w="2977" w:type="dxa"/>
            <w:shd w:val="clear" w:color="auto" w:fill="FFFFFF"/>
            <w:tcMar>
              <w:top w:w="0" w:type="dxa"/>
              <w:left w:w="0" w:type="dxa"/>
              <w:bottom w:w="0" w:type="dxa"/>
              <w:right w:w="0" w:type="dxa"/>
            </w:tcMar>
            <w:vAlign w:val="center"/>
          </w:tcPr>
          <w:p w14:paraId="1627F7FB">
            <w:pPr>
              <w:widowControl w:val="0"/>
            </w:pPr>
          </w:p>
        </w:tc>
      </w:tr>
      <w:tr w14:paraId="437A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240C272">
            <w:pPr>
              <w:widowControl w:val="0"/>
              <w:jc w:val="center"/>
            </w:pPr>
          </w:p>
        </w:tc>
        <w:tc>
          <w:tcPr>
            <w:tcW w:w="0" w:type="auto"/>
            <w:shd w:val="clear" w:color="auto" w:fill="FFFFFF"/>
            <w:tcMar>
              <w:top w:w="0" w:type="dxa"/>
              <w:left w:w="0" w:type="dxa"/>
              <w:bottom w:w="0" w:type="dxa"/>
              <w:right w:w="0" w:type="dxa"/>
            </w:tcMar>
            <w:vAlign w:val="center"/>
          </w:tcPr>
          <w:p w14:paraId="7DC283D5">
            <w:pPr>
              <w:widowControl w:val="0"/>
            </w:pPr>
            <w:r>
              <w:t>发电机组</w:t>
            </w:r>
          </w:p>
        </w:tc>
        <w:tc>
          <w:tcPr>
            <w:tcW w:w="1092" w:type="dxa"/>
            <w:shd w:val="clear" w:color="auto" w:fill="FFFFFF"/>
            <w:tcMar>
              <w:top w:w="0" w:type="dxa"/>
              <w:left w:w="0" w:type="dxa"/>
              <w:bottom w:w="0" w:type="dxa"/>
              <w:right w:w="0" w:type="dxa"/>
            </w:tcMar>
            <w:vAlign w:val="center"/>
          </w:tcPr>
          <w:p w14:paraId="3871C21C">
            <w:pPr>
              <w:widowControl w:val="0"/>
              <w:jc w:val="center"/>
            </w:pPr>
            <w:r>
              <w:t>1 套</w:t>
            </w:r>
          </w:p>
        </w:tc>
        <w:tc>
          <w:tcPr>
            <w:tcW w:w="2977" w:type="dxa"/>
            <w:shd w:val="clear" w:color="auto" w:fill="FFFFFF"/>
            <w:tcMar>
              <w:top w:w="0" w:type="dxa"/>
              <w:left w:w="0" w:type="dxa"/>
              <w:bottom w:w="0" w:type="dxa"/>
              <w:right w:w="0" w:type="dxa"/>
            </w:tcMar>
            <w:vAlign w:val="center"/>
          </w:tcPr>
          <w:p w14:paraId="7B5D9E7D">
            <w:pPr>
              <w:widowControl w:val="0"/>
            </w:pPr>
            <w:r>
              <w:t>-</w:t>
            </w:r>
          </w:p>
        </w:tc>
      </w:tr>
      <w:tr w14:paraId="7B4B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1F6F592">
            <w:pPr>
              <w:widowControl w:val="0"/>
              <w:jc w:val="center"/>
            </w:pPr>
          </w:p>
        </w:tc>
        <w:tc>
          <w:tcPr>
            <w:tcW w:w="0" w:type="auto"/>
            <w:shd w:val="clear" w:color="auto" w:fill="FFFFFF"/>
            <w:tcMar>
              <w:top w:w="0" w:type="dxa"/>
              <w:left w:w="0" w:type="dxa"/>
              <w:bottom w:w="0" w:type="dxa"/>
              <w:right w:w="0" w:type="dxa"/>
            </w:tcMar>
            <w:vAlign w:val="center"/>
          </w:tcPr>
          <w:p w14:paraId="684E6E59">
            <w:pPr>
              <w:widowControl w:val="0"/>
            </w:pPr>
            <w:r>
              <w:rPr>
                <w:rFonts w:hint="eastAsia"/>
              </w:rPr>
              <w:t>低压配电屏</w:t>
            </w:r>
          </w:p>
        </w:tc>
        <w:tc>
          <w:tcPr>
            <w:tcW w:w="1092" w:type="dxa"/>
            <w:shd w:val="clear" w:color="auto" w:fill="FFFFFF"/>
            <w:tcMar>
              <w:top w:w="0" w:type="dxa"/>
              <w:left w:w="0" w:type="dxa"/>
              <w:bottom w:w="0" w:type="dxa"/>
              <w:right w:w="0" w:type="dxa"/>
            </w:tcMar>
            <w:vAlign w:val="center"/>
          </w:tcPr>
          <w:p w14:paraId="6A625CBF">
            <w:pPr>
              <w:widowControl w:val="0"/>
              <w:jc w:val="center"/>
            </w:pPr>
            <w:r>
              <w:rPr>
                <w:rFonts w:hint="eastAsia"/>
              </w:rPr>
              <w:t>32套</w:t>
            </w:r>
          </w:p>
        </w:tc>
        <w:tc>
          <w:tcPr>
            <w:tcW w:w="2977" w:type="dxa"/>
            <w:shd w:val="clear" w:color="auto" w:fill="FFFFFF"/>
            <w:tcMar>
              <w:top w:w="0" w:type="dxa"/>
              <w:left w:w="0" w:type="dxa"/>
              <w:bottom w:w="0" w:type="dxa"/>
              <w:right w:w="0" w:type="dxa"/>
            </w:tcMar>
            <w:vAlign w:val="center"/>
          </w:tcPr>
          <w:p w14:paraId="161A2F2F">
            <w:pPr>
              <w:widowControl w:val="0"/>
            </w:pPr>
          </w:p>
        </w:tc>
      </w:tr>
      <w:tr w14:paraId="7C99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D617892">
            <w:pPr>
              <w:widowControl w:val="0"/>
              <w:jc w:val="center"/>
            </w:pPr>
          </w:p>
        </w:tc>
        <w:tc>
          <w:tcPr>
            <w:tcW w:w="0" w:type="auto"/>
            <w:shd w:val="clear" w:color="auto" w:fill="FFFFFF"/>
            <w:tcMar>
              <w:top w:w="0" w:type="dxa"/>
              <w:left w:w="0" w:type="dxa"/>
              <w:bottom w:w="0" w:type="dxa"/>
              <w:right w:w="0" w:type="dxa"/>
            </w:tcMar>
            <w:vAlign w:val="center"/>
          </w:tcPr>
          <w:p w14:paraId="5940747D">
            <w:pPr>
              <w:widowControl w:val="0"/>
            </w:pPr>
            <w:r>
              <w:rPr>
                <w:rFonts w:hint="eastAsia"/>
              </w:rPr>
              <w:t>避雷系统</w:t>
            </w:r>
          </w:p>
        </w:tc>
        <w:tc>
          <w:tcPr>
            <w:tcW w:w="1092" w:type="dxa"/>
            <w:shd w:val="clear" w:color="auto" w:fill="FFFFFF"/>
            <w:tcMar>
              <w:top w:w="0" w:type="dxa"/>
              <w:left w:w="0" w:type="dxa"/>
              <w:bottom w:w="0" w:type="dxa"/>
              <w:right w:w="0" w:type="dxa"/>
            </w:tcMar>
            <w:vAlign w:val="center"/>
          </w:tcPr>
          <w:p w14:paraId="633B485A">
            <w:pPr>
              <w:widowControl w:val="0"/>
              <w:jc w:val="center"/>
            </w:pPr>
            <w:r>
              <w:rPr>
                <w:rFonts w:hint="eastAsia"/>
              </w:rPr>
              <w:t>1套</w:t>
            </w:r>
          </w:p>
        </w:tc>
        <w:tc>
          <w:tcPr>
            <w:tcW w:w="2977" w:type="dxa"/>
            <w:shd w:val="clear" w:color="auto" w:fill="FFFFFF"/>
            <w:tcMar>
              <w:top w:w="0" w:type="dxa"/>
              <w:left w:w="0" w:type="dxa"/>
              <w:bottom w:w="0" w:type="dxa"/>
              <w:right w:w="0" w:type="dxa"/>
            </w:tcMar>
            <w:vAlign w:val="center"/>
          </w:tcPr>
          <w:p w14:paraId="566F7C7B">
            <w:pPr>
              <w:widowControl w:val="0"/>
            </w:pPr>
          </w:p>
        </w:tc>
      </w:tr>
      <w:tr w14:paraId="4981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8C6BEC6">
            <w:pPr>
              <w:widowControl w:val="0"/>
              <w:jc w:val="center"/>
            </w:pPr>
          </w:p>
        </w:tc>
        <w:tc>
          <w:tcPr>
            <w:tcW w:w="0" w:type="auto"/>
            <w:shd w:val="clear" w:color="auto" w:fill="FFFFFF"/>
            <w:tcMar>
              <w:top w:w="0" w:type="dxa"/>
              <w:left w:w="0" w:type="dxa"/>
              <w:bottom w:w="0" w:type="dxa"/>
              <w:right w:w="0" w:type="dxa"/>
            </w:tcMar>
            <w:vAlign w:val="center"/>
          </w:tcPr>
          <w:p w14:paraId="02C06309">
            <w:pPr>
              <w:widowControl w:val="0"/>
            </w:pPr>
            <w:r>
              <w:rPr>
                <w:rFonts w:hint="eastAsia"/>
              </w:rPr>
              <w:t>双电源切换系统</w:t>
            </w:r>
          </w:p>
        </w:tc>
        <w:tc>
          <w:tcPr>
            <w:tcW w:w="1092" w:type="dxa"/>
            <w:shd w:val="clear" w:color="auto" w:fill="FFFFFF"/>
            <w:tcMar>
              <w:top w:w="0" w:type="dxa"/>
              <w:left w:w="0" w:type="dxa"/>
              <w:bottom w:w="0" w:type="dxa"/>
              <w:right w:w="0" w:type="dxa"/>
            </w:tcMar>
            <w:vAlign w:val="center"/>
          </w:tcPr>
          <w:p w14:paraId="3CB0A26C">
            <w:pPr>
              <w:widowControl w:val="0"/>
              <w:jc w:val="center"/>
            </w:pPr>
            <w:r>
              <w:rPr>
                <w:rFonts w:hint="eastAsia"/>
              </w:rPr>
              <w:t>1套</w:t>
            </w:r>
          </w:p>
        </w:tc>
        <w:tc>
          <w:tcPr>
            <w:tcW w:w="2977" w:type="dxa"/>
            <w:shd w:val="clear" w:color="auto" w:fill="FFFFFF"/>
            <w:tcMar>
              <w:top w:w="0" w:type="dxa"/>
              <w:left w:w="0" w:type="dxa"/>
              <w:bottom w:w="0" w:type="dxa"/>
              <w:right w:w="0" w:type="dxa"/>
            </w:tcMar>
            <w:vAlign w:val="center"/>
          </w:tcPr>
          <w:p w14:paraId="21401E30">
            <w:pPr>
              <w:widowControl w:val="0"/>
            </w:pPr>
          </w:p>
        </w:tc>
      </w:tr>
      <w:tr w14:paraId="4A71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617B76C">
            <w:pPr>
              <w:widowControl w:val="0"/>
              <w:jc w:val="center"/>
            </w:pPr>
          </w:p>
        </w:tc>
        <w:tc>
          <w:tcPr>
            <w:tcW w:w="0" w:type="auto"/>
            <w:shd w:val="clear" w:color="auto" w:fill="FFFFFF"/>
            <w:tcMar>
              <w:top w:w="0" w:type="dxa"/>
              <w:left w:w="0" w:type="dxa"/>
              <w:bottom w:w="0" w:type="dxa"/>
              <w:right w:w="0" w:type="dxa"/>
            </w:tcMar>
            <w:vAlign w:val="center"/>
          </w:tcPr>
          <w:p w14:paraId="36A25C81">
            <w:pPr>
              <w:widowControl w:val="0"/>
            </w:pPr>
            <w:r>
              <w:rPr>
                <w:rFonts w:hint="eastAsia"/>
              </w:rPr>
              <w:t>EPS应急电源系统</w:t>
            </w:r>
          </w:p>
        </w:tc>
        <w:tc>
          <w:tcPr>
            <w:tcW w:w="1092" w:type="dxa"/>
            <w:shd w:val="clear" w:color="auto" w:fill="FFFFFF"/>
            <w:tcMar>
              <w:top w:w="0" w:type="dxa"/>
              <w:left w:w="0" w:type="dxa"/>
              <w:bottom w:w="0" w:type="dxa"/>
              <w:right w:w="0" w:type="dxa"/>
            </w:tcMar>
            <w:vAlign w:val="center"/>
          </w:tcPr>
          <w:p w14:paraId="125AC944">
            <w:pPr>
              <w:widowControl w:val="0"/>
              <w:jc w:val="center"/>
            </w:pPr>
            <w:r>
              <w:rPr>
                <w:rFonts w:hint="eastAsia"/>
              </w:rPr>
              <w:t>14台</w:t>
            </w:r>
          </w:p>
        </w:tc>
        <w:tc>
          <w:tcPr>
            <w:tcW w:w="2977" w:type="dxa"/>
            <w:shd w:val="clear" w:color="auto" w:fill="FFFFFF"/>
            <w:tcMar>
              <w:top w:w="0" w:type="dxa"/>
              <w:left w:w="0" w:type="dxa"/>
              <w:bottom w:w="0" w:type="dxa"/>
              <w:right w:w="0" w:type="dxa"/>
            </w:tcMar>
            <w:vAlign w:val="center"/>
          </w:tcPr>
          <w:p w14:paraId="297D1816">
            <w:pPr>
              <w:widowControl w:val="0"/>
            </w:pPr>
          </w:p>
        </w:tc>
      </w:tr>
      <w:tr w14:paraId="63C4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C4B487D">
            <w:pPr>
              <w:widowControl w:val="0"/>
              <w:jc w:val="center"/>
            </w:pPr>
          </w:p>
        </w:tc>
        <w:tc>
          <w:tcPr>
            <w:tcW w:w="0" w:type="auto"/>
            <w:shd w:val="clear" w:color="auto" w:fill="FFFFFF"/>
            <w:tcMar>
              <w:top w:w="0" w:type="dxa"/>
              <w:left w:w="0" w:type="dxa"/>
              <w:bottom w:w="0" w:type="dxa"/>
              <w:right w:w="0" w:type="dxa"/>
            </w:tcMar>
            <w:vAlign w:val="center"/>
          </w:tcPr>
          <w:p w14:paraId="4ECD8E92">
            <w:pPr>
              <w:widowControl w:val="0"/>
            </w:pPr>
            <w:r>
              <w:rPr>
                <w:rFonts w:hint="eastAsia"/>
              </w:rPr>
              <w:t>智能灯光系统</w:t>
            </w:r>
          </w:p>
        </w:tc>
        <w:tc>
          <w:tcPr>
            <w:tcW w:w="1092" w:type="dxa"/>
            <w:shd w:val="clear" w:color="auto" w:fill="FFFFFF"/>
            <w:tcMar>
              <w:top w:w="0" w:type="dxa"/>
              <w:left w:w="0" w:type="dxa"/>
              <w:bottom w:w="0" w:type="dxa"/>
              <w:right w:w="0" w:type="dxa"/>
            </w:tcMar>
            <w:vAlign w:val="center"/>
          </w:tcPr>
          <w:p w14:paraId="101F78DD">
            <w:pPr>
              <w:widowControl w:val="0"/>
              <w:jc w:val="center"/>
            </w:pPr>
            <w:r>
              <w:rPr>
                <w:rFonts w:hint="eastAsia"/>
              </w:rPr>
              <w:t>8套</w:t>
            </w:r>
          </w:p>
        </w:tc>
        <w:tc>
          <w:tcPr>
            <w:tcW w:w="2977" w:type="dxa"/>
            <w:shd w:val="clear" w:color="auto" w:fill="FFFFFF"/>
            <w:tcMar>
              <w:top w:w="0" w:type="dxa"/>
              <w:left w:w="0" w:type="dxa"/>
              <w:bottom w:w="0" w:type="dxa"/>
              <w:right w:w="0" w:type="dxa"/>
            </w:tcMar>
            <w:vAlign w:val="center"/>
          </w:tcPr>
          <w:p w14:paraId="2EC613A9">
            <w:pPr>
              <w:widowControl w:val="0"/>
            </w:pPr>
          </w:p>
        </w:tc>
      </w:tr>
      <w:tr w14:paraId="1567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F919AE3">
            <w:pPr>
              <w:widowControl w:val="0"/>
              <w:jc w:val="center"/>
            </w:pPr>
          </w:p>
        </w:tc>
        <w:tc>
          <w:tcPr>
            <w:tcW w:w="0" w:type="auto"/>
            <w:shd w:val="clear" w:color="auto" w:fill="FFFFFF"/>
            <w:tcMar>
              <w:top w:w="0" w:type="dxa"/>
              <w:left w:w="0" w:type="dxa"/>
              <w:bottom w:w="0" w:type="dxa"/>
              <w:right w:w="0" w:type="dxa"/>
            </w:tcMar>
            <w:vAlign w:val="center"/>
          </w:tcPr>
          <w:p w14:paraId="25C3300B">
            <w:pPr>
              <w:widowControl w:val="0"/>
            </w:pPr>
            <w:r>
              <w:rPr>
                <w:rFonts w:hint="eastAsia"/>
              </w:rPr>
              <w:t>智能灯光控制柜</w:t>
            </w:r>
          </w:p>
        </w:tc>
        <w:tc>
          <w:tcPr>
            <w:tcW w:w="1092" w:type="dxa"/>
            <w:shd w:val="clear" w:color="auto" w:fill="FFFFFF"/>
            <w:tcMar>
              <w:top w:w="0" w:type="dxa"/>
              <w:left w:w="0" w:type="dxa"/>
              <w:bottom w:w="0" w:type="dxa"/>
              <w:right w:w="0" w:type="dxa"/>
            </w:tcMar>
            <w:vAlign w:val="center"/>
          </w:tcPr>
          <w:p w14:paraId="331EA0C2">
            <w:pPr>
              <w:widowControl w:val="0"/>
              <w:jc w:val="center"/>
            </w:pPr>
            <w:r>
              <w:rPr>
                <w:rFonts w:hint="eastAsia"/>
              </w:rPr>
              <w:t>15套</w:t>
            </w:r>
          </w:p>
        </w:tc>
        <w:tc>
          <w:tcPr>
            <w:tcW w:w="2977" w:type="dxa"/>
            <w:shd w:val="clear" w:color="auto" w:fill="FFFFFF"/>
            <w:tcMar>
              <w:top w:w="0" w:type="dxa"/>
              <w:left w:w="0" w:type="dxa"/>
              <w:bottom w:w="0" w:type="dxa"/>
              <w:right w:w="0" w:type="dxa"/>
            </w:tcMar>
            <w:vAlign w:val="center"/>
          </w:tcPr>
          <w:p w14:paraId="63E2A2C9">
            <w:pPr>
              <w:widowControl w:val="0"/>
            </w:pPr>
          </w:p>
        </w:tc>
      </w:tr>
      <w:tr w14:paraId="1896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D8A0F03">
            <w:pPr>
              <w:widowControl w:val="0"/>
              <w:jc w:val="center"/>
            </w:pPr>
          </w:p>
        </w:tc>
        <w:tc>
          <w:tcPr>
            <w:tcW w:w="0" w:type="auto"/>
            <w:shd w:val="clear" w:color="auto" w:fill="FFFFFF"/>
            <w:tcMar>
              <w:top w:w="0" w:type="dxa"/>
              <w:left w:w="0" w:type="dxa"/>
              <w:bottom w:w="0" w:type="dxa"/>
              <w:right w:w="0" w:type="dxa"/>
            </w:tcMar>
            <w:vAlign w:val="center"/>
          </w:tcPr>
          <w:p w14:paraId="15CD9B16">
            <w:pPr>
              <w:widowControl w:val="0"/>
            </w:pPr>
            <w:r>
              <w:rPr>
                <w:rFonts w:hint="eastAsia"/>
              </w:rPr>
              <w:t>低压配电柜</w:t>
            </w:r>
          </w:p>
        </w:tc>
        <w:tc>
          <w:tcPr>
            <w:tcW w:w="1092" w:type="dxa"/>
            <w:shd w:val="clear" w:color="auto" w:fill="FFFFFF"/>
            <w:tcMar>
              <w:top w:w="0" w:type="dxa"/>
              <w:left w:w="0" w:type="dxa"/>
              <w:bottom w:w="0" w:type="dxa"/>
              <w:right w:w="0" w:type="dxa"/>
            </w:tcMar>
            <w:vAlign w:val="center"/>
          </w:tcPr>
          <w:p w14:paraId="14449008">
            <w:pPr>
              <w:widowControl w:val="0"/>
              <w:jc w:val="center"/>
            </w:pPr>
            <w:r>
              <w:rPr>
                <w:rFonts w:hint="eastAsia"/>
              </w:rPr>
              <w:t>125套</w:t>
            </w:r>
          </w:p>
        </w:tc>
        <w:tc>
          <w:tcPr>
            <w:tcW w:w="2977" w:type="dxa"/>
            <w:shd w:val="clear" w:color="auto" w:fill="FFFFFF"/>
            <w:tcMar>
              <w:top w:w="0" w:type="dxa"/>
              <w:left w:w="0" w:type="dxa"/>
              <w:bottom w:w="0" w:type="dxa"/>
              <w:right w:w="0" w:type="dxa"/>
            </w:tcMar>
            <w:vAlign w:val="center"/>
          </w:tcPr>
          <w:p w14:paraId="2A1086C3">
            <w:pPr>
              <w:widowControl w:val="0"/>
            </w:pPr>
          </w:p>
        </w:tc>
      </w:tr>
      <w:tr w14:paraId="29E4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266A089">
            <w:pPr>
              <w:widowControl w:val="0"/>
              <w:jc w:val="center"/>
            </w:pPr>
          </w:p>
        </w:tc>
        <w:tc>
          <w:tcPr>
            <w:tcW w:w="0" w:type="auto"/>
            <w:shd w:val="clear" w:color="auto" w:fill="FFFFFF"/>
            <w:tcMar>
              <w:top w:w="0" w:type="dxa"/>
              <w:left w:w="0" w:type="dxa"/>
              <w:bottom w:w="0" w:type="dxa"/>
              <w:right w:w="0" w:type="dxa"/>
            </w:tcMar>
            <w:vAlign w:val="center"/>
          </w:tcPr>
          <w:p w14:paraId="76B3D26D">
            <w:pPr>
              <w:widowControl w:val="0"/>
            </w:pPr>
            <w:r>
              <w:rPr>
                <w:rFonts w:hint="eastAsia"/>
              </w:rPr>
              <w:t>空调箱控制柜</w:t>
            </w:r>
          </w:p>
        </w:tc>
        <w:tc>
          <w:tcPr>
            <w:tcW w:w="1092" w:type="dxa"/>
            <w:shd w:val="clear" w:color="auto" w:fill="FFFFFF"/>
            <w:tcMar>
              <w:top w:w="0" w:type="dxa"/>
              <w:left w:w="0" w:type="dxa"/>
              <w:bottom w:w="0" w:type="dxa"/>
              <w:right w:w="0" w:type="dxa"/>
            </w:tcMar>
            <w:vAlign w:val="center"/>
          </w:tcPr>
          <w:p w14:paraId="76F93435">
            <w:pPr>
              <w:widowControl w:val="0"/>
              <w:jc w:val="center"/>
            </w:pPr>
            <w:r>
              <w:rPr>
                <w:rFonts w:hint="eastAsia"/>
              </w:rPr>
              <w:t>72套</w:t>
            </w:r>
          </w:p>
        </w:tc>
        <w:tc>
          <w:tcPr>
            <w:tcW w:w="2977" w:type="dxa"/>
            <w:shd w:val="clear" w:color="auto" w:fill="FFFFFF"/>
            <w:tcMar>
              <w:top w:w="0" w:type="dxa"/>
              <w:left w:w="0" w:type="dxa"/>
              <w:bottom w:w="0" w:type="dxa"/>
              <w:right w:w="0" w:type="dxa"/>
            </w:tcMar>
            <w:vAlign w:val="center"/>
          </w:tcPr>
          <w:p w14:paraId="2DB283C8">
            <w:pPr>
              <w:widowControl w:val="0"/>
            </w:pPr>
          </w:p>
        </w:tc>
      </w:tr>
      <w:tr w14:paraId="05DA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205118C">
            <w:pPr>
              <w:widowControl w:val="0"/>
              <w:jc w:val="center"/>
            </w:pPr>
          </w:p>
        </w:tc>
        <w:tc>
          <w:tcPr>
            <w:tcW w:w="0" w:type="auto"/>
            <w:shd w:val="clear" w:color="auto" w:fill="FFFFFF"/>
            <w:tcMar>
              <w:top w:w="0" w:type="dxa"/>
              <w:left w:w="0" w:type="dxa"/>
              <w:bottom w:w="0" w:type="dxa"/>
              <w:right w:w="0" w:type="dxa"/>
            </w:tcMar>
            <w:vAlign w:val="center"/>
          </w:tcPr>
          <w:p w14:paraId="6D47416B">
            <w:pPr>
              <w:widowControl w:val="0"/>
            </w:pPr>
            <w:r>
              <w:rPr>
                <w:rFonts w:hint="eastAsia"/>
              </w:rPr>
              <w:t>消防电源控制柜</w:t>
            </w:r>
          </w:p>
        </w:tc>
        <w:tc>
          <w:tcPr>
            <w:tcW w:w="1092" w:type="dxa"/>
            <w:shd w:val="clear" w:color="auto" w:fill="FFFFFF"/>
            <w:tcMar>
              <w:top w:w="0" w:type="dxa"/>
              <w:left w:w="0" w:type="dxa"/>
              <w:bottom w:w="0" w:type="dxa"/>
              <w:right w:w="0" w:type="dxa"/>
            </w:tcMar>
            <w:vAlign w:val="center"/>
          </w:tcPr>
          <w:p w14:paraId="6A773B4E">
            <w:pPr>
              <w:widowControl w:val="0"/>
              <w:jc w:val="center"/>
            </w:pPr>
            <w:r>
              <w:rPr>
                <w:rFonts w:hint="eastAsia"/>
              </w:rPr>
              <w:t>3套</w:t>
            </w:r>
          </w:p>
        </w:tc>
        <w:tc>
          <w:tcPr>
            <w:tcW w:w="2977" w:type="dxa"/>
            <w:shd w:val="clear" w:color="auto" w:fill="FFFFFF"/>
            <w:tcMar>
              <w:top w:w="0" w:type="dxa"/>
              <w:left w:w="0" w:type="dxa"/>
              <w:bottom w:w="0" w:type="dxa"/>
              <w:right w:w="0" w:type="dxa"/>
            </w:tcMar>
            <w:vAlign w:val="center"/>
          </w:tcPr>
          <w:p w14:paraId="3AA8B57E">
            <w:pPr>
              <w:widowControl w:val="0"/>
            </w:pPr>
          </w:p>
        </w:tc>
      </w:tr>
      <w:tr w14:paraId="1725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E9F51B0">
            <w:pPr>
              <w:widowControl w:val="0"/>
              <w:jc w:val="center"/>
            </w:pPr>
          </w:p>
        </w:tc>
        <w:tc>
          <w:tcPr>
            <w:tcW w:w="0" w:type="auto"/>
            <w:shd w:val="clear" w:color="auto" w:fill="FFFFFF"/>
            <w:tcMar>
              <w:top w:w="0" w:type="dxa"/>
              <w:left w:w="0" w:type="dxa"/>
              <w:bottom w:w="0" w:type="dxa"/>
              <w:right w:w="0" w:type="dxa"/>
            </w:tcMar>
            <w:vAlign w:val="center"/>
          </w:tcPr>
          <w:p w14:paraId="2E517BBD">
            <w:pPr>
              <w:widowControl w:val="0"/>
            </w:pPr>
            <w:r>
              <w:rPr>
                <w:rFonts w:hint="eastAsia"/>
              </w:rPr>
              <w:t>电梯控制柜</w:t>
            </w:r>
          </w:p>
        </w:tc>
        <w:tc>
          <w:tcPr>
            <w:tcW w:w="1092" w:type="dxa"/>
            <w:shd w:val="clear" w:color="auto" w:fill="FFFFFF"/>
            <w:tcMar>
              <w:top w:w="0" w:type="dxa"/>
              <w:left w:w="0" w:type="dxa"/>
              <w:bottom w:w="0" w:type="dxa"/>
              <w:right w:w="0" w:type="dxa"/>
            </w:tcMar>
            <w:vAlign w:val="center"/>
          </w:tcPr>
          <w:p w14:paraId="30DC7C59">
            <w:pPr>
              <w:widowControl w:val="0"/>
              <w:jc w:val="center"/>
            </w:pPr>
            <w:r>
              <w:rPr>
                <w:rFonts w:hint="eastAsia"/>
              </w:rPr>
              <w:t>16套</w:t>
            </w:r>
          </w:p>
        </w:tc>
        <w:tc>
          <w:tcPr>
            <w:tcW w:w="2977" w:type="dxa"/>
            <w:shd w:val="clear" w:color="auto" w:fill="FFFFFF"/>
            <w:tcMar>
              <w:top w:w="0" w:type="dxa"/>
              <w:left w:w="0" w:type="dxa"/>
              <w:bottom w:w="0" w:type="dxa"/>
              <w:right w:w="0" w:type="dxa"/>
            </w:tcMar>
            <w:vAlign w:val="center"/>
          </w:tcPr>
          <w:p w14:paraId="77B1956E">
            <w:pPr>
              <w:widowControl w:val="0"/>
            </w:pPr>
          </w:p>
        </w:tc>
      </w:tr>
      <w:tr w14:paraId="08B1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6F8079B">
            <w:pPr>
              <w:widowControl w:val="0"/>
              <w:jc w:val="center"/>
            </w:pPr>
          </w:p>
        </w:tc>
        <w:tc>
          <w:tcPr>
            <w:tcW w:w="0" w:type="auto"/>
            <w:shd w:val="clear" w:color="auto" w:fill="FFFFFF"/>
            <w:tcMar>
              <w:top w:w="0" w:type="dxa"/>
              <w:left w:w="0" w:type="dxa"/>
              <w:bottom w:w="0" w:type="dxa"/>
              <w:right w:w="0" w:type="dxa"/>
            </w:tcMar>
            <w:vAlign w:val="center"/>
          </w:tcPr>
          <w:p w14:paraId="16F44EB6">
            <w:pPr>
              <w:widowControl w:val="0"/>
            </w:pPr>
            <w:r>
              <w:t>电梯（总计）</w:t>
            </w:r>
          </w:p>
        </w:tc>
        <w:tc>
          <w:tcPr>
            <w:tcW w:w="1092" w:type="dxa"/>
            <w:shd w:val="clear" w:color="auto" w:fill="FFFFFF"/>
            <w:tcMar>
              <w:top w:w="0" w:type="dxa"/>
              <w:left w:w="0" w:type="dxa"/>
              <w:bottom w:w="0" w:type="dxa"/>
              <w:right w:w="0" w:type="dxa"/>
            </w:tcMar>
            <w:vAlign w:val="center"/>
          </w:tcPr>
          <w:p w14:paraId="796966A8">
            <w:pPr>
              <w:widowControl w:val="0"/>
              <w:jc w:val="center"/>
            </w:pPr>
            <w:r>
              <w:rPr>
                <w:rFonts w:hint="eastAsia"/>
              </w:rPr>
              <w:t>24</w:t>
            </w:r>
            <w:r>
              <w:t>台</w:t>
            </w:r>
          </w:p>
        </w:tc>
        <w:tc>
          <w:tcPr>
            <w:tcW w:w="2977" w:type="dxa"/>
            <w:shd w:val="clear" w:color="auto" w:fill="FFFFFF"/>
            <w:tcMar>
              <w:top w:w="0" w:type="dxa"/>
              <w:left w:w="0" w:type="dxa"/>
              <w:bottom w:w="0" w:type="dxa"/>
              <w:right w:w="0" w:type="dxa"/>
            </w:tcMar>
            <w:vAlign w:val="center"/>
          </w:tcPr>
          <w:p w14:paraId="2A5CD8EF">
            <w:pPr>
              <w:widowControl w:val="0"/>
            </w:pPr>
            <w:r>
              <w:t>含无障碍、货梯、观光、客梯、坡道等细分类型</w:t>
            </w:r>
          </w:p>
        </w:tc>
      </w:tr>
      <w:tr w14:paraId="14E55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DCB1875">
            <w:pPr>
              <w:widowControl w:val="0"/>
              <w:jc w:val="center"/>
            </w:pPr>
          </w:p>
        </w:tc>
        <w:tc>
          <w:tcPr>
            <w:tcW w:w="0" w:type="auto"/>
            <w:shd w:val="clear" w:color="auto" w:fill="FFFFFF"/>
            <w:tcMar>
              <w:top w:w="0" w:type="dxa"/>
              <w:left w:w="0" w:type="dxa"/>
              <w:bottom w:w="0" w:type="dxa"/>
              <w:right w:w="0" w:type="dxa"/>
            </w:tcMar>
            <w:vAlign w:val="center"/>
          </w:tcPr>
          <w:p w14:paraId="6C452075">
            <w:pPr>
              <w:widowControl w:val="0"/>
            </w:pPr>
            <w:r>
              <w:t>无障碍电梯</w:t>
            </w:r>
          </w:p>
        </w:tc>
        <w:tc>
          <w:tcPr>
            <w:tcW w:w="1092" w:type="dxa"/>
            <w:shd w:val="clear" w:color="auto" w:fill="FFFFFF"/>
            <w:tcMar>
              <w:top w:w="0" w:type="dxa"/>
              <w:left w:w="0" w:type="dxa"/>
              <w:bottom w:w="0" w:type="dxa"/>
              <w:right w:w="0" w:type="dxa"/>
            </w:tcMar>
            <w:vAlign w:val="center"/>
          </w:tcPr>
          <w:p w14:paraId="462EC53F">
            <w:pPr>
              <w:widowControl w:val="0"/>
              <w:jc w:val="center"/>
            </w:pPr>
            <w:r>
              <w:t>2 台</w:t>
            </w:r>
          </w:p>
        </w:tc>
        <w:tc>
          <w:tcPr>
            <w:tcW w:w="2977" w:type="dxa"/>
            <w:shd w:val="clear" w:color="auto" w:fill="FFFFFF"/>
            <w:tcMar>
              <w:top w:w="0" w:type="dxa"/>
              <w:left w:w="0" w:type="dxa"/>
              <w:bottom w:w="0" w:type="dxa"/>
              <w:right w:w="0" w:type="dxa"/>
            </w:tcMar>
            <w:vAlign w:val="center"/>
          </w:tcPr>
          <w:p w14:paraId="05B29ECF">
            <w:pPr>
              <w:widowControl w:val="0"/>
            </w:pPr>
            <w:r>
              <w:t>包含在电梯总计内</w:t>
            </w:r>
          </w:p>
        </w:tc>
      </w:tr>
      <w:tr w14:paraId="2E6A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42403560">
            <w:pPr>
              <w:widowControl w:val="0"/>
              <w:jc w:val="center"/>
            </w:pPr>
          </w:p>
        </w:tc>
        <w:tc>
          <w:tcPr>
            <w:tcW w:w="0" w:type="auto"/>
            <w:shd w:val="clear" w:color="auto" w:fill="FFFFFF"/>
            <w:tcMar>
              <w:top w:w="0" w:type="dxa"/>
              <w:left w:w="0" w:type="dxa"/>
              <w:bottom w:w="0" w:type="dxa"/>
              <w:right w:w="0" w:type="dxa"/>
            </w:tcMar>
            <w:vAlign w:val="center"/>
          </w:tcPr>
          <w:p w14:paraId="5135D9B6">
            <w:pPr>
              <w:widowControl w:val="0"/>
            </w:pPr>
            <w:r>
              <w:t>货梯</w:t>
            </w:r>
          </w:p>
        </w:tc>
        <w:tc>
          <w:tcPr>
            <w:tcW w:w="1092" w:type="dxa"/>
            <w:shd w:val="clear" w:color="auto" w:fill="FFFFFF"/>
            <w:tcMar>
              <w:top w:w="0" w:type="dxa"/>
              <w:left w:w="0" w:type="dxa"/>
              <w:bottom w:w="0" w:type="dxa"/>
              <w:right w:w="0" w:type="dxa"/>
            </w:tcMar>
            <w:vAlign w:val="center"/>
          </w:tcPr>
          <w:p w14:paraId="3460991C">
            <w:pPr>
              <w:widowControl w:val="0"/>
              <w:jc w:val="center"/>
            </w:pPr>
            <w:r>
              <w:t>2 台</w:t>
            </w:r>
          </w:p>
        </w:tc>
        <w:tc>
          <w:tcPr>
            <w:tcW w:w="2977" w:type="dxa"/>
            <w:shd w:val="clear" w:color="auto" w:fill="FFFFFF"/>
            <w:tcMar>
              <w:top w:w="0" w:type="dxa"/>
              <w:left w:w="0" w:type="dxa"/>
              <w:bottom w:w="0" w:type="dxa"/>
              <w:right w:w="0" w:type="dxa"/>
            </w:tcMar>
            <w:vAlign w:val="center"/>
          </w:tcPr>
          <w:p w14:paraId="1D568426">
            <w:pPr>
              <w:widowControl w:val="0"/>
            </w:pPr>
            <w:r>
              <w:t>包含在电梯总计内</w:t>
            </w:r>
          </w:p>
        </w:tc>
      </w:tr>
      <w:tr w14:paraId="5EF7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28568E0">
            <w:pPr>
              <w:widowControl w:val="0"/>
              <w:jc w:val="center"/>
            </w:pPr>
          </w:p>
        </w:tc>
        <w:tc>
          <w:tcPr>
            <w:tcW w:w="0" w:type="auto"/>
            <w:shd w:val="clear" w:color="auto" w:fill="FFFFFF"/>
            <w:tcMar>
              <w:top w:w="0" w:type="dxa"/>
              <w:left w:w="0" w:type="dxa"/>
              <w:bottom w:w="0" w:type="dxa"/>
              <w:right w:w="0" w:type="dxa"/>
            </w:tcMar>
            <w:vAlign w:val="center"/>
          </w:tcPr>
          <w:p w14:paraId="02157CCE">
            <w:pPr>
              <w:widowControl w:val="0"/>
            </w:pPr>
            <w:r>
              <w:t>观光电梯</w:t>
            </w:r>
          </w:p>
        </w:tc>
        <w:tc>
          <w:tcPr>
            <w:tcW w:w="1092" w:type="dxa"/>
            <w:shd w:val="clear" w:color="auto" w:fill="FFFFFF"/>
            <w:tcMar>
              <w:top w:w="0" w:type="dxa"/>
              <w:left w:w="0" w:type="dxa"/>
              <w:bottom w:w="0" w:type="dxa"/>
              <w:right w:w="0" w:type="dxa"/>
            </w:tcMar>
            <w:vAlign w:val="center"/>
          </w:tcPr>
          <w:p w14:paraId="193BD8BD">
            <w:pPr>
              <w:widowControl w:val="0"/>
              <w:jc w:val="center"/>
            </w:pPr>
            <w:r>
              <w:t>4 台</w:t>
            </w:r>
          </w:p>
        </w:tc>
        <w:tc>
          <w:tcPr>
            <w:tcW w:w="2977" w:type="dxa"/>
            <w:shd w:val="clear" w:color="auto" w:fill="FFFFFF"/>
            <w:tcMar>
              <w:top w:w="0" w:type="dxa"/>
              <w:left w:w="0" w:type="dxa"/>
              <w:bottom w:w="0" w:type="dxa"/>
              <w:right w:w="0" w:type="dxa"/>
            </w:tcMar>
            <w:vAlign w:val="center"/>
          </w:tcPr>
          <w:p w14:paraId="19EC4D58">
            <w:pPr>
              <w:widowControl w:val="0"/>
            </w:pPr>
            <w:r>
              <w:t>包含在电梯总计内</w:t>
            </w:r>
          </w:p>
        </w:tc>
      </w:tr>
      <w:tr w14:paraId="7652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82A99B3">
            <w:pPr>
              <w:widowControl w:val="0"/>
              <w:jc w:val="center"/>
            </w:pPr>
          </w:p>
        </w:tc>
        <w:tc>
          <w:tcPr>
            <w:tcW w:w="0" w:type="auto"/>
            <w:shd w:val="clear" w:color="auto" w:fill="FFFFFF"/>
            <w:tcMar>
              <w:top w:w="0" w:type="dxa"/>
              <w:left w:w="0" w:type="dxa"/>
              <w:bottom w:w="0" w:type="dxa"/>
              <w:right w:w="0" w:type="dxa"/>
            </w:tcMar>
            <w:vAlign w:val="center"/>
          </w:tcPr>
          <w:p w14:paraId="581A5818">
            <w:pPr>
              <w:widowControl w:val="0"/>
            </w:pPr>
            <w:r>
              <w:t>客梯</w:t>
            </w:r>
          </w:p>
        </w:tc>
        <w:tc>
          <w:tcPr>
            <w:tcW w:w="1092" w:type="dxa"/>
            <w:shd w:val="clear" w:color="auto" w:fill="FFFFFF"/>
            <w:tcMar>
              <w:top w:w="0" w:type="dxa"/>
              <w:left w:w="0" w:type="dxa"/>
              <w:bottom w:w="0" w:type="dxa"/>
              <w:right w:w="0" w:type="dxa"/>
            </w:tcMar>
            <w:vAlign w:val="center"/>
          </w:tcPr>
          <w:p w14:paraId="27627759">
            <w:pPr>
              <w:widowControl w:val="0"/>
              <w:jc w:val="center"/>
            </w:pPr>
            <w:r>
              <w:t>8 台</w:t>
            </w:r>
          </w:p>
        </w:tc>
        <w:tc>
          <w:tcPr>
            <w:tcW w:w="2977" w:type="dxa"/>
            <w:shd w:val="clear" w:color="auto" w:fill="FFFFFF"/>
            <w:tcMar>
              <w:top w:w="0" w:type="dxa"/>
              <w:left w:w="0" w:type="dxa"/>
              <w:bottom w:w="0" w:type="dxa"/>
              <w:right w:w="0" w:type="dxa"/>
            </w:tcMar>
            <w:vAlign w:val="center"/>
          </w:tcPr>
          <w:p w14:paraId="7F7F7F93">
            <w:pPr>
              <w:widowControl w:val="0"/>
            </w:pPr>
            <w:r>
              <w:t>包含在电梯总计内</w:t>
            </w:r>
          </w:p>
        </w:tc>
      </w:tr>
      <w:tr w14:paraId="67B2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EAEA433">
            <w:pPr>
              <w:widowControl w:val="0"/>
              <w:jc w:val="center"/>
            </w:pPr>
          </w:p>
        </w:tc>
        <w:tc>
          <w:tcPr>
            <w:tcW w:w="0" w:type="auto"/>
            <w:shd w:val="clear" w:color="auto" w:fill="FFFFFF"/>
            <w:tcMar>
              <w:top w:w="0" w:type="dxa"/>
              <w:left w:w="0" w:type="dxa"/>
              <w:bottom w:w="0" w:type="dxa"/>
              <w:right w:w="0" w:type="dxa"/>
            </w:tcMar>
            <w:vAlign w:val="center"/>
          </w:tcPr>
          <w:p w14:paraId="0C4409BD">
            <w:pPr>
              <w:widowControl w:val="0"/>
            </w:pPr>
            <w:r>
              <w:t>坡道电梯</w:t>
            </w:r>
          </w:p>
        </w:tc>
        <w:tc>
          <w:tcPr>
            <w:tcW w:w="1092" w:type="dxa"/>
            <w:shd w:val="clear" w:color="auto" w:fill="FFFFFF"/>
            <w:tcMar>
              <w:top w:w="0" w:type="dxa"/>
              <w:left w:w="0" w:type="dxa"/>
              <w:bottom w:w="0" w:type="dxa"/>
              <w:right w:w="0" w:type="dxa"/>
            </w:tcMar>
            <w:vAlign w:val="center"/>
          </w:tcPr>
          <w:p w14:paraId="666373E9">
            <w:pPr>
              <w:widowControl w:val="0"/>
              <w:jc w:val="center"/>
            </w:pPr>
            <w:r>
              <w:rPr>
                <w:rFonts w:hint="eastAsia"/>
              </w:rPr>
              <w:t>8</w:t>
            </w:r>
            <w:r>
              <w:t xml:space="preserve"> 台</w:t>
            </w:r>
          </w:p>
        </w:tc>
        <w:tc>
          <w:tcPr>
            <w:tcW w:w="2977" w:type="dxa"/>
            <w:shd w:val="clear" w:color="auto" w:fill="FFFFFF"/>
            <w:tcMar>
              <w:top w:w="0" w:type="dxa"/>
              <w:left w:w="0" w:type="dxa"/>
              <w:bottom w:w="0" w:type="dxa"/>
              <w:right w:w="0" w:type="dxa"/>
            </w:tcMar>
            <w:vAlign w:val="center"/>
          </w:tcPr>
          <w:p w14:paraId="10A6BF0D">
            <w:pPr>
              <w:widowControl w:val="0"/>
            </w:pPr>
            <w:r>
              <w:t>注：数量与电梯总计存在统计口径差异，以现场为准</w:t>
            </w:r>
          </w:p>
        </w:tc>
      </w:tr>
      <w:tr w14:paraId="79D2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restart"/>
            <w:shd w:val="clear" w:color="auto" w:fill="FFFFFF"/>
            <w:tcMar>
              <w:top w:w="0" w:type="dxa"/>
              <w:left w:w="0" w:type="dxa"/>
              <w:bottom w:w="0" w:type="dxa"/>
              <w:right w:w="0" w:type="dxa"/>
            </w:tcMar>
            <w:vAlign w:val="center"/>
          </w:tcPr>
          <w:p w14:paraId="4A41CEC5">
            <w:pPr>
              <w:widowControl w:val="0"/>
              <w:jc w:val="center"/>
            </w:pPr>
            <w:r>
              <w:rPr>
                <w:b/>
                <w:bCs/>
              </w:rPr>
              <w:t>暖通设备</w:t>
            </w:r>
          </w:p>
        </w:tc>
        <w:tc>
          <w:tcPr>
            <w:tcW w:w="0" w:type="auto"/>
            <w:shd w:val="clear" w:color="auto" w:fill="FFFFFF"/>
            <w:tcMar>
              <w:top w:w="0" w:type="dxa"/>
              <w:left w:w="0" w:type="dxa"/>
              <w:bottom w:w="0" w:type="dxa"/>
              <w:right w:w="0" w:type="dxa"/>
            </w:tcMar>
            <w:vAlign w:val="center"/>
          </w:tcPr>
          <w:p w14:paraId="229AC140">
            <w:pPr>
              <w:widowControl w:val="0"/>
            </w:pPr>
            <w:r>
              <w:t>直燃型溴化锂冷温水机组</w:t>
            </w:r>
          </w:p>
        </w:tc>
        <w:tc>
          <w:tcPr>
            <w:tcW w:w="1092" w:type="dxa"/>
            <w:shd w:val="clear" w:color="auto" w:fill="FFFFFF"/>
            <w:tcMar>
              <w:top w:w="0" w:type="dxa"/>
              <w:left w:w="0" w:type="dxa"/>
              <w:bottom w:w="0" w:type="dxa"/>
              <w:right w:w="0" w:type="dxa"/>
            </w:tcMar>
            <w:vAlign w:val="center"/>
          </w:tcPr>
          <w:p w14:paraId="062A160A">
            <w:pPr>
              <w:widowControl w:val="0"/>
              <w:jc w:val="center"/>
            </w:pPr>
            <w:r>
              <w:t>2 台</w:t>
            </w:r>
          </w:p>
        </w:tc>
        <w:tc>
          <w:tcPr>
            <w:tcW w:w="2977" w:type="dxa"/>
            <w:shd w:val="clear" w:color="auto" w:fill="FFFFFF"/>
            <w:tcMar>
              <w:top w:w="0" w:type="dxa"/>
              <w:left w:w="0" w:type="dxa"/>
              <w:bottom w:w="0" w:type="dxa"/>
              <w:right w:w="0" w:type="dxa"/>
            </w:tcMar>
            <w:vAlign w:val="center"/>
          </w:tcPr>
          <w:p w14:paraId="204FE625">
            <w:pPr>
              <w:widowControl w:val="0"/>
            </w:pPr>
            <w:r>
              <w:t>中央空调系统配套</w:t>
            </w:r>
          </w:p>
        </w:tc>
      </w:tr>
      <w:tr w14:paraId="6A50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82BC0E4">
            <w:pPr>
              <w:widowControl w:val="0"/>
              <w:jc w:val="center"/>
            </w:pPr>
          </w:p>
        </w:tc>
        <w:tc>
          <w:tcPr>
            <w:tcW w:w="0" w:type="auto"/>
            <w:shd w:val="clear" w:color="auto" w:fill="FFFFFF"/>
            <w:tcMar>
              <w:top w:w="0" w:type="dxa"/>
              <w:left w:w="0" w:type="dxa"/>
              <w:bottom w:w="0" w:type="dxa"/>
              <w:right w:w="0" w:type="dxa"/>
            </w:tcMar>
            <w:vAlign w:val="center"/>
          </w:tcPr>
          <w:p w14:paraId="144E9661">
            <w:pPr>
              <w:widowControl w:val="0"/>
            </w:pPr>
            <w:r>
              <w:t>螺杆泵冷水机组</w:t>
            </w:r>
          </w:p>
        </w:tc>
        <w:tc>
          <w:tcPr>
            <w:tcW w:w="1092" w:type="dxa"/>
            <w:shd w:val="clear" w:color="auto" w:fill="FFFFFF"/>
            <w:tcMar>
              <w:top w:w="0" w:type="dxa"/>
              <w:left w:w="0" w:type="dxa"/>
              <w:bottom w:w="0" w:type="dxa"/>
              <w:right w:w="0" w:type="dxa"/>
            </w:tcMar>
            <w:vAlign w:val="center"/>
          </w:tcPr>
          <w:p w14:paraId="582F3CDE">
            <w:pPr>
              <w:widowControl w:val="0"/>
              <w:jc w:val="center"/>
            </w:pPr>
            <w:r>
              <w:t>2 台</w:t>
            </w:r>
          </w:p>
        </w:tc>
        <w:tc>
          <w:tcPr>
            <w:tcW w:w="2977" w:type="dxa"/>
            <w:shd w:val="clear" w:color="auto" w:fill="FFFFFF"/>
            <w:tcMar>
              <w:top w:w="0" w:type="dxa"/>
              <w:left w:w="0" w:type="dxa"/>
              <w:bottom w:w="0" w:type="dxa"/>
              <w:right w:w="0" w:type="dxa"/>
            </w:tcMar>
            <w:vAlign w:val="center"/>
          </w:tcPr>
          <w:p w14:paraId="6DA4FB06">
            <w:pPr>
              <w:widowControl w:val="0"/>
            </w:pPr>
            <w:r>
              <w:t>中央空调系统配套</w:t>
            </w:r>
          </w:p>
        </w:tc>
      </w:tr>
      <w:tr w14:paraId="5406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6BD7CBB">
            <w:pPr>
              <w:widowControl w:val="0"/>
              <w:jc w:val="center"/>
            </w:pPr>
          </w:p>
        </w:tc>
        <w:tc>
          <w:tcPr>
            <w:tcW w:w="0" w:type="auto"/>
            <w:shd w:val="clear" w:color="auto" w:fill="FFFFFF"/>
            <w:tcMar>
              <w:top w:w="0" w:type="dxa"/>
              <w:left w:w="0" w:type="dxa"/>
              <w:bottom w:w="0" w:type="dxa"/>
              <w:right w:w="0" w:type="dxa"/>
            </w:tcMar>
            <w:vAlign w:val="center"/>
          </w:tcPr>
          <w:p w14:paraId="1E45EB3F">
            <w:pPr>
              <w:widowControl w:val="0"/>
            </w:pPr>
            <w:r>
              <w:t>空调冷却水循环泵</w:t>
            </w:r>
          </w:p>
        </w:tc>
        <w:tc>
          <w:tcPr>
            <w:tcW w:w="1092" w:type="dxa"/>
            <w:shd w:val="clear" w:color="auto" w:fill="FFFFFF"/>
            <w:tcMar>
              <w:top w:w="0" w:type="dxa"/>
              <w:left w:w="0" w:type="dxa"/>
              <w:bottom w:w="0" w:type="dxa"/>
              <w:right w:w="0" w:type="dxa"/>
            </w:tcMar>
            <w:vAlign w:val="center"/>
          </w:tcPr>
          <w:p w14:paraId="732EF386">
            <w:pPr>
              <w:widowControl w:val="0"/>
              <w:jc w:val="center"/>
            </w:pPr>
            <w:r>
              <w:t>6 台</w:t>
            </w:r>
          </w:p>
        </w:tc>
        <w:tc>
          <w:tcPr>
            <w:tcW w:w="2977" w:type="dxa"/>
            <w:shd w:val="clear" w:color="auto" w:fill="FFFFFF"/>
            <w:tcMar>
              <w:top w:w="0" w:type="dxa"/>
              <w:left w:w="0" w:type="dxa"/>
              <w:bottom w:w="0" w:type="dxa"/>
              <w:right w:w="0" w:type="dxa"/>
            </w:tcMar>
            <w:vAlign w:val="center"/>
          </w:tcPr>
          <w:p w14:paraId="5506B0D2">
            <w:pPr>
              <w:widowControl w:val="0"/>
            </w:pPr>
            <w:r>
              <w:t>中央空调系统配套</w:t>
            </w:r>
          </w:p>
        </w:tc>
      </w:tr>
      <w:tr w14:paraId="1574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9AF576C">
            <w:pPr>
              <w:widowControl w:val="0"/>
              <w:jc w:val="center"/>
            </w:pPr>
          </w:p>
        </w:tc>
        <w:tc>
          <w:tcPr>
            <w:tcW w:w="0" w:type="auto"/>
            <w:shd w:val="clear" w:color="auto" w:fill="FFFFFF"/>
            <w:tcMar>
              <w:top w:w="0" w:type="dxa"/>
              <w:left w:w="0" w:type="dxa"/>
              <w:bottom w:w="0" w:type="dxa"/>
              <w:right w:w="0" w:type="dxa"/>
            </w:tcMar>
            <w:vAlign w:val="center"/>
          </w:tcPr>
          <w:p w14:paraId="64ABAE07">
            <w:pPr>
              <w:widowControl w:val="0"/>
            </w:pPr>
            <w:r>
              <w:t>空调冷热水循环泵</w:t>
            </w:r>
          </w:p>
        </w:tc>
        <w:tc>
          <w:tcPr>
            <w:tcW w:w="1092" w:type="dxa"/>
            <w:shd w:val="clear" w:color="auto" w:fill="FFFFFF"/>
            <w:tcMar>
              <w:top w:w="0" w:type="dxa"/>
              <w:left w:w="0" w:type="dxa"/>
              <w:bottom w:w="0" w:type="dxa"/>
              <w:right w:w="0" w:type="dxa"/>
            </w:tcMar>
            <w:vAlign w:val="center"/>
          </w:tcPr>
          <w:p w14:paraId="4D7E68AF">
            <w:pPr>
              <w:widowControl w:val="0"/>
              <w:jc w:val="center"/>
            </w:pPr>
            <w:r>
              <w:t>6 台</w:t>
            </w:r>
          </w:p>
        </w:tc>
        <w:tc>
          <w:tcPr>
            <w:tcW w:w="2977" w:type="dxa"/>
            <w:shd w:val="clear" w:color="auto" w:fill="FFFFFF"/>
            <w:tcMar>
              <w:top w:w="0" w:type="dxa"/>
              <w:left w:w="0" w:type="dxa"/>
              <w:bottom w:w="0" w:type="dxa"/>
              <w:right w:w="0" w:type="dxa"/>
            </w:tcMar>
            <w:vAlign w:val="center"/>
          </w:tcPr>
          <w:p w14:paraId="4CAD4F3F">
            <w:pPr>
              <w:widowControl w:val="0"/>
            </w:pPr>
            <w:r>
              <w:t>中央空调系统配套</w:t>
            </w:r>
          </w:p>
        </w:tc>
      </w:tr>
      <w:tr w14:paraId="3AD2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1FB70F7">
            <w:pPr>
              <w:widowControl w:val="0"/>
              <w:jc w:val="center"/>
            </w:pPr>
          </w:p>
        </w:tc>
        <w:tc>
          <w:tcPr>
            <w:tcW w:w="0" w:type="auto"/>
            <w:shd w:val="clear" w:color="auto" w:fill="FFFFFF"/>
            <w:tcMar>
              <w:top w:w="0" w:type="dxa"/>
              <w:left w:w="0" w:type="dxa"/>
              <w:bottom w:w="0" w:type="dxa"/>
              <w:right w:w="0" w:type="dxa"/>
            </w:tcMar>
            <w:vAlign w:val="center"/>
          </w:tcPr>
          <w:p w14:paraId="6B86D2D6">
            <w:pPr>
              <w:widowControl w:val="0"/>
            </w:pPr>
            <w:r>
              <w:t>电子除垢仪</w:t>
            </w:r>
          </w:p>
        </w:tc>
        <w:tc>
          <w:tcPr>
            <w:tcW w:w="1092" w:type="dxa"/>
            <w:shd w:val="clear" w:color="auto" w:fill="FFFFFF"/>
            <w:tcMar>
              <w:top w:w="0" w:type="dxa"/>
              <w:left w:w="0" w:type="dxa"/>
              <w:bottom w:w="0" w:type="dxa"/>
              <w:right w:w="0" w:type="dxa"/>
            </w:tcMar>
            <w:vAlign w:val="center"/>
          </w:tcPr>
          <w:p w14:paraId="3029E26E">
            <w:pPr>
              <w:widowControl w:val="0"/>
              <w:jc w:val="center"/>
            </w:pPr>
            <w:r>
              <w:t>14 台</w:t>
            </w:r>
          </w:p>
        </w:tc>
        <w:tc>
          <w:tcPr>
            <w:tcW w:w="2977" w:type="dxa"/>
            <w:shd w:val="clear" w:color="auto" w:fill="FFFFFF"/>
            <w:tcMar>
              <w:top w:w="0" w:type="dxa"/>
              <w:left w:w="0" w:type="dxa"/>
              <w:bottom w:w="0" w:type="dxa"/>
              <w:right w:w="0" w:type="dxa"/>
            </w:tcMar>
            <w:vAlign w:val="center"/>
          </w:tcPr>
          <w:p w14:paraId="39C9D482">
            <w:pPr>
              <w:widowControl w:val="0"/>
            </w:pPr>
            <w:r>
              <w:t>-</w:t>
            </w:r>
          </w:p>
        </w:tc>
      </w:tr>
      <w:tr w14:paraId="4097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4C24AA98">
            <w:pPr>
              <w:widowControl w:val="0"/>
              <w:jc w:val="center"/>
            </w:pPr>
          </w:p>
        </w:tc>
        <w:tc>
          <w:tcPr>
            <w:tcW w:w="0" w:type="auto"/>
            <w:shd w:val="clear" w:color="auto" w:fill="FFFFFF"/>
            <w:tcMar>
              <w:top w:w="0" w:type="dxa"/>
              <w:left w:w="0" w:type="dxa"/>
              <w:bottom w:w="0" w:type="dxa"/>
              <w:right w:w="0" w:type="dxa"/>
            </w:tcMar>
            <w:vAlign w:val="center"/>
          </w:tcPr>
          <w:p w14:paraId="3CF89BB0">
            <w:pPr>
              <w:widowControl w:val="0"/>
            </w:pPr>
            <w:r>
              <w:t>中温横流冷却塔</w:t>
            </w:r>
          </w:p>
        </w:tc>
        <w:tc>
          <w:tcPr>
            <w:tcW w:w="1092" w:type="dxa"/>
            <w:shd w:val="clear" w:color="auto" w:fill="FFFFFF"/>
            <w:tcMar>
              <w:top w:w="0" w:type="dxa"/>
              <w:left w:w="0" w:type="dxa"/>
              <w:bottom w:w="0" w:type="dxa"/>
              <w:right w:w="0" w:type="dxa"/>
            </w:tcMar>
            <w:vAlign w:val="center"/>
          </w:tcPr>
          <w:p w14:paraId="7B038490">
            <w:pPr>
              <w:widowControl w:val="0"/>
              <w:jc w:val="center"/>
            </w:pPr>
            <w:r>
              <w:t>6 台</w:t>
            </w:r>
          </w:p>
        </w:tc>
        <w:tc>
          <w:tcPr>
            <w:tcW w:w="2977" w:type="dxa"/>
            <w:shd w:val="clear" w:color="auto" w:fill="FFFFFF"/>
            <w:tcMar>
              <w:top w:w="0" w:type="dxa"/>
              <w:left w:w="0" w:type="dxa"/>
              <w:bottom w:w="0" w:type="dxa"/>
              <w:right w:w="0" w:type="dxa"/>
            </w:tcMar>
            <w:vAlign w:val="center"/>
          </w:tcPr>
          <w:p w14:paraId="0B48B95B">
            <w:pPr>
              <w:widowControl w:val="0"/>
            </w:pPr>
            <w:r>
              <w:t>-</w:t>
            </w:r>
          </w:p>
        </w:tc>
      </w:tr>
      <w:tr w14:paraId="1BBE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02B5416">
            <w:pPr>
              <w:widowControl w:val="0"/>
              <w:jc w:val="center"/>
            </w:pPr>
          </w:p>
        </w:tc>
        <w:tc>
          <w:tcPr>
            <w:tcW w:w="0" w:type="auto"/>
            <w:shd w:val="clear" w:color="auto" w:fill="FFFFFF"/>
            <w:tcMar>
              <w:top w:w="0" w:type="dxa"/>
              <w:left w:w="0" w:type="dxa"/>
              <w:bottom w:w="0" w:type="dxa"/>
              <w:right w:w="0" w:type="dxa"/>
            </w:tcMar>
            <w:vAlign w:val="center"/>
          </w:tcPr>
          <w:p w14:paraId="457C4534">
            <w:pPr>
              <w:widowControl w:val="0"/>
            </w:pPr>
            <w:r>
              <w:t>空调箱</w:t>
            </w:r>
          </w:p>
        </w:tc>
        <w:tc>
          <w:tcPr>
            <w:tcW w:w="1092" w:type="dxa"/>
            <w:shd w:val="clear" w:color="auto" w:fill="FFFFFF"/>
            <w:tcMar>
              <w:top w:w="0" w:type="dxa"/>
              <w:left w:w="0" w:type="dxa"/>
              <w:bottom w:w="0" w:type="dxa"/>
              <w:right w:w="0" w:type="dxa"/>
            </w:tcMar>
            <w:vAlign w:val="center"/>
          </w:tcPr>
          <w:p w14:paraId="0CB3A9B8">
            <w:pPr>
              <w:widowControl w:val="0"/>
              <w:jc w:val="center"/>
            </w:pPr>
            <w:r>
              <w:t>81 台</w:t>
            </w:r>
          </w:p>
        </w:tc>
        <w:tc>
          <w:tcPr>
            <w:tcW w:w="2977" w:type="dxa"/>
            <w:shd w:val="clear" w:color="auto" w:fill="FFFFFF"/>
            <w:tcMar>
              <w:top w:w="0" w:type="dxa"/>
              <w:left w:w="0" w:type="dxa"/>
              <w:bottom w:w="0" w:type="dxa"/>
              <w:right w:w="0" w:type="dxa"/>
            </w:tcMar>
            <w:vAlign w:val="center"/>
          </w:tcPr>
          <w:p w14:paraId="2913E3E8">
            <w:pPr>
              <w:widowControl w:val="0"/>
            </w:pPr>
            <w:r>
              <w:t>-</w:t>
            </w:r>
          </w:p>
        </w:tc>
      </w:tr>
      <w:tr w14:paraId="3907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1F5A8A8">
            <w:pPr>
              <w:widowControl w:val="0"/>
              <w:jc w:val="center"/>
            </w:pPr>
          </w:p>
        </w:tc>
        <w:tc>
          <w:tcPr>
            <w:tcW w:w="0" w:type="auto"/>
            <w:shd w:val="clear" w:color="auto" w:fill="FFFFFF"/>
            <w:tcMar>
              <w:top w:w="0" w:type="dxa"/>
              <w:left w:w="0" w:type="dxa"/>
              <w:bottom w:w="0" w:type="dxa"/>
              <w:right w:w="0" w:type="dxa"/>
            </w:tcMar>
            <w:vAlign w:val="center"/>
          </w:tcPr>
          <w:p w14:paraId="4BA80805">
            <w:pPr>
              <w:widowControl w:val="0"/>
            </w:pPr>
            <w:r>
              <w:t>VRV 空调室内机</w:t>
            </w:r>
          </w:p>
        </w:tc>
        <w:tc>
          <w:tcPr>
            <w:tcW w:w="1092" w:type="dxa"/>
            <w:shd w:val="clear" w:color="auto" w:fill="FFFFFF"/>
            <w:tcMar>
              <w:top w:w="0" w:type="dxa"/>
              <w:left w:w="0" w:type="dxa"/>
              <w:bottom w:w="0" w:type="dxa"/>
              <w:right w:w="0" w:type="dxa"/>
            </w:tcMar>
            <w:vAlign w:val="center"/>
          </w:tcPr>
          <w:p w14:paraId="67F96EFC">
            <w:pPr>
              <w:widowControl w:val="0"/>
              <w:jc w:val="center"/>
            </w:pPr>
            <w:r>
              <w:t>11 台</w:t>
            </w:r>
          </w:p>
        </w:tc>
        <w:tc>
          <w:tcPr>
            <w:tcW w:w="2977" w:type="dxa"/>
            <w:shd w:val="clear" w:color="auto" w:fill="FFFFFF"/>
            <w:tcMar>
              <w:top w:w="0" w:type="dxa"/>
              <w:left w:w="0" w:type="dxa"/>
              <w:bottom w:w="0" w:type="dxa"/>
              <w:right w:w="0" w:type="dxa"/>
            </w:tcMar>
            <w:vAlign w:val="center"/>
          </w:tcPr>
          <w:p w14:paraId="3C959684">
            <w:pPr>
              <w:widowControl w:val="0"/>
            </w:pPr>
            <w:r>
              <w:t>-</w:t>
            </w:r>
          </w:p>
        </w:tc>
      </w:tr>
      <w:tr w14:paraId="0A8C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89ABC9A">
            <w:pPr>
              <w:widowControl w:val="0"/>
              <w:jc w:val="center"/>
            </w:pPr>
          </w:p>
        </w:tc>
        <w:tc>
          <w:tcPr>
            <w:tcW w:w="0" w:type="auto"/>
            <w:shd w:val="clear" w:color="auto" w:fill="FFFFFF"/>
            <w:tcMar>
              <w:top w:w="0" w:type="dxa"/>
              <w:left w:w="0" w:type="dxa"/>
              <w:bottom w:w="0" w:type="dxa"/>
              <w:right w:w="0" w:type="dxa"/>
            </w:tcMar>
            <w:vAlign w:val="center"/>
          </w:tcPr>
          <w:p w14:paraId="2D0484D4">
            <w:pPr>
              <w:widowControl w:val="0"/>
            </w:pPr>
            <w:r>
              <w:t>VRV 空调室外机</w:t>
            </w:r>
          </w:p>
        </w:tc>
        <w:tc>
          <w:tcPr>
            <w:tcW w:w="1092" w:type="dxa"/>
            <w:shd w:val="clear" w:color="auto" w:fill="FFFFFF"/>
            <w:tcMar>
              <w:top w:w="0" w:type="dxa"/>
              <w:left w:w="0" w:type="dxa"/>
              <w:bottom w:w="0" w:type="dxa"/>
              <w:right w:w="0" w:type="dxa"/>
            </w:tcMar>
            <w:vAlign w:val="center"/>
          </w:tcPr>
          <w:p w14:paraId="4F181252">
            <w:pPr>
              <w:widowControl w:val="0"/>
              <w:jc w:val="center"/>
            </w:pPr>
            <w:r>
              <w:t>3 台</w:t>
            </w:r>
          </w:p>
        </w:tc>
        <w:tc>
          <w:tcPr>
            <w:tcW w:w="2977" w:type="dxa"/>
            <w:shd w:val="clear" w:color="auto" w:fill="FFFFFF"/>
            <w:tcMar>
              <w:top w:w="0" w:type="dxa"/>
              <w:left w:w="0" w:type="dxa"/>
              <w:bottom w:w="0" w:type="dxa"/>
              <w:right w:w="0" w:type="dxa"/>
            </w:tcMar>
            <w:vAlign w:val="center"/>
          </w:tcPr>
          <w:p w14:paraId="711BBC2B">
            <w:pPr>
              <w:widowControl w:val="0"/>
            </w:pPr>
            <w:r>
              <w:t>-</w:t>
            </w:r>
          </w:p>
        </w:tc>
      </w:tr>
      <w:tr w14:paraId="0B85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DB221F3">
            <w:pPr>
              <w:widowControl w:val="0"/>
              <w:jc w:val="center"/>
            </w:pPr>
          </w:p>
        </w:tc>
        <w:tc>
          <w:tcPr>
            <w:tcW w:w="0" w:type="auto"/>
            <w:shd w:val="clear" w:color="auto" w:fill="FFFFFF"/>
            <w:tcMar>
              <w:top w:w="0" w:type="dxa"/>
              <w:left w:w="0" w:type="dxa"/>
              <w:bottom w:w="0" w:type="dxa"/>
              <w:right w:w="0" w:type="dxa"/>
            </w:tcMar>
            <w:vAlign w:val="center"/>
          </w:tcPr>
          <w:p w14:paraId="790BD37C">
            <w:pPr>
              <w:widowControl w:val="0"/>
            </w:pPr>
            <w:r>
              <w:t>风机盘管</w:t>
            </w:r>
          </w:p>
        </w:tc>
        <w:tc>
          <w:tcPr>
            <w:tcW w:w="1092" w:type="dxa"/>
            <w:shd w:val="clear" w:color="auto" w:fill="FFFFFF"/>
            <w:tcMar>
              <w:top w:w="0" w:type="dxa"/>
              <w:left w:w="0" w:type="dxa"/>
              <w:bottom w:w="0" w:type="dxa"/>
              <w:right w:w="0" w:type="dxa"/>
            </w:tcMar>
            <w:vAlign w:val="center"/>
          </w:tcPr>
          <w:p w14:paraId="56431829">
            <w:pPr>
              <w:widowControl w:val="0"/>
              <w:jc w:val="center"/>
            </w:pPr>
            <w:r>
              <w:t>5 套 / 台</w:t>
            </w:r>
          </w:p>
        </w:tc>
        <w:tc>
          <w:tcPr>
            <w:tcW w:w="2977" w:type="dxa"/>
            <w:shd w:val="clear" w:color="auto" w:fill="FFFFFF"/>
            <w:tcMar>
              <w:top w:w="0" w:type="dxa"/>
              <w:left w:w="0" w:type="dxa"/>
              <w:bottom w:w="0" w:type="dxa"/>
              <w:right w:w="0" w:type="dxa"/>
            </w:tcMar>
            <w:vAlign w:val="center"/>
          </w:tcPr>
          <w:p w14:paraId="46E817FE">
            <w:pPr>
              <w:widowControl w:val="0"/>
            </w:pPr>
            <w:r>
              <w:t>含单列 3 台及单列 2 套，统计口径以现场为准</w:t>
            </w:r>
          </w:p>
        </w:tc>
      </w:tr>
      <w:tr w14:paraId="7BB2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370F142">
            <w:pPr>
              <w:widowControl w:val="0"/>
              <w:jc w:val="center"/>
            </w:pPr>
          </w:p>
        </w:tc>
        <w:tc>
          <w:tcPr>
            <w:tcW w:w="0" w:type="auto"/>
            <w:shd w:val="clear" w:color="auto" w:fill="FFFFFF"/>
            <w:tcMar>
              <w:top w:w="0" w:type="dxa"/>
              <w:left w:w="0" w:type="dxa"/>
              <w:bottom w:w="0" w:type="dxa"/>
              <w:right w:w="0" w:type="dxa"/>
            </w:tcMar>
            <w:vAlign w:val="center"/>
          </w:tcPr>
          <w:p w14:paraId="51242CE3">
            <w:pPr>
              <w:widowControl w:val="0"/>
            </w:pPr>
            <w:r>
              <w:t>柜式离心风机箱</w:t>
            </w:r>
          </w:p>
        </w:tc>
        <w:tc>
          <w:tcPr>
            <w:tcW w:w="1092" w:type="dxa"/>
            <w:shd w:val="clear" w:color="auto" w:fill="FFFFFF"/>
            <w:tcMar>
              <w:top w:w="0" w:type="dxa"/>
              <w:left w:w="0" w:type="dxa"/>
              <w:bottom w:w="0" w:type="dxa"/>
              <w:right w:w="0" w:type="dxa"/>
            </w:tcMar>
            <w:vAlign w:val="center"/>
          </w:tcPr>
          <w:p w14:paraId="2B027928">
            <w:pPr>
              <w:widowControl w:val="0"/>
              <w:jc w:val="center"/>
            </w:pPr>
            <w:r>
              <w:t>79 台</w:t>
            </w:r>
          </w:p>
        </w:tc>
        <w:tc>
          <w:tcPr>
            <w:tcW w:w="2977" w:type="dxa"/>
            <w:shd w:val="clear" w:color="auto" w:fill="FFFFFF"/>
            <w:tcMar>
              <w:top w:w="0" w:type="dxa"/>
              <w:left w:w="0" w:type="dxa"/>
              <w:bottom w:w="0" w:type="dxa"/>
              <w:right w:w="0" w:type="dxa"/>
            </w:tcMar>
            <w:vAlign w:val="center"/>
          </w:tcPr>
          <w:p w14:paraId="7AE1E8DF">
            <w:pPr>
              <w:widowControl w:val="0"/>
            </w:pPr>
            <w:r>
              <w:t>-</w:t>
            </w:r>
          </w:p>
        </w:tc>
      </w:tr>
      <w:tr w14:paraId="3CA2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A0D6FCC">
            <w:pPr>
              <w:widowControl w:val="0"/>
              <w:jc w:val="center"/>
            </w:pPr>
          </w:p>
        </w:tc>
        <w:tc>
          <w:tcPr>
            <w:tcW w:w="0" w:type="auto"/>
            <w:shd w:val="clear" w:color="auto" w:fill="FFFFFF"/>
            <w:tcMar>
              <w:top w:w="0" w:type="dxa"/>
              <w:left w:w="0" w:type="dxa"/>
              <w:bottom w:w="0" w:type="dxa"/>
              <w:right w:w="0" w:type="dxa"/>
            </w:tcMar>
            <w:vAlign w:val="center"/>
          </w:tcPr>
          <w:p w14:paraId="23C8152F">
            <w:pPr>
              <w:widowControl w:val="0"/>
            </w:pPr>
            <w:r>
              <w:t>管道风机</w:t>
            </w:r>
          </w:p>
        </w:tc>
        <w:tc>
          <w:tcPr>
            <w:tcW w:w="1092" w:type="dxa"/>
            <w:shd w:val="clear" w:color="auto" w:fill="FFFFFF"/>
            <w:tcMar>
              <w:top w:w="0" w:type="dxa"/>
              <w:left w:w="0" w:type="dxa"/>
              <w:bottom w:w="0" w:type="dxa"/>
              <w:right w:w="0" w:type="dxa"/>
            </w:tcMar>
            <w:vAlign w:val="center"/>
          </w:tcPr>
          <w:p w14:paraId="0B25E75F">
            <w:pPr>
              <w:widowControl w:val="0"/>
              <w:jc w:val="center"/>
            </w:pPr>
            <w:r>
              <w:t>35 台</w:t>
            </w:r>
          </w:p>
        </w:tc>
        <w:tc>
          <w:tcPr>
            <w:tcW w:w="2977" w:type="dxa"/>
            <w:shd w:val="clear" w:color="auto" w:fill="FFFFFF"/>
            <w:tcMar>
              <w:top w:w="0" w:type="dxa"/>
              <w:left w:w="0" w:type="dxa"/>
              <w:bottom w:w="0" w:type="dxa"/>
              <w:right w:w="0" w:type="dxa"/>
            </w:tcMar>
            <w:vAlign w:val="center"/>
          </w:tcPr>
          <w:p w14:paraId="4BF560B4">
            <w:pPr>
              <w:widowControl w:val="0"/>
            </w:pPr>
            <w:r>
              <w:t>-</w:t>
            </w:r>
          </w:p>
        </w:tc>
      </w:tr>
      <w:tr w14:paraId="491B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B7B62B3">
            <w:pPr>
              <w:widowControl w:val="0"/>
              <w:jc w:val="center"/>
            </w:pPr>
          </w:p>
        </w:tc>
        <w:tc>
          <w:tcPr>
            <w:tcW w:w="0" w:type="auto"/>
            <w:shd w:val="clear" w:color="auto" w:fill="FFFFFF"/>
            <w:tcMar>
              <w:top w:w="0" w:type="dxa"/>
              <w:left w:w="0" w:type="dxa"/>
              <w:bottom w:w="0" w:type="dxa"/>
              <w:right w:w="0" w:type="dxa"/>
            </w:tcMar>
            <w:vAlign w:val="center"/>
          </w:tcPr>
          <w:p w14:paraId="3C169E76">
            <w:pPr>
              <w:widowControl w:val="0"/>
            </w:pPr>
            <w:r>
              <w:t>低噪声离心风机</w:t>
            </w:r>
          </w:p>
        </w:tc>
        <w:tc>
          <w:tcPr>
            <w:tcW w:w="1092" w:type="dxa"/>
            <w:shd w:val="clear" w:color="auto" w:fill="FFFFFF"/>
            <w:tcMar>
              <w:top w:w="0" w:type="dxa"/>
              <w:left w:w="0" w:type="dxa"/>
              <w:bottom w:w="0" w:type="dxa"/>
              <w:right w:w="0" w:type="dxa"/>
            </w:tcMar>
            <w:vAlign w:val="center"/>
          </w:tcPr>
          <w:p w14:paraId="52AE8D0E">
            <w:pPr>
              <w:widowControl w:val="0"/>
              <w:jc w:val="center"/>
            </w:pPr>
            <w:r>
              <w:t>18 台</w:t>
            </w:r>
          </w:p>
        </w:tc>
        <w:tc>
          <w:tcPr>
            <w:tcW w:w="2977" w:type="dxa"/>
            <w:shd w:val="clear" w:color="auto" w:fill="FFFFFF"/>
            <w:tcMar>
              <w:top w:w="0" w:type="dxa"/>
              <w:left w:w="0" w:type="dxa"/>
              <w:bottom w:w="0" w:type="dxa"/>
              <w:right w:w="0" w:type="dxa"/>
            </w:tcMar>
            <w:vAlign w:val="center"/>
          </w:tcPr>
          <w:p w14:paraId="0A02A0DE">
            <w:pPr>
              <w:widowControl w:val="0"/>
            </w:pPr>
            <w:r>
              <w:t>-</w:t>
            </w:r>
          </w:p>
        </w:tc>
      </w:tr>
      <w:tr w14:paraId="4043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75E6EE54">
            <w:pPr>
              <w:widowControl w:val="0"/>
              <w:jc w:val="center"/>
            </w:pPr>
          </w:p>
        </w:tc>
        <w:tc>
          <w:tcPr>
            <w:tcW w:w="0" w:type="auto"/>
            <w:shd w:val="clear" w:color="auto" w:fill="FFFFFF"/>
            <w:tcMar>
              <w:top w:w="0" w:type="dxa"/>
              <w:left w:w="0" w:type="dxa"/>
              <w:bottom w:w="0" w:type="dxa"/>
              <w:right w:w="0" w:type="dxa"/>
            </w:tcMar>
            <w:vAlign w:val="center"/>
          </w:tcPr>
          <w:p w14:paraId="47E94E2A">
            <w:pPr>
              <w:widowControl w:val="0"/>
            </w:pPr>
            <w:r>
              <w:t>恒温恒湿空调 / 机组</w:t>
            </w:r>
          </w:p>
        </w:tc>
        <w:tc>
          <w:tcPr>
            <w:tcW w:w="1092" w:type="dxa"/>
            <w:shd w:val="clear" w:color="auto" w:fill="FFFFFF"/>
            <w:tcMar>
              <w:top w:w="0" w:type="dxa"/>
              <w:left w:w="0" w:type="dxa"/>
              <w:bottom w:w="0" w:type="dxa"/>
              <w:right w:w="0" w:type="dxa"/>
            </w:tcMar>
            <w:vAlign w:val="center"/>
          </w:tcPr>
          <w:p w14:paraId="2804663B">
            <w:pPr>
              <w:widowControl w:val="0"/>
              <w:jc w:val="center"/>
            </w:pPr>
            <w:r>
              <w:t>12 套 / 台</w:t>
            </w:r>
          </w:p>
        </w:tc>
        <w:tc>
          <w:tcPr>
            <w:tcW w:w="2977" w:type="dxa"/>
            <w:shd w:val="clear" w:color="auto" w:fill="FFFFFF"/>
            <w:tcMar>
              <w:top w:w="0" w:type="dxa"/>
              <w:left w:w="0" w:type="dxa"/>
              <w:bottom w:w="0" w:type="dxa"/>
              <w:right w:w="0" w:type="dxa"/>
            </w:tcMar>
            <w:vAlign w:val="center"/>
          </w:tcPr>
          <w:p w14:paraId="1F8C9B6F">
            <w:pPr>
              <w:widowControl w:val="0"/>
            </w:pPr>
            <w:r>
              <w:t>含 7 台空调及 5 套机组，统计口径以现场为准</w:t>
            </w:r>
          </w:p>
        </w:tc>
      </w:tr>
      <w:tr w14:paraId="5387B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C168475">
            <w:pPr>
              <w:widowControl w:val="0"/>
              <w:jc w:val="center"/>
            </w:pPr>
          </w:p>
        </w:tc>
        <w:tc>
          <w:tcPr>
            <w:tcW w:w="0" w:type="auto"/>
            <w:shd w:val="clear" w:color="auto" w:fill="FFFFFF"/>
            <w:tcMar>
              <w:top w:w="0" w:type="dxa"/>
              <w:left w:w="0" w:type="dxa"/>
              <w:bottom w:w="0" w:type="dxa"/>
              <w:right w:w="0" w:type="dxa"/>
            </w:tcMar>
            <w:vAlign w:val="center"/>
          </w:tcPr>
          <w:p w14:paraId="56DB2945">
            <w:pPr>
              <w:widowControl w:val="0"/>
            </w:pPr>
            <w:r>
              <w:t>分体空调（含柜机）</w:t>
            </w:r>
          </w:p>
        </w:tc>
        <w:tc>
          <w:tcPr>
            <w:tcW w:w="1092" w:type="dxa"/>
            <w:shd w:val="clear" w:color="auto" w:fill="FFFFFF"/>
            <w:tcMar>
              <w:top w:w="0" w:type="dxa"/>
              <w:left w:w="0" w:type="dxa"/>
              <w:bottom w:w="0" w:type="dxa"/>
              <w:right w:w="0" w:type="dxa"/>
            </w:tcMar>
            <w:vAlign w:val="center"/>
          </w:tcPr>
          <w:p w14:paraId="1F68D0D7">
            <w:pPr>
              <w:widowControl w:val="0"/>
              <w:jc w:val="center"/>
            </w:pPr>
            <w:r>
              <w:t>8 套</w:t>
            </w:r>
          </w:p>
        </w:tc>
        <w:tc>
          <w:tcPr>
            <w:tcW w:w="2977" w:type="dxa"/>
            <w:shd w:val="clear" w:color="auto" w:fill="FFFFFF"/>
            <w:tcMar>
              <w:top w:w="0" w:type="dxa"/>
              <w:left w:w="0" w:type="dxa"/>
              <w:bottom w:w="0" w:type="dxa"/>
              <w:right w:w="0" w:type="dxa"/>
            </w:tcMar>
            <w:vAlign w:val="center"/>
          </w:tcPr>
          <w:p w14:paraId="54217AA6">
            <w:pPr>
              <w:widowControl w:val="0"/>
            </w:pPr>
            <w:r>
              <w:t>含 5 套常规分体及 3 套柜机</w:t>
            </w:r>
          </w:p>
        </w:tc>
      </w:tr>
      <w:tr w14:paraId="1E10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48D82882">
            <w:pPr>
              <w:widowControl w:val="0"/>
              <w:jc w:val="center"/>
            </w:pPr>
          </w:p>
        </w:tc>
        <w:tc>
          <w:tcPr>
            <w:tcW w:w="0" w:type="auto"/>
            <w:shd w:val="clear" w:color="auto" w:fill="FFFFFF"/>
            <w:tcMar>
              <w:top w:w="0" w:type="dxa"/>
              <w:left w:w="0" w:type="dxa"/>
              <w:bottom w:w="0" w:type="dxa"/>
              <w:right w:w="0" w:type="dxa"/>
            </w:tcMar>
            <w:vAlign w:val="center"/>
          </w:tcPr>
          <w:p w14:paraId="5A9490AA">
            <w:pPr>
              <w:widowControl w:val="0"/>
            </w:pPr>
            <w:r>
              <w:t>全热交换机</w:t>
            </w:r>
          </w:p>
        </w:tc>
        <w:tc>
          <w:tcPr>
            <w:tcW w:w="1092" w:type="dxa"/>
            <w:shd w:val="clear" w:color="auto" w:fill="FFFFFF"/>
            <w:tcMar>
              <w:top w:w="0" w:type="dxa"/>
              <w:left w:w="0" w:type="dxa"/>
              <w:bottom w:w="0" w:type="dxa"/>
              <w:right w:w="0" w:type="dxa"/>
            </w:tcMar>
            <w:vAlign w:val="center"/>
          </w:tcPr>
          <w:p w14:paraId="56539CA8">
            <w:pPr>
              <w:widowControl w:val="0"/>
              <w:jc w:val="center"/>
            </w:pPr>
            <w:r>
              <w:t>2 套</w:t>
            </w:r>
          </w:p>
        </w:tc>
        <w:tc>
          <w:tcPr>
            <w:tcW w:w="2977" w:type="dxa"/>
            <w:shd w:val="clear" w:color="auto" w:fill="FFFFFF"/>
            <w:tcMar>
              <w:top w:w="0" w:type="dxa"/>
              <w:left w:w="0" w:type="dxa"/>
              <w:bottom w:w="0" w:type="dxa"/>
              <w:right w:w="0" w:type="dxa"/>
            </w:tcMar>
            <w:vAlign w:val="center"/>
          </w:tcPr>
          <w:p w14:paraId="4D5CE96A">
            <w:pPr>
              <w:widowControl w:val="0"/>
            </w:pPr>
            <w:r>
              <w:t>-</w:t>
            </w:r>
          </w:p>
        </w:tc>
      </w:tr>
      <w:tr w14:paraId="7609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4B8FC44B">
            <w:pPr>
              <w:widowControl w:val="0"/>
              <w:jc w:val="center"/>
            </w:pPr>
          </w:p>
        </w:tc>
        <w:tc>
          <w:tcPr>
            <w:tcW w:w="0" w:type="auto"/>
            <w:shd w:val="clear" w:color="auto" w:fill="FFFFFF"/>
            <w:tcMar>
              <w:top w:w="0" w:type="dxa"/>
              <w:left w:w="0" w:type="dxa"/>
              <w:bottom w:w="0" w:type="dxa"/>
              <w:right w:w="0" w:type="dxa"/>
            </w:tcMar>
            <w:vAlign w:val="center"/>
          </w:tcPr>
          <w:p w14:paraId="3454BBFC">
            <w:pPr>
              <w:widowControl w:val="0"/>
            </w:pPr>
            <w:r>
              <w:t>吊顶空调箱</w:t>
            </w:r>
          </w:p>
        </w:tc>
        <w:tc>
          <w:tcPr>
            <w:tcW w:w="1092" w:type="dxa"/>
            <w:shd w:val="clear" w:color="auto" w:fill="FFFFFF"/>
            <w:tcMar>
              <w:top w:w="0" w:type="dxa"/>
              <w:left w:w="0" w:type="dxa"/>
              <w:bottom w:w="0" w:type="dxa"/>
              <w:right w:w="0" w:type="dxa"/>
            </w:tcMar>
            <w:vAlign w:val="center"/>
          </w:tcPr>
          <w:p w14:paraId="4A1C3D8A">
            <w:pPr>
              <w:widowControl w:val="0"/>
              <w:jc w:val="center"/>
            </w:pPr>
            <w:r>
              <w:t>10 套</w:t>
            </w:r>
          </w:p>
        </w:tc>
        <w:tc>
          <w:tcPr>
            <w:tcW w:w="2977" w:type="dxa"/>
            <w:shd w:val="clear" w:color="auto" w:fill="FFFFFF"/>
            <w:tcMar>
              <w:top w:w="0" w:type="dxa"/>
              <w:left w:w="0" w:type="dxa"/>
              <w:bottom w:w="0" w:type="dxa"/>
              <w:right w:w="0" w:type="dxa"/>
            </w:tcMar>
            <w:vAlign w:val="center"/>
          </w:tcPr>
          <w:p w14:paraId="0696936F">
            <w:pPr>
              <w:widowControl w:val="0"/>
            </w:pPr>
            <w:r>
              <w:t>-</w:t>
            </w:r>
          </w:p>
        </w:tc>
      </w:tr>
      <w:tr w14:paraId="0DB7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863B24D">
            <w:pPr>
              <w:widowControl w:val="0"/>
              <w:jc w:val="center"/>
            </w:pPr>
          </w:p>
        </w:tc>
        <w:tc>
          <w:tcPr>
            <w:tcW w:w="0" w:type="auto"/>
            <w:shd w:val="clear" w:color="auto" w:fill="FFFFFF"/>
            <w:tcMar>
              <w:top w:w="0" w:type="dxa"/>
              <w:left w:w="0" w:type="dxa"/>
              <w:bottom w:w="0" w:type="dxa"/>
              <w:right w:w="0" w:type="dxa"/>
            </w:tcMar>
            <w:vAlign w:val="center"/>
          </w:tcPr>
          <w:p w14:paraId="74CB92C7">
            <w:pPr>
              <w:widowControl w:val="0"/>
            </w:pPr>
            <w:r>
              <w:t>VRV 商用机组及吸顶机</w:t>
            </w:r>
          </w:p>
        </w:tc>
        <w:tc>
          <w:tcPr>
            <w:tcW w:w="1092" w:type="dxa"/>
            <w:shd w:val="clear" w:color="auto" w:fill="FFFFFF"/>
            <w:tcMar>
              <w:top w:w="0" w:type="dxa"/>
              <w:left w:w="0" w:type="dxa"/>
              <w:bottom w:w="0" w:type="dxa"/>
              <w:right w:w="0" w:type="dxa"/>
            </w:tcMar>
            <w:vAlign w:val="center"/>
          </w:tcPr>
          <w:p w14:paraId="4FDA6E24">
            <w:pPr>
              <w:widowControl w:val="0"/>
              <w:jc w:val="center"/>
            </w:pPr>
            <w:r>
              <w:t>10 套</w:t>
            </w:r>
          </w:p>
        </w:tc>
        <w:tc>
          <w:tcPr>
            <w:tcW w:w="2977" w:type="dxa"/>
            <w:shd w:val="clear" w:color="auto" w:fill="FFFFFF"/>
            <w:tcMar>
              <w:top w:w="0" w:type="dxa"/>
              <w:left w:w="0" w:type="dxa"/>
              <w:bottom w:w="0" w:type="dxa"/>
              <w:right w:w="0" w:type="dxa"/>
            </w:tcMar>
            <w:vAlign w:val="center"/>
          </w:tcPr>
          <w:p w14:paraId="700CA059">
            <w:pPr>
              <w:widowControl w:val="0"/>
            </w:pPr>
            <w:r>
              <w:t>-</w:t>
            </w:r>
          </w:p>
        </w:tc>
      </w:tr>
      <w:tr w14:paraId="74CF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restart"/>
            <w:shd w:val="clear" w:color="auto" w:fill="FFFFFF"/>
            <w:tcMar>
              <w:top w:w="0" w:type="dxa"/>
              <w:left w:w="0" w:type="dxa"/>
              <w:bottom w:w="0" w:type="dxa"/>
              <w:right w:w="0" w:type="dxa"/>
            </w:tcMar>
            <w:vAlign w:val="center"/>
          </w:tcPr>
          <w:p w14:paraId="1B37EA93">
            <w:pPr>
              <w:widowControl w:val="0"/>
              <w:jc w:val="center"/>
            </w:pPr>
            <w:r>
              <w:rPr>
                <w:b/>
                <w:bCs/>
              </w:rPr>
              <w:t>弱电设备</w:t>
            </w:r>
          </w:p>
        </w:tc>
        <w:tc>
          <w:tcPr>
            <w:tcW w:w="0" w:type="auto"/>
            <w:shd w:val="clear" w:color="auto" w:fill="FFFFFF"/>
            <w:tcMar>
              <w:top w:w="0" w:type="dxa"/>
              <w:left w:w="0" w:type="dxa"/>
              <w:bottom w:w="0" w:type="dxa"/>
              <w:right w:w="0" w:type="dxa"/>
            </w:tcMar>
            <w:vAlign w:val="center"/>
          </w:tcPr>
          <w:p w14:paraId="7792A71F">
            <w:pPr>
              <w:widowControl w:val="0"/>
            </w:pPr>
            <w:r>
              <w:t>监控电脑主机</w:t>
            </w:r>
          </w:p>
        </w:tc>
        <w:tc>
          <w:tcPr>
            <w:tcW w:w="1092" w:type="dxa"/>
            <w:shd w:val="clear" w:color="auto" w:fill="FFFFFF"/>
            <w:tcMar>
              <w:top w:w="0" w:type="dxa"/>
              <w:left w:w="0" w:type="dxa"/>
              <w:bottom w:w="0" w:type="dxa"/>
              <w:right w:w="0" w:type="dxa"/>
            </w:tcMar>
            <w:vAlign w:val="center"/>
          </w:tcPr>
          <w:p w14:paraId="5907CF66">
            <w:pPr>
              <w:widowControl w:val="0"/>
              <w:jc w:val="center"/>
            </w:pPr>
            <w:r>
              <w:t>3 套</w:t>
            </w:r>
          </w:p>
        </w:tc>
        <w:tc>
          <w:tcPr>
            <w:tcW w:w="2977" w:type="dxa"/>
            <w:shd w:val="clear" w:color="auto" w:fill="FFFFFF"/>
            <w:tcMar>
              <w:top w:w="0" w:type="dxa"/>
              <w:left w:w="0" w:type="dxa"/>
              <w:bottom w:w="0" w:type="dxa"/>
              <w:right w:w="0" w:type="dxa"/>
            </w:tcMar>
            <w:vAlign w:val="center"/>
          </w:tcPr>
          <w:p w14:paraId="359AA080">
            <w:pPr>
              <w:widowControl w:val="0"/>
            </w:pPr>
            <w:r>
              <w:t>-</w:t>
            </w:r>
          </w:p>
        </w:tc>
      </w:tr>
      <w:tr w14:paraId="0EF9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B85912A">
            <w:pPr>
              <w:widowControl w:val="0"/>
              <w:jc w:val="center"/>
            </w:pPr>
          </w:p>
        </w:tc>
        <w:tc>
          <w:tcPr>
            <w:tcW w:w="0" w:type="auto"/>
            <w:shd w:val="clear" w:color="auto" w:fill="FFFFFF"/>
            <w:tcMar>
              <w:top w:w="0" w:type="dxa"/>
              <w:left w:w="0" w:type="dxa"/>
              <w:bottom w:w="0" w:type="dxa"/>
              <w:right w:w="0" w:type="dxa"/>
            </w:tcMar>
            <w:vAlign w:val="center"/>
          </w:tcPr>
          <w:p w14:paraId="51F7D9DC">
            <w:pPr>
              <w:widowControl w:val="0"/>
            </w:pPr>
            <w:r>
              <w:t>数字接收机</w:t>
            </w:r>
          </w:p>
        </w:tc>
        <w:tc>
          <w:tcPr>
            <w:tcW w:w="1092" w:type="dxa"/>
            <w:shd w:val="clear" w:color="auto" w:fill="FFFFFF"/>
            <w:tcMar>
              <w:top w:w="0" w:type="dxa"/>
              <w:left w:w="0" w:type="dxa"/>
              <w:bottom w:w="0" w:type="dxa"/>
              <w:right w:w="0" w:type="dxa"/>
            </w:tcMar>
            <w:vAlign w:val="center"/>
          </w:tcPr>
          <w:p w14:paraId="0C24BD28">
            <w:pPr>
              <w:widowControl w:val="0"/>
              <w:jc w:val="center"/>
            </w:pPr>
            <w:r>
              <w:t>9 套</w:t>
            </w:r>
          </w:p>
        </w:tc>
        <w:tc>
          <w:tcPr>
            <w:tcW w:w="2977" w:type="dxa"/>
            <w:shd w:val="clear" w:color="auto" w:fill="FFFFFF"/>
            <w:tcMar>
              <w:top w:w="0" w:type="dxa"/>
              <w:left w:w="0" w:type="dxa"/>
              <w:bottom w:w="0" w:type="dxa"/>
              <w:right w:w="0" w:type="dxa"/>
            </w:tcMar>
            <w:vAlign w:val="center"/>
          </w:tcPr>
          <w:p w14:paraId="119890C5">
            <w:pPr>
              <w:widowControl w:val="0"/>
            </w:pPr>
            <w:r>
              <w:t>-</w:t>
            </w:r>
          </w:p>
        </w:tc>
      </w:tr>
      <w:tr w14:paraId="030C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DA11054">
            <w:pPr>
              <w:widowControl w:val="0"/>
              <w:jc w:val="center"/>
            </w:pPr>
          </w:p>
        </w:tc>
        <w:tc>
          <w:tcPr>
            <w:tcW w:w="0" w:type="auto"/>
            <w:shd w:val="clear" w:color="auto" w:fill="FFFFFF"/>
            <w:tcMar>
              <w:top w:w="0" w:type="dxa"/>
              <w:left w:w="0" w:type="dxa"/>
              <w:bottom w:w="0" w:type="dxa"/>
              <w:right w:w="0" w:type="dxa"/>
            </w:tcMar>
            <w:vAlign w:val="center"/>
          </w:tcPr>
          <w:p w14:paraId="1F2C5878">
            <w:pPr>
              <w:widowControl w:val="0"/>
            </w:pPr>
            <w:r>
              <w:t>周界报警</w:t>
            </w:r>
          </w:p>
        </w:tc>
        <w:tc>
          <w:tcPr>
            <w:tcW w:w="1092" w:type="dxa"/>
            <w:shd w:val="clear" w:color="auto" w:fill="FFFFFF"/>
            <w:tcMar>
              <w:top w:w="0" w:type="dxa"/>
              <w:left w:w="0" w:type="dxa"/>
              <w:bottom w:w="0" w:type="dxa"/>
              <w:right w:w="0" w:type="dxa"/>
            </w:tcMar>
            <w:vAlign w:val="center"/>
          </w:tcPr>
          <w:p w14:paraId="00F45AA1">
            <w:pPr>
              <w:widowControl w:val="0"/>
              <w:jc w:val="center"/>
            </w:pPr>
            <w:r>
              <w:t>4 套</w:t>
            </w:r>
          </w:p>
        </w:tc>
        <w:tc>
          <w:tcPr>
            <w:tcW w:w="2977" w:type="dxa"/>
            <w:shd w:val="clear" w:color="auto" w:fill="FFFFFF"/>
            <w:tcMar>
              <w:top w:w="0" w:type="dxa"/>
              <w:left w:w="0" w:type="dxa"/>
              <w:bottom w:w="0" w:type="dxa"/>
              <w:right w:w="0" w:type="dxa"/>
            </w:tcMar>
            <w:vAlign w:val="center"/>
          </w:tcPr>
          <w:p w14:paraId="2DDCB33D">
            <w:pPr>
              <w:widowControl w:val="0"/>
            </w:pPr>
            <w:r>
              <w:t>-</w:t>
            </w:r>
          </w:p>
        </w:tc>
      </w:tr>
      <w:tr w14:paraId="5383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0679F08">
            <w:pPr>
              <w:widowControl w:val="0"/>
              <w:jc w:val="center"/>
            </w:pPr>
          </w:p>
        </w:tc>
        <w:tc>
          <w:tcPr>
            <w:tcW w:w="0" w:type="auto"/>
            <w:shd w:val="clear" w:color="auto" w:fill="FFFFFF"/>
            <w:tcMar>
              <w:top w:w="0" w:type="dxa"/>
              <w:left w:w="0" w:type="dxa"/>
              <w:bottom w:w="0" w:type="dxa"/>
              <w:right w:w="0" w:type="dxa"/>
            </w:tcMar>
            <w:vAlign w:val="center"/>
          </w:tcPr>
          <w:p w14:paraId="2176566D">
            <w:pPr>
              <w:widowControl w:val="0"/>
            </w:pPr>
            <w:r>
              <w:t>光纤机</w:t>
            </w:r>
          </w:p>
        </w:tc>
        <w:tc>
          <w:tcPr>
            <w:tcW w:w="1092" w:type="dxa"/>
            <w:shd w:val="clear" w:color="auto" w:fill="FFFFFF"/>
            <w:tcMar>
              <w:top w:w="0" w:type="dxa"/>
              <w:left w:w="0" w:type="dxa"/>
              <w:bottom w:w="0" w:type="dxa"/>
              <w:right w:w="0" w:type="dxa"/>
            </w:tcMar>
            <w:vAlign w:val="center"/>
          </w:tcPr>
          <w:p w14:paraId="57313586">
            <w:pPr>
              <w:widowControl w:val="0"/>
              <w:jc w:val="center"/>
            </w:pPr>
            <w:r>
              <w:t>14 套</w:t>
            </w:r>
          </w:p>
        </w:tc>
        <w:tc>
          <w:tcPr>
            <w:tcW w:w="2977" w:type="dxa"/>
            <w:shd w:val="clear" w:color="auto" w:fill="FFFFFF"/>
            <w:tcMar>
              <w:top w:w="0" w:type="dxa"/>
              <w:left w:w="0" w:type="dxa"/>
              <w:bottom w:w="0" w:type="dxa"/>
              <w:right w:w="0" w:type="dxa"/>
            </w:tcMar>
            <w:vAlign w:val="center"/>
          </w:tcPr>
          <w:p w14:paraId="25586BC6">
            <w:pPr>
              <w:widowControl w:val="0"/>
            </w:pPr>
            <w:r>
              <w:t>-</w:t>
            </w:r>
          </w:p>
        </w:tc>
      </w:tr>
      <w:tr w14:paraId="418A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71548E08">
            <w:pPr>
              <w:widowControl w:val="0"/>
              <w:jc w:val="center"/>
            </w:pPr>
          </w:p>
        </w:tc>
        <w:tc>
          <w:tcPr>
            <w:tcW w:w="0" w:type="auto"/>
            <w:shd w:val="clear" w:color="auto" w:fill="FFFFFF"/>
            <w:tcMar>
              <w:top w:w="0" w:type="dxa"/>
              <w:left w:w="0" w:type="dxa"/>
              <w:bottom w:w="0" w:type="dxa"/>
              <w:right w:w="0" w:type="dxa"/>
            </w:tcMar>
            <w:vAlign w:val="center"/>
          </w:tcPr>
          <w:p w14:paraId="635CF814">
            <w:pPr>
              <w:widowControl w:val="0"/>
            </w:pPr>
            <w:r>
              <w:t>磁盘录像机</w:t>
            </w:r>
          </w:p>
        </w:tc>
        <w:tc>
          <w:tcPr>
            <w:tcW w:w="1092" w:type="dxa"/>
            <w:shd w:val="clear" w:color="auto" w:fill="FFFFFF"/>
            <w:tcMar>
              <w:top w:w="0" w:type="dxa"/>
              <w:left w:w="0" w:type="dxa"/>
              <w:bottom w:w="0" w:type="dxa"/>
              <w:right w:w="0" w:type="dxa"/>
            </w:tcMar>
            <w:vAlign w:val="center"/>
          </w:tcPr>
          <w:p w14:paraId="4E451F7A">
            <w:pPr>
              <w:widowControl w:val="0"/>
              <w:jc w:val="center"/>
            </w:pPr>
            <w:r>
              <w:t>21 台</w:t>
            </w:r>
          </w:p>
        </w:tc>
        <w:tc>
          <w:tcPr>
            <w:tcW w:w="2977" w:type="dxa"/>
            <w:shd w:val="clear" w:color="auto" w:fill="FFFFFF"/>
            <w:tcMar>
              <w:top w:w="0" w:type="dxa"/>
              <w:left w:w="0" w:type="dxa"/>
              <w:bottom w:w="0" w:type="dxa"/>
              <w:right w:w="0" w:type="dxa"/>
            </w:tcMar>
            <w:vAlign w:val="center"/>
          </w:tcPr>
          <w:p w14:paraId="3F77D5BF">
            <w:pPr>
              <w:widowControl w:val="0"/>
            </w:pPr>
            <w:r>
              <w:t>-</w:t>
            </w:r>
          </w:p>
        </w:tc>
      </w:tr>
      <w:tr w14:paraId="3F94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2399775">
            <w:pPr>
              <w:widowControl w:val="0"/>
              <w:jc w:val="center"/>
            </w:pPr>
          </w:p>
        </w:tc>
        <w:tc>
          <w:tcPr>
            <w:tcW w:w="0" w:type="auto"/>
            <w:shd w:val="clear" w:color="auto" w:fill="FFFFFF"/>
            <w:tcMar>
              <w:top w:w="0" w:type="dxa"/>
              <w:left w:w="0" w:type="dxa"/>
              <w:bottom w:w="0" w:type="dxa"/>
              <w:right w:w="0" w:type="dxa"/>
            </w:tcMar>
            <w:vAlign w:val="center"/>
          </w:tcPr>
          <w:p w14:paraId="65F6EDD6">
            <w:pPr>
              <w:widowControl w:val="0"/>
            </w:pPr>
            <w:r>
              <w:t>视频分配器</w:t>
            </w:r>
          </w:p>
        </w:tc>
        <w:tc>
          <w:tcPr>
            <w:tcW w:w="1092" w:type="dxa"/>
            <w:shd w:val="clear" w:color="auto" w:fill="FFFFFF"/>
            <w:tcMar>
              <w:top w:w="0" w:type="dxa"/>
              <w:left w:w="0" w:type="dxa"/>
              <w:bottom w:w="0" w:type="dxa"/>
              <w:right w:w="0" w:type="dxa"/>
            </w:tcMar>
            <w:vAlign w:val="center"/>
          </w:tcPr>
          <w:p w14:paraId="4CDC7EAF">
            <w:pPr>
              <w:widowControl w:val="0"/>
              <w:jc w:val="center"/>
            </w:pPr>
            <w:r>
              <w:t>26 台</w:t>
            </w:r>
          </w:p>
        </w:tc>
        <w:tc>
          <w:tcPr>
            <w:tcW w:w="2977" w:type="dxa"/>
            <w:shd w:val="clear" w:color="auto" w:fill="FFFFFF"/>
            <w:tcMar>
              <w:top w:w="0" w:type="dxa"/>
              <w:left w:w="0" w:type="dxa"/>
              <w:bottom w:w="0" w:type="dxa"/>
              <w:right w:w="0" w:type="dxa"/>
            </w:tcMar>
            <w:vAlign w:val="center"/>
          </w:tcPr>
          <w:p w14:paraId="56C4AEF5">
            <w:pPr>
              <w:widowControl w:val="0"/>
            </w:pPr>
            <w:r>
              <w:t>-</w:t>
            </w:r>
          </w:p>
        </w:tc>
      </w:tr>
      <w:tr w14:paraId="1789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CAACB28">
            <w:pPr>
              <w:widowControl w:val="0"/>
              <w:jc w:val="center"/>
            </w:pPr>
          </w:p>
        </w:tc>
        <w:tc>
          <w:tcPr>
            <w:tcW w:w="0" w:type="auto"/>
            <w:shd w:val="clear" w:color="auto" w:fill="FFFFFF"/>
            <w:tcMar>
              <w:top w:w="0" w:type="dxa"/>
              <w:left w:w="0" w:type="dxa"/>
              <w:bottom w:w="0" w:type="dxa"/>
              <w:right w:w="0" w:type="dxa"/>
            </w:tcMar>
            <w:vAlign w:val="center"/>
          </w:tcPr>
          <w:p w14:paraId="2F906759">
            <w:pPr>
              <w:widowControl w:val="0"/>
            </w:pPr>
            <w:r>
              <w:t>彩色监视器</w:t>
            </w:r>
          </w:p>
        </w:tc>
        <w:tc>
          <w:tcPr>
            <w:tcW w:w="1092" w:type="dxa"/>
            <w:shd w:val="clear" w:color="auto" w:fill="FFFFFF"/>
            <w:tcMar>
              <w:top w:w="0" w:type="dxa"/>
              <w:left w:w="0" w:type="dxa"/>
              <w:bottom w:w="0" w:type="dxa"/>
              <w:right w:w="0" w:type="dxa"/>
            </w:tcMar>
            <w:vAlign w:val="center"/>
          </w:tcPr>
          <w:p w14:paraId="21BE3DE2">
            <w:pPr>
              <w:widowControl w:val="0"/>
              <w:jc w:val="center"/>
            </w:pPr>
            <w:r>
              <w:t>48 套</w:t>
            </w:r>
          </w:p>
        </w:tc>
        <w:tc>
          <w:tcPr>
            <w:tcW w:w="2977" w:type="dxa"/>
            <w:shd w:val="clear" w:color="auto" w:fill="FFFFFF"/>
            <w:tcMar>
              <w:top w:w="0" w:type="dxa"/>
              <w:left w:w="0" w:type="dxa"/>
              <w:bottom w:w="0" w:type="dxa"/>
              <w:right w:w="0" w:type="dxa"/>
            </w:tcMar>
            <w:vAlign w:val="center"/>
          </w:tcPr>
          <w:p w14:paraId="29CEAD82">
            <w:pPr>
              <w:widowControl w:val="0"/>
            </w:pPr>
            <w:r>
              <w:t>-</w:t>
            </w:r>
          </w:p>
        </w:tc>
      </w:tr>
      <w:tr w14:paraId="7C00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D02D11F">
            <w:pPr>
              <w:widowControl w:val="0"/>
              <w:jc w:val="center"/>
            </w:pPr>
          </w:p>
        </w:tc>
        <w:tc>
          <w:tcPr>
            <w:tcW w:w="0" w:type="auto"/>
            <w:shd w:val="clear" w:color="auto" w:fill="FFFFFF"/>
            <w:tcMar>
              <w:top w:w="0" w:type="dxa"/>
              <w:left w:w="0" w:type="dxa"/>
              <w:bottom w:w="0" w:type="dxa"/>
              <w:right w:w="0" w:type="dxa"/>
            </w:tcMar>
            <w:vAlign w:val="center"/>
          </w:tcPr>
          <w:p w14:paraId="372DB8ED">
            <w:pPr>
              <w:widowControl w:val="0"/>
            </w:pPr>
            <w:r>
              <w:t>液晶彩色监视器</w:t>
            </w:r>
          </w:p>
        </w:tc>
        <w:tc>
          <w:tcPr>
            <w:tcW w:w="1092" w:type="dxa"/>
            <w:shd w:val="clear" w:color="auto" w:fill="FFFFFF"/>
            <w:tcMar>
              <w:top w:w="0" w:type="dxa"/>
              <w:left w:w="0" w:type="dxa"/>
              <w:bottom w:w="0" w:type="dxa"/>
              <w:right w:w="0" w:type="dxa"/>
            </w:tcMar>
            <w:vAlign w:val="center"/>
          </w:tcPr>
          <w:p w14:paraId="4023D75F">
            <w:pPr>
              <w:widowControl w:val="0"/>
              <w:jc w:val="center"/>
            </w:pPr>
            <w:r>
              <w:t>7 套</w:t>
            </w:r>
          </w:p>
        </w:tc>
        <w:tc>
          <w:tcPr>
            <w:tcW w:w="2977" w:type="dxa"/>
            <w:shd w:val="clear" w:color="auto" w:fill="FFFFFF"/>
            <w:tcMar>
              <w:top w:w="0" w:type="dxa"/>
              <w:left w:w="0" w:type="dxa"/>
              <w:bottom w:w="0" w:type="dxa"/>
              <w:right w:w="0" w:type="dxa"/>
            </w:tcMar>
            <w:vAlign w:val="center"/>
          </w:tcPr>
          <w:p w14:paraId="1BB555FF">
            <w:pPr>
              <w:widowControl w:val="0"/>
            </w:pPr>
            <w:r>
              <w:t>-</w:t>
            </w:r>
          </w:p>
        </w:tc>
      </w:tr>
      <w:tr w14:paraId="7CDE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2A11DF6">
            <w:pPr>
              <w:widowControl w:val="0"/>
              <w:jc w:val="center"/>
            </w:pPr>
          </w:p>
        </w:tc>
        <w:tc>
          <w:tcPr>
            <w:tcW w:w="0" w:type="auto"/>
            <w:shd w:val="clear" w:color="auto" w:fill="FFFFFF"/>
            <w:tcMar>
              <w:top w:w="0" w:type="dxa"/>
              <w:left w:w="0" w:type="dxa"/>
              <w:bottom w:w="0" w:type="dxa"/>
              <w:right w:w="0" w:type="dxa"/>
            </w:tcMar>
            <w:vAlign w:val="center"/>
          </w:tcPr>
          <w:p w14:paraId="4CC6B420">
            <w:pPr>
              <w:widowControl w:val="0"/>
            </w:pPr>
            <w:r>
              <w:t>防盗报警</w:t>
            </w:r>
          </w:p>
        </w:tc>
        <w:tc>
          <w:tcPr>
            <w:tcW w:w="1092" w:type="dxa"/>
            <w:shd w:val="clear" w:color="auto" w:fill="FFFFFF"/>
            <w:tcMar>
              <w:top w:w="0" w:type="dxa"/>
              <w:left w:w="0" w:type="dxa"/>
              <w:bottom w:w="0" w:type="dxa"/>
              <w:right w:w="0" w:type="dxa"/>
            </w:tcMar>
            <w:vAlign w:val="center"/>
          </w:tcPr>
          <w:p w14:paraId="6AA15BC5">
            <w:pPr>
              <w:widowControl w:val="0"/>
              <w:jc w:val="center"/>
            </w:pPr>
            <w:r>
              <w:t>10 套</w:t>
            </w:r>
          </w:p>
        </w:tc>
        <w:tc>
          <w:tcPr>
            <w:tcW w:w="2977" w:type="dxa"/>
            <w:shd w:val="clear" w:color="auto" w:fill="FFFFFF"/>
            <w:tcMar>
              <w:top w:w="0" w:type="dxa"/>
              <w:left w:w="0" w:type="dxa"/>
              <w:bottom w:w="0" w:type="dxa"/>
              <w:right w:w="0" w:type="dxa"/>
            </w:tcMar>
            <w:vAlign w:val="center"/>
          </w:tcPr>
          <w:p w14:paraId="3085C626">
            <w:pPr>
              <w:widowControl w:val="0"/>
            </w:pPr>
            <w:r>
              <w:t>-</w:t>
            </w:r>
          </w:p>
        </w:tc>
      </w:tr>
      <w:tr w14:paraId="1B80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494BE8F">
            <w:pPr>
              <w:widowControl w:val="0"/>
              <w:jc w:val="center"/>
            </w:pPr>
          </w:p>
        </w:tc>
        <w:tc>
          <w:tcPr>
            <w:tcW w:w="0" w:type="auto"/>
            <w:shd w:val="clear" w:color="auto" w:fill="FFFFFF"/>
            <w:tcMar>
              <w:top w:w="0" w:type="dxa"/>
              <w:left w:w="0" w:type="dxa"/>
              <w:bottom w:w="0" w:type="dxa"/>
              <w:right w:w="0" w:type="dxa"/>
            </w:tcMar>
            <w:vAlign w:val="center"/>
          </w:tcPr>
          <w:p w14:paraId="0B8A8EE6">
            <w:pPr>
              <w:widowControl w:val="0"/>
            </w:pPr>
            <w:r>
              <w:t>安防电源及控制箱</w:t>
            </w:r>
          </w:p>
        </w:tc>
        <w:tc>
          <w:tcPr>
            <w:tcW w:w="1092" w:type="dxa"/>
            <w:shd w:val="clear" w:color="auto" w:fill="FFFFFF"/>
            <w:tcMar>
              <w:top w:w="0" w:type="dxa"/>
              <w:left w:w="0" w:type="dxa"/>
              <w:bottom w:w="0" w:type="dxa"/>
              <w:right w:w="0" w:type="dxa"/>
            </w:tcMar>
            <w:vAlign w:val="center"/>
          </w:tcPr>
          <w:p w14:paraId="4CE8DD8F">
            <w:pPr>
              <w:widowControl w:val="0"/>
              <w:jc w:val="center"/>
            </w:pPr>
            <w:r>
              <w:t>50 套</w:t>
            </w:r>
          </w:p>
        </w:tc>
        <w:tc>
          <w:tcPr>
            <w:tcW w:w="2977" w:type="dxa"/>
            <w:shd w:val="clear" w:color="auto" w:fill="FFFFFF"/>
            <w:tcMar>
              <w:top w:w="0" w:type="dxa"/>
              <w:left w:w="0" w:type="dxa"/>
              <w:bottom w:w="0" w:type="dxa"/>
              <w:right w:w="0" w:type="dxa"/>
            </w:tcMar>
            <w:vAlign w:val="center"/>
          </w:tcPr>
          <w:p w14:paraId="2CE66C1E">
            <w:pPr>
              <w:widowControl w:val="0"/>
            </w:pPr>
            <w:r>
              <w:t>-</w:t>
            </w:r>
          </w:p>
        </w:tc>
      </w:tr>
      <w:tr w14:paraId="5F68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3506348">
            <w:pPr>
              <w:widowControl w:val="0"/>
              <w:jc w:val="center"/>
            </w:pPr>
          </w:p>
        </w:tc>
        <w:tc>
          <w:tcPr>
            <w:tcW w:w="0" w:type="auto"/>
            <w:shd w:val="clear" w:color="auto" w:fill="FFFFFF"/>
            <w:tcMar>
              <w:top w:w="0" w:type="dxa"/>
              <w:left w:w="0" w:type="dxa"/>
              <w:bottom w:w="0" w:type="dxa"/>
              <w:right w:w="0" w:type="dxa"/>
            </w:tcMar>
            <w:vAlign w:val="center"/>
          </w:tcPr>
          <w:p w14:paraId="3F36EDE7">
            <w:pPr>
              <w:widowControl w:val="0"/>
            </w:pPr>
            <w:r>
              <w:t>BA 控制箱</w:t>
            </w:r>
          </w:p>
        </w:tc>
        <w:tc>
          <w:tcPr>
            <w:tcW w:w="1092" w:type="dxa"/>
            <w:shd w:val="clear" w:color="auto" w:fill="FFFFFF"/>
            <w:tcMar>
              <w:top w:w="0" w:type="dxa"/>
              <w:left w:w="0" w:type="dxa"/>
              <w:bottom w:w="0" w:type="dxa"/>
              <w:right w:w="0" w:type="dxa"/>
            </w:tcMar>
            <w:vAlign w:val="center"/>
          </w:tcPr>
          <w:p w14:paraId="125522A7">
            <w:pPr>
              <w:widowControl w:val="0"/>
              <w:jc w:val="center"/>
            </w:pPr>
            <w:r>
              <w:t>94 套</w:t>
            </w:r>
          </w:p>
        </w:tc>
        <w:tc>
          <w:tcPr>
            <w:tcW w:w="2977" w:type="dxa"/>
            <w:shd w:val="clear" w:color="auto" w:fill="FFFFFF"/>
            <w:tcMar>
              <w:top w:w="0" w:type="dxa"/>
              <w:left w:w="0" w:type="dxa"/>
              <w:bottom w:w="0" w:type="dxa"/>
              <w:right w:w="0" w:type="dxa"/>
            </w:tcMar>
            <w:vAlign w:val="center"/>
          </w:tcPr>
          <w:p w14:paraId="788EE136">
            <w:pPr>
              <w:widowControl w:val="0"/>
            </w:pPr>
            <w:r>
              <w:t>-</w:t>
            </w:r>
          </w:p>
        </w:tc>
      </w:tr>
      <w:tr w14:paraId="6AF4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4AD315AF">
            <w:pPr>
              <w:widowControl w:val="0"/>
              <w:jc w:val="center"/>
            </w:pPr>
          </w:p>
        </w:tc>
        <w:tc>
          <w:tcPr>
            <w:tcW w:w="0" w:type="auto"/>
            <w:shd w:val="clear" w:color="auto" w:fill="FFFFFF"/>
            <w:tcMar>
              <w:top w:w="0" w:type="dxa"/>
              <w:left w:w="0" w:type="dxa"/>
              <w:bottom w:w="0" w:type="dxa"/>
              <w:right w:w="0" w:type="dxa"/>
            </w:tcMar>
            <w:vAlign w:val="center"/>
          </w:tcPr>
          <w:p w14:paraId="57EF6BFA">
            <w:pPr>
              <w:widowControl w:val="0"/>
            </w:pPr>
            <w:r>
              <w:t>道闸</w:t>
            </w:r>
          </w:p>
        </w:tc>
        <w:tc>
          <w:tcPr>
            <w:tcW w:w="1092" w:type="dxa"/>
            <w:shd w:val="clear" w:color="auto" w:fill="FFFFFF"/>
            <w:tcMar>
              <w:top w:w="0" w:type="dxa"/>
              <w:left w:w="0" w:type="dxa"/>
              <w:bottom w:w="0" w:type="dxa"/>
              <w:right w:w="0" w:type="dxa"/>
            </w:tcMar>
            <w:vAlign w:val="center"/>
          </w:tcPr>
          <w:p w14:paraId="6D19DBF3">
            <w:pPr>
              <w:widowControl w:val="0"/>
              <w:jc w:val="center"/>
            </w:pPr>
            <w:r>
              <w:t>5 套</w:t>
            </w:r>
          </w:p>
        </w:tc>
        <w:tc>
          <w:tcPr>
            <w:tcW w:w="2977" w:type="dxa"/>
            <w:shd w:val="clear" w:color="auto" w:fill="FFFFFF"/>
            <w:tcMar>
              <w:top w:w="0" w:type="dxa"/>
              <w:left w:w="0" w:type="dxa"/>
              <w:bottom w:w="0" w:type="dxa"/>
              <w:right w:w="0" w:type="dxa"/>
            </w:tcMar>
            <w:vAlign w:val="center"/>
          </w:tcPr>
          <w:p w14:paraId="44D5EE41">
            <w:pPr>
              <w:widowControl w:val="0"/>
            </w:pPr>
            <w:r>
              <w:t>-</w:t>
            </w:r>
          </w:p>
        </w:tc>
      </w:tr>
      <w:tr w14:paraId="7B46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3D8EB2D">
            <w:pPr>
              <w:widowControl w:val="0"/>
              <w:jc w:val="center"/>
            </w:pPr>
          </w:p>
        </w:tc>
        <w:tc>
          <w:tcPr>
            <w:tcW w:w="0" w:type="auto"/>
            <w:shd w:val="clear" w:color="auto" w:fill="FFFFFF"/>
            <w:tcMar>
              <w:top w:w="0" w:type="dxa"/>
              <w:left w:w="0" w:type="dxa"/>
              <w:bottom w:w="0" w:type="dxa"/>
              <w:right w:w="0" w:type="dxa"/>
            </w:tcMar>
            <w:vAlign w:val="center"/>
          </w:tcPr>
          <w:p w14:paraId="396D95CF">
            <w:pPr>
              <w:widowControl w:val="0"/>
            </w:pPr>
            <w:r>
              <w:t>移动伸缩门</w:t>
            </w:r>
          </w:p>
        </w:tc>
        <w:tc>
          <w:tcPr>
            <w:tcW w:w="1092" w:type="dxa"/>
            <w:shd w:val="clear" w:color="auto" w:fill="FFFFFF"/>
            <w:tcMar>
              <w:top w:w="0" w:type="dxa"/>
              <w:left w:w="0" w:type="dxa"/>
              <w:bottom w:w="0" w:type="dxa"/>
              <w:right w:w="0" w:type="dxa"/>
            </w:tcMar>
            <w:vAlign w:val="center"/>
          </w:tcPr>
          <w:p w14:paraId="19AFE805">
            <w:pPr>
              <w:widowControl w:val="0"/>
              <w:jc w:val="center"/>
            </w:pPr>
            <w:r>
              <w:t>2 套</w:t>
            </w:r>
          </w:p>
        </w:tc>
        <w:tc>
          <w:tcPr>
            <w:tcW w:w="2977" w:type="dxa"/>
            <w:shd w:val="clear" w:color="auto" w:fill="FFFFFF"/>
            <w:tcMar>
              <w:top w:w="0" w:type="dxa"/>
              <w:left w:w="0" w:type="dxa"/>
              <w:bottom w:w="0" w:type="dxa"/>
              <w:right w:w="0" w:type="dxa"/>
            </w:tcMar>
            <w:vAlign w:val="center"/>
          </w:tcPr>
          <w:p w14:paraId="04D5066A">
            <w:pPr>
              <w:widowControl w:val="0"/>
            </w:pPr>
            <w:r>
              <w:t>-</w:t>
            </w:r>
          </w:p>
        </w:tc>
      </w:tr>
      <w:tr w14:paraId="4C26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7BBD0EE">
            <w:pPr>
              <w:widowControl w:val="0"/>
              <w:jc w:val="center"/>
            </w:pPr>
          </w:p>
        </w:tc>
        <w:tc>
          <w:tcPr>
            <w:tcW w:w="0" w:type="auto"/>
            <w:shd w:val="clear" w:color="auto" w:fill="FFFFFF"/>
            <w:tcMar>
              <w:top w:w="0" w:type="dxa"/>
              <w:left w:w="0" w:type="dxa"/>
              <w:bottom w:w="0" w:type="dxa"/>
              <w:right w:w="0" w:type="dxa"/>
            </w:tcMar>
            <w:vAlign w:val="center"/>
          </w:tcPr>
          <w:p w14:paraId="54758C2A">
            <w:pPr>
              <w:widowControl w:val="0"/>
            </w:pPr>
            <w:r>
              <w:t>CATV 调制器</w:t>
            </w:r>
          </w:p>
        </w:tc>
        <w:tc>
          <w:tcPr>
            <w:tcW w:w="1092" w:type="dxa"/>
            <w:shd w:val="clear" w:color="auto" w:fill="FFFFFF"/>
            <w:tcMar>
              <w:top w:w="0" w:type="dxa"/>
              <w:left w:w="0" w:type="dxa"/>
              <w:bottom w:w="0" w:type="dxa"/>
              <w:right w:w="0" w:type="dxa"/>
            </w:tcMar>
            <w:vAlign w:val="center"/>
          </w:tcPr>
          <w:p w14:paraId="596CA943">
            <w:pPr>
              <w:widowControl w:val="0"/>
              <w:jc w:val="center"/>
            </w:pPr>
            <w:r>
              <w:t>18 套</w:t>
            </w:r>
          </w:p>
        </w:tc>
        <w:tc>
          <w:tcPr>
            <w:tcW w:w="2977" w:type="dxa"/>
            <w:shd w:val="clear" w:color="auto" w:fill="FFFFFF"/>
            <w:tcMar>
              <w:top w:w="0" w:type="dxa"/>
              <w:left w:w="0" w:type="dxa"/>
              <w:bottom w:w="0" w:type="dxa"/>
              <w:right w:w="0" w:type="dxa"/>
            </w:tcMar>
            <w:vAlign w:val="center"/>
          </w:tcPr>
          <w:p w14:paraId="68BBB0C4">
            <w:pPr>
              <w:widowControl w:val="0"/>
            </w:pPr>
            <w:r>
              <w:t>-</w:t>
            </w:r>
          </w:p>
        </w:tc>
      </w:tr>
      <w:tr w14:paraId="5E3B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7EB25151">
            <w:pPr>
              <w:widowControl w:val="0"/>
              <w:jc w:val="center"/>
            </w:pPr>
          </w:p>
        </w:tc>
        <w:tc>
          <w:tcPr>
            <w:tcW w:w="0" w:type="auto"/>
            <w:shd w:val="clear" w:color="auto" w:fill="FFFFFF"/>
            <w:tcMar>
              <w:top w:w="0" w:type="dxa"/>
              <w:left w:w="0" w:type="dxa"/>
              <w:bottom w:w="0" w:type="dxa"/>
              <w:right w:w="0" w:type="dxa"/>
            </w:tcMar>
            <w:vAlign w:val="center"/>
          </w:tcPr>
          <w:p w14:paraId="75E32336">
            <w:pPr>
              <w:widowControl w:val="0"/>
            </w:pPr>
            <w:r>
              <w:t>卫星接收机</w:t>
            </w:r>
          </w:p>
        </w:tc>
        <w:tc>
          <w:tcPr>
            <w:tcW w:w="1092" w:type="dxa"/>
            <w:shd w:val="clear" w:color="auto" w:fill="FFFFFF"/>
            <w:tcMar>
              <w:top w:w="0" w:type="dxa"/>
              <w:left w:w="0" w:type="dxa"/>
              <w:bottom w:w="0" w:type="dxa"/>
              <w:right w:w="0" w:type="dxa"/>
            </w:tcMar>
            <w:vAlign w:val="center"/>
          </w:tcPr>
          <w:p w14:paraId="53FB644F">
            <w:pPr>
              <w:widowControl w:val="0"/>
              <w:jc w:val="center"/>
            </w:pPr>
            <w:r>
              <w:t>8 套</w:t>
            </w:r>
          </w:p>
        </w:tc>
        <w:tc>
          <w:tcPr>
            <w:tcW w:w="2977" w:type="dxa"/>
            <w:shd w:val="clear" w:color="auto" w:fill="FFFFFF"/>
            <w:tcMar>
              <w:top w:w="0" w:type="dxa"/>
              <w:left w:w="0" w:type="dxa"/>
              <w:bottom w:w="0" w:type="dxa"/>
              <w:right w:w="0" w:type="dxa"/>
            </w:tcMar>
            <w:vAlign w:val="center"/>
          </w:tcPr>
          <w:p w14:paraId="0F3E133A">
            <w:pPr>
              <w:widowControl w:val="0"/>
            </w:pPr>
            <w:r>
              <w:t>-</w:t>
            </w:r>
          </w:p>
        </w:tc>
      </w:tr>
      <w:tr w14:paraId="04B8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4D0BA325">
            <w:pPr>
              <w:widowControl w:val="0"/>
              <w:jc w:val="center"/>
            </w:pPr>
          </w:p>
        </w:tc>
        <w:tc>
          <w:tcPr>
            <w:tcW w:w="0" w:type="auto"/>
            <w:shd w:val="clear" w:color="auto" w:fill="FFFFFF"/>
            <w:tcMar>
              <w:top w:w="0" w:type="dxa"/>
              <w:left w:w="0" w:type="dxa"/>
              <w:bottom w:w="0" w:type="dxa"/>
              <w:right w:w="0" w:type="dxa"/>
            </w:tcMar>
            <w:vAlign w:val="center"/>
          </w:tcPr>
          <w:p w14:paraId="207D942C">
            <w:pPr>
              <w:widowControl w:val="0"/>
            </w:pPr>
            <w:r>
              <w:t>消防报警及控制</w:t>
            </w:r>
          </w:p>
        </w:tc>
        <w:tc>
          <w:tcPr>
            <w:tcW w:w="1092" w:type="dxa"/>
            <w:shd w:val="clear" w:color="auto" w:fill="FFFFFF"/>
            <w:tcMar>
              <w:top w:w="0" w:type="dxa"/>
              <w:left w:w="0" w:type="dxa"/>
              <w:bottom w:w="0" w:type="dxa"/>
              <w:right w:w="0" w:type="dxa"/>
            </w:tcMar>
            <w:vAlign w:val="center"/>
          </w:tcPr>
          <w:p w14:paraId="28EC3AA0">
            <w:pPr>
              <w:widowControl w:val="0"/>
              <w:jc w:val="center"/>
            </w:pPr>
            <w:r>
              <w:t>80 套</w:t>
            </w:r>
          </w:p>
        </w:tc>
        <w:tc>
          <w:tcPr>
            <w:tcW w:w="2977" w:type="dxa"/>
            <w:shd w:val="clear" w:color="auto" w:fill="FFFFFF"/>
            <w:tcMar>
              <w:top w:w="0" w:type="dxa"/>
              <w:left w:w="0" w:type="dxa"/>
              <w:bottom w:w="0" w:type="dxa"/>
              <w:right w:w="0" w:type="dxa"/>
            </w:tcMar>
            <w:vAlign w:val="center"/>
          </w:tcPr>
          <w:p w14:paraId="03CD0141">
            <w:pPr>
              <w:widowControl w:val="0"/>
            </w:pPr>
            <w:r>
              <w:t>-</w:t>
            </w:r>
          </w:p>
        </w:tc>
      </w:tr>
      <w:tr w14:paraId="0064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98FC20E">
            <w:pPr>
              <w:widowControl w:val="0"/>
              <w:jc w:val="center"/>
            </w:pPr>
          </w:p>
        </w:tc>
        <w:tc>
          <w:tcPr>
            <w:tcW w:w="0" w:type="auto"/>
            <w:shd w:val="clear" w:color="auto" w:fill="FFFFFF"/>
            <w:tcMar>
              <w:top w:w="0" w:type="dxa"/>
              <w:left w:w="0" w:type="dxa"/>
              <w:bottom w:w="0" w:type="dxa"/>
              <w:right w:w="0" w:type="dxa"/>
            </w:tcMar>
            <w:vAlign w:val="center"/>
          </w:tcPr>
          <w:p w14:paraId="1E420F56">
            <w:pPr>
              <w:widowControl w:val="0"/>
            </w:pPr>
            <w:r>
              <w:t>70 项多媒体及展项计算机</w:t>
            </w:r>
          </w:p>
        </w:tc>
        <w:tc>
          <w:tcPr>
            <w:tcW w:w="1092" w:type="dxa"/>
            <w:shd w:val="clear" w:color="auto" w:fill="FFFFFF"/>
            <w:tcMar>
              <w:top w:w="0" w:type="dxa"/>
              <w:left w:w="0" w:type="dxa"/>
              <w:bottom w:w="0" w:type="dxa"/>
              <w:right w:w="0" w:type="dxa"/>
            </w:tcMar>
            <w:vAlign w:val="center"/>
          </w:tcPr>
          <w:p w14:paraId="62422686">
            <w:pPr>
              <w:widowControl w:val="0"/>
              <w:jc w:val="center"/>
            </w:pPr>
            <w:r>
              <w:t>137 套</w:t>
            </w:r>
          </w:p>
        </w:tc>
        <w:tc>
          <w:tcPr>
            <w:tcW w:w="2977" w:type="dxa"/>
            <w:shd w:val="clear" w:color="auto" w:fill="FFFFFF"/>
            <w:tcMar>
              <w:top w:w="0" w:type="dxa"/>
              <w:left w:w="0" w:type="dxa"/>
              <w:bottom w:w="0" w:type="dxa"/>
              <w:right w:w="0" w:type="dxa"/>
            </w:tcMar>
            <w:vAlign w:val="center"/>
          </w:tcPr>
          <w:p w14:paraId="1E55050B">
            <w:pPr>
              <w:widowControl w:val="0"/>
            </w:pPr>
            <w:r>
              <w:t>-</w:t>
            </w:r>
          </w:p>
        </w:tc>
      </w:tr>
      <w:tr w14:paraId="5071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4841008">
            <w:pPr>
              <w:widowControl w:val="0"/>
              <w:jc w:val="center"/>
            </w:pPr>
          </w:p>
        </w:tc>
        <w:tc>
          <w:tcPr>
            <w:tcW w:w="0" w:type="auto"/>
            <w:shd w:val="clear" w:color="auto" w:fill="FFFFFF"/>
            <w:tcMar>
              <w:top w:w="0" w:type="dxa"/>
              <w:left w:w="0" w:type="dxa"/>
              <w:bottom w:w="0" w:type="dxa"/>
              <w:right w:w="0" w:type="dxa"/>
            </w:tcMar>
            <w:vAlign w:val="center"/>
          </w:tcPr>
          <w:p w14:paraId="482D5B31">
            <w:pPr>
              <w:widowControl w:val="0"/>
            </w:pPr>
            <w:r>
              <w:t>功放音响</w:t>
            </w:r>
          </w:p>
        </w:tc>
        <w:tc>
          <w:tcPr>
            <w:tcW w:w="1092" w:type="dxa"/>
            <w:shd w:val="clear" w:color="auto" w:fill="FFFFFF"/>
            <w:tcMar>
              <w:top w:w="0" w:type="dxa"/>
              <w:left w:w="0" w:type="dxa"/>
              <w:bottom w:w="0" w:type="dxa"/>
              <w:right w:w="0" w:type="dxa"/>
            </w:tcMar>
            <w:vAlign w:val="center"/>
          </w:tcPr>
          <w:p w14:paraId="107AA66F">
            <w:pPr>
              <w:widowControl w:val="0"/>
              <w:jc w:val="center"/>
            </w:pPr>
            <w:r>
              <w:t>13 套</w:t>
            </w:r>
          </w:p>
        </w:tc>
        <w:tc>
          <w:tcPr>
            <w:tcW w:w="2977" w:type="dxa"/>
            <w:shd w:val="clear" w:color="auto" w:fill="FFFFFF"/>
            <w:tcMar>
              <w:top w:w="0" w:type="dxa"/>
              <w:left w:w="0" w:type="dxa"/>
              <w:bottom w:w="0" w:type="dxa"/>
              <w:right w:w="0" w:type="dxa"/>
            </w:tcMar>
            <w:vAlign w:val="center"/>
          </w:tcPr>
          <w:p w14:paraId="4C27AC47">
            <w:pPr>
              <w:widowControl w:val="0"/>
            </w:pPr>
            <w:r>
              <w:t>-</w:t>
            </w:r>
          </w:p>
        </w:tc>
      </w:tr>
      <w:tr w14:paraId="6CCA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5194450">
            <w:pPr>
              <w:widowControl w:val="0"/>
              <w:jc w:val="center"/>
            </w:pPr>
          </w:p>
        </w:tc>
        <w:tc>
          <w:tcPr>
            <w:tcW w:w="0" w:type="auto"/>
            <w:shd w:val="clear" w:color="auto" w:fill="FFFFFF"/>
            <w:tcMar>
              <w:top w:w="0" w:type="dxa"/>
              <w:left w:w="0" w:type="dxa"/>
              <w:bottom w:w="0" w:type="dxa"/>
              <w:right w:w="0" w:type="dxa"/>
            </w:tcMar>
            <w:vAlign w:val="center"/>
          </w:tcPr>
          <w:p w14:paraId="26F1EC6E">
            <w:pPr>
              <w:widowControl w:val="0"/>
            </w:pPr>
            <w:r>
              <w:t>投影仪 / 投影设备</w:t>
            </w:r>
          </w:p>
        </w:tc>
        <w:tc>
          <w:tcPr>
            <w:tcW w:w="1092" w:type="dxa"/>
            <w:shd w:val="clear" w:color="auto" w:fill="FFFFFF"/>
            <w:tcMar>
              <w:top w:w="0" w:type="dxa"/>
              <w:left w:w="0" w:type="dxa"/>
              <w:bottom w:w="0" w:type="dxa"/>
              <w:right w:w="0" w:type="dxa"/>
            </w:tcMar>
            <w:vAlign w:val="center"/>
          </w:tcPr>
          <w:p w14:paraId="20377253">
            <w:pPr>
              <w:widowControl w:val="0"/>
              <w:jc w:val="center"/>
            </w:pPr>
            <w:r>
              <w:t>72 台 / 套</w:t>
            </w:r>
          </w:p>
        </w:tc>
        <w:tc>
          <w:tcPr>
            <w:tcW w:w="2977" w:type="dxa"/>
            <w:shd w:val="clear" w:color="auto" w:fill="FFFFFF"/>
            <w:tcMar>
              <w:top w:w="0" w:type="dxa"/>
              <w:left w:w="0" w:type="dxa"/>
              <w:bottom w:w="0" w:type="dxa"/>
              <w:right w:w="0" w:type="dxa"/>
            </w:tcMar>
            <w:vAlign w:val="center"/>
          </w:tcPr>
          <w:p w14:paraId="116A1C67">
            <w:pPr>
              <w:widowControl w:val="0"/>
            </w:pPr>
            <w:r>
              <w:t>含 39 套投影仪及 33 台投影设备，以现场为准</w:t>
            </w:r>
          </w:p>
        </w:tc>
      </w:tr>
      <w:tr w14:paraId="76FB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9E2AEAB">
            <w:pPr>
              <w:widowControl w:val="0"/>
              <w:jc w:val="center"/>
            </w:pPr>
          </w:p>
        </w:tc>
        <w:tc>
          <w:tcPr>
            <w:tcW w:w="0" w:type="auto"/>
            <w:shd w:val="clear" w:color="auto" w:fill="FFFFFF"/>
            <w:tcMar>
              <w:top w:w="0" w:type="dxa"/>
              <w:left w:w="0" w:type="dxa"/>
              <w:bottom w:w="0" w:type="dxa"/>
              <w:right w:w="0" w:type="dxa"/>
            </w:tcMar>
            <w:vAlign w:val="center"/>
          </w:tcPr>
          <w:p w14:paraId="00C364F4">
            <w:pPr>
              <w:widowControl w:val="0"/>
            </w:pPr>
            <w:r>
              <w:t>精密设备（总计）</w:t>
            </w:r>
          </w:p>
        </w:tc>
        <w:tc>
          <w:tcPr>
            <w:tcW w:w="1092" w:type="dxa"/>
            <w:shd w:val="clear" w:color="auto" w:fill="FFFFFF"/>
            <w:tcMar>
              <w:top w:w="0" w:type="dxa"/>
              <w:left w:w="0" w:type="dxa"/>
              <w:bottom w:w="0" w:type="dxa"/>
              <w:right w:w="0" w:type="dxa"/>
            </w:tcMar>
            <w:vAlign w:val="center"/>
          </w:tcPr>
          <w:p w14:paraId="49A3D1D2">
            <w:pPr>
              <w:widowControl w:val="0"/>
              <w:jc w:val="center"/>
            </w:pPr>
            <w:r>
              <w:t>超 200 台</w:t>
            </w:r>
          </w:p>
        </w:tc>
        <w:tc>
          <w:tcPr>
            <w:tcW w:w="2977" w:type="dxa"/>
            <w:shd w:val="clear" w:color="auto" w:fill="FFFFFF"/>
            <w:tcMar>
              <w:top w:w="0" w:type="dxa"/>
              <w:left w:w="0" w:type="dxa"/>
              <w:bottom w:w="0" w:type="dxa"/>
              <w:right w:w="0" w:type="dxa"/>
            </w:tcMar>
            <w:vAlign w:val="center"/>
          </w:tcPr>
          <w:p w14:paraId="56AA00AF">
            <w:pPr>
              <w:widowControl w:val="0"/>
            </w:pPr>
            <w:r>
              <w:t>含投影、工控机、LED 大屏、显示设备等</w:t>
            </w:r>
          </w:p>
        </w:tc>
      </w:tr>
      <w:tr w14:paraId="5A56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7960FE8">
            <w:pPr>
              <w:widowControl w:val="0"/>
              <w:jc w:val="center"/>
            </w:pPr>
          </w:p>
        </w:tc>
        <w:tc>
          <w:tcPr>
            <w:tcW w:w="0" w:type="auto"/>
            <w:shd w:val="clear" w:color="auto" w:fill="FFFFFF"/>
            <w:tcMar>
              <w:top w:w="0" w:type="dxa"/>
              <w:left w:w="0" w:type="dxa"/>
              <w:bottom w:w="0" w:type="dxa"/>
              <w:right w:w="0" w:type="dxa"/>
            </w:tcMar>
            <w:vAlign w:val="center"/>
          </w:tcPr>
          <w:p w14:paraId="2B8953EF">
            <w:pPr>
              <w:widowControl w:val="0"/>
            </w:pPr>
            <w:r>
              <w:t>工控机</w:t>
            </w:r>
          </w:p>
        </w:tc>
        <w:tc>
          <w:tcPr>
            <w:tcW w:w="1092" w:type="dxa"/>
            <w:shd w:val="clear" w:color="auto" w:fill="FFFFFF"/>
            <w:tcMar>
              <w:top w:w="0" w:type="dxa"/>
              <w:left w:w="0" w:type="dxa"/>
              <w:bottom w:w="0" w:type="dxa"/>
              <w:right w:w="0" w:type="dxa"/>
            </w:tcMar>
            <w:vAlign w:val="center"/>
          </w:tcPr>
          <w:p w14:paraId="484DE780">
            <w:pPr>
              <w:widowControl w:val="0"/>
              <w:jc w:val="center"/>
            </w:pPr>
            <w:r>
              <w:t>78 台</w:t>
            </w:r>
          </w:p>
        </w:tc>
        <w:tc>
          <w:tcPr>
            <w:tcW w:w="2977" w:type="dxa"/>
            <w:shd w:val="clear" w:color="auto" w:fill="FFFFFF"/>
            <w:tcMar>
              <w:top w:w="0" w:type="dxa"/>
              <w:left w:w="0" w:type="dxa"/>
              <w:bottom w:w="0" w:type="dxa"/>
              <w:right w:w="0" w:type="dxa"/>
            </w:tcMar>
            <w:vAlign w:val="center"/>
          </w:tcPr>
          <w:p w14:paraId="24C12D30">
            <w:pPr>
              <w:widowControl w:val="0"/>
            </w:pPr>
            <w:r>
              <w:t>属于精密设备范畴</w:t>
            </w:r>
          </w:p>
        </w:tc>
      </w:tr>
      <w:tr w14:paraId="34002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AE37698">
            <w:pPr>
              <w:widowControl w:val="0"/>
              <w:jc w:val="center"/>
            </w:pPr>
          </w:p>
        </w:tc>
        <w:tc>
          <w:tcPr>
            <w:tcW w:w="0" w:type="auto"/>
            <w:shd w:val="clear" w:color="auto" w:fill="FFFFFF"/>
            <w:tcMar>
              <w:top w:w="0" w:type="dxa"/>
              <w:left w:w="0" w:type="dxa"/>
              <w:bottom w:w="0" w:type="dxa"/>
              <w:right w:w="0" w:type="dxa"/>
            </w:tcMar>
            <w:vAlign w:val="center"/>
          </w:tcPr>
          <w:p w14:paraId="58F3D8C5">
            <w:pPr>
              <w:widowControl w:val="0"/>
            </w:pPr>
            <w:r>
              <w:t>全彩高清 LED 大屏设备</w:t>
            </w:r>
          </w:p>
        </w:tc>
        <w:tc>
          <w:tcPr>
            <w:tcW w:w="1092" w:type="dxa"/>
            <w:shd w:val="clear" w:color="auto" w:fill="FFFFFF"/>
            <w:tcMar>
              <w:top w:w="0" w:type="dxa"/>
              <w:left w:w="0" w:type="dxa"/>
              <w:bottom w:w="0" w:type="dxa"/>
              <w:right w:w="0" w:type="dxa"/>
            </w:tcMar>
            <w:vAlign w:val="center"/>
          </w:tcPr>
          <w:p w14:paraId="17D82A1B">
            <w:pPr>
              <w:widowControl w:val="0"/>
              <w:jc w:val="center"/>
            </w:pPr>
            <w:r>
              <w:t>3 套</w:t>
            </w:r>
          </w:p>
        </w:tc>
        <w:tc>
          <w:tcPr>
            <w:tcW w:w="2977" w:type="dxa"/>
            <w:shd w:val="clear" w:color="auto" w:fill="FFFFFF"/>
            <w:tcMar>
              <w:top w:w="0" w:type="dxa"/>
              <w:left w:w="0" w:type="dxa"/>
              <w:bottom w:w="0" w:type="dxa"/>
              <w:right w:w="0" w:type="dxa"/>
            </w:tcMar>
            <w:vAlign w:val="center"/>
          </w:tcPr>
          <w:p w14:paraId="6881A4E7">
            <w:pPr>
              <w:widowControl w:val="0"/>
            </w:pPr>
            <w:r>
              <w:t>属于精密设备范畴</w:t>
            </w:r>
          </w:p>
        </w:tc>
      </w:tr>
      <w:tr w14:paraId="7FB5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027C427">
            <w:pPr>
              <w:widowControl w:val="0"/>
              <w:jc w:val="center"/>
            </w:pPr>
          </w:p>
        </w:tc>
        <w:tc>
          <w:tcPr>
            <w:tcW w:w="0" w:type="auto"/>
            <w:shd w:val="clear" w:color="auto" w:fill="FFFFFF"/>
            <w:tcMar>
              <w:top w:w="0" w:type="dxa"/>
              <w:left w:w="0" w:type="dxa"/>
              <w:bottom w:w="0" w:type="dxa"/>
              <w:right w:w="0" w:type="dxa"/>
            </w:tcMar>
            <w:vAlign w:val="center"/>
          </w:tcPr>
          <w:p w14:paraId="69C29CF7">
            <w:pPr>
              <w:widowControl w:val="0"/>
            </w:pPr>
            <w:r>
              <w:t>不同规格显示设备及配套精密设备</w:t>
            </w:r>
          </w:p>
        </w:tc>
        <w:tc>
          <w:tcPr>
            <w:tcW w:w="1092" w:type="dxa"/>
            <w:shd w:val="clear" w:color="auto" w:fill="FFFFFF"/>
            <w:tcMar>
              <w:top w:w="0" w:type="dxa"/>
              <w:left w:w="0" w:type="dxa"/>
              <w:bottom w:w="0" w:type="dxa"/>
              <w:right w:w="0" w:type="dxa"/>
            </w:tcMar>
            <w:vAlign w:val="center"/>
          </w:tcPr>
          <w:p w14:paraId="728273BA">
            <w:pPr>
              <w:widowControl w:val="0"/>
              <w:jc w:val="center"/>
            </w:pPr>
            <w:r>
              <w:t>91 台</w:t>
            </w:r>
          </w:p>
        </w:tc>
        <w:tc>
          <w:tcPr>
            <w:tcW w:w="2977" w:type="dxa"/>
            <w:shd w:val="clear" w:color="auto" w:fill="FFFFFF"/>
            <w:tcMar>
              <w:top w:w="0" w:type="dxa"/>
              <w:left w:w="0" w:type="dxa"/>
              <w:bottom w:w="0" w:type="dxa"/>
              <w:right w:w="0" w:type="dxa"/>
            </w:tcMar>
            <w:vAlign w:val="center"/>
          </w:tcPr>
          <w:p w14:paraId="1E041643">
            <w:pPr>
              <w:widowControl w:val="0"/>
            </w:pPr>
            <w:r>
              <w:t>属于精密设备范畴</w:t>
            </w:r>
          </w:p>
        </w:tc>
      </w:tr>
      <w:tr w14:paraId="0A88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0F6F408">
            <w:pPr>
              <w:widowControl w:val="0"/>
              <w:jc w:val="center"/>
            </w:pPr>
          </w:p>
        </w:tc>
        <w:tc>
          <w:tcPr>
            <w:tcW w:w="0" w:type="auto"/>
            <w:shd w:val="clear" w:color="auto" w:fill="FFFFFF"/>
            <w:tcMar>
              <w:top w:w="0" w:type="dxa"/>
              <w:left w:w="0" w:type="dxa"/>
              <w:bottom w:w="0" w:type="dxa"/>
              <w:right w:w="0" w:type="dxa"/>
            </w:tcMar>
            <w:vAlign w:val="center"/>
          </w:tcPr>
          <w:p w14:paraId="4873FE28">
            <w:pPr>
              <w:widowControl w:val="0"/>
            </w:pPr>
            <w:r>
              <w:t>楼宇自控系统 - 服务器</w:t>
            </w:r>
          </w:p>
        </w:tc>
        <w:tc>
          <w:tcPr>
            <w:tcW w:w="1092" w:type="dxa"/>
            <w:shd w:val="clear" w:color="auto" w:fill="FFFFFF"/>
            <w:tcMar>
              <w:top w:w="0" w:type="dxa"/>
              <w:left w:w="0" w:type="dxa"/>
              <w:bottom w:w="0" w:type="dxa"/>
              <w:right w:w="0" w:type="dxa"/>
            </w:tcMar>
            <w:vAlign w:val="center"/>
          </w:tcPr>
          <w:p w14:paraId="69A75B03">
            <w:pPr>
              <w:widowControl w:val="0"/>
              <w:jc w:val="center"/>
            </w:pPr>
            <w:r>
              <w:t>1 台</w:t>
            </w:r>
          </w:p>
        </w:tc>
        <w:tc>
          <w:tcPr>
            <w:tcW w:w="2977" w:type="dxa"/>
            <w:shd w:val="clear" w:color="auto" w:fill="FFFFFF"/>
            <w:tcMar>
              <w:top w:w="0" w:type="dxa"/>
              <w:left w:w="0" w:type="dxa"/>
              <w:bottom w:w="0" w:type="dxa"/>
              <w:right w:w="0" w:type="dxa"/>
            </w:tcMar>
            <w:vAlign w:val="center"/>
          </w:tcPr>
          <w:p w14:paraId="6AC47029">
            <w:pPr>
              <w:widowControl w:val="0"/>
            </w:pPr>
            <w:r>
              <w:t>楼宇自控系统配套</w:t>
            </w:r>
          </w:p>
        </w:tc>
      </w:tr>
      <w:tr w14:paraId="389F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DA75683">
            <w:pPr>
              <w:widowControl w:val="0"/>
              <w:jc w:val="center"/>
            </w:pPr>
          </w:p>
        </w:tc>
        <w:tc>
          <w:tcPr>
            <w:tcW w:w="0" w:type="auto"/>
            <w:shd w:val="clear" w:color="auto" w:fill="FFFFFF"/>
            <w:tcMar>
              <w:top w:w="0" w:type="dxa"/>
              <w:left w:w="0" w:type="dxa"/>
              <w:bottom w:w="0" w:type="dxa"/>
              <w:right w:w="0" w:type="dxa"/>
            </w:tcMar>
            <w:vAlign w:val="center"/>
          </w:tcPr>
          <w:p w14:paraId="4FA12C8A">
            <w:pPr>
              <w:widowControl w:val="0"/>
            </w:pPr>
            <w:r>
              <w:t>楼宇自控系统 - 网络控制器</w:t>
            </w:r>
          </w:p>
        </w:tc>
        <w:tc>
          <w:tcPr>
            <w:tcW w:w="1092" w:type="dxa"/>
            <w:shd w:val="clear" w:color="auto" w:fill="FFFFFF"/>
            <w:tcMar>
              <w:top w:w="0" w:type="dxa"/>
              <w:left w:w="0" w:type="dxa"/>
              <w:bottom w:w="0" w:type="dxa"/>
              <w:right w:w="0" w:type="dxa"/>
            </w:tcMar>
            <w:vAlign w:val="center"/>
          </w:tcPr>
          <w:p w14:paraId="4A65545B">
            <w:pPr>
              <w:widowControl w:val="0"/>
              <w:jc w:val="center"/>
            </w:pPr>
            <w:r>
              <w:t>3 台</w:t>
            </w:r>
          </w:p>
        </w:tc>
        <w:tc>
          <w:tcPr>
            <w:tcW w:w="2977" w:type="dxa"/>
            <w:shd w:val="clear" w:color="auto" w:fill="FFFFFF"/>
            <w:tcMar>
              <w:top w:w="0" w:type="dxa"/>
              <w:left w:w="0" w:type="dxa"/>
              <w:bottom w:w="0" w:type="dxa"/>
              <w:right w:w="0" w:type="dxa"/>
            </w:tcMar>
            <w:vAlign w:val="center"/>
          </w:tcPr>
          <w:p w14:paraId="2996D711">
            <w:pPr>
              <w:widowControl w:val="0"/>
            </w:pPr>
            <w:r>
              <w:t>楼宇自控系统配套</w:t>
            </w:r>
          </w:p>
        </w:tc>
      </w:tr>
      <w:tr w14:paraId="7D09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47DD305C">
            <w:pPr>
              <w:widowControl w:val="0"/>
              <w:jc w:val="center"/>
            </w:pPr>
          </w:p>
        </w:tc>
        <w:tc>
          <w:tcPr>
            <w:tcW w:w="0" w:type="auto"/>
            <w:shd w:val="clear" w:color="auto" w:fill="FFFFFF"/>
            <w:tcMar>
              <w:top w:w="0" w:type="dxa"/>
              <w:left w:w="0" w:type="dxa"/>
              <w:bottom w:w="0" w:type="dxa"/>
              <w:right w:w="0" w:type="dxa"/>
            </w:tcMar>
            <w:vAlign w:val="center"/>
          </w:tcPr>
          <w:p w14:paraId="2BD8BAC5">
            <w:pPr>
              <w:widowControl w:val="0"/>
            </w:pPr>
            <w:r>
              <w:t>楼宇自控系统 - 现场控制箱</w:t>
            </w:r>
          </w:p>
        </w:tc>
        <w:tc>
          <w:tcPr>
            <w:tcW w:w="1092" w:type="dxa"/>
            <w:shd w:val="clear" w:color="auto" w:fill="FFFFFF"/>
            <w:tcMar>
              <w:top w:w="0" w:type="dxa"/>
              <w:left w:w="0" w:type="dxa"/>
              <w:bottom w:w="0" w:type="dxa"/>
              <w:right w:w="0" w:type="dxa"/>
            </w:tcMar>
            <w:vAlign w:val="center"/>
          </w:tcPr>
          <w:p w14:paraId="30644554">
            <w:pPr>
              <w:widowControl w:val="0"/>
              <w:jc w:val="center"/>
            </w:pPr>
            <w:r>
              <w:t>80 台</w:t>
            </w:r>
          </w:p>
        </w:tc>
        <w:tc>
          <w:tcPr>
            <w:tcW w:w="2977" w:type="dxa"/>
            <w:shd w:val="clear" w:color="auto" w:fill="FFFFFF"/>
            <w:tcMar>
              <w:top w:w="0" w:type="dxa"/>
              <w:left w:w="0" w:type="dxa"/>
              <w:bottom w:w="0" w:type="dxa"/>
              <w:right w:w="0" w:type="dxa"/>
            </w:tcMar>
            <w:vAlign w:val="center"/>
          </w:tcPr>
          <w:p w14:paraId="7B8A0212">
            <w:pPr>
              <w:widowControl w:val="0"/>
            </w:pPr>
            <w:r>
              <w:t>楼宇自控系统配套</w:t>
            </w:r>
          </w:p>
        </w:tc>
      </w:tr>
      <w:tr w14:paraId="7069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F85CDF6">
            <w:pPr>
              <w:widowControl w:val="0"/>
              <w:jc w:val="center"/>
            </w:pPr>
          </w:p>
        </w:tc>
        <w:tc>
          <w:tcPr>
            <w:tcW w:w="0" w:type="auto"/>
            <w:shd w:val="clear" w:color="auto" w:fill="FFFFFF"/>
            <w:tcMar>
              <w:top w:w="0" w:type="dxa"/>
              <w:left w:w="0" w:type="dxa"/>
              <w:bottom w:w="0" w:type="dxa"/>
              <w:right w:w="0" w:type="dxa"/>
            </w:tcMar>
            <w:vAlign w:val="center"/>
          </w:tcPr>
          <w:p w14:paraId="16FE886C">
            <w:pPr>
              <w:widowControl w:val="0"/>
            </w:pPr>
            <w:r>
              <w:t>楼宇自控系统 - 终端执行器和传感器</w:t>
            </w:r>
          </w:p>
        </w:tc>
        <w:tc>
          <w:tcPr>
            <w:tcW w:w="1092" w:type="dxa"/>
            <w:shd w:val="clear" w:color="auto" w:fill="FFFFFF"/>
            <w:tcMar>
              <w:top w:w="0" w:type="dxa"/>
              <w:left w:w="0" w:type="dxa"/>
              <w:bottom w:w="0" w:type="dxa"/>
              <w:right w:w="0" w:type="dxa"/>
            </w:tcMar>
            <w:vAlign w:val="center"/>
          </w:tcPr>
          <w:p w14:paraId="5BFF1B77">
            <w:pPr>
              <w:widowControl w:val="0"/>
              <w:jc w:val="center"/>
            </w:pPr>
            <w:r>
              <w:t>160 个</w:t>
            </w:r>
          </w:p>
        </w:tc>
        <w:tc>
          <w:tcPr>
            <w:tcW w:w="2977" w:type="dxa"/>
            <w:shd w:val="clear" w:color="auto" w:fill="FFFFFF"/>
            <w:tcMar>
              <w:top w:w="0" w:type="dxa"/>
              <w:left w:w="0" w:type="dxa"/>
              <w:bottom w:w="0" w:type="dxa"/>
              <w:right w:w="0" w:type="dxa"/>
            </w:tcMar>
            <w:vAlign w:val="center"/>
          </w:tcPr>
          <w:p w14:paraId="4F5170A9">
            <w:pPr>
              <w:widowControl w:val="0"/>
            </w:pPr>
            <w:r>
              <w:t>楼宇自控系统配套</w:t>
            </w:r>
          </w:p>
        </w:tc>
      </w:tr>
      <w:tr w14:paraId="1A28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7B10744">
            <w:pPr>
              <w:widowControl w:val="0"/>
              <w:jc w:val="center"/>
            </w:pPr>
          </w:p>
        </w:tc>
        <w:tc>
          <w:tcPr>
            <w:tcW w:w="0" w:type="auto"/>
            <w:shd w:val="clear" w:color="auto" w:fill="FFFFFF"/>
            <w:tcMar>
              <w:top w:w="0" w:type="dxa"/>
              <w:left w:w="0" w:type="dxa"/>
              <w:bottom w:w="0" w:type="dxa"/>
              <w:right w:w="0" w:type="dxa"/>
            </w:tcMar>
            <w:vAlign w:val="center"/>
          </w:tcPr>
          <w:p w14:paraId="38A0C033">
            <w:pPr>
              <w:widowControl w:val="0"/>
            </w:pPr>
            <w:r>
              <w:t>楼宇自控系统 - 监测和控制点位</w:t>
            </w:r>
          </w:p>
        </w:tc>
        <w:tc>
          <w:tcPr>
            <w:tcW w:w="1092" w:type="dxa"/>
            <w:shd w:val="clear" w:color="auto" w:fill="FFFFFF"/>
            <w:tcMar>
              <w:top w:w="0" w:type="dxa"/>
              <w:left w:w="0" w:type="dxa"/>
              <w:bottom w:w="0" w:type="dxa"/>
              <w:right w:w="0" w:type="dxa"/>
            </w:tcMar>
            <w:vAlign w:val="center"/>
          </w:tcPr>
          <w:p w14:paraId="722B7351">
            <w:pPr>
              <w:widowControl w:val="0"/>
              <w:jc w:val="center"/>
            </w:pPr>
            <w:r>
              <w:t>约 2000 个</w:t>
            </w:r>
          </w:p>
        </w:tc>
        <w:tc>
          <w:tcPr>
            <w:tcW w:w="2977" w:type="dxa"/>
            <w:shd w:val="clear" w:color="auto" w:fill="FFFFFF"/>
            <w:tcMar>
              <w:top w:w="0" w:type="dxa"/>
              <w:left w:w="0" w:type="dxa"/>
              <w:bottom w:w="0" w:type="dxa"/>
              <w:right w:w="0" w:type="dxa"/>
            </w:tcMar>
            <w:vAlign w:val="center"/>
          </w:tcPr>
          <w:p w14:paraId="06FFFB11">
            <w:pPr>
              <w:widowControl w:val="0"/>
            </w:pPr>
            <w:r>
              <w:t>-</w:t>
            </w:r>
          </w:p>
        </w:tc>
      </w:tr>
      <w:tr w14:paraId="3C40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7F9E036F">
            <w:pPr>
              <w:widowControl w:val="0"/>
              <w:jc w:val="center"/>
            </w:pPr>
          </w:p>
        </w:tc>
        <w:tc>
          <w:tcPr>
            <w:tcW w:w="0" w:type="auto"/>
            <w:shd w:val="clear" w:color="auto" w:fill="FFFFFF"/>
            <w:tcMar>
              <w:top w:w="0" w:type="dxa"/>
              <w:left w:w="0" w:type="dxa"/>
              <w:bottom w:w="0" w:type="dxa"/>
              <w:right w:w="0" w:type="dxa"/>
            </w:tcMar>
            <w:vAlign w:val="center"/>
          </w:tcPr>
          <w:p w14:paraId="072F5207">
            <w:pPr>
              <w:widowControl w:val="0"/>
            </w:pPr>
            <w:r>
              <w:t>公共广播 - 服务器</w:t>
            </w:r>
          </w:p>
        </w:tc>
        <w:tc>
          <w:tcPr>
            <w:tcW w:w="1092" w:type="dxa"/>
            <w:shd w:val="clear" w:color="auto" w:fill="FFFFFF"/>
            <w:tcMar>
              <w:top w:w="0" w:type="dxa"/>
              <w:left w:w="0" w:type="dxa"/>
              <w:bottom w:w="0" w:type="dxa"/>
              <w:right w:w="0" w:type="dxa"/>
            </w:tcMar>
            <w:vAlign w:val="center"/>
          </w:tcPr>
          <w:p w14:paraId="4711BE23">
            <w:pPr>
              <w:widowControl w:val="0"/>
              <w:jc w:val="center"/>
            </w:pPr>
            <w:r>
              <w:t>1 台</w:t>
            </w:r>
          </w:p>
        </w:tc>
        <w:tc>
          <w:tcPr>
            <w:tcW w:w="2977" w:type="dxa"/>
            <w:shd w:val="clear" w:color="auto" w:fill="FFFFFF"/>
            <w:tcMar>
              <w:top w:w="0" w:type="dxa"/>
              <w:left w:w="0" w:type="dxa"/>
              <w:bottom w:w="0" w:type="dxa"/>
              <w:right w:w="0" w:type="dxa"/>
            </w:tcMar>
            <w:vAlign w:val="center"/>
          </w:tcPr>
          <w:p w14:paraId="6A90A91C">
            <w:pPr>
              <w:widowControl w:val="0"/>
            </w:pPr>
            <w:r>
              <w:t>公共广播系统配套</w:t>
            </w:r>
          </w:p>
        </w:tc>
      </w:tr>
      <w:tr w14:paraId="0026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EB8FFA9">
            <w:pPr>
              <w:widowControl w:val="0"/>
              <w:jc w:val="center"/>
            </w:pPr>
          </w:p>
        </w:tc>
        <w:tc>
          <w:tcPr>
            <w:tcW w:w="0" w:type="auto"/>
            <w:shd w:val="clear" w:color="auto" w:fill="FFFFFF"/>
            <w:tcMar>
              <w:top w:w="0" w:type="dxa"/>
              <w:left w:w="0" w:type="dxa"/>
              <w:bottom w:w="0" w:type="dxa"/>
              <w:right w:w="0" w:type="dxa"/>
            </w:tcMar>
            <w:vAlign w:val="center"/>
          </w:tcPr>
          <w:p w14:paraId="33CB9FCD">
            <w:pPr>
              <w:widowControl w:val="0"/>
            </w:pPr>
            <w:r>
              <w:t>公共广播 - 消防联动机</w:t>
            </w:r>
          </w:p>
        </w:tc>
        <w:tc>
          <w:tcPr>
            <w:tcW w:w="1092" w:type="dxa"/>
            <w:shd w:val="clear" w:color="auto" w:fill="FFFFFF"/>
            <w:tcMar>
              <w:top w:w="0" w:type="dxa"/>
              <w:left w:w="0" w:type="dxa"/>
              <w:bottom w:w="0" w:type="dxa"/>
              <w:right w:w="0" w:type="dxa"/>
            </w:tcMar>
            <w:vAlign w:val="center"/>
          </w:tcPr>
          <w:p w14:paraId="2BFE9D17">
            <w:pPr>
              <w:widowControl w:val="0"/>
              <w:jc w:val="center"/>
            </w:pPr>
            <w:r>
              <w:t>1 台</w:t>
            </w:r>
          </w:p>
        </w:tc>
        <w:tc>
          <w:tcPr>
            <w:tcW w:w="2977" w:type="dxa"/>
            <w:shd w:val="clear" w:color="auto" w:fill="FFFFFF"/>
            <w:tcMar>
              <w:top w:w="0" w:type="dxa"/>
              <w:left w:w="0" w:type="dxa"/>
              <w:bottom w:w="0" w:type="dxa"/>
              <w:right w:w="0" w:type="dxa"/>
            </w:tcMar>
            <w:vAlign w:val="center"/>
          </w:tcPr>
          <w:p w14:paraId="1320DACD">
            <w:pPr>
              <w:widowControl w:val="0"/>
            </w:pPr>
            <w:r>
              <w:t>公共广播系统配套</w:t>
            </w:r>
          </w:p>
        </w:tc>
      </w:tr>
      <w:tr w14:paraId="15E7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451663C9">
            <w:pPr>
              <w:widowControl w:val="0"/>
              <w:jc w:val="center"/>
            </w:pPr>
          </w:p>
        </w:tc>
        <w:tc>
          <w:tcPr>
            <w:tcW w:w="0" w:type="auto"/>
            <w:shd w:val="clear" w:color="auto" w:fill="FFFFFF"/>
            <w:tcMar>
              <w:top w:w="0" w:type="dxa"/>
              <w:left w:w="0" w:type="dxa"/>
              <w:bottom w:w="0" w:type="dxa"/>
              <w:right w:w="0" w:type="dxa"/>
            </w:tcMar>
            <w:vAlign w:val="center"/>
          </w:tcPr>
          <w:p w14:paraId="500D75BD">
            <w:pPr>
              <w:widowControl w:val="0"/>
            </w:pPr>
            <w:r>
              <w:t>公共广播 - 功率放大器</w:t>
            </w:r>
          </w:p>
        </w:tc>
        <w:tc>
          <w:tcPr>
            <w:tcW w:w="1092" w:type="dxa"/>
            <w:shd w:val="clear" w:color="auto" w:fill="FFFFFF"/>
            <w:tcMar>
              <w:top w:w="0" w:type="dxa"/>
              <w:left w:w="0" w:type="dxa"/>
              <w:bottom w:w="0" w:type="dxa"/>
              <w:right w:w="0" w:type="dxa"/>
            </w:tcMar>
            <w:vAlign w:val="center"/>
          </w:tcPr>
          <w:p w14:paraId="54B95937">
            <w:pPr>
              <w:widowControl w:val="0"/>
              <w:jc w:val="center"/>
            </w:pPr>
            <w:r>
              <w:t>6 台</w:t>
            </w:r>
          </w:p>
        </w:tc>
        <w:tc>
          <w:tcPr>
            <w:tcW w:w="2977" w:type="dxa"/>
            <w:shd w:val="clear" w:color="auto" w:fill="FFFFFF"/>
            <w:tcMar>
              <w:top w:w="0" w:type="dxa"/>
              <w:left w:w="0" w:type="dxa"/>
              <w:bottom w:w="0" w:type="dxa"/>
              <w:right w:w="0" w:type="dxa"/>
            </w:tcMar>
            <w:vAlign w:val="center"/>
          </w:tcPr>
          <w:p w14:paraId="6B1F5541">
            <w:pPr>
              <w:widowControl w:val="0"/>
            </w:pPr>
            <w:r>
              <w:t>公共广播系统配套</w:t>
            </w:r>
          </w:p>
        </w:tc>
      </w:tr>
      <w:tr w14:paraId="3295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C5DA8E1">
            <w:pPr>
              <w:widowControl w:val="0"/>
              <w:jc w:val="center"/>
            </w:pPr>
          </w:p>
        </w:tc>
        <w:tc>
          <w:tcPr>
            <w:tcW w:w="0" w:type="auto"/>
            <w:shd w:val="clear" w:color="auto" w:fill="FFFFFF"/>
            <w:tcMar>
              <w:top w:w="0" w:type="dxa"/>
              <w:left w:w="0" w:type="dxa"/>
              <w:bottom w:w="0" w:type="dxa"/>
              <w:right w:w="0" w:type="dxa"/>
            </w:tcMar>
            <w:vAlign w:val="center"/>
          </w:tcPr>
          <w:p w14:paraId="201D4F1E">
            <w:pPr>
              <w:widowControl w:val="0"/>
            </w:pPr>
            <w:r>
              <w:t>公共广播 - 终端喇叭点位</w:t>
            </w:r>
          </w:p>
        </w:tc>
        <w:tc>
          <w:tcPr>
            <w:tcW w:w="1092" w:type="dxa"/>
            <w:shd w:val="clear" w:color="auto" w:fill="FFFFFF"/>
            <w:tcMar>
              <w:top w:w="0" w:type="dxa"/>
              <w:left w:w="0" w:type="dxa"/>
              <w:bottom w:w="0" w:type="dxa"/>
              <w:right w:w="0" w:type="dxa"/>
            </w:tcMar>
            <w:vAlign w:val="center"/>
          </w:tcPr>
          <w:p w14:paraId="14403DA5">
            <w:pPr>
              <w:widowControl w:val="0"/>
              <w:jc w:val="center"/>
            </w:pPr>
            <w:r>
              <w:t>约 120 个</w:t>
            </w:r>
          </w:p>
        </w:tc>
        <w:tc>
          <w:tcPr>
            <w:tcW w:w="2977" w:type="dxa"/>
            <w:shd w:val="clear" w:color="auto" w:fill="FFFFFF"/>
            <w:tcMar>
              <w:top w:w="0" w:type="dxa"/>
              <w:left w:w="0" w:type="dxa"/>
              <w:bottom w:w="0" w:type="dxa"/>
              <w:right w:w="0" w:type="dxa"/>
            </w:tcMar>
            <w:vAlign w:val="center"/>
          </w:tcPr>
          <w:p w14:paraId="4A608CAD">
            <w:pPr>
              <w:widowControl w:val="0"/>
            </w:pPr>
            <w:r>
              <w:t>-</w:t>
            </w:r>
          </w:p>
        </w:tc>
      </w:tr>
      <w:tr w14:paraId="79EB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51E5EA2">
            <w:pPr>
              <w:widowControl w:val="0"/>
              <w:jc w:val="center"/>
            </w:pPr>
          </w:p>
        </w:tc>
        <w:tc>
          <w:tcPr>
            <w:tcW w:w="0" w:type="auto"/>
            <w:shd w:val="clear" w:color="auto" w:fill="FFFFFF"/>
            <w:tcMar>
              <w:top w:w="0" w:type="dxa"/>
              <w:left w:w="0" w:type="dxa"/>
              <w:bottom w:w="0" w:type="dxa"/>
              <w:right w:w="0" w:type="dxa"/>
            </w:tcMar>
            <w:vAlign w:val="center"/>
          </w:tcPr>
          <w:p w14:paraId="04D59A6D">
            <w:pPr>
              <w:widowControl w:val="0"/>
            </w:pPr>
            <w:r>
              <w:t>UPS 应急电源（三进三出在线式 30KVA）</w:t>
            </w:r>
          </w:p>
        </w:tc>
        <w:tc>
          <w:tcPr>
            <w:tcW w:w="1092" w:type="dxa"/>
            <w:shd w:val="clear" w:color="auto" w:fill="FFFFFF"/>
            <w:tcMar>
              <w:top w:w="0" w:type="dxa"/>
              <w:left w:w="0" w:type="dxa"/>
              <w:bottom w:w="0" w:type="dxa"/>
              <w:right w:w="0" w:type="dxa"/>
            </w:tcMar>
            <w:vAlign w:val="center"/>
          </w:tcPr>
          <w:p w14:paraId="3FC60CA2">
            <w:pPr>
              <w:widowControl w:val="0"/>
              <w:jc w:val="center"/>
            </w:pPr>
            <w:r>
              <w:t>4 套</w:t>
            </w:r>
          </w:p>
        </w:tc>
        <w:tc>
          <w:tcPr>
            <w:tcW w:w="2977" w:type="dxa"/>
            <w:shd w:val="clear" w:color="auto" w:fill="FFFFFF"/>
            <w:tcMar>
              <w:top w:w="0" w:type="dxa"/>
              <w:left w:w="0" w:type="dxa"/>
              <w:bottom w:w="0" w:type="dxa"/>
              <w:right w:w="0" w:type="dxa"/>
            </w:tcMar>
            <w:vAlign w:val="center"/>
          </w:tcPr>
          <w:p w14:paraId="111BF756">
            <w:pPr>
              <w:widowControl w:val="0"/>
            </w:pPr>
            <w:r>
              <w:t>含配套 128 节电池组</w:t>
            </w:r>
          </w:p>
        </w:tc>
      </w:tr>
      <w:tr w14:paraId="2E4E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ED7B6A0">
            <w:pPr>
              <w:widowControl w:val="0"/>
              <w:jc w:val="center"/>
            </w:pPr>
          </w:p>
        </w:tc>
        <w:tc>
          <w:tcPr>
            <w:tcW w:w="0" w:type="auto"/>
            <w:shd w:val="clear" w:color="auto" w:fill="FFFFFF"/>
            <w:tcMar>
              <w:top w:w="0" w:type="dxa"/>
              <w:left w:w="0" w:type="dxa"/>
              <w:bottom w:w="0" w:type="dxa"/>
              <w:right w:w="0" w:type="dxa"/>
            </w:tcMar>
            <w:vAlign w:val="center"/>
          </w:tcPr>
          <w:p w14:paraId="515D5C2A">
            <w:pPr>
              <w:widowControl w:val="0"/>
            </w:pPr>
            <w:r>
              <w:t>程控电话交换设备</w:t>
            </w:r>
          </w:p>
        </w:tc>
        <w:tc>
          <w:tcPr>
            <w:tcW w:w="1092" w:type="dxa"/>
            <w:shd w:val="clear" w:color="auto" w:fill="FFFFFF"/>
            <w:tcMar>
              <w:top w:w="0" w:type="dxa"/>
              <w:left w:w="0" w:type="dxa"/>
              <w:bottom w:w="0" w:type="dxa"/>
              <w:right w:w="0" w:type="dxa"/>
            </w:tcMar>
            <w:vAlign w:val="center"/>
          </w:tcPr>
          <w:p w14:paraId="67C8AD29">
            <w:pPr>
              <w:widowControl w:val="0"/>
              <w:jc w:val="center"/>
            </w:pPr>
            <w:r>
              <w:t>1 套</w:t>
            </w:r>
          </w:p>
        </w:tc>
        <w:tc>
          <w:tcPr>
            <w:tcW w:w="2977" w:type="dxa"/>
            <w:shd w:val="clear" w:color="auto" w:fill="FFFFFF"/>
            <w:tcMar>
              <w:top w:w="0" w:type="dxa"/>
              <w:left w:w="0" w:type="dxa"/>
              <w:bottom w:w="0" w:type="dxa"/>
              <w:right w:w="0" w:type="dxa"/>
            </w:tcMar>
            <w:vAlign w:val="center"/>
          </w:tcPr>
          <w:p w14:paraId="6D0A63FB">
            <w:pPr>
              <w:widowControl w:val="0"/>
            </w:pPr>
            <w:r>
              <w:t>-</w:t>
            </w:r>
          </w:p>
        </w:tc>
      </w:tr>
      <w:tr w14:paraId="2C7B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C2B3CC9">
            <w:pPr>
              <w:widowControl w:val="0"/>
              <w:jc w:val="center"/>
            </w:pPr>
          </w:p>
        </w:tc>
        <w:tc>
          <w:tcPr>
            <w:tcW w:w="0" w:type="auto"/>
            <w:shd w:val="clear" w:color="auto" w:fill="FFFFFF"/>
            <w:tcMar>
              <w:top w:w="0" w:type="dxa"/>
              <w:left w:w="0" w:type="dxa"/>
              <w:bottom w:w="0" w:type="dxa"/>
              <w:right w:w="0" w:type="dxa"/>
            </w:tcMar>
            <w:vAlign w:val="center"/>
          </w:tcPr>
          <w:p w14:paraId="68D2DD06">
            <w:pPr>
              <w:widowControl w:val="0"/>
            </w:pPr>
            <w:r>
              <w:t>程控电话 - 电话板卡</w:t>
            </w:r>
          </w:p>
        </w:tc>
        <w:tc>
          <w:tcPr>
            <w:tcW w:w="1092" w:type="dxa"/>
            <w:shd w:val="clear" w:color="auto" w:fill="FFFFFF"/>
            <w:tcMar>
              <w:top w:w="0" w:type="dxa"/>
              <w:left w:w="0" w:type="dxa"/>
              <w:bottom w:w="0" w:type="dxa"/>
              <w:right w:w="0" w:type="dxa"/>
            </w:tcMar>
            <w:vAlign w:val="center"/>
          </w:tcPr>
          <w:p w14:paraId="08E2F745">
            <w:pPr>
              <w:widowControl w:val="0"/>
              <w:jc w:val="center"/>
            </w:pPr>
            <w:r>
              <w:t>13 块</w:t>
            </w:r>
          </w:p>
        </w:tc>
        <w:tc>
          <w:tcPr>
            <w:tcW w:w="2977" w:type="dxa"/>
            <w:shd w:val="clear" w:color="auto" w:fill="FFFFFF"/>
            <w:tcMar>
              <w:top w:w="0" w:type="dxa"/>
              <w:left w:w="0" w:type="dxa"/>
              <w:bottom w:w="0" w:type="dxa"/>
              <w:right w:w="0" w:type="dxa"/>
            </w:tcMar>
            <w:vAlign w:val="center"/>
          </w:tcPr>
          <w:p w14:paraId="61455D19">
            <w:pPr>
              <w:widowControl w:val="0"/>
            </w:pPr>
            <w:r>
              <w:t>程控电话系统配套</w:t>
            </w:r>
          </w:p>
        </w:tc>
      </w:tr>
      <w:tr w14:paraId="62E8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73126334">
            <w:pPr>
              <w:widowControl w:val="0"/>
              <w:jc w:val="center"/>
            </w:pPr>
          </w:p>
        </w:tc>
        <w:tc>
          <w:tcPr>
            <w:tcW w:w="0" w:type="auto"/>
            <w:shd w:val="clear" w:color="auto" w:fill="FFFFFF"/>
            <w:tcMar>
              <w:top w:w="0" w:type="dxa"/>
              <w:left w:w="0" w:type="dxa"/>
              <w:bottom w:w="0" w:type="dxa"/>
              <w:right w:w="0" w:type="dxa"/>
            </w:tcMar>
            <w:vAlign w:val="center"/>
          </w:tcPr>
          <w:p w14:paraId="08BDC2F2">
            <w:pPr>
              <w:widowControl w:val="0"/>
            </w:pPr>
            <w:r>
              <w:t>程控电话 - 电源模块</w:t>
            </w:r>
          </w:p>
        </w:tc>
        <w:tc>
          <w:tcPr>
            <w:tcW w:w="1092" w:type="dxa"/>
            <w:shd w:val="clear" w:color="auto" w:fill="FFFFFF"/>
            <w:tcMar>
              <w:top w:w="0" w:type="dxa"/>
              <w:left w:w="0" w:type="dxa"/>
              <w:bottom w:w="0" w:type="dxa"/>
              <w:right w:w="0" w:type="dxa"/>
            </w:tcMar>
            <w:vAlign w:val="center"/>
          </w:tcPr>
          <w:p w14:paraId="7C01B7C2">
            <w:pPr>
              <w:widowControl w:val="0"/>
              <w:jc w:val="center"/>
            </w:pPr>
            <w:r>
              <w:t>2 套</w:t>
            </w:r>
          </w:p>
        </w:tc>
        <w:tc>
          <w:tcPr>
            <w:tcW w:w="2977" w:type="dxa"/>
            <w:shd w:val="clear" w:color="auto" w:fill="FFFFFF"/>
            <w:tcMar>
              <w:top w:w="0" w:type="dxa"/>
              <w:left w:w="0" w:type="dxa"/>
              <w:bottom w:w="0" w:type="dxa"/>
              <w:right w:w="0" w:type="dxa"/>
            </w:tcMar>
            <w:vAlign w:val="center"/>
          </w:tcPr>
          <w:p w14:paraId="62CBF2C3">
            <w:pPr>
              <w:widowControl w:val="0"/>
            </w:pPr>
            <w:r>
              <w:t>程控电话系统配套</w:t>
            </w:r>
          </w:p>
        </w:tc>
      </w:tr>
      <w:tr w14:paraId="5271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3CDEC3E">
            <w:pPr>
              <w:widowControl w:val="0"/>
              <w:jc w:val="center"/>
            </w:pPr>
          </w:p>
        </w:tc>
        <w:tc>
          <w:tcPr>
            <w:tcW w:w="0" w:type="auto"/>
            <w:shd w:val="clear" w:color="auto" w:fill="FFFFFF"/>
            <w:tcMar>
              <w:top w:w="0" w:type="dxa"/>
              <w:left w:w="0" w:type="dxa"/>
              <w:bottom w:w="0" w:type="dxa"/>
              <w:right w:w="0" w:type="dxa"/>
            </w:tcMar>
            <w:vAlign w:val="center"/>
          </w:tcPr>
          <w:p w14:paraId="1A2CC8BC">
            <w:pPr>
              <w:widowControl w:val="0"/>
            </w:pPr>
            <w:r>
              <w:t>程控电话 - 分机点位</w:t>
            </w:r>
          </w:p>
        </w:tc>
        <w:tc>
          <w:tcPr>
            <w:tcW w:w="1092" w:type="dxa"/>
            <w:shd w:val="clear" w:color="auto" w:fill="FFFFFF"/>
            <w:tcMar>
              <w:top w:w="0" w:type="dxa"/>
              <w:left w:w="0" w:type="dxa"/>
              <w:bottom w:w="0" w:type="dxa"/>
              <w:right w:w="0" w:type="dxa"/>
            </w:tcMar>
            <w:vAlign w:val="center"/>
          </w:tcPr>
          <w:p w14:paraId="5A37FE6F">
            <w:pPr>
              <w:widowControl w:val="0"/>
              <w:jc w:val="center"/>
            </w:pPr>
            <w:r>
              <w:t>约 260 门</w:t>
            </w:r>
          </w:p>
        </w:tc>
        <w:tc>
          <w:tcPr>
            <w:tcW w:w="2977" w:type="dxa"/>
            <w:shd w:val="clear" w:color="auto" w:fill="FFFFFF"/>
            <w:tcMar>
              <w:top w:w="0" w:type="dxa"/>
              <w:left w:w="0" w:type="dxa"/>
              <w:bottom w:w="0" w:type="dxa"/>
              <w:right w:w="0" w:type="dxa"/>
            </w:tcMar>
            <w:vAlign w:val="center"/>
          </w:tcPr>
          <w:p w14:paraId="5129013D">
            <w:pPr>
              <w:widowControl w:val="0"/>
            </w:pPr>
            <w:r>
              <w:t>-</w:t>
            </w:r>
          </w:p>
        </w:tc>
      </w:tr>
      <w:tr w14:paraId="6D50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restart"/>
            <w:shd w:val="clear" w:color="auto" w:fill="FFFFFF"/>
            <w:tcMar>
              <w:top w:w="0" w:type="dxa"/>
              <w:left w:w="0" w:type="dxa"/>
              <w:bottom w:w="0" w:type="dxa"/>
              <w:right w:w="0" w:type="dxa"/>
            </w:tcMar>
            <w:vAlign w:val="center"/>
          </w:tcPr>
          <w:p w14:paraId="05035B23">
            <w:pPr>
              <w:widowControl w:val="0"/>
              <w:jc w:val="center"/>
            </w:pPr>
            <w:r>
              <w:rPr>
                <w:b/>
                <w:bCs/>
              </w:rPr>
              <w:t>消防系统</w:t>
            </w:r>
          </w:p>
        </w:tc>
        <w:tc>
          <w:tcPr>
            <w:tcW w:w="0" w:type="auto"/>
            <w:shd w:val="clear" w:color="auto" w:fill="FFFFFF"/>
            <w:tcMar>
              <w:top w:w="0" w:type="dxa"/>
              <w:left w:w="0" w:type="dxa"/>
              <w:bottom w:w="0" w:type="dxa"/>
              <w:right w:w="0" w:type="dxa"/>
            </w:tcMar>
            <w:vAlign w:val="center"/>
          </w:tcPr>
          <w:p w14:paraId="7AA8A332">
            <w:pPr>
              <w:widowControl w:val="0"/>
            </w:pPr>
            <w:r>
              <w:t>火灾自动报警控制系统</w:t>
            </w:r>
          </w:p>
        </w:tc>
        <w:tc>
          <w:tcPr>
            <w:tcW w:w="1092" w:type="dxa"/>
            <w:shd w:val="clear" w:color="auto" w:fill="FFFFFF"/>
            <w:tcMar>
              <w:top w:w="0" w:type="dxa"/>
              <w:left w:w="0" w:type="dxa"/>
              <w:bottom w:w="0" w:type="dxa"/>
              <w:right w:w="0" w:type="dxa"/>
            </w:tcMar>
            <w:vAlign w:val="center"/>
          </w:tcPr>
          <w:p w14:paraId="3897DB47">
            <w:pPr>
              <w:widowControl w:val="0"/>
              <w:jc w:val="center"/>
            </w:pPr>
            <w:r>
              <w:t>-</w:t>
            </w:r>
          </w:p>
        </w:tc>
        <w:tc>
          <w:tcPr>
            <w:tcW w:w="2977" w:type="dxa"/>
            <w:shd w:val="clear" w:color="auto" w:fill="FFFFFF"/>
            <w:tcMar>
              <w:top w:w="0" w:type="dxa"/>
              <w:left w:w="0" w:type="dxa"/>
              <w:bottom w:w="0" w:type="dxa"/>
              <w:right w:w="0" w:type="dxa"/>
            </w:tcMar>
            <w:vAlign w:val="center"/>
          </w:tcPr>
          <w:p w14:paraId="4C221511">
            <w:pPr>
              <w:widowControl w:val="0"/>
            </w:pPr>
            <w:r>
              <w:t>含多子系统，无具体数量，以现场为准</w:t>
            </w:r>
          </w:p>
        </w:tc>
      </w:tr>
      <w:tr w14:paraId="2689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AD0B919">
            <w:pPr>
              <w:widowControl w:val="0"/>
              <w:jc w:val="center"/>
            </w:pPr>
          </w:p>
        </w:tc>
        <w:tc>
          <w:tcPr>
            <w:tcW w:w="0" w:type="auto"/>
            <w:shd w:val="clear" w:color="auto" w:fill="FFFFFF"/>
            <w:tcMar>
              <w:top w:w="0" w:type="dxa"/>
              <w:left w:w="0" w:type="dxa"/>
              <w:bottom w:w="0" w:type="dxa"/>
              <w:right w:w="0" w:type="dxa"/>
            </w:tcMar>
            <w:vAlign w:val="center"/>
          </w:tcPr>
          <w:p w14:paraId="053E32EE">
            <w:pPr>
              <w:widowControl w:val="0"/>
            </w:pPr>
            <w:r>
              <w:t>自动喷淋系统</w:t>
            </w:r>
          </w:p>
        </w:tc>
        <w:tc>
          <w:tcPr>
            <w:tcW w:w="1092" w:type="dxa"/>
            <w:shd w:val="clear" w:color="auto" w:fill="FFFFFF"/>
            <w:tcMar>
              <w:top w:w="0" w:type="dxa"/>
              <w:left w:w="0" w:type="dxa"/>
              <w:bottom w:w="0" w:type="dxa"/>
              <w:right w:w="0" w:type="dxa"/>
            </w:tcMar>
            <w:vAlign w:val="center"/>
          </w:tcPr>
          <w:p w14:paraId="1BE8E475">
            <w:pPr>
              <w:widowControl w:val="0"/>
              <w:jc w:val="center"/>
            </w:pPr>
            <w:r>
              <w:t>-</w:t>
            </w:r>
          </w:p>
        </w:tc>
        <w:tc>
          <w:tcPr>
            <w:tcW w:w="2977" w:type="dxa"/>
            <w:shd w:val="clear" w:color="auto" w:fill="FFFFFF"/>
            <w:tcMar>
              <w:top w:w="0" w:type="dxa"/>
              <w:left w:w="0" w:type="dxa"/>
              <w:bottom w:w="0" w:type="dxa"/>
              <w:right w:w="0" w:type="dxa"/>
            </w:tcMar>
            <w:vAlign w:val="center"/>
          </w:tcPr>
          <w:p w14:paraId="3ED1C120">
            <w:pPr>
              <w:widowControl w:val="0"/>
            </w:pPr>
            <w:r>
              <w:t>消防系统核心子系统</w:t>
            </w:r>
          </w:p>
        </w:tc>
      </w:tr>
      <w:tr w14:paraId="408F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41AD073">
            <w:pPr>
              <w:widowControl w:val="0"/>
              <w:jc w:val="center"/>
            </w:pPr>
          </w:p>
        </w:tc>
        <w:tc>
          <w:tcPr>
            <w:tcW w:w="0" w:type="auto"/>
            <w:shd w:val="clear" w:color="auto" w:fill="FFFFFF"/>
            <w:tcMar>
              <w:top w:w="0" w:type="dxa"/>
              <w:left w:w="0" w:type="dxa"/>
              <w:bottom w:w="0" w:type="dxa"/>
              <w:right w:w="0" w:type="dxa"/>
            </w:tcMar>
            <w:vAlign w:val="center"/>
          </w:tcPr>
          <w:p w14:paraId="715FFFAF">
            <w:pPr>
              <w:widowControl w:val="0"/>
            </w:pPr>
            <w:r>
              <w:t>室内消火栓系统</w:t>
            </w:r>
          </w:p>
        </w:tc>
        <w:tc>
          <w:tcPr>
            <w:tcW w:w="1092" w:type="dxa"/>
            <w:shd w:val="clear" w:color="auto" w:fill="FFFFFF"/>
            <w:tcMar>
              <w:top w:w="0" w:type="dxa"/>
              <w:left w:w="0" w:type="dxa"/>
              <w:bottom w:w="0" w:type="dxa"/>
              <w:right w:w="0" w:type="dxa"/>
            </w:tcMar>
            <w:vAlign w:val="center"/>
          </w:tcPr>
          <w:p w14:paraId="146350D1">
            <w:pPr>
              <w:widowControl w:val="0"/>
              <w:jc w:val="center"/>
            </w:pPr>
            <w:r>
              <w:t>-</w:t>
            </w:r>
          </w:p>
        </w:tc>
        <w:tc>
          <w:tcPr>
            <w:tcW w:w="2977" w:type="dxa"/>
            <w:shd w:val="clear" w:color="auto" w:fill="FFFFFF"/>
            <w:tcMar>
              <w:top w:w="0" w:type="dxa"/>
              <w:left w:w="0" w:type="dxa"/>
              <w:bottom w:w="0" w:type="dxa"/>
              <w:right w:w="0" w:type="dxa"/>
            </w:tcMar>
            <w:vAlign w:val="center"/>
          </w:tcPr>
          <w:p w14:paraId="21295D81">
            <w:pPr>
              <w:widowControl w:val="0"/>
            </w:pPr>
            <w:r>
              <w:t>消防系统核心子系统</w:t>
            </w:r>
          </w:p>
        </w:tc>
      </w:tr>
      <w:tr w14:paraId="64E1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99735CB">
            <w:pPr>
              <w:widowControl w:val="0"/>
              <w:jc w:val="center"/>
            </w:pPr>
          </w:p>
        </w:tc>
        <w:tc>
          <w:tcPr>
            <w:tcW w:w="0" w:type="auto"/>
            <w:shd w:val="clear" w:color="auto" w:fill="FFFFFF"/>
            <w:tcMar>
              <w:top w:w="0" w:type="dxa"/>
              <w:left w:w="0" w:type="dxa"/>
              <w:bottom w:w="0" w:type="dxa"/>
              <w:right w:w="0" w:type="dxa"/>
            </w:tcMar>
            <w:vAlign w:val="center"/>
          </w:tcPr>
          <w:p w14:paraId="645FD40E">
            <w:pPr>
              <w:widowControl w:val="0"/>
            </w:pPr>
            <w:r>
              <w:t>大空间自动扫描高空水炮灭火系统</w:t>
            </w:r>
          </w:p>
        </w:tc>
        <w:tc>
          <w:tcPr>
            <w:tcW w:w="1092" w:type="dxa"/>
            <w:shd w:val="clear" w:color="auto" w:fill="FFFFFF"/>
            <w:tcMar>
              <w:top w:w="0" w:type="dxa"/>
              <w:left w:w="0" w:type="dxa"/>
              <w:bottom w:w="0" w:type="dxa"/>
              <w:right w:w="0" w:type="dxa"/>
            </w:tcMar>
            <w:vAlign w:val="center"/>
          </w:tcPr>
          <w:p w14:paraId="2AE4C848">
            <w:pPr>
              <w:widowControl w:val="0"/>
              <w:jc w:val="center"/>
            </w:pPr>
            <w:r>
              <w:t>-</w:t>
            </w:r>
          </w:p>
        </w:tc>
        <w:tc>
          <w:tcPr>
            <w:tcW w:w="2977" w:type="dxa"/>
            <w:shd w:val="clear" w:color="auto" w:fill="FFFFFF"/>
            <w:tcMar>
              <w:top w:w="0" w:type="dxa"/>
              <w:left w:w="0" w:type="dxa"/>
              <w:bottom w:w="0" w:type="dxa"/>
              <w:right w:w="0" w:type="dxa"/>
            </w:tcMar>
            <w:vAlign w:val="center"/>
          </w:tcPr>
          <w:p w14:paraId="12279290">
            <w:pPr>
              <w:widowControl w:val="0"/>
            </w:pPr>
            <w:r>
              <w:t>消防系统核心子系统</w:t>
            </w:r>
          </w:p>
        </w:tc>
      </w:tr>
      <w:tr w14:paraId="70E1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056305C">
            <w:pPr>
              <w:widowControl w:val="0"/>
              <w:jc w:val="center"/>
            </w:pPr>
          </w:p>
        </w:tc>
        <w:tc>
          <w:tcPr>
            <w:tcW w:w="0" w:type="auto"/>
            <w:shd w:val="clear" w:color="auto" w:fill="FFFFFF"/>
            <w:tcMar>
              <w:top w:w="0" w:type="dxa"/>
              <w:left w:w="0" w:type="dxa"/>
              <w:bottom w:w="0" w:type="dxa"/>
              <w:right w:w="0" w:type="dxa"/>
            </w:tcMar>
            <w:vAlign w:val="center"/>
          </w:tcPr>
          <w:p w14:paraId="28ED3A63">
            <w:pPr>
              <w:widowControl w:val="0"/>
            </w:pPr>
            <w:r>
              <w:t>水喷雾灭火控制系统</w:t>
            </w:r>
          </w:p>
        </w:tc>
        <w:tc>
          <w:tcPr>
            <w:tcW w:w="1092" w:type="dxa"/>
            <w:shd w:val="clear" w:color="auto" w:fill="FFFFFF"/>
            <w:tcMar>
              <w:top w:w="0" w:type="dxa"/>
              <w:left w:w="0" w:type="dxa"/>
              <w:bottom w:w="0" w:type="dxa"/>
              <w:right w:w="0" w:type="dxa"/>
            </w:tcMar>
            <w:vAlign w:val="center"/>
          </w:tcPr>
          <w:p w14:paraId="122C72B4">
            <w:pPr>
              <w:widowControl w:val="0"/>
              <w:jc w:val="center"/>
            </w:pPr>
            <w:r>
              <w:t>-</w:t>
            </w:r>
          </w:p>
        </w:tc>
        <w:tc>
          <w:tcPr>
            <w:tcW w:w="2977" w:type="dxa"/>
            <w:shd w:val="clear" w:color="auto" w:fill="FFFFFF"/>
            <w:tcMar>
              <w:top w:w="0" w:type="dxa"/>
              <w:left w:w="0" w:type="dxa"/>
              <w:bottom w:w="0" w:type="dxa"/>
              <w:right w:w="0" w:type="dxa"/>
            </w:tcMar>
            <w:vAlign w:val="center"/>
          </w:tcPr>
          <w:p w14:paraId="094A967B">
            <w:pPr>
              <w:widowControl w:val="0"/>
            </w:pPr>
            <w:r>
              <w:t>消防系统核心子系统</w:t>
            </w:r>
          </w:p>
        </w:tc>
      </w:tr>
      <w:tr w14:paraId="4AD6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65E0CCB">
            <w:pPr>
              <w:widowControl w:val="0"/>
              <w:jc w:val="center"/>
            </w:pPr>
          </w:p>
        </w:tc>
        <w:tc>
          <w:tcPr>
            <w:tcW w:w="0" w:type="auto"/>
            <w:shd w:val="clear" w:color="auto" w:fill="FFFFFF"/>
            <w:tcMar>
              <w:top w:w="0" w:type="dxa"/>
              <w:left w:w="0" w:type="dxa"/>
              <w:bottom w:w="0" w:type="dxa"/>
              <w:right w:w="0" w:type="dxa"/>
            </w:tcMar>
            <w:vAlign w:val="center"/>
          </w:tcPr>
          <w:p w14:paraId="5C02FEED">
            <w:pPr>
              <w:widowControl w:val="0"/>
            </w:pPr>
            <w:r>
              <w:t>FM200 气体灭火系统</w:t>
            </w:r>
          </w:p>
        </w:tc>
        <w:tc>
          <w:tcPr>
            <w:tcW w:w="1092" w:type="dxa"/>
            <w:shd w:val="clear" w:color="auto" w:fill="FFFFFF"/>
            <w:tcMar>
              <w:top w:w="0" w:type="dxa"/>
              <w:left w:w="0" w:type="dxa"/>
              <w:bottom w:w="0" w:type="dxa"/>
              <w:right w:w="0" w:type="dxa"/>
            </w:tcMar>
            <w:vAlign w:val="center"/>
          </w:tcPr>
          <w:p w14:paraId="19C95D18">
            <w:pPr>
              <w:widowControl w:val="0"/>
              <w:jc w:val="center"/>
            </w:pPr>
            <w:r>
              <w:t>-</w:t>
            </w:r>
          </w:p>
        </w:tc>
        <w:tc>
          <w:tcPr>
            <w:tcW w:w="2977" w:type="dxa"/>
            <w:shd w:val="clear" w:color="auto" w:fill="FFFFFF"/>
            <w:tcMar>
              <w:top w:w="0" w:type="dxa"/>
              <w:left w:w="0" w:type="dxa"/>
              <w:bottom w:w="0" w:type="dxa"/>
              <w:right w:w="0" w:type="dxa"/>
            </w:tcMar>
            <w:vAlign w:val="center"/>
          </w:tcPr>
          <w:p w14:paraId="1C234342">
            <w:pPr>
              <w:widowControl w:val="0"/>
            </w:pPr>
            <w:r>
              <w:t>消防系统核心子系统</w:t>
            </w:r>
          </w:p>
        </w:tc>
      </w:tr>
      <w:tr w14:paraId="350E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E5968EA">
            <w:pPr>
              <w:widowControl w:val="0"/>
              <w:jc w:val="center"/>
            </w:pPr>
          </w:p>
        </w:tc>
        <w:tc>
          <w:tcPr>
            <w:tcW w:w="0" w:type="auto"/>
            <w:shd w:val="clear" w:color="auto" w:fill="FFFFFF"/>
            <w:tcMar>
              <w:top w:w="0" w:type="dxa"/>
              <w:left w:w="0" w:type="dxa"/>
              <w:bottom w:w="0" w:type="dxa"/>
              <w:right w:w="0" w:type="dxa"/>
            </w:tcMar>
            <w:vAlign w:val="center"/>
          </w:tcPr>
          <w:p w14:paraId="6EC6001A">
            <w:pPr>
              <w:widowControl w:val="0"/>
            </w:pPr>
            <w:r>
              <w:t>室外消火栓及室外消防管道系统</w:t>
            </w:r>
          </w:p>
        </w:tc>
        <w:tc>
          <w:tcPr>
            <w:tcW w:w="1092" w:type="dxa"/>
            <w:shd w:val="clear" w:color="auto" w:fill="FFFFFF"/>
            <w:tcMar>
              <w:top w:w="0" w:type="dxa"/>
              <w:left w:w="0" w:type="dxa"/>
              <w:bottom w:w="0" w:type="dxa"/>
              <w:right w:w="0" w:type="dxa"/>
            </w:tcMar>
            <w:vAlign w:val="center"/>
          </w:tcPr>
          <w:p w14:paraId="73FBDD5D">
            <w:pPr>
              <w:widowControl w:val="0"/>
              <w:jc w:val="center"/>
            </w:pPr>
            <w:r>
              <w:t>-</w:t>
            </w:r>
          </w:p>
        </w:tc>
        <w:tc>
          <w:tcPr>
            <w:tcW w:w="2977" w:type="dxa"/>
            <w:shd w:val="clear" w:color="auto" w:fill="FFFFFF"/>
            <w:tcMar>
              <w:top w:w="0" w:type="dxa"/>
              <w:left w:w="0" w:type="dxa"/>
              <w:bottom w:w="0" w:type="dxa"/>
              <w:right w:w="0" w:type="dxa"/>
            </w:tcMar>
            <w:vAlign w:val="center"/>
          </w:tcPr>
          <w:p w14:paraId="22248FF0">
            <w:pPr>
              <w:widowControl w:val="0"/>
            </w:pPr>
            <w:r>
              <w:t>消防系统核心子系统</w:t>
            </w:r>
          </w:p>
        </w:tc>
      </w:tr>
      <w:tr w14:paraId="46AD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1C11E06">
            <w:pPr>
              <w:widowControl w:val="0"/>
              <w:jc w:val="center"/>
            </w:pPr>
          </w:p>
        </w:tc>
        <w:tc>
          <w:tcPr>
            <w:tcW w:w="0" w:type="auto"/>
            <w:shd w:val="clear" w:color="auto" w:fill="FFFFFF"/>
            <w:tcMar>
              <w:top w:w="0" w:type="dxa"/>
              <w:left w:w="0" w:type="dxa"/>
              <w:bottom w:w="0" w:type="dxa"/>
              <w:right w:w="0" w:type="dxa"/>
            </w:tcMar>
            <w:vAlign w:val="center"/>
          </w:tcPr>
          <w:p w14:paraId="20A41370">
            <w:pPr>
              <w:widowControl w:val="0"/>
            </w:pPr>
            <w:r>
              <w:t>消防卷帘门</w:t>
            </w:r>
          </w:p>
        </w:tc>
        <w:tc>
          <w:tcPr>
            <w:tcW w:w="1092" w:type="dxa"/>
            <w:shd w:val="clear" w:color="auto" w:fill="FFFFFF"/>
            <w:tcMar>
              <w:top w:w="0" w:type="dxa"/>
              <w:left w:w="0" w:type="dxa"/>
              <w:bottom w:w="0" w:type="dxa"/>
              <w:right w:w="0" w:type="dxa"/>
            </w:tcMar>
            <w:vAlign w:val="center"/>
          </w:tcPr>
          <w:p w14:paraId="455E4CCC">
            <w:pPr>
              <w:widowControl w:val="0"/>
              <w:jc w:val="center"/>
            </w:pPr>
            <w:r>
              <w:t>-</w:t>
            </w:r>
          </w:p>
        </w:tc>
        <w:tc>
          <w:tcPr>
            <w:tcW w:w="2977" w:type="dxa"/>
            <w:shd w:val="clear" w:color="auto" w:fill="FFFFFF"/>
            <w:tcMar>
              <w:top w:w="0" w:type="dxa"/>
              <w:left w:w="0" w:type="dxa"/>
              <w:bottom w:w="0" w:type="dxa"/>
              <w:right w:w="0" w:type="dxa"/>
            </w:tcMar>
            <w:vAlign w:val="center"/>
          </w:tcPr>
          <w:p w14:paraId="0D86DD44">
            <w:pPr>
              <w:widowControl w:val="0"/>
            </w:pPr>
            <w:r>
              <w:t>消防防烟防火子系统</w:t>
            </w:r>
          </w:p>
        </w:tc>
      </w:tr>
      <w:tr w14:paraId="45E6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03BC915">
            <w:pPr>
              <w:widowControl w:val="0"/>
              <w:jc w:val="center"/>
            </w:pPr>
          </w:p>
        </w:tc>
        <w:tc>
          <w:tcPr>
            <w:tcW w:w="0" w:type="auto"/>
            <w:shd w:val="clear" w:color="auto" w:fill="FFFFFF"/>
            <w:tcMar>
              <w:top w:w="0" w:type="dxa"/>
              <w:left w:w="0" w:type="dxa"/>
              <w:bottom w:w="0" w:type="dxa"/>
              <w:right w:w="0" w:type="dxa"/>
            </w:tcMar>
            <w:vAlign w:val="center"/>
          </w:tcPr>
          <w:p w14:paraId="22031DF2">
            <w:pPr>
              <w:widowControl w:val="0"/>
            </w:pPr>
            <w:r>
              <w:t>机械排烟等防排烟系统</w:t>
            </w:r>
          </w:p>
        </w:tc>
        <w:tc>
          <w:tcPr>
            <w:tcW w:w="1092" w:type="dxa"/>
            <w:shd w:val="clear" w:color="auto" w:fill="FFFFFF"/>
            <w:tcMar>
              <w:top w:w="0" w:type="dxa"/>
              <w:left w:w="0" w:type="dxa"/>
              <w:bottom w:w="0" w:type="dxa"/>
              <w:right w:w="0" w:type="dxa"/>
            </w:tcMar>
            <w:vAlign w:val="center"/>
          </w:tcPr>
          <w:p w14:paraId="049230C0">
            <w:pPr>
              <w:widowControl w:val="0"/>
              <w:jc w:val="center"/>
            </w:pPr>
            <w:r>
              <w:t>-</w:t>
            </w:r>
          </w:p>
        </w:tc>
        <w:tc>
          <w:tcPr>
            <w:tcW w:w="2977" w:type="dxa"/>
            <w:shd w:val="clear" w:color="auto" w:fill="FFFFFF"/>
            <w:tcMar>
              <w:top w:w="0" w:type="dxa"/>
              <w:left w:w="0" w:type="dxa"/>
              <w:bottom w:w="0" w:type="dxa"/>
              <w:right w:w="0" w:type="dxa"/>
            </w:tcMar>
            <w:vAlign w:val="center"/>
          </w:tcPr>
          <w:p w14:paraId="78EC75BB">
            <w:pPr>
              <w:widowControl w:val="0"/>
            </w:pPr>
            <w:r>
              <w:t>消防防烟防火子系统</w:t>
            </w:r>
          </w:p>
        </w:tc>
      </w:tr>
      <w:tr w14:paraId="643D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793C3452">
            <w:pPr>
              <w:widowControl w:val="0"/>
              <w:jc w:val="center"/>
            </w:pPr>
          </w:p>
        </w:tc>
        <w:tc>
          <w:tcPr>
            <w:tcW w:w="0" w:type="auto"/>
            <w:shd w:val="clear" w:color="auto" w:fill="FFFFFF"/>
            <w:tcMar>
              <w:top w:w="0" w:type="dxa"/>
              <w:left w:w="0" w:type="dxa"/>
              <w:bottom w:w="0" w:type="dxa"/>
              <w:right w:w="0" w:type="dxa"/>
            </w:tcMar>
            <w:vAlign w:val="center"/>
          </w:tcPr>
          <w:p w14:paraId="2471B69B">
            <w:pPr>
              <w:widowControl w:val="0"/>
            </w:pPr>
            <w:r>
              <w:t>应急照明及疏散指示标志系统</w:t>
            </w:r>
          </w:p>
        </w:tc>
        <w:tc>
          <w:tcPr>
            <w:tcW w:w="1092" w:type="dxa"/>
            <w:shd w:val="clear" w:color="auto" w:fill="FFFFFF"/>
            <w:tcMar>
              <w:top w:w="0" w:type="dxa"/>
              <w:left w:w="0" w:type="dxa"/>
              <w:bottom w:w="0" w:type="dxa"/>
              <w:right w:w="0" w:type="dxa"/>
            </w:tcMar>
            <w:vAlign w:val="center"/>
          </w:tcPr>
          <w:p w14:paraId="528F0D36">
            <w:pPr>
              <w:widowControl w:val="0"/>
              <w:jc w:val="center"/>
            </w:pPr>
            <w:r>
              <w:t>-</w:t>
            </w:r>
          </w:p>
        </w:tc>
        <w:tc>
          <w:tcPr>
            <w:tcW w:w="2977" w:type="dxa"/>
            <w:shd w:val="clear" w:color="auto" w:fill="FFFFFF"/>
            <w:tcMar>
              <w:top w:w="0" w:type="dxa"/>
              <w:left w:w="0" w:type="dxa"/>
              <w:bottom w:w="0" w:type="dxa"/>
              <w:right w:w="0" w:type="dxa"/>
            </w:tcMar>
            <w:vAlign w:val="center"/>
          </w:tcPr>
          <w:p w14:paraId="6CD0254B">
            <w:pPr>
              <w:widowControl w:val="0"/>
            </w:pPr>
            <w:r>
              <w:t>消防应急保障子系统</w:t>
            </w:r>
          </w:p>
        </w:tc>
      </w:tr>
      <w:tr w14:paraId="1584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6243B00">
            <w:pPr>
              <w:widowControl w:val="0"/>
              <w:jc w:val="center"/>
            </w:pPr>
          </w:p>
        </w:tc>
        <w:tc>
          <w:tcPr>
            <w:tcW w:w="0" w:type="auto"/>
            <w:shd w:val="clear" w:color="auto" w:fill="FFFFFF"/>
            <w:tcMar>
              <w:top w:w="0" w:type="dxa"/>
              <w:left w:w="0" w:type="dxa"/>
              <w:bottom w:w="0" w:type="dxa"/>
              <w:right w:w="0" w:type="dxa"/>
            </w:tcMar>
            <w:vAlign w:val="center"/>
          </w:tcPr>
          <w:p w14:paraId="71C53232">
            <w:pPr>
              <w:widowControl w:val="0"/>
            </w:pPr>
            <w:r>
              <w:t>消防应急电话及广播系统</w:t>
            </w:r>
          </w:p>
        </w:tc>
        <w:tc>
          <w:tcPr>
            <w:tcW w:w="1092" w:type="dxa"/>
            <w:shd w:val="clear" w:color="auto" w:fill="FFFFFF"/>
            <w:tcMar>
              <w:top w:w="0" w:type="dxa"/>
              <w:left w:w="0" w:type="dxa"/>
              <w:bottom w:w="0" w:type="dxa"/>
              <w:right w:w="0" w:type="dxa"/>
            </w:tcMar>
            <w:vAlign w:val="center"/>
          </w:tcPr>
          <w:p w14:paraId="1C87011D">
            <w:pPr>
              <w:widowControl w:val="0"/>
              <w:jc w:val="center"/>
            </w:pPr>
            <w:r>
              <w:t>-</w:t>
            </w:r>
          </w:p>
        </w:tc>
        <w:tc>
          <w:tcPr>
            <w:tcW w:w="2977" w:type="dxa"/>
            <w:shd w:val="clear" w:color="auto" w:fill="FFFFFF"/>
            <w:tcMar>
              <w:top w:w="0" w:type="dxa"/>
              <w:left w:w="0" w:type="dxa"/>
              <w:bottom w:w="0" w:type="dxa"/>
              <w:right w:w="0" w:type="dxa"/>
            </w:tcMar>
            <w:vAlign w:val="center"/>
          </w:tcPr>
          <w:p w14:paraId="3AC0521A">
            <w:pPr>
              <w:widowControl w:val="0"/>
            </w:pPr>
            <w:r>
              <w:t>消防应急保障子系统</w:t>
            </w:r>
          </w:p>
        </w:tc>
      </w:tr>
      <w:tr w14:paraId="3B31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restart"/>
            <w:shd w:val="clear" w:color="auto" w:fill="FFFFFF"/>
            <w:tcMar>
              <w:top w:w="0" w:type="dxa"/>
              <w:left w:w="0" w:type="dxa"/>
              <w:bottom w:w="0" w:type="dxa"/>
              <w:right w:w="0" w:type="dxa"/>
            </w:tcMar>
            <w:vAlign w:val="center"/>
          </w:tcPr>
          <w:p w14:paraId="63742952">
            <w:pPr>
              <w:widowControl w:val="0"/>
              <w:jc w:val="center"/>
            </w:pPr>
            <w:r>
              <w:rPr>
                <w:b/>
                <w:bCs/>
              </w:rPr>
              <w:t>安防系统</w:t>
            </w:r>
          </w:p>
        </w:tc>
        <w:tc>
          <w:tcPr>
            <w:tcW w:w="0" w:type="auto"/>
            <w:shd w:val="clear" w:color="auto" w:fill="FFFFFF"/>
            <w:tcMar>
              <w:top w:w="0" w:type="dxa"/>
              <w:left w:w="0" w:type="dxa"/>
              <w:bottom w:w="0" w:type="dxa"/>
              <w:right w:w="0" w:type="dxa"/>
            </w:tcMar>
            <w:vAlign w:val="center"/>
          </w:tcPr>
          <w:p w14:paraId="0BE6991B">
            <w:pPr>
              <w:widowControl w:val="0"/>
            </w:pPr>
            <w:r>
              <w:t>防冲撞路障</w:t>
            </w:r>
          </w:p>
        </w:tc>
        <w:tc>
          <w:tcPr>
            <w:tcW w:w="1092" w:type="dxa"/>
            <w:shd w:val="clear" w:color="auto" w:fill="FFFFFF"/>
            <w:tcMar>
              <w:top w:w="0" w:type="dxa"/>
              <w:left w:w="0" w:type="dxa"/>
              <w:bottom w:w="0" w:type="dxa"/>
              <w:right w:w="0" w:type="dxa"/>
            </w:tcMar>
            <w:vAlign w:val="center"/>
          </w:tcPr>
          <w:p w14:paraId="7AB33243">
            <w:pPr>
              <w:widowControl w:val="0"/>
              <w:jc w:val="center"/>
            </w:pPr>
            <w:r>
              <w:t>2 套</w:t>
            </w:r>
          </w:p>
        </w:tc>
        <w:tc>
          <w:tcPr>
            <w:tcW w:w="2977" w:type="dxa"/>
            <w:shd w:val="clear" w:color="auto" w:fill="FFFFFF"/>
            <w:tcMar>
              <w:top w:w="0" w:type="dxa"/>
              <w:left w:w="0" w:type="dxa"/>
              <w:bottom w:w="0" w:type="dxa"/>
              <w:right w:w="0" w:type="dxa"/>
            </w:tcMar>
            <w:vAlign w:val="center"/>
          </w:tcPr>
          <w:p w14:paraId="2F3FC41F">
            <w:pPr>
              <w:widowControl w:val="0"/>
            </w:pPr>
            <w:r>
              <w:t>-</w:t>
            </w:r>
          </w:p>
        </w:tc>
      </w:tr>
      <w:tr w14:paraId="5C4E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00E9084">
            <w:pPr>
              <w:widowControl w:val="0"/>
            </w:pPr>
          </w:p>
        </w:tc>
        <w:tc>
          <w:tcPr>
            <w:tcW w:w="0" w:type="auto"/>
            <w:shd w:val="clear" w:color="auto" w:fill="FFFFFF"/>
            <w:tcMar>
              <w:top w:w="0" w:type="dxa"/>
              <w:left w:w="0" w:type="dxa"/>
              <w:bottom w:w="0" w:type="dxa"/>
              <w:right w:w="0" w:type="dxa"/>
            </w:tcMar>
            <w:vAlign w:val="center"/>
          </w:tcPr>
          <w:p w14:paraId="0AAAF1BC">
            <w:pPr>
              <w:widowControl w:val="0"/>
            </w:pPr>
            <w:r>
              <w:t>安检机</w:t>
            </w:r>
          </w:p>
        </w:tc>
        <w:tc>
          <w:tcPr>
            <w:tcW w:w="1092" w:type="dxa"/>
            <w:shd w:val="clear" w:color="auto" w:fill="FFFFFF"/>
            <w:tcMar>
              <w:top w:w="0" w:type="dxa"/>
              <w:left w:w="0" w:type="dxa"/>
              <w:bottom w:w="0" w:type="dxa"/>
              <w:right w:w="0" w:type="dxa"/>
            </w:tcMar>
            <w:vAlign w:val="center"/>
          </w:tcPr>
          <w:p w14:paraId="796841FA">
            <w:pPr>
              <w:widowControl w:val="0"/>
              <w:jc w:val="center"/>
            </w:pPr>
            <w:r>
              <w:t>1 套</w:t>
            </w:r>
          </w:p>
        </w:tc>
        <w:tc>
          <w:tcPr>
            <w:tcW w:w="2977" w:type="dxa"/>
            <w:shd w:val="clear" w:color="auto" w:fill="FFFFFF"/>
            <w:tcMar>
              <w:top w:w="0" w:type="dxa"/>
              <w:left w:w="0" w:type="dxa"/>
              <w:bottom w:w="0" w:type="dxa"/>
              <w:right w:w="0" w:type="dxa"/>
            </w:tcMar>
            <w:vAlign w:val="center"/>
          </w:tcPr>
          <w:p w14:paraId="1B4CCE07">
            <w:pPr>
              <w:widowControl w:val="0"/>
            </w:pPr>
            <w:r>
              <w:t>-</w:t>
            </w:r>
          </w:p>
        </w:tc>
      </w:tr>
      <w:tr w14:paraId="16A0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4A1065A">
            <w:pPr>
              <w:widowControl w:val="0"/>
            </w:pPr>
          </w:p>
        </w:tc>
        <w:tc>
          <w:tcPr>
            <w:tcW w:w="0" w:type="auto"/>
            <w:shd w:val="clear" w:color="auto" w:fill="FFFFFF"/>
            <w:tcMar>
              <w:top w:w="0" w:type="dxa"/>
              <w:left w:w="0" w:type="dxa"/>
              <w:bottom w:w="0" w:type="dxa"/>
              <w:right w:w="0" w:type="dxa"/>
            </w:tcMar>
            <w:vAlign w:val="center"/>
          </w:tcPr>
          <w:p w14:paraId="38DF79AF">
            <w:pPr>
              <w:widowControl w:val="0"/>
            </w:pPr>
            <w:r>
              <w:t>安检门</w:t>
            </w:r>
          </w:p>
        </w:tc>
        <w:tc>
          <w:tcPr>
            <w:tcW w:w="1092" w:type="dxa"/>
            <w:shd w:val="clear" w:color="auto" w:fill="FFFFFF"/>
            <w:tcMar>
              <w:top w:w="0" w:type="dxa"/>
              <w:left w:w="0" w:type="dxa"/>
              <w:bottom w:w="0" w:type="dxa"/>
              <w:right w:w="0" w:type="dxa"/>
            </w:tcMar>
            <w:vAlign w:val="center"/>
          </w:tcPr>
          <w:p w14:paraId="739D5A83">
            <w:pPr>
              <w:widowControl w:val="0"/>
              <w:jc w:val="center"/>
            </w:pPr>
            <w:r>
              <w:t>5 套</w:t>
            </w:r>
          </w:p>
        </w:tc>
        <w:tc>
          <w:tcPr>
            <w:tcW w:w="2977" w:type="dxa"/>
            <w:shd w:val="clear" w:color="auto" w:fill="FFFFFF"/>
            <w:tcMar>
              <w:top w:w="0" w:type="dxa"/>
              <w:left w:w="0" w:type="dxa"/>
              <w:bottom w:w="0" w:type="dxa"/>
              <w:right w:w="0" w:type="dxa"/>
            </w:tcMar>
            <w:vAlign w:val="center"/>
          </w:tcPr>
          <w:p w14:paraId="6803739C">
            <w:pPr>
              <w:widowControl w:val="0"/>
            </w:pPr>
            <w:r>
              <w:t>-</w:t>
            </w:r>
          </w:p>
        </w:tc>
      </w:tr>
      <w:tr w14:paraId="2373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7BE9452">
            <w:pPr>
              <w:widowControl w:val="0"/>
            </w:pPr>
          </w:p>
        </w:tc>
        <w:tc>
          <w:tcPr>
            <w:tcW w:w="0" w:type="auto"/>
            <w:shd w:val="clear" w:color="auto" w:fill="FFFFFF"/>
            <w:tcMar>
              <w:top w:w="0" w:type="dxa"/>
              <w:left w:w="0" w:type="dxa"/>
              <w:bottom w:w="0" w:type="dxa"/>
              <w:right w:w="0" w:type="dxa"/>
            </w:tcMar>
            <w:vAlign w:val="center"/>
          </w:tcPr>
          <w:p w14:paraId="44F02D45">
            <w:pPr>
              <w:widowControl w:val="0"/>
            </w:pPr>
            <w:r>
              <w:t>智能安防平台</w:t>
            </w:r>
          </w:p>
        </w:tc>
        <w:tc>
          <w:tcPr>
            <w:tcW w:w="1092" w:type="dxa"/>
            <w:shd w:val="clear" w:color="auto" w:fill="FFFFFF"/>
            <w:tcMar>
              <w:top w:w="0" w:type="dxa"/>
              <w:left w:w="0" w:type="dxa"/>
              <w:bottom w:w="0" w:type="dxa"/>
              <w:right w:w="0" w:type="dxa"/>
            </w:tcMar>
            <w:vAlign w:val="center"/>
          </w:tcPr>
          <w:p w14:paraId="08A18438">
            <w:pPr>
              <w:widowControl w:val="0"/>
              <w:jc w:val="center"/>
            </w:pPr>
            <w:r>
              <w:t>1 套</w:t>
            </w:r>
          </w:p>
        </w:tc>
        <w:tc>
          <w:tcPr>
            <w:tcW w:w="2977" w:type="dxa"/>
            <w:shd w:val="clear" w:color="auto" w:fill="FFFFFF"/>
            <w:tcMar>
              <w:top w:w="0" w:type="dxa"/>
              <w:left w:w="0" w:type="dxa"/>
              <w:bottom w:w="0" w:type="dxa"/>
              <w:right w:w="0" w:type="dxa"/>
            </w:tcMar>
            <w:vAlign w:val="center"/>
          </w:tcPr>
          <w:p w14:paraId="5842DF6D">
            <w:pPr>
              <w:widowControl w:val="0"/>
            </w:pPr>
            <w:r>
              <w:t>-</w:t>
            </w:r>
          </w:p>
        </w:tc>
      </w:tr>
      <w:tr w14:paraId="691E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E43D5C4">
            <w:pPr>
              <w:widowControl w:val="0"/>
            </w:pPr>
          </w:p>
        </w:tc>
        <w:tc>
          <w:tcPr>
            <w:tcW w:w="0" w:type="auto"/>
            <w:shd w:val="clear" w:color="auto" w:fill="FFFFFF"/>
            <w:tcMar>
              <w:top w:w="0" w:type="dxa"/>
              <w:left w:w="0" w:type="dxa"/>
              <w:bottom w:w="0" w:type="dxa"/>
              <w:right w:w="0" w:type="dxa"/>
            </w:tcMar>
            <w:vAlign w:val="center"/>
          </w:tcPr>
          <w:p w14:paraId="2C6CEBD4">
            <w:pPr>
              <w:widowControl w:val="0"/>
            </w:pPr>
            <w:r>
              <w:t>视频监控系统</w:t>
            </w:r>
          </w:p>
        </w:tc>
        <w:tc>
          <w:tcPr>
            <w:tcW w:w="1092" w:type="dxa"/>
            <w:shd w:val="clear" w:color="auto" w:fill="FFFFFF"/>
            <w:tcMar>
              <w:top w:w="0" w:type="dxa"/>
              <w:left w:w="0" w:type="dxa"/>
              <w:bottom w:w="0" w:type="dxa"/>
              <w:right w:w="0" w:type="dxa"/>
            </w:tcMar>
            <w:vAlign w:val="center"/>
          </w:tcPr>
          <w:p w14:paraId="2DE5E22B">
            <w:pPr>
              <w:widowControl w:val="0"/>
              <w:jc w:val="center"/>
            </w:pPr>
            <w:r>
              <w:t>1 套</w:t>
            </w:r>
          </w:p>
        </w:tc>
        <w:tc>
          <w:tcPr>
            <w:tcW w:w="2977" w:type="dxa"/>
            <w:shd w:val="clear" w:color="auto" w:fill="FFFFFF"/>
            <w:tcMar>
              <w:top w:w="0" w:type="dxa"/>
              <w:left w:w="0" w:type="dxa"/>
              <w:bottom w:w="0" w:type="dxa"/>
              <w:right w:w="0" w:type="dxa"/>
            </w:tcMar>
            <w:vAlign w:val="center"/>
          </w:tcPr>
          <w:p w14:paraId="60922C0D">
            <w:pPr>
              <w:widowControl w:val="0"/>
            </w:pPr>
            <w:r>
              <w:t>-</w:t>
            </w:r>
          </w:p>
        </w:tc>
      </w:tr>
      <w:tr w14:paraId="54DE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DA04708">
            <w:pPr>
              <w:widowControl w:val="0"/>
            </w:pPr>
          </w:p>
        </w:tc>
        <w:tc>
          <w:tcPr>
            <w:tcW w:w="0" w:type="auto"/>
            <w:shd w:val="clear" w:color="auto" w:fill="FFFFFF"/>
            <w:tcMar>
              <w:top w:w="0" w:type="dxa"/>
              <w:left w:w="0" w:type="dxa"/>
              <w:bottom w:w="0" w:type="dxa"/>
              <w:right w:w="0" w:type="dxa"/>
            </w:tcMar>
            <w:vAlign w:val="center"/>
          </w:tcPr>
          <w:p w14:paraId="365F4904">
            <w:pPr>
              <w:widowControl w:val="0"/>
            </w:pPr>
            <w:r>
              <w:t>18 路大屏电视墙</w:t>
            </w:r>
          </w:p>
        </w:tc>
        <w:tc>
          <w:tcPr>
            <w:tcW w:w="1092" w:type="dxa"/>
            <w:shd w:val="clear" w:color="auto" w:fill="FFFFFF"/>
            <w:tcMar>
              <w:top w:w="0" w:type="dxa"/>
              <w:left w:w="0" w:type="dxa"/>
              <w:bottom w:w="0" w:type="dxa"/>
              <w:right w:w="0" w:type="dxa"/>
            </w:tcMar>
            <w:vAlign w:val="center"/>
          </w:tcPr>
          <w:p w14:paraId="559A0A6C">
            <w:pPr>
              <w:widowControl w:val="0"/>
              <w:jc w:val="center"/>
            </w:pPr>
            <w:r>
              <w:t>1 套</w:t>
            </w:r>
          </w:p>
        </w:tc>
        <w:tc>
          <w:tcPr>
            <w:tcW w:w="2977" w:type="dxa"/>
            <w:shd w:val="clear" w:color="auto" w:fill="FFFFFF"/>
            <w:tcMar>
              <w:top w:w="0" w:type="dxa"/>
              <w:left w:w="0" w:type="dxa"/>
              <w:bottom w:w="0" w:type="dxa"/>
              <w:right w:w="0" w:type="dxa"/>
            </w:tcMar>
            <w:vAlign w:val="center"/>
          </w:tcPr>
          <w:p w14:paraId="53854048">
            <w:pPr>
              <w:widowControl w:val="0"/>
            </w:pPr>
            <w:r>
              <w:t>-</w:t>
            </w:r>
          </w:p>
        </w:tc>
      </w:tr>
      <w:tr w14:paraId="49A6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4E929EA">
            <w:pPr>
              <w:widowControl w:val="0"/>
            </w:pPr>
          </w:p>
        </w:tc>
        <w:tc>
          <w:tcPr>
            <w:tcW w:w="0" w:type="auto"/>
            <w:shd w:val="clear" w:color="auto" w:fill="FFFFFF"/>
            <w:tcMar>
              <w:top w:w="0" w:type="dxa"/>
              <w:left w:w="0" w:type="dxa"/>
              <w:bottom w:w="0" w:type="dxa"/>
              <w:right w:w="0" w:type="dxa"/>
            </w:tcMar>
            <w:vAlign w:val="center"/>
          </w:tcPr>
          <w:p w14:paraId="37846E72">
            <w:pPr>
              <w:widowControl w:val="0"/>
            </w:pPr>
            <w:r>
              <w:t>视频存储服务器</w:t>
            </w:r>
          </w:p>
        </w:tc>
        <w:tc>
          <w:tcPr>
            <w:tcW w:w="1092" w:type="dxa"/>
            <w:shd w:val="clear" w:color="auto" w:fill="FFFFFF"/>
            <w:tcMar>
              <w:top w:w="0" w:type="dxa"/>
              <w:left w:w="0" w:type="dxa"/>
              <w:bottom w:w="0" w:type="dxa"/>
              <w:right w:w="0" w:type="dxa"/>
            </w:tcMar>
            <w:vAlign w:val="center"/>
          </w:tcPr>
          <w:p w14:paraId="64DB1D34">
            <w:pPr>
              <w:widowControl w:val="0"/>
              <w:jc w:val="center"/>
            </w:pPr>
            <w:r>
              <w:t>18 套</w:t>
            </w:r>
          </w:p>
        </w:tc>
        <w:tc>
          <w:tcPr>
            <w:tcW w:w="2977" w:type="dxa"/>
            <w:shd w:val="clear" w:color="auto" w:fill="FFFFFF"/>
            <w:tcMar>
              <w:top w:w="0" w:type="dxa"/>
              <w:left w:w="0" w:type="dxa"/>
              <w:bottom w:w="0" w:type="dxa"/>
              <w:right w:w="0" w:type="dxa"/>
            </w:tcMar>
            <w:vAlign w:val="center"/>
          </w:tcPr>
          <w:p w14:paraId="3BA75363">
            <w:pPr>
              <w:widowControl w:val="0"/>
            </w:pPr>
            <w:r>
              <w:t>-</w:t>
            </w:r>
          </w:p>
        </w:tc>
      </w:tr>
      <w:tr w14:paraId="3C95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E3EBE97">
            <w:pPr>
              <w:widowControl w:val="0"/>
            </w:pPr>
          </w:p>
        </w:tc>
        <w:tc>
          <w:tcPr>
            <w:tcW w:w="0" w:type="auto"/>
            <w:shd w:val="clear" w:color="auto" w:fill="FFFFFF"/>
            <w:tcMar>
              <w:top w:w="0" w:type="dxa"/>
              <w:left w:w="0" w:type="dxa"/>
              <w:bottom w:w="0" w:type="dxa"/>
              <w:right w:w="0" w:type="dxa"/>
            </w:tcMar>
            <w:vAlign w:val="center"/>
          </w:tcPr>
          <w:p w14:paraId="2CEA95F6">
            <w:pPr>
              <w:widowControl w:val="0"/>
            </w:pPr>
            <w:r>
              <w:t>入侵报警系统</w:t>
            </w:r>
          </w:p>
        </w:tc>
        <w:tc>
          <w:tcPr>
            <w:tcW w:w="1092" w:type="dxa"/>
            <w:shd w:val="clear" w:color="auto" w:fill="FFFFFF"/>
            <w:tcMar>
              <w:top w:w="0" w:type="dxa"/>
              <w:left w:w="0" w:type="dxa"/>
              <w:bottom w:w="0" w:type="dxa"/>
              <w:right w:w="0" w:type="dxa"/>
            </w:tcMar>
            <w:vAlign w:val="center"/>
          </w:tcPr>
          <w:p w14:paraId="2EE020A5">
            <w:pPr>
              <w:widowControl w:val="0"/>
              <w:jc w:val="center"/>
            </w:pPr>
            <w:r>
              <w:t>1 套</w:t>
            </w:r>
          </w:p>
        </w:tc>
        <w:tc>
          <w:tcPr>
            <w:tcW w:w="2977" w:type="dxa"/>
            <w:shd w:val="clear" w:color="auto" w:fill="FFFFFF"/>
            <w:tcMar>
              <w:top w:w="0" w:type="dxa"/>
              <w:left w:w="0" w:type="dxa"/>
              <w:bottom w:w="0" w:type="dxa"/>
              <w:right w:w="0" w:type="dxa"/>
            </w:tcMar>
            <w:vAlign w:val="center"/>
          </w:tcPr>
          <w:p w14:paraId="557B7B99">
            <w:pPr>
              <w:widowControl w:val="0"/>
            </w:pPr>
            <w:r>
              <w:t>-</w:t>
            </w:r>
          </w:p>
        </w:tc>
      </w:tr>
      <w:tr w14:paraId="4A90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0803670">
            <w:pPr>
              <w:widowControl w:val="0"/>
            </w:pPr>
          </w:p>
        </w:tc>
        <w:tc>
          <w:tcPr>
            <w:tcW w:w="0" w:type="auto"/>
            <w:shd w:val="clear" w:color="auto" w:fill="FFFFFF"/>
            <w:tcMar>
              <w:top w:w="0" w:type="dxa"/>
              <w:left w:w="0" w:type="dxa"/>
              <w:bottom w:w="0" w:type="dxa"/>
              <w:right w:w="0" w:type="dxa"/>
            </w:tcMar>
            <w:vAlign w:val="center"/>
          </w:tcPr>
          <w:p w14:paraId="2BFB70A1">
            <w:pPr>
              <w:widowControl w:val="0"/>
            </w:pPr>
            <w:r>
              <w:t>楼道机</w:t>
            </w:r>
          </w:p>
        </w:tc>
        <w:tc>
          <w:tcPr>
            <w:tcW w:w="1092" w:type="dxa"/>
            <w:shd w:val="clear" w:color="auto" w:fill="FFFFFF"/>
            <w:tcMar>
              <w:top w:w="0" w:type="dxa"/>
              <w:left w:w="0" w:type="dxa"/>
              <w:bottom w:w="0" w:type="dxa"/>
              <w:right w:w="0" w:type="dxa"/>
            </w:tcMar>
            <w:vAlign w:val="center"/>
          </w:tcPr>
          <w:p w14:paraId="0F1371F8">
            <w:pPr>
              <w:widowControl w:val="0"/>
              <w:jc w:val="center"/>
            </w:pPr>
            <w:r>
              <w:t>20 台</w:t>
            </w:r>
          </w:p>
        </w:tc>
        <w:tc>
          <w:tcPr>
            <w:tcW w:w="2977" w:type="dxa"/>
            <w:shd w:val="clear" w:color="auto" w:fill="FFFFFF"/>
            <w:tcMar>
              <w:top w:w="0" w:type="dxa"/>
              <w:left w:w="0" w:type="dxa"/>
              <w:bottom w:w="0" w:type="dxa"/>
              <w:right w:w="0" w:type="dxa"/>
            </w:tcMar>
            <w:vAlign w:val="center"/>
          </w:tcPr>
          <w:p w14:paraId="1738A5CF">
            <w:pPr>
              <w:widowControl w:val="0"/>
            </w:pPr>
            <w:r>
              <w:t>-</w:t>
            </w:r>
          </w:p>
        </w:tc>
      </w:tr>
      <w:tr w14:paraId="1FD5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35CAE31A">
            <w:pPr>
              <w:widowControl w:val="0"/>
            </w:pPr>
          </w:p>
        </w:tc>
        <w:tc>
          <w:tcPr>
            <w:tcW w:w="0" w:type="auto"/>
            <w:shd w:val="clear" w:color="auto" w:fill="FFFFFF"/>
            <w:tcMar>
              <w:top w:w="0" w:type="dxa"/>
              <w:left w:w="0" w:type="dxa"/>
              <w:bottom w:w="0" w:type="dxa"/>
              <w:right w:w="0" w:type="dxa"/>
            </w:tcMar>
            <w:vAlign w:val="center"/>
          </w:tcPr>
          <w:p w14:paraId="1D2264ED">
            <w:pPr>
              <w:widowControl w:val="0"/>
            </w:pPr>
            <w:r>
              <w:t>区域报警控制器</w:t>
            </w:r>
          </w:p>
        </w:tc>
        <w:tc>
          <w:tcPr>
            <w:tcW w:w="1092" w:type="dxa"/>
            <w:shd w:val="clear" w:color="auto" w:fill="FFFFFF"/>
            <w:tcMar>
              <w:top w:w="0" w:type="dxa"/>
              <w:left w:w="0" w:type="dxa"/>
              <w:bottom w:w="0" w:type="dxa"/>
              <w:right w:w="0" w:type="dxa"/>
            </w:tcMar>
            <w:vAlign w:val="center"/>
          </w:tcPr>
          <w:p w14:paraId="5D5441C1">
            <w:pPr>
              <w:widowControl w:val="0"/>
              <w:jc w:val="center"/>
            </w:pPr>
            <w:r>
              <w:t>5 套</w:t>
            </w:r>
          </w:p>
        </w:tc>
        <w:tc>
          <w:tcPr>
            <w:tcW w:w="2977" w:type="dxa"/>
            <w:shd w:val="clear" w:color="auto" w:fill="FFFFFF"/>
            <w:tcMar>
              <w:top w:w="0" w:type="dxa"/>
              <w:left w:w="0" w:type="dxa"/>
              <w:bottom w:w="0" w:type="dxa"/>
              <w:right w:w="0" w:type="dxa"/>
            </w:tcMar>
            <w:vAlign w:val="center"/>
          </w:tcPr>
          <w:p w14:paraId="3848C748">
            <w:pPr>
              <w:widowControl w:val="0"/>
            </w:pPr>
            <w:r>
              <w:t>-</w:t>
            </w:r>
          </w:p>
        </w:tc>
      </w:tr>
      <w:tr w14:paraId="3D10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BE38901">
            <w:pPr>
              <w:widowControl w:val="0"/>
            </w:pPr>
          </w:p>
        </w:tc>
        <w:tc>
          <w:tcPr>
            <w:tcW w:w="0" w:type="auto"/>
            <w:shd w:val="clear" w:color="auto" w:fill="FFFFFF"/>
            <w:tcMar>
              <w:top w:w="0" w:type="dxa"/>
              <w:left w:w="0" w:type="dxa"/>
              <w:bottom w:w="0" w:type="dxa"/>
              <w:right w:w="0" w:type="dxa"/>
            </w:tcMar>
            <w:vAlign w:val="center"/>
          </w:tcPr>
          <w:p w14:paraId="43EDCFF9">
            <w:pPr>
              <w:widowControl w:val="0"/>
            </w:pPr>
            <w:r>
              <w:t>周界震动光纤报警</w:t>
            </w:r>
          </w:p>
        </w:tc>
        <w:tc>
          <w:tcPr>
            <w:tcW w:w="1092" w:type="dxa"/>
            <w:shd w:val="clear" w:color="auto" w:fill="FFFFFF"/>
            <w:tcMar>
              <w:top w:w="0" w:type="dxa"/>
              <w:left w:w="0" w:type="dxa"/>
              <w:bottom w:w="0" w:type="dxa"/>
              <w:right w:w="0" w:type="dxa"/>
            </w:tcMar>
            <w:vAlign w:val="center"/>
          </w:tcPr>
          <w:p w14:paraId="079D4982">
            <w:pPr>
              <w:widowControl w:val="0"/>
              <w:jc w:val="center"/>
            </w:pPr>
            <w:r>
              <w:t>7 套</w:t>
            </w:r>
          </w:p>
        </w:tc>
        <w:tc>
          <w:tcPr>
            <w:tcW w:w="2977" w:type="dxa"/>
            <w:shd w:val="clear" w:color="auto" w:fill="FFFFFF"/>
            <w:tcMar>
              <w:top w:w="0" w:type="dxa"/>
              <w:left w:w="0" w:type="dxa"/>
              <w:bottom w:w="0" w:type="dxa"/>
              <w:right w:w="0" w:type="dxa"/>
            </w:tcMar>
            <w:vAlign w:val="center"/>
          </w:tcPr>
          <w:p w14:paraId="6ACEEE0B">
            <w:pPr>
              <w:widowControl w:val="0"/>
            </w:pPr>
            <w:r>
              <w:t>-</w:t>
            </w:r>
          </w:p>
        </w:tc>
      </w:tr>
      <w:tr w14:paraId="5C2B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1235539C">
            <w:pPr>
              <w:widowControl w:val="0"/>
            </w:pPr>
          </w:p>
        </w:tc>
        <w:tc>
          <w:tcPr>
            <w:tcW w:w="0" w:type="auto"/>
            <w:shd w:val="clear" w:color="auto" w:fill="FFFFFF"/>
            <w:tcMar>
              <w:top w:w="0" w:type="dxa"/>
              <w:left w:w="0" w:type="dxa"/>
              <w:bottom w:w="0" w:type="dxa"/>
              <w:right w:w="0" w:type="dxa"/>
            </w:tcMar>
            <w:vAlign w:val="center"/>
          </w:tcPr>
          <w:p w14:paraId="050B3F0F">
            <w:pPr>
              <w:widowControl w:val="0"/>
            </w:pPr>
            <w:r>
              <w:t>出入口控制系统</w:t>
            </w:r>
          </w:p>
        </w:tc>
        <w:tc>
          <w:tcPr>
            <w:tcW w:w="1092" w:type="dxa"/>
            <w:shd w:val="clear" w:color="auto" w:fill="FFFFFF"/>
            <w:tcMar>
              <w:top w:w="0" w:type="dxa"/>
              <w:left w:w="0" w:type="dxa"/>
              <w:bottom w:w="0" w:type="dxa"/>
              <w:right w:w="0" w:type="dxa"/>
            </w:tcMar>
            <w:vAlign w:val="center"/>
          </w:tcPr>
          <w:p w14:paraId="19D0D382">
            <w:pPr>
              <w:widowControl w:val="0"/>
              <w:jc w:val="center"/>
            </w:pPr>
            <w:r>
              <w:t>1 套</w:t>
            </w:r>
          </w:p>
        </w:tc>
        <w:tc>
          <w:tcPr>
            <w:tcW w:w="2977" w:type="dxa"/>
            <w:shd w:val="clear" w:color="auto" w:fill="FFFFFF"/>
            <w:tcMar>
              <w:top w:w="0" w:type="dxa"/>
              <w:left w:w="0" w:type="dxa"/>
              <w:bottom w:w="0" w:type="dxa"/>
              <w:right w:w="0" w:type="dxa"/>
            </w:tcMar>
            <w:vAlign w:val="center"/>
          </w:tcPr>
          <w:p w14:paraId="0E592924">
            <w:pPr>
              <w:widowControl w:val="0"/>
            </w:pPr>
            <w:r>
              <w:t>-</w:t>
            </w:r>
          </w:p>
        </w:tc>
      </w:tr>
      <w:tr w14:paraId="26FD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42F3AEF1">
            <w:pPr>
              <w:widowControl w:val="0"/>
            </w:pPr>
          </w:p>
        </w:tc>
        <w:tc>
          <w:tcPr>
            <w:tcW w:w="0" w:type="auto"/>
            <w:shd w:val="clear" w:color="auto" w:fill="FFFFFF"/>
            <w:tcMar>
              <w:top w:w="0" w:type="dxa"/>
              <w:left w:w="0" w:type="dxa"/>
              <w:bottom w:w="0" w:type="dxa"/>
              <w:right w:w="0" w:type="dxa"/>
            </w:tcMar>
            <w:vAlign w:val="center"/>
          </w:tcPr>
          <w:p w14:paraId="07BED4F1">
            <w:pPr>
              <w:widowControl w:val="0"/>
            </w:pPr>
            <w:r>
              <w:t>门禁控制器</w:t>
            </w:r>
          </w:p>
        </w:tc>
        <w:tc>
          <w:tcPr>
            <w:tcW w:w="1092" w:type="dxa"/>
            <w:shd w:val="clear" w:color="auto" w:fill="FFFFFF"/>
            <w:tcMar>
              <w:top w:w="0" w:type="dxa"/>
              <w:left w:w="0" w:type="dxa"/>
              <w:bottom w:w="0" w:type="dxa"/>
              <w:right w:w="0" w:type="dxa"/>
            </w:tcMar>
            <w:vAlign w:val="center"/>
          </w:tcPr>
          <w:p w14:paraId="3470BAE7">
            <w:pPr>
              <w:widowControl w:val="0"/>
              <w:jc w:val="center"/>
            </w:pPr>
            <w:r>
              <w:t>45 套</w:t>
            </w:r>
          </w:p>
        </w:tc>
        <w:tc>
          <w:tcPr>
            <w:tcW w:w="2977" w:type="dxa"/>
            <w:shd w:val="clear" w:color="auto" w:fill="FFFFFF"/>
            <w:tcMar>
              <w:top w:w="0" w:type="dxa"/>
              <w:left w:w="0" w:type="dxa"/>
              <w:bottom w:w="0" w:type="dxa"/>
              <w:right w:w="0" w:type="dxa"/>
            </w:tcMar>
            <w:vAlign w:val="center"/>
          </w:tcPr>
          <w:p w14:paraId="10BFB209">
            <w:pPr>
              <w:widowControl w:val="0"/>
            </w:pPr>
            <w:r>
              <w:t>-</w:t>
            </w:r>
          </w:p>
        </w:tc>
      </w:tr>
      <w:tr w14:paraId="76DD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CB0DF0C">
            <w:pPr>
              <w:widowControl w:val="0"/>
            </w:pPr>
          </w:p>
        </w:tc>
        <w:tc>
          <w:tcPr>
            <w:tcW w:w="0" w:type="auto"/>
            <w:shd w:val="clear" w:color="auto" w:fill="FFFFFF"/>
            <w:tcMar>
              <w:top w:w="0" w:type="dxa"/>
              <w:left w:w="0" w:type="dxa"/>
              <w:bottom w:w="0" w:type="dxa"/>
              <w:right w:w="0" w:type="dxa"/>
            </w:tcMar>
            <w:vAlign w:val="center"/>
          </w:tcPr>
          <w:p w14:paraId="18275368">
            <w:pPr>
              <w:widowControl w:val="0"/>
            </w:pPr>
            <w:r>
              <w:t>组合认证门禁</w:t>
            </w:r>
          </w:p>
        </w:tc>
        <w:tc>
          <w:tcPr>
            <w:tcW w:w="1092" w:type="dxa"/>
            <w:shd w:val="clear" w:color="auto" w:fill="FFFFFF"/>
            <w:tcMar>
              <w:top w:w="0" w:type="dxa"/>
              <w:left w:w="0" w:type="dxa"/>
              <w:bottom w:w="0" w:type="dxa"/>
              <w:right w:w="0" w:type="dxa"/>
            </w:tcMar>
            <w:vAlign w:val="center"/>
          </w:tcPr>
          <w:p w14:paraId="7078D1CD">
            <w:pPr>
              <w:widowControl w:val="0"/>
              <w:jc w:val="center"/>
            </w:pPr>
            <w:r>
              <w:t>3 套</w:t>
            </w:r>
          </w:p>
        </w:tc>
        <w:tc>
          <w:tcPr>
            <w:tcW w:w="2977" w:type="dxa"/>
            <w:shd w:val="clear" w:color="auto" w:fill="FFFFFF"/>
            <w:tcMar>
              <w:top w:w="0" w:type="dxa"/>
              <w:left w:w="0" w:type="dxa"/>
              <w:bottom w:w="0" w:type="dxa"/>
              <w:right w:w="0" w:type="dxa"/>
            </w:tcMar>
            <w:vAlign w:val="center"/>
          </w:tcPr>
          <w:p w14:paraId="0D484EC3">
            <w:pPr>
              <w:widowControl w:val="0"/>
            </w:pPr>
            <w:r>
              <w:t>-</w:t>
            </w:r>
          </w:p>
        </w:tc>
      </w:tr>
      <w:tr w14:paraId="04FB5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63254B31">
            <w:pPr>
              <w:widowControl w:val="0"/>
            </w:pPr>
          </w:p>
        </w:tc>
        <w:tc>
          <w:tcPr>
            <w:tcW w:w="0" w:type="auto"/>
            <w:shd w:val="clear" w:color="auto" w:fill="FFFFFF"/>
            <w:tcMar>
              <w:top w:w="0" w:type="dxa"/>
              <w:left w:w="0" w:type="dxa"/>
              <w:bottom w:w="0" w:type="dxa"/>
              <w:right w:w="0" w:type="dxa"/>
            </w:tcMar>
            <w:vAlign w:val="center"/>
          </w:tcPr>
          <w:p w14:paraId="312ECB15">
            <w:pPr>
              <w:widowControl w:val="0"/>
            </w:pPr>
            <w:r>
              <w:t>实时巡检系统</w:t>
            </w:r>
          </w:p>
        </w:tc>
        <w:tc>
          <w:tcPr>
            <w:tcW w:w="1092" w:type="dxa"/>
            <w:shd w:val="clear" w:color="auto" w:fill="FFFFFF"/>
            <w:tcMar>
              <w:top w:w="0" w:type="dxa"/>
              <w:left w:w="0" w:type="dxa"/>
              <w:bottom w:w="0" w:type="dxa"/>
              <w:right w:w="0" w:type="dxa"/>
            </w:tcMar>
            <w:vAlign w:val="center"/>
          </w:tcPr>
          <w:p w14:paraId="54008815">
            <w:pPr>
              <w:widowControl w:val="0"/>
              <w:jc w:val="center"/>
            </w:pPr>
            <w:r>
              <w:t>1 套</w:t>
            </w:r>
          </w:p>
        </w:tc>
        <w:tc>
          <w:tcPr>
            <w:tcW w:w="2977" w:type="dxa"/>
            <w:shd w:val="clear" w:color="auto" w:fill="FFFFFF"/>
            <w:tcMar>
              <w:top w:w="0" w:type="dxa"/>
              <w:left w:w="0" w:type="dxa"/>
              <w:bottom w:w="0" w:type="dxa"/>
              <w:right w:w="0" w:type="dxa"/>
            </w:tcMar>
            <w:vAlign w:val="center"/>
          </w:tcPr>
          <w:p w14:paraId="4998177C">
            <w:pPr>
              <w:widowControl w:val="0"/>
            </w:pPr>
            <w:r>
              <w:t>-</w:t>
            </w:r>
          </w:p>
        </w:tc>
      </w:tr>
      <w:tr w14:paraId="6886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40605CDC">
            <w:pPr>
              <w:widowControl w:val="0"/>
            </w:pPr>
          </w:p>
        </w:tc>
        <w:tc>
          <w:tcPr>
            <w:tcW w:w="0" w:type="auto"/>
            <w:shd w:val="clear" w:color="auto" w:fill="FFFFFF"/>
            <w:tcMar>
              <w:top w:w="0" w:type="dxa"/>
              <w:left w:w="0" w:type="dxa"/>
              <w:bottom w:w="0" w:type="dxa"/>
              <w:right w:w="0" w:type="dxa"/>
            </w:tcMar>
            <w:vAlign w:val="center"/>
          </w:tcPr>
          <w:p w14:paraId="39550733">
            <w:pPr>
              <w:widowControl w:val="0"/>
            </w:pPr>
            <w:r>
              <w:t>车辆管理系统（道闸）</w:t>
            </w:r>
          </w:p>
        </w:tc>
        <w:tc>
          <w:tcPr>
            <w:tcW w:w="1092" w:type="dxa"/>
            <w:shd w:val="clear" w:color="auto" w:fill="FFFFFF"/>
            <w:tcMar>
              <w:top w:w="0" w:type="dxa"/>
              <w:left w:w="0" w:type="dxa"/>
              <w:bottom w:w="0" w:type="dxa"/>
              <w:right w:w="0" w:type="dxa"/>
            </w:tcMar>
            <w:vAlign w:val="center"/>
          </w:tcPr>
          <w:p w14:paraId="7923E549">
            <w:pPr>
              <w:widowControl w:val="0"/>
              <w:jc w:val="center"/>
            </w:pPr>
            <w:r>
              <w:t>4 套</w:t>
            </w:r>
          </w:p>
        </w:tc>
        <w:tc>
          <w:tcPr>
            <w:tcW w:w="2977" w:type="dxa"/>
            <w:shd w:val="clear" w:color="auto" w:fill="FFFFFF"/>
            <w:tcMar>
              <w:top w:w="0" w:type="dxa"/>
              <w:left w:w="0" w:type="dxa"/>
              <w:bottom w:w="0" w:type="dxa"/>
              <w:right w:w="0" w:type="dxa"/>
            </w:tcMar>
            <w:vAlign w:val="center"/>
          </w:tcPr>
          <w:p w14:paraId="6A13B43C">
            <w:pPr>
              <w:widowControl w:val="0"/>
            </w:pPr>
            <w:r>
              <w:t>-</w:t>
            </w:r>
          </w:p>
        </w:tc>
      </w:tr>
      <w:tr w14:paraId="2404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47A4C45">
            <w:pPr>
              <w:widowControl w:val="0"/>
            </w:pPr>
          </w:p>
        </w:tc>
        <w:tc>
          <w:tcPr>
            <w:tcW w:w="0" w:type="auto"/>
            <w:shd w:val="clear" w:color="auto" w:fill="FFFFFF"/>
            <w:tcMar>
              <w:top w:w="0" w:type="dxa"/>
              <w:left w:w="0" w:type="dxa"/>
              <w:bottom w:w="0" w:type="dxa"/>
              <w:right w:w="0" w:type="dxa"/>
            </w:tcMar>
            <w:vAlign w:val="center"/>
          </w:tcPr>
          <w:p w14:paraId="64FF346A">
            <w:pPr>
              <w:widowControl w:val="0"/>
            </w:pPr>
            <w:r>
              <w:t>移动伸缩门</w:t>
            </w:r>
          </w:p>
        </w:tc>
        <w:tc>
          <w:tcPr>
            <w:tcW w:w="1092" w:type="dxa"/>
            <w:shd w:val="clear" w:color="auto" w:fill="FFFFFF"/>
            <w:tcMar>
              <w:top w:w="0" w:type="dxa"/>
              <w:left w:w="0" w:type="dxa"/>
              <w:bottom w:w="0" w:type="dxa"/>
              <w:right w:w="0" w:type="dxa"/>
            </w:tcMar>
            <w:vAlign w:val="center"/>
          </w:tcPr>
          <w:p w14:paraId="41F68C45">
            <w:pPr>
              <w:widowControl w:val="0"/>
              <w:jc w:val="center"/>
            </w:pPr>
            <w:r>
              <w:t>4 套</w:t>
            </w:r>
          </w:p>
        </w:tc>
        <w:tc>
          <w:tcPr>
            <w:tcW w:w="2977" w:type="dxa"/>
            <w:shd w:val="clear" w:color="auto" w:fill="FFFFFF"/>
            <w:tcMar>
              <w:top w:w="0" w:type="dxa"/>
              <w:left w:w="0" w:type="dxa"/>
              <w:bottom w:w="0" w:type="dxa"/>
              <w:right w:w="0" w:type="dxa"/>
            </w:tcMar>
            <w:vAlign w:val="center"/>
          </w:tcPr>
          <w:p w14:paraId="4FE3163D">
            <w:pPr>
              <w:widowControl w:val="0"/>
            </w:pPr>
            <w:r>
              <w:t>-</w:t>
            </w:r>
          </w:p>
        </w:tc>
      </w:tr>
      <w:tr w14:paraId="1855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279368B9">
            <w:pPr>
              <w:widowControl w:val="0"/>
            </w:pPr>
          </w:p>
        </w:tc>
        <w:tc>
          <w:tcPr>
            <w:tcW w:w="0" w:type="auto"/>
            <w:shd w:val="clear" w:color="auto" w:fill="FFFFFF"/>
            <w:tcMar>
              <w:top w:w="0" w:type="dxa"/>
              <w:left w:w="0" w:type="dxa"/>
              <w:bottom w:w="0" w:type="dxa"/>
              <w:right w:w="0" w:type="dxa"/>
            </w:tcMar>
            <w:vAlign w:val="center"/>
          </w:tcPr>
          <w:p w14:paraId="06FD61F3">
            <w:pPr>
              <w:widowControl w:val="0"/>
            </w:pPr>
            <w:r>
              <w:t>访客机</w:t>
            </w:r>
          </w:p>
        </w:tc>
        <w:tc>
          <w:tcPr>
            <w:tcW w:w="1092" w:type="dxa"/>
            <w:shd w:val="clear" w:color="auto" w:fill="FFFFFF"/>
            <w:tcMar>
              <w:top w:w="0" w:type="dxa"/>
              <w:left w:w="0" w:type="dxa"/>
              <w:bottom w:w="0" w:type="dxa"/>
              <w:right w:w="0" w:type="dxa"/>
            </w:tcMar>
            <w:vAlign w:val="center"/>
          </w:tcPr>
          <w:p w14:paraId="28760DF0">
            <w:pPr>
              <w:widowControl w:val="0"/>
              <w:jc w:val="center"/>
            </w:pPr>
            <w:r>
              <w:t>1 套</w:t>
            </w:r>
          </w:p>
        </w:tc>
        <w:tc>
          <w:tcPr>
            <w:tcW w:w="2977" w:type="dxa"/>
            <w:shd w:val="clear" w:color="auto" w:fill="FFFFFF"/>
            <w:tcMar>
              <w:top w:w="0" w:type="dxa"/>
              <w:left w:w="0" w:type="dxa"/>
              <w:bottom w:w="0" w:type="dxa"/>
              <w:right w:w="0" w:type="dxa"/>
            </w:tcMar>
            <w:vAlign w:val="center"/>
          </w:tcPr>
          <w:p w14:paraId="1FCCCB9F">
            <w:pPr>
              <w:widowControl w:val="0"/>
            </w:pPr>
            <w:r>
              <w:t>-</w:t>
            </w:r>
          </w:p>
        </w:tc>
      </w:tr>
      <w:tr w14:paraId="35E2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9C36ADD">
            <w:pPr>
              <w:widowControl w:val="0"/>
            </w:pPr>
          </w:p>
        </w:tc>
        <w:tc>
          <w:tcPr>
            <w:tcW w:w="0" w:type="auto"/>
            <w:shd w:val="clear" w:color="auto" w:fill="FFFFFF"/>
            <w:tcMar>
              <w:top w:w="0" w:type="dxa"/>
              <w:left w:w="0" w:type="dxa"/>
              <w:bottom w:w="0" w:type="dxa"/>
              <w:right w:w="0" w:type="dxa"/>
            </w:tcMar>
            <w:vAlign w:val="center"/>
          </w:tcPr>
          <w:p w14:paraId="53A1C035">
            <w:pPr>
              <w:widowControl w:val="0"/>
            </w:pPr>
            <w:r>
              <w:t>UPS</w:t>
            </w:r>
          </w:p>
        </w:tc>
        <w:tc>
          <w:tcPr>
            <w:tcW w:w="1092" w:type="dxa"/>
            <w:shd w:val="clear" w:color="auto" w:fill="FFFFFF"/>
            <w:tcMar>
              <w:top w:w="0" w:type="dxa"/>
              <w:left w:w="0" w:type="dxa"/>
              <w:bottom w:w="0" w:type="dxa"/>
              <w:right w:w="0" w:type="dxa"/>
            </w:tcMar>
            <w:vAlign w:val="center"/>
          </w:tcPr>
          <w:p w14:paraId="37957232">
            <w:pPr>
              <w:widowControl w:val="0"/>
              <w:jc w:val="center"/>
            </w:pPr>
            <w:r>
              <w:t>1 套</w:t>
            </w:r>
          </w:p>
        </w:tc>
        <w:tc>
          <w:tcPr>
            <w:tcW w:w="2977" w:type="dxa"/>
            <w:shd w:val="clear" w:color="auto" w:fill="FFFFFF"/>
            <w:tcMar>
              <w:top w:w="0" w:type="dxa"/>
              <w:left w:w="0" w:type="dxa"/>
              <w:bottom w:w="0" w:type="dxa"/>
              <w:right w:w="0" w:type="dxa"/>
            </w:tcMar>
            <w:vAlign w:val="center"/>
          </w:tcPr>
          <w:p w14:paraId="32FF9172">
            <w:pPr>
              <w:widowControl w:val="0"/>
            </w:pPr>
            <w:r>
              <w:t>安防专用</w:t>
            </w:r>
          </w:p>
        </w:tc>
      </w:tr>
      <w:tr w14:paraId="3F9B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52CB4B8E">
            <w:pPr>
              <w:widowControl w:val="0"/>
            </w:pPr>
          </w:p>
        </w:tc>
        <w:tc>
          <w:tcPr>
            <w:tcW w:w="0" w:type="auto"/>
            <w:shd w:val="clear" w:color="auto" w:fill="FFFFFF"/>
            <w:tcMar>
              <w:top w:w="0" w:type="dxa"/>
              <w:left w:w="0" w:type="dxa"/>
              <w:bottom w:w="0" w:type="dxa"/>
              <w:right w:w="0" w:type="dxa"/>
            </w:tcMar>
            <w:vAlign w:val="center"/>
          </w:tcPr>
          <w:p w14:paraId="37BDC929">
            <w:pPr>
              <w:widowControl w:val="0"/>
            </w:pPr>
            <w:r>
              <w:t>安防电源</w:t>
            </w:r>
          </w:p>
        </w:tc>
        <w:tc>
          <w:tcPr>
            <w:tcW w:w="1092" w:type="dxa"/>
            <w:shd w:val="clear" w:color="auto" w:fill="FFFFFF"/>
            <w:tcMar>
              <w:top w:w="0" w:type="dxa"/>
              <w:left w:w="0" w:type="dxa"/>
              <w:bottom w:w="0" w:type="dxa"/>
              <w:right w:w="0" w:type="dxa"/>
            </w:tcMar>
            <w:vAlign w:val="center"/>
          </w:tcPr>
          <w:p w14:paraId="5D244C1C">
            <w:pPr>
              <w:widowControl w:val="0"/>
              <w:jc w:val="center"/>
            </w:pPr>
            <w:r>
              <w:t>65 套</w:t>
            </w:r>
          </w:p>
        </w:tc>
        <w:tc>
          <w:tcPr>
            <w:tcW w:w="2977" w:type="dxa"/>
            <w:shd w:val="clear" w:color="auto" w:fill="FFFFFF"/>
            <w:tcMar>
              <w:top w:w="0" w:type="dxa"/>
              <w:left w:w="0" w:type="dxa"/>
              <w:bottom w:w="0" w:type="dxa"/>
              <w:right w:w="0" w:type="dxa"/>
            </w:tcMar>
            <w:vAlign w:val="center"/>
          </w:tcPr>
          <w:p w14:paraId="66C688C5">
            <w:pPr>
              <w:widowControl w:val="0"/>
            </w:pPr>
            <w:r>
              <w:t>-</w:t>
            </w:r>
          </w:p>
        </w:tc>
      </w:tr>
      <w:tr w14:paraId="4104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03775B9E">
            <w:pPr>
              <w:widowControl w:val="0"/>
            </w:pPr>
          </w:p>
        </w:tc>
        <w:tc>
          <w:tcPr>
            <w:tcW w:w="0" w:type="auto"/>
            <w:shd w:val="clear" w:color="auto" w:fill="FFFFFF"/>
            <w:tcMar>
              <w:top w:w="0" w:type="dxa"/>
              <w:left w:w="0" w:type="dxa"/>
              <w:bottom w:w="0" w:type="dxa"/>
              <w:right w:w="0" w:type="dxa"/>
            </w:tcMar>
            <w:vAlign w:val="center"/>
          </w:tcPr>
          <w:p w14:paraId="378226F4">
            <w:pPr>
              <w:widowControl w:val="0"/>
            </w:pPr>
            <w:r>
              <w:t>控制电脑</w:t>
            </w:r>
          </w:p>
        </w:tc>
        <w:tc>
          <w:tcPr>
            <w:tcW w:w="1092" w:type="dxa"/>
            <w:shd w:val="clear" w:color="auto" w:fill="FFFFFF"/>
            <w:tcMar>
              <w:top w:w="0" w:type="dxa"/>
              <w:left w:w="0" w:type="dxa"/>
              <w:bottom w:w="0" w:type="dxa"/>
              <w:right w:w="0" w:type="dxa"/>
            </w:tcMar>
            <w:vAlign w:val="center"/>
          </w:tcPr>
          <w:p w14:paraId="6E5CCC9C">
            <w:pPr>
              <w:widowControl w:val="0"/>
              <w:jc w:val="center"/>
            </w:pPr>
            <w:r>
              <w:t>6 台</w:t>
            </w:r>
          </w:p>
        </w:tc>
        <w:tc>
          <w:tcPr>
            <w:tcW w:w="2977" w:type="dxa"/>
            <w:shd w:val="clear" w:color="auto" w:fill="FFFFFF"/>
            <w:tcMar>
              <w:top w:w="0" w:type="dxa"/>
              <w:left w:w="0" w:type="dxa"/>
              <w:bottom w:w="0" w:type="dxa"/>
              <w:right w:w="0" w:type="dxa"/>
            </w:tcMar>
            <w:vAlign w:val="center"/>
          </w:tcPr>
          <w:p w14:paraId="0124D9B1">
            <w:pPr>
              <w:widowControl w:val="0"/>
            </w:pPr>
            <w:r>
              <w:t>-</w:t>
            </w:r>
          </w:p>
        </w:tc>
      </w:tr>
      <w:tr w14:paraId="5B63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c>
          <w:tcPr>
            <w:tcW w:w="0" w:type="auto"/>
            <w:vMerge w:val="continue"/>
            <w:shd w:val="clear" w:color="auto" w:fill="FFFFFF"/>
            <w:tcMar>
              <w:top w:w="0" w:type="dxa"/>
              <w:left w:w="0" w:type="dxa"/>
              <w:bottom w:w="0" w:type="dxa"/>
              <w:right w:w="0" w:type="dxa"/>
            </w:tcMar>
            <w:vAlign w:val="center"/>
          </w:tcPr>
          <w:p w14:paraId="73FB2D19">
            <w:pPr>
              <w:widowControl w:val="0"/>
            </w:pPr>
          </w:p>
        </w:tc>
        <w:tc>
          <w:tcPr>
            <w:tcW w:w="0" w:type="auto"/>
            <w:shd w:val="clear" w:color="auto" w:fill="FFFFFF"/>
            <w:tcMar>
              <w:top w:w="0" w:type="dxa"/>
              <w:left w:w="0" w:type="dxa"/>
              <w:bottom w:w="0" w:type="dxa"/>
              <w:right w:w="0" w:type="dxa"/>
            </w:tcMar>
            <w:vAlign w:val="center"/>
          </w:tcPr>
          <w:p w14:paraId="4772EB01">
            <w:pPr>
              <w:widowControl w:val="0"/>
            </w:pPr>
            <w:r>
              <w:t>光纤机（配架）</w:t>
            </w:r>
          </w:p>
        </w:tc>
        <w:tc>
          <w:tcPr>
            <w:tcW w:w="1092" w:type="dxa"/>
            <w:shd w:val="clear" w:color="auto" w:fill="FFFFFF"/>
            <w:tcMar>
              <w:top w:w="0" w:type="dxa"/>
              <w:left w:w="0" w:type="dxa"/>
              <w:bottom w:w="0" w:type="dxa"/>
              <w:right w:w="0" w:type="dxa"/>
            </w:tcMar>
            <w:vAlign w:val="center"/>
          </w:tcPr>
          <w:p w14:paraId="149B85F7">
            <w:pPr>
              <w:widowControl w:val="0"/>
              <w:jc w:val="center"/>
            </w:pPr>
            <w:r>
              <w:t>11 套</w:t>
            </w:r>
          </w:p>
        </w:tc>
        <w:tc>
          <w:tcPr>
            <w:tcW w:w="2977" w:type="dxa"/>
            <w:shd w:val="clear" w:color="auto" w:fill="FFFFFF"/>
            <w:tcMar>
              <w:top w:w="0" w:type="dxa"/>
              <w:left w:w="0" w:type="dxa"/>
              <w:bottom w:w="0" w:type="dxa"/>
              <w:right w:w="0" w:type="dxa"/>
            </w:tcMar>
            <w:vAlign w:val="center"/>
          </w:tcPr>
          <w:p w14:paraId="149347EB">
            <w:pPr>
              <w:widowControl w:val="0"/>
            </w:pPr>
            <w:r>
              <w:t>-</w:t>
            </w:r>
          </w:p>
        </w:tc>
      </w:tr>
    </w:tbl>
    <w:p w14:paraId="6B1F63B8">
      <w:pPr>
        <w:spacing w:line="360" w:lineRule="auto"/>
        <w:ind w:firstLine="539" w:firstLineChars="257"/>
        <w:rPr>
          <w:rFonts w:ascii="宋体"/>
        </w:rPr>
      </w:pPr>
    </w:p>
    <w:p w14:paraId="6AFF2146">
      <w:pPr>
        <w:spacing w:line="360" w:lineRule="auto"/>
        <w:ind w:left="113" w:firstLine="426" w:firstLineChars="203"/>
        <w:rPr>
          <w:rFonts w:ascii="宋体"/>
        </w:rPr>
      </w:pPr>
      <w:r>
        <w:rPr>
          <w:rFonts w:hint="eastAsia" w:ascii="宋体" w:hAnsi="宋体" w:cs="宋体"/>
        </w:rPr>
        <w:t>注：以上各层功能区域及主要设备材料表数据供参考，设备种类、具体型号和数量以现场实际情况为准。</w:t>
      </w:r>
    </w:p>
    <w:p w14:paraId="2C40A2B7">
      <w:pPr>
        <w:spacing w:line="360" w:lineRule="auto"/>
        <w:outlineLvl w:val="1"/>
        <w:rPr>
          <w:rFonts w:ascii="宋体"/>
        </w:rPr>
      </w:pPr>
    </w:p>
    <w:p w14:paraId="0B60179B">
      <w:pPr>
        <w:spacing w:line="360" w:lineRule="auto"/>
        <w:ind w:firstLine="420" w:firstLineChars="200"/>
        <w:outlineLvl w:val="1"/>
        <w:rPr>
          <w:rFonts w:ascii="宋体"/>
        </w:rPr>
      </w:pPr>
      <w:r>
        <w:rPr>
          <w:rFonts w:ascii="宋体" w:hAnsi="宋体" w:cs="宋体"/>
        </w:rPr>
        <w:t>3</w:t>
      </w:r>
      <w:r>
        <w:rPr>
          <w:rFonts w:hint="eastAsia" w:ascii="宋体" w:hAnsi="宋体" w:cs="宋体"/>
        </w:rPr>
        <w:t>、设备设施管理目标</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883"/>
        <w:gridCol w:w="1134"/>
        <w:gridCol w:w="5233"/>
      </w:tblGrid>
      <w:tr w14:paraId="6C1A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noWrap/>
            <w:vAlign w:val="center"/>
          </w:tcPr>
          <w:p w14:paraId="72F01128">
            <w:pPr>
              <w:spacing w:line="360" w:lineRule="auto"/>
              <w:jc w:val="center"/>
              <w:rPr>
                <w:rFonts w:ascii="宋体"/>
              </w:rPr>
            </w:pPr>
            <w:r>
              <w:rPr>
                <w:rFonts w:hint="eastAsia" w:ascii="宋体" w:hAnsi="宋体" w:cs="宋体"/>
              </w:rPr>
              <w:t>序号</w:t>
            </w:r>
          </w:p>
        </w:tc>
        <w:tc>
          <w:tcPr>
            <w:tcW w:w="883" w:type="dxa"/>
            <w:noWrap/>
            <w:vAlign w:val="center"/>
          </w:tcPr>
          <w:p w14:paraId="7B603BDA">
            <w:pPr>
              <w:spacing w:line="360" w:lineRule="auto"/>
              <w:jc w:val="center"/>
              <w:rPr>
                <w:rFonts w:ascii="宋体"/>
              </w:rPr>
            </w:pPr>
            <w:r>
              <w:rPr>
                <w:rFonts w:hint="eastAsia" w:ascii="宋体" w:hAnsi="宋体" w:cs="宋体"/>
              </w:rPr>
              <w:t>项目</w:t>
            </w:r>
          </w:p>
        </w:tc>
        <w:tc>
          <w:tcPr>
            <w:tcW w:w="1134" w:type="dxa"/>
            <w:noWrap/>
            <w:vAlign w:val="center"/>
          </w:tcPr>
          <w:p w14:paraId="2E2E0F5B">
            <w:pPr>
              <w:spacing w:line="360" w:lineRule="auto"/>
              <w:jc w:val="center"/>
              <w:rPr>
                <w:rFonts w:ascii="宋体"/>
              </w:rPr>
            </w:pPr>
            <w:r>
              <w:rPr>
                <w:rFonts w:hint="eastAsia" w:ascii="宋体" w:hAnsi="宋体" w:cs="宋体"/>
              </w:rPr>
              <w:t>目标值</w:t>
            </w:r>
          </w:p>
        </w:tc>
        <w:tc>
          <w:tcPr>
            <w:tcW w:w="5233" w:type="dxa"/>
            <w:noWrap/>
            <w:vAlign w:val="center"/>
          </w:tcPr>
          <w:p w14:paraId="5CDF3A8C">
            <w:pPr>
              <w:spacing w:line="360" w:lineRule="auto"/>
              <w:jc w:val="center"/>
              <w:rPr>
                <w:rFonts w:ascii="宋体"/>
              </w:rPr>
            </w:pPr>
            <w:r>
              <w:rPr>
                <w:rFonts w:hint="eastAsia" w:ascii="宋体" w:hAnsi="宋体" w:cs="宋体"/>
              </w:rPr>
              <w:t>标准</w:t>
            </w:r>
          </w:p>
        </w:tc>
      </w:tr>
      <w:tr w14:paraId="0E60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11" w:type="dxa"/>
            <w:noWrap/>
            <w:vAlign w:val="center"/>
          </w:tcPr>
          <w:p w14:paraId="403F54E1">
            <w:pPr>
              <w:spacing w:line="360" w:lineRule="auto"/>
              <w:jc w:val="center"/>
              <w:rPr>
                <w:rFonts w:ascii="宋体"/>
              </w:rPr>
            </w:pPr>
            <w:r>
              <w:rPr>
                <w:rFonts w:ascii="宋体" w:hAnsi="宋体" w:cs="宋体"/>
              </w:rPr>
              <w:t>1</w:t>
            </w:r>
          </w:p>
        </w:tc>
        <w:tc>
          <w:tcPr>
            <w:tcW w:w="883" w:type="dxa"/>
            <w:noWrap/>
            <w:vAlign w:val="center"/>
          </w:tcPr>
          <w:p w14:paraId="363D1FBF">
            <w:pPr>
              <w:spacing w:line="360" w:lineRule="auto"/>
              <w:jc w:val="center"/>
              <w:rPr>
                <w:rFonts w:ascii="宋体"/>
              </w:rPr>
            </w:pPr>
            <w:r>
              <w:rPr>
                <w:rFonts w:hint="eastAsia" w:ascii="宋体" w:hAnsi="宋体" w:cs="宋体"/>
              </w:rPr>
              <w:t>房屋建筑和装饰</w:t>
            </w:r>
          </w:p>
        </w:tc>
        <w:tc>
          <w:tcPr>
            <w:tcW w:w="1134" w:type="dxa"/>
            <w:noWrap/>
            <w:vAlign w:val="center"/>
          </w:tcPr>
          <w:p w14:paraId="3F8D33CF">
            <w:pPr>
              <w:spacing w:line="360" w:lineRule="auto"/>
              <w:jc w:val="center"/>
              <w:rPr>
                <w:rFonts w:ascii="宋体"/>
              </w:rPr>
            </w:pPr>
            <w:r>
              <w:rPr>
                <w:rFonts w:hint="eastAsia" w:ascii="宋体" w:hAnsi="宋体" w:cs="宋体"/>
              </w:rPr>
              <w:t>完好率</w:t>
            </w:r>
            <w:r>
              <w:rPr>
                <w:rFonts w:ascii="宋体" w:hAnsi="宋体" w:cs="宋体"/>
              </w:rPr>
              <w:t>98%</w:t>
            </w:r>
            <w:r>
              <w:rPr>
                <w:rFonts w:hint="eastAsia" w:ascii="宋体" w:hAnsi="宋体" w:cs="宋体"/>
              </w:rPr>
              <w:t>及以上</w:t>
            </w:r>
          </w:p>
        </w:tc>
        <w:tc>
          <w:tcPr>
            <w:tcW w:w="5233" w:type="dxa"/>
            <w:noWrap/>
          </w:tcPr>
          <w:p w14:paraId="76D43E3A">
            <w:pPr>
              <w:spacing w:line="360" w:lineRule="auto"/>
              <w:rPr>
                <w:rFonts w:ascii="宋体"/>
              </w:rPr>
            </w:pPr>
            <w:r>
              <w:rPr>
                <w:rFonts w:ascii="宋体" w:hAnsi="宋体" w:cs="宋体"/>
              </w:rPr>
              <w:t>A</w:t>
            </w:r>
            <w:r>
              <w:rPr>
                <w:rFonts w:hint="eastAsia" w:ascii="宋体" w:hAnsi="宋体" w:cs="宋体"/>
              </w:rPr>
              <w:t>．外墙饰面完好、清洁，屋面无积水。</w:t>
            </w:r>
          </w:p>
          <w:p w14:paraId="3285C474">
            <w:pPr>
              <w:spacing w:line="360" w:lineRule="auto"/>
              <w:rPr>
                <w:rFonts w:ascii="宋体"/>
              </w:rPr>
            </w:pPr>
            <w:r>
              <w:rPr>
                <w:rFonts w:ascii="宋体" w:hAnsi="宋体" w:cs="宋体"/>
              </w:rPr>
              <w:t>B</w:t>
            </w:r>
            <w:r>
              <w:rPr>
                <w:rFonts w:hint="eastAsia" w:ascii="宋体" w:hAnsi="宋体" w:cs="宋体"/>
              </w:rPr>
              <w:t>．墙体、台阶，不松动、不剥落。</w:t>
            </w:r>
          </w:p>
          <w:p w14:paraId="24C0E853">
            <w:pPr>
              <w:spacing w:line="360" w:lineRule="auto"/>
              <w:rPr>
                <w:rFonts w:ascii="宋体"/>
              </w:rPr>
            </w:pPr>
            <w:r>
              <w:rPr>
                <w:rFonts w:ascii="宋体" w:hAnsi="宋体" w:cs="宋体"/>
              </w:rPr>
              <w:t>C</w:t>
            </w:r>
            <w:r>
              <w:rPr>
                <w:rFonts w:hint="eastAsia" w:ascii="宋体" w:hAnsi="宋体" w:cs="宋体"/>
              </w:rPr>
              <w:t>．屋顶隔热层完好无损；避雷带无间断。</w:t>
            </w:r>
          </w:p>
          <w:p w14:paraId="1CD8CA11">
            <w:pPr>
              <w:spacing w:line="360" w:lineRule="auto"/>
              <w:ind w:left="315" w:hanging="315" w:hangingChars="150"/>
              <w:rPr>
                <w:rFonts w:ascii="宋体"/>
              </w:rPr>
            </w:pPr>
            <w:r>
              <w:rPr>
                <w:rFonts w:ascii="宋体" w:hAnsi="宋体" w:cs="宋体"/>
              </w:rPr>
              <w:t>D</w:t>
            </w:r>
            <w:r>
              <w:rPr>
                <w:rFonts w:hint="eastAsia" w:ascii="宋体" w:hAnsi="宋体" w:cs="宋体"/>
              </w:rPr>
              <w:t>．铝合金开启窗应开关灵活、不松动、不漏风；木门牢固、平整、美观，接缝严密。</w:t>
            </w:r>
          </w:p>
          <w:p w14:paraId="5C4A652E">
            <w:pPr>
              <w:spacing w:line="360" w:lineRule="auto"/>
              <w:ind w:left="315" w:hanging="315" w:hangingChars="150"/>
              <w:rPr>
                <w:rFonts w:ascii="宋体"/>
              </w:rPr>
            </w:pPr>
            <w:r>
              <w:rPr>
                <w:rFonts w:ascii="宋体" w:hAnsi="宋体" w:cs="宋体"/>
              </w:rPr>
              <w:t>E</w:t>
            </w:r>
            <w:r>
              <w:rPr>
                <w:rFonts w:hint="eastAsia" w:ascii="宋体" w:hAnsi="宋体" w:cs="宋体"/>
              </w:rPr>
              <w:t>．大理石和铺设地砖的地坪平整、牢固、安全、橡塑地面拼缝严密。</w:t>
            </w:r>
          </w:p>
        </w:tc>
      </w:tr>
      <w:tr w14:paraId="4E3C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11" w:type="dxa"/>
            <w:noWrap/>
            <w:vAlign w:val="center"/>
          </w:tcPr>
          <w:p w14:paraId="21F43764">
            <w:pPr>
              <w:spacing w:line="360" w:lineRule="auto"/>
              <w:jc w:val="center"/>
              <w:rPr>
                <w:rFonts w:ascii="宋体"/>
              </w:rPr>
            </w:pPr>
            <w:r>
              <w:rPr>
                <w:rFonts w:ascii="宋体" w:hAnsi="宋体" w:cs="宋体"/>
              </w:rPr>
              <w:t>2</w:t>
            </w:r>
          </w:p>
        </w:tc>
        <w:tc>
          <w:tcPr>
            <w:tcW w:w="883" w:type="dxa"/>
            <w:noWrap/>
            <w:vAlign w:val="center"/>
          </w:tcPr>
          <w:p w14:paraId="7A21A802">
            <w:pPr>
              <w:spacing w:line="360" w:lineRule="auto"/>
              <w:jc w:val="center"/>
              <w:rPr>
                <w:rFonts w:ascii="宋体"/>
              </w:rPr>
            </w:pPr>
            <w:r>
              <w:rPr>
                <w:rFonts w:hint="eastAsia" w:ascii="宋体" w:hAnsi="宋体" w:cs="宋体"/>
              </w:rPr>
              <w:t>动力供电系统</w:t>
            </w:r>
          </w:p>
        </w:tc>
        <w:tc>
          <w:tcPr>
            <w:tcW w:w="1134" w:type="dxa"/>
            <w:noWrap/>
            <w:vAlign w:val="center"/>
          </w:tcPr>
          <w:p w14:paraId="2B46B870">
            <w:pPr>
              <w:spacing w:line="360" w:lineRule="auto"/>
              <w:jc w:val="center"/>
              <w:rPr>
                <w:rFonts w:ascii="宋体"/>
              </w:rPr>
            </w:pPr>
            <w:r>
              <w:rPr>
                <w:rFonts w:hint="eastAsia" w:ascii="宋体" w:hAnsi="宋体" w:cs="宋体"/>
              </w:rPr>
              <w:t>完好率</w:t>
            </w:r>
            <w:r>
              <w:rPr>
                <w:rFonts w:ascii="宋体" w:hAnsi="宋体" w:cs="宋体"/>
              </w:rPr>
              <w:t>100%</w:t>
            </w:r>
          </w:p>
        </w:tc>
        <w:tc>
          <w:tcPr>
            <w:tcW w:w="5233" w:type="dxa"/>
            <w:noWrap/>
          </w:tcPr>
          <w:p w14:paraId="1679682F">
            <w:pPr>
              <w:spacing w:line="360" w:lineRule="auto"/>
              <w:rPr>
                <w:rFonts w:ascii="宋体"/>
              </w:rPr>
            </w:pPr>
            <w:r>
              <w:rPr>
                <w:rFonts w:ascii="宋体" w:hAnsi="宋体" w:cs="宋体"/>
              </w:rPr>
              <w:t>A</w:t>
            </w:r>
            <w:r>
              <w:rPr>
                <w:rFonts w:hint="eastAsia" w:ascii="宋体" w:hAnsi="宋体" w:cs="宋体"/>
              </w:rPr>
              <w:t>．灯具、开关、插座和照明配电箱安装牢固。</w:t>
            </w:r>
          </w:p>
          <w:p w14:paraId="6B288B65">
            <w:pPr>
              <w:spacing w:line="360" w:lineRule="auto"/>
              <w:ind w:left="315" w:hanging="315" w:hangingChars="150"/>
              <w:rPr>
                <w:rFonts w:ascii="宋体"/>
              </w:rPr>
            </w:pPr>
            <w:r>
              <w:rPr>
                <w:rFonts w:ascii="宋体" w:hAnsi="宋体" w:cs="宋体"/>
              </w:rPr>
              <w:t>B</w:t>
            </w:r>
            <w:r>
              <w:rPr>
                <w:rFonts w:hint="eastAsia" w:ascii="宋体" w:hAnsi="宋体" w:cs="宋体"/>
              </w:rPr>
              <w:t>．配电系统不发生停电事故（外来因素除外）。</w:t>
            </w:r>
          </w:p>
          <w:p w14:paraId="6D122FD2">
            <w:pPr>
              <w:spacing w:line="360" w:lineRule="auto"/>
              <w:rPr>
                <w:rFonts w:ascii="宋体"/>
              </w:rPr>
            </w:pPr>
            <w:r>
              <w:rPr>
                <w:rFonts w:ascii="宋体" w:hAnsi="宋体" w:cs="宋体"/>
              </w:rPr>
              <w:t>C</w:t>
            </w:r>
            <w:r>
              <w:rPr>
                <w:rFonts w:hint="eastAsia" w:ascii="宋体" w:hAnsi="宋体" w:cs="宋体"/>
              </w:rPr>
              <w:t>．开关有效，接地可靠。</w:t>
            </w:r>
          </w:p>
          <w:p w14:paraId="085009A2">
            <w:pPr>
              <w:spacing w:line="360" w:lineRule="auto"/>
              <w:rPr>
                <w:rFonts w:ascii="宋体"/>
              </w:rPr>
            </w:pPr>
            <w:r>
              <w:rPr>
                <w:rFonts w:ascii="宋体" w:hAnsi="宋体" w:cs="宋体"/>
              </w:rPr>
              <w:t>D</w:t>
            </w:r>
            <w:r>
              <w:rPr>
                <w:rFonts w:hint="eastAsia" w:ascii="宋体" w:hAnsi="宋体" w:cs="宋体"/>
              </w:rPr>
              <w:t>．线路绝缘符合规程要求，接线头不外露。</w:t>
            </w:r>
          </w:p>
          <w:p w14:paraId="06161452">
            <w:pPr>
              <w:spacing w:line="360" w:lineRule="auto"/>
              <w:rPr>
                <w:rFonts w:ascii="宋体"/>
              </w:rPr>
            </w:pPr>
            <w:r>
              <w:rPr>
                <w:rFonts w:ascii="宋体" w:hAnsi="宋体" w:cs="宋体"/>
              </w:rPr>
              <w:t>E</w:t>
            </w:r>
            <w:r>
              <w:rPr>
                <w:rFonts w:hint="eastAsia" w:ascii="宋体" w:hAnsi="宋体" w:cs="宋体"/>
              </w:rPr>
              <w:t>．电力输送电缆温度不高于规定值。</w:t>
            </w:r>
          </w:p>
        </w:tc>
      </w:tr>
      <w:tr w14:paraId="59C2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 w:type="dxa"/>
            <w:noWrap/>
            <w:vAlign w:val="center"/>
          </w:tcPr>
          <w:p w14:paraId="01354320">
            <w:pPr>
              <w:spacing w:line="360" w:lineRule="auto"/>
              <w:jc w:val="center"/>
              <w:rPr>
                <w:rFonts w:ascii="宋体"/>
              </w:rPr>
            </w:pPr>
            <w:r>
              <w:rPr>
                <w:rFonts w:ascii="宋体" w:hAnsi="宋体" w:cs="宋体"/>
              </w:rPr>
              <w:t>3</w:t>
            </w:r>
          </w:p>
        </w:tc>
        <w:tc>
          <w:tcPr>
            <w:tcW w:w="883" w:type="dxa"/>
            <w:noWrap/>
            <w:vAlign w:val="center"/>
          </w:tcPr>
          <w:p w14:paraId="6FFDF753">
            <w:pPr>
              <w:spacing w:line="360" w:lineRule="auto"/>
              <w:jc w:val="center"/>
              <w:rPr>
                <w:rFonts w:ascii="宋体"/>
              </w:rPr>
            </w:pPr>
            <w:r>
              <w:rPr>
                <w:rFonts w:hint="eastAsia" w:ascii="宋体" w:hAnsi="宋体" w:cs="宋体"/>
              </w:rPr>
              <w:t>空调</w:t>
            </w:r>
          </w:p>
          <w:p w14:paraId="3C71C993">
            <w:pPr>
              <w:spacing w:line="360" w:lineRule="auto"/>
              <w:jc w:val="center"/>
              <w:rPr>
                <w:rFonts w:ascii="宋体"/>
              </w:rPr>
            </w:pPr>
            <w:r>
              <w:rPr>
                <w:rFonts w:hint="eastAsia" w:ascii="宋体" w:hAnsi="宋体" w:cs="宋体"/>
              </w:rPr>
              <w:t>系统</w:t>
            </w:r>
          </w:p>
        </w:tc>
        <w:tc>
          <w:tcPr>
            <w:tcW w:w="1134" w:type="dxa"/>
            <w:noWrap/>
            <w:vAlign w:val="center"/>
          </w:tcPr>
          <w:p w14:paraId="68748284">
            <w:pPr>
              <w:spacing w:line="360" w:lineRule="auto"/>
              <w:jc w:val="center"/>
              <w:rPr>
                <w:rFonts w:ascii="宋体"/>
              </w:rPr>
            </w:pPr>
            <w:r>
              <w:rPr>
                <w:rFonts w:hint="eastAsia" w:ascii="宋体" w:hAnsi="宋体" w:cs="宋体"/>
              </w:rPr>
              <w:t>完好率</w:t>
            </w:r>
            <w:r>
              <w:rPr>
                <w:rFonts w:ascii="宋体" w:hAnsi="宋体" w:cs="宋体"/>
              </w:rPr>
              <w:t>100%</w:t>
            </w:r>
          </w:p>
        </w:tc>
        <w:tc>
          <w:tcPr>
            <w:tcW w:w="5233" w:type="dxa"/>
            <w:noWrap/>
          </w:tcPr>
          <w:p w14:paraId="5AB41260">
            <w:pPr>
              <w:spacing w:line="360" w:lineRule="auto"/>
              <w:rPr>
                <w:rFonts w:ascii="宋体"/>
              </w:rPr>
            </w:pPr>
            <w:r>
              <w:rPr>
                <w:rFonts w:ascii="宋体" w:hAnsi="宋体" w:cs="宋体"/>
              </w:rPr>
              <w:t>A</w:t>
            </w:r>
            <w:r>
              <w:rPr>
                <w:rFonts w:hint="eastAsia" w:ascii="宋体" w:hAnsi="宋体" w:cs="宋体"/>
              </w:rPr>
              <w:t>．过滤网的换季清洗。</w:t>
            </w:r>
          </w:p>
          <w:p w14:paraId="524D7F50">
            <w:pPr>
              <w:spacing w:line="360" w:lineRule="auto"/>
              <w:rPr>
                <w:rFonts w:ascii="宋体"/>
              </w:rPr>
            </w:pPr>
            <w:r>
              <w:rPr>
                <w:rFonts w:ascii="宋体" w:hAnsi="宋体" w:cs="宋体"/>
              </w:rPr>
              <w:t>B</w:t>
            </w:r>
            <w:r>
              <w:rPr>
                <w:rFonts w:hint="eastAsia" w:ascii="宋体" w:hAnsi="宋体" w:cs="宋体"/>
              </w:rPr>
              <w:t>．按规范要求操作冷冻设备。</w:t>
            </w:r>
          </w:p>
          <w:p w14:paraId="0C6062FB">
            <w:pPr>
              <w:spacing w:line="360" w:lineRule="auto"/>
              <w:rPr>
                <w:rFonts w:ascii="宋体"/>
              </w:rPr>
            </w:pPr>
            <w:r>
              <w:rPr>
                <w:rFonts w:ascii="宋体" w:hAnsi="宋体" w:cs="宋体"/>
              </w:rPr>
              <w:t>C</w:t>
            </w:r>
            <w:r>
              <w:rPr>
                <w:rFonts w:hint="eastAsia" w:ascii="宋体" w:hAnsi="宋体" w:cs="宋体"/>
              </w:rPr>
              <w:t>．运行符合安全规程，持证上岗。</w:t>
            </w:r>
          </w:p>
        </w:tc>
      </w:tr>
      <w:tr w14:paraId="3D52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1" w:type="dxa"/>
            <w:noWrap/>
            <w:vAlign w:val="center"/>
          </w:tcPr>
          <w:p w14:paraId="60C52C03">
            <w:pPr>
              <w:spacing w:line="360" w:lineRule="auto"/>
              <w:jc w:val="center"/>
              <w:rPr>
                <w:rFonts w:ascii="宋体"/>
              </w:rPr>
            </w:pPr>
            <w:r>
              <w:rPr>
                <w:rFonts w:ascii="宋体" w:hAnsi="宋体" w:cs="宋体"/>
              </w:rPr>
              <w:t>4</w:t>
            </w:r>
          </w:p>
        </w:tc>
        <w:tc>
          <w:tcPr>
            <w:tcW w:w="883" w:type="dxa"/>
            <w:noWrap/>
            <w:vAlign w:val="center"/>
          </w:tcPr>
          <w:p w14:paraId="0B63A641">
            <w:pPr>
              <w:spacing w:line="360" w:lineRule="auto"/>
              <w:jc w:val="center"/>
              <w:rPr>
                <w:rFonts w:ascii="宋体"/>
              </w:rPr>
            </w:pPr>
            <w:r>
              <w:rPr>
                <w:rFonts w:hint="eastAsia" w:ascii="宋体" w:hAnsi="宋体" w:cs="宋体"/>
              </w:rPr>
              <w:t>照明</w:t>
            </w:r>
          </w:p>
          <w:p w14:paraId="5B8A5EF8">
            <w:pPr>
              <w:spacing w:line="360" w:lineRule="auto"/>
              <w:jc w:val="center"/>
              <w:rPr>
                <w:rFonts w:ascii="宋体"/>
              </w:rPr>
            </w:pPr>
            <w:r>
              <w:rPr>
                <w:rFonts w:hint="eastAsia" w:ascii="宋体" w:hAnsi="宋体" w:cs="宋体"/>
              </w:rPr>
              <w:t>系统</w:t>
            </w:r>
          </w:p>
        </w:tc>
        <w:tc>
          <w:tcPr>
            <w:tcW w:w="1134" w:type="dxa"/>
            <w:noWrap/>
            <w:vAlign w:val="center"/>
          </w:tcPr>
          <w:p w14:paraId="0BB9B836">
            <w:pPr>
              <w:spacing w:line="360" w:lineRule="auto"/>
              <w:jc w:val="center"/>
              <w:rPr>
                <w:rFonts w:ascii="宋体"/>
              </w:rPr>
            </w:pPr>
            <w:r>
              <w:rPr>
                <w:rFonts w:hint="eastAsia" w:ascii="宋体" w:hAnsi="宋体" w:cs="宋体"/>
              </w:rPr>
              <w:t>完好率</w:t>
            </w:r>
            <w:r>
              <w:rPr>
                <w:rFonts w:ascii="宋体" w:hAnsi="宋体" w:cs="宋体"/>
              </w:rPr>
              <w:t>98%</w:t>
            </w:r>
          </w:p>
        </w:tc>
        <w:tc>
          <w:tcPr>
            <w:tcW w:w="5233" w:type="dxa"/>
            <w:noWrap/>
          </w:tcPr>
          <w:p w14:paraId="3B328FA7">
            <w:pPr>
              <w:widowControl w:val="0"/>
              <w:numPr>
                <w:ilvl w:val="0"/>
                <w:numId w:val="1"/>
              </w:numPr>
              <w:spacing w:line="360" w:lineRule="auto"/>
              <w:rPr>
                <w:rFonts w:ascii="宋体"/>
              </w:rPr>
            </w:pPr>
            <w:r>
              <w:rPr>
                <w:rFonts w:hint="eastAsia" w:ascii="宋体" w:hAnsi="宋体" w:cs="宋体"/>
              </w:rPr>
              <w:t>所有灯具、照明系统完好。</w:t>
            </w:r>
          </w:p>
          <w:p w14:paraId="40C23522">
            <w:pPr>
              <w:widowControl w:val="0"/>
              <w:numPr>
                <w:ilvl w:val="0"/>
                <w:numId w:val="1"/>
              </w:numPr>
              <w:spacing w:line="360" w:lineRule="auto"/>
              <w:rPr>
                <w:rFonts w:ascii="宋体"/>
              </w:rPr>
            </w:pPr>
            <w:r>
              <w:rPr>
                <w:rFonts w:hint="eastAsia" w:ascii="宋体" w:hAnsi="宋体" w:cs="宋体"/>
              </w:rPr>
              <w:t>发现灯具损坏及时修复</w:t>
            </w:r>
          </w:p>
        </w:tc>
      </w:tr>
      <w:tr w14:paraId="4795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611" w:type="dxa"/>
            <w:noWrap/>
            <w:vAlign w:val="center"/>
          </w:tcPr>
          <w:p w14:paraId="64A76270">
            <w:pPr>
              <w:spacing w:line="360" w:lineRule="auto"/>
              <w:jc w:val="center"/>
              <w:rPr>
                <w:rFonts w:ascii="宋体"/>
              </w:rPr>
            </w:pPr>
            <w:r>
              <w:rPr>
                <w:rFonts w:ascii="宋体" w:hAnsi="宋体" w:cs="宋体"/>
              </w:rPr>
              <w:t>5</w:t>
            </w:r>
          </w:p>
        </w:tc>
        <w:tc>
          <w:tcPr>
            <w:tcW w:w="883" w:type="dxa"/>
            <w:noWrap/>
            <w:vAlign w:val="center"/>
          </w:tcPr>
          <w:p w14:paraId="239EFE49">
            <w:pPr>
              <w:spacing w:line="360" w:lineRule="auto"/>
              <w:jc w:val="center"/>
              <w:rPr>
                <w:rFonts w:ascii="宋体"/>
              </w:rPr>
            </w:pPr>
            <w:r>
              <w:rPr>
                <w:rFonts w:hint="eastAsia" w:ascii="宋体" w:hAnsi="宋体" w:cs="宋体"/>
              </w:rPr>
              <w:t>给水系统</w:t>
            </w:r>
          </w:p>
        </w:tc>
        <w:tc>
          <w:tcPr>
            <w:tcW w:w="1134" w:type="dxa"/>
            <w:noWrap/>
            <w:vAlign w:val="center"/>
          </w:tcPr>
          <w:p w14:paraId="1DF9DB8B">
            <w:pPr>
              <w:spacing w:line="360" w:lineRule="auto"/>
              <w:jc w:val="center"/>
              <w:rPr>
                <w:rFonts w:ascii="宋体"/>
              </w:rPr>
            </w:pPr>
            <w:r>
              <w:rPr>
                <w:rFonts w:hint="eastAsia" w:ascii="宋体" w:hAnsi="宋体" w:cs="宋体"/>
              </w:rPr>
              <w:t>完好率</w:t>
            </w:r>
            <w:r>
              <w:rPr>
                <w:rFonts w:ascii="宋体" w:hAnsi="宋体" w:cs="宋体"/>
              </w:rPr>
              <w:t>100%</w:t>
            </w:r>
          </w:p>
        </w:tc>
        <w:tc>
          <w:tcPr>
            <w:tcW w:w="5233" w:type="dxa"/>
            <w:noWrap/>
          </w:tcPr>
          <w:p w14:paraId="68E975FD">
            <w:pPr>
              <w:spacing w:line="360" w:lineRule="auto"/>
              <w:rPr>
                <w:rFonts w:ascii="宋体"/>
              </w:rPr>
            </w:pPr>
            <w:r>
              <w:rPr>
                <w:rFonts w:ascii="宋体" w:hAnsi="宋体" w:cs="宋体"/>
              </w:rPr>
              <w:t>A</w:t>
            </w:r>
            <w:r>
              <w:rPr>
                <w:rFonts w:hint="eastAsia" w:ascii="宋体" w:hAnsi="宋体" w:cs="宋体"/>
              </w:rPr>
              <w:t>．给水外露管网完好。</w:t>
            </w:r>
          </w:p>
          <w:p w14:paraId="5F7E13C6">
            <w:pPr>
              <w:spacing w:line="360" w:lineRule="auto"/>
              <w:rPr>
                <w:rFonts w:ascii="宋体"/>
              </w:rPr>
            </w:pPr>
            <w:r>
              <w:rPr>
                <w:rFonts w:ascii="宋体" w:hAnsi="宋体" w:cs="宋体"/>
              </w:rPr>
              <w:t>B</w:t>
            </w:r>
            <w:r>
              <w:rPr>
                <w:rFonts w:hint="eastAsia" w:ascii="宋体" w:hAnsi="宋体" w:cs="宋体"/>
              </w:rPr>
              <w:t>．水箱清洁，水质达标。</w:t>
            </w:r>
          </w:p>
          <w:p w14:paraId="392C25CC">
            <w:pPr>
              <w:spacing w:line="360" w:lineRule="auto"/>
              <w:rPr>
                <w:rFonts w:ascii="宋体"/>
              </w:rPr>
            </w:pPr>
            <w:r>
              <w:rPr>
                <w:rFonts w:ascii="宋体" w:hAnsi="宋体" w:cs="宋体"/>
              </w:rPr>
              <w:t>C</w:t>
            </w:r>
            <w:r>
              <w:rPr>
                <w:rFonts w:hint="eastAsia" w:ascii="宋体" w:hAnsi="宋体" w:cs="宋体"/>
              </w:rPr>
              <w:t>．水管及龙头等部件保持完好，无跑、冒、滴、漏等情况。</w:t>
            </w:r>
          </w:p>
        </w:tc>
      </w:tr>
      <w:tr w14:paraId="4396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611" w:type="dxa"/>
            <w:noWrap/>
            <w:vAlign w:val="center"/>
          </w:tcPr>
          <w:p w14:paraId="03188183">
            <w:pPr>
              <w:spacing w:line="360" w:lineRule="auto"/>
              <w:jc w:val="center"/>
              <w:rPr>
                <w:rFonts w:ascii="宋体"/>
              </w:rPr>
            </w:pPr>
            <w:r>
              <w:rPr>
                <w:rFonts w:ascii="宋体" w:hAnsi="宋体" w:cs="宋体"/>
              </w:rPr>
              <w:t>6</w:t>
            </w:r>
          </w:p>
        </w:tc>
        <w:tc>
          <w:tcPr>
            <w:tcW w:w="883" w:type="dxa"/>
            <w:noWrap/>
            <w:vAlign w:val="center"/>
          </w:tcPr>
          <w:p w14:paraId="4D144B68">
            <w:pPr>
              <w:spacing w:line="360" w:lineRule="auto"/>
              <w:jc w:val="center"/>
              <w:rPr>
                <w:rFonts w:ascii="宋体"/>
              </w:rPr>
            </w:pPr>
            <w:r>
              <w:rPr>
                <w:rFonts w:hint="eastAsia" w:ascii="宋体" w:hAnsi="宋体" w:cs="宋体"/>
              </w:rPr>
              <w:t>排水系统</w:t>
            </w:r>
          </w:p>
        </w:tc>
        <w:tc>
          <w:tcPr>
            <w:tcW w:w="1134" w:type="dxa"/>
            <w:noWrap/>
            <w:vAlign w:val="center"/>
          </w:tcPr>
          <w:p w14:paraId="0B5D0580">
            <w:pPr>
              <w:spacing w:line="360" w:lineRule="auto"/>
              <w:jc w:val="center"/>
              <w:rPr>
                <w:rFonts w:ascii="宋体"/>
              </w:rPr>
            </w:pPr>
            <w:r>
              <w:rPr>
                <w:rFonts w:hint="eastAsia" w:ascii="宋体" w:hAnsi="宋体" w:cs="宋体"/>
              </w:rPr>
              <w:t>完好率</w:t>
            </w:r>
            <w:r>
              <w:rPr>
                <w:rFonts w:ascii="宋体" w:hAnsi="宋体" w:cs="宋体"/>
              </w:rPr>
              <w:t>100%</w:t>
            </w:r>
          </w:p>
        </w:tc>
        <w:tc>
          <w:tcPr>
            <w:tcW w:w="5233" w:type="dxa"/>
            <w:noWrap/>
          </w:tcPr>
          <w:p w14:paraId="354AE6E3">
            <w:pPr>
              <w:spacing w:line="360" w:lineRule="auto"/>
              <w:rPr>
                <w:rFonts w:ascii="宋体"/>
              </w:rPr>
            </w:pPr>
            <w:r>
              <w:rPr>
                <w:rFonts w:ascii="宋体" w:hAnsi="宋体" w:cs="宋体"/>
              </w:rPr>
              <w:t>A</w:t>
            </w:r>
            <w:r>
              <w:rPr>
                <w:rFonts w:hint="eastAsia" w:ascii="宋体" w:hAnsi="宋体" w:cs="宋体"/>
              </w:rPr>
              <w:t>．各排水管道畅通，无渗漏、堵塞。</w:t>
            </w:r>
          </w:p>
          <w:p w14:paraId="1C5F9F49">
            <w:pPr>
              <w:spacing w:line="360" w:lineRule="auto"/>
              <w:rPr>
                <w:rFonts w:ascii="宋体"/>
              </w:rPr>
            </w:pPr>
            <w:r>
              <w:rPr>
                <w:rFonts w:ascii="宋体" w:hAnsi="宋体" w:cs="宋体"/>
              </w:rPr>
              <w:t>B</w:t>
            </w:r>
            <w:r>
              <w:rPr>
                <w:rFonts w:hint="eastAsia" w:ascii="宋体" w:hAnsi="宋体" w:cs="宋体"/>
              </w:rPr>
              <w:t>．排水泵运行与控制正常有效。</w:t>
            </w:r>
          </w:p>
          <w:p w14:paraId="2083337A">
            <w:pPr>
              <w:spacing w:line="360" w:lineRule="auto"/>
              <w:rPr>
                <w:rFonts w:ascii="宋体"/>
              </w:rPr>
            </w:pPr>
            <w:r>
              <w:rPr>
                <w:rFonts w:ascii="宋体" w:hAnsi="宋体" w:cs="宋体"/>
              </w:rPr>
              <w:t>C</w:t>
            </w:r>
            <w:r>
              <w:rPr>
                <w:rFonts w:hint="eastAsia" w:ascii="宋体" w:hAnsi="宋体" w:cs="宋体"/>
              </w:rPr>
              <w:t>．排水畅通，无回泛气味。</w:t>
            </w:r>
          </w:p>
        </w:tc>
      </w:tr>
      <w:tr w14:paraId="5DF8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11" w:type="dxa"/>
            <w:noWrap/>
            <w:vAlign w:val="center"/>
          </w:tcPr>
          <w:p w14:paraId="40CCE552">
            <w:pPr>
              <w:spacing w:line="360" w:lineRule="auto"/>
              <w:jc w:val="center"/>
              <w:rPr>
                <w:rFonts w:ascii="宋体"/>
              </w:rPr>
            </w:pPr>
            <w:r>
              <w:rPr>
                <w:rFonts w:ascii="宋体" w:hAnsi="宋体" w:cs="宋体"/>
              </w:rPr>
              <w:t>7</w:t>
            </w:r>
          </w:p>
        </w:tc>
        <w:tc>
          <w:tcPr>
            <w:tcW w:w="883" w:type="dxa"/>
            <w:noWrap/>
            <w:vAlign w:val="center"/>
          </w:tcPr>
          <w:p w14:paraId="60A1C3C1">
            <w:pPr>
              <w:spacing w:line="360" w:lineRule="auto"/>
              <w:jc w:val="center"/>
              <w:rPr>
                <w:rFonts w:ascii="宋体"/>
              </w:rPr>
            </w:pPr>
            <w:r>
              <w:rPr>
                <w:rFonts w:hint="eastAsia" w:ascii="宋体" w:hAnsi="宋体" w:cs="宋体"/>
              </w:rPr>
              <w:t>消防报警系统</w:t>
            </w:r>
          </w:p>
        </w:tc>
        <w:tc>
          <w:tcPr>
            <w:tcW w:w="1134" w:type="dxa"/>
            <w:noWrap/>
            <w:vAlign w:val="center"/>
          </w:tcPr>
          <w:p w14:paraId="3391DCC6">
            <w:pPr>
              <w:spacing w:line="360" w:lineRule="auto"/>
              <w:jc w:val="center"/>
              <w:rPr>
                <w:rFonts w:ascii="宋体"/>
              </w:rPr>
            </w:pPr>
            <w:r>
              <w:rPr>
                <w:rFonts w:hint="eastAsia" w:ascii="宋体" w:hAnsi="宋体" w:cs="宋体"/>
              </w:rPr>
              <w:t>完好率</w:t>
            </w:r>
            <w:r>
              <w:rPr>
                <w:rFonts w:ascii="宋体" w:hAnsi="宋体" w:cs="宋体"/>
              </w:rPr>
              <w:t>100%</w:t>
            </w:r>
          </w:p>
        </w:tc>
        <w:tc>
          <w:tcPr>
            <w:tcW w:w="5233" w:type="dxa"/>
            <w:noWrap/>
          </w:tcPr>
          <w:p w14:paraId="306041FD">
            <w:pPr>
              <w:spacing w:line="360" w:lineRule="auto"/>
              <w:rPr>
                <w:rFonts w:ascii="宋体"/>
              </w:rPr>
            </w:pPr>
            <w:r>
              <w:rPr>
                <w:rFonts w:ascii="宋体" w:hAnsi="宋体" w:cs="宋体"/>
              </w:rPr>
              <w:t>A</w:t>
            </w:r>
            <w:r>
              <w:rPr>
                <w:rFonts w:hint="eastAsia" w:ascii="宋体" w:hAnsi="宋体" w:cs="宋体"/>
              </w:rPr>
              <w:t>．报警探测器可靠。</w:t>
            </w:r>
          </w:p>
          <w:p w14:paraId="3D40ED59">
            <w:pPr>
              <w:spacing w:line="360" w:lineRule="auto"/>
              <w:rPr>
                <w:rFonts w:ascii="宋体"/>
              </w:rPr>
            </w:pPr>
            <w:r>
              <w:rPr>
                <w:rFonts w:ascii="宋体" w:hAnsi="宋体" w:cs="宋体"/>
              </w:rPr>
              <w:t>B</w:t>
            </w:r>
            <w:r>
              <w:rPr>
                <w:rFonts w:hint="eastAsia" w:ascii="宋体" w:hAnsi="宋体" w:cs="宋体"/>
              </w:rPr>
              <w:t>．报警装置、声响正常、符合规范。</w:t>
            </w:r>
          </w:p>
          <w:p w14:paraId="154017EB">
            <w:pPr>
              <w:spacing w:line="360" w:lineRule="auto"/>
              <w:rPr>
                <w:rFonts w:ascii="宋体"/>
              </w:rPr>
            </w:pPr>
            <w:r>
              <w:rPr>
                <w:rFonts w:ascii="宋体" w:hAnsi="宋体" w:cs="宋体"/>
              </w:rPr>
              <w:t>C</w:t>
            </w:r>
            <w:r>
              <w:rPr>
                <w:rFonts w:hint="eastAsia" w:ascii="宋体" w:hAnsi="宋体" w:cs="宋体"/>
              </w:rPr>
              <w:t>．系统联动无失控现象。</w:t>
            </w:r>
          </w:p>
        </w:tc>
      </w:tr>
      <w:tr w14:paraId="1476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11" w:type="dxa"/>
            <w:noWrap/>
            <w:vAlign w:val="center"/>
          </w:tcPr>
          <w:p w14:paraId="66444F5C">
            <w:pPr>
              <w:spacing w:line="360" w:lineRule="auto"/>
              <w:jc w:val="center"/>
              <w:rPr>
                <w:rFonts w:ascii="宋体" w:hAnsi="宋体" w:cs="宋体"/>
              </w:rPr>
            </w:pPr>
            <w:r>
              <w:rPr>
                <w:rFonts w:hint="eastAsia" w:ascii="宋体" w:hAnsi="宋体" w:cs="宋体"/>
              </w:rPr>
              <w:t>8</w:t>
            </w:r>
          </w:p>
        </w:tc>
        <w:tc>
          <w:tcPr>
            <w:tcW w:w="883" w:type="dxa"/>
            <w:noWrap/>
            <w:vAlign w:val="center"/>
          </w:tcPr>
          <w:p w14:paraId="6E75D2A0">
            <w:pPr>
              <w:spacing w:line="360" w:lineRule="auto"/>
              <w:jc w:val="center"/>
              <w:rPr>
                <w:rFonts w:ascii="宋体" w:hAnsi="宋体" w:cs="宋体"/>
              </w:rPr>
            </w:pPr>
            <w:r>
              <w:rPr>
                <w:rFonts w:hint="eastAsia" w:ascii="宋体" w:hAnsi="宋体" w:cs="宋体"/>
              </w:rPr>
              <w:t>电梯系统</w:t>
            </w:r>
          </w:p>
        </w:tc>
        <w:tc>
          <w:tcPr>
            <w:tcW w:w="1134" w:type="dxa"/>
            <w:noWrap/>
            <w:vAlign w:val="center"/>
          </w:tcPr>
          <w:p w14:paraId="2DA94B7E">
            <w:pPr>
              <w:spacing w:line="360" w:lineRule="auto"/>
              <w:jc w:val="center"/>
              <w:rPr>
                <w:rFonts w:ascii="宋体" w:hAnsi="宋体" w:cs="宋体"/>
              </w:rPr>
            </w:pPr>
            <w:r>
              <w:rPr>
                <w:rFonts w:hint="eastAsia" w:ascii="宋体" w:hAnsi="宋体" w:cs="宋体"/>
              </w:rPr>
              <w:t>完好率99</w:t>
            </w:r>
            <w:r>
              <w:rPr>
                <w:rFonts w:ascii="宋体" w:hAnsi="宋体" w:cs="宋体"/>
              </w:rPr>
              <w:t>%</w:t>
            </w:r>
          </w:p>
        </w:tc>
        <w:tc>
          <w:tcPr>
            <w:tcW w:w="5233" w:type="dxa"/>
            <w:noWrap/>
          </w:tcPr>
          <w:p w14:paraId="566BCEC8">
            <w:pPr>
              <w:spacing w:line="360" w:lineRule="auto"/>
              <w:rPr>
                <w:rFonts w:ascii="宋体" w:hAnsi="宋体" w:cs="宋体"/>
              </w:rPr>
            </w:pPr>
            <w:r>
              <w:rPr>
                <w:rFonts w:hint="eastAsia" w:ascii="宋体" w:hAnsi="宋体" w:cs="宋体"/>
              </w:rPr>
              <w:t>招呼面板完好，轿厢运行平稳。</w:t>
            </w:r>
          </w:p>
          <w:p w14:paraId="7A03D98F">
            <w:pPr>
              <w:spacing w:line="360" w:lineRule="auto"/>
              <w:rPr>
                <w:rFonts w:ascii="宋体" w:hAnsi="宋体" w:cs="宋体"/>
              </w:rPr>
            </w:pPr>
            <w:r>
              <w:rPr>
                <w:rFonts w:hint="eastAsia" w:ascii="宋体" w:hAnsi="宋体" w:cs="宋体"/>
              </w:rPr>
              <w:t>年检合格率100%</w:t>
            </w:r>
          </w:p>
          <w:p w14:paraId="16BB6239">
            <w:pPr>
              <w:spacing w:line="360" w:lineRule="auto"/>
              <w:rPr>
                <w:rFonts w:ascii="宋体" w:hAnsi="宋体" w:cs="宋体"/>
              </w:rPr>
            </w:pPr>
            <w:r>
              <w:rPr>
                <w:rFonts w:hint="eastAsia" w:ascii="宋体" w:hAnsi="宋体" w:cs="宋体"/>
              </w:rPr>
              <w:t>定期对电梯、限速器检测。</w:t>
            </w:r>
          </w:p>
          <w:p w14:paraId="151B1D0A">
            <w:pPr>
              <w:spacing w:line="360" w:lineRule="auto"/>
              <w:rPr>
                <w:rFonts w:ascii="宋体" w:hAnsi="宋体" w:cs="宋体"/>
              </w:rPr>
            </w:pPr>
            <w:r>
              <w:rPr>
                <w:rFonts w:hint="eastAsia" w:ascii="宋体" w:hAnsi="宋体" w:cs="宋体"/>
              </w:rPr>
              <w:t>三方通话正常，无杂音。</w:t>
            </w:r>
          </w:p>
        </w:tc>
      </w:tr>
      <w:tr w14:paraId="1F45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11" w:type="dxa"/>
            <w:noWrap/>
            <w:vAlign w:val="center"/>
          </w:tcPr>
          <w:p w14:paraId="71E7F507">
            <w:pPr>
              <w:spacing w:line="360" w:lineRule="auto"/>
              <w:jc w:val="center"/>
              <w:rPr>
                <w:rFonts w:ascii="宋体"/>
              </w:rPr>
            </w:pPr>
            <w:r>
              <w:rPr>
                <w:rFonts w:hint="eastAsia" w:ascii="宋体" w:hAnsi="宋体" w:cs="宋体"/>
              </w:rPr>
              <w:t>9</w:t>
            </w:r>
          </w:p>
        </w:tc>
        <w:tc>
          <w:tcPr>
            <w:tcW w:w="883" w:type="dxa"/>
            <w:noWrap/>
            <w:vAlign w:val="center"/>
          </w:tcPr>
          <w:p w14:paraId="0A1B2D49">
            <w:pPr>
              <w:spacing w:line="360" w:lineRule="auto"/>
              <w:jc w:val="center"/>
              <w:rPr>
                <w:rFonts w:ascii="宋体"/>
              </w:rPr>
            </w:pPr>
            <w:r>
              <w:rPr>
                <w:rFonts w:hint="eastAsia" w:ascii="宋体" w:hAnsi="宋体" w:cs="宋体"/>
              </w:rPr>
              <w:t>重大事故发生率</w:t>
            </w:r>
          </w:p>
        </w:tc>
        <w:tc>
          <w:tcPr>
            <w:tcW w:w="1134" w:type="dxa"/>
            <w:noWrap/>
            <w:vAlign w:val="center"/>
          </w:tcPr>
          <w:p w14:paraId="7E024A5C">
            <w:pPr>
              <w:spacing w:line="360" w:lineRule="auto"/>
              <w:jc w:val="center"/>
              <w:rPr>
                <w:rFonts w:ascii="宋体" w:cs="宋体"/>
              </w:rPr>
            </w:pPr>
            <w:r>
              <w:rPr>
                <w:rFonts w:ascii="宋体" w:cs="宋体"/>
              </w:rPr>
              <w:t>0</w:t>
            </w:r>
          </w:p>
        </w:tc>
        <w:tc>
          <w:tcPr>
            <w:tcW w:w="5233" w:type="dxa"/>
            <w:noWrap/>
          </w:tcPr>
          <w:p w14:paraId="747F45F1">
            <w:pPr>
              <w:spacing w:line="360" w:lineRule="auto"/>
              <w:rPr>
                <w:rFonts w:ascii="宋体"/>
              </w:rPr>
            </w:pPr>
            <w:r>
              <w:rPr>
                <w:rFonts w:hint="eastAsia" w:ascii="宋体" w:hAnsi="宋体" w:cs="宋体"/>
              </w:rPr>
              <w:t>无重大责任事故</w:t>
            </w:r>
          </w:p>
        </w:tc>
      </w:tr>
    </w:tbl>
    <w:p w14:paraId="03327627">
      <w:pPr>
        <w:spacing w:line="360" w:lineRule="auto"/>
        <w:rPr>
          <w:rFonts w:ascii="宋体"/>
          <w:b/>
          <w:bCs/>
        </w:rPr>
      </w:pPr>
    </w:p>
    <w:p w14:paraId="45BA479E">
      <w:pPr>
        <w:spacing w:line="360" w:lineRule="auto"/>
        <w:rPr>
          <w:rFonts w:ascii="宋体"/>
          <w:b/>
          <w:bCs/>
        </w:rPr>
      </w:pPr>
      <w:r>
        <w:rPr>
          <w:rFonts w:hint="eastAsia" w:ascii="宋体" w:hAnsi="宋体" w:cs="宋体"/>
          <w:b/>
          <w:bCs/>
        </w:rPr>
        <w:t>三、物业管理服务范围及总体要求、内容及要求</w:t>
      </w:r>
    </w:p>
    <w:p w14:paraId="44659590">
      <w:pPr>
        <w:spacing w:line="360" w:lineRule="auto"/>
        <w:rPr>
          <w:rFonts w:ascii="宋体"/>
          <w:b/>
          <w:bCs/>
        </w:rPr>
      </w:pPr>
      <w:r>
        <w:rPr>
          <w:rFonts w:hint="eastAsia" w:ascii="宋体" w:hAnsi="宋体" w:cs="宋体"/>
          <w:b/>
          <w:bCs/>
        </w:rPr>
        <w:t>（一）物业管理服务范围、内容及总体要求</w:t>
      </w:r>
    </w:p>
    <w:p w14:paraId="4FF23B44">
      <w:pPr>
        <w:spacing w:line="360" w:lineRule="auto"/>
        <w:rPr>
          <w:rFonts w:ascii="宋体"/>
          <w:b/>
          <w:bCs/>
        </w:rPr>
      </w:pPr>
      <w:r>
        <w:rPr>
          <w:rFonts w:ascii="宋体" w:hAnsi="宋体" w:cs="宋体"/>
          <w:b/>
          <w:bCs/>
        </w:rPr>
        <w:t>1</w:t>
      </w:r>
      <w:r>
        <w:rPr>
          <w:rFonts w:hint="eastAsia" w:ascii="宋体" w:hAnsi="宋体" w:cs="宋体"/>
          <w:b/>
          <w:bCs/>
        </w:rPr>
        <w:t>、物业管理服务范围和内容：</w:t>
      </w:r>
    </w:p>
    <w:p w14:paraId="25CF6071">
      <w:pPr>
        <w:spacing w:line="360" w:lineRule="auto"/>
        <w:ind w:firstLine="420" w:firstLineChars="200"/>
        <w:rPr>
          <w:rFonts w:ascii="宋体" w:hAnsi="宋体" w:cs="宋体"/>
        </w:rPr>
      </w:pPr>
      <w:r>
        <w:rPr>
          <w:rFonts w:hint="eastAsia" w:ascii="宋体" w:hAnsi="宋体" w:cs="宋体"/>
        </w:rPr>
        <w:t>中海博规划红线范围内（具体以图纸为主）的设备设施运行维护保养、安全保卫、消防安全管理、清洁绿化、场馆管理服务、讲解、会务接待、收发、后勤服务、车辆停放等公共财产和事务的管理。物业管理服务范围具体包括但不限于本项目下招标方建筑物及其附属设施、设备、器具、场地的管理、维修养护、施工管理、巡视检查设备等管理服务和保障，环境卫生保洁管理服务和保障，安全管理服务和保障、消防安全管理服务和保障，办公楼、贵宾接待、后勤保障等服务和保障、展览场地管理服务和保障、场馆常年对外开放运营管理、社会公众参观相关服务和保障、社会教育服务、招标方要求的与本项目有关的其他相关服务和保障等所有与招标方博物馆公共服务机构及场馆运营管理相关的所有事项，依本项目招标文件规定并以实际签署的合同进行管理并提供服务和保障。招标方委托投标方提供的物业服务范围还包括招标方因招标方博物馆运营管理工作需要在上述区域以外的空间和场所。</w:t>
      </w:r>
    </w:p>
    <w:p w14:paraId="7AEFF067">
      <w:pPr>
        <w:spacing w:line="360" w:lineRule="auto"/>
        <w:ind w:firstLine="420" w:firstLineChars="200"/>
        <w:rPr>
          <w:rFonts w:ascii="宋体" w:hAnsi="宋体" w:cs="宋体"/>
        </w:rPr>
      </w:pPr>
      <w:r>
        <w:rPr>
          <w:rFonts w:hint="eastAsia" w:ascii="宋体" w:hAnsi="宋体" w:cs="宋体"/>
        </w:rPr>
        <w:t>服务内容包括但不限于公众服务</w:t>
      </w:r>
      <w:bookmarkStart w:id="1" w:name="OLE_LINK5"/>
      <w:bookmarkStart w:id="2" w:name="OLE_LINK6"/>
      <w:r>
        <w:rPr>
          <w:rFonts w:hint="eastAsia" w:ascii="宋体" w:hAnsi="宋体" w:cs="宋体"/>
        </w:rPr>
        <w:t>（包括岗位职责及人员配备），包括但不限于如下服务内容：</w:t>
      </w:r>
    </w:p>
    <w:bookmarkEnd w:id="1"/>
    <w:bookmarkEnd w:id="2"/>
    <w:p w14:paraId="57F61291">
      <w:pPr>
        <w:spacing w:line="360" w:lineRule="auto"/>
        <w:ind w:firstLine="420" w:firstLineChars="200"/>
        <w:rPr>
          <w:rFonts w:ascii="宋体" w:hAnsi="宋体" w:cs="宋体"/>
        </w:rPr>
      </w:pPr>
      <w:r>
        <w:rPr>
          <w:rFonts w:hint="eastAsia" w:ascii="宋体" w:hAnsi="宋体" w:cs="宋体"/>
        </w:rPr>
        <w:t>公共区域</w:t>
      </w:r>
      <w:r>
        <w:rPr>
          <w:rFonts w:ascii="宋体" w:hAnsi="宋体" w:cs="宋体"/>
        </w:rPr>
        <w:t>导览服务</w:t>
      </w:r>
    </w:p>
    <w:p w14:paraId="3577C623">
      <w:pPr>
        <w:spacing w:line="360" w:lineRule="auto"/>
        <w:ind w:firstLine="420" w:firstLineChars="200"/>
        <w:rPr>
          <w:rFonts w:ascii="宋体" w:hAnsi="宋体" w:cs="宋体"/>
        </w:rPr>
      </w:pPr>
      <w:r>
        <w:rPr>
          <w:rFonts w:ascii="宋体" w:hAnsi="宋体" w:cs="宋体"/>
        </w:rPr>
        <w:t>讲解服务</w:t>
      </w:r>
      <w:r>
        <w:rPr>
          <w:rFonts w:hint="eastAsia" w:ascii="宋体" w:hAnsi="宋体" w:cs="宋体"/>
        </w:rPr>
        <w:t>（包括星级讲解服务）及相关社会教育活动服务</w:t>
      </w:r>
    </w:p>
    <w:p w14:paraId="529F8B79">
      <w:pPr>
        <w:spacing w:line="360" w:lineRule="auto"/>
        <w:ind w:firstLine="420" w:firstLineChars="200"/>
        <w:rPr>
          <w:rFonts w:ascii="宋体" w:hAnsi="宋体" w:cs="宋体"/>
        </w:rPr>
      </w:pPr>
      <w:r>
        <w:rPr>
          <w:rFonts w:ascii="宋体" w:hAnsi="宋体" w:cs="宋体"/>
        </w:rPr>
        <w:t>贵宾接待</w:t>
      </w:r>
      <w:r>
        <w:rPr>
          <w:rFonts w:hint="eastAsia" w:ascii="宋体" w:hAnsi="宋体" w:cs="宋体"/>
        </w:rPr>
        <w:t>服务</w:t>
      </w:r>
    </w:p>
    <w:p w14:paraId="2A3185DC">
      <w:pPr>
        <w:spacing w:line="360" w:lineRule="auto"/>
        <w:ind w:firstLine="420" w:firstLineChars="200"/>
        <w:rPr>
          <w:rFonts w:ascii="宋体" w:hAnsi="宋体" w:cs="宋体"/>
        </w:rPr>
      </w:pPr>
      <w:r>
        <w:rPr>
          <w:rFonts w:ascii="宋体" w:hAnsi="宋体" w:cs="宋体"/>
        </w:rPr>
        <w:t>游客中心服务</w:t>
      </w:r>
    </w:p>
    <w:p w14:paraId="259CE23E">
      <w:pPr>
        <w:spacing w:line="360" w:lineRule="auto"/>
        <w:ind w:firstLine="420" w:firstLineChars="200"/>
        <w:rPr>
          <w:rFonts w:ascii="宋体" w:hAnsi="宋体" w:cs="宋体"/>
        </w:rPr>
      </w:pPr>
      <w:r>
        <w:rPr>
          <w:rFonts w:ascii="宋体" w:hAnsi="宋体" w:cs="宋体"/>
        </w:rPr>
        <w:t>售票服务</w:t>
      </w:r>
    </w:p>
    <w:p w14:paraId="01582CAC">
      <w:pPr>
        <w:spacing w:line="360" w:lineRule="auto"/>
        <w:ind w:firstLine="420" w:firstLineChars="200"/>
        <w:rPr>
          <w:rFonts w:ascii="宋体" w:hAnsi="宋体" w:cs="宋体"/>
        </w:rPr>
      </w:pPr>
      <w:r>
        <w:rPr>
          <w:rFonts w:ascii="宋体" w:hAnsi="宋体" w:cs="宋体"/>
        </w:rPr>
        <w:t>检票服务</w:t>
      </w:r>
    </w:p>
    <w:p w14:paraId="3CE31AAB">
      <w:pPr>
        <w:spacing w:line="360" w:lineRule="auto"/>
        <w:ind w:firstLine="420" w:firstLineChars="200"/>
        <w:rPr>
          <w:rFonts w:ascii="宋体" w:hAnsi="宋体" w:cs="宋体"/>
        </w:rPr>
      </w:pPr>
      <w:r>
        <w:rPr>
          <w:rFonts w:hint="eastAsia" w:ascii="宋体" w:hAnsi="宋体" w:cs="宋体"/>
        </w:rPr>
        <w:t>展览区域服务</w:t>
      </w:r>
    </w:p>
    <w:p w14:paraId="2D2B61CA">
      <w:pPr>
        <w:spacing w:line="360" w:lineRule="auto"/>
        <w:ind w:firstLine="420" w:firstLineChars="200"/>
        <w:rPr>
          <w:rFonts w:ascii="宋体" w:hAnsi="宋体" w:cs="宋体"/>
        </w:rPr>
      </w:pPr>
      <w:r>
        <w:rPr>
          <w:rFonts w:hint="eastAsia" w:ascii="宋体" w:hAnsi="宋体" w:cs="宋体"/>
        </w:rPr>
        <w:t>展品展项服务</w:t>
      </w:r>
    </w:p>
    <w:p w14:paraId="793F1D2B">
      <w:pPr>
        <w:spacing w:line="360" w:lineRule="auto"/>
        <w:ind w:firstLine="420" w:firstLineChars="200"/>
        <w:rPr>
          <w:rFonts w:ascii="宋体" w:hAnsi="宋体" w:cs="宋体"/>
        </w:rPr>
      </w:pPr>
      <w:r>
        <w:rPr>
          <w:rFonts w:ascii="宋体" w:hAnsi="宋体" w:cs="宋体"/>
        </w:rPr>
        <w:t>影院服务</w:t>
      </w:r>
      <w:r>
        <w:rPr>
          <w:rFonts w:hint="eastAsia" w:ascii="宋体" w:hAnsi="宋体" w:cs="宋体"/>
        </w:rPr>
        <w:t>（仅限影院观众厅服务项目，不含电影放映服务）</w:t>
      </w:r>
    </w:p>
    <w:p w14:paraId="6386ABF1">
      <w:pPr>
        <w:spacing w:line="360" w:lineRule="auto"/>
        <w:ind w:firstLine="420" w:firstLineChars="200"/>
        <w:rPr>
          <w:rFonts w:ascii="宋体" w:hAnsi="宋体" w:cs="宋体"/>
        </w:rPr>
      </w:pPr>
      <w:r>
        <w:rPr>
          <w:rFonts w:hint="eastAsia" w:ascii="宋体" w:hAnsi="宋体" w:cs="宋体"/>
        </w:rPr>
        <w:t>临时展区服务</w:t>
      </w:r>
    </w:p>
    <w:p w14:paraId="7DC23E0F">
      <w:pPr>
        <w:spacing w:line="360" w:lineRule="auto"/>
        <w:ind w:firstLine="420" w:firstLineChars="200"/>
        <w:rPr>
          <w:rFonts w:ascii="宋体" w:hAnsi="宋体" w:cs="宋体"/>
        </w:rPr>
      </w:pPr>
      <w:r>
        <w:rPr>
          <w:rFonts w:ascii="宋体" w:hAnsi="宋体" w:cs="宋体"/>
        </w:rPr>
        <w:t>商品零售</w:t>
      </w:r>
      <w:r>
        <w:rPr>
          <w:rFonts w:hint="eastAsia" w:ascii="宋体" w:hAnsi="宋体" w:cs="宋体"/>
        </w:rPr>
        <w:t>（休闲）</w:t>
      </w:r>
      <w:r>
        <w:rPr>
          <w:rFonts w:ascii="宋体" w:hAnsi="宋体" w:cs="宋体"/>
        </w:rPr>
        <w:t>服务</w:t>
      </w:r>
    </w:p>
    <w:p w14:paraId="5EE23751">
      <w:pPr>
        <w:spacing w:line="360" w:lineRule="auto"/>
        <w:ind w:firstLine="420" w:firstLineChars="200"/>
        <w:rPr>
          <w:rFonts w:ascii="宋体" w:hAnsi="宋体" w:cs="宋体"/>
        </w:rPr>
      </w:pPr>
      <w:r>
        <w:rPr>
          <w:rFonts w:hint="eastAsia" w:ascii="宋体" w:hAnsi="宋体" w:cs="宋体"/>
        </w:rPr>
        <w:t>纪念品管理与服务</w:t>
      </w:r>
    </w:p>
    <w:p w14:paraId="06183C18">
      <w:pPr>
        <w:spacing w:line="360" w:lineRule="auto"/>
        <w:ind w:firstLine="420" w:firstLineChars="200"/>
        <w:rPr>
          <w:rFonts w:ascii="宋体" w:hAnsi="宋体" w:cs="宋体"/>
        </w:rPr>
      </w:pPr>
      <w:r>
        <w:rPr>
          <w:rFonts w:ascii="宋体" w:hAnsi="宋体" w:cs="宋体"/>
        </w:rPr>
        <w:t>会务服务</w:t>
      </w:r>
      <w:r>
        <w:rPr>
          <w:rFonts w:hint="eastAsia" w:ascii="宋体" w:hAnsi="宋体" w:cs="宋体"/>
        </w:rPr>
        <w:t>与协助接待服务</w:t>
      </w:r>
    </w:p>
    <w:p w14:paraId="5D480F2D">
      <w:pPr>
        <w:spacing w:line="360" w:lineRule="auto"/>
        <w:ind w:firstLine="420" w:firstLineChars="200"/>
        <w:rPr>
          <w:rFonts w:ascii="宋体" w:hAnsi="宋体" w:cs="宋体"/>
        </w:rPr>
      </w:pPr>
      <w:r>
        <w:rPr>
          <w:rFonts w:ascii="宋体" w:hAnsi="宋体" w:cs="宋体"/>
        </w:rPr>
        <w:t>办公区域服务</w:t>
      </w:r>
    </w:p>
    <w:p w14:paraId="1BC860E4">
      <w:pPr>
        <w:spacing w:line="360" w:lineRule="auto"/>
        <w:ind w:firstLine="420" w:firstLineChars="200"/>
        <w:rPr>
          <w:rFonts w:ascii="宋体" w:hAnsi="宋体" w:cs="宋体"/>
        </w:rPr>
      </w:pPr>
      <w:r>
        <w:rPr>
          <w:rFonts w:ascii="宋体" w:hAnsi="宋体" w:cs="宋体"/>
        </w:rPr>
        <w:t>话务转接服务</w:t>
      </w:r>
    </w:p>
    <w:p w14:paraId="21F24868">
      <w:pPr>
        <w:spacing w:line="360" w:lineRule="auto"/>
        <w:ind w:firstLine="420" w:firstLineChars="200"/>
        <w:rPr>
          <w:rFonts w:ascii="宋体" w:hAnsi="宋体" w:cs="宋体"/>
        </w:rPr>
      </w:pPr>
      <w:r>
        <w:rPr>
          <w:rFonts w:ascii="宋体" w:hAnsi="宋体" w:cs="宋体"/>
        </w:rPr>
        <w:t>大型活动保障与服务</w:t>
      </w:r>
      <w:r>
        <w:rPr>
          <w:rFonts w:hint="eastAsia" w:ascii="宋体" w:hAnsi="宋体" w:cs="宋体"/>
        </w:rPr>
        <w:t>（包括外来单位使用甲方场馆的活动或会务）</w:t>
      </w:r>
    </w:p>
    <w:p w14:paraId="27FEC368">
      <w:pPr>
        <w:spacing w:line="360" w:lineRule="auto"/>
        <w:ind w:firstLine="420" w:firstLineChars="200"/>
        <w:rPr>
          <w:rFonts w:ascii="宋体" w:hAnsi="宋体" w:cs="宋体"/>
        </w:rPr>
      </w:pPr>
      <w:r>
        <w:rPr>
          <w:rFonts w:hint="eastAsia" w:ascii="宋体" w:hAnsi="宋体" w:cs="宋体"/>
        </w:rPr>
        <w:t>配合</w:t>
      </w:r>
      <w:r>
        <w:rPr>
          <w:rFonts w:ascii="宋体" w:hAnsi="宋体" w:cs="宋体"/>
        </w:rPr>
        <w:t>公众教育</w:t>
      </w:r>
      <w:r>
        <w:rPr>
          <w:rFonts w:hint="eastAsia" w:ascii="宋体" w:hAnsi="宋体" w:cs="宋体"/>
        </w:rPr>
        <w:t>服务</w:t>
      </w:r>
    </w:p>
    <w:p w14:paraId="309A6540">
      <w:pPr>
        <w:spacing w:line="360" w:lineRule="auto"/>
        <w:ind w:firstLine="420" w:firstLineChars="200"/>
        <w:rPr>
          <w:rFonts w:ascii="宋体" w:hAnsi="宋体" w:cs="宋体"/>
        </w:rPr>
      </w:pPr>
      <w:r>
        <w:rPr>
          <w:rFonts w:hint="eastAsia" w:ascii="宋体" w:hAnsi="宋体" w:cs="宋体"/>
        </w:rPr>
        <w:t>突发应急管理及处置服务</w:t>
      </w:r>
    </w:p>
    <w:p w14:paraId="68C277F7">
      <w:pPr>
        <w:spacing w:line="360" w:lineRule="auto"/>
        <w:ind w:firstLine="420" w:firstLineChars="200"/>
        <w:rPr>
          <w:rFonts w:ascii="宋体" w:hAnsi="宋体" w:cs="宋体"/>
        </w:rPr>
      </w:pPr>
      <w:r>
        <w:rPr>
          <w:rFonts w:hint="eastAsia" w:ascii="宋体" w:hAnsi="宋体" w:cs="宋体"/>
        </w:rPr>
        <w:t>公众咨询及投诉服务</w:t>
      </w:r>
    </w:p>
    <w:p w14:paraId="262682CA">
      <w:pPr>
        <w:spacing w:line="360" w:lineRule="auto"/>
        <w:ind w:firstLine="420" w:firstLineChars="200"/>
        <w:rPr>
          <w:rFonts w:ascii="宋体" w:hAnsi="宋体" w:cs="宋体"/>
        </w:rPr>
      </w:pPr>
      <w:r>
        <w:rPr>
          <w:rFonts w:ascii="宋体" w:hAnsi="宋体" w:cs="宋体"/>
        </w:rPr>
        <w:t>其它</w:t>
      </w:r>
      <w:r>
        <w:rPr>
          <w:rFonts w:hint="eastAsia" w:ascii="宋体" w:hAnsi="宋体" w:cs="宋体"/>
        </w:rPr>
        <w:t>甲方指定的</w:t>
      </w:r>
      <w:r>
        <w:rPr>
          <w:rFonts w:ascii="宋体" w:hAnsi="宋体" w:cs="宋体"/>
        </w:rPr>
        <w:t>专项</w:t>
      </w:r>
      <w:r>
        <w:rPr>
          <w:rFonts w:hint="eastAsia" w:ascii="宋体" w:hAnsi="宋体" w:cs="宋体"/>
        </w:rPr>
        <w:t>游</w:t>
      </w:r>
      <w:r>
        <w:rPr>
          <w:rFonts w:ascii="宋体" w:hAnsi="宋体" w:cs="宋体"/>
        </w:rPr>
        <w:t>客服务项目</w:t>
      </w:r>
    </w:p>
    <w:p w14:paraId="72E184FD">
      <w:pPr>
        <w:spacing w:line="360" w:lineRule="auto"/>
        <w:ind w:firstLine="420" w:firstLineChars="200"/>
        <w:rPr>
          <w:rFonts w:ascii="宋体" w:hAnsi="宋体" w:cs="宋体"/>
        </w:rPr>
      </w:pPr>
      <w:r>
        <w:rPr>
          <w:rFonts w:hint="eastAsia" w:ascii="宋体" w:hAnsi="宋体" w:cs="宋体"/>
        </w:rPr>
        <w:t>政府或上级单位或甲方指定完成的物业服务内容</w:t>
      </w:r>
    </w:p>
    <w:p w14:paraId="26FAA83B">
      <w:pPr>
        <w:spacing w:line="360" w:lineRule="auto"/>
        <w:ind w:firstLine="420" w:firstLineChars="200"/>
        <w:rPr>
          <w:rFonts w:ascii="宋体" w:hAnsi="宋体" w:cs="宋体"/>
        </w:rPr>
      </w:pPr>
      <w:r>
        <w:rPr>
          <w:rFonts w:hint="eastAsia" w:ascii="宋体" w:hAnsi="宋体" w:cs="宋体"/>
        </w:rPr>
        <w:t>建筑设备设施服务（包括岗位职责及人员配备），包括但不限于如下内容：（建筑物、设施设备管理目标详见附件《建筑物、设施设备管理目标》</w:t>
      </w:r>
    </w:p>
    <w:p w14:paraId="04DB5476">
      <w:pPr>
        <w:spacing w:line="360" w:lineRule="auto"/>
        <w:ind w:firstLine="420" w:firstLineChars="200"/>
        <w:rPr>
          <w:rFonts w:ascii="宋体" w:hAnsi="宋体" w:cs="宋体"/>
        </w:rPr>
      </w:pPr>
      <w:r>
        <w:rPr>
          <w:rFonts w:hint="eastAsia" w:ascii="宋体" w:hAnsi="宋体" w:cs="宋体"/>
        </w:rPr>
        <w:t>基础管理</w:t>
      </w:r>
    </w:p>
    <w:p w14:paraId="6073D817">
      <w:pPr>
        <w:spacing w:line="360" w:lineRule="auto"/>
        <w:ind w:firstLine="420" w:firstLineChars="200"/>
        <w:rPr>
          <w:rFonts w:ascii="宋体" w:hAnsi="宋体" w:cs="宋体"/>
        </w:rPr>
      </w:pPr>
      <w:r>
        <w:rPr>
          <w:rFonts w:ascii="宋体" w:hAnsi="宋体" w:cs="宋体"/>
        </w:rPr>
        <w:t>强电系统运行和维修管理</w:t>
      </w:r>
      <w:r>
        <w:rPr>
          <w:rFonts w:hint="eastAsia" w:ascii="宋体" w:hAnsi="宋体" w:cs="宋体"/>
        </w:rPr>
        <w:t>（包括新增设备设施）</w:t>
      </w:r>
    </w:p>
    <w:p w14:paraId="2E6CAC74">
      <w:pPr>
        <w:spacing w:line="360" w:lineRule="auto"/>
        <w:ind w:firstLine="420" w:firstLineChars="200"/>
        <w:rPr>
          <w:rFonts w:ascii="宋体" w:hAnsi="宋体" w:cs="宋体"/>
        </w:rPr>
      </w:pPr>
      <w:r>
        <w:rPr>
          <w:rFonts w:ascii="宋体" w:hAnsi="宋体" w:cs="宋体"/>
        </w:rPr>
        <w:t>弱电系统运行和维修管理</w:t>
      </w:r>
      <w:r>
        <w:rPr>
          <w:rFonts w:hint="eastAsia" w:ascii="宋体" w:hAnsi="宋体" w:cs="宋体"/>
        </w:rPr>
        <w:t>（包括新增设备设施）</w:t>
      </w:r>
    </w:p>
    <w:p w14:paraId="6D856AF4">
      <w:pPr>
        <w:spacing w:line="360" w:lineRule="auto"/>
        <w:ind w:firstLine="420" w:firstLineChars="200"/>
        <w:rPr>
          <w:rFonts w:ascii="宋体" w:hAnsi="宋体" w:cs="宋体"/>
        </w:rPr>
      </w:pPr>
      <w:r>
        <w:rPr>
          <w:rFonts w:ascii="宋体" w:hAnsi="宋体" w:cs="宋体"/>
        </w:rPr>
        <w:t>空调系统运行和维修管理</w:t>
      </w:r>
      <w:r>
        <w:rPr>
          <w:rFonts w:hint="eastAsia" w:ascii="宋体" w:hAnsi="宋体" w:cs="宋体"/>
        </w:rPr>
        <w:t>（包括新增设备设施）</w:t>
      </w:r>
    </w:p>
    <w:p w14:paraId="2D51FCAC">
      <w:pPr>
        <w:spacing w:line="360" w:lineRule="auto"/>
        <w:ind w:firstLine="420" w:firstLineChars="200"/>
        <w:rPr>
          <w:rFonts w:ascii="宋体" w:hAnsi="宋体" w:cs="宋体"/>
        </w:rPr>
      </w:pPr>
      <w:r>
        <w:rPr>
          <w:rFonts w:ascii="宋体" w:hAnsi="宋体" w:cs="宋体"/>
        </w:rPr>
        <w:t>给排水系统运行和维修管理</w:t>
      </w:r>
      <w:r>
        <w:rPr>
          <w:rFonts w:hint="eastAsia" w:ascii="宋体" w:hAnsi="宋体" w:cs="宋体"/>
        </w:rPr>
        <w:t>（包括新增设备设施）</w:t>
      </w:r>
    </w:p>
    <w:p w14:paraId="2657C7F6">
      <w:pPr>
        <w:spacing w:line="360" w:lineRule="auto"/>
        <w:ind w:firstLine="420" w:firstLineChars="200"/>
        <w:rPr>
          <w:rFonts w:ascii="宋体" w:hAnsi="宋体" w:cs="宋体"/>
        </w:rPr>
      </w:pPr>
      <w:r>
        <w:rPr>
          <w:rFonts w:hint="eastAsia" w:ascii="宋体" w:hAnsi="宋体" w:cs="宋体"/>
        </w:rPr>
        <w:t>污水系统运行和维修管理（包括新增设备设施）</w:t>
      </w:r>
    </w:p>
    <w:p w14:paraId="79D3E7E7">
      <w:pPr>
        <w:spacing w:line="360" w:lineRule="auto"/>
        <w:ind w:firstLine="420" w:firstLineChars="200"/>
        <w:rPr>
          <w:rFonts w:ascii="宋体" w:hAnsi="宋体" w:cs="宋体"/>
        </w:rPr>
      </w:pPr>
      <w:r>
        <w:rPr>
          <w:rFonts w:hint="eastAsia" w:ascii="宋体" w:hAnsi="宋体" w:cs="宋体"/>
        </w:rPr>
        <w:t>消防系统管理（包括新增设备设施）</w:t>
      </w:r>
    </w:p>
    <w:p w14:paraId="35874A43">
      <w:pPr>
        <w:spacing w:line="360" w:lineRule="auto"/>
        <w:ind w:firstLine="420" w:firstLineChars="200"/>
        <w:rPr>
          <w:rFonts w:ascii="宋体" w:hAnsi="宋体" w:cs="宋体"/>
        </w:rPr>
      </w:pPr>
      <w:r>
        <w:rPr>
          <w:rFonts w:ascii="宋体" w:hAnsi="宋体" w:cs="宋体"/>
        </w:rPr>
        <w:t>建筑、装饰</w:t>
      </w:r>
      <w:r>
        <w:rPr>
          <w:rFonts w:hint="eastAsia" w:ascii="宋体" w:hAnsi="宋体" w:cs="宋体"/>
        </w:rPr>
        <w:t>、装修</w:t>
      </w:r>
      <w:r>
        <w:rPr>
          <w:rFonts w:ascii="宋体" w:hAnsi="宋体" w:cs="宋体"/>
        </w:rPr>
        <w:t>维修管理</w:t>
      </w:r>
      <w:r>
        <w:rPr>
          <w:rFonts w:hint="eastAsia" w:ascii="宋体" w:hAnsi="宋体" w:cs="宋体"/>
        </w:rPr>
        <w:t>养护</w:t>
      </w:r>
    </w:p>
    <w:p w14:paraId="10EB2657">
      <w:pPr>
        <w:spacing w:line="360" w:lineRule="auto"/>
        <w:ind w:firstLine="420" w:firstLineChars="200"/>
        <w:rPr>
          <w:rFonts w:ascii="宋体" w:hAnsi="宋体" w:cs="宋体"/>
        </w:rPr>
      </w:pPr>
      <w:r>
        <w:rPr>
          <w:rFonts w:ascii="宋体" w:hAnsi="宋体" w:cs="宋体"/>
        </w:rPr>
        <w:t>电梯运行和维修管理</w:t>
      </w:r>
    </w:p>
    <w:p w14:paraId="08B94EB0">
      <w:pPr>
        <w:spacing w:line="360" w:lineRule="auto"/>
        <w:ind w:firstLine="420" w:firstLineChars="200"/>
        <w:rPr>
          <w:rFonts w:ascii="宋体" w:hAnsi="宋体" w:cs="宋体"/>
        </w:rPr>
      </w:pPr>
      <w:r>
        <w:rPr>
          <w:rFonts w:hint="eastAsia" w:ascii="宋体" w:hAnsi="宋体" w:cs="宋体"/>
        </w:rPr>
        <w:t>展区设备管理（包括新增设备设施）</w:t>
      </w:r>
    </w:p>
    <w:p w14:paraId="3A2014C4">
      <w:pPr>
        <w:spacing w:line="360" w:lineRule="auto"/>
        <w:ind w:firstLine="420" w:firstLineChars="200"/>
        <w:rPr>
          <w:rFonts w:ascii="宋体" w:hAnsi="宋体" w:cs="宋体"/>
        </w:rPr>
      </w:pPr>
      <w:r>
        <w:rPr>
          <w:rFonts w:hint="eastAsia" w:ascii="宋体" w:hAnsi="宋体" w:cs="宋体"/>
        </w:rPr>
        <w:t>设备设施运行管理和维修养护管理</w:t>
      </w:r>
    </w:p>
    <w:p w14:paraId="34455DCC">
      <w:pPr>
        <w:spacing w:line="360" w:lineRule="auto"/>
        <w:ind w:firstLine="420" w:firstLineChars="200"/>
        <w:rPr>
          <w:rFonts w:ascii="宋体" w:hAnsi="宋体" w:cs="宋体"/>
        </w:rPr>
      </w:pPr>
      <w:r>
        <w:rPr>
          <w:rFonts w:hint="eastAsia" w:ascii="宋体" w:hAnsi="宋体" w:cs="宋体"/>
        </w:rPr>
        <w:t>建筑设备设施生命周期管理</w:t>
      </w:r>
    </w:p>
    <w:p w14:paraId="38A752C4">
      <w:pPr>
        <w:spacing w:line="360" w:lineRule="auto"/>
        <w:ind w:firstLine="420" w:firstLineChars="200"/>
        <w:rPr>
          <w:rFonts w:ascii="宋体" w:hAnsi="宋体" w:cs="宋体"/>
        </w:rPr>
      </w:pPr>
      <w:r>
        <w:rPr>
          <w:rFonts w:ascii="宋体" w:hAnsi="宋体" w:cs="宋体"/>
        </w:rPr>
        <w:t>计算机及网络系统运行和维修管理</w:t>
      </w:r>
    </w:p>
    <w:p w14:paraId="6DE6C150">
      <w:pPr>
        <w:spacing w:line="360" w:lineRule="auto"/>
        <w:ind w:firstLine="420" w:firstLineChars="200"/>
        <w:rPr>
          <w:rFonts w:ascii="宋体" w:hAnsi="宋体" w:cs="宋体"/>
        </w:rPr>
      </w:pPr>
      <w:r>
        <w:rPr>
          <w:rFonts w:ascii="宋体" w:hAnsi="宋体" w:cs="宋体"/>
        </w:rPr>
        <w:t>网站建设及维护管理</w:t>
      </w:r>
    </w:p>
    <w:p w14:paraId="52821328">
      <w:pPr>
        <w:spacing w:line="360" w:lineRule="auto"/>
        <w:ind w:firstLine="420" w:firstLineChars="200"/>
        <w:rPr>
          <w:rFonts w:ascii="宋体" w:hAnsi="宋体" w:cs="宋体"/>
        </w:rPr>
      </w:pPr>
      <w:r>
        <w:rPr>
          <w:rFonts w:hint="eastAsia" w:ascii="宋体" w:hAnsi="宋体" w:cs="宋体"/>
        </w:rPr>
        <w:t>节</w:t>
      </w:r>
      <w:r>
        <w:rPr>
          <w:rFonts w:ascii="宋体" w:hAnsi="宋体" w:cs="宋体"/>
        </w:rPr>
        <w:t>能管理</w:t>
      </w:r>
    </w:p>
    <w:p w14:paraId="7023B0A3">
      <w:pPr>
        <w:spacing w:line="360" w:lineRule="auto"/>
        <w:ind w:firstLine="420" w:firstLineChars="200"/>
        <w:rPr>
          <w:rFonts w:ascii="宋体" w:hAnsi="宋体" w:cs="宋体"/>
        </w:rPr>
      </w:pPr>
      <w:r>
        <w:rPr>
          <w:rFonts w:ascii="宋体" w:hAnsi="宋体" w:cs="宋体"/>
        </w:rPr>
        <w:t>内部二次装修、展项更新等施工管理</w:t>
      </w:r>
    </w:p>
    <w:p w14:paraId="3E012DE2">
      <w:pPr>
        <w:spacing w:line="360" w:lineRule="auto"/>
        <w:ind w:firstLine="420" w:firstLineChars="200"/>
        <w:rPr>
          <w:rFonts w:ascii="宋体" w:hAnsi="宋体" w:cs="宋体"/>
        </w:rPr>
      </w:pPr>
      <w:r>
        <w:rPr>
          <w:rFonts w:hint="eastAsia" w:ascii="宋体" w:hAnsi="宋体" w:cs="宋体"/>
        </w:rPr>
        <w:t>中央控制室管理</w:t>
      </w:r>
    </w:p>
    <w:p w14:paraId="00A53F28">
      <w:pPr>
        <w:spacing w:line="360" w:lineRule="auto"/>
        <w:ind w:firstLine="420" w:firstLineChars="200"/>
        <w:rPr>
          <w:rFonts w:ascii="宋体" w:hAnsi="宋体" w:cs="宋体"/>
        </w:rPr>
      </w:pPr>
      <w:r>
        <w:rPr>
          <w:rFonts w:hint="eastAsia" w:ascii="宋体" w:hAnsi="宋体" w:cs="宋体"/>
        </w:rPr>
        <w:t>各类通用设备管理</w:t>
      </w:r>
    </w:p>
    <w:p w14:paraId="699239EA">
      <w:pPr>
        <w:spacing w:line="360" w:lineRule="auto"/>
        <w:ind w:firstLine="420" w:firstLineChars="200"/>
        <w:rPr>
          <w:rFonts w:ascii="宋体" w:hAnsi="宋体" w:cs="宋体"/>
        </w:rPr>
      </w:pPr>
      <w:r>
        <w:rPr>
          <w:rFonts w:hint="eastAsia" w:ascii="宋体" w:hAnsi="宋体" w:cs="宋体"/>
        </w:rPr>
        <w:t>突发事件处置与管理</w:t>
      </w:r>
    </w:p>
    <w:p w14:paraId="4093EE41">
      <w:pPr>
        <w:spacing w:line="360" w:lineRule="auto"/>
        <w:ind w:firstLine="420" w:firstLineChars="200"/>
        <w:rPr>
          <w:rFonts w:ascii="宋体" w:hAnsi="宋体" w:cs="宋体"/>
        </w:rPr>
      </w:pPr>
      <w:r>
        <w:rPr>
          <w:rFonts w:ascii="宋体" w:hAnsi="宋体" w:cs="宋体"/>
        </w:rPr>
        <w:t>其他专项服务项目（各类会展、活动保障与服务等）</w:t>
      </w:r>
    </w:p>
    <w:p w14:paraId="131F840E">
      <w:pPr>
        <w:spacing w:line="360" w:lineRule="auto"/>
        <w:ind w:firstLine="420" w:firstLineChars="200"/>
        <w:rPr>
          <w:rFonts w:ascii="宋体" w:hAnsi="宋体" w:cs="宋体"/>
        </w:rPr>
      </w:pPr>
      <w:r>
        <w:rPr>
          <w:rFonts w:hint="eastAsia" w:ascii="宋体" w:hAnsi="宋体" w:cs="宋体"/>
        </w:rPr>
        <w:t>安全保卫服务（包括岗位职责及人员配备），包括但不限于如下内容：</w:t>
      </w:r>
    </w:p>
    <w:p w14:paraId="468C7DB2">
      <w:pPr>
        <w:spacing w:line="360" w:lineRule="auto"/>
        <w:ind w:firstLine="420" w:firstLineChars="200"/>
        <w:rPr>
          <w:rFonts w:ascii="宋体" w:hAnsi="宋体" w:cs="宋体"/>
        </w:rPr>
      </w:pPr>
      <w:r>
        <w:rPr>
          <w:rFonts w:hint="eastAsia" w:ascii="宋体" w:hAnsi="宋体" w:cs="宋体"/>
        </w:rPr>
        <w:t>治安管理</w:t>
      </w:r>
    </w:p>
    <w:p w14:paraId="1F85A1E6">
      <w:pPr>
        <w:spacing w:line="360" w:lineRule="auto"/>
        <w:ind w:firstLine="420" w:firstLineChars="200"/>
        <w:rPr>
          <w:rFonts w:ascii="宋体" w:hAnsi="宋体" w:cs="宋体"/>
        </w:rPr>
      </w:pPr>
      <w:r>
        <w:rPr>
          <w:rFonts w:ascii="宋体" w:hAnsi="宋体" w:cs="宋体"/>
        </w:rPr>
        <w:t>消防管理</w:t>
      </w:r>
    </w:p>
    <w:p w14:paraId="7154CCF8">
      <w:pPr>
        <w:spacing w:line="360" w:lineRule="auto"/>
        <w:ind w:firstLine="420" w:firstLineChars="200"/>
        <w:rPr>
          <w:rFonts w:ascii="宋体" w:hAnsi="宋体" w:cs="宋体"/>
        </w:rPr>
      </w:pPr>
      <w:r>
        <w:rPr>
          <w:rFonts w:ascii="宋体" w:hAnsi="宋体" w:cs="宋体"/>
        </w:rPr>
        <w:t>交通管理</w:t>
      </w:r>
    </w:p>
    <w:p w14:paraId="1F4EB0FF">
      <w:pPr>
        <w:spacing w:line="360" w:lineRule="auto"/>
        <w:ind w:firstLine="420" w:firstLineChars="200"/>
        <w:rPr>
          <w:rFonts w:ascii="宋体" w:hAnsi="宋体" w:cs="宋体"/>
        </w:rPr>
      </w:pPr>
      <w:r>
        <w:rPr>
          <w:rFonts w:ascii="宋体" w:hAnsi="宋体" w:cs="宋体"/>
        </w:rPr>
        <w:t>安全生产管理</w:t>
      </w:r>
    </w:p>
    <w:p w14:paraId="1FDBBFF0">
      <w:pPr>
        <w:spacing w:line="360" w:lineRule="auto"/>
        <w:ind w:firstLine="420" w:firstLineChars="200"/>
        <w:rPr>
          <w:rFonts w:ascii="宋体" w:hAnsi="宋体" w:cs="宋体"/>
        </w:rPr>
      </w:pPr>
      <w:r>
        <w:rPr>
          <w:rFonts w:ascii="宋体" w:hAnsi="宋体" w:cs="宋体"/>
        </w:rPr>
        <w:t>高峰客流管理</w:t>
      </w:r>
    </w:p>
    <w:p w14:paraId="485A3DC3">
      <w:pPr>
        <w:spacing w:line="360" w:lineRule="auto"/>
        <w:ind w:firstLine="420" w:firstLineChars="200"/>
        <w:rPr>
          <w:rFonts w:ascii="宋体" w:hAnsi="宋体" w:cs="宋体"/>
        </w:rPr>
      </w:pPr>
      <w:r>
        <w:rPr>
          <w:rFonts w:ascii="宋体" w:hAnsi="宋体" w:cs="宋体"/>
        </w:rPr>
        <w:t>专项活动安全保障</w:t>
      </w:r>
    </w:p>
    <w:p w14:paraId="63B4EF77">
      <w:pPr>
        <w:spacing w:line="360" w:lineRule="auto"/>
        <w:ind w:firstLine="420" w:firstLineChars="200"/>
        <w:rPr>
          <w:rFonts w:ascii="宋体" w:hAnsi="宋体" w:cs="宋体"/>
        </w:rPr>
      </w:pPr>
      <w:r>
        <w:rPr>
          <w:rFonts w:ascii="宋体" w:hAnsi="宋体" w:cs="宋体"/>
        </w:rPr>
        <w:t>藏品库房及重点区域管理</w:t>
      </w:r>
    </w:p>
    <w:p w14:paraId="34E3E617">
      <w:pPr>
        <w:spacing w:line="360" w:lineRule="auto"/>
        <w:ind w:firstLine="420" w:firstLineChars="200"/>
        <w:rPr>
          <w:rFonts w:ascii="宋体" w:hAnsi="宋体" w:cs="宋体"/>
        </w:rPr>
      </w:pPr>
      <w:r>
        <w:rPr>
          <w:rFonts w:ascii="宋体" w:hAnsi="宋体" w:cs="宋体"/>
        </w:rPr>
        <w:t>危险物品管理</w:t>
      </w:r>
    </w:p>
    <w:p w14:paraId="39A48C47">
      <w:pPr>
        <w:spacing w:line="360" w:lineRule="auto"/>
        <w:ind w:firstLine="420" w:firstLineChars="200"/>
        <w:rPr>
          <w:rFonts w:ascii="宋体" w:hAnsi="宋体" w:cs="宋体"/>
        </w:rPr>
      </w:pPr>
      <w:r>
        <w:rPr>
          <w:rFonts w:ascii="宋体" w:hAnsi="宋体" w:cs="宋体"/>
        </w:rPr>
        <w:t>防台防汛</w:t>
      </w:r>
    </w:p>
    <w:p w14:paraId="517F8F87">
      <w:pPr>
        <w:spacing w:line="360" w:lineRule="auto"/>
        <w:ind w:firstLine="420" w:firstLineChars="200"/>
        <w:rPr>
          <w:rFonts w:ascii="宋体" w:hAnsi="宋体" w:cs="宋体"/>
        </w:rPr>
      </w:pPr>
      <w:r>
        <w:rPr>
          <w:rFonts w:hint="eastAsia" w:ascii="宋体" w:hAnsi="宋体" w:cs="宋体"/>
        </w:rPr>
        <w:t>突发事件处置与管理</w:t>
      </w:r>
    </w:p>
    <w:p w14:paraId="7F3CFB85">
      <w:pPr>
        <w:spacing w:line="360" w:lineRule="auto"/>
        <w:ind w:firstLine="420" w:firstLineChars="200"/>
        <w:rPr>
          <w:rFonts w:ascii="宋体" w:hAnsi="宋体" w:cs="宋体"/>
        </w:rPr>
      </w:pPr>
      <w:r>
        <w:rPr>
          <w:rFonts w:hint="eastAsia" w:ascii="宋体" w:hAnsi="宋体" w:cs="宋体"/>
        </w:rPr>
        <w:t>甲方要求的其他安全保障工作</w:t>
      </w:r>
    </w:p>
    <w:p w14:paraId="30FB6B28">
      <w:pPr>
        <w:spacing w:line="360" w:lineRule="auto"/>
        <w:ind w:firstLine="420" w:firstLineChars="200"/>
        <w:rPr>
          <w:rFonts w:ascii="宋体" w:hAnsi="宋体" w:cs="宋体"/>
        </w:rPr>
      </w:pPr>
      <w:r>
        <w:rPr>
          <w:rFonts w:hint="eastAsia" w:ascii="宋体" w:hAnsi="宋体" w:cs="宋体"/>
        </w:rPr>
        <w:t>环境卫生服务（包括岗位职责及人员配备），包括但不限于如下内容：</w:t>
      </w:r>
    </w:p>
    <w:p w14:paraId="024CE1C9">
      <w:pPr>
        <w:spacing w:line="360" w:lineRule="auto"/>
        <w:ind w:firstLine="420" w:firstLineChars="200"/>
        <w:rPr>
          <w:rFonts w:ascii="宋体" w:hAnsi="宋体" w:cs="宋体"/>
        </w:rPr>
      </w:pPr>
      <w:r>
        <w:rPr>
          <w:rFonts w:hint="eastAsia" w:ascii="宋体" w:hAnsi="宋体" w:cs="宋体"/>
        </w:rPr>
        <w:t>室内保洁</w:t>
      </w:r>
    </w:p>
    <w:p w14:paraId="3027E5EB">
      <w:pPr>
        <w:spacing w:line="360" w:lineRule="auto"/>
        <w:ind w:firstLine="420" w:firstLineChars="200"/>
        <w:rPr>
          <w:rFonts w:ascii="宋体" w:hAnsi="宋体" w:cs="宋体"/>
        </w:rPr>
      </w:pPr>
      <w:r>
        <w:rPr>
          <w:rFonts w:hint="eastAsia" w:ascii="宋体" w:hAnsi="宋体" w:cs="宋体"/>
        </w:rPr>
        <w:t>室外保洁</w:t>
      </w:r>
    </w:p>
    <w:p w14:paraId="318A5026">
      <w:pPr>
        <w:spacing w:line="360" w:lineRule="auto"/>
        <w:ind w:firstLine="420" w:firstLineChars="200"/>
        <w:rPr>
          <w:rFonts w:ascii="宋体" w:hAnsi="宋体" w:cs="宋体"/>
        </w:rPr>
      </w:pPr>
      <w:r>
        <w:rPr>
          <w:rFonts w:hint="eastAsia" w:ascii="宋体" w:hAnsi="宋体" w:cs="宋体"/>
        </w:rPr>
        <w:t>外立面保洁</w:t>
      </w:r>
    </w:p>
    <w:p w14:paraId="10D0DA0E">
      <w:pPr>
        <w:spacing w:line="360" w:lineRule="auto"/>
        <w:ind w:firstLine="420" w:firstLineChars="200"/>
        <w:rPr>
          <w:rFonts w:ascii="宋体" w:hAnsi="宋体" w:cs="宋体"/>
        </w:rPr>
      </w:pPr>
      <w:r>
        <w:rPr>
          <w:rFonts w:hint="eastAsia" w:ascii="宋体" w:hAnsi="宋体" w:cs="宋体"/>
        </w:rPr>
        <w:t>绿化养护</w:t>
      </w:r>
    </w:p>
    <w:p w14:paraId="0E04F405">
      <w:pPr>
        <w:spacing w:line="360" w:lineRule="auto"/>
        <w:ind w:firstLine="420" w:firstLineChars="200"/>
        <w:rPr>
          <w:rFonts w:ascii="宋体" w:hAnsi="宋体" w:cs="宋体"/>
        </w:rPr>
      </w:pPr>
      <w:r>
        <w:rPr>
          <w:rFonts w:hint="eastAsia" w:ascii="宋体" w:hAnsi="宋体" w:cs="宋体"/>
        </w:rPr>
        <w:t>垃圾清运</w:t>
      </w:r>
    </w:p>
    <w:p w14:paraId="63C28EEA">
      <w:pPr>
        <w:spacing w:line="360" w:lineRule="auto"/>
        <w:ind w:firstLine="420" w:firstLineChars="200"/>
        <w:rPr>
          <w:rFonts w:ascii="宋体" w:hAnsi="宋体" w:cs="宋体"/>
        </w:rPr>
      </w:pPr>
      <w:r>
        <w:rPr>
          <w:rFonts w:ascii="宋体" w:hAnsi="宋体" w:cs="宋体"/>
        </w:rPr>
        <w:t>虫害治理</w:t>
      </w:r>
      <w:r>
        <w:rPr>
          <w:rFonts w:hint="eastAsia" w:ascii="宋体" w:hAnsi="宋体" w:cs="宋体"/>
        </w:rPr>
        <w:t>（监管）</w:t>
      </w:r>
    </w:p>
    <w:p w14:paraId="2F6A49B1">
      <w:pPr>
        <w:spacing w:line="360" w:lineRule="auto"/>
        <w:ind w:firstLine="420" w:firstLineChars="200"/>
        <w:rPr>
          <w:rFonts w:ascii="宋体" w:hAnsi="宋体" w:cs="宋体"/>
        </w:rPr>
      </w:pPr>
      <w:r>
        <w:rPr>
          <w:rFonts w:ascii="宋体" w:hAnsi="宋体" w:cs="宋体"/>
        </w:rPr>
        <w:t>卫生防疫</w:t>
      </w:r>
    </w:p>
    <w:p w14:paraId="7A9D9ED0">
      <w:pPr>
        <w:spacing w:line="360" w:lineRule="auto"/>
        <w:ind w:firstLine="420" w:firstLineChars="200"/>
        <w:rPr>
          <w:rFonts w:ascii="宋体" w:hAnsi="宋体" w:cs="宋体"/>
        </w:rPr>
      </w:pPr>
      <w:r>
        <w:rPr>
          <w:rFonts w:hint="eastAsia" w:ascii="宋体" w:hAnsi="宋体" w:cs="宋体"/>
        </w:rPr>
        <w:t>环境保护</w:t>
      </w:r>
    </w:p>
    <w:p w14:paraId="2589B279">
      <w:pPr>
        <w:spacing w:line="360" w:lineRule="auto"/>
        <w:ind w:firstLine="420" w:firstLineChars="200"/>
        <w:rPr>
          <w:rFonts w:ascii="宋体" w:hAnsi="宋体" w:cs="宋体"/>
        </w:rPr>
      </w:pPr>
      <w:r>
        <w:rPr>
          <w:rFonts w:hint="eastAsia" w:ascii="宋体" w:hAnsi="宋体" w:cs="宋体"/>
        </w:rPr>
        <w:t>搬运</w:t>
      </w:r>
    </w:p>
    <w:p w14:paraId="384C8B5B">
      <w:pPr>
        <w:spacing w:line="360" w:lineRule="auto"/>
        <w:ind w:firstLine="420" w:firstLineChars="200"/>
        <w:rPr>
          <w:rFonts w:ascii="宋体" w:hAnsi="宋体" w:cs="宋体"/>
        </w:rPr>
      </w:pPr>
      <w:r>
        <w:rPr>
          <w:rFonts w:hint="eastAsia" w:ascii="宋体" w:hAnsi="宋体" w:cs="宋体"/>
        </w:rPr>
        <w:t>其他环保工作</w:t>
      </w:r>
    </w:p>
    <w:p w14:paraId="207191FA">
      <w:pPr>
        <w:spacing w:line="360" w:lineRule="auto"/>
        <w:ind w:firstLine="420" w:firstLineChars="200"/>
        <w:rPr>
          <w:rFonts w:ascii="宋体" w:hAnsi="宋体" w:cs="宋体"/>
        </w:rPr>
      </w:pPr>
      <w:r>
        <w:rPr>
          <w:rFonts w:hint="eastAsia" w:ascii="宋体" w:hAnsi="宋体" w:cs="宋体"/>
        </w:rPr>
        <w:t>招标方根据运营管理及社会公众服务等需要及临时增加的各类服务需求，投标方应予提供。该等服务已包含在总费用中，招标方不另支付费用。</w:t>
      </w:r>
    </w:p>
    <w:p w14:paraId="01E63A83">
      <w:pPr>
        <w:spacing w:line="360" w:lineRule="auto"/>
        <w:rPr>
          <w:rFonts w:ascii="宋体"/>
          <w:b/>
          <w:bCs/>
        </w:rPr>
      </w:pPr>
      <w:r>
        <w:rPr>
          <w:rFonts w:ascii="宋体" w:hAnsi="宋体" w:cs="宋体"/>
          <w:b/>
          <w:bCs/>
        </w:rPr>
        <w:t>2</w:t>
      </w:r>
      <w:r>
        <w:rPr>
          <w:rFonts w:hint="eastAsia" w:ascii="宋体" w:hAnsi="宋体" w:cs="宋体"/>
          <w:b/>
          <w:bCs/>
        </w:rPr>
        <w:t>、物业管理总体要求</w:t>
      </w:r>
    </w:p>
    <w:p w14:paraId="6DFF8BD7">
      <w:pPr>
        <w:spacing w:line="360" w:lineRule="auto"/>
        <w:ind w:firstLine="359" w:firstLineChars="171"/>
        <w:rPr>
          <w:rFonts w:ascii="宋体"/>
        </w:rPr>
      </w:pPr>
      <w:r>
        <w:rPr>
          <w:rFonts w:ascii="宋体" w:hAnsi="宋体" w:cs="宋体"/>
        </w:rPr>
        <w:t>2.1</w:t>
      </w:r>
      <w:r>
        <w:rPr>
          <w:rFonts w:hint="eastAsia" w:ascii="宋体" w:hAnsi="宋体" w:cs="宋体"/>
        </w:rPr>
        <w:t>中海博是国家一级博物馆、全国文明单位，属国家公共服务场所，集中了众多科学性、参与性、观赏性的展品和历史文物。是航海藏品收藏、科研、展示、教育的重要场所，因此对安全性、规范性、服务性要求严格。物业管理服务要高标准、高档次、规范性。</w:t>
      </w:r>
    </w:p>
    <w:p w14:paraId="2BF9AD71">
      <w:pPr>
        <w:spacing w:line="360" w:lineRule="auto"/>
        <w:ind w:firstLine="359" w:firstLineChars="171"/>
        <w:rPr>
          <w:rFonts w:ascii="宋体"/>
        </w:rPr>
      </w:pPr>
      <w:r>
        <w:rPr>
          <w:rFonts w:ascii="宋体" w:hAnsi="宋体" w:cs="宋体"/>
        </w:rPr>
        <w:t>2.2</w:t>
      </w:r>
      <w:r>
        <w:rPr>
          <w:rFonts w:hint="eastAsia" w:ascii="宋体" w:hAnsi="宋体" w:cs="宋体"/>
        </w:rPr>
        <w:t>投标人组建派出的上海中国航海博物馆物业管理机构服从采购人统一管理。</w:t>
      </w:r>
    </w:p>
    <w:p w14:paraId="4748E2B4">
      <w:pPr>
        <w:spacing w:line="360" w:lineRule="auto"/>
        <w:ind w:firstLine="359" w:firstLineChars="171"/>
        <w:rPr>
          <w:rFonts w:ascii="宋体"/>
        </w:rPr>
      </w:pPr>
      <w:r>
        <w:rPr>
          <w:rFonts w:ascii="宋体" w:hAnsi="宋体" w:cs="宋体"/>
        </w:rPr>
        <w:t>2.3</w:t>
      </w:r>
      <w:r>
        <w:rPr>
          <w:rFonts w:hint="eastAsia" w:ascii="宋体" w:hAnsi="宋体" w:cs="宋体"/>
        </w:rPr>
        <w:t>投标人对博物馆的物业管理方案、组织架构、人员录用等建立的各项规章制度，在实施前要报告采购人，采购人有审核权。</w:t>
      </w:r>
    </w:p>
    <w:p w14:paraId="20434559">
      <w:pPr>
        <w:spacing w:line="360" w:lineRule="auto"/>
        <w:ind w:firstLine="359" w:firstLineChars="171"/>
        <w:rPr>
          <w:rFonts w:ascii="宋体" w:hAnsi="宋体" w:cs="宋体"/>
        </w:rPr>
      </w:pPr>
      <w:r>
        <w:rPr>
          <w:rFonts w:ascii="宋体" w:hAnsi="宋体" w:cs="宋体"/>
        </w:rPr>
        <w:t>2.4</w:t>
      </w:r>
      <w:r>
        <w:rPr>
          <w:rFonts w:hint="eastAsia" w:ascii="宋体" w:hAnsi="宋体" w:cs="宋体"/>
        </w:rPr>
        <w:t>采购人对一些重要岗位的设置、人员录用与管理和一些重要的管理决策有直接参与权与审批权，采购人如认为有必要、可查阅投标人的财务状况及财务报表。</w:t>
      </w:r>
    </w:p>
    <w:p w14:paraId="21062010">
      <w:pPr>
        <w:spacing w:line="360" w:lineRule="auto"/>
        <w:ind w:firstLine="359" w:firstLineChars="171"/>
        <w:rPr>
          <w:rFonts w:ascii="宋体"/>
        </w:rPr>
      </w:pPr>
      <w:r>
        <w:rPr>
          <w:rFonts w:ascii="宋体" w:hAnsi="宋体" w:cs="宋体"/>
        </w:rPr>
        <w:t>2.5</w:t>
      </w:r>
      <w:r>
        <w:rPr>
          <w:rFonts w:hint="eastAsia" w:ascii="宋体" w:hAnsi="宋体" w:cs="宋体"/>
        </w:rPr>
        <w:t>负责采购人范围内的全天</w:t>
      </w:r>
      <w:r>
        <w:rPr>
          <w:rFonts w:ascii="宋体" w:hAnsi="宋体" w:cs="宋体"/>
        </w:rPr>
        <w:t>24</w:t>
      </w:r>
      <w:r>
        <w:rPr>
          <w:rFonts w:hint="eastAsia" w:ascii="宋体" w:hAnsi="宋体" w:cs="宋体"/>
        </w:rPr>
        <w:t>小时的设施设备维护、安全保卫、员工及观众人身安全、财产文物安全、保洁、绿化等有关物业方面的管理服务，妥善解决和处置各类突发事件。</w:t>
      </w:r>
    </w:p>
    <w:p w14:paraId="568E4744">
      <w:pPr>
        <w:spacing w:line="360" w:lineRule="auto"/>
        <w:ind w:firstLine="359" w:firstLineChars="171"/>
        <w:rPr>
          <w:rFonts w:ascii="宋体"/>
        </w:rPr>
      </w:pPr>
      <w:r>
        <w:rPr>
          <w:rFonts w:ascii="宋体" w:hAnsi="宋体" w:cs="宋体"/>
        </w:rPr>
        <w:t>2.6</w:t>
      </w:r>
      <w:r>
        <w:rPr>
          <w:rFonts w:hint="eastAsia" w:ascii="宋体" w:hAnsi="宋体" w:cs="宋体"/>
        </w:rPr>
        <w:t>在处理特殊事件和紧急、突发事故时，采购人对投标人组建派出的物业管理机构人员有直接指挥权。</w:t>
      </w:r>
    </w:p>
    <w:p w14:paraId="4D75352E">
      <w:pPr>
        <w:spacing w:line="360" w:lineRule="auto"/>
        <w:ind w:firstLine="359" w:firstLineChars="171"/>
        <w:rPr>
          <w:rFonts w:ascii="宋体"/>
        </w:rPr>
      </w:pPr>
      <w:r>
        <w:rPr>
          <w:rFonts w:ascii="宋体" w:hAnsi="宋体" w:cs="宋体"/>
        </w:rPr>
        <w:t>2.7</w:t>
      </w:r>
      <w:r>
        <w:rPr>
          <w:rFonts w:hint="eastAsia" w:ascii="宋体" w:hAnsi="宋体" w:cs="宋体"/>
        </w:rPr>
        <w:t>投标人员按岗位要求统一着装、言行规范，要注意仪容仪表、公众形象，一些公众岗位录用人员形象、身高要符合本采购需求的要求。工作服以每三年为一个更新周期，工作服的样式需满足采购人的需求。</w:t>
      </w:r>
    </w:p>
    <w:p w14:paraId="2F7BB11C">
      <w:pPr>
        <w:spacing w:line="360" w:lineRule="auto"/>
        <w:ind w:firstLine="462" w:firstLineChars="220"/>
        <w:rPr>
          <w:rFonts w:ascii="宋体"/>
        </w:rPr>
      </w:pPr>
      <w:r>
        <w:rPr>
          <w:rFonts w:ascii="宋体" w:hAnsi="宋体" w:cs="宋体"/>
        </w:rPr>
        <w:t>2.8</w:t>
      </w:r>
      <w:r>
        <w:rPr>
          <w:rFonts w:hint="eastAsia" w:ascii="宋体" w:hAnsi="宋体" w:cs="宋体"/>
        </w:rPr>
        <w:t>投标人在做好工作的同时，有责任向采购人提供合理化建议，以提高管理效率和管理质量。</w:t>
      </w:r>
    </w:p>
    <w:p w14:paraId="0635224B">
      <w:pPr>
        <w:spacing w:line="360" w:lineRule="auto"/>
        <w:ind w:firstLine="462" w:firstLineChars="220"/>
        <w:rPr>
          <w:rFonts w:ascii="宋体"/>
        </w:rPr>
      </w:pPr>
      <w:r>
        <w:rPr>
          <w:rFonts w:ascii="宋体" w:hAnsi="宋体" w:cs="宋体"/>
        </w:rPr>
        <w:t>2.9</w:t>
      </w:r>
      <w:r>
        <w:rPr>
          <w:rFonts w:hint="eastAsia" w:ascii="宋体" w:hAnsi="宋体" w:cs="宋体"/>
        </w:rPr>
        <w:t>采购人举办的大型接待和展览活动，投标人要适当增加人员满足各项活动的服务管理要求，且不向采购人提出另外增加费用。</w:t>
      </w:r>
    </w:p>
    <w:p w14:paraId="6EF9BF3E">
      <w:pPr>
        <w:spacing w:line="360" w:lineRule="auto"/>
        <w:ind w:firstLine="462" w:firstLineChars="220"/>
        <w:rPr>
          <w:rFonts w:ascii="宋体"/>
        </w:rPr>
      </w:pPr>
      <w:r>
        <w:rPr>
          <w:rFonts w:ascii="宋体" w:hAnsi="宋体" w:cs="宋体"/>
        </w:rPr>
        <w:t>2.10</w:t>
      </w:r>
      <w:r>
        <w:rPr>
          <w:rFonts w:hint="eastAsia" w:ascii="宋体" w:hAnsi="宋体" w:cs="宋体"/>
        </w:rPr>
        <w:t>投标人承诺在合同服务期限内配合采购方做好复评“国家一级博物馆”、“全国文明单位”的相关服务工作，涉及中标方的服务工作要求达标。</w:t>
      </w:r>
    </w:p>
    <w:p w14:paraId="28207F20">
      <w:pPr>
        <w:spacing w:line="360" w:lineRule="auto"/>
        <w:ind w:firstLine="420" w:firstLineChars="200"/>
        <w:rPr>
          <w:rFonts w:ascii="宋体"/>
        </w:rPr>
      </w:pPr>
      <w:r>
        <w:rPr>
          <w:rFonts w:ascii="宋体" w:hAnsi="宋体" w:cs="宋体"/>
        </w:rPr>
        <w:t>2.11</w:t>
      </w:r>
      <w:r>
        <w:rPr>
          <w:rFonts w:hint="eastAsia" w:ascii="宋体" w:hAnsi="宋体" w:cs="宋体"/>
        </w:rPr>
        <w:t>投标人不得擅自改动中海博馆区内所有的房屋、管线、设备等的位置和用途。</w:t>
      </w:r>
    </w:p>
    <w:p w14:paraId="45C517C8">
      <w:pPr>
        <w:spacing w:line="360" w:lineRule="auto"/>
        <w:ind w:firstLine="420" w:firstLineChars="200"/>
        <w:rPr>
          <w:rFonts w:ascii="宋体"/>
        </w:rPr>
      </w:pPr>
      <w:r>
        <w:rPr>
          <w:rFonts w:ascii="宋体" w:hAnsi="宋体" w:cs="宋体"/>
        </w:rPr>
        <w:t>2.12</w:t>
      </w:r>
      <w:r>
        <w:rPr>
          <w:rFonts w:hint="eastAsia" w:ascii="宋体" w:hAnsi="宋体" w:cs="宋体"/>
        </w:rPr>
        <w:t>投标人对采购人馆区的消防、安全保卫工作进行定期检查，并定期组织人员进行业务培训和演习，确保馆区人身、文物和财产的安全。</w:t>
      </w:r>
    </w:p>
    <w:p w14:paraId="34F80B87">
      <w:pPr>
        <w:spacing w:line="360" w:lineRule="auto"/>
        <w:ind w:firstLine="420" w:firstLineChars="200"/>
        <w:rPr>
          <w:rFonts w:ascii="宋体"/>
        </w:rPr>
      </w:pPr>
      <w:r>
        <w:rPr>
          <w:rFonts w:ascii="宋体" w:hAnsi="宋体" w:cs="宋体"/>
        </w:rPr>
        <w:t>2.13</w:t>
      </w:r>
      <w:r>
        <w:rPr>
          <w:rFonts w:hint="eastAsia" w:ascii="宋体" w:hAnsi="宋体" w:cs="宋体"/>
        </w:rPr>
        <w:t>投标人必须遵守采购人的各项规章制度。对管理能力低、服务质量差的工作人员，采购人有权采取相应的惩罚措施，或责令投标人另行派遣人员。</w:t>
      </w:r>
    </w:p>
    <w:p w14:paraId="23178E21">
      <w:pPr>
        <w:spacing w:line="360" w:lineRule="auto"/>
        <w:ind w:firstLine="420" w:firstLineChars="200"/>
        <w:rPr>
          <w:rFonts w:ascii="宋体"/>
        </w:rPr>
      </w:pPr>
      <w:r>
        <w:rPr>
          <w:rFonts w:ascii="宋体" w:hAnsi="宋体" w:cs="宋体"/>
        </w:rPr>
        <w:t>2.14</w:t>
      </w:r>
      <w:r>
        <w:rPr>
          <w:rFonts w:hint="eastAsia" w:ascii="宋体" w:hAnsi="宋体" w:cs="宋体"/>
        </w:rPr>
        <w:t>负责提供采购人运营的其他服务。</w:t>
      </w:r>
    </w:p>
    <w:p w14:paraId="1577E13C">
      <w:pPr>
        <w:spacing w:line="360" w:lineRule="auto"/>
        <w:ind w:firstLine="420" w:firstLineChars="200"/>
        <w:rPr>
          <w:rFonts w:ascii="宋体"/>
        </w:rPr>
      </w:pPr>
      <w:r>
        <w:rPr>
          <w:rFonts w:ascii="宋体" w:hAnsi="宋体" w:cs="宋体"/>
        </w:rPr>
        <w:t>2.15</w:t>
      </w:r>
      <w:r>
        <w:rPr>
          <w:rFonts w:hint="eastAsia" w:ascii="宋体" w:hAnsi="宋体" w:cs="宋体"/>
        </w:rPr>
        <w:t>投标人派遣的物业管理人员要符合“遵纪守法，爱岗敬业，无犯罪记录，身体健康”的基本要求，投标人对所录用人员要严格政审，保证录用人员没有刑事犯罪记录，持健康证及相应专业岗位资格证。排岗用工必须符合《劳动法》的有关要求</w:t>
      </w:r>
      <w:r>
        <w:rPr>
          <w:rFonts w:ascii="宋体" w:cs="宋体"/>
        </w:rPr>
        <w:t>,</w:t>
      </w:r>
      <w:r>
        <w:rPr>
          <w:rFonts w:hint="eastAsia" w:ascii="宋体" w:hAnsi="宋体" w:cs="宋体"/>
        </w:rPr>
        <w:t>并按上海市用工标准签订劳动合同及交纳国家规定的五险一金。</w:t>
      </w:r>
    </w:p>
    <w:p w14:paraId="6BE88A52">
      <w:pPr>
        <w:spacing w:line="360" w:lineRule="auto"/>
        <w:ind w:firstLine="357" w:firstLineChars="170"/>
        <w:rPr>
          <w:rFonts w:ascii="宋体"/>
        </w:rPr>
      </w:pPr>
      <w:r>
        <w:rPr>
          <w:rFonts w:ascii="宋体" w:hAnsi="宋体" w:cs="宋体"/>
        </w:rPr>
        <w:t>2.16</w:t>
      </w:r>
      <w:r>
        <w:rPr>
          <w:rFonts w:hint="eastAsia" w:ascii="宋体" w:hAnsi="宋体" w:cs="宋体"/>
        </w:rPr>
        <w:t>质量要求：</w:t>
      </w:r>
    </w:p>
    <w:p w14:paraId="6BA9C2FD">
      <w:pPr>
        <w:spacing w:line="360" w:lineRule="auto"/>
        <w:ind w:firstLine="357" w:firstLineChars="170"/>
        <w:rPr>
          <w:rFonts w:ascii="宋体"/>
        </w:rPr>
      </w:pPr>
      <w:r>
        <w:rPr>
          <w:rFonts w:ascii="宋体" w:hAnsi="宋体" w:cs="宋体"/>
        </w:rPr>
        <w:t>2.16.1</w:t>
      </w:r>
      <w:r>
        <w:rPr>
          <w:rFonts w:hint="eastAsia" w:ascii="宋体" w:hAnsi="宋体" w:cs="宋体"/>
        </w:rPr>
        <w:t>投标人拥有</w:t>
      </w:r>
      <w:r>
        <w:rPr>
          <w:rFonts w:ascii="宋体" w:hAnsi="宋体" w:cs="宋体"/>
        </w:rPr>
        <w:t>ISO9001</w:t>
      </w:r>
      <w:r>
        <w:rPr>
          <w:rFonts w:hint="eastAsia" w:ascii="宋体" w:hAnsi="宋体" w:cs="宋体"/>
        </w:rPr>
        <w:t>质量管理体系第三方认证，并在合同期内保持拥有。</w:t>
      </w:r>
    </w:p>
    <w:p w14:paraId="14CD94C4">
      <w:pPr>
        <w:spacing w:line="360" w:lineRule="auto"/>
        <w:ind w:firstLine="357" w:firstLineChars="170"/>
        <w:rPr>
          <w:rFonts w:ascii="宋体"/>
        </w:rPr>
      </w:pPr>
      <w:r>
        <w:rPr>
          <w:rFonts w:ascii="宋体" w:hAnsi="宋体" w:cs="宋体"/>
        </w:rPr>
        <w:t>2.16.2</w:t>
      </w:r>
      <w:r>
        <w:rPr>
          <w:rFonts w:hint="eastAsia" w:ascii="宋体" w:hAnsi="宋体" w:cs="宋体"/>
        </w:rPr>
        <w:t>投标人拥有</w:t>
      </w:r>
      <w:r>
        <w:rPr>
          <w:rFonts w:ascii="宋体" w:hAnsi="宋体" w:cs="宋体"/>
        </w:rPr>
        <w:t>ISO1400</w:t>
      </w:r>
      <w:r>
        <w:rPr>
          <w:rFonts w:hint="eastAsia" w:ascii="宋体" w:hAnsi="宋体" w:cs="宋体"/>
        </w:rPr>
        <w:t>1环境管理体系第三方认证，并在合同期内保持拥有。</w:t>
      </w:r>
    </w:p>
    <w:p w14:paraId="278000D6">
      <w:pPr>
        <w:spacing w:line="360" w:lineRule="auto"/>
        <w:ind w:firstLine="357" w:firstLineChars="170"/>
        <w:rPr>
          <w:rFonts w:ascii="宋体"/>
        </w:rPr>
      </w:pPr>
      <w:r>
        <w:rPr>
          <w:rFonts w:ascii="宋体" w:hAnsi="宋体" w:cs="宋体"/>
        </w:rPr>
        <w:t>2.16.3</w:t>
      </w:r>
      <w:r>
        <w:rPr>
          <w:rFonts w:hint="eastAsia" w:ascii="宋体" w:hAnsi="宋体" w:cs="宋体"/>
        </w:rPr>
        <w:t>投标人拥有</w:t>
      </w:r>
      <w:r>
        <w:rPr>
          <w:rFonts w:ascii="Helvetica" w:hAnsi="Helvetica"/>
          <w:shd w:val="clear" w:color="auto" w:fill="FFFFFF"/>
        </w:rPr>
        <w:t>GB/T45001-2020</w:t>
      </w:r>
      <w:r>
        <w:rPr>
          <w:rFonts w:hint="eastAsia" w:ascii="宋体" w:hAnsi="宋体" w:cs="宋体"/>
        </w:rPr>
        <w:t>职业健康安全管理体系第三方认证，并在合同期内获得（或保持）通过第三方认证。</w:t>
      </w:r>
    </w:p>
    <w:p w14:paraId="53BC1862">
      <w:pPr>
        <w:spacing w:line="360" w:lineRule="auto"/>
        <w:ind w:firstLine="357" w:firstLineChars="170"/>
        <w:rPr>
          <w:rFonts w:ascii="宋体"/>
        </w:rPr>
      </w:pPr>
      <w:r>
        <w:rPr>
          <w:rFonts w:ascii="宋体" w:hAnsi="宋体" w:cs="宋体"/>
        </w:rPr>
        <w:t>2.16.4</w:t>
      </w:r>
      <w:r>
        <w:rPr>
          <w:rFonts w:hint="eastAsia" w:ascii="宋体" w:hAnsi="宋体" w:cs="宋体"/>
        </w:rPr>
        <w:t>采购人每半年分别进行一次物业管理服务质量的第三方满意度测评，测评结果观众及采购人满意率达到95%以上，满意度达到指数85以上。</w:t>
      </w:r>
    </w:p>
    <w:p w14:paraId="4B8AFAE4">
      <w:pPr>
        <w:spacing w:line="360" w:lineRule="auto"/>
        <w:ind w:firstLine="357" w:firstLineChars="170"/>
        <w:rPr>
          <w:rFonts w:ascii="宋体"/>
        </w:rPr>
      </w:pPr>
      <w:r>
        <w:rPr>
          <w:rFonts w:ascii="宋体" w:hAnsi="宋体" w:cs="宋体"/>
        </w:rPr>
        <w:t>2.16.5</w:t>
      </w:r>
      <w:r>
        <w:rPr>
          <w:rFonts w:hint="eastAsia" w:ascii="宋体" w:hAnsi="宋体" w:cs="宋体"/>
        </w:rPr>
        <w:t>合同期内保持国家旅游总局旅游区（点）质量等级“</w:t>
      </w:r>
      <w:r>
        <w:rPr>
          <w:rFonts w:ascii="宋体" w:hAnsi="宋体" w:cs="宋体"/>
        </w:rPr>
        <w:t>4A</w:t>
      </w:r>
      <w:r>
        <w:rPr>
          <w:rFonts w:hint="eastAsia" w:ascii="宋体" w:hAnsi="宋体" w:cs="宋体"/>
        </w:rPr>
        <w:t>”验收标准。</w:t>
      </w:r>
    </w:p>
    <w:p w14:paraId="7E4BA4DB">
      <w:pPr>
        <w:spacing w:line="360" w:lineRule="auto"/>
        <w:ind w:firstLine="357" w:firstLineChars="170"/>
        <w:rPr>
          <w:rFonts w:ascii="宋体"/>
        </w:rPr>
      </w:pPr>
      <w:r>
        <w:rPr>
          <w:rFonts w:ascii="宋体" w:hAnsi="宋体" w:cs="宋体"/>
        </w:rPr>
        <w:t>2.16.6</w:t>
      </w:r>
      <w:r>
        <w:rPr>
          <w:rFonts w:hint="eastAsia" w:ascii="宋体" w:hAnsi="宋体" w:cs="宋体"/>
        </w:rPr>
        <w:t>严格执行上海市垃圾分类管理条例，确保采购人垃圾分类达到条例标准。</w:t>
      </w:r>
    </w:p>
    <w:p w14:paraId="4D79717D">
      <w:pPr>
        <w:spacing w:line="360" w:lineRule="auto"/>
        <w:ind w:firstLine="357" w:firstLineChars="170"/>
        <w:rPr>
          <w:rFonts w:ascii="宋体"/>
        </w:rPr>
      </w:pPr>
      <w:r>
        <w:rPr>
          <w:rFonts w:ascii="宋体" w:hAnsi="宋体" w:cs="宋体"/>
        </w:rPr>
        <w:t>2.16.7</w:t>
      </w:r>
      <w:r>
        <w:rPr>
          <w:rFonts w:hint="eastAsia" w:ascii="宋体" w:hAnsi="宋体" w:cs="宋体"/>
        </w:rPr>
        <w:t>无重大安全事故。</w:t>
      </w:r>
    </w:p>
    <w:p w14:paraId="10A17E25">
      <w:pPr>
        <w:spacing w:line="360" w:lineRule="auto"/>
        <w:ind w:firstLine="357" w:firstLineChars="170"/>
        <w:rPr>
          <w:rFonts w:ascii="宋体"/>
        </w:rPr>
      </w:pPr>
      <w:r>
        <w:rPr>
          <w:rFonts w:ascii="宋体" w:hAnsi="宋体" w:cs="宋体"/>
        </w:rPr>
        <w:t>2.16.8</w:t>
      </w:r>
      <w:r>
        <w:rPr>
          <w:rFonts w:hint="eastAsia" w:ascii="宋体" w:hAnsi="宋体" w:cs="宋体"/>
        </w:rPr>
        <w:t>投标人应保守采购人各项保密事项，维护采购人各项法律权益。</w:t>
      </w:r>
    </w:p>
    <w:p w14:paraId="50233431">
      <w:pPr>
        <w:spacing w:line="360" w:lineRule="auto"/>
        <w:ind w:firstLine="357" w:firstLineChars="170"/>
        <w:rPr>
          <w:rFonts w:ascii="宋体"/>
        </w:rPr>
      </w:pPr>
      <w:r>
        <w:rPr>
          <w:rFonts w:ascii="宋体" w:hAnsi="宋体" w:cs="宋体"/>
        </w:rPr>
        <w:t>2.16.9</w:t>
      </w:r>
      <w:r>
        <w:rPr>
          <w:rFonts w:hint="eastAsia" w:ascii="宋体" w:hAnsi="宋体" w:cs="宋体"/>
        </w:rPr>
        <w:t>投标人协助做好采购人水、电、气的供应、管理部门和环卫、公安等部门的联络，建立良好关系和应急协调机制。</w:t>
      </w:r>
    </w:p>
    <w:p w14:paraId="6447933A">
      <w:pPr>
        <w:spacing w:line="360" w:lineRule="auto"/>
        <w:ind w:firstLine="357" w:firstLineChars="170"/>
        <w:rPr>
          <w:rFonts w:ascii="宋体"/>
        </w:rPr>
      </w:pPr>
      <w:r>
        <w:rPr>
          <w:rFonts w:ascii="宋体" w:hAnsi="宋体" w:cs="宋体"/>
        </w:rPr>
        <w:t>2.16.10</w:t>
      </w:r>
      <w:r>
        <w:rPr>
          <w:rFonts w:hint="eastAsia" w:ascii="宋体" w:hAnsi="宋体" w:cs="宋体"/>
        </w:rPr>
        <w:t>投标人协助采购人做好设备大修、维护情况和应急协调机制。</w:t>
      </w:r>
    </w:p>
    <w:p w14:paraId="31314E2E">
      <w:pPr>
        <w:spacing w:line="360" w:lineRule="auto"/>
        <w:ind w:firstLine="357" w:firstLineChars="170"/>
        <w:rPr>
          <w:rFonts w:ascii="宋体"/>
        </w:rPr>
      </w:pPr>
      <w:r>
        <w:rPr>
          <w:rFonts w:ascii="宋体" w:hAnsi="宋体" w:cs="宋体"/>
        </w:rPr>
        <w:t>2.16.11</w:t>
      </w:r>
      <w:r>
        <w:rPr>
          <w:rFonts w:hint="eastAsia" w:ascii="宋体" w:hAnsi="宋体" w:cs="宋体"/>
        </w:rPr>
        <w:t>投标人协助采购人联络区域地块内各公共关系。</w:t>
      </w:r>
    </w:p>
    <w:p w14:paraId="0C6C0FBC">
      <w:pPr>
        <w:spacing w:line="360" w:lineRule="auto"/>
        <w:ind w:firstLine="357" w:firstLineChars="170"/>
        <w:rPr>
          <w:rFonts w:ascii="宋体"/>
        </w:rPr>
      </w:pPr>
      <w:r>
        <w:rPr>
          <w:rFonts w:ascii="宋体" w:hAnsi="宋体" w:cs="宋体"/>
        </w:rPr>
        <w:t xml:space="preserve">2.17 </w:t>
      </w:r>
      <w:r>
        <w:rPr>
          <w:rFonts w:hint="eastAsia" w:ascii="宋体" w:hAnsi="宋体" w:cs="宋体"/>
        </w:rPr>
        <w:t>相关档案管理要求：</w:t>
      </w:r>
    </w:p>
    <w:p w14:paraId="2D3F694A">
      <w:pPr>
        <w:spacing w:line="360" w:lineRule="auto"/>
        <w:ind w:firstLine="357" w:firstLineChars="170"/>
        <w:rPr>
          <w:rFonts w:ascii="宋体"/>
        </w:rPr>
      </w:pPr>
      <w:r>
        <w:rPr>
          <w:rFonts w:ascii="宋体" w:hAnsi="宋体" w:cs="宋体"/>
        </w:rPr>
        <w:t>2.17.1</w:t>
      </w:r>
      <w:r>
        <w:rPr>
          <w:rFonts w:hint="eastAsia" w:ascii="宋体" w:hAnsi="宋体" w:cs="宋体"/>
        </w:rPr>
        <w:t>投标人协助采购人健全所有建筑物、公用设施、设备的图纸资料，及时增加修改资料。</w:t>
      </w:r>
    </w:p>
    <w:p w14:paraId="526D4635">
      <w:pPr>
        <w:spacing w:line="360" w:lineRule="auto"/>
        <w:ind w:firstLine="357" w:firstLineChars="170"/>
        <w:rPr>
          <w:rFonts w:ascii="宋体"/>
        </w:rPr>
      </w:pPr>
      <w:r>
        <w:rPr>
          <w:rFonts w:ascii="宋体" w:hAnsi="宋体" w:cs="宋体"/>
        </w:rPr>
        <w:t>2.17.2</w:t>
      </w:r>
      <w:r>
        <w:rPr>
          <w:rFonts w:hint="eastAsia" w:ascii="宋体" w:hAnsi="宋体" w:cs="宋体"/>
        </w:rPr>
        <w:t>建立设备、设施、保安、保洁、车辆等日常运作管理档案。</w:t>
      </w:r>
    </w:p>
    <w:p w14:paraId="7EB2D811">
      <w:pPr>
        <w:spacing w:line="360" w:lineRule="auto"/>
        <w:ind w:firstLine="357" w:firstLineChars="170"/>
        <w:rPr>
          <w:rFonts w:ascii="宋体"/>
        </w:rPr>
      </w:pPr>
      <w:r>
        <w:rPr>
          <w:rFonts w:ascii="宋体" w:hAnsi="宋体" w:cs="宋体"/>
        </w:rPr>
        <w:t>2.17.3</w:t>
      </w:r>
      <w:r>
        <w:rPr>
          <w:rFonts w:hint="eastAsia" w:ascii="宋体" w:hAnsi="宋体" w:cs="宋体"/>
        </w:rPr>
        <w:t>所有资料及管理资料分为图、档、卡、册四类，安放于防火、防潮、防蛀之专用档案箱内。</w:t>
      </w:r>
    </w:p>
    <w:p w14:paraId="232B64F2">
      <w:pPr>
        <w:spacing w:line="360" w:lineRule="auto"/>
        <w:ind w:firstLine="357" w:firstLineChars="170"/>
        <w:rPr>
          <w:rFonts w:ascii="宋体"/>
        </w:rPr>
      </w:pPr>
      <w:r>
        <w:rPr>
          <w:rFonts w:ascii="宋体" w:hAnsi="宋体" w:cs="宋体"/>
        </w:rPr>
        <w:t>2.17.4</w:t>
      </w:r>
      <w:r>
        <w:rPr>
          <w:rFonts w:hint="eastAsia" w:ascii="宋体" w:hAnsi="宋体" w:cs="宋体"/>
        </w:rPr>
        <w:t>所有有关办公区域管理档案资料，必须保证完整、完好，撤离时全部移交采购人。</w:t>
      </w:r>
    </w:p>
    <w:p w14:paraId="648CE7D3">
      <w:pPr>
        <w:spacing w:line="360" w:lineRule="auto"/>
        <w:ind w:firstLine="357" w:firstLineChars="170"/>
        <w:rPr>
          <w:rFonts w:ascii="宋体"/>
        </w:rPr>
      </w:pPr>
      <w:r>
        <w:rPr>
          <w:rFonts w:ascii="宋体" w:hAnsi="宋体" w:cs="宋体"/>
        </w:rPr>
        <w:t>2.17.5</w:t>
      </w:r>
      <w:r>
        <w:rPr>
          <w:rFonts w:hint="eastAsia" w:ascii="宋体" w:hAnsi="宋体" w:cs="宋体"/>
        </w:rPr>
        <w:t>对采购人负责，做好财务日常管理工作。</w:t>
      </w:r>
    </w:p>
    <w:p w14:paraId="5010F735">
      <w:pPr>
        <w:spacing w:line="360" w:lineRule="auto"/>
        <w:ind w:firstLine="357" w:firstLineChars="170"/>
        <w:rPr>
          <w:rFonts w:ascii="宋体"/>
        </w:rPr>
      </w:pPr>
      <w:r>
        <w:rPr>
          <w:rFonts w:ascii="宋体" w:hAnsi="宋体" w:cs="宋体"/>
        </w:rPr>
        <w:t>2.18</w:t>
      </w:r>
      <w:r>
        <w:rPr>
          <w:rFonts w:hint="eastAsia" w:ascii="宋体" w:hAnsi="宋体" w:cs="宋体"/>
        </w:rPr>
        <w:t>物资、耗材管理要求：</w:t>
      </w:r>
    </w:p>
    <w:p w14:paraId="5393D1D1">
      <w:pPr>
        <w:spacing w:line="360" w:lineRule="auto"/>
        <w:ind w:firstLine="357" w:firstLineChars="170"/>
        <w:rPr>
          <w:rFonts w:ascii="宋体"/>
        </w:rPr>
      </w:pPr>
      <w:r>
        <w:rPr>
          <w:rFonts w:ascii="宋体" w:hAnsi="宋体" w:cs="宋体"/>
        </w:rPr>
        <w:t>2.18.1</w:t>
      </w:r>
      <w:r>
        <w:rPr>
          <w:rFonts w:hint="eastAsia" w:ascii="宋体" w:hAnsi="宋体" w:cs="宋体"/>
        </w:rPr>
        <w:t>根据采购人要求，对本项目物业管理服务的耗材采购费用进行控制，并于每两月提交物资耗材采购计划，每月</w:t>
      </w:r>
      <w:r>
        <w:rPr>
          <w:rFonts w:ascii="宋体" w:hAnsi="宋体" w:cs="宋体"/>
        </w:rPr>
        <w:t>5</w:t>
      </w:r>
      <w:r>
        <w:rPr>
          <w:rFonts w:hint="eastAsia" w:ascii="宋体" w:hAnsi="宋体" w:cs="宋体"/>
        </w:rPr>
        <w:t>日提交上月决算费用细目清单。配合采购人工作人员随时、随机对物业管理服务的耗材采购进行抽查核对。</w:t>
      </w:r>
    </w:p>
    <w:p w14:paraId="2B355515">
      <w:pPr>
        <w:spacing w:line="360" w:lineRule="auto"/>
        <w:ind w:firstLine="357" w:firstLineChars="170"/>
        <w:rPr>
          <w:rFonts w:ascii="宋体"/>
        </w:rPr>
      </w:pPr>
      <w:r>
        <w:rPr>
          <w:rFonts w:ascii="宋体" w:hAnsi="宋体" w:cs="宋体"/>
        </w:rPr>
        <w:t>2.18.2</w:t>
      </w:r>
      <w:r>
        <w:rPr>
          <w:rFonts w:hint="eastAsia" w:ascii="宋体" w:hAnsi="宋体" w:cs="宋体"/>
        </w:rPr>
        <w:t>投标人物资采购行为和物资管理必须合法合规。投标人为采购人提供的物资采购行为和物资管理必须严格依据《中华人民共和国政府采购法》《中华人民共和国政府采购法实施条例》《中华人民共和国招标投标法》《政府采购非招标采购方式管理办法》《政府采购货物和服务招标投标管理办法》（财政部令第</w:t>
      </w:r>
      <w:r>
        <w:rPr>
          <w:rFonts w:ascii="宋体" w:hAnsi="宋体" w:cs="宋体"/>
        </w:rPr>
        <w:t>87</w:t>
      </w:r>
      <w:r>
        <w:rPr>
          <w:rFonts w:hint="eastAsia" w:ascii="宋体" w:hAnsi="宋体" w:cs="宋体"/>
        </w:rPr>
        <w:t>号）等国家和上海市相关法律、法规、规章和规范性文件执行。投标人必须在合法合规的前提下进行物资采购行为和物资管理，不得有任何违法违规行为，不得进行任何违法违规操作，投标人必须廉洁自律。</w:t>
      </w:r>
    </w:p>
    <w:p w14:paraId="4945C515">
      <w:pPr>
        <w:spacing w:line="360" w:lineRule="auto"/>
        <w:ind w:firstLine="357" w:firstLineChars="170"/>
        <w:rPr>
          <w:rFonts w:ascii="宋体"/>
        </w:rPr>
      </w:pPr>
      <w:r>
        <w:rPr>
          <w:rFonts w:ascii="宋体" w:hAnsi="宋体" w:cs="宋体"/>
        </w:rPr>
        <w:t>2.18.3</w:t>
      </w:r>
      <w:r>
        <w:rPr>
          <w:rFonts w:hint="eastAsia" w:ascii="宋体" w:hAnsi="宋体" w:cs="宋体"/>
        </w:rPr>
        <w:t>配合采购人建立并维持紧急采购物料的采购渠道。</w:t>
      </w:r>
    </w:p>
    <w:p w14:paraId="186183DF">
      <w:pPr>
        <w:spacing w:line="360" w:lineRule="auto"/>
        <w:ind w:firstLine="357" w:firstLineChars="170"/>
        <w:rPr>
          <w:rFonts w:ascii="宋体"/>
        </w:rPr>
      </w:pPr>
      <w:r>
        <w:rPr>
          <w:rFonts w:ascii="宋体" w:hAnsi="宋体" w:cs="宋体"/>
        </w:rPr>
        <w:t>2.18.4</w:t>
      </w:r>
      <w:r>
        <w:rPr>
          <w:rFonts w:hint="eastAsia" w:ascii="宋体" w:hAnsi="宋体" w:cs="宋体"/>
        </w:rPr>
        <w:t>做好收集价格情报、替代品资料、最新产品等信息，及时更新供应商信息。</w:t>
      </w:r>
    </w:p>
    <w:p w14:paraId="21F3F43C">
      <w:pPr>
        <w:spacing w:line="360" w:lineRule="auto"/>
        <w:ind w:firstLine="357" w:firstLineChars="170"/>
        <w:rPr>
          <w:rFonts w:ascii="宋体"/>
        </w:rPr>
      </w:pPr>
      <w:r>
        <w:rPr>
          <w:rFonts w:ascii="宋体" w:hAnsi="宋体" w:cs="宋体"/>
        </w:rPr>
        <w:t>2.19</w:t>
      </w:r>
      <w:r>
        <w:rPr>
          <w:rFonts w:hint="eastAsia" w:ascii="宋体" w:hAnsi="宋体" w:cs="宋体"/>
        </w:rPr>
        <w:t>交接工作内容：</w:t>
      </w:r>
    </w:p>
    <w:p w14:paraId="7290668B">
      <w:pPr>
        <w:spacing w:line="360" w:lineRule="auto"/>
        <w:ind w:firstLine="357" w:firstLineChars="170"/>
        <w:rPr>
          <w:rFonts w:ascii="宋体"/>
        </w:rPr>
      </w:pPr>
      <w:r>
        <w:rPr>
          <w:rFonts w:ascii="宋体" w:hAnsi="宋体" w:cs="宋体"/>
        </w:rPr>
        <w:t>2.19.1</w:t>
      </w:r>
      <w:r>
        <w:rPr>
          <w:rFonts w:hint="eastAsia" w:ascii="宋体" w:hAnsi="宋体" w:cs="宋体"/>
        </w:rPr>
        <w:t>对设施、设备的查验和跟踪配合。</w:t>
      </w:r>
    </w:p>
    <w:p w14:paraId="3E79953C">
      <w:pPr>
        <w:spacing w:line="360" w:lineRule="auto"/>
        <w:ind w:firstLine="357" w:firstLineChars="170"/>
        <w:rPr>
          <w:rFonts w:ascii="宋体"/>
        </w:rPr>
      </w:pPr>
      <w:r>
        <w:rPr>
          <w:rFonts w:ascii="宋体" w:hAnsi="宋体" w:cs="宋体"/>
        </w:rPr>
        <w:t>2.19.2</w:t>
      </w:r>
      <w:r>
        <w:rPr>
          <w:rFonts w:hint="eastAsia" w:ascii="宋体" w:hAnsi="宋体" w:cs="宋体"/>
        </w:rPr>
        <w:t>交接过程中，各种物品、资料的准备和制作。</w:t>
      </w:r>
    </w:p>
    <w:p w14:paraId="439F74E4">
      <w:pPr>
        <w:spacing w:line="360" w:lineRule="auto"/>
        <w:ind w:firstLine="357" w:firstLineChars="170"/>
        <w:rPr>
          <w:rFonts w:ascii="宋体"/>
        </w:rPr>
      </w:pPr>
      <w:r>
        <w:rPr>
          <w:rFonts w:ascii="宋体" w:hAnsi="宋体" w:cs="宋体"/>
        </w:rPr>
        <w:t>2.19.3</w:t>
      </w:r>
      <w:r>
        <w:rPr>
          <w:rFonts w:hint="eastAsia" w:ascii="宋体" w:hAnsi="宋体" w:cs="宋体"/>
        </w:rPr>
        <w:t>对所有土建工程，装饰工程，设备设施的安装，绿化工程和相关的市政工程的施工单位、供货商、安装单位和与之有关联的单位的信息收集。</w:t>
      </w:r>
    </w:p>
    <w:p w14:paraId="090D53BE">
      <w:pPr>
        <w:spacing w:line="360" w:lineRule="auto"/>
        <w:ind w:firstLine="357" w:firstLineChars="170"/>
        <w:rPr>
          <w:rFonts w:ascii="宋体"/>
        </w:rPr>
      </w:pPr>
      <w:r>
        <w:rPr>
          <w:rFonts w:ascii="宋体" w:hAnsi="宋体" w:cs="宋体"/>
        </w:rPr>
        <w:t>2.19.4</w:t>
      </w:r>
      <w:r>
        <w:rPr>
          <w:rFonts w:hint="eastAsia" w:ascii="宋体" w:hAnsi="宋体" w:cs="宋体"/>
        </w:rPr>
        <w:t>做好技术资料交接前的准备和交接后的分类、整理、归档工作。</w:t>
      </w:r>
    </w:p>
    <w:p w14:paraId="628974B7">
      <w:pPr>
        <w:spacing w:line="360" w:lineRule="auto"/>
        <w:ind w:firstLine="357" w:firstLineChars="170"/>
        <w:rPr>
          <w:rFonts w:ascii="宋体"/>
        </w:rPr>
      </w:pPr>
      <w:r>
        <w:rPr>
          <w:rFonts w:ascii="宋体" w:hAnsi="宋体" w:cs="宋体"/>
        </w:rPr>
        <w:t>2.19.5</w:t>
      </w:r>
      <w:r>
        <w:rPr>
          <w:rFonts w:hint="eastAsia" w:ascii="宋体" w:hAnsi="宋体" w:cs="宋体"/>
        </w:rPr>
        <w:t>对采购人档案资料进行整理，收集，有针对性地开展各项服务。</w:t>
      </w:r>
    </w:p>
    <w:p w14:paraId="333AEED4">
      <w:pPr>
        <w:spacing w:line="360" w:lineRule="auto"/>
        <w:ind w:firstLine="357" w:firstLineChars="170"/>
        <w:rPr>
          <w:rFonts w:ascii="宋体"/>
        </w:rPr>
      </w:pPr>
      <w:r>
        <w:rPr>
          <w:rFonts w:ascii="宋体" w:hAnsi="宋体" w:cs="宋体"/>
        </w:rPr>
        <w:t>2.19.6</w:t>
      </w:r>
      <w:r>
        <w:rPr>
          <w:rFonts w:hint="eastAsia" w:ascii="宋体" w:hAnsi="宋体" w:cs="宋体"/>
        </w:rPr>
        <w:t>物业服务人员的招聘、培训和具体业务指导。</w:t>
      </w:r>
    </w:p>
    <w:p w14:paraId="15A03FC1">
      <w:pPr>
        <w:spacing w:line="360" w:lineRule="auto"/>
        <w:ind w:firstLine="357" w:firstLineChars="170"/>
        <w:rPr>
          <w:rFonts w:ascii="宋体"/>
        </w:rPr>
      </w:pPr>
      <w:r>
        <w:rPr>
          <w:rFonts w:ascii="宋体" w:hAnsi="宋体" w:cs="宋体"/>
        </w:rPr>
        <w:t>2.19.7</w:t>
      </w:r>
      <w:r>
        <w:rPr>
          <w:rFonts w:hint="eastAsia" w:ascii="宋体" w:hAnsi="宋体" w:cs="宋体"/>
        </w:rPr>
        <w:t>各种标识的制作和服务工具的配置。</w:t>
      </w:r>
    </w:p>
    <w:p w14:paraId="7FC79353">
      <w:pPr>
        <w:spacing w:line="360" w:lineRule="auto"/>
        <w:ind w:firstLine="357" w:firstLineChars="170"/>
        <w:rPr>
          <w:rFonts w:ascii="宋体"/>
        </w:rPr>
      </w:pPr>
      <w:r>
        <w:rPr>
          <w:rFonts w:ascii="宋体" w:hAnsi="宋体" w:cs="宋体"/>
        </w:rPr>
        <w:t>2.19.8</w:t>
      </w:r>
      <w:r>
        <w:rPr>
          <w:rFonts w:hint="eastAsia" w:ascii="宋体" w:hAnsi="宋体" w:cs="宋体"/>
        </w:rPr>
        <w:t>迅速熟悉管理区域情况，一旦入驻即能立刻提供采购人所要求的管理与服务，处理各类日常事务和应急事务。</w:t>
      </w:r>
    </w:p>
    <w:p w14:paraId="797A1EC5">
      <w:pPr>
        <w:spacing w:line="360" w:lineRule="auto"/>
        <w:ind w:firstLine="357" w:firstLineChars="170"/>
        <w:rPr>
          <w:rFonts w:ascii="宋体"/>
        </w:rPr>
      </w:pPr>
      <w:r>
        <w:rPr>
          <w:rFonts w:ascii="宋体" w:hAnsi="宋体" w:cs="宋体"/>
        </w:rPr>
        <w:t>2.19.9</w:t>
      </w:r>
      <w:r>
        <w:rPr>
          <w:rFonts w:hint="eastAsia" w:ascii="宋体" w:hAnsi="宋体" w:cs="宋体"/>
        </w:rPr>
        <w:t>提前和采购人沟通物业交接相关工作，做好交接准备。</w:t>
      </w:r>
    </w:p>
    <w:p w14:paraId="734CCA76">
      <w:pPr>
        <w:spacing w:line="360" w:lineRule="auto"/>
        <w:ind w:firstLine="357" w:firstLineChars="170"/>
        <w:rPr>
          <w:rFonts w:ascii="宋体"/>
        </w:rPr>
      </w:pPr>
      <w:r>
        <w:rPr>
          <w:rFonts w:ascii="宋体" w:hAnsi="宋体" w:cs="宋体"/>
        </w:rPr>
        <w:t>2.19.10</w:t>
      </w:r>
      <w:r>
        <w:rPr>
          <w:rFonts w:hint="eastAsia" w:ascii="宋体" w:hAnsi="宋体" w:cs="宋体"/>
        </w:rPr>
        <w:t>按照采购人要求的时间节点介入物业管理工作。</w:t>
      </w:r>
    </w:p>
    <w:p w14:paraId="74BBACA9">
      <w:pPr>
        <w:spacing w:line="360" w:lineRule="auto"/>
        <w:ind w:firstLine="357" w:firstLineChars="170"/>
        <w:rPr>
          <w:rFonts w:ascii="宋体"/>
        </w:rPr>
      </w:pPr>
      <w:r>
        <w:rPr>
          <w:rFonts w:ascii="宋体" w:hAnsi="宋体" w:cs="宋体"/>
        </w:rPr>
        <w:t xml:space="preserve">2.19.11 </w:t>
      </w:r>
      <w:r>
        <w:rPr>
          <w:rFonts w:hint="eastAsia" w:ascii="宋体" w:hAnsi="宋体" w:cs="宋体"/>
        </w:rPr>
        <w:t>所有交接工作规定在</w:t>
      </w:r>
      <w:r>
        <w:rPr>
          <w:rFonts w:ascii="宋体" w:hAnsi="宋体" w:cs="宋体"/>
        </w:rPr>
        <w:t>15</w:t>
      </w:r>
      <w:r>
        <w:rPr>
          <w:rFonts w:hint="eastAsia" w:ascii="宋体" w:hAnsi="宋体" w:cs="宋体"/>
        </w:rPr>
        <w:t>个工作日内完成。</w:t>
      </w:r>
    </w:p>
    <w:p w14:paraId="20796688">
      <w:pPr>
        <w:spacing w:line="360" w:lineRule="auto"/>
        <w:ind w:firstLine="357" w:firstLineChars="170"/>
        <w:rPr>
          <w:rFonts w:ascii="宋体"/>
        </w:rPr>
      </w:pPr>
      <w:r>
        <w:rPr>
          <w:rFonts w:ascii="宋体" w:hAnsi="宋体" w:cs="宋体"/>
        </w:rPr>
        <w:t>2.19.12</w:t>
      </w:r>
      <w:r>
        <w:rPr>
          <w:rFonts w:hint="eastAsia" w:ascii="宋体" w:hAnsi="宋体" w:cs="宋体"/>
        </w:rPr>
        <w:t>交接物业工作后保障采购人设备设施正常，对外接待正常，保证场馆正常运营。</w:t>
      </w:r>
    </w:p>
    <w:p w14:paraId="42F493C8">
      <w:pPr>
        <w:spacing w:line="360" w:lineRule="auto"/>
        <w:ind w:firstLine="357" w:firstLineChars="170"/>
        <w:rPr>
          <w:rFonts w:ascii="宋体"/>
        </w:rPr>
      </w:pPr>
      <w:r>
        <w:rPr>
          <w:rFonts w:ascii="宋体" w:hAnsi="宋体" w:cs="宋体"/>
        </w:rPr>
        <w:t>2.19.13</w:t>
      </w:r>
      <w:r>
        <w:rPr>
          <w:rFonts w:hint="eastAsia" w:ascii="宋体" w:hAnsi="宋体" w:cs="宋体"/>
        </w:rPr>
        <w:t>执行其他有关交接工作的要求。</w:t>
      </w:r>
    </w:p>
    <w:p w14:paraId="58E12C0B">
      <w:pPr>
        <w:spacing w:line="360" w:lineRule="auto"/>
        <w:ind w:firstLine="359" w:firstLineChars="171"/>
        <w:rPr>
          <w:rFonts w:ascii="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ab/>
      </w:r>
      <w:r>
        <w:rPr>
          <w:rFonts w:hint="eastAsia" w:ascii="宋体" w:hAnsi="宋体" w:cs="宋体"/>
        </w:rPr>
        <w:t>投标人对采购人采购的项目管理要求及规定</w:t>
      </w:r>
    </w:p>
    <w:p w14:paraId="691C27C5">
      <w:pPr>
        <w:spacing w:line="360" w:lineRule="auto"/>
        <w:ind w:firstLine="359" w:firstLineChars="171"/>
        <w:rPr>
          <w:rFonts w:ascii="宋体" w:hAnsi="宋体" w:cs="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.1</w:t>
      </w:r>
      <w:r>
        <w:rPr>
          <w:rFonts w:hint="eastAsia" w:ascii="宋体" w:hAnsi="宋体" w:cs="宋体"/>
        </w:rPr>
        <w:t>依照统一管理原则，采购人采购的项目的管理与质量监控由投标人承担。投标人应在监督管理基础上应对供应商进行考核，并将考核结果及时通报给采购人。</w:t>
      </w:r>
    </w:p>
    <w:p w14:paraId="6C43D495">
      <w:pPr>
        <w:spacing w:line="360" w:lineRule="auto"/>
        <w:ind w:firstLine="359" w:firstLineChars="171"/>
        <w:rPr>
          <w:rFonts w:ascii="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 xml:space="preserve">.2 </w:t>
      </w:r>
      <w:r>
        <w:rPr>
          <w:rFonts w:hint="eastAsia" w:ascii="宋体" w:hAnsi="宋体" w:cs="宋体"/>
        </w:rPr>
        <w:t>投标人的投标文件中必须包含对服务供方的监管及考核方案。</w:t>
      </w:r>
    </w:p>
    <w:p w14:paraId="1C32388F">
      <w:pPr>
        <w:snapToGrid w:val="0"/>
        <w:spacing w:line="360" w:lineRule="auto"/>
        <w:ind w:firstLine="315" w:firstLineChars="150"/>
        <w:rPr>
          <w:rFonts w:ascii="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w:t>
      </w:r>
      <w:r>
        <w:rPr>
          <w:rFonts w:hint="eastAsia" w:ascii="宋体" w:hAnsi="宋体" w:cs="宋体"/>
        </w:rPr>
        <w:t>3投标人应当向采购人负责，接受采购人采购的项目承担连带责任。因监督管理所产生的任何对采购人不利或导致采购人名誉、财产、人身损害，投标人有权分别或同时向服务供方、项目实施单位追究违约责任、赔偿责任。</w:t>
      </w:r>
    </w:p>
    <w:p w14:paraId="5483C38E">
      <w:pPr>
        <w:spacing w:line="360" w:lineRule="auto"/>
        <w:ind w:firstLine="359" w:firstLineChars="171"/>
        <w:rPr>
          <w:rFonts w:ascii="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w:t>
      </w:r>
      <w:r>
        <w:rPr>
          <w:rFonts w:hint="eastAsia" w:ascii="宋体" w:hAnsi="宋体" w:cs="宋体"/>
        </w:rPr>
        <w:t>4因监督管理中所产生的一切法律纠纷、人身损害、财产损失等均由投标人自行承担，概与采购人无关。</w:t>
      </w:r>
    </w:p>
    <w:p w14:paraId="00DBDFB1">
      <w:pPr>
        <w:spacing w:line="360" w:lineRule="auto"/>
        <w:ind w:firstLine="359" w:firstLineChars="171"/>
        <w:rPr>
          <w:rFonts w:ascii="宋体"/>
        </w:rPr>
      </w:pPr>
      <w:r>
        <w:rPr>
          <w:rFonts w:hint="eastAsia" w:ascii="宋体" w:hAnsi="宋体" w:cs="宋体"/>
        </w:rPr>
        <w:t>2</w:t>
      </w:r>
      <w:r>
        <w:rPr>
          <w:rFonts w:ascii="宋体" w:hAnsi="宋体" w:cs="宋体"/>
        </w:rPr>
        <w:t>.2</w:t>
      </w:r>
      <w:r>
        <w:rPr>
          <w:rFonts w:hint="eastAsia" w:ascii="宋体" w:hAnsi="宋体" w:cs="宋体"/>
        </w:rPr>
        <w:t>0</w:t>
      </w:r>
      <w:r>
        <w:rPr>
          <w:rFonts w:ascii="宋体" w:hAnsi="宋体" w:cs="宋体"/>
        </w:rPr>
        <w:t>.</w:t>
      </w:r>
      <w:r>
        <w:rPr>
          <w:rFonts w:hint="eastAsia" w:ascii="宋体" w:hAnsi="宋体" w:cs="宋体"/>
        </w:rPr>
        <w:t>5投标人应协助和配合采购人做好服务工作。同时，投标人应按采购人的要求，配合采购人对采购人采购项目的服务供方提供的服务质量进行全过程监管。</w:t>
      </w:r>
    </w:p>
    <w:p w14:paraId="70D3B47B">
      <w:pPr>
        <w:spacing w:line="360" w:lineRule="auto"/>
        <w:ind w:firstLine="357" w:firstLineChars="170"/>
        <w:rPr>
          <w:rFonts w:ascii="宋体"/>
        </w:rPr>
      </w:pPr>
    </w:p>
    <w:p w14:paraId="04CE29BA">
      <w:pPr>
        <w:spacing w:line="360" w:lineRule="auto"/>
        <w:rPr>
          <w:rFonts w:ascii="宋体"/>
          <w:b/>
          <w:bCs/>
        </w:rPr>
      </w:pPr>
      <w:r>
        <w:rPr>
          <w:rFonts w:hint="eastAsia" w:ascii="宋体" w:hAnsi="宋体" w:cs="宋体"/>
          <w:b/>
          <w:bCs/>
        </w:rPr>
        <w:t>（二）、物业管理服务内容及要求</w:t>
      </w:r>
    </w:p>
    <w:p w14:paraId="23670D95">
      <w:pPr>
        <w:spacing w:line="360" w:lineRule="auto"/>
        <w:ind w:firstLine="357" w:firstLineChars="170"/>
        <w:rPr>
          <w:rFonts w:ascii="宋体"/>
        </w:rPr>
      </w:pPr>
      <w:r>
        <w:rPr>
          <w:rFonts w:hint="eastAsia" w:ascii="宋体" w:hAnsi="Wingdings"/>
          <w:szCs w:val="20"/>
        </w:rPr>
        <w:sym w:font="Wingdings" w:char="F076"/>
      </w:r>
      <w:r>
        <w:rPr>
          <w:rFonts w:hint="eastAsia" w:ascii="宋体" w:hAnsi="宋体" w:cs="宋体"/>
        </w:rPr>
        <w:t>（详见附件一）</w:t>
      </w:r>
    </w:p>
    <w:p w14:paraId="4B5E5B7F">
      <w:pPr>
        <w:spacing w:line="360" w:lineRule="auto"/>
        <w:ind w:firstLine="357" w:firstLineChars="170"/>
        <w:rPr>
          <w:rFonts w:ascii="宋体"/>
        </w:rPr>
      </w:pPr>
    </w:p>
    <w:p w14:paraId="2D109251">
      <w:pPr>
        <w:widowControl w:val="0"/>
        <w:numPr>
          <w:ilvl w:val="0"/>
          <w:numId w:val="2"/>
        </w:numPr>
        <w:spacing w:line="360" w:lineRule="auto"/>
      </w:pPr>
      <w:r>
        <w:rPr>
          <w:rFonts w:hint="eastAsia" w:ascii="宋体" w:hAnsi="宋体" w:cs="宋体"/>
          <w:b/>
          <w:bCs/>
        </w:rPr>
        <w:t>物业管理服务岗位需求表</w:t>
      </w:r>
    </w:p>
    <w:p w14:paraId="7BEAB5D6">
      <w:pPr>
        <w:spacing w:line="360" w:lineRule="auto"/>
      </w:pPr>
      <w:r>
        <w:rPr>
          <w:rFonts w:hint="eastAsia" w:ascii="宋体" w:hAnsi="宋体" w:cs="宋体"/>
          <w:b/>
          <w:bCs/>
        </w:rPr>
        <w:t>（一）</w:t>
      </w:r>
      <w:r>
        <w:rPr>
          <w:rFonts w:hint="eastAsia" w:cs="宋体"/>
        </w:rPr>
        <w:t>人员岗位基本配置</w:t>
      </w:r>
    </w:p>
    <w:p w14:paraId="4AD9BF06"/>
    <w:tbl>
      <w:tblPr>
        <w:tblStyle w:val="9"/>
        <w:tblW w:w="0" w:type="auto"/>
        <w:tblInd w:w="6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891"/>
        <w:gridCol w:w="710"/>
        <w:gridCol w:w="1985"/>
        <w:gridCol w:w="810"/>
        <w:gridCol w:w="1537"/>
      </w:tblGrid>
      <w:tr w14:paraId="2A4D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753" w:type="dxa"/>
            <w:noWrap/>
            <w:vAlign w:val="center"/>
          </w:tcPr>
          <w:p w14:paraId="41400026">
            <w:pPr>
              <w:jc w:val="center"/>
            </w:pPr>
            <w:r>
              <w:rPr>
                <w:rFonts w:hint="eastAsia" w:cs="宋体"/>
              </w:rPr>
              <w:t>序号</w:t>
            </w:r>
          </w:p>
        </w:tc>
        <w:tc>
          <w:tcPr>
            <w:tcW w:w="1891" w:type="dxa"/>
            <w:noWrap/>
            <w:vAlign w:val="center"/>
          </w:tcPr>
          <w:p w14:paraId="52C73F2D">
            <w:pPr>
              <w:jc w:val="center"/>
            </w:pPr>
            <w:r>
              <w:rPr>
                <w:rFonts w:hint="eastAsia" w:cs="宋体"/>
              </w:rPr>
              <w:t>岗位名称</w:t>
            </w:r>
          </w:p>
        </w:tc>
        <w:tc>
          <w:tcPr>
            <w:tcW w:w="710" w:type="dxa"/>
            <w:noWrap/>
            <w:vAlign w:val="center"/>
          </w:tcPr>
          <w:p w14:paraId="1F6B4794">
            <w:pPr>
              <w:jc w:val="center"/>
            </w:pPr>
            <w:r>
              <w:rPr>
                <w:rFonts w:hint="eastAsia" w:cs="宋体"/>
              </w:rPr>
              <w:t>岗位数</w:t>
            </w:r>
          </w:p>
        </w:tc>
        <w:tc>
          <w:tcPr>
            <w:tcW w:w="1985" w:type="dxa"/>
            <w:noWrap/>
            <w:vAlign w:val="center"/>
          </w:tcPr>
          <w:p w14:paraId="0B1411BA">
            <w:pPr>
              <w:jc w:val="center"/>
            </w:pPr>
            <w:r>
              <w:rPr>
                <w:rFonts w:hint="eastAsia" w:cs="宋体"/>
              </w:rPr>
              <w:t>服务时间</w:t>
            </w:r>
          </w:p>
        </w:tc>
        <w:tc>
          <w:tcPr>
            <w:tcW w:w="810" w:type="dxa"/>
            <w:vAlign w:val="center"/>
          </w:tcPr>
          <w:p w14:paraId="331B512D">
            <w:pPr>
              <w:jc w:val="center"/>
              <w:rPr>
                <w:rFonts w:cs="宋体"/>
              </w:rPr>
            </w:pPr>
            <w:r>
              <w:rPr>
                <w:rFonts w:hint="eastAsia" w:cs="宋体"/>
              </w:rPr>
              <w:t>人数</w:t>
            </w:r>
          </w:p>
        </w:tc>
        <w:tc>
          <w:tcPr>
            <w:tcW w:w="1537" w:type="dxa"/>
            <w:noWrap/>
            <w:vAlign w:val="center"/>
          </w:tcPr>
          <w:p w14:paraId="76371BA2">
            <w:pPr>
              <w:jc w:val="center"/>
            </w:pPr>
            <w:r>
              <w:rPr>
                <w:rFonts w:hint="eastAsia" w:cs="宋体"/>
              </w:rPr>
              <w:t>备注</w:t>
            </w:r>
          </w:p>
        </w:tc>
      </w:tr>
      <w:tr w14:paraId="7387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753" w:type="dxa"/>
            <w:noWrap/>
            <w:vAlign w:val="center"/>
          </w:tcPr>
          <w:p w14:paraId="199F73D9">
            <w:pPr>
              <w:jc w:val="center"/>
              <w:rPr>
                <w:rFonts w:cs="宋体"/>
              </w:rPr>
            </w:pPr>
            <w:r>
              <w:rPr>
                <w:rFonts w:hint="eastAsia" w:cs="宋体"/>
              </w:rPr>
              <w:t>1</w:t>
            </w:r>
          </w:p>
        </w:tc>
        <w:tc>
          <w:tcPr>
            <w:tcW w:w="1891" w:type="dxa"/>
            <w:noWrap/>
            <w:vAlign w:val="center"/>
          </w:tcPr>
          <w:p w14:paraId="60866E06">
            <w:pPr>
              <w:jc w:val="center"/>
              <w:rPr>
                <w:rFonts w:cs="宋体"/>
              </w:rPr>
            </w:pPr>
            <w:r>
              <w:rPr>
                <w:rFonts w:hint="eastAsia" w:cs="宋体"/>
              </w:rPr>
              <w:t>项目经理</w:t>
            </w:r>
          </w:p>
        </w:tc>
        <w:tc>
          <w:tcPr>
            <w:tcW w:w="710" w:type="dxa"/>
            <w:noWrap/>
            <w:vAlign w:val="center"/>
          </w:tcPr>
          <w:p w14:paraId="6D43B7FA">
            <w:pPr>
              <w:jc w:val="center"/>
              <w:rPr>
                <w:rFonts w:cs="宋体"/>
              </w:rPr>
            </w:pPr>
            <w:r>
              <w:rPr>
                <w:rFonts w:hint="eastAsia" w:cs="宋体"/>
              </w:rPr>
              <w:t>1</w:t>
            </w:r>
          </w:p>
        </w:tc>
        <w:tc>
          <w:tcPr>
            <w:tcW w:w="1985" w:type="dxa"/>
            <w:noWrap/>
            <w:vAlign w:val="center"/>
          </w:tcPr>
          <w:p w14:paraId="2ADC5073">
            <w:pPr>
              <w:jc w:val="center"/>
              <w:rPr>
                <w:rFonts w:cs="宋体"/>
              </w:rPr>
            </w:pPr>
            <w:r>
              <w:rPr>
                <w:rFonts w:hint="eastAsia" w:cs="宋体"/>
              </w:rPr>
              <w:t>8小时</w:t>
            </w:r>
          </w:p>
        </w:tc>
        <w:tc>
          <w:tcPr>
            <w:tcW w:w="810" w:type="dxa"/>
            <w:vAlign w:val="center"/>
          </w:tcPr>
          <w:p w14:paraId="14CC08AF">
            <w:pPr>
              <w:jc w:val="center"/>
              <w:rPr>
                <w:rFonts w:cs="宋体"/>
              </w:rPr>
            </w:pPr>
            <w:r>
              <w:rPr>
                <w:rFonts w:hint="eastAsia" w:cs="宋体"/>
              </w:rPr>
              <w:t>1</w:t>
            </w:r>
          </w:p>
        </w:tc>
        <w:tc>
          <w:tcPr>
            <w:tcW w:w="1537" w:type="dxa"/>
            <w:noWrap/>
            <w:vAlign w:val="center"/>
          </w:tcPr>
          <w:p w14:paraId="66191770">
            <w:pPr>
              <w:jc w:val="center"/>
              <w:rPr>
                <w:rFonts w:cs="宋体"/>
              </w:rPr>
            </w:pPr>
            <w:r>
              <w:rPr>
                <w:rFonts w:cs="宋体"/>
              </w:rPr>
              <w:t>关键岗位</w:t>
            </w:r>
          </w:p>
        </w:tc>
      </w:tr>
    </w:tbl>
    <w:p w14:paraId="55E04155"/>
    <w:p w14:paraId="345D346D">
      <w:pPr>
        <w:jc w:val="center"/>
      </w:pPr>
      <w:r>
        <w:t>公众服务</w:t>
      </w:r>
    </w:p>
    <w:tbl>
      <w:tblPr>
        <w:tblStyle w:val="9"/>
        <w:tblW w:w="8578"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534"/>
        <w:gridCol w:w="188"/>
        <w:gridCol w:w="1956"/>
        <w:gridCol w:w="720"/>
        <w:gridCol w:w="2010"/>
        <w:gridCol w:w="1125"/>
        <w:gridCol w:w="1282"/>
        <w:gridCol w:w="64"/>
      </w:tblGrid>
      <w:tr w14:paraId="30B1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5569518D">
            <w:pPr>
              <w:jc w:val="center"/>
            </w:pPr>
          </w:p>
        </w:tc>
        <w:tc>
          <w:tcPr>
            <w:tcW w:w="1956" w:type="dxa"/>
            <w:noWrap/>
            <w:vAlign w:val="center"/>
          </w:tcPr>
          <w:p w14:paraId="5FCD1E8C">
            <w:pPr>
              <w:jc w:val="center"/>
            </w:pPr>
            <w:r>
              <w:rPr>
                <w:rFonts w:hint="eastAsia" w:cs="宋体"/>
              </w:rPr>
              <w:t>岗位名称</w:t>
            </w:r>
          </w:p>
        </w:tc>
        <w:tc>
          <w:tcPr>
            <w:tcW w:w="720" w:type="dxa"/>
            <w:noWrap/>
            <w:vAlign w:val="center"/>
          </w:tcPr>
          <w:p w14:paraId="2CBD15D6">
            <w:pPr>
              <w:jc w:val="center"/>
            </w:pPr>
            <w:r>
              <w:rPr>
                <w:rFonts w:hint="eastAsia" w:cs="宋体"/>
              </w:rPr>
              <w:t>岗位数</w:t>
            </w:r>
          </w:p>
        </w:tc>
        <w:tc>
          <w:tcPr>
            <w:tcW w:w="2010" w:type="dxa"/>
            <w:noWrap/>
            <w:vAlign w:val="center"/>
          </w:tcPr>
          <w:p w14:paraId="330DF41D">
            <w:pPr>
              <w:jc w:val="center"/>
            </w:pPr>
            <w:r>
              <w:rPr>
                <w:rFonts w:hint="eastAsia" w:cs="宋体"/>
              </w:rPr>
              <w:t>服务时间</w:t>
            </w:r>
          </w:p>
        </w:tc>
        <w:tc>
          <w:tcPr>
            <w:tcW w:w="1125" w:type="dxa"/>
            <w:vAlign w:val="center"/>
          </w:tcPr>
          <w:p w14:paraId="04D4C8BB">
            <w:pPr>
              <w:jc w:val="center"/>
              <w:rPr>
                <w:rFonts w:cs="宋体"/>
              </w:rPr>
            </w:pPr>
            <w:r>
              <w:rPr>
                <w:rFonts w:hint="eastAsia" w:cs="宋体"/>
              </w:rPr>
              <w:t>人数</w:t>
            </w:r>
          </w:p>
        </w:tc>
        <w:tc>
          <w:tcPr>
            <w:tcW w:w="1282" w:type="dxa"/>
            <w:noWrap/>
            <w:vAlign w:val="center"/>
          </w:tcPr>
          <w:p w14:paraId="2A205920">
            <w:pPr>
              <w:jc w:val="center"/>
            </w:pPr>
            <w:r>
              <w:rPr>
                <w:rFonts w:hint="eastAsia" w:cs="宋体"/>
              </w:rPr>
              <w:t>备注</w:t>
            </w:r>
          </w:p>
        </w:tc>
      </w:tr>
      <w:tr w14:paraId="69880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060D180C">
            <w:pPr>
              <w:jc w:val="center"/>
            </w:pPr>
            <w:r>
              <w:rPr>
                <w:rFonts w:hint="eastAsia"/>
              </w:rPr>
              <w:t>1</w:t>
            </w:r>
          </w:p>
        </w:tc>
        <w:tc>
          <w:tcPr>
            <w:tcW w:w="1956" w:type="dxa"/>
            <w:noWrap/>
            <w:vAlign w:val="center"/>
          </w:tcPr>
          <w:p w14:paraId="7F652E8A">
            <w:pPr>
              <w:jc w:val="center"/>
            </w:pPr>
            <w:r>
              <w:rPr>
                <w:rFonts w:hint="eastAsia"/>
              </w:rPr>
              <w:t>讲解员</w:t>
            </w:r>
          </w:p>
        </w:tc>
        <w:tc>
          <w:tcPr>
            <w:tcW w:w="720" w:type="dxa"/>
            <w:noWrap/>
            <w:vAlign w:val="center"/>
          </w:tcPr>
          <w:p w14:paraId="1C6CDFE0">
            <w:pPr>
              <w:jc w:val="center"/>
            </w:pPr>
            <w:r>
              <w:rPr>
                <w:rFonts w:hint="eastAsia"/>
              </w:rPr>
              <w:t>7</w:t>
            </w:r>
          </w:p>
        </w:tc>
        <w:tc>
          <w:tcPr>
            <w:tcW w:w="2010" w:type="dxa"/>
            <w:noWrap/>
            <w:vAlign w:val="center"/>
          </w:tcPr>
          <w:p w14:paraId="00EC16B1">
            <w:pPr>
              <w:jc w:val="center"/>
            </w:pPr>
            <w:r>
              <w:rPr>
                <w:rFonts w:hint="eastAsia" w:cs="宋体"/>
              </w:rPr>
              <w:t>8小时</w:t>
            </w:r>
          </w:p>
        </w:tc>
        <w:tc>
          <w:tcPr>
            <w:tcW w:w="1125" w:type="dxa"/>
            <w:vAlign w:val="center"/>
          </w:tcPr>
          <w:p w14:paraId="35EF14BA">
            <w:pPr>
              <w:jc w:val="center"/>
            </w:pPr>
            <w:r>
              <w:rPr>
                <w:rFonts w:hint="eastAsia"/>
              </w:rPr>
              <w:t>10.08</w:t>
            </w:r>
          </w:p>
        </w:tc>
        <w:tc>
          <w:tcPr>
            <w:tcW w:w="1282" w:type="dxa"/>
            <w:noWrap/>
            <w:vAlign w:val="center"/>
          </w:tcPr>
          <w:p w14:paraId="16A28563">
            <w:pPr>
              <w:jc w:val="center"/>
            </w:pPr>
            <w:r>
              <w:rPr>
                <w:rFonts w:hint="eastAsia"/>
              </w:rPr>
              <w:t>关键岗位</w:t>
            </w:r>
          </w:p>
        </w:tc>
      </w:tr>
      <w:tr w14:paraId="0C9B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31A02127">
            <w:pPr>
              <w:jc w:val="center"/>
            </w:pPr>
            <w:r>
              <w:rPr>
                <w:rFonts w:hint="eastAsia"/>
              </w:rPr>
              <w:t>2</w:t>
            </w:r>
          </w:p>
        </w:tc>
        <w:tc>
          <w:tcPr>
            <w:tcW w:w="1956" w:type="dxa"/>
            <w:noWrap/>
            <w:vAlign w:val="center"/>
          </w:tcPr>
          <w:p w14:paraId="659C9221">
            <w:pPr>
              <w:jc w:val="center"/>
            </w:pPr>
            <w:r>
              <w:rPr>
                <w:rFonts w:hint="eastAsia"/>
              </w:rPr>
              <w:t>科普教员</w:t>
            </w:r>
          </w:p>
        </w:tc>
        <w:tc>
          <w:tcPr>
            <w:tcW w:w="720" w:type="dxa"/>
            <w:noWrap/>
            <w:vAlign w:val="center"/>
          </w:tcPr>
          <w:p w14:paraId="47EFF625">
            <w:pPr>
              <w:jc w:val="center"/>
            </w:pPr>
            <w:r>
              <w:rPr>
                <w:rFonts w:hint="eastAsia"/>
              </w:rPr>
              <w:t>10</w:t>
            </w:r>
          </w:p>
        </w:tc>
        <w:tc>
          <w:tcPr>
            <w:tcW w:w="2010" w:type="dxa"/>
            <w:noWrap/>
            <w:vAlign w:val="center"/>
          </w:tcPr>
          <w:p w14:paraId="54A9ED81">
            <w:pPr>
              <w:jc w:val="center"/>
            </w:pPr>
            <w:r>
              <w:rPr>
                <w:rFonts w:hint="eastAsia" w:cs="宋体"/>
              </w:rPr>
              <w:t>8小时</w:t>
            </w:r>
          </w:p>
        </w:tc>
        <w:tc>
          <w:tcPr>
            <w:tcW w:w="1125" w:type="dxa"/>
            <w:vAlign w:val="center"/>
          </w:tcPr>
          <w:p w14:paraId="08BB80E6">
            <w:pPr>
              <w:jc w:val="center"/>
            </w:pPr>
            <w:r>
              <w:rPr>
                <w:rFonts w:hint="eastAsia"/>
              </w:rPr>
              <w:t>14.4</w:t>
            </w:r>
          </w:p>
        </w:tc>
        <w:tc>
          <w:tcPr>
            <w:tcW w:w="1282" w:type="dxa"/>
            <w:noWrap/>
            <w:vAlign w:val="center"/>
          </w:tcPr>
          <w:p w14:paraId="5F4212CB">
            <w:pPr>
              <w:jc w:val="center"/>
            </w:pPr>
          </w:p>
        </w:tc>
      </w:tr>
      <w:tr w14:paraId="56D1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0819BAD9">
            <w:pPr>
              <w:jc w:val="center"/>
            </w:pPr>
            <w:r>
              <w:rPr>
                <w:rFonts w:hint="eastAsia"/>
              </w:rPr>
              <w:t>3</w:t>
            </w:r>
          </w:p>
        </w:tc>
        <w:tc>
          <w:tcPr>
            <w:tcW w:w="1956" w:type="dxa"/>
            <w:noWrap/>
            <w:vAlign w:val="center"/>
          </w:tcPr>
          <w:p w14:paraId="3B9FC215">
            <w:pPr>
              <w:jc w:val="center"/>
            </w:pPr>
            <w:r>
              <w:rPr>
                <w:rFonts w:hint="eastAsia"/>
              </w:rPr>
              <w:t>售票</w:t>
            </w:r>
          </w:p>
        </w:tc>
        <w:tc>
          <w:tcPr>
            <w:tcW w:w="720" w:type="dxa"/>
            <w:noWrap/>
            <w:vAlign w:val="center"/>
          </w:tcPr>
          <w:p w14:paraId="7CF8C61F">
            <w:pPr>
              <w:jc w:val="center"/>
            </w:pPr>
            <w:r>
              <w:rPr>
                <w:rFonts w:hint="eastAsia"/>
              </w:rPr>
              <w:t>4</w:t>
            </w:r>
          </w:p>
        </w:tc>
        <w:tc>
          <w:tcPr>
            <w:tcW w:w="2010" w:type="dxa"/>
            <w:noWrap/>
            <w:vAlign w:val="center"/>
          </w:tcPr>
          <w:p w14:paraId="15AE28F2">
            <w:pPr>
              <w:jc w:val="center"/>
            </w:pPr>
            <w:r>
              <w:rPr>
                <w:rFonts w:hint="eastAsia" w:cs="宋体"/>
              </w:rPr>
              <w:t>8小时</w:t>
            </w:r>
          </w:p>
        </w:tc>
        <w:tc>
          <w:tcPr>
            <w:tcW w:w="1125" w:type="dxa"/>
            <w:vAlign w:val="center"/>
          </w:tcPr>
          <w:p w14:paraId="269325F9">
            <w:pPr>
              <w:jc w:val="center"/>
            </w:pPr>
            <w:r>
              <w:rPr>
                <w:rFonts w:hint="eastAsia"/>
              </w:rPr>
              <w:t>5.76</w:t>
            </w:r>
          </w:p>
        </w:tc>
        <w:tc>
          <w:tcPr>
            <w:tcW w:w="1282" w:type="dxa"/>
            <w:noWrap/>
            <w:vAlign w:val="center"/>
          </w:tcPr>
          <w:p w14:paraId="1D1F20FD">
            <w:pPr>
              <w:jc w:val="center"/>
            </w:pPr>
          </w:p>
        </w:tc>
      </w:tr>
      <w:tr w14:paraId="7767F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0C0E0488">
            <w:pPr>
              <w:jc w:val="center"/>
            </w:pPr>
            <w:r>
              <w:rPr>
                <w:rFonts w:hint="eastAsia"/>
              </w:rPr>
              <w:t>4</w:t>
            </w:r>
          </w:p>
        </w:tc>
        <w:tc>
          <w:tcPr>
            <w:tcW w:w="1956" w:type="dxa"/>
            <w:noWrap/>
            <w:vAlign w:val="center"/>
          </w:tcPr>
          <w:p w14:paraId="2DF35614">
            <w:pPr>
              <w:jc w:val="center"/>
            </w:pPr>
            <w:r>
              <w:rPr>
                <w:rFonts w:hint="eastAsia"/>
              </w:rPr>
              <w:t>检票</w:t>
            </w:r>
          </w:p>
        </w:tc>
        <w:tc>
          <w:tcPr>
            <w:tcW w:w="720" w:type="dxa"/>
            <w:noWrap/>
            <w:vAlign w:val="center"/>
          </w:tcPr>
          <w:p w14:paraId="476D7CCA">
            <w:pPr>
              <w:jc w:val="center"/>
            </w:pPr>
            <w:r>
              <w:rPr>
                <w:rFonts w:hint="eastAsia"/>
              </w:rPr>
              <w:t>7</w:t>
            </w:r>
          </w:p>
        </w:tc>
        <w:tc>
          <w:tcPr>
            <w:tcW w:w="2010" w:type="dxa"/>
            <w:noWrap/>
            <w:vAlign w:val="center"/>
          </w:tcPr>
          <w:p w14:paraId="66060909">
            <w:pPr>
              <w:jc w:val="center"/>
            </w:pPr>
            <w:r>
              <w:rPr>
                <w:rFonts w:hint="eastAsia" w:cs="宋体"/>
              </w:rPr>
              <w:t>8小时</w:t>
            </w:r>
          </w:p>
        </w:tc>
        <w:tc>
          <w:tcPr>
            <w:tcW w:w="1125" w:type="dxa"/>
            <w:vAlign w:val="center"/>
          </w:tcPr>
          <w:p w14:paraId="0BF0EB0E">
            <w:pPr>
              <w:jc w:val="center"/>
            </w:pPr>
            <w:r>
              <w:rPr>
                <w:rFonts w:hint="eastAsia"/>
              </w:rPr>
              <w:t>10.08</w:t>
            </w:r>
          </w:p>
        </w:tc>
        <w:tc>
          <w:tcPr>
            <w:tcW w:w="1282" w:type="dxa"/>
            <w:noWrap/>
            <w:vAlign w:val="center"/>
          </w:tcPr>
          <w:p w14:paraId="464B8EA3">
            <w:pPr>
              <w:jc w:val="center"/>
            </w:pPr>
          </w:p>
        </w:tc>
      </w:tr>
      <w:tr w14:paraId="36F8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4F302C98">
            <w:pPr>
              <w:jc w:val="center"/>
            </w:pPr>
            <w:r>
              <w:rPr>
                <w:rFonts w:hint="eastAsia"/>
              </w:rPr>
              <w:t>5</w:t>
            </w:r>
          </w:p>
        </w:tc>
        <w:tc>
          <w:tcPr>
            <w:tcW w:w="1956" w:type="dxa"/>
            <w:noWrap/>
            <w:vAlign w:val="center"/>
          </w:tcPr>
          <w:p w14:paraId="723CC464">
            <w:pPr>
              <w:jc w:val="center"/>
            </w:pPr>
            <w:r>
              <w:rPr>
                <w:rFonts w:hint="eastAsia" w:ascii="宋体" w:hAnsi="宋体" w:cs="宋体"/>
              </w:rPr>
              <w:t>寄存处</w:t>
            </w:r>
          </w:p>
        </w:tc>
        <w:tc>
          <w:tcPr>
            <w:tcW w:w="720" w:type="dxa"/>
            <w:noWrap/>
            <w:vAlign w:val="center"/>
          </w:tcPr>
          <w:p w14:paraId="5BC5AC92">
            <w:pPr>
              <w:jc w:val="center"/>
            </w:pPr>
            <w:r>
              <w:rPr>
                <w:rFonts w:hint="eastAsia"/>
              </w:rPr>
              <w:t>1</w:t>
            </w:r>
          </w:p>
        </w:tc>
        <w:tc>
          <w:tcPr>
            <w:tcW w:w="2010" w:type="dxa"/>
            <w:noWrap/>
            <w:vAlign w:val="center"/>
          </w:tcPr>
          <w:p w14:paraId="76395FBE">
            <w:pPr>
              <w:jc w:val="center"/>
            </w:pPr>
            <w:r>
              <w:rPr>
                <w:rFonts w:hint="eastAsia" w:cs="宋体"/>
              </w:rPr>
              <w:t>8小时</w:t>
            </w:r>
          </w:p>
        </w:tc>
        <w:tc>
          <w:tcPr>
            <w:tcW w:w="1125" w:type="dxa"/>
            <w:vAlign w:val="center"/>
          </w:tcPr>
          <w:p w14:paraId="5E77D0A7">
            <w:pPr>
              <w:jc w:val="center"/>
            </w:pPr>
            <w:r>
              <w:rPr>
                <w:rFonts w:hint="eastAsia"/>
              </w:rPr>
              <w:t>1.44</w:t>
            </w:r>
          </w:p>
        </w:tc>
        <w:tc>
          <w:tcPr>
            <w:tcW w:w="1282" w:type="dxa"/>
            <w:noWrap/>
            <w:vAlign w:val="center"/>
          </w:tcPr>
          <w:p w14:paraId="56EBD9F4">
            <w:pPr>
              <w:jc w:val="center"/>
            </w:pPr>
          </w:p>
        </w:tc>
      </w:tr>
      <w:tr w14:paraId="61750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5B211CBF">
            <w:pPr>
              <w:jc w:val="center"/>
            </w:pPr>
            <w:r>
              <w:rPr>
                <w:rFonts w:hint="eastAsia"/>
              </w:rPr>
              <w:t>6</w:t>
            </w:r>
          </w:p>
        </w:tc>
        <w:tc>
          <w:tcPr>
            <w:tcW w:w="1956" w:type="dxa"/>
            <w:noWrap/>
            <w:vAlign w:val="center"/>
          </w:tcPr>
          <w:p w14:paraId="5E75385F">
            <w:pPr>
              <w:jc w:val="center"/>
              <w:rPr>
                <w:rFonts w:ascii="宋体" w:hAnsi="宋体" w:cs="宋体"/>
              </w:rPr>
            </w:pPr>
            <w:r>
              <w:rPr>
                <w:rFonts w:hint="eastAsia" w:ascii="宋体" w:hAnsi="宋体" w:cs="宋体"/>
              </w:rPr>
              <w:t>游客引导</w:t>
            </w:r>
          </w:p>
        </w:tc>
        <w:tc>
          <w:tcPr>
            <w:tcW w:w="720" w:type="dxa"/>
            <w:noWrap/>
            <w:vAlign w:val="center"/>
          </w:tcPr>
          <w:p w14:paraId="4AC23298">
            <w:pPr>
              <w:jc w:val="center"/>
            </w:pPr>
            <w:r>
              <w:rPr>
                <w:rFonts w:hint="eastAsia"/>
              </w:rPr>
              <w:t>6</w:t>
            </w:r>
          </w:p>
        </w:tc>
        <w:tc>
          <w:tcPr>
            <w:tcW w:w="2010" w:type="dxa"/>
            <w:noWrap/>
            <w:vAlign w:val="center"/>
          </w:tcPr>
          <w:p w14:paraId="7BCB409E">
            <w:pPr>
              <w:jc w:val="center"/>
              <w:rPr>
                <w:rFonts w:cs="宋体"/>
              </w:rPr>
            </w:pPr>
            <w:r>
              <w:rPr>
                <w:rFonts w:hint="eastAsia" w:cs="宋体"/>
              </w:rPr>
              <w:t>8小时</w:t>
            </w:r>
          </w:p>
        </w:tc>
        <w:tc>
          <w:tcPr>
            <w:tcW w:w="1125" w:type="dxa"/>
            <w:vAlign w:val="center"/>
          </w:tcPr>
          <w:p w14:paraId="7BCE753F">
            <w:pPr>
              <w:jc w:val="center"/>
            </w:pPr>
            <w:r>
              <w:rPr>
                <w:rFonts w:hint="eastAsia"/>
              </w:rPr>
              <w:t>8.64</w:t>
            </w:r>
          </w:p>
        </w:tc>
        <w:tc>
          <w:tcPr>
            <w:tcW w:w="1282" w:type="dxa"/>
            <w:noWrap/>
            <w:vAlign w:val="center"/>
          </w:tcPr>
          <w:p w14:paraId="78477BE5">
            <w:pPr>
              <w:jc w:val="center"/>
            </w:pPr>
          </w:p>
        </w:tc>
      </w:tr>
      <w:tr w14:paraId="7B5D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03EB39FB">
            <w:pPr>
              <w:jc w:val="center"/>
            </w:pPr>
            <w:r>
              <w:rPr>
                <w:rFonts w:hint="eastAsia"/>
              </w:rPr>
              <w:t>7</w:t>
            </w:r>
          </w:p>
        </w:tc>
        <w:tc>
          <w:tcPr>
            <w:tcW w:w="1956" w:type="dxa"/>
            <w:noWrap/>
            <w:vAlign w:val="center"/>
          </w:tcPr>
          <w:p w14:paraId="3CC69AD5">
            <w:pPr>
              <w:jc w:val="center"/>
            </w:pPr>
            <w:r>
              <w:rPr>
                <w:rFonts w:hint="eastAsia" w:ascii="宋体" w:hAnsi="宋体" w:cs="宋体"/>
              </w:rPr>
              <w:t>综合服务</w:t>
            </w:r>
          </w:p>
        </w:tc>
        <w:tc>
          <w:tcPr>
            <w:tcW w:w="720" w:type="dxa"/>
            <w:noWrap/>
            <w:vAlign w:val="center"/>
          </w:tcPr>
          <w:p w14:paraId="7E7C0F04">
            <w:pPr>
              <w:jc w:val="center"/>
            </w:pPr>
            <w:r>
              <w:rPr>
                <w:rFonts w:hint="eastAsia"/>
              </w:rPr>
              <w:t>10</w:t>
            </w:r>
          </w:p>
        </w:tc>
        <w:tc>
          <w:tcPr>
            <w:tcW w:w="2010" w:type="dxa"/>
            <w:noWrap/>
            <w:vAlign w:val="center"/>
          </w:tcPr>
          <w:p w14:paraId="74623C06">
            <w:pPr>
              <w:jc w:val="center"/>
            </w:pPr>
            <w:r>
              <w:rPr>
                <w:rFonts w:hint="eastAsia" w:cs="宋体"/>
              </w:rPr>
              <w:t>8小时</w:t>
            </w:r>
          </w:p>
        </w:tc>
        <w:tc>
          <w:tcPr>
            <w:tcW w:w="1125" w:type="dxa"/>
            <w:vAlign w:val="center"/>
          </w:tcPr>
          <w:p w14:paraId="7D7A150A">
            <w:pPr>
              <w:jc w:val="center"/>
            </w:pPr>
            <w:r>
              <w:rPr>
                <w:rFonts w:hint="eastAsia"/>
              </w:rPr>
              <w:t>14.4</w:t>
            </w:r>
          </w:p>
        </w:tc>
        <w:tc>
          <w:tcPr>
            <w:tcW w:w="1282" w:type="dxa"/>
            <w:noWrap/>
            <w:vAlign w:val="center"/>
          </w:tcPr>
          <w:p w14:paraId="2D839184">
            <w:pPr>
              <w:jc w:val="center"/>
            </w:pPr>
          </w:p>
        </w:tc>
      </w:tr>
      <w:tr w14:paraId="1B62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028AC2EA">
            <w:pPr>
              <w:jc w:val="center"/>
            </w:pPr>
            <w:r>
              <w:rPr>
                <w:rFonts w:hint="eastAsia"/>
              </w:rPr>
              <w:t>8</w:t>
            </w:r>
          </w:p>
        </w:tc>
        <w:tc>
          <w:tcPr>
            <w:tcW w:w="1956" w:type="dxa"/>
            <w:noWrap/>
            <w:vAlign w:val="center"/>
          </w:tcPr>
          <w:p w14:paraId="754C8157">
            <w:pPr>
              <w:jc w:val="center"/>
            </w:pPr>
            <w:r>
              <w:rPr>
                <w:rFonts w:hint="eastAsia" w:ascii="宋体" w:hAnsi="宋体" w:cs="宋体"/>
              </w:rPr>
              <w:t>物业物资采购岗</w:t>
            </w:r>
          </w:p>
        </w:tc>
        <w:tc>
          <w:tcPr>
            <w:tcW w:w="720" w:type="dxa"/>
            <w:noWrap/>
            <w:vAlign w:val="center"/>
          </w:tcPr>
          <w:p w14:paraId="4CBD6F7A">
            <w:pPr>
              <w:jc w:val="center"/>
            </w:pPr>
            <w:r>
              <w:rPr>
                <w:rFonts w:hint="eastAsia"/>
              </w:rPr>
              <w:t>1</w:t>
            </w:r>
          </w:p>
        </w:tc>
        <w:tc>
          <w:tcPr>
            <w:tcW w:w="2010" w:type="dxa"/>
            <w:noWrap/>
            <w:vAlign w:val="center"/>
          </w:tcPr>
          <w:p w14:paraId="5425CE90">
            <w:pPr>
              <w:jc w:val="center"/>
            </w:pPr>
            <w:r>
              <w:rPr>
                <w:rFonts w:hint="eastAsia" w:cs="宋体"/>
              </w:rPr>
              <w:t>8小时</w:t>
            </w:r>
          </w:p>
        </w:tc>
        <w:tc>
          <w:tcPr>
            <w:tcW w:w="1125" w:type="dxa"/>
            <w:vAlign w:val="center"/>
          </w:tcPr>
          <w:p w14:paraId="69D9A1F0">
            <w:pPr>
              <w:jc w:val="center"/>
            </w:pPr>
            <w:r>
              <w:rPr>
                <w:rFonts w:hint="eastAsia"/>
              </w:rPr>
              <w:t>1.44</w:t>
            </w:r>
          </w:p>
        </w:tc>
        <w:tc>
          <w:tcPr>
            <w:tcW w:w="1282" w:type="dxa"/>
            <w:noWrap/>
            <w:vAlign w:val="center"/>
          </w:tcPr>
          <w:p w14:paraId="26D258B0">
            <w:pPr>
              <w:jc w:val="center"/>
            </w:pPr>
          </w:p>
        </w:tc>
      </w:tr>
      <w:tr w14:paraId="1473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89" w:hRule="atLeast"/>
        </w:trPr>
        <w:tc>
          <w:tcPr>
            <w:tcW w:w="722" w:type="dxa"/>
            <w:gridSpan w:val="2"/>
            <w:tcBorders>
              <w:bottom w:val="nil"/>
            </w:tcBorders>
            <w:noWrap/>
            <w:vAlign w:val="center"/>
          </w:tcPr>
          <w:p w14:paraId="5650DDAD">
            <w:pPr>
              <w:jc w:val="center"/>
            </w:pPr>
            <w:r>
              <w:rPr>
                <w:rFonts w:hint="eastAsia"/>
              </w:rPr>
              <w:t>9</w:t>
            </w:r>
          </w:p>
        </w:tc>
        <w:tc>
          <w:tcPr>
            <w:tcW w:w="1956" w:type="dxa"/>
            <w:noWrap/>
            <w:vAlign w:val="center"/>
          </w:tcPr>
          <w:p w14:paraId="4835CB12">
            <w:pPr>
              <w:jc w:val="center"/>
            </w:pPr>
            <w:r>
              <w:rPr>
                <w:rFonts w:hint="eastAsia" w:cs="宋体"/>
              </w:rPr>
              <w:t>综合仓库管理岗</w:t>
            </w:r>
          </w:p>
        </w:tc>
        <w:tc>
          <w:tcPr>
            <w:tcW w:w="720" w:type="dxa"/>
            <w:noWrap/>
            <w:vAlign w:val="center"/>
          </w:tcPr>
          <w:p w14:paraId="2B5522CC">
            <w:pPr>
              <w:jc w:val="center"/>
            </w:pPr>
            <w:r>
              <w:rPr>
                <w:rFonts w:hint="eastAsia"/>
              </w:rPr>
              <w:t>1</w:t>
            </w:r>
          </w:p>
        </w:tc>
        <w:tc>
          <w:tcPr>
            <w:tcW w:w="2010" w:type="dxa"/>
            <w:noWrap/>
            <w:vAlign w:val="center"/>
          </w:tcPr>
          <w:p w14:paraId="70B74D78">
            <w:pPr>
              <w:jc w:val="center"/>
            </w:pPr>
            <w:r>
              <w:rPr>
                <w:rFonts w:hint="eastAsia" w:cs="宋体"/>
              </w:rPr>
              <w:t>8小时</w:t>
            </w:r>
          </w:p>
        </w:tc>
        <w:tc>
          <w:tcPr>
            <w:tcW w:w="1125" w:type="dxa"/>
            <w:vAlign w:val="center"/>
          </w:tcPr>
          <w:p w14:paraId="6C209DAE">
            <w:pPr>
              <w:jc w:val="center"/>
              <w:rPr>
                <w:rFonts w:cs="宋体"/>
              </w:rPr>
            </w:pPr>
            <w:r>
              <w:rPr>
                <w:rFonts w:hint="eastAsia" w:cs="宋体"/>
              </w:rPr>
              <w:t>1.44</w:t>
            </w:r>
          </w:p>
        </w:tc>
        <w:tc>
          <w:tcPr>
            <w:tcW w:w="1282" w:type="dxa"/>
            <w:noWrap/>
            <w:vAlign w:val="center"/>
          </w:tcPr>
          <w:p w14:paraId="7900A90E">
            <w:pPr>
              <w:jc w:val="center"/>
            </w:pPr>
          </w:p>
        </w:tc>
      </w:tr>
      <w:tr w14:paraId="770E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1B964887">
            <w:pPr>
              <w:jc w:val="center"/>
            </w:pPr>
            <w:r>
              <w:rPr>
                <w:rFonts w:hint="eastAsia"/>
              </w:rPr>
              <w:t>10</w:t>
            </w:r>
          </w:p>
        </w:tc>
        <w:tc>
          <w:tcPr>
            <w:tcW w:w="1956" w:type="dxa"/>
            <w:noWrap/>
            <w:vAlign w:val="center"/>
          </w:tcPr>
          <w:p w14:paraId="45C5C63D">
            <w:pPr>
              <w:jc w:val="center"/>
            </w:pPr>
            <w:r>
              <w:rPr>
                <w:rFonts w:hint="eastAsia" w:cs="宋体"/>
              </w:rPr>
              <w:t>收发室客户服务岗</w:t>
            </w:r>
          </w:p>
        </w:tc>
        <w:tc>
          <w:tcPr>
            <w:tcW w:w="720" w:type="dxa"/>
            <w:noWrap/>
            <w:vAlign w:val="center"/>
          </w:tcPr>
          <w:p w14:paraId="5520DB34">
            <w:pPr>
              <w:jc w:val="center"/>
            </w:pPr>
            <w:r>
              <w:rPr>
                <w:rFonts w:hint="eastAsia"/>
              </w:rPr>
              <w:t>1</w:t>
            </w:r>
          </w:p>
        </w:tc>
        <w:tc>
          <w:tcPr>
            <w:tcW w:w="2010" w:type="dxa"/>
            <w:noWrap/>
            <w:vAlign w:val="center"/>
          </w:tcPr>
          <w:p w14:paraId="50CD3E07">
            <w:pPr>
              <w:jc w:val="center"/>
            </w:pPr>
            <w:r>
              <w:rPr>
                <w:rFonts w:hint="eastAsia" w:cs="宋体"/>
              </w:rPr>
              <w:t>8小时</w:t>
            </w:r>
          </w:p>
        </w:tc>
        <w:tc>
          <w:tcPr>
            <w:tcW w:w="1125" w:type="dxa"/>
            <w:vAlign w:val="center"/>
          </w:tcPr>
          <w:p w14:paraId="3317895A">
            <w:pPr>
              <w:jc w:val="center"/>
            </w:pPr>
            <w:r>
              <w:rPr>
                <w:rFonts w:hint="eastAsia"/>
              </w:rPr>
              <w:t>1.44</w:t>
            </w:r>
          </w:p>
        </w:tc>
        <w:tc>
          <w:tcPr>
            <w:tcW w:w="1282" w:type="dxa"/>
            <w:noWrap/>
            <w:vAlign w:val="center"/>
          </w:tcPr>
          <w:p w14:paraId="72854A96">
            <w:pPr>
              <w:jc w:val="center"/>
            </w:pPr>
          </w:p>
        </w:tc>
      </w:tr>
      <w:tr w14:paraId="05754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0869344D">
            <w:pPr>
              <w:jc w:val="center"/>
            </w:pPr>
            <w:r>
              <w:rPr>
                <w:rFonts w:hint="eastAsia"/>
              </w:rPr>
              <w:t>11</w:t>
            </w:r>
          </w:p>
        </w:tc>
        <w:tc>
          <w:tcPr>
            <w:tcW w:w="1956" w:type="dxa"/>
            <w:noWrap/>
            <w:vAlign w:val="center"/>
          </w:tcPr>
          <w:p w14:paraId="1E08C35B">
            <w:pPr>
              <w:jc w:val="center"/>
            </w:pPr>
            <w:r>
              <w:rPr>
                <w:rFonts w:hint="eastAsia" w:cs="宋体"/>
              </w:rPr>
              <w:t>水房</w:t>
            </w:r>
          </w:p>
        </w:tc>
        <w:tc>
          <w:tcPr>
            <w:tcW w:w="720" w:type="dxa"/>
            <w:noWrap/>
            <w:vAlign w:val="center"/>
          </w:tcPr>
          <w:p w14:paraId="62D06BD7">
            <w:pPr>
              <w:jc w:val="center"/>
            </w:pPr>
            <w:r>
              <w:t>1</w:t>
            </w:r>
          </w:p>
        </w:tc>
        <w:tc>
          <w:tcPr>
            <w:tcW w:w="2010" w:type="dxa"/>
            <w:noWrap/>
            <w:vAlign w:val="center"/>
          </w:tcPr>
          <w:p w14:paraId="472B4E52">
            <w:pPr>
              <w:jc w:val="center"/>
            </w:pPr>
            <w:r>
              <w:rPr>
                <w:rFonts w:hint="eastAsia" w:cs="宋体"/>
              </w:rPr>
              <w:t>8小时</w:t>
            </w:r>
          </w:p>
        </w:tc>
        <w:tc>
          <w:tcPr>
            <w:tcW w:w="1125" w:type="dxa"/>
            <w:vAlign w:val="center"/>
          </w:tcPr>
          <w:p w14:paraId="57358B4D">
            <w:pPr>
              <w:jc w:val="center"/>
            </w:pPr>
            <w:r>
              <w:rPr>
                <w:rFonts w:hint="eastAsia"/>
              </w:rPr>
              <w:t>1.44</w:t>
            </w:r>
          </w:p>
        </w:tc>
        <w:tc>
          <w:tcPr>
            <w:tcW w:w="1282" w:type="dxa"/>
            <w:noWrap/>
            <w:vAlign w:val="center"/>
          </w:tcPr>
          <w:p w14:paraId="54685EC0">
            <w:pPr>
              <w:jc w:val="center"/>
            </w:pPr>
          </w:p>
        </w:tc>
      </w:tr>
      <w:tr w14:paraId="068A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62F7293B">
            <w:pPr>
              <w:jc w:val="center"/>
            </w:pPr>
          </w:p>
        </w:tc>
        <w:tc>
          <w:tcPr>
            <w:tcW w:w="1956" w:type="dxa"/>
            <w:noWrap/>
            <w:vAlign w:val="center"/>
          </w:tcPr>
          <w:p w14:paraId="2857C224"/>
        </w:tc>
        <w:tc>
          <w:tcPr>
            <w:tcW w:w="720" w:type="dxa"/>
            <w:noWrap/>
            <w:vAlign w:val="center"/>
          </w:tcPr>
          <w:p w14:paraId="2876C756">
            <w:pPr>
              <w:jc w:val="center"/>
            </w:pPr>
            <w:r>
              <w:rPr>
                <w:rFonts w:hint="eastAsia"/>
              </w:rPr>
              <w:t>49</w:t>
            </w:r>
          </w:p>
        </w:tc>
        <w:tc>
          <w:tcPr>
            <w:tcW w:w="2010" w:type="dxa"/>
            <w:noWrap/>
            <w:vAlign w:val="center"/>
          </w:tcPr>
          <w:p w14:paraId="1A18AA0A">
            <w:pPr>
              <w:jc w:val="center"/>
            </w:pPr>
          </w:p>
        </w:tc>
        <w:tc>
          <w:tcPr>
            <w:tcW w:w="1125" w:type="dxa"/>
            <w:vAlign w:val="center"/>
          </w:tcPr>
          <w:p w14:paraId="585CBF1A">
            <w:pPr>
              <w:jc w:val="center"/>
            </w:pPr>
            <w:r>
              <w:rPr>
                <w:rFonts w:hint="eastAsia"/>
              </w:rPr>
              <w:t>70.56</w:t>
            </w:r>
          </w:p>
        </w:tc>
        <w:tc>
          <w:tcPr>
            <w:tcW w:w="1282" w:type="dxa"/>
            <w:noWrap/>
            <w:vAlign w:val="center"/>
          </w:tcPr>
          <w:p w14:paraId="3E346068">
            <w:pPr>
              <w:jc w:val="center"/>
            </w:pPr>
          </w:p>
        </w:tc>
      </w:tr>
      <w:tr w14:paraId="0195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1233" w:type="dxa"/>
            <w:gridSpan w:val="2"/>
            <w:tcBorders>
              <w:top w:val="nil"/>
              <w:left w:val="nil"/>
              <w:bottom w:val="nil"/>
              <w:right w:val="nil"/>
            </w:tcBorders>
          </w:tcPr>
          <w:p w14:paraId="4D9AA151">
            <w:pPr>
              <w:jc w:val="center"/>
            </w:pPr>
          </w:p>
        </w:tc>
        <w:tc>
          <w:tcPr>
            <w:tcW w:w="7281" w:type="dxa"/>
            <w:gridSpan w:val="6"/>
            <w:tcBorders>
              <w:top w:val="nil"/>
              <w:left w:val="nil"/>
              <w:bottom w:val="nil"/>
              <w:right w:val="nil"/>
            </w:tcBorders>
            <w:noWrap/>
            <w:vAlign w:val="center"/>
          </w:tcPr>
          <w:p w14:paraId="40221B08">
            <w:pPr>
              <w:jc w:val="center"/>
            </w:pPr>
            <w:r>
              <w:t>设备设施管理</w:t>
            </w:r>
          </w:p>
        </w:tc>
      </w:tr>
      <w:tr w14:paraId="462E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restart"/>
            <w:tcBorders>
              <w:top w:val="nil"/>
              <w:left w:val="nil"/>
            </w:tcBorders>
            <w:noWrap/>
            <w:vAlign w:val="center"/>
          </w:tcPr>
          <w:p w14:paraId="370B640C">
            <w:pPr>
              <w:jc w:val="center"/>
            </w:pPr>
          </w:p>
        </w:tc>
        <w:tc>
          <w:tcPr>
            <w:tcW w:w="722" w:type="dxa"/>
            <w:gridSpan w:val="2"/>
            <w:noWrap/>
            <w:vAlign w:val="center"/>
          </w:tcPr>
          <w:p w14:paraId="7104B9D4">
            <w:pPr>
              <w:jc w:val="center"/>
            </w:pPr>
            <w:r>
              <w:rPr>
                <w:rFonts w:hint="eastAsia"/>
              </w:rPr>
              <w:t>序号</w:t>
            </w:r>
          </w:p>
        </w:tc>
        <w:tc>
          <w:tcPr>
            <w:tcW w:w="1956" w:type="dxa"/>
            <w:noWrap/>
            <w:vAlign w:val="center"/>
          </w:tcPr>
          <w:p w14:paraId="3E6AD268">
            <w:pPr>
              <w:jc w:val="center"/>
            </w:pPr>
            <w:r>
              <w:rPr>
                <w:rFonts w:hint="eastAsia" w:cs="宋体"/>
              </w:rPr>
              <w:t>岗位名称</w:t>
            </w:r>
          </w:p>
        </w:tc>
        <w:tc>
          <w:tcPr>
            <w:tcW w:w="720" w:type="dxa"/>
            <w:noWrap/>
            <w:vAlign w:val="center"/>
          </w:tcPr>
          <w:p w14:paraId="37EA311A">
            <w:pPr>
              <w:jc w:val="center"/>
            </w:pPr>
            <w:r>
              <w:t>岗位数</w:t>
            </w:r>
          </w:p>
        </w:tc>
        <w:tc>
          <w:tcPr>
            <w:tcW w:w="2010" w:type="dxa"/>
            <w:noWrap/>
            <w:vAlign w:val="center"/>
          </w:tcPr>
          <w:p w14:paraId="4CDA9208">
            <w:pPr>
              <w:jc w:val="center"/>
            </w:pPr>
            <w:r>
              <w:rPr>
                <w:rFonts w:hint="eastAsia" w:cs="宋体"/>
              </w:rPr>
              <w:t>服务时间</w:t>
            </w:r>
          </w:p>
        </w:tc>
        <w:tc>
          <w:tcPr>
            <w:tcW w:w="1125" w:type="dxa"/>
            <w:vAlign w:val="center"/>
          </w:tcPr>
          <w:p w14:paraId="6146D4B2">
            <w:pPr>
              <w:jc w:val="center"/>
              <w:rPr>
                <w:rFonts w:cs="宋体"/>
              </w:rPr>
            </w:pPr>
            <w:r>
              <w:rPr>
                <w:rFonts w:hint="eastAsia" w:cs="宋体"/>
              </w:rPr>
              <w:t>人数</w:t>
            </w:r>
          </w:p>
        </w:tc>
        <w:tc>
          <w:tcPr>
            <w:tcW w:w="1282" w:type="dxa"/>
            <w:noWrap/>
            <w:vAlign w:val="center"/>
          </w:tcPr>
          <w:p w14:paraId="5F505AFC">
            <w:pPr>
              <w:jc w:val="center"/>
            </w:pPr>
            <w:r>
              <w:rPr>
                <w:rFonts w:hint="eastAsia" w:cs="宋体"/>
              </w:rPr>
              <w:t>备注</w:t>
            </w:r>
          </w:p>
        </w:tc>
      </w:tr>
      <w:tr w14:paraId="1B04A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763BD8CC">
            <w:pPr>
              <w:jc w:val="center"/>
            </w:pPr>
          </w:p>
        </w:tc>
        <w:tc>
          <w:tcPr>
            <w:tcW w:w="722" w:type="dxa"/>
            <w:gridSpan w:val="2"/>
            <w:noWrap/>
            <w:vAlign w:val="center"/>
          </w:tcPr>
          <w:p w14:paraId="55287A4C">
            <w:pPr>
              <w:jc w:val="center"/>
            </w:pPr>
            <w:r>
              <w:rPr>
                <w:rFonts w:hint="eastAsia"/>
              </w:rPr>
              <w:t>1</w:t>
            </w:r>
          </w:p>
        </w:tc>
        <w:tc>
          <w:tcPr>
            <w:tcW w:w="1956" w:type="dxa"/>
            <w:noWrap/>
            <w:vAlign w:val="center"/>
          </w:tcPr>
          <w:p w14:paraId="292A8A4F">
            <w:pPr>
              <w:jc w:val="center"/>
              <w:rPr>
                <w:rFonts w:cs="宋体"/>
              </w:rPr>
            </w:pPr>
            <w:r>
              <w:rPr>
                <w:rFonts w:hint="eastAsia" w:cs="宋体"/>
              </w:rPr>
              <w:t>特种设备安全总监</w:t>
            </w:r>
          </w:p>
        </w:tc>
        <w:tc>
          <w:tcPr>
            <w:tcW w:w="720" w:type="dxa"/>
            <w:noWrap/>
            <w:vAlign w:val="center"/>
          </w:tcPr>
          <w:p w14:paraId="3B3B3E5C">
            <w:pPr>
              <w:jc w:val="center"/>
            </w:pPr>
            <w:r>
              <w:t>1</w:t>
            </w:r>
          </w:p>
        </w:tc>
        <w:tc>
          <w:tcPr>
            <w:tcW w:w="2010" w:type="dxa"/>
            <w:noWrap/>
            <w:vAlign w:val="center"/>
          </w:tcPr>
          <w:p w14:paraId="33B4171B">
            <w:pPr>
              <w:jc w:val="center"/>
              <w:rPr>
                <w:rFonts w:cs="宋体"/>
              </w:rPr>
            </w:pPr>
            <w:r>
              <w:rPr>
                <w:rFonts w:hint="eastAsia" w:cs="宋体"/>
              </w:rPr>
              <w:t>8小时</w:t>
            </w:r>
          </w:p>
        </w:tc>
        <w:tc>
          <w:tcPr>
            <w:tcW w:w="1125" w:type="dxa"/>
            <w:vAlign w:val="center"/>
          </w:tcPr>
          <w:p w14:paraId="51B845B3">
            <w:pPr>
              <w:jc w:val="center"/>
              <w:rPr>
                <w:rFonts w:cs="宋体"/>
              </w:rPr>
            </w:pPr>
            <w:r>
              <w:rPr>
                <w:rFonts w:hint="eastAsia" w:cs="宋体"/>
              </w:rPr>
              <w:t>1</w:t>
            </w:r>
          </w:p>
        </w:tc>
        <w:tc>
          <w:tcPr>
            <w:tcW w:w="1282" w:type="dxa"/>
            <w:noWrap/>
            <w:vAlign w:val="center"/>
          </w:tcPr>
          <w:p w14:paraId="5E717CDA">
            <w:pPr>
              <w:jc w:val="center"/>
              <w:rPr>
                <w:rFonts w:cs="宋体"/>
              </w:rPr>
            </w:pPr>
            <w:r>
              <w:rPr>
                <w:rFonts w:hint="eastAsia" w:cs="宋体"/>
              </w:rPr>
              <w:t>关键岗位</w:t>
            </w:r>
          </w:p>
        </w:tc>
      </w:tr>
      <w:tr w14:paraId="73A7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054C1B16">
            <w:pPr>
              <w:jc w:val="center"/>
            </w:pPr>
          </w:p>
        </w:tc>
        <w:tc>
          <w:tcPr>
            <w:tcW w:w="722" w:type="dxa"/>
            <w:gridSpan w:val="2"/>
            <w:noWrap/>
            <w:vAlign w:val="center"/>
          </w:tcPr>
          <w:p w14:paraId="2DEE874B">
            <w:pPr>
              <w:jc w:val="center"/>
            </w:pPr>
            <w:r>
              <w:rPr>
                <w:rFonts w:hint="eastAsia"/>
              </w:rPr>
              <w:t>2</w:t>
            </w:r>
          </w:p>
        </w:tc>
        <w:tc>
          <w:tcPr>
            <w:tcW w:w="1956" w:type="dxa"/>
            <w:noWrap/>
            <w:vAlign w:val="center"/>
          </w:tcPr>
          <w:p w14:paraId="2CA65746">
            <w:pPr>
              <w:jc w:val="center"/>
            </w:pPr>
            <w:r>
              <w:rPr>
                <w:rFonts w:hint="eastAsia" w:cs="宋体"/>
              </w:rPr>
              <w:t>电梯管理员</w:t>
            </w:r>
          </w:p>
        </w:tc>
        <w:tc>
          <w:tcPr>
            <w:tcW w:w="720" w:type="dxa"/>
            <w:noWrap/>
            <w:vAlign w:val="center"/>
          </w:tcPr>
          <w:p w14:paraId="2B652EEB">
            <w:pPr>
              <w:jc w:val="center"/>
            </w:pPr>
            <w:r>
              <w:t>1</w:t>
            </w:r>
          </w:p>
        </w:tc>
        <w:tc>
          <w:tcPr>
            <w:tcW w:w="2010" w:type="dxa"/>
            <w:noWrap/>
            <w:vAlign w:val="center"/>
          </w:tcPr>
          <w:p w14:paraId="5E515674">
            <w:pPr>
              <w:jc w:val="center"/>
            </w:pPr>
            <w:r>
              <w:rPr>
                <w:rFonts w:hint="eastAsia" w:cs="宋体"/>
              </w:rPr>
              <w:t>8小时</w:t>
            </w:r>
          </w:p>
        </w:tc>
        <w:tc>
          <w:tcPr>
            <w:tcW w:w="1125" w:type="dxa"/>
            <w:vAlign w:val="center"/>
          </w:tcPr>
          <w:p w14:paraId="3C11DA58">
            <w:pPr>
              <w:jc w:val="center"/>
            </w:pPr>
            <w:r>
              <w:rPr>
                <w:rFonts w:hint="eastAsia"/>
              </w:rPr>
              <w:t>1</w:t>
            </w:r>
          </w:p>
        </w:tc>
        <w:tc>
          <w:tcPr>
            <w:tcW w:w="1282" w:type="dxa"/>
            <w:noWrap/>
            <w:vAlign w:val="center"/>
          </w:tcPr>
          <w:p w14:paraId="2B5C8623">
            <w:pPr>
              <w:jc w:val="center"/>
            </w:pPr>
            <w:r>
              <w:rPr>
                <w:rFonts w:hint="eastAsia" w:cs="宋体"/>
              </w:rPr>
              <w:t>关键岗位</w:t>
            </w:r>
          </w:p>
        </w:tc>
      </w:tr>
      <w:tr w14:paraId="3F14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3698B95D">
            <w:pPr>
              <w:jc w:val="center"/>
            </w:pPr>
          </w:p>
        </w:tc>
        <w:tc>
          <w:tcPr>
            <w:tcW w:w="722" w:type="dxa"/>
            <w:gridSpan w:val="2"/>
            <w:noWrap/>
            <w:vAlign w:val="center"/>
          </w:tcPr>
          <w:p w14:paraId="45C6B290">
            <w:pPr>
              <w:jc w:val="center"/>
            </w:pPr>
            <w:r>
              <w:rPr>
                <w:rFonts w:hint="eastAsia"/>
              </w:rPr>
              <w:t>3</w:t>
            </w:r>
          </w:p>
        </w:tc>
        <w:tc>
          <w:tcPr>
            <w:tcW w:w="1956" w:type="dxa"/>
            <w:noWrap/>
            <w:vAlign w:val="center"/>
          </w:tcPr>
          <w:p w14:paraId="059358C5">
            <w:pPr>
              <w:jc w:val="center"/>
            </w:pPr>
            <w:r>
              <w:rPr>
                <w:rFonts w:hint="eastAsia" w:cs="宋体"/>
              </w:rPr>
              <w:t>物业报修服务</w:t>
            </w:r>
          </w:p>
        </w:tc>
        <w:tc>
          <w:tcPr>
            <w:tcW w:w="720" w:type="dxa"/>
            <w:noWrap/>
            <w:vAlign w:val="center"/>
          </w:tcPr>
          <w:p w14:paraId="70C368B8">
            <w:pPr>
              <w:jc w:val="center"/>
            </w:pPr>
            <w:r>
              <w:t>1</w:t>
            </w:r>
          </w:p>
        </w:tc>
        <w:tc>
          <w:tcPr>
            <w:tcW w:w="2010" w:type="dxa"/>
            <w:shd w:val="clear" w:color="auto" w:fill="auto"/>
            <w:noWrap/>
            <w:vAlign w:val="center"/>
          </w:tcPr>
          <w:p w14:paraId="0D0C6A78">
            <w:pPr>
              <w:jc w:val="center"/>
              <w:rPr>
                <w:rFonts w:cs="宋体"/>
              </w:rPr>
            </w:pPr>
            <w:r>
              <w:rPr>
                <w:rFonts w:hint="eastAsia" w:cs="宋体"/>
              </w:rPr>
              <w:t>12小时</w:t>
            </w:r>
          </w:p>
        </w:tc>
        <w:tc>
          <w:tcPr>
            <w:tcW w:w="1125" w:type="dxa"/>
            <w:vAlign w:val="center"/>
          </w:tcPr>
          <w:p w14:paraId="5C323496">
            <w:pPr>
              <w:jc w:val="center"/>
              <w:rPr>
                <w:rFonts w:cs="宋体"/>
              </w:rPr>
            </w:pPr>
            <w:r>
              <w:rPr>
                <w:rFonts w:hint="eastAsia" w:cs="宋体"/>
              </w:rPr>
              <w:t>2</w:t>
            </w:r>
          </w:p>
        </w:tc>
        <w:tc>
          <w:tcPr>
            <w:tcW w:w="1282" w:type="dxa"/>
            <w:noWrap/>
            <w:vAlign w:val="center"/>
          </w:tcPr>
          <w:p w14:paraId="4383E9E9">
            <w:pPr>
              <w:jc w:val="center"/>
            </w:pPr>
          </w:p>
        </w:tc>
      </w:tr>
      <w:tr w14:paraId="56BC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6D06DA36">
            <w:pPr>
              <w:jc w:val="center"/>
            </w:pPr>
          </w:p>
        </w:tc>
        <w:tc>
          <w:tcPr>
            <w:tcW w:w="722" w:type="dxa"/>
            <w:gridSpan w:val="2"/>
            <w:noWrap/>
            <w:vAlign w:val="center"/>
          </w:tcPr>
          <w:p w14:paraId="6B8BEC03">
            <w:pPr>
              <w:jc w:val="center"/>
            </w:pPr>
            <w:r>
              <w:rPr>
                <w:rFonts w:hint="eastAsia"/>
              </w:rPr>
              <w:t>4</w:t>
            </w:r>
          </w:p>
        </w:tc>
        <w:tc>
          <w:tcPr>
            <w:tcW w:w="1956" w:type="dxa"/>
            <w:noWrap/>
            <w:vAlign w:val="center"/>
          </w:tcPr>
          <w:p w14:paraId="600482E8">
            <w:pPr>
              <w:jc w:val="center"/>
            </w:pPr>
            <w:r>
              <w:rPr>
                <w:rFonts w:hint="eastAsia" w:cs="宋体"/>
              </w:rPr>
              <w:t>高配间值班电工</w:t>
            </w:r>
          </w:p>
        </w:tc>
        <w:tc>
          <w:tcPr>
            <w:tcW w:w="720" w:type="dxa"/>
            <w:noWrap/>
            <w:vAlign w:val="center"/>
          </w:tcPr>
          <w:p w14:paraId="27DD79A5">
            <w:pPr>
              <w:jc w:val="center"/>
            </w:pPr>
            <w:r>
              <w:rPr>
                <w:rFonts w:hint="eastAsia"/>
              </w:rPr>
              <w:t>2</w:t>
            </w:r>
          </w:p>
        </w:tc>
        <w:tc>
          <w:tcPr>
            <w:tcW w:w="2010" w:type="dxa"/>
            <w:noWrap/>
            <w:vAlign w:val="center"/>
          </w:tcPr>
          <w:p w14:paraId="4C3CD7BB">
            <w:pPr>
              <w:jc w:val="center"/>
            </w:pPr>
            <w:r>
              <w:t>24</w:t>
            </w:r>
            <w:r>
              <w:rPr>
                <w:rFonts w:hint="eastAsia" w:cs="宋体"/>
              </w:rPr>
              <w:t>小时</w:t>
            </w:r>
          </w:p>
        </w:tc>
        <w:tc>
          <w:tcPr>
            <w:tcW w:w="1125" w:type="dxa"/>
            <w:vAlign w:val="center"/>
          </w:tcPr>
          <w:p w14:paraId="46C92DFD">
            <w:pPr>
              <w:jc w:val="center"/>
            </w:pPr>
            <w:r>
              <w:rPr>
                <w:rFonts w:hint="eastAsia"/>
              </w:rPr>
              <w:t>8</w:t>
            </w:r>
          </w:p>
        </w:tc>
        <w:tc>
          <w:tcPr>
            <w:tcW w:w="1282" w:type="dxa"/>
            <w:noWrap/>
            <w:vAlign w:val="center"/>
          </w:tcPr>
          <w:p w14:paraId="3BF8E51F">
            <w:pPr>
              <w:jc w:val="center"/>
            </w:pPr>
          </w:p>
        </w:tc>
      </w:tr>
      <w:tr w14:paraId="5D57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200E7905">
            <w:pPr>
              <w:jc w:val="center"/>
            </w:pPr>
          </w:p>
        </w:tc>
        <w:tc>
          <w:tcPr>
            <w:tcW w:w="722" w:type="dxa"/>
            <w:gridSpan w:val="2"/>
            <w:noWrap/>
            <w:vAlign w:val="center"/>
          </w:tcPr>
          <w:p w14:paraId="2AF40174">
            <w:pPr>
              <w:jc w:val="center"/>
            </w:pPr>
            <w:r>
              <w:rPr>
                <w:rFonts w:hint="eastAsia"/>
              </w:rPr>
              <w:t>5</w:t>
            </w:r>
          </w:p>
        </w:tc>
        <w:tc>
          <w:tcPr>
            <w:tcW w:w="1956" w:type="dxa"/>
            <w:noWrap/>
            <w:vAlign w:val="center"/>
          </w:tcPr>
          <w:p w14:paraId="2A669348">
            <w:pPr>
              <w:jc w:val="center"/>
              <w:rPr>
                <w:rFonts w:cs="宋体"/>
              </w:rPr>
            </w:pPr>
            <w:r>
              <w:rPr>
                <w:rFonts w:hint="eastAsia" w:cs="宋体"/>
              </w:rPr>
              <w:t>维修电工</w:t>
            </w:r>
          </w:p>
        </w:tc>
        <w:tc>
          <w:tcPr>
            <w:tcW w:w="720" w:type="dxa"/>
            <w:noWrap/>
            <w:vAlign w:val="center"/>
          </w:tcPr>
          <w:p w14:paraId="477DC1F7">
            <w:pPr>
              <w:jc w:val="center"/>
            </w:pPr>
            <w:r>
              <w:rPr>
                <w:rFonts w:hint="eastAsia"/>
              </w:rPr>
              <w:t>3</w:t>
            </w:r>
          </w:p>
        </w:tc>
        <w:tc>
          <w:tcPr>
            <w:tcW w:w="2010" w:type="dxa"/>
            <w:noWrap/>
            <w:vAlign w:val="center"/>
          </w:tcPr>
          <w:p w14:paraId="348B3FA8">
            <w:pPr>
              <w:jc w:val="center"/>
              <w:rPr>
                <w:rFonts w:cs="宋体"/>
              </w:rPr>
            </w:pPr>
            <w:r>
              <w:rPr>
                <w:rFonts w:hint="eastAsia" w:cs="宋体"/>
              </w:rPr>
              <w:t>12小时</w:t>
            </w:r>
          </w:p>
        </w:tc>
        <w:tc>
          <w:tcPr>
            <w:tcW w:w="1125" w:type="dxa"/>
            <w:vAlign w:val="center"/>
          </w:tcPr>
          <w:p w14:paraId="2AFB85FD">
            <w:pPr>
              <w:jc w:val="center"/>
            </w:pPr>
            <w:r>
              <w:rPr>
                <w:rFonts w:hint="eastAsia"/>
              </w:rPr>
              <w:t>6</w:t>
            </w:r>
          </w:p>
        </w:tc>
        <w:tc>
          <w:tcPr>
            <w:tcW w:w="1282" w:type="dxa"/>
            <w:noWrap/>
            <w:vAlign w:val="center"/>
          </w:tcPr>
          <w:p w14:paraId="2228571D">
            <w:pPr>
              <w:jc w:val="center"/>
            </w:pPr>
            <w:r>
              <w:t>做一休一</w:t>
            </w:r>
          </w:p>
        </w:tc>
      </w:tr>
      <w:tr w14:paraId="741F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6B96CB33">
            <w:pPr>
              <w:jc w:val="center"/>
            </w:pPr>
          </w:p>
        </w:tc>
        <w:tc>
          <w:tcPr>
            <w:tcW w:w="722" w:type="dxa"/>
            <w:gridSpan w:val="2"/>
            <w:noWrap/>
            <w:vAlign w:val="center"/>
          </w:tcPr>
          <w:p w14:paraId="1C5CD10E">
            <w:pPr>
              <w:jc w:val="center"/>
            </w:pPr>
            <w:r>
              <w:rPr>
                <w:rFonts w:hint="eastAsia"/>
              </w:rPr>
              <w:t>6</w:t>
            </w:r>
          </w:p>
        </w:tc>
        <w:tc>
          <w:tcPr>
            <w:tcW w:w="1956" w:type="dxa"/>
            <w:noWrap/>
            <w:vAlign w:val="center"/>
          </w:tcPr>
          <w:p w14:paraId="2E815549">
            <w:pPr>
              <w:jc w:val="center"/>
              <w:rPr>
                <w:rFonts w:ascii="宋体"/>
              </w:rPr>
            </w:pPr>
            <w:r>
              <w:rPr>
                <w:rFonts w:hint="eastAsia" w:cs="宋体"/>
              </w:rPr>
              <w:t>建筑给排水维修工</w:t>
            </w:r>
          </w:p>
        </w:tc>
        <w:tc>
          <w:tcPr>
            <w:tcW w:w="720" w:type="dxa"/>
            <w:noWrap/>
            <w:vAlign w:val="center"/>
          </w:tcPr>
          <w:p w14:paraId="650C03E1">
            <w:pPr>
              <w:jc w:val="center"/>
            </w:pPr>
            <w:r>
              <w:rPr>
                <w:rFonts w:hint="eastAsia"/>
              </w:rPr>
              <w:t>4</w:t>
            </w:r>
          </w:p>
        </w:tc>
        <w:tc>
          <w:tcPr>
            <w:tcW w:w="2010" w:type="dxa"/>
            <w:noWrap/>
            <w:vAlign w:val="center"/>
          </w:tcPr>
          <w:p w14:paraId="25D8F919">
            <w:pPr>
              <w:jc w:val="center"/>
            </w:pPr>
            <w:r>
              <w:rPr>
                <w:rFonts w:hint="eastAsia" w:cs="宋体"/>
              </w:rPr>
              <w:t>12小时</w:t>
            </w:r>
          </w:p>
        </w:tc>
        <w:tc>
          <w:tcPr>
            <w:tcW w:w="1125" w:type="dxa"/>
            <w:vAlign w:val="center"/>
          </w:tcPr>
          <w:p w14:paraId="581ECCA8">
            <w:pPr>
              <w:jc w:val="center"/>
            </w:pPr>
            <w:r>
              <w:rPr>
                <w:rFonts w:hint="eastAsia"/>
              </w:rPr>
              <w:t>8</w:t>
            </w:r>
          </w:p>
        </w:tc>
        <w:tc>
          <w:tcPr>
            <w:tcW w:w="1282" w:type="dxa"/>
            <w:noWrap/>
            <w:vAlign w:val="center"/>
          </w:tcPr>
          <w:p w14:paraId="0ED21095">
            <w:pPr>
              <w:jc w:val="center"/>
            </w:pPr>
            <w:r>
              <w:t>做一休一</w:t>
            </w:r>
          </w:p>
        </w:tc>
      </w:tr>
      <w:tr w14:paraId="2D77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282D6636">
            <w:pPr>
              <w:jc w:val="center"/>
            </w:pPr>
          </w:p>
        </w:tc>
        <w:tc>
          <w:tcPr>
            <w:tcW w:w="722" w:type="dxa"/>
            <w:gridSpan w:val="2"/>
            <w:noWrap/>
            <w:vAlign w:val="center"/>
          </w:tcPr>
          <w:p w14:paraId="0DC96354">
            <w:pPr>
              <w:jc w:val="center"/>
            </w:pPr>
            <w:r>
              <w:rPr>
                <w:rFonts w:hint="eastAsia"/>
              </w:rPr>
              <w:t>7</w:t>
            </w:r>
          </w:p>
        </w:tc>
        <w:tc>
          <w:tcPr>
            <w:tcW w:w="1956" w:type="dxa"/>
            <w:noWrap/>
            <w:vAlign w:val="center"/>
          </w:tcPr>
          <w:p w14:paraId="528DEB9A">
            <w:pPr>
              <w:jc w:val="center"/>
            </w:pPr>
            <w:r>
              <w:rPr>
                <w:rFonts w:hint="eastAsia" w:ascii="宋体" w:hAnsi="宋体" w:cs="宋体"/>
              </w:rPr>
              <w:t>暖通运行维修工</w:t>
            </w:r>
          </w:p>
        </w:tc>
        <w:tc>
          <w:tcPr>
            <w:tcW w:w="720" w:type="dxa"/>
            <w:noWrap/>
            <w:vAlign w:val="center"/>
          </w:tcPr>
          <w:p w14:paraId="463D2236">
            <w:pPr>
              <w:jc w:val="center"/>
            </w:pPr>
            <w:r>
              <w:rPr>
                <w:rFonts w:hint="eastAsia"/>
              </w:rPr>
              <w:t>3</w:t>
            </w:r>
          </w:p>
        </w:tc>
        <w:tc>
          <w:tcPr>
            <w:tcW w:w="2010" w:type="dxa"/>
            <w:noWrap/>
            <w:vAlign w:val="center"/>
          </w:tcPr>
          <w:p w14:paraId="350CF8D6">
            <w:pPr>
              <w:jc w:val="center"/>
            </w:pPr>
            <w:r>
              <w:rPr>
                <w:rFonts w:hint="eastAsia" w:cs="宋体"/>
              </w:rPr>
              <w:t>8小时</w:t>
            </w:r>
          </w:p>
        </w:tc>
        <w:tc>
          <w:tcPr>
            <w:tcW w:w="1125" w:type="dxa"/>
            <w:vAlign w:val="center"/>
          </w:tcPr>
          <w:p w14:paraId="25C98728">
            <w:pPr>
              <w:jc w:val="center"/>
              <w:rPr>
                <w:rFonts w:cs="宋体"/>
              </w:rPr>
            </w:pPr>
            <w:r>
              <w:rPr>
                <w:rFonts w:hint="eastAsia" w:cs="宋体"/>
              </w:rPr>
              <w:t>4.2</w:t>
            </w:r>
          </w:p>
        </w:tc>
        <w:tc>
          <w:tcPr>
            <w:tcW w:w="1282" w:type="dxa"/>
            <w:noWrap/>
            <w:vAlign w:val="center"/>
          </w:tcPr>
          <w:p w14:paraId="0DDBAD58">
            <w:pPr>
              <w:jc w:val="center"/>
            </w:pPr>
          </w:p>
        </w:tc>
      </w:tr>
      <w:tr w14:paraId="54D2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4C29E84A">
            <w:pPr>
              <w:jc w:val="center"/>
            </w:pPr>
          </w:p>
        </w:tc>
        <w:tc>
          <w:tcPr>
            <w:tcW w:w="722" w:type="dxa"/>
            <w:gridSpan w:val="2"/>
            <w:noWrap/>
            <w:vAlign w:val="center"/>
          </w:tcPr>
          <w:p w14:paraId="774803CC">
            <w:pPr>
              <w:jc w:val="center"/>
            </w:pPr>
            <w:r>
              <w:rPr>
                <w:rFonts w:hint="eastAsia"/>
              </w:rPr>
              <w:t>8</w:t>
            </w:r>
          </w:p>
        </w:tc>
        <w:tc>
          <w:tcPr>
            <w:tcW w:w="1956" w:type="dxa"/>
            <w:noWrap/>
            <w:vAlign w:val="center"/>
          </w:tcPr>
          <w:p w14:paraId="161E28F9">
            <w:pPr>
              <w:jc w:val="center"/>
            </w:pPr>
            <w:r>
              <w:rPr>
                <w:rFonts w:hint="eastAsia" w:cs="宋体"/>
              </w:rPr>
              <w:t>中央机房机组运行值班工（24H）</w:t>
            </w:r>
          </w:p>
        </w:tc>
        <w:tc>
          <w:tcPr>
            <w:tcW w:w="720" w:type="dxa"/>
            <w:noWrap/>
            <w:vAlign w:val="center"/>
          </w:tcPr>
          <w:p w14:paraId="6C893CB1">
            <w:pPr>
              <w:jc w:val="center"/>
            </w:pPr>
            <w:r>
              <w:rPr>
                <w:rFonts w:hint="eastAsia"/>
              </w:rPr>
              <w:t>1</w:t>
            </w:r>
          </w:p>
        </w:tc>
        <w:tc>
          <w:tcPr>
            <w:tcW w:w="2010" w:type="dxa"/>
            <w:noWrap/>
            <w:vAlign w:val="center"/>
          </w:tcPr>
          <w:p w14:paraId="446FCB6F">
            <w:pPr>
              <w:jc w:val="center"/>
            </w:pPr>
            <w:r>
              <w:t>24</w:t>
            </w:r>
            <w:r>
              <w:rPr>
                <w:rFonts w:hint="eastAsia" w:cs="宋体"/>
              </w:rPr>
              <w:t>小时值班</w:t>
            </w:r>
          </w:p>
        </w:tc>
        <w:tc>
          <w:tcPr>
            <w:tcW w:w="1125" w:type="dxa"/>
            <w:vAlign w:val="center"/>
          </w:tcPr>
          <w:p w14:paraId="6651D00C">
            <w:pPr>
              <w:jc w:val="center"/>
            </w:pPr>
            <w:r>
              <w:rPr>
                <w:rFonts w:hint="eastAsia"/>
              </w:rPr>
              <w:t>4</w:t>
            </w:r>
          </w:p>
        </w:tc>
        <w:tc>
          <w:tcPr>
            <w:tcW w:w="1282" w:type="dxa"/>
            <w:noWrap/>
            <w:vAlign w:val="center"/>
          </w:tcPr>
          <w:p w14:paraId="0D8114BF">
            <w:pPr>
              <w:jc w:val="center"/>
            </w:pPr>
          </w:p>
        </w:tc>
      </w:tr>
      <w:tr w14:paraId="1315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90" w:hRule="atLeast"/>
        </w:trPr>
        <w:tc>
          <w:tcPr>
            <w:tcW w:w="699" w:type="dxa"/>
            <w:vMerge w:val="continue"/>
            <w:tcBorders>
              <w:left w:val="nil"/>
            </w:tcBorders>
            <w:noWrap/>
            <w:vAlign w:val="center"/>
          </w:tcPr>
          <w:p w14:paraId="499ED941">
            <w:pPr>
              <w:jc w:val="center"/>
            </w:pPr>
          </w:p>
        </w:tc>
        <w:tc>
          <w:tcPr>
            <w:tcW w:w="722" w:type="dxa"/>
            <w:gridSpan w:val="2"/>
            <w:noWrap/>
            <w:vAlign w:val="center"/>
          </w:tcPr>
          <w:p w14:paraId="397FC2D1">
            <w:pPr>
              <w:jc w:val="center"/>
            </w:pPr>
            <w:r>
              <w:rPr>
                <w:rFonts w:hint="eastAsia"/>
              </w:rPr>
              <w:t>9</w:t>
            </w:r>
          </w:p>
        </w:tc>
        <w:tc>
          <w:tcPr>
            <w:tcW w:w="1956" w:type="dxa"/>
            <w:noWrap/>
            <w:vAlign w:val="center"/>
          </w:tcPr>
          <w:p w14:paraId="7307C2F0">
            <w:pPr>
              <w:jc w:val="center"/>
              <w:rPr>
                <w:rFonts w:cs="宋体"/>
              </w:rPr>
            </w:pPr>
            <w:r>
              <w:rPr>
                <w:rFonts w:hint="eastAsia" w:cs="宋体"/>
              </w:rPr>
              <w:t>多媒体展项管理人员</w:t>
            </w:r>
          </w:p>
        </w:tc>
        <w:tc>
          <w:tcPr>
            <w:tcW w:w="720" w:type="dxa"/>
            <w:noWrap/>
            <w:vAlign w:val="center"/>
          </w:tcPr>
          <w:p w14:paraId="6B67DC0E">
            <w:pPr>
              <w:jc w:val="center"/>
            </w:pPr>
            <w:r>
              <w:rPr>
                <w:rFonts w:hint="eastAsia"/>
              </w:rPr>
              <w:t>2</w:t>
            </w:r>
          </w:p>
        </w:tc>
        <w:tc>
          <w:tcPr>
            <w:tcW w:w="2010" w:type="dxa"/>
            <w:noWrap/>
            <w:vAlign w:val="center"/>
          </w:tcPr>
          <w:p w14:paraId="41D97A85">
            <w:pPr>
              <w:jc w:val="center"/>
              <w:rPr>
                <w:rFonts w:cs="宋体"/>
              </w:rPr>
            </w:pPr>
            <w:r>
              <w:rPr>
                <w:rFonts w:hint="eastAsia" w:cs="宋体"/>
              </w:rPr>
              <w:t>8小时</w:t>
            </w:r>
          </w:p>
        </w:tc>
        <w:tc>
          <w:tcPr>
            <w:tcW w:w="1125" w:type="dxa"/>
            <w:vAlign w:val="center"/>
          </w:tcPr>
          <w:p w14:paraId="32E2B337">
            <w:pPr>
              <w:jc w:val="center"/>
            </w:pPr>
            <w:r>
              <w:rPr>
                <w:rFonts w:hint="eastAsia"/>
              </w:rPr>
              <w:t>2.8</w:t>
            </w:r>
          </w:p>
        </w:tc>
        <w:tc>
          <w:tcPr>
            <w:tcW w:w="1282" w:type="dxa"/>
            <w:noWrap/>
            <w:vAlign w:val="center"/>
          </w:tcPr>
          <w:p w14:paraId="41DB9A82">
            <w:pPr>
              <w:jc w:val="center"/>
            </w:pPr>
          </w:p>
        </w:tc>
      </w:tr>
      <w:tr w14:paraId="6B55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7CB8CDBB">
            <w:pPr>
              <w:jc w:val="center"/>
            </w:pPr>
          </w:p>
        </w:tc>
        <w:tc>
          <w:tcPr>
            <w:tcW w:w="722" w:type="dxa"/>
            <w:gridSpan w:val="2"/>
            <w:noWrap/>
            <w:vAlign w:val="center"/>
          </w:tcPr>
          <w:p w14:paraId="3501F450">
            <w:pPr>
              <w:jc w:val="center"/>
            </w:pPr>
            <w:r>
              <w:rPr>
                <w:rFonts w:hint="eastAsia"/>
              </w:rPr>
              <w:t>10</w:t>
            </w:r>
          </w:p>
        </w:tc>
        <w:tc>
          <w:tcPr>
            <w:tcW w:w="1956" w:type="dxa"/>
            <w:noWrap/>
            <w:vAlign w:val="center"/>
          </w:tcPr>
          <w:p w14:paraId="5984BAE3">
            <w:pPr>
              <w:jc w:val="center"/>
            </w:pPr>
            <w:r>
              <w:rPr>
                <w:rFonts w:hint="eastAsia" w:cs="宋体"/>
              </w:rPr>
              <w:t>弱电系统操作人员</w:t>
            </w:r>
          </w:p>
        </w:tc>
        <w:tc>
          <w:tcPr>
            <w:tcW w:w="720" w:type="dxa"/>
            <w:noWrap/>
            <w:vAlign w:val="center"/>
          </w:tcPr>
          <w:p w14:paraId="4C85876D">
            <w:pPr>
              <w:jc w:val="center"/>
            </w:pPr>
            <w:r>
              <w:rPr>
                <w:rFonts w:hint="eastAsia"/>
              </w:rPr>
              <w:t>1</w:t>
            </w:r>
          </w:p>
        </w:tc>
        <w:tc>
          <w:tcPr>
            <w:tcW w:w="2010" w:type="dxa"/>
            <w:noWrap/>
            <w:vAlign w:val="center"/>
          </w:tcPr>
          <w:p w14:paraId="2B85601C">
            <w:pPr>
              <w:jc w:val="center"/>
            </w:pPr>
            <w:r>
              <w:rPr>
                <w:rFonts w:hint="eastAsia" w:cs="宋体"/>
              </w:rPr>
              <w:t>8小时</w:t>
            </w:r>
          </w:p>
        </w:tc>
        <w:tc>
          <w:tcPr>
            <w:tcW w:w="1125" w:type="dxa"/>
            <w:vAlign w:val="center"/>
          </w:tcPr>
          <w:p w14:paraId="28C823DF">
            <w:pPr>
              <w:jc w:val="center"/>
            </w:pPr>
            <w:r>
              <w:rPr>
                <w:rFonts w:hint="eastAsia"/>
              </w:rPr>
              <w:t>1.4</w:t>
            </w:r>
          </w:p>
        </w:tc>
        <w:tc>
          <w:tcPr>
            <w:tcW w:w="1282" w:type="dxa"/>
            <w:noWrap/>
            <w:vAlign w:val="center"/>
          </w:tcPr>
          <w:p w14:paraId="58FD69C3"/>
          <w:p w14:paraId="766D7967">
            <w:pPr>
              <w:jc w:val="center"/>
            </w:pPr>
          </w:p>
        </w:tc>
      </w:tr>
      <w:tr w14:paraId="36D2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bottom w:val="nil"/>
            </w:tcBorders>
            <w:noWrap/>
            <w:vAlign w:val="center"/>
          </w:tcPr>
          <w:p w14:paraId="09EE4B83">
            <w:pPr>
              <w:jc w:val="center"/>
            </w:pPr>
          </w:p>
        </w:tc>
        <w:tc>
          <w:tcPr>
            <w:tcW w:w="722" w:type="dxa"/>
            <w:gridSpan w:val="2"/>
            <w:noWrap/>
            <w:vAlign w:val="center"/>
          </w:tcPr>
          <w:p w14:paraId="3DB9553B">
            <w:pPr>
              <w:jc w:val="center"/>
            </w:pPr>
          </w:p>
        </w:tc>
        <w:tc>
          <w:tcPr>
            <w:tcW w:w="1956" w:type="dxa"/>
            <w:noWrap/>
            <w:vAlign w:val="center"/>
          </w:tcPr>
          <w:p w14:paraId="107201A7">
            <w:pPr>
              <w:jc w:val="center"/>
              <w:rPr>
                <w:rFonts w:cs="宋体"/>
              </w:rPr>
            </w:pPr>
          </w:p>
        </w:tc>
        <w:tc>
          <w:tcPr>
            <w:tcW w:w="720" w:type="dxa"/>
            <w:noWrap/>
            <w:vAlign w:val="center"/>
          </w:tcPr>
          <w:p w14:paraId="5344B931">
            <w:pPr>
              <w:jc w:val="center"/>
            </w:pPr>
            <w:r>
              <w:rPr>
                <w:rFonts w:hint="eastAsia"/>
              </w:rPr>
              <w:t>19</w:t>
            </w:r>
          </w:p>
        </w:tc>
        <w:tc>
          <w:tcPr>
            <w:tcW w:w="2010" w:type="dxa"/>
            <w:noWrap/>
            <w:vAlign w:val="center"/>
          </w:tcPr>
          <w:p w14:paraId="4BEA691F">
            <w:pPr>
              <w:jc w:val="center"/>
              <w:rPr>
                <w:rFonts w:cs="宋体"/>
              </w:rPr>
            </w:pPr>
          </w:p>
        </w:tc>
        <w:tc>
          <w:tcPr>
            <w:tcW w:w="1125" w:type="dxa"/>
            <w:vAlign w:val="center"/>
          </w:tcPr>
          <w:p w14:paraId="16A1F286">
            <w:pPr>
              <w:jc w:val="center"/>
            </w:pPr>
            <w:r>
              <w:rPr>
                <w:rFonts w:hint="eastAsia"/>
              </w:rPr>
              <w:t>38.4</w:t>
            </w:r>
          </w:p>
        </w:tc>
        <w:tc>
          <w:tcPr>
            <w:tcW w:w="1282" w:type="dxa"/>
            <w:noWrap/>
            <w:vAlign w:val="center"/>
          </w:tcPr>
          <w:p w14:paraId="5BBDC452">
            <w:pPr>
              <w:jc w:val="center"/>
            </w:pPr>
          </w:p>
        </w:tc>
      </w:tr>
      <w:tr w14:paraId="43CB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1233" w:type="dxa"/>
            <w:gridSpan w:val="2"/>
            <w:tcBorders>
              <w:top w:val="nil"/>
              <w:left w:val="nil"/>
              <w:bottom w:val="nil"/>
              <w:right w:val="nil"/>
            </w:tcBorders>
          </w:tcPr>
          <w:p w14:paraId="3337757B">
            <w:pPr>
              <w:jc w:val="center"/>
            </w:pPr>
          </w:p>
        </w:tc>
        <w:tc>
          <w:tcPr>
            <w:tcW w:w="7281" w:type="dxa"/>
            <w:gridSpan w:val="6"/>
            <w:tcBorders>
              <w:top w:val="nil"/>
              <w:left w:val="nil"/>
              <w:bottom w:val="nil"/>
              <w:right w:val="nil"/>
            </w:tcBorders>
            <w:noWrap/>
            <w:vAlign w:val="center"/>
          </w:tcPr>
          <w:p w14:paraId="7F98A03D">
            <w:pPr>
              <w:jc w:val="center"/>
            </w:pPr>
          </w:p>
        </w:tc>
      </w:tr>
      <w:tr w14:paraId="5A82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1233" w:type="dxa"/>
            <w:gridSpan w:val="2"/>
            <w:tcBorders>
              <w:top w:val="nil"/>
              <w:left w:val="nil"/>
              <w:bottom w:val="nil"/>
              <w:right w:val="nil"/>
            </w:tcBorders>
          </w:tcPr>
          <w:p w14:paraId="5DEC8FF6">
            <w:pPr>
              <w:jc w:val="center"/>
            </w:pPr>
          </w:p>
        </w:tc>
        <w:tc>
          <w:tcPr>
            <w:tcW w:w="7281" w:type="dxa"/>
            <w:gridSpan w:val="6"/>
            <w:tcBorders>
              <w:top w:val="nil"/>
              <w:left w:val="nil"/>
              <w:bottom w:val="nil"/>
              <w:right w:val="nil"/>
            </w:tcBorders>
            <w:noWrap/>
            <w:vAlign w:val="center"/>
          </w:tcPr>
          <w:p w14:paraId="148D8845">
            <w:pPr>
              <w:jc w:val="center"/>
            </w:pPr>
            <w:r>
              <w:t>环境保洁管理</w:t>
            </w:r>
          </w:p>
        </w:tc>
      </w:tr>
      <w:tr w14:paraId="7D74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2FFEF931">
            <w:pPr>
              <w:jc w:val="center"/>
            </w:pPr>
            <w:r>
              <w:t>序号</w:t>
            </w:r>
          </w:p>
        </w:tc>
        <w:tc>
          <w:tcPr>
            <w:tcW w:w="1956" w:type="dxa"/>
            <w:noWrap/>
            <w:vAlign w:val="center"/>
          </w:tcPr>
          <w:p w14:paraId="3F436229">
            <w:pPr>
              <w:jc w:val="center"/>
            </w:pPr>
            <w:r>
              <w:rPr>
                <w:rFonts w:hint="eastAsia" w:cs="宋体"/>
              </w:rPr>
              <w:t>岗位名称</w:t>
            </w:r>
          </w:p>
        </w:tc>
        <w:tc>
          <w:tcPr>
            <w:tcW w:w="720" w:type="dxa"/>
            <w:noWrap/>
            <w:vAlign w:val="center"/>
          </w:tcPr>
          <w:p w14:paraId="2E3A7642">
            <w:pPr>
              <w:jc w:val="center"/>
            </w:pPr>
            <w:r>
              <w:t>岗位数</w:t>
            </w:r>
          </w:p>
        </w:tc>
        <w:tc>
          <w:tcPr>
            <w:tcW w:w="2010" w:type="dxa"/>
            <w:noWrap/>
            <w:vAlign w:val="center"/>
          </w:tcPr>
          <w:p w14:paraId="6FF05D00">
            <w:pPr>
              <w:jc w:val="center"/>
            </w:pPr>
            <w:r>
              <w:rPr>
                <w:rFonts w:hint="eastAsia" w:cs="宋体"/>
              </w:rPr>
              <w:t>服务时间</w:t>
            </w:r>
          </w:p>
        </w:tc>
        <w:tc>
          <w:tcPr>
            <w:tcW w:w="1125" w:type="dxa"/>
            <w:vAlign w:val="center"/>
          </w:tcPr>
          <w:p w14:paraId="00FA7FE8">
            <w:pPr>
              <w:jc w:val="center"/>
              <w:rPr>
                <w:rFonts w:cs="宋体"/>
              </w:rPr>
            </w:pPr>
            <w:r>
              <w:rPr>
                <w:rFonts w:hint="eastAsia" w:cs="宋体"/>
              </w:rPr>
              <w:t>人数</w:t>
            </w:r>
          </w:p>
        </w:tc>
        <w:tc>
          <w:tcPr>
            <w:tcW w:w="1282" w:type="dxa"/>
            <w:noWrap/>
            <w:vAlign w:val="center"/>
          </w:tcPr>
          <w:p w14:paraId="68CBAB19">
            <w:pPr>
              <w:jc w:val="center"/>
            </w:pPr>
            <w:r>
              <w:rPr>
                <w:rFonts w:hint="eastAsia" w:cs="宋体"/>
              </w:rPr>
              <w:t>备注</w:t>
            </w:r>
          </w:p>
        </w:tc>
      </w:tr>
      <w:tr w14:paraId="6BE9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2591875B">
            <w:pPr>
              <w:jc w:val="center"/>
            </w:pPr>
            <w:r>
              <w:rPr>
                <w:rFonts w:hint="eastAsia"/>
              </w:rPr>
              <w:t>1</w:t>
            </w:r>
          </w:p>
        </w:tc>
        <w:tc>
          <w:tcPr>
            <w:tcW w:w="1956" w:type="dxa"/>
            <w:noWrap/>
            <w:vAlign w:val="center"/>
          </w:tcPr>
          <w:p w14:paraId="401C3A0E">
            <w:pPr>
              <w:jc w:val="center"/>
              <w:rPr>
                <w:rFonts w:cs="宋体"/>
              </w:rPr>
            </w:pPr>
            <w:r>
              <w:rPr>
                <w:rFonts w:hint="eastAsia" w:cs="宋体"/>
              </w:rPr>
              <w:t>环境质量员</w:t>
            </w:r>
          </w:p>
        </w:tc>
        <w:tc>
          <w:tcPr>
            <w:tcW w:w="720" w:type="dxa"/>
            <w:noWrap/>
            <w:vAlign w:val="center"/>
          </w:tcPr>
          <w:p w14:paraId="73101A69">
            <w:pPr>
              <w:jc w:val="center"/>
            </w:pPr>
            <w:r>
              <w:t>1</w:t>
            </w:r>
          </w:p>
        </w:tc>
        <w:tc>
          <w:tcPr>
            <w:tcW w:w="2010" w:type="dxa"/>
            <w:noWrap/>
            <w:vAlign w:val="center"/>
          </w:tcPr>
          <w:p w14:paraId="3CEF8312">
            <w:pPr>
              <w:jc w:val="center"/>
              <w:rPr>
                <w:rFonts w:cs="宋体"/>
              </w:rPr>
            </w:pPr>
            <w:r>
              <w:rPr>
                <w:rFonts w:hint="eastAsia" w:cs="宋体"/>
              </w:rPr>
              <w:t>12小时</w:t>
            </w:r>
          </w:p>
        </w:tc>
        <w:tc>
          <w:tcPr>
            <w:tcW w:w="1125" w:type="dxa"/>
            <w:vAlign w:val="center"/>
          </w:tcPr>
          <w:p w14:paraId="7C1C8ED5">
            <w:pPr>
              <w:jc w:val="center"/>
              <w:rPr>
                <w:rFonts w:cs="宋体"/>
              </w:rPr>
            </w:pPr>
            <w:r>
              <w:rPr>
                <w:rFonts w:hint="eastAsia" w:cs="宋体"/>
              </w:rPr>
              <w:t>2</w:t>
            </w:r>
          </w:p>
        </w:tc>
        <w:tc>
          <w:tcPr>
            <w:tcW w:w="1282" w:type="dxa"/>
            <w:noWrap/>
            <w:vAlign w:val="center"/>
          </w:tcPr>
          <w:p w14:paraId="4A5D5888">
            <w:pPr>
              <w:jc w:val="center"/>
              <w:rPr>
                <w:rFonts w:cs="宋体"/>
              </w:rPr>
            </w:pPr>
            <w:r>
              <w:rPr>
                <w:rFonts w:hint="eastAsia" w:cs="宋体"/>
              </w:rPr>
              <w:t>关键岗位</w:t>
            </w:r>
          </w:p>
          <w:p w14:paraId="598F28FE">
            <w:pPr>
              <w:jc w:val="center"/>
              <w:rPr>
                <w:rFonts w:cs="宋体"/>
              </w:rPr>
            </w:pPr>
            <w:r>
              <w:rPr>
                <w:rFonts w:hint="eastAsia" w:cs="宋体"/>
              </w:rPr>
              <w:t>做一休一</w:t>
            </w:r>
          </w:p>
        </w:tc>
      </w:tr>
      <w:tr w14:paraId="1A40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232E0094">
            <w:pPr>
              <w:jc w:val="center"/>
            </w:pPr>
            <w:r>
              <w:rPr>
                <w:rFonts w:hint="eastAsia"/>
              </w:rPr>
              <w:t>2</w:t>
            </w:r>
          </w:p>
        </w:tc>
        <w:tc>
          <w:tcPr>
            <w:tcW w:w="1956" w:type="dxa"/>
            <w:noWrap/>
            <w:vAlign w:val="center"/>
          </w:tcPr>
          <w:p w14:paraId="07BF360C">
            <w:pPr>
              <w:jc w:val="center"/>
            </w:pPr>
            <w:r>
              <w:rPr>
                <w:rFonts w:hint="eastAsia" w:cs="宋体"/>
              </w:rPr>
              <w:t>一层展区保洁员</w:t>
            </w:r>
          </w:p>
        </w:tc>
        <w:tc>
          <w:tcPr>
            <w:tcW w:w="720" w:type="dxa"/>
            <w:noWrap/>
            <w:vAlign w:val="center"/>
          </w:tcPr>
          <w:p w14:paraId="55AFA186">
            <w:pPr>
              <w:jc w:val="center"/>
            </w:pPr>
            <w:r>
              <w:rPr>
                <w:rFonts w:hint="eastAsia"/>
              </w:rPr>
              <w:t>8</w:t>
            </w:r>
          </w:p>
        </w:tc>
        <w:tc>
          <w:tcPr>
            <w:tcW w:w="2010" w:type="dxa"/>
            <w:noWrap/>
            <w:vAlign w:val="center"/>
          </w:tcPr>
          <w:p w14:paraId="4EBD5841">
            <w:pPr>
              <w:jc w:val="center"/>
            </w:pPr>
            <w:r>
              <w:rPr>
                <w:rFonts w:hint="eastAsia" w:cs="宋体"/>
              </w:rPr>
              <w:t>12小时</w:t>
            </w:r>
          </w:p>
        </w:tc>
        <w:tc>
          <w:tcPr>
            <w:tcW w:w="1125" w:type="dxa"/>
            <w:vAlign w:val="center"/>
          </w:tcPr>
          <w:p w14:paraId="2462B645">
            <w:pPr>
              <w:jc w:val="center"/>
              <w:rPr>
                <w:rFonts w:cs="宋体"/>
              </w:rPr>
            </w:pPr>
            <w:r>
              <w:rPr>
                <w:rFonts w:hint="eastAsia" w:cs="宋体"/>
              </w:rPr>
              <w:t>16</w:t>
            </w:r>
          </w:p>
        </w:tc>
        <w:tc>
          <w:tcPr>
            <w:tcW w:w="1282" w:type="dxa"/>
            <w:noWrap/>
            <w:vAlign w:val="center"/>
          </w:tcPr>
          <w:p w14:paraId="5E3FEDD6">
            <w:pPr>
              <w:jc w:val="center"/>
            </w:pPr>
            <w:r>
              <w:rPr>
                <w:rFonts w:hint="eastAsia" w:cs="宋体"/>
              </w:rPr>
              <w:t>做一休一</w:t>
            </w:r>
          </w:p>
        </w:tc>
      </w:tr>
      <w:tr w14:paraId="5D12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0B2B6DA5">
            <w:pPr>
              <w:jc w:val="center"/>
            </w:pPr>
            <w:r>
              <w:rPr>
                <w:rFonts w:hint="eastAsia"/>
              </w:rPr>
              <w:t>3</w:t>
            </w:r>
          </w:p>
        </w:tc>
        <w:tc>
          <w:tcPr>
            <w:tcW w:w="1956" w:type="dxa"/>
            <w:noWrap/>
            <w:vAlign w:val="center"/>
          </w:tcPr>
          <w:p w14:paraId="0FAAE1EF">
            <w:pPr>
              <w:jc w:val="center"/>
            </w:pPr>
            <w:r>
              <w:rPr>
                <w:rFonts w:hint="eastAsia" w:cs="宋体"/>
              </w:rPr>
              <w:t>二层展区保洁员</w:t>
            </w:r>
          </w:p>
        </w:tc>
        <w:tc>
          <w:tcPr>
            <w:tcW w:w="720" w:type="dxa"/>
            <w:noWrap/>
            <w:vAlign w:val="center"/>
          </w:tcPr>
          <w:p w14:paraId="71C5169D">
            <w:pPr>
              <w:jc w:val="center"/>
            </w:pPr>
            <w:r>
              <w:rPr>
                <w:rFonts w:hint="eastAsia"/>
              </w:rPr>
              <w:t>8</w:t>
            </w:r>
          </w:p>
        </w:tc>
        <w:tc>
          <w:tcPr>
            <w:tcW w:w="2010" w:type="dxa"/>
            <w:noWrap/>
            <w:vAlign w:val="center"/>
          </w:tcPr>
          <w:p w14:paraId="27A0850D">
            <w:pPr>
              <w:jc w:val="center"/>
            </w:pPr>
            <w:r>
              <w:rPr>
                <w:rFonts w:hint="eastAsia" w:cs="宋体"/>
              </w:rPr>
              <w:t>12小时</w:t>
            </w:r>
          </w:p>
        </w:tc>
        <w:tc>
          <w:tcPr>
            <w:tcW w:w="1125" w:type="dxa"/>
            <w:vAlign w:val="center"/>
          </w:tcPr>
          <w:p w14:paraId="326F0C34">
            <w:pPr>
              <w:jc w:val="center"/>
            </w:pPr>
            <w:r>
              <w:rPr>
                <w:rFonts w:hint="eastAsia"/>
              </w:rPr>
              <w:t>16</w:t>
            </w:r>
          </w:p>
        </w:tc>
        <w:tc>
          <w:tcPr>
            <w:tcW w:w="1282" w:type="dxa"/>
            <w:noWrap/>
            <w:vAlign w:val="center"/>
          </w:tcPr>
          <w:p w14:paraId="1E8D0C21">
            <w:pPr>
              <w:jc w:val="center"/>
            </w:pPr>
            <w:r>
              <w:t>做一休一</w:t>
            </w:r>
          </w:p>
        </w:tc>
      </w:tr>
      <w:tr w14:paraId="0E57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43A1FF24">
            <w:pPr>
              <w:jc w:val="center"/>
            </w:pPr>
            <w:r>
              <w:rPr>
                <w:rFonts w:hint="eastAsia"/>
              </w:rPr>
              <w:t>4</w:t>
            </w:r>
          </w:p>
        </w:tc>
        <w:tc>
          <w:tcPr>
            <w:tcW w:w="1956" w:type="dxa"/>
            <w:noWrap/>
            <w:vAlign w:val="center"/>
          </w:tcPr>
          <w:p w14:paraId="70A1535E">
            <w:pPr>
              <w:jc w:val="center"/>
            </w:pPr>
            <w:r>
              <w:rPr>
                <w:rFonts w:hint="eastAsia" w:cs="宋体"/>
              </w:rPr>
              <w:t>三层展区保洁员</w:t>
            </w:r>
          </w:p>
        </w:tc>
        <w:tc>
          <w:tcPr>
            <w:tcW w:w="720" w:type="dxa"/>
            <w:noWrap/>
            <w:vAlign w:val="center"/>
          </w:tcPr>
          <w:p w14:paraId="6A90037A">
            <w:pPr>
              <w:jc w:val="center"/>
            </w:pPr>
            <w:r>
              <w:rPr>
                <w:rFonts w:hint="eastAsia"/>
              </w:rPr>
              <w:t>4</w:t>
            </w:r>
          </w:p>
        </w:tc>
        <w:tc>
          <w:tcPr>
            <w:tcW w:w="2010" w:type="dxa"/>
            <w:noWrap/>
            <w:vAlign w:val="center"/>
          </w:tcPr>
          <w:p w14:paraId="356A42F4">
            <w:pPr>
              <w:jc w:val="center"/>
            </w:pPr>
            <w:r>
              <w:rPr>
                <w:rFonts w:hint="eastAsia" w:cs="宋体"/>
              </w:rPr>
              <w:t>12小时</w:t>
            </w:r>
          </w:p>
        </w:tc>
        <w:tc>
          <w:tcPr>
            <w:tcW w:w="1125" w:type="dxa"/>
            <w:vAlign w:val="center"/>
          </w:tcPr>
          <w:p w14:paraId="65CEF973">
            <w:pPr>
              <w:jc w:val="center"/>
            </w:pPr>
            <w:r>
              <w:rPr>
                <w:rFonts w:hint="eastAsia"/>
              </w:rPr>
              <w:t>8</w:t>
            </w:r>
          </w:p>
        </w:tc>
        <w:tc>
          <w:tcPr>
            <w:tcW w:w="1282" w:type="dxa"/>
            <w:noWrap/>
            <w:vAlign w:val="center"/>
          </w:tcPr>
          <w:p w14:paraId="6298D148">
            <w:pPr>
              <w:jc w:val="center"/>
            </w:pPr>
            <w:r>
              <w:t>做一休一</w:t>
            </w:r>
          </w:p>
        </w:tc>
      </w:tr>
      <w:tr w14:paraId="04F1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58DE7F6A">
            <w:pPr>
              <w:jc w:val="center"/>
            </w:pPr>
            <w:r>
              <w:rPr>
                <w:rFonts w:hint="eastAsia"/>
              </w:rPr>
              <w:t>5</w:t>
            </w:r>
          </w:p>
        </w:tc>
        <w:tc>
          <w:tcPr>
            <w:tcW w:w="1956" w:type="dxa"/>
            <w:noWrap/>
            <w:vAlign w:val="center"/>
          </w:tcPr>
          <w:p w14:paraId="360460D6">
            <w:pPr>
              <w:jc w:val="center"/>
            </w:pPr>
            <w:r>
              <w:rPr>
                <w:rFonts w:hint="eastAsia" w:cs="宋体"/>
              </w:rPr>
              <w:t>东三楼区域保洁员</w:t>
            </w:r>
          </w:p>
        </w:tc>
        <w:tc>
          <w:tcPr>
            <w:tcW w:w="720" w:type="dxa"/>
            <w:noWrap/>
            <w:vAlign w:val="center"/>
          </w:tcPr>
          <w:p w14:paraId="2533AD59">
            <w:pPr>
              <w:jc w:val="center"/>
            </w:pPr>
            <w:r>
              <w:rPr>
                <w:rFonts w:hint="eastAsia"/>
              </w:rPr>
              <w:t>1</w:t>
            </w:r>
          </w:p>
        </w:tc>
        <w:tc>
          <w:tcPr>
            <w:tcW w:w="2010" w:type="dxa"/>
            <w:noWrap/>
            <w:vAlign w:val="center"/>
          </w:tcPr>
          <w:p w14:paraId="72603872">
            <w:pPr>
              <w:jc w:val="center"/>
            </w:pPr>
            <w:r>
              <w:rPr>
                <w:rFonts w:hint="eastAsia" w:cs="宋体"/>
              </w:rPr>
              <w:t>12小时</w:t>
            </w:r>
          </w:p>
        </w:tc>
        <w:tc>
          <w:tcPr>
            <w:tcW w:w="1125" w:type="dxa"/>
            <w:vAlign w:val="center"/>
          </w:tcPr>
          <w:p w14:paraId="1B05D21F">
            <w:pPr>
              <w:jc w:val="center"/>
            </w:pPr>
            <w:r>
              <w:rPr>
                <w:rFonts w:hint="eastAsia"/>
              </w:rPr>
              <w:t>2</w:t>
            </w:r>
          </w:p>
        </w:tc>
        <w:tc>
          <w:tcPr>
            <w:tcW w:w="1282" w:type="dxa"/>
            <w:noWrap/>
            <w:vAlign w:val="center"/>
          </w:tcPr>
          <w:p w14:paraId="48EE56A3">
            <w:pPr>
              <w:jc w:val="center"/>
            </w:pPr>
            <w:r>
              <w:t>做一休一</w:t>
            </w:r>
          </w:p>
        </w:tc>
      </w:tr>
      <w:tr w14:paraId="057B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091D342D">
            <w:pPr>
              <w:jc w:val="center"/>
            </w:pPr>
            <w:r>
              <w:rPr>
                <w:rFonts w:hint="eastAsia"/>
              </w:rPr>
              <w:t>6</w:t>
            </w:r>
          </w:p>
        </w:tc>
        <w:tc>
          <w:tcPr>
            <w:tcW w:w="1956" w:type="dxa"/>
            <w:noWrap/>
            <w:vAlign w:val="center"/>
          </w:tcPr>
          <w:p w14:paraId="4885068B">
            <w:pPr>
              <w:jc w:val="center"/>
            </w:pPr>
            <w:r>
              <w:rPr>
                <w:rFonts w:hint="eastAsia" w:cs="宋体"/>
              </w:rPr>
              <w:t>东四楼区域保洁员</w:t>
            </w:r>
          </w:p>
        </w:tc>
        <w:tc>
          <w:tcPr>
            <w:tcW w:w="720" w:type="dxa"/>
            <w:noWrap/>
            <w:vAlign w:val="center"/>
          </w:tcPr>
          <w:p w14:paraId="780EF61F">
            <w:pPr>
              <w:jc w:val="center"/>
            </w:pPr>
            <w:r>
              <w:rPr>
                <w:rFonts w:hint="eastAsia"/>
              </w:rPr>
              <w:t>1</w:t>
            </w:r>
          </w:p>
        </w:tc>
        <w:tc>
          <w:tcPr>
            <w:tcW w:w="2010" w:type="dxa"/>
            <w:noWrap/>
            <w:vAlign w:val="center"/>
          </w:tcPr>
          <w:p w14:paraId="58199F83">
            <w:pPr>
              <w:jc w:val="center"/>
            </w:pPr>
            <w:r>
              <w:rPr>
                <w:rFonts w:hint="eastAsia" w:cs="宋体"/>
              </w:rPr>
              <w:t>12小时</w:t>
            </w:r>
          </w:p>
        </w:tc>
        <w:tc>
          <w:tcPr>
            <w:tcW w:w="1125" w:type="dxa"/>
            <w:vAlign w:val="center"/>
          </w:tcPr>
          <w:p w14:paraId="72CDC2F6">
            <w:pPr>
              <w:jc w:val="center"/>
            </w:pPr>
            <w:r>
              <w:rPr>
                <w:rFonts w:hint="eastAsia"/>
              </w:rPr>
              <w:t>2</w:t>
            </w:r>
          </w:p>
        </w:tc>
        <w:tc>
          <w:tcPr>
            <w:tcW w:w="1282" w:type="dxa"/>
            <w:noWrap/>
            <w:vAlign w:val="center"/>
          </w:tcPr>
          <w:p w14:paraId="7A444648">
            <w:pPr>
              <w:jc w:val="center"/>
            </w:pPr>
            <w:r>
              <w:t>做一休一</w:t>
            </w:r>
          </w:p>
        </w:tc>
      </w:tr>
      <w:tr w14:paraId="4333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4A02143B">
            <w:pPr>
              <w:jc w:val="center"/>
            </w:pPr>
            <w:r>
              <w:rPr>
                <w:rFonts w:hint="eastAsia"/>
              </w:rPr>
              <w:t>7</w:t>
            </w:r>
          </w:p>
        </w:tc>
        <w:tc>
          <w:tcPr>
            <w:tcW w:w="1956" w:type="dxa"/>
            <w:noWrap/>
            <w:vAlign w:val="center"/>
          </w:tcPr>
          <w:p w14:paraId="15581C8F">
            <w:pPr>
              <w:jc w:val="center"/>
            </w:pPr>
            <w:r>
              <w:rPr>
                <w:rFonts w:hint="eastAsia" w:cs="宋体"/>
              </w:rPr>
              <w:t>西三楼区域保洁员</w:t>
            </w:r>
          </w:p>
        </w:tc>
        <w:tc>
          <w:tcPr>
            <w:tcW w:w="720" w:type="dxa"/>
            <w:noWrap/>
            <w:vAlign w:val="center"/>
          </w:tcPr>
          <w:p w14:paraId="5F85C0D8">
            <w:pPr>
              <w:jc w:val="center"/>
            </w:pPr>
            <w:r>
              <w:rPr>
                <w:rFonts w:hint="eastAsia"/>
              </w:rPr>
              <w:t>1</w:t>
            </w:r>
          </w:p>
        </w:tc>
        <w:tc>
          <w:tcPr>
            <w:tcW w:w="2010" w:type="dxa"/>
            <w:noWrap/>
            <w:vAlign w:val="center"/>
          </w:tcPr>
          <w:p w14:paraId="167EBF79">
            <w:pPr>
              <w:jc w:val="center"/>
            </w:pPr>
            <w:r>
              <w:rPr>
                <w:rFonts w:hint="eastAsia" w:cs="宋体"/>
              </w:rPr>
              <w:t>12小时</w:t>
            </w:r>
          </w:p>
        </w:tc>
        <w:tc>
          <w:tcPr>
            <w:tcW w:w="1125" w:type="dxa"/>
            <w:vAlign w:val="center"/>
          </w:tcPr>
          <w:p w14:paraId="7BA7579E">
            <w:pPr>
              <w:jc w:val="center"/>
            </w:pPr>
            <w:r>
              <w:rPr>
                <w:rFonts w:hint="eastAsia"/>
              </w:rPr>
              <w:t>2</w:t>
            </w:r>
          </w:p>
        </w:tc>
        <w:tc>
          <w:tcPr>
            <w:tcW w:w="1282" w:type="dxa"/>
            <w:noWrap/>
            <w:vAlign w:val="center"/>
          </w:tcPr>
          <w:p w14:paraId="57C60782">
            <w:pPr>
              <w:jc w:val="center"/>
            </w:pPr>
            <w:r>
              <w:t>做一休一</w:t>
            </w:r>
          </w:p>
        </w:tc>
      </w:tr>
      <w:tr w14:paraId="6345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2AED71C4">
            <w:pPr>
              <w:jc w:val="center"/>
            </w:pPr>
            <w:r>
              <w:rPr>
                <w:rFonts w:hint="eastAsia"/>
              </w:rPr>
              <w:t>8</w:t>
            </w:r>
          </w:p>
        </w:tc>
        <w:tc>
          <w:tcPr>
            <w:tcW w:w="1956" w:type="dxa"/>
            <w:noWrap/>
            <w:vAlign w:val="center"/>
          </w:tcPr>
          <w:p w14:paraId="59BD5FB7">
            <w:pPr>
              <w:jc w:val="center"/>
            </w:pPr>
            <w:r>
              <w:rPr>
                <w:rFonts w:hint="eastAsia" w:cs="宋体"/>
              </w:rPr>
              <w:t>西四楼区域保洁员</w:t>
            </w:r>
          </w:p>
        </w:tc>
        <w:tc>
          <w:tcPr>
            <w:tcW w:w="720" w:type="dxa"/>
            <w:noWrap/>
            <w:vAlign w:val="center"/>
          </w:tcPr>
          <w:p w14:paraId="01A3F514">
            <w:pPr>
              <w:jc w:val="center"/>
            </w:pPr>
            <w:r>
              <w:rPr>
                <w:rFonts w:hint="eastAsia"/>
              </w:rPr>
              <w:t>1</w:t>
            </w:r>
          </w:p>
        </w:tc>
        <w:tc>
          <w:tcPr>
            <w:tcW w:w="2010" w:type="dxa"/>
            <w:noWrap/>
            <w:vAlign w:val="center"/>
          </w:tcPr>
          <w:p w14:paraId="2E0A3F1B">
            <w:pPr>
              <w:jc w:val="center"/>
            </w:pPr>
            <w:r>
              <w:rPr>
                <w:rFonts w:hint="eastAsia" w:cs="宋体"/>
              </w:rPr>
              <w:t>12小时</w:t>
            </w:r>
          </w:p>
        </w:tc>
        <w:tc>
          <w:tcPr>
            <w:tcW w:w="1125" w:type="dxa"/>
            <w:vAlign w:val="center"/>
          </w:tcPr>
          <w:p w14:paraId="5D7746C7">
            <w:pPr>
              <w:jc w:val="center"/>
            </w:pPr>
            <w:r>
              <w:rPr>
                <w:rFonts w:hint="eastAsia"/>
              </w:rPr>
              <w:t>2</w:t>
            </w:r>
          </w:p>
        </w:tc>
        <w:tc>
          <w:tcPr>
            <w:tcW w:w="1282" w:type="dxa"/>
            <w:noWrap/>
            <w:vAlign w:val="center"/>
          </w:tcPr>
          <w:p w14:paraId="755C6CE8">
            <w:pPr>
              <w:jc w:val="center"/>
            </w:pPr>
            <w:r>
              <w:t>做一休一</w:t>
            </w:r>
          </w:p>
        </w:tc>
      </w:tr>
      <w:tr w14:paraId="75E2D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5BE2BFB2">
            <w:pPr>
              <w:jc w:val="center"/>
            </w:pPr>
            <w:r>
              <w:rPr>
                <w:rFonts w:hint="eastAsia"/>
              </w:rPr>
              <w:t>9</w:t>
            </w:r>
          </w:p>
        </w:tc>
        <w:tc>
          <w:tcPr>
            <w:tcW w:w="1956" w:type="dxa"/>
            <w:noWrap/>
            <w:vAlign w:val="center"/>
          </w:tcPr>
          <w:p w14:paraId="6E516DB2">
            <w:pPr>
              <w:jc w:val="center"/>
            </w:pPr>
            <w:r>
              <w:rPr>
                <w:rFonts w:hint="eastAsia" w:cs="宋体"/>
              </w:rPr>
              <w:t>外围保洁员</w:t>
            </w:r>
          </w:p>
        </w:tc>
        <w:tc>
          <w:tcPr>
            <w:tcW w:w="720" w:type="dxa"/>
            <w:noWrap/>
            <w:vAlign w:val="center"/>
          </w:tcPr>
          <w:p w14:paraId="58C4C223">
            <w:pPr>
              <w:jc w:val="center"/>
            </w:pPr>
            <w:r>
              <w:rPr>
                <w:rFonts w:hint="eastAsia"/>
              </w:rPr>
              <w:t>4</w:t>
            </w:r>
          </w:p>
        </w:tc>
        <w:tc>
          <w:tcPr>
            <w:tcW w:w="2010" w:type="dxa"/>
            <w:noWrap/>
            <w:vAlign w:val="center"/>
          </w:tcPr>
          <w:p w14:paraId="430584B2">
            <w:pPr>
              <w:jc w:val="center"/>
            </w:pPr>
            <w:r>
              <w:rPr>
                <w:rFonts w:hint="eastAsia" w:cs="宋体"/>
              </w:rPr>
              <w:t>12小时</w:t>
            </w:r>
          </w:p>
        </w:tc>
        <w:tc>
          <w:tcPr>
            <w:tcW w:w="1125" w:type="dxa"/>
            <w:vAlign w:val="center"/>
          </w:tcPr>
          <w:p w14:paraId="12695C68">
            <w:pPr>
              <w:jc w:val="center"/>
            </w:pPr>
            <w:r>
              <w:rPr>
                <w:rFonts w:hint="eastAsia"/>
              </w:rPr>
              <w:t>8</w:t>
            </w:r>
          </w:p>
        </w:tc>
        <w:tc>
          <w:tcPr>
            <w:tcW w:w="1282" w:type="dxa"/>
            <w:noWrap/>
            <w:vAlign w:val="center"/>
          </w:tcPr>
          <w:p w14:paraId="41198324">
            <w:pPr>
              <w:jc w:val="center"/>
            </w:pPr>
            <w:r>
              <w:t>做一休一</w:t>
            </w:r>
          </w:p>
        </w:tc>
      </w:tr>
      <w:tr w14:paraId="1974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4A4208EB">
            <w:pPr>
              <w:jc w:val="center"/>
            </w:pPr>
            <w:r>
              <w:rPr>
                <w:rFonts w:hint="eastAsia"/>
              </w:rPr>
              <w:t>10</w:t>
            </w:r>
          </w:p>
        </w:tc>
        <w:tc>
          <w:tcPr>
            <w:tcW w:w="1956" w:type="dxa"/>
            <w:noWrap/>
            <w:vAlign w:val="center"/>
          </w:tcPr>
          <w:p w14:paraId="1A22ED2B">
            <w:pPr>
              <w:jc w:val="center"/>
            </w:pPr>
            <w:r>
              <w:rPr>
                <w:rFonts w:hint="eastAsia" w:cs="宋体"/>
              </w:rPr>
              <w:t>库房区、洗衣房区域保洁员</w:t>
            </w:r>
          </w:p>
        </w:tc>
        <w:tc>
          <w:tcPr>
            <w:tcW w:w="720" w:type="dxa"/>
            <w:noWrap/>
            <w:vAlign w:val="center"/>
          </w:tcPr>
          <w:p w14:paraId="3ED1E12B">
            <w:pPr>
              <w:jc w:val="center"/>
            </w:pPr>
            <w:r>
              <w:rPr>
                <w:rFonts w:hint="eastAsia"/>
              </w:rPr>
              <w:t>2</w:t>
            </w:r>
          </w:p>
        </w:tc>
        <w:tc>
          <w:tcPr>
            <w:tcW w:w="2010" w:type="dxa"/>
            <w:noWrap/>
            <w:vAlign w:val="center"/>
          </w:tcPr>
          <w:p w14:paraId="181C5600">
            <w:pPr>
              <w:jc w:val="center"/>
            </w:pPr>
            <w:r>
              <w:rPr>
                <w:rFonts w:hint="eastAsia" w:cs="宋体"/>
              </w:rPr>
              <w:t>12小时</w:t>
            </w:r>
          </w:p>
        </w:tc>
        <w:tc>
          <w:tcPr>
            <w:tcW w:w="1125" w:type="dxa"/>
            <w:vAlign w:val="center"/>
          </w:tcPr>
          <w:p w14:paraId="07489639">
            <w:pPr>
              <w:jc w:val="center"/>
            </w:pPr>
            <w:r>
              <w:rPr>
                <w:rFonts w:hint="eastAsia"/>
              </w:rPr>
              <w:t>4</w:t>
            </w:r>
          </w:p>
        </w:tc>
        <w:tc>
          <w:tcPr>
            <w:tcW w:w="1282" w:type="dxa"/>
            <w:noWrap/>
            <w:vAlign w:val="center"/>
          </w:tcPr>
          <w:p w14:paraId="397ACB01">
            <w:pPr>
              <w:jc w:val="center"/>
            </w:pPr>
            <w:r>
              <w:t>做一休一</w:t>
            </w:r>
          </w:p>
        </w:tc>
      </w:tr>
      <w:tr w14:paraId="106B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5C1E97C9">
            <w:pPr>
              <w:jc w:val="center"/>
            </w:pPr>
            <w:r>
              <w:rPr>
                <w:rFonts w:hint="eastAsia"/>
              </w:rPr>
              <w:t>11</w:t>
            </w:r>
          </w:p>
        </w:tc>
        <w:tc>
          <w:tcPr>
            <w:tcW w:w="1956" w:type="dxa"/>
            <w:noWrap/>
            <w:vAlign w:val="center"/>
          </w:tcPr>
          <w:p w14:paraId="0805FEBF">
            <w:pPr>
              <w:jc w:val="center"/>
            </w:pPr>
            <w:r>
              <w:rPr>
                <w:rFonts w:hint="eastAsia" w:cs="宋体"/>
              </w:rPr>
              <w:t>车库区域保洁员</w:t>
            </w:r>
          </w:p>
        </w:tc>
        <w:tc>
          <w:tcPr>
            <w:tcW w:w="720" w:type="dxa"/>
            <w:noWrap/>
            <w:vAlign w:val="center"/>
          </w:tcPr>
          <w:p w14:paraId="2FCBE396">
            <w:pPr>
              <w:jc w:val="center"/>
            </w:pPr>
            <w:r>
              <w:t>1</w:t>
            </w:r>
          </w:p>
        </w:tc>
        <w:tc>
          <w:tcPr>
            <w:tcW w:w="2010" w:type="dxa"/>
            <w:noWrap/>
            <w:vAlign w:val="center"/>
          </w:tcPr>
          <w:p w14:paraId="34DDDE7E">
            <w:pPr>
              <w:jc w:val="center"/>
            </w:pPr>
            <w:r>
              <w:rPr>
                <w:rFonts w:hint="eastAsia" w:cs="宋体"/>
              </w:rPr>
              <w:t>12小时</w:t>
            </w:r>
          </w:p>
        </w:tc>
        <w:tc>
          <w:tcPr>
            <w:tcW w:w="1125" w:type="dxa"/>
            <w:vAlign w:val="center"/>
          </w:tcPr>
          <w:p w14:paraId="7FA64178">
            <w:pPr>
              <w:jc w:val="center"/>
            </w:pPr>
            <w:r>
              <w:t>2</w:t>
            </w:r>
          </w:p>
        </w:tc>
        <w:tc>
          <w:tcPr>
            <w:tcW w:w="1282" w:type="dxa"/>
            <w:noWrap/>
            <w:vAlign w:val="center"/>
          </w:tcPr>
          <w:p w14:paraId="5D6B62FB">
            <w:pPr>
              <w:jc w:val="center"/>
            </w:pPr>
            <w:r>
              <w:t>做一休一</w:t>
            </w:r>
          </w:p>
        </w:tc>
      </w:tr>
      <w:tr w14:paraId="4243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1AF494EF">
            <w:pPr>
              <w:jc w:val="center"/>
            </w:pPr>
            <w:r>
              <w:rPr>
                <w:rFonts w:hint="eastAsia"/>
              </w:rPr>
              <w:t>12</w:t>
            </w:r>
          </w:p>
        </w:tc>
        <w:tc>
          <w:tcPr>
            <w:tcW w:w="1956" w:type="dxa"/>
            <w:noWrap/>
            <w:vAlign w:val="center"/>
          </w:tcPr>
          <w:p w14:paraId="18615462">
            <w:pPr>
              <w:jc w:val="center"/>
              <w:rPr>
                <w:rFonts w:cs="宋体"/>
              </w:rPr>
            </w:pPr>
            <w:r>
              <w:rPr>
                <w:rFonts w:hint="eastAsia" w:cs="宋体"/>
              </w:rPr>
              <w:t>灯塔灯船保洁员</w:t>
            </w:r>
          </w:p>
        </w:tc>
        <w:tc>
          <w:tcPr>
            <w:tcW w:w="720" w:type="dxa"/>
            <w:noWrap/>
            <w:vAlign w:val="center"/>
          </w:tcPr>
          <w:p w14:paraId="79360CDB">
            <w:pPr>
              <w:jc w:val="center"/>
            </w:pPr>
            <w:r>
              <w:rPr>
                <w:rFonts w:hint="eastAsia"/>
              </w:rPr>
              <w:t>1</w:t>
            </w:r>
          </w:p>
        </w:tc>
        <w:tc>
          <w:tcPr>
            <w:tcW w:w="2010" w:type="dxa"/>
            <w:shd w:val="clear" w:color="auto" w:fill="auto"/>
            <w:noWrap/>
            <w:vAlign w:val="center"/>
          </w:tcPr>
          <w:p w14:paraId="60410086">
            <w:pPr>
              <w:jc w:val="center"/>
              <w:rPr>
                <w:rFonts w:cs="宋体"/>
              </w:rPr>
            </w:pPr>
            <w:r>
              <w:rPr>
                <w:rFonts w:hint="eastAsia" w:cs="宋体"/>
              </w:rPr>
              <w:t>8小时</w:t>
            </w:r>
          </w:p>
        </w:tc>
        <w:tc>
          <w:tcPr>
            <w:tcW w:w="1125" w:type="dxa"/>
            <w:vAlign w:val="center"/>
          </w:tcPr>
          <w:p w14:paraId="2379D96D">
            <w:pPr>
              <w:jc w:val="center"/>
            </w:pPr>
            <w:r>
              <w:rPr>
                <w:rFonts w:hint="eastAsia"/>
              </w:rPr>
              <w:t>1</w:t>
            </w:r>
          </w:p>
        </w:tc>
        <w:tc>
          <w:tcPr>
            <w:tcW w:w="1282" w:type="dxa"/>
            <w:noWrap/>
            <w:vAlign w:val="center"/>
          </w:tcPr>
          <w:p w14:paraId="202976E5">
            <w:pPr>
              <w:jc w:val="center"/>
            </w:pPr>
            <w:r>
              <w:t>做</w:t>
            </w:r>
            <w:r>
              <w:rPr>
                <w:rFonts w:hint="eastAsia"/>
              </w:rPr>
              <w:t>五</w:t>
            </w:r>
            <w:r>
              <w:t>休</w:t>
            </w:r>
            <w:r>
              <w:rPr>
                <w:rFonts w:hint="eastAsia"/>
              </w:rPr>
              <w:t>二</w:t>
            </w:r>
          </w:p>
        </w:tc>
      </w:tr>
      <w:tr w14:paraId="58B7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621867A1">
            <w:pPr>
              <w:jc w:val="center"/>
            </w:pPr>
          </w:p>
        </w:tc>
        <w:tc>
          <w:tcPr>
            <w:tcW w:w="1956" w:type="dxa"/>
            <w:noWrap/>
            <w:vAlign w:val="center"/>
          </w:tcPr>
          <w:p w14:paraId="1C4B0B76">
            <w:pPr>
              <w:jc w:val="center"/>
              <w:rPr>
                <w:rFonts w:cs="宋体"/>
              </w:rPr>
            </w:pPr>
          </w:p>
        </w:tc>
        <w:tc>
          <w:tcPr>
            <w:tcW w:w="720" w:type="dxa"/>
            <w:noWrap/>
            <w:vAlign w:val="center"/>
          </w:tcPr>
          <w:p w14:paraId="67D4D6CB">
            <w:pPr>
              <w:jc w:val="center"/>
            </w:pPr>
            <w:r>
              <w:rPr>
                <w:rFonts w:hint="eastAsia"/>
              </w:rPr>
              <w:t>33</w:t>
            </w:r>
          </w:p>
        </w:tc>
        <w:tc>
          <w:tcPr>
            <w:tcW w:w="2010" w:type="dxa"/>
            <w:noWrap/>
            <w:vAlign w:val="center"/>
          </w:tcPr>
          <w:p w14:paraId="560785C1">
            <w:pPr>
              <w:jc w:val="center"/>
              <w:rPr>
                <w:rFonts w:cs="宋体"/>
              </w:rPr>
            </w:pPr>
          </w:p>
        </w:tc>
        <w:tc>
          <w:tcPr>
            <w:tcW w:w="1125" w:type="dxa"/>
            <w:vAlign w:val="center"/>
          </w:tcPr>
          <w:p w14:paraId="59D2CC03">
            <w:pPr>
              <w:jc w:val="center"/>
            </w:pPr>
            <w:r>
              <w:rPr>
                <w:rFonts w:hint="eastAsia"/>
              </w:rPr>
              <w:t>65</w:t>
            </w:r>
          </w:p>
        </w:tc>
        <w:tc>
          <w:tcPr>
            <w:tcW w:w="1282" w:type="dxa"/>
            <w:noWrap/>
            <w:vAlign w:val="center"/>
          </w:tcPr>
          <w:p w14:paraId="217F081F">
            <w:pPr>
              <w:jc w:val="center"/>
            </w:pPr>
          </w:p>
        </w:tc>
      </w:tr>
      <w:tr w14:paraId="42140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1233" w:type="dxa"/>
            <w:gridSpan w:val="2"/>
            <w:tcBorders>
              <w:top w:val="nil"/>
              <w:left w:val="nil"/>
              <w:bottom w:val="nil"/>
              <w:right w:val="nil"/>
            </w:tcBorders>
          </w:tcPr>
          <w:p w14:paraId="15F3BF2E">
            <w:pPr>
              <w:jc w:val="center"/>
            </w:pPr>
          </w:p>
        </w:tc>
        <w:tc>
          <w:tcPr>
            <w:tcW w:w="7281" w:type="dxa"/>
            <w:gridSpan w:val="6"/>
            <w:tcBorders>
              <w:top w:val="nil"/>
              <w:left w:val="nil"/>
              <w:bottom w:val="nil"/>
              <w:right w:val="nil"/>
            </w:tcBorders>
            <w:noWrap/>
            <w:vAlign w:val="center"/>
          </w:tcPr>
          <w:p w14:paraId="24034BD2">
            <w:pPr>
              <w:jc w:val="center"/>
            </w:pPr>
          </w:p>
          <w:p w14:paraId="00143A86">
            <w:pPr>
              <w:jc w:val="center"/>
            </w:pPr>
            <w:r>
              <w:t>秩序维护管理</w:t>
            </w:r>
          </w:p>
        </w:tc>
      </w:tr>
      <w:tr w14:paraId="446C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restart"/>
            <w:tcBorders>
              <w:top w:val="nil"/>
              <w:left w:val="nil"/>
            </w:tcBorders>
            <w:noWrap/>
            <w:vAlign w:val="center"/>
          </w:tcPr>
          <w:p w14:paraId="10CFC0AA"/>
        </w:tc>
        <w:tc>
          <w:tcPr>
            <w:tcW w:w="722" w:type="dxa"/>
            <w:gridSpan w:val="2"/>
            <w:noWrap/>
            <w:vAlign w:val="center"/>
          </w:tcPr>
          <w:p w14:paraId="4EFDE1F8">
            <w:pPr>
              <w:jc w:val="center"/>
            </w:pPr>
            <w:r>
              <w:t>序号</w:t>
            </w:r>
          </w:p>
        </w:tc>
        <w:tc>
          <w:tcPr>
            <w:tcW w:w="1956" w:type="dxa"/>
            <w:noWrap/>
            <w:vAlign w:val="center"/>
          </w:tcPr>
          <w:p w14:paraId="440489D3">
            <w:pPr>
              <w:jc w:val="center"/>
            </w:pPr>
            <w:r>
              <w:rPr>
                <w:rFonts w:hint="eastAsia" w:cs="宋体"/>
              </w:rPr>
              <w:t>岗位名称</w:t>
            </w:r>
          </w:p>
        </w:tc>
        <w:tc>
          <w:tcPr>
            <w:tcW w:w="720" w:type="dxa"/>
            <w:noWrap/>
            <w:vAlign w:val="center"/>
          </w:tcPr>
          <w:p w14:paraId="777F1074">
            <w:pPr>
              <w:jc w:val="center"/>
            </w:pPr>
            <w:r>
              <w:t>岗位数</w:t>
            </w:r>
          </w:p>
        </w:tc>
        <w:tc>
          <w:tcPr>
            <w:tcW w:w="2010" w:type="dxa"/>
            <w:noWrap/>
            <w:vAlign w:val="center"/>
          </w:tcPr>
          <w:p w14:paraId="666A4AEB">
            <w:pPr>
              <w:jc w:val="center"/>
            </w:pPr>
            <w:r>
              <w:rPr>
                <w:rFonts w:hint="eastAsia" w:cs="宋体"/>
              </w:rPr>
              <w:t>服务时间</w:t>
            </w:r>
          </w:p>
        </w:tc>
        <w:tc>
          <w:tcPr>
            <w:tcW w:w="1125" w:type="dxa"/>
            <w:vAlign w:val="center"/>
          </w:tcPr>
          <w:p w14:paraId="2B4FFC7B">
            <w:pPr>
              <w:jc w:val="center"/>
              <w:rPr>
                <w:rFonts w:cs="宋体"/>
              </w:rPr>
            </w:pPr>
            <w:r>
              <w:rPr>
                <w:rFonts w:hint="eastAsia" w:cs="宋体"/>
              </w:rPr>
              <w:t>人数</w:t>
            </w:r>
          </w:p>
        </w:tc>
        <w:tc>
          <w:tcPr>
            <w:tcW w:w="1282" w:type="dxa"/>
            <w:noWrap/>
            <w:vAlign w:val="center"/>
          </w:tcPr>
          <w:p w14:paraId="49163D50">
            <w:pPr>
              <w:jc w:val="center"/>
            </w:pPr>
            <w:r>
              <w:rPr>
                <w:rFonts w:hint="eastAsia" w:cs="宋体"/>
              </w:rPr>
              <w:t>备注</w:t>
            </w:r>
          </w:p>
        </w:tc>
      </w:tr>
      <w:tr w14:paraId="5922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6F729ECC">
            <w:pPr>
              <w:rPr>
                <w:rFonts w:cs="宋体"/>
              </w:rPr>
            </w:pPr>
          </w:p>
        </w:tc>
        <w:tc>
          <w:tcPr>
            <w:tcW w:w="722" w:type="dxa"/>
            <w:gridSpan w:val="2"/>
            <w:noWrap/>
            <w:vAlign w:val="center"/>
          </w:tcPr>
          <w:p w14:paraId="361FE207">
            <w:pPr>
              <w:jc w:val="center"/>
            </w:pPr>
            <w:r>
              <w:rPr>
                <w:rFonts w:hint="eastAsia"/>
              </w:rPr>
              <w:t>1</w:t>
            </w:r>
          </w:p>
        </w:tc>
        <w:tc>
          <w:tcPr>
            <w:tcW w:w="1956" w:type="dxa"/>
            <w:noWrap/>
            <w:vAlign w:val="center"/>
          </w:tcPr>
          <w:p w14:paraId="1337A427">
            <w:pPr>
              <w:jc w:val="center"/>
              <w:rPr>
                <w:rFonts w:cs="宋体"/>
              </w:rPr>
            </w:pPr>
            <w:r>
              <w:rPr>
                <w:rFonts w:hint="eastAsia" w:cs="宋体"/>
              </w:rPr>
              <w:t>安全生产管理员</w:t>
            </w:r>
          </w:p>
        </w:tc>
        <w:tc>
          <w:tcPr>
            <w:tcW w:w="720" w:type="dxa"/>
            <w:noWrap/>
            <w:vAlign w:val="center"/>
          </w:tcPr>
          <w:p w14:paraId="45D30CF8">
            <w:pPr>
              <w:jc w:val="center"/>
            </w:pPr>
            <w:r>
              <w:rPr>
                <w:rFonts w:hint="eastAsia"/>
              </w:rPr>
              <w:t>1</w:t>
            </w:r>
          </w:p>
        </w:tc>
        <w:tc>
          <w:tcPr>
            <w:tcW w:w="2010" w:type="dxa"/>
            <w:noWrap/>
            <w:vAlign w:val="center"/>
          </w:tcPr>
          <w:p w14:paraId="0EA874C3">
            <w:pPr>
              <w:jc w:val="center"/>
              <w:rPr>
                <w:rFonts w:cs="宋体"/>
              </w:rPr>
            </w:pPr>
            <w:r>
              <w:rPr>
                <w:rFonts w:hint="eastAsia" w:cs="宋体"/>
              </w:rPr>
              <w:t>8小时</w:t>
            </w:r>
          </w:p>
        </w:tc>
        <w:tc>
          <w:tcPr>
            <w:tcW w:w="1125" w:type="dxa"/>
            <w:vAlign w:val="center"/>
          </w:tcPr>
          <w:p w14:paraId="0A91AA2F">
            <w:pPr>
              <w:jc w:val="center"/>
              <w:rPr>
                <w:rFonts w:cs="宋体"/>
              </w:rPr>
            </w:pPr>
            <w:r>
              <w:rPr>
                <w:rFonts w:hint="eastAsia" w:cs="宋体"/>
              </w:rPr>
              <w:t>1</w:t>
            </w:r>
          </w:p>
        </w:tc>
        <w:tc>
          <w:tcPr>
            <w:tcW w:w="1282" w:type="dxa"/>
            <w:noWrap/>
            <w:vAlign w:val="center"/>
          </w:tcPr>
          <w:p w14:paraId="24A41AEC">
            <w:pPr>
              <w:jc w:val="center"/>
              <w:rPr>
                <w:rFonts w:cs="宋体"/>
              </w:rPr>
            </w:pPr>
            <w:r>
              <w:rPr>
                <w:rFonts w:hint="eastAsia" w:cs="宋体"/>
              </w:rPr>
              <w:t>关键岗位</w:t>
            </w:r>
          </w:p>
        </w:tc>
      </w:tr>
      <w:tr w14:paraId="6D64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0D344BA9">
            <w:pPr>
              <w:jc w:val="center"/>
            </w:pPr>
          </w:p>
        </w:tc>
        <w:tc>
          <w:tcPr>
            <w:tcW w:w="722" w:type="dxa"/>
            <w:gridSpan w:val="2"/>
            <w:noWrap/>
            <w:vAlign w:val="center"/>
          </w:tcPr>
          <w:p w14:paraId="1190F639">
            <w:pPr>
              <w:jc w:val="center"/>
            </w:pPr>
            <w:r>
              <w:t>2</w:t>
            </w:r>
          </w:p>
        </w:tc>
        <w:tc>
          <w:tcPr>
            <w:tcW w:w="1956" w:type="dxa"/>
            <w:noWrap/>
            <w:vAlign w:val="center"/>
          </w:tcPr>
          <w:p w14:paraId="1BA1BF44">
            <w:pPr>
              <w:jc w:val="center"/>
            </w:pPr>
            <w:r>
              <w:rPr>
                <w:rFonts w:hint="eastAsia" w:cs="宋体"/>
              </w:rPr>
              <w:t>消防安全员</w:t>
            </w:r>
          </w:p>
        </w:tc>
        <w:tc>
          <w:tcPr>
            <w:tcW w:w="720" w:type="dxa"/>
            <w:noWrap/>
            <w:vAlign w:val="center"/>
          </w:tcPr>
          <w:p w14:paraId="29693B92">
            <w:pPr>
              <w:jc w:val="center"/>
            </w:pPr>
            <w:r>
              <w:t>1</w:t>
            </w:r>
          </w:p>
        </w:tc>
        <w:tc>
          <w:tcPr>
            <w:tcW w:w="2010" w:type="dxa"/>
            <w:noWrap/>
            <w:vAlign w:val="center"/>
          </w:tcPr>
          <w:p w14:paraId="365BF6EB">
            <w:pPr>
              <w:jc w:val="center"/>
            </w:pPr>
            <w:r>
              <w:rPr>
                <w:rFonts w:hint="eastAsia" w:cs="宋体"/>
              </w:rPr>
              <w:t>8小时</w:t>
            </w:r>
          </w:p>
        </w:tc>
        <w:tc>
          <w:tcPr>
            <w:tcW w:w="1125" w:type="dxa"/>
            <w:vAlign w:val="center"/>
          </w:tcPr>
          <w:p w14:paraId="62C07DF6">
            <w:pPr>
              <w:jc w:val="center"/>
            </w:pPr>
            <w:r>
              <w:rPr>
                <w:rFonts w:hint="eastAsia"/>
              </w:rPr>
              <w:t>1</w:t>
            </w:r>
          </w:p>
        </w:tc>
        <w:tc>
          <w:tcPr>
            <w:tcW w:w="1282" w:type="dxa"/>
            <w:noWrap/>
            <w:vAlign w:val="center"/>
          </w:tcPr>
          <w:p w14:paraId="42A4B64B">
            <w:pPr>
              <w:jc w:val="center"/>
            </w:pPr>
            <w:r>
              <w:t>关键岗位</w:t>
            </w:r>
          </w:p>
        </w:tc>
      </w:tr>
      <w:tr w14:paraId="0019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6B4B8827">
            <w:pPr>
              <w:jc w:val="center"/>
            </w:pPr>
          </w:p>
        </w:tc>
        <w:tc>
          <w:tcPr>
            <w:tcW w:w="722" w:type="dxa"/>
            <w:gridSpan w:val="2"/>
            <w:noWrap/>
            <w:vAlign w:val="center"/>
          </w:tcPr>
          <w:p w14:paraId="1C2453A7">
            <w:pPr>
              <w:jc w:val="center"/>
            </w:pPr>
            <w:r>
              <w:t>3</w:t>
            </w:r>
          </w:p>
        </w:tc>
        <w:tc>
          <w:tcPr>
            <w:tcW w:w="1956" w:type="dxa"/>
            <w:noWrap/>
            <w:vAlign w:val="center"/>
          </w:tcPr>
          <w:p w14:paraId="407806F9">
            <w:pPr>
              <w:jc w:val="center"/>
            </w:pPr>
            <w:r>
              <w:rPr>
                <w:rFonts w:hint="eastAsia" w:cs="宋体"/>
              </w:rPr>
              <w:t>安防系统管理员</w:t>
            </w:r>
          </w:p>
        </w:tc>
        <w:tc>
          <w:tcPr>
            <w:tcW w:w="720" w:type="dxa"/>
            <w:noWrap/>
            <w:vAlign w:val="center"/>
          </w:tcPr>
          <w:p w14:paraId="6F6B5DD7">
            <w:pPr>
              <w:jc w:val="center"/>
            </w:pPr>
            <w:r>
              <w:t>1</w:t>
            </w:r>
          </w:p>
        </w:tc>
        <w:tc>
          <w:tcPr>
            <w:tcW w:w="2010" w:type="dxa"/>
            <w:noWrap/>
            <w:vAlign w:val="center"/>
          </w:tcPr>
          <w:p w14:paraId="713082A9">
            <w:pPr>
              <w:jc w:val="center"/>
            </w:pPr>
            <w:r>
              <w:rPr>
                <w:rFonts w:hint="eastAsia" w:cs="宋体"/>
              </w:rPr>
              <w:t>8小时</w:t>
            </w:r>
          </w:p>
        </w:tc>
        <w:tc>
          <w:tcPr>
            <w:tcW w:w="1125" w:type="dxa"/>
            <w:vAlign w:val="center"/>
          </w:tcPr>
          <w:p w14:paraId="0481C1AB">
            <w:pPr>
              <w:jc w:val="center"/>
              <w:rPr>
                <w:rFonts w:cs="宋体"/>
              </w:rPr>
            </w:pPr>
            <w:r>
              <w:rPr>
                <w:rFonts w:hint="eastAsia" w:cs="宋体"/>
              </w:rPr>
              <w:t>1</w:t>
            </w:r>
          </w:p>
        </w:tc>
        <w:tc>
          <w:tcPr>
            <w:tcW w:w="1282" w:type="dxa"/>
            <w:noWrap/>
            <w:vAlign w:val="center"/>
          </w:tcPr>
          <w:p w14:paraId="7072D8DE">
            <w:pPr>
              <w:jc w:val="center"/>
            </w:pPr>
            <w:r>
              <w:rPr>
                <w:rFonts w:hint="eastAsia" w:cs="宋体"/>
              </w:rPr>
              <w:t>关键岗位</w:t>
            </w:r>
          </w:p>
        </w:tc>
      </w:tr>
      <w:tr w14:paraId="6CDD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tcBorders>
            <w:noWrap/>
            <w:vAlign w:val="center"/>
          </w:tcPr>
          <w:p w14:paraId="03D609E8">
            <w:pPr>
              <w:jc w:val="center"/>
            </w:pPr>
          </w:p>
        </w:tc>
        <w:tc>
          <w:tcPr>
            <w:tcW w:w="722" w:type="dxa"/>
            <w:gridSpan w:val="2"/>
            <w:noWrap/>
            <w:vAlign w:val="center"/>
          </w:tcPr>
          <w:p w14:paraId="4C1B228A">
            <w:pPr>
              <w:jc w:val="center"/>
            </w:pPr>
            <w:r>
              <w:t>4</w:t>
            </w:r>
          </w:p>
        </w:tc>
        <w:tc>
          <w:tcPr>
            <w:tcW w:w="1956" w:type="dxa"/>
            <w:noWrap/>
            <w:vAlign w:val="center"/>
          </w:tcPr>
          <w:p w14:paraId="74D792F7">
            <w:pPr>
              <w:jc w:val="center"/>
            </w:pPr>
            <w:r>
              <w:rPr>
                <w:rFonts w:hint="eastAsia" w:cs="宋体"/>
              </w:rPr>
              <w:t>散客入口安检员</w:t>
            </w:r>
          </w:p>
        </w:tc>
        <w:tc>
          <w:tcPr>
            <w:tcW w:w="720" w:type="dxa"/>
            <w:noWrap/>
            <w:vAlign w:val="center"/>
          </w:tcPr>
          <w:p w14:paraId="07D068C7">
            <w:pPr>
              <w:jc w:val="center"/>
            </w:pPr>
            <w:r>
              <w:rPr>
                <w:rFonts w:hint="eastAsia"/>
              </w:rPr>
              <w:t>3</w:t>
            </w:r>
          </w:p>
        </w:tc>
        <w:tc>
          <w:tcPr>
            <w:tcW w:w="2010" w:type="dxa"/>
            <w:noWrap/>
            <w:vAlign w:val="center"/>
          </w:tcPr>
          <w:p w14:paraId="1E222B2E">
            <w:pPr>
              <w:jc w:val="center"/>
            </w:pPr>
            <w:r>
              <w:rPr>
                <w:rFonts w:hint="eastAsia" w:cs="宋体"/>
              </w:rPr>
              <w:t>8小时</w:t>
            </w:r>
          </w:p>
        </w:tc>
        <w:tc>
          <w:tcPr>
            <w:tcW w:w="1125" w:type="dxa"/>
            <w:vAlign w:val="center"/>
          </w:tcPr>
          <w:p w14:paraId="30A870C6">
            <w:pPr>
              <w:jc w:val="center"/>
              <w:rPr>
                <w:rFonts w:cs="宋体"/>
              </w:rPr>
            </w:pPr>
            <w:r>
              <w:rPr>
                <w:rFonts w:hint="eastAsia" w:cs="宋体"/>
              </w:rPr>
              <w:t>5.4</w:t>
            </w:r>
          </w:p>
        </w:tc>
        <w:tc>
          <w:tcPr>
            <w:tcW w:w="1282" w:type="dxa"/>
            <w:noWrap/>
            <w:vAlign w:val="center"/>
          </w:tcPr>
          <w:p w14:paraId="3E0C9965">
            <w:pPr>
              <w:jc w:val="center"/>
            </w:pPr>
            <w:r>
              <w:rPr>
                <w:rFonts w:hint="eastAsia"/>
              </w:rPr>
              <w:t>做五休二</w:t>
            </w:r>
          </w:p>
        </w:tc>
      </w:tr>
      <w:tr w14:paraId="306E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4" w:type="dxa"/>
          <w:trHeight w:val="617" w:hRule="atLeast"/>
        </w:trPr>
        <w:tc>
          <w:tcPr>
            <w:tcW w:w="699" w:type="dxa"/>
            <w:vMerge w:val="continue"/>
            <w:tcBorders>
              <w:left w:val="nil"/>
              <w:bottom w:val="nil"/>
            </w:tcBorders>
            <w:noWrap/>
            <w:vAlign w:val="center"/>
          </w:tcPr>
          <w:p w14:paraId="59F6FB97">
            <w:pPr>
              <w:jc w:val="center"/>
            </w:pPr>
          </w:p>
        </w:tc>
        <w:tc>
          <w:tcPr>
            <w:tcW w:w="722" w:type="dxa"/>
            <w:gridSpan w:val="2"/>
            <w:noWrap/>
            <w:vAlign w:val="center"/>
          </w:tcPr>
          <w:p w14:paraId="73F42875">
            <w:pPr>
              <w:jc w:val="center"/>
            </w:pPr>
            <w:r>
              <w:t>5</w:t>
            </w:r>
          </w:p>
        </w:tc>
        <w:tc>
          <w:tcPr>
            <w:tcW w:w="1956" w:type="dxa"/>
            <w:noWrap/>
            <w:vAlign w:val="center"/>
          </w:tcPr>
          <w:p w14:paraId="6F078105">
            <w:pPr>
              <w:jc w:val="center"/>
            </w:pPr>
            <w:r>
              <w:rPr>
                <w:rFonts w:hint="eastAsia" w:cs="宋体"/>
              </w:rPr>
              <w:t>团队入口安检员</w:t>
            </w:r>
          </w:p>
        </w:tc>
        <w:tc>
          <w:tcPr>
            <w:tcW w:w="720" w:type="dxa"/>
            <w:noWrap/>
            <w:vAlign w:val="center"/>
          </w:tcPr>
          <w:p w14:paraId="541B4BE9">
            <w:pPr>
              <w:jc w:val="center"/>
            </w:pPr>
            <w:r>
              <w:rPr>
                <w:rFonts w:hint="eastAsia"/>
              </w:rPr>
              <w:t>2</w:t>
            </w:r>
          </w:p>
        </w:tc>
        <w:tc>
          <w:tcPr>
            <w:tcW w:w="2010" w:type="dxa"/>
            <w:noWrap/>
            <w:vAlign w:val="center"/>
          </w:tcPr>
          <w:p w14:paraId="3E7655BF">
            <w:pPr>
              <w:jc w:val="center"/>
            </w:pPr>
            <w:r>
              <w:rPr>
                <w:rFonts w:hint="eastAsia" w:cs="宋体"/>
              </w:rPr>
              <w:t>8小时</w:t>
            </w:r>
          </w:p>
        </w:tc>
        <w:tc>
          <w:tcPr>
            <w:tcW w:w="1125" w:type="dxa"/>
            <w:vAlign w:val="center"/>
          </w:tcPr>
          <w:p w14:paraId="7CA4EC13">
            <w:pPr>
              <w:jc w:val="center"/>
            </w:pPr>
            <w:r>
              <w:rPr>
                <w:rFonts w:hint="eastAsia"/>
              </w:rPr>
              <w:t>3.6</w:t>
            </w:r>
          </w:p>
        </w:tc>
        <w:tc>
          <w:tcPr>
            <w:tcW w:w="1282" w:type="dxa"/>
            <w:shd w:val="clear" w:color="auto" w:fill="auto"/>
            <w:noWrap/>
            <w:vAlign w:val="center"/>
          </w:tcPr>
          <w:p w14:paraId="72BBA31D">
            <w:pPr>
              <w:jc w:val="center"/>
            </w:pPr>
            <w:r>
              <w:rPr>
                <w:rFonts w:hint="eastAsia"/>
              </w:rPr>
              <w:t>做五休二</w:t>
            </w:r>
          </w:p>
        </w:tc>
      </w:tr>
      <w:tr w14:paraId="29B1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12431A67">
            <w:pPr>
              <w:jc w:val="center"/>
            </w:pPr>
            <w:r>
              <w:t>6</w:t>
            </w:r>
          </w:p>
        </w:tc>
        <w:tc>
          <w:tcPr>
            <w:tcW w:w="1956" w:type="dxa"/>
            <w:noWrap/>
            <w:vAlign w:val="center"/>
          </w:tcPr>
          <w:p w14:paraId="50A50993">
            <w:pPr>
              <w:jc w:val="center"/>
            </w:pPr>
            <w:r>
              <w:rPr>
                <w:rFonts w:hint="eastAsia" w:cs="宋体"/>
              </w:rPr>
              <w:t>2F员工通道安检员</w:t>
            </w:r>
          </w:p>
        </w:tc>
        <w:tc>
          <w:tcPr>
            <w:tcW w:w="720" w:type="dxa"/>
            <w:noWrap/>
            <w:vAlign w:val="center"/>
          </w:tcPr>
          <w:p w14:paraId="08E488E8">
            <w:pPr>
              <w:jc w:val="center"/>
            </w:pPr>
            <w:r>
              <w:t>1</w:t>
            </w:r>
          </w:p>
        </w:tc>
        <w:tc>
          <w:tcPr>
            <w:tcW w:w="2010" w:type="dxa"/>
            <w:noWrap/>
            <w:vAlign w:val="center"/>
          </w:tcPr>
          <w:p w14:paraId="3C7D7592">
            <w:pPr>
              <w:jc w:val="center"/>
            </w:pPr>
            <w:r>
              <w:rPr>
                <w:rFonts w:hint="eastAsia" w:cs="宋体"/>
              </w:rPr>
              <w:t>8小时</w:t>
            </w:r>
          </w:p>
        </w:tc>
        <w:tc>
          <w:tcPr>
            <w:tcW w:w="1125" w:type="dxa"/>
            <w:vAlign w:val="center"/>
          </w:tcPr>
          <w:p w14:paraId="31C193DE">
            <w:pPr>
              <w:jc w:val="center"/>
            </w:pPr>
            <w:r>
              <w:rPr>
                <w:rFonts w:hint="eastAsia"/>
              </w:rPr>
              <w:t>1.8</w:t>
            </w:r>
          </w:p>
        </w:tc>
        <w:tc>
          <w:tcPr>
            <w:tcW w:w="1282" w:type="dxa"/>
            <w:noWrap/>
            <w:vAlign w:val="center"/>
          </w:tcPr>
          <w:p w14:paraId="499C09DE">
            <w:pPr>
              <w:jc w:val="center"/>
            </w:pPr>
            <w:r>
              <w:rPr>
                <w:rFonts w:hint="eastAsia"/>
              </w:rPr>
              <w:t>做五休二</w:t>
            </w:r>
          </w:p>
        </w:tc>
      </w:tr>
      <w:tr w14:paraId="0F0E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23C9A40B">
            <w:pPr>
              <w:jc w:val="center"/>
            </w:pPr>
            <w:r>
              <w:t>7</w:t>
            </w:r>
          </w:p>
        </w:tc>
        <w:tc>
          <w:tcPr>
            <w:tcW w:w="1956" w:type="dxa"/>
            <w:noWrap/>
            <w:vAlign w:val="center"/>
          </w:tcPr>
          <w:p w14:paraId="4DA533AA">
            <w:pPr>
              <w:jc w:val="center"/>
            </w:pPr>
            <w:r>
              <w:rPr>
                <w:rFonts w:hint="eastAsia"/>
              </w:rPr>
              <w:t>1F员工通道安检员</w:t>
            </w:r>
          </w:p>
        </w:tc>
        <w:tc>
          <w:tcPr>
            <w:tcW w:w="720" w:type="dxa"/>
            <w:noWrap/>
            <w:vAlign w:val="center"/>
          </w:tcPr>
          <w:p w14:paraId="1D7DC0C1">
            <w:pPr>
              <w:jc w:val="center"/>
            </w:pPr>
            <w:r>
              <w:t>1</w:t>
            </w:r>
          </w:p>
        </w:tc>
        <w:tc>
          <w:tcPr>
            <w:tcW w:w="2010" w:type="dxa"/>
            <w:noWrap/>
            <w:vAlign w:val="center"/>
          </w:tcPr>
          <w:p w14:paraId="012C7CE5">
            <w:pPr>
              <w:jc w:val="center"/>
            </w:pPr>
            <w:r>
              <w:rPr>
                <w:rFonts w:hint="eastAsia" w:cs="宋体"/>
              </w:rPr>
              <w:t>8小时</w:t>
            </w:r>
          </w:p>
        </w:tc>
        <w:tc>
          <w:tcPr>
            <w:tcW w:w="1125" w:type="dxa"/>
            <w:vAlign w:val="center"/>
          </w:tcPr>
          <w:p w14:paraId="6B9AB45D">
            <w:pPr>
              <w:jc w:val="center"/>
            </w:pPr>
            <w:r>
              <w:rPr>
                <w:rFonts w:hint="eastAsia"/>
              </w:rPr>
              <w:t>1.8</w:t>
            </w:r>
          </w:p>
        </w:tc>
        <w:tc>
          <w:tcPr>
            <w:tcW w:w="1282" w:type="dxa"/>
            <w:noWrap/>
            <w:vAlign w:val="center"/>
          </w:tcPr>
          <w:p w14:paraId="2A5519B5">
            <w:pPr>
              <w:jc w:val="center"/>
            </w:pPr>
            <w:r>
              <w:rPr>
                <w:rFonts w:hint="eastAsia"/>
              </w:rPr>
              <w:t>做五休二</w:t>
            </w:r>
          </w:p>
        </w:tc>
      </w:tr>
      <w:tr w14:paraId="202B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73E12B59">
            <w:pPr>
              <w:jc w:val="center"/>
            </w:pPr>
            <w:r>
              <w:t>8</w:t>
            </w:r>
          </w:p>
        </w:tc>
        <w:tc>
          <w:tcPr>
            <w:tcW w:w="1956" w:type="dxa"/>
            <w:noWrap/>
            <w:vAlign w:val="center"/>
          </w:tcPr>
          <w:p w14:paraId="0D21340B">
            <w:pPr>
              <w:jc w:val="center"/>
            </w:pPr>
            <w:r>
              <w:rPr>
                <w:rFonts w:hint="eastAsia"/>
              </w:rPr>
              <w:t>中央大厅、船舶馆、亲水区域管理员</w:t>
            </w:r>
          </w:p>
        </w:tc>
        <w:tc>
          <w:tcPr>
            <w:tcW w:w="720" w:type="dxa"/>
            <w:noWrap/>
            <w:vAlign w:val="center"/>
          </w:tcPr>
          <w:p w14:paraId="5DC2C761">
            <w:pPr>
              <w:jc w:val="center"/>
            </w:pPr>
            <w:r>
              <w:t>1</w:t>
            </w:r>
          </w:p>
        </w:tc>
        <w:tc>
          <w:tcPr>
            <w:tcW w:w="2010" w:type="dxa"/>
            <w:noWrap/>
            <w:vAlign w:val="center"/>
          </w:tcPr>
          <w:p w14:paraId="7D448F64">
            <w:pPr>
              <w:jc w:val="center"/>
            </w:pPr>
            <w:r>
              <w:rPr>
                <w:rFonts w:hint="eastAsia" w:cs="宋体"/>
              </w:rPr>
              <w:t>8小时</w:t>
            </w:r>
          </w:p>
        </w:tc>
        <w:tc>
          <w:tcPr>
            <w:tcW w:w="1125" w:type="dxa"/>
            <w:vAlign w:val="center"/>
          </w:tcPr>
          <w:p w14:paraId="0CF9129A">
            <w:pPr>
              <w:jc w:val="center"/>
            </w:pPr>
            <w:r>
              <w:rPr>
                <w:rFonts w:hint="eastAsia"/>
              </w:rPr>
              <w:t>1.8</w:t>
            </w:r>
          </w:p>
        </w:tc>
        <w:tc>
          <w:tcPr>
            <w:tcW w:w="1282" w:type="dxa"/>
            <w:noWrap/>
            <w:vAlign w:val="center"/>
          </w:tcPr>
          <w:p w14:paraId="1751EA4A">
            <w:pPr>
              <w:jc w:val="center"/>
            </w:pPr>
            <w:r>
              <w:rPr>
                <w:rFonts w:hint="eastAsia"/>
              </w:rPr>
              <w:t>做五休二</w:t>
            </w:r>
          </w:p>
        </w:tc>
      </w:tr>
      <w:tr w14:paraId="6177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tcBorders>
              <w:bottom w:val="single" w:color="auto" w:sz="4" w:space="0"/>
            </w:tcBorders>
            <w:noWrap/>
            <w:vAlign w:val="center"/>
          </w:tcPr>
          <w:p w14:paraId="7CC75F0D">
            <w:pPr>
              <w:jc w:val="center"/>
            </w:pPr>
            <w:r>
              <w:t>9</w:t>
            </w:r>
          </w:p>
        </w:tc>
        <w:tc>
          <w:tcPr>
            <w:tcW w:w="1956" w:type="dxa"/>
            <w:tcBorders>
              <w:bottom w:val="single" w:color="auto" w:sz="4" w:space="0"/>
            </w:tcBorders>
            <w:noWrap/>
            <w:vAlign w:val="center"/>
          </w:tcPr>
          <w:p w14:paraId="1B38D4CA">
            <w:pPr>
              <w:jc w:val="center"/>
            </w:pPr>
            <w:r>
              <w:rPr>
                <w:rFonts w:hint="eastAsia" w:cs="宋体"/>
              </w:rPr>
              <w:t>历史馆、海洋展厅区域管理员</w:t>
            </w:r>
          </w:p>
        </w:tc>
        <w:tc>
          <w:tcPr>
            <w:tcW w:w="720" w:type="dxa"/>
            <w:tcBorders>
              <w:bottom w:val="single" w:color="auto" w:sz="4" w:space="0"/>
            </w:tcBorders>
            <w:noWrap/>
            <w:vAlign w:val="center"/>
          </w:tcPr>
          <w:p w14:paraId="1BB254DE">
            <w:pPr>
              <w:jc w:val="center"/>
            </w:pPr>
            <w:r>
              <w:t>1</w:t>
            </w:r>
          </w:p>
        </w:tc>
        <w:tc>
          <w:tcPr>
            <w:tcW w:w="2010" w:type="dxa"/>
            <w:tcBorders>
              <w:bottom w:val="single" w:color="auto" w:sz="4" w:space="0"/>
            </w:tcBorders>
            <w:noWrap/>
            <w:vAlign w:val="center"/>
          </w:tcPr>
          <w:p w14:paraId="1A2FEEF9">
            <w:pPr>
              <w:jc w:val="center"/>
            </w:pPr>
            <w:r>
              <w:rPr>
                <w:rFonts w:hint="eastAsia" w:cs="宋体"/>
              </w:rPr>
              <w:t>8小时</w:t>
            </w:r>
          </w:p>
        </w:tc>
        <w:tc>
          <w:tcPr>
            <w:tcW w:w="1125" w:type="dxa"/>
            <w:tcBorders>
              <w:bottom w:val="single" w:color="auto" w:sz="4" w:space="0"/>
            </w:tcBorders>
            <w:vAlign w:val="center"/>
          </w:tcPr>
          <w:p w14:paraId="324E01D4">
            <w:pPr>
              <w:jc w:val="center"/>
            </w:pPr>
            <w:r>
              <w:rPr>
                <w:rFonts w:hint="eastAsia"/>
              </w:rPr>
              <w:t>1.8</w:t>
            </w:r>
          </w:p>
        </w:tc>
        <w:tc>
          <w:tcPr>
            <w:tcW w:w="1282" w:type="dxa"/>
            <w:tcBorders>
              <w:bottom w:val="single" w:color="auto" w:sz="4" w:space="0"/>
            </w:tcBorders>
            <w:noWrap/>
            <w:vAlign w:val="center"/>
          </w:tcPr>
          <w:p w14:paraId="1B61E780">
            <w:pPr>
              <w:jc w:val="center"/>
            </w:pPr>
            <w:r>
              <w:rPr>
                <w:rFonts w:hint="eastAsia"/>
              </w:rPr>
              <w:t>做五休二</w:t>
            </w:r>
          </w:p>
        </w:tc>
      </w:tr>
      <w:tr w14:paraId="6FF1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3D22C4D7">
            <w:pPr>
              <w:jc w:val="center"/>
            </w:pPr>
            <w:r>
              <w:t>10</w:t>
            </w:r>
          </w:p>
        </w:tc>
        <w:tc>
          <w:tcPr>
            <w:tcW w:w="1956" w:type="dxa"/>
            <w:noWrap/>
            <w:vAlign w:val="center"/>
          </w:tcPr>
          <w:p w14:paraId="3E5C21E5">
            <w:pPr>
              <w:jc w:val="center"/>
            </w:pPr>
            <w:r>
              <w:rPr>
                <w:rFonts w:hint="eastAsia" w:cs="宋体"/>
              </w:rPr>
              <w:t>航海与港口馆、扶梯区域管理员</w:t>
            </w:r>
          </w:p>
        </w:tc>
        <w:tc>
          <w:tcPr>
            <w:tcW w:w="720" w:type="dxa"/>
            <w:noWrap/>
            <w:vAlign w:val="center"/>
          </w:tcPr>
          <w:p w14:paraId="70922A98">
            <w:pPr>
              <w:jc w:val="center"/>
            </w:pPr>
            <w:r>
              <w:rPr>
                <w:rFonts w:hint="eastAsia"/>
              </w:rPr>
              <w:t>1</w:t>
            </w:r>
          </w:p>
        </w:tc>
        <w:tc>
          <w:tcPr>
            <w:tcW w:w="2010" w:type="dxa"/>
            <w:noWrap/>
            <w:vAlign w:val="center"/>
          </w:tcPr>
          <w:p w14:paraId="3B9AEDB3">
            <w:pPr>
              <w:jc w:val="center"/>
            </w:pPr>
            <w:r>
              <w:rPr>
                <w:rFonts w:hint="eastAsia" w:cs="宋体"/>
              </w:rPr>
              <w:t>8小时</w:t>
            </w:r>
          </w:p>
        </w:tc>
        <w:tc>
          <w:tcPr>
            <w:tcW w:w="1125" w:type="dxa"/>
            <w:vAlign w:val="center"/>
          </w:tcPr>
          <w:p w14:paraId="4160BBC8">
            <w:pPr>
              <w:jc w:val="center"/>
            </w:pPr>
            <w:r>
              <w:rPr>
                <w:rFonts w:hint="eastAsia"/>
              </w:rPr>
              <w:t>1.8</w:t>
            </w:r>
          </w:p>
        </w:tc>
        <w:tc>
          <w:tcPr>
            <w:tcW w:w="1282" w:type="dxa"/>
            <w:noWrap/>
            <w:vAlign w:val="center"/>
          </w:tcPr>
          <w:p w14:paraId="3EAA3DDB">
            <w:pPr>
              <w:jc w:val="center"/>
            </w:pPr>
            <w:r>
              <w:rPr>
                <w:rFonts w:hint="eastAsia"/>
              </w:rPr>
              <w:t>做五休二</w:t>
            </w:r>
          </w:p>
        </w:tc>
      </w:tr>
      <w:tr w14:paraId="1E1C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1FF71414">
            <w:pPr>
              <w:jc w:val="center"/>
            </w:pPr>
            <w:r>
              <w:t>11</w:t>
            </w:r>
          </w:p>
        </w:tc>
        <w:tc>
          <w:tcPr>
            <w:tcW w:w="1956" w:type="dxa"/>
            <w:noWrap/>
            <w:vAlign w:val="center"/>
          </w:tcPr>
          <w:p w14:paraId="1C8711C8">
            <w:pPr>
              <w:jc w:val="center"/>
            </w:pPr>
            <w:r>
              <w:rPr>
                <w:rFonts w:hint="eastAsia" w:cs="宋体"/>
              </w:rPr>
              <w:t>海事馆、军事馆、打捞馆、扶梯区域管理员</w:t>
            </w:r>
          </w:p>
        </w:tc>
        <w:tc>
          <w:tcPr>
            <w:tcW w:w="720" w:type="dxa"/>
            <w:noWrap/>
            <w:vAlign w:val="center"/>
          </w:tcPr>
          <w:p w14:paraId="2091A7DB">
            <w:pPr>
              <w:jc w:val="center"/>
            </w:pPr>
            <w:r>
              <w:rPr>
                <w:rFonts w:hint="eastAsia"/>
              </w:rPr>
              <w:t>1</w:t>
            </w:r>
          </w:p>
        </w:tc>
        <w:tc>
          <w:tcPr>
            <w:tcW w:w="2010" w:type="dxa"/>
            <w:noWrap/>
            <w:vAlign w:val="center"/>
          </w:tcPr>
          <w:p w14:paraId="3822201A">
            <w:pPr>
              <w:jc w:val="center"/>
            </w:pPr>
            <w:r>
              <w:rPr>
                <w:rFonts w:hint="eastAsia" w:cs="宋体"/>
              </w:rPr>
              <w:t>8小时</w:t>
            </w:r>
          </w:p>
        </w:tc>
        <w:tc>
          <w:tcPr>
            <w:tcW w:w="1125" w:type="dxa"/>
            <w:vAlign w:val="center"/>
          </w:tcPr>
          <w:p w14:paraId="64C6F73B">
            <w:pPr>
              <w:jc w:val="center"/>
            </w:pPr>
            <w:r>
              <w:rPr>
                <w:rFonts w:hint="eastAsia"/>
              </w:rPr>
              <w:t>1.8</w:t>
            </w:r>
          </w:p>
        </w:tc>
        <w:tc>
          <w:tcPr>
            <w:tcW w:w="1282" w:type="dxa"/>
            <w:noWrap/>
            <w:vAlign w:val="center"/>
          </w:tcPr>
          <w:p w14:paraId="7D9A77EE">
            <w:pPr>
              <w:jc w:val="center"/>
            </w:pPr>
            <w:r>
              <w:rPr>
                <w:rFonts w:hint="eastAsia"/>
              </w:rPr>
              <w:t>做五休二</w:t>
            </w:r>
          </w:p>
        </w:tc>
      </w:tr>
      <w:tr w14:paraId="2E3D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05E1A482">
            <w:pPr>
              <w:jc w:val="center"/>
            </w:pPr>
            <w:r>
              <w:t>12</w:t>
            </w:r>
          </w:p>
        </w:tc>
        <w:tc>
          <w:tcPr>
            <w:tcW w:w="1956" w:type="dxa"/>
            <w:noWrap/>
            <w:vAlign w:val="center"/>
          </w:tcPr>
          <w:p w14:paraId="5A655357">
            <w:pPr>
              <w:jc w:val="center"/>
            </w:pPr>
            <w:r>
              <w:rPr>
                <w:rFonts w:hint="eastAsia" w:cs="宋体"/>
              </w:rPr>
              <w:t>3F帆体区域管理员</w:t>
            </w:r>
          </w:p>
        </w:tc>
        <w:tc>
          <w:tcPr>
            <w:tcW w:w="720" w:type="dxa"/>
            <w:noWrap/>
            <w:vAlign w:val="center"/>
          </w:tcPr>
          <w:p w14:paraId="023CFA51">
            <w:pPr>
              <w:jc w:val="center"/>
            </w:pPr>
            <w:r>
              <w:rPr>
                <w:rFonts w:hint="eastAsia"/>
              </w:rPr>
              <w:t>1</w:t>
            </w:r>
          </w:p>
        </w:tc>
        <w:tc>
          <w:tcPr>
            <w:tcW w:w="2010" w:type="dxa"/>
            <w:noWrap/>
            <w:vAlign w:val="center"/>
          </w:tcPr>
          <w:p w14:paraId="4118BA28">
            <w:pPr>
              <w:jc w:val="center"/>
            </w:pPr>
            <w:r>
              <w:rPr>
                <w:rFonts w:hint="eastAsia" w:cs="宋体"/>
              </w:rPr>
              <w:t>8小时</w:t>
            </w:r>
          </w:p>
        </w:tc>
        <w:tc>
          <w:tcPr>
            <w:tcW w:w="1125" w:type="dxa"/>
            <w:vAlign w:val="center"/>
          </w:tcPr>
          <w:p w14:paraId="782ABC4F">
            <w:pPr>
              <w:jc w:val="center"/>
            </w:pPr>
            <w:r>
              <w:rPr>
                <w:rFonts w:hint="eastAsia"/>
              </w:rPr>
              <w:t>1.8</w:t>
            </w:r>
          </w:p>
        </w:tc>
        <w:tc>
          <w:tcPr>
            <w:tcW w:w="1282" w:type="dxa"/>
            <w:noWrap/>
            <w:vAlign w:val="center"/>
          </w:tcPr>
          <w:p w14:paraId="1AC99B4A">
            <w:pPr>
              <w:jc w:val="center"/>
            </w:pPr>
            <w:r>
              <w:rPr>
                <w:rFonts w:hint="eastAsia"/>
              </w:rPr>
              <w:t>做五休二</w:t>
            </w:r>
          </w:p>
        </w:tc>
      </w:tr>
      <w:tr w14:paraId="7144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7E09921A">
            <w:pPr>
              <w:jc w:val="center"/>
            </w:pPr>
            <w:r>
              <w:t>13</w:t>
            </w:r>
          </w:p>
        </w:tc>
        <w:tc>
          <w:tcPr>
            <w:tcW w:w="1956" w:type="dxa"/>
            <w:noWrap/>
            <w:vAlign w:val="center"/>
          </w:tcPr>
          <w:p w14:paraId="7F93066E">
            <w:pPr>
              <w:jc w:val="center"/>
            </w:pPr>
            <w:r>
              <w:rPr>
                <w:rFonts w:hint="eastAsia" w:cs="宋体"/>
              </w:rPr>
              <w:t>东一楼临展厅区域管理员</w:t>
            </w:r>
          </w:p>
        </w:tc>
        <w:tc>
          <w:tcPr>
            <w:tcW w:w="720" w:type="dxa"/>
            <w:noWrap/>
            <w:vAlign w:val="center"/>
          </w:tcPr>
          <w:p w14:paraId="79A7E44A">
            <w:pPr>
              <w:jc w:val="center"/>
            </w:pPr>
            <w:r>
              <w:rPr>
                <w:rFonts w:hint="eastAsia"/>
              </w:rPr>
              <w:t>1</w:t>
            </w:r>
          </w:p>
        </w:tc>
        <w:tc>
          <w:tcPr>
            <w:tcW w:w="2010" w:type="dxa"/>
            <w:noWrap/>
            <w:vAlign w:val="center"/>
          </w:tcPr>
          <w:p w14:paraId="07B2C3C4">
            <w:pPr>
              <w:jc w:val="center"/>
            </w:pPr>
            <w:r>
              <w:rPr>
                <w:rFonts w:hint="eastAsia" w:cs="宋体"/>
              </w:rPr>
              <w:t>8小时</w:t>
            </w:r>
          </w:p>
        </w:tc>
        <w:tc>
          <w:tcPr>
            <w:tcW w:w="1125" w:type="dxa"/>
            <w:vAlign w:val="center"/>
          </w:tcPr>
          <w:p w14:paraId="7FD95D46">
            <w:pPr>
              <w:jc w:val="center"/>
            </w:pPr>
            <w:r>
              <w:rPr>
                <w:rFonts w:hint="eastAsia"/>
              </w:rPr>
              <w:t>1.8</w:t>
            </w:r>
          </w:p>
        </w:tc>
        <w:tc>
          <w:tcPr>
            <w:tcW w:w="1282" w:type="dxa"/>
            <w:noWrap/>
            <w:vAlign w:val="center"/>
          </w:tcPr>
          <w:p w14:paraId="7A638FFC">
            <w:pPr>
              <w:jc w:val="center"/>
            </w:pPr>
            <w:r>
              <w:rPr>
                <w:rFonts w:hint="eastAsia"/>
              </w:rPr>
              <w:t>做五休二</w:t>
            </w:r>
          </w:p>
        </w:tc>
      </w:tr>
      <w:tr w14:paraId="63D6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noWrap/>
            <w:vAlign w:val="center"/>
          </w:tcPr>
          <w:p w14:paraId="7317327F">
            <w:pPr>
              <w:jc w:val="center"/>
            </w:pPr>
            <w:r>
              <w:rPr>
                <w:rFonts w:hint="eastAsia"/>
              </w:rPr>
              <w:t>14</w:t>
            </w:r>
          </w:p>
        </w:tc>
        <w:tc>
          <w:tcPr>
            <w:tcW w:w="1956" w:type="dxa"/>
            <w:noWrap/>
            <w:vAlign w:val="center"/>
          </w:tcPr>
          <w:p w14:paraId="374E9EEE">
            <w:pPr>
              <w:jc w:val="center"/>
            </w:pPr>
            <w:r>
              <w:rPr>
                <w:rFonts w:hint="eastAsia" w:cs="宋体"/>
              </w:rPr>
              <w:t>四三楼临展厅区域管理员</w:t>
            </w:r>
          </w:p>
        </w:tc>
        <w:tc>
          <w:tcPr>
            <w:tcW w:w="720" w:type="dxa"/>
            <w:noWrap/>
            <w:vAlign w:val="center"/>
          </w:tcPr>
          <w:p w14:paraId="6CBCE49F">
            <w:pPr>
              <w:jc w:val="center"/>
            </w:pPr>
            <w:r>
              <w:t>1</w:t>
            </w:r>
          </w:p>
        </w:tc>
        <w:tc>
          <w:tcPr>
            <w:tcW w:w="2010" w:type="dxa"/>
            <w:noWrap/>
            <w:vAlign w:val="center"/>
          </w:tcPr>
          <w:p w14:paraId="56F6DC69">
            <w:pPr>
              <w:jc w:val="center"/>
            </w:pPr>
            <w:r>
              <w:rPr>
                <w:rFonts w:hint="eastAsia" w:cs="宋体"/>
              </w:rPr>
              <w:t>8小时</w:t>
            </w:r>
          </w:p>
        </w:tc>
        <w:tc>
          <w:tcPr>
            <w:tcW w:w="1125" w:type="dxa"/>
            <w:vAlign w:val="center"/>
          </w:tcPr>
          <w:p w14:paraId="190688F6">
            <w:pPr>
              <w:jc w:val="center"/>
              <w:rPr>
                <w:rFonts w:cs="宋体"/>
              </w:rPr>
            </w:pPr>
            <w:r>
              <w:rPr>
                <w:rFonts w:hint="eastAsia"/>
              </w:rPr>
              <w:t>1.8</w:t>
            </w:r>
          </w:p>
        </w:tc>
        <w:tc>
          <w:tcPr>
            <w:tcW w:w="1282" w:type="dxa"/>
            <w:noWrap/>
            <w:vAlign w:val="center"/>
          </w:tcPr>
          <w:p w14:paraId="7CE124B4">
            <w:pPr>
              <w:jc w:val="center"/>
            </w:pPr>
            <w:r>
              <w:rPr>
                <w:rFonts w:hint="eastAsia"/>
              </w:rPr>
              <w:t>做五休二</w:t>
            </w:r>
          </w:p>
        </w:tc>
      </w:tr>
      <w:tr w14:paraId="7C7D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tcBorders>
              <w:bottom w:val="single" w:color="auto" w:sz="4" w:space="0"/>
            </w:tcBorders>
            <w:shd w:val="clear" w:color="auto" w:fill="auto"/>
            <w:noWrap/>
            <w:vAlign w:val="center"/>
          </w:tcPr>
          <w:p w14:paraId="7674834D">
            <w:pPr>
              <w:jc w:val="center"/>
            </w:pPr>
            <w:r>
              <w:rPr>
                <w:rFonts w:hint="eastAsia"/>
              </w:rPr>
              <w:t>15</w:t>
            </w:r>
          </w:p>
        </w:tc>
        <w:tc>
          <w:tcPr>
            <w:tcW w:w="1956" w:type="dxa"/>
            <w:tcBorders>
              <w:bottom w:val="single" w:color="auto" w:sz="4" w:space="0"/>
            </w:tcBorders>
            <w:noWrap/>
            <w:vAlign w:val="center"/>
          </w:tcPr>
          <w:p w14:paraId="7B2CAC58">
            <w:pPr>
              <w:jc w:val="center"/>
            </w:pPr>
            <w:r>
              <w:rPr>
                <w:rFonts w:hint="eastAsia" w:ascii="宋体" w:hAnsi="宋体"/>
                <w:kern w:val="2"/>
              </w:rPr>
              <w:t>监控中心值班员</w:t>
            </w:r>
          </w:p>
        </w:tc>
        <w:tc>
          <w:tcPr>
            <w:tcW w:w="720" w:type="dxa"/>
            <w:tcBorders>
              <w:bottom w:val="single" w:color="auto" w:sz="4" w:space="0"/>
            </w:tcBorders>
            <w:noWrap/>
            <w:vAlign w:val="center"/>
          </w:tcPr>
          <w:p w14:paraId="702AE20C">
            <w:pPr>
              <w:jc w:val="center"/>
            </w:pPr>
            <w:r>
              <w:rPr>
                <w:rFonts w:hint="eastAsia"/>
              </w:rPr>
              <w:t>2</w:t>
            </w:r>
          </w:p>
        </w:tc>
        <w:tc>
          <w:tcPr>
            <w:tcW w:w="2010" w:type="dxa"/>
            <w:tcBorders>
              <w:bottom w:val="single" w:color="auto" w:sz="4" w:space="0"/>
            </w:tcBorders>
            <w:shd w:val="clear" w:color="auto" w:fill="auto"/>
            <w:noWrap/>
            <w:vAlign w:val="center"/>
          </w:tcPr>
          <w:p w14:paraId="53F8AF50">
            <w:pPr>
              <w:jc w:val="center"/>
              <w:rPr>
                <w:rFonts w:cs="宋体"/>
              </w:rPr>
            </w:pPr>
            <w:r>
              <w:rPr>
                <w:rFonts w:hint="eastAsia" w:cs="宋体"/>
              </w:rPr>
              <w:t>24小时</w:t>
            </w:r>
          </w:p>
        </w:tc>
        <w:tc>
          <w:tcPr>
            <w:tcW w:w="1125" w:type="dxa"/>
            <w:tcBorders>
              <w:bottom w:val="single" w:color="auto" w:sz="4" w:space="0"/>
            </w:tcBorders>
            <w:vAlign w:val="center"/>
          </w:tcPr>
          <w:p w14:paraId="04C499D5">
            <w:pPr>
              <w:jc w:val="center"/>
            </w:pPr>
            <w:r>
              <w:rPr>
                <w:rFonts w:hint="eastAsia"/>
              </w:rPr>
              <w:t>8</w:t>
            </w:r>
          </w:p>
        </w:tc>
        <w:tc>
          <w:tcPr>
            <w:tcW w:w="1282" w:type="dxa"/>
            <w:tcBorders>
              <w:bottom w:val="single" w:color="auto" w:sz="4" w:space="0"/>
            </w:tcBorders>
            <w:noWrap/>
            <w:vAlign w:val="center"/>
          </w:tcPr>
          <w:p w14:paraId="65FBFA41">
            <w:pPr>
              <w:jc w:val="center"/>
            </w:pPr>
            <w:r>
              <w:t>关键岗位</w:t>
            </w:r>
          </w:p>
        </w:tc>
      </w:tr>
      <w:tr w14:paraId="4183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30" w:hRule="atLeast"/>
        </w:trPr>
        <w:tc>
          <w:tcPr>
            <w:tcW w:w="722" w:type="dxa"/>
            <w:gridSpan w:val="2"/>
            <w:shd w:val="clear" w:color="auto" w:fill="auto"/>
            <w:noWrap/>
            <w:vAlign w:val="center"/>
          </w:tcPr>
          <w:p w14:paraId="58CE8266">
            <w:pPr>
              <w:jc w:val="center"/>
            </w:pPr>
            <w:r>
              <w:rPr>
                <w:rFonts w:hint="eastAsia"/>
              </w:rPr>
              <w:t>16</w:t>
            </w:r>
          </w:p>
        </w:tc>
        <w:tc>
          <w:tcPr>
            <w:tcW w:w="1956" w:type="dxa"/>
            <w:noWrap/>
            <w:vAlign w:val="center"/>
          </w:tcPr>
          <w:p w14:paraId="1FAD3AF1">
            <w:pPr>
              <w:jc w:val="center"/>
            </w:pPr>
            <w:r>
              <w:rPr>
                <w:rFonts w:hint="eastAsia"/>
                <w:kern w:val="2"/>
              </w:rPr>
              <w:t>外保巡逻</w:t>
            </w:r>
          </w:p>
        </w:tc>
        <w:tc>
          <w:tcPr>
            <w:tcW w:w="720" w:type="dxa"/>
            <w:noWrap/>
            <w:vAlign w:val="center"/>
          </w:tcPr>
          <w:p w14:paraId="05F7F873">
            <w:pPr>
              <w:jc w:val="center"/>
            </w:pPr>
            <w:r>
              <w:rPr>
                <w:rFonts w:hint="eastAsia"/>
              </w:rPr>
              <w:t>2</w:t>
            </w:r>
          </w:p>
        </w:tc>
        <w:tc>
          <w:tcPr>
            <w:tcW w:w="2010" w:type="dxa"/>
            <w:noWrap/>
            <w:vAlign w:val="center"/>
          </w:tcPr>
          <w:p w14:paraId="564FD0CE">
            <w:pPr>
              <w:jc w:val="center"/>
            </w:pPr>
            <w:r>
              <w:rPr>
                <w:rFonts w:hint="eastAsia" w:cs="宋体"/>
              </w:rPr>
              <w:t>24小时</w:t>
            </w:r>
          </w:p>
        </w:tc>
        <w:tc>
          <w:tcPr>
            <w:tcW w:w="1125" w:type="dxa"/>
            <w:vAlign w:val="center"/>
          </w:tcPr>
          <w:p w14:paraId="42D633D2">
            <w:pPr>
              <w:jc w:val="center"/>
            </w:pPr>
            <w:r>
              <w:rPr>
                <w:rFonts w:hint="eastAsia"/>
              </w:rPr>
              <w:t>8</w:t>
            </w:r>
          </w:p>
        </w:tc>
        <w:tc>
          <w:tcPr>
            <w:tcW w:w="1282" w:type="dxa"/>
            <w:noWrap/>
            <w:vAlign w:val="center"/>
          </w:tcPr>
          <w:p w14:paraId="22D465CB">
            <w:pPr>
              <w:jc w:val="center"/>
            </w:pPr>
          </w:p>
        </w:tc>
      </w:tr>
      <w:tr w14:paraId="4192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shd w:val="clear" w:color="auto" w:fill="auto"/>
            <w:noWrap/>
            <w:vAlign w:val="center"/>
          </w:tcPr>
          <w:p w14:paraId="7C512D70">
            <w:pPr>
              <w:jc w:val="center"/>
            </w:pPr>
            <w:r>
              <w:rPr>
                <w:rFonts w:hint="eastAsia"/>
              </w:rPr>
              <w:t>17</w:t>
            </w:r>
          </w:p>
        </w:tc>
        <w:tc>
          <w:tcPr>
            <w:tcW w:w="1956" w:type="dxa"/>
            <w:noWrap/>
            <w:vAlign w:val="center"/>
          </w:tcPr>
          <w:p w14:paraId="5FDB4F98">
            <w:pPr>
              <w:jc w:val="center"/>
            </w:pPr>
            <w:r>
              <w:rPr>
                <w:rFonts w:hint="eastAsia"/>
                <w:kern w:val="2"/>
              </w:rPr>
              <w:t>外围10A西门岗</w:t>
            </w:r>
          </w:p>
        </w:tc>
        <w:tc>
          <w:tcPr>
            <w:tcW w:w="720" w:type="dxa"/>
            <w:noWrap/>
            <w:vAlign w:val="center"/>
          </w:tcPr>
          <w:p w14:paraId="2ABC7BF6">
            <w:pPr>
              <w:jc w:val="center"/>
            </w:pPr>
            <w:r>
              <w:rPr>
                <w:rFonts w:hint="eastAsia"/>
              </w:rPr>
              <w:t>2</w:t>
            </w:r>
          </w:p>
        </w:tc>
        <w:tc>
          <w:tcPr>
            <w:tcW w:w="2010" w:type="dxa"/>
            <w:noWrap/>
            <w:vAlign w:val="center"/>
          </w:tcPr>
          <w:p w14:paraId="6A8EB4E8">
            <w:pPr>
              <w:jc w:val="center"/>
            </w:pPr>
            <w:r>
              <w:rPr>
                <w:rFonts w:hint="eastAsia" w:cs="宋体"/>
              </w:rPr>
              <w:t>24小时</w:t>
            </w:r>
          </w:p>
        </w:tc>
        <w:tc>
          <w:tcPr>
            <w:tcW w:w="1125" w:type="dxa"/>
            <w:vAlign w:val="center"/>
          </w:tcPr>
          <w:p w14:paraId="0448402F">
            <w:pPr>
              <w:jc w:val="center"/>
            </w:pPr>
            <w:r>
              <w:rPr>
                <w:rFonts w:hint="eastAsia"/>
              </w:rPr>
              <w:t>8</w:t>
            </w:r>
          </w:p>
        </w:tc>
        <w:tc>
          <w:tcPr>
            <w:tcW w:w="1282" w:type="dxa"/>
            <w:noWrap/>
            <w:vAlign w:val="center"/>
          </w:tcPr>
          <w:p w14:paraId="13CD1A12">
            <w:pPr>
              <w:jc w:val="center"/>
            </w:pPr>
          </w:p>
        </w:tc>
      </w:tr>
      <w:tr w14:paraId="3CAE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99" w:type="dxa"/>
          <w:wAfter w:w="64" w:type="dxa"/>
          <w:trHeight w:val="617" w:hRule="atLeast"/>
        </w:trPr>
        <w:tc>
          <w:tcPr>
            <w:tcW w:w="722" w:type="dxa"/>
            <w:gridSpan w:val="2"/>
            <w:shd w:val="clear" w:color="auto" w:fill="auto"/>
            <w:noWrap/>
            <w:vAlign w:val="center"/>
          </w:tcPr>
          <w:p w14:paraId="05686040">
            <w:pPr>
              <w:jc w:val="center"/>
            </w:pPr>
            <w:r>
              <w:rPr>
                <w:rFonts w:hint="eastAsia"/>
              </w:rPr>
              <w:t>18</w:t>
            </w:r>
          </w:p>
        </w:tc>
        <w:tc>
          <w:tcPr>
            <w:tcW w:w="1956" w:type="dxa"/>
            <w:noWrap/>
            <w:vAlign w:val="center"/>
          </w:tcPr>
          <w:p w14:paraId="373D9282">
            <w:pPr>
              <w:jc w:val="center"/>
            </w:pPr>
            <w:r>
              <w:rPr>
                <w:rFonts w:hint="eastAsia" w:ascii="宋体" w:hAnsi="宋体"/>
                <w:kern w:val="2"/>
              </w:rPr>
              <w:t>外围10C东门岗</w:t>
            </w:r>
          </w:p>
        </w:tc>
        <w:tc>
          <w:tcPr>
            <w:tcW w:w="720" w:type="dxa"/>
            <w:noWrap/>
            <w:vAlign w:val="center"/>
          </w:tcPr>
          <w:p w14:paraId="691DF1DF">
            <w:pPr>
              <w:jc w:val="center"/>
            </w:pPr>
            <w:r>
              <w:rPr>
                <w:rFonts w:hint="eastAsia"/>
              </w:rPr>
              <w:t>2</w:t>
            </w:r>
          </w:p>
        </w:tc>
        <w:tc>
          <w:tcPr>
            <w:tcW w:w="2010" w:type="dxa"/>
            <w:noWrap/>
            <w:vAlign w:val="center"/>
          </w:tcPr>
          <w:p w14:paraId="34BFDEB6">
            <w:pPr>
              <w:jc w:val="center"/>
            </w:pPr>
            <w:r>
              <w:rPr>
                <w:rFonts w:hint="eastAsia" w:cs="宋体"/>
              </w:rPr>
              <w:t>24小时</w:t>
            </w:r>
          </w:p>
        </w:tc>
        <w:tc>
          <w:tcPr>
            <w:tcW w:w="1125" w:type="dxa"/>
            <w:vAlign w:val="center"/>
          </w:tcPr>
          <w:p w14:paraId="6A0556BE">
            <w:pPr>
              <w:jc w:val="center"/>
            </w:pPr>
            <w:r>
              <w:rPr>
                <w:rFonts w:hint="eastAsia"/>
              </w:rPr>
              <w:t>8</w:t>
            </w:r>
          </w:p>
        </w:tc>
        <w:tc>
          <w:tcPr>
            <w:tcW w:w="1282" w:type="dxa"/>
            <w:noWrap/>
            <w:vAlign w:val="center"/>
          </w:tcPr>
          <w:p w14:paraId="4754FEDC">
            <w:pPr>
              <w:jc w:val="center"/>
            </w:pPr>
          </w:p>
        </w:tc>
      </w:tr>
      <w:tr w14:paraId="4916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shd w:val="clear" w:color="auto" w:fill="auto"/>
            <w:noWrap/>
            <w:vAlign w:val="center"/>
          </w:tcPr>
          <w:p w14:paraId="734D8AFF">
            <w:pPr>
              <w:jc w:val="center"/>
            </w:pPr>
            <w:r>
              <w:rPr>
                <w:rFonts w:hint="eastAsia"/>
              </w:rPr>
              <w:t>19</w:t>
            </w:r>
          </w:p>
        </w:tc>
        <w:tc>
          <w:tcPr>
            <w:tcW w:w="1956" w:type="dxa"/>
            <w:noWrap/>
            <w:vAlign w:val="center"/>
          </w:tcPr>
          <w:p w14:paraId="1E9533A6">
            <w:pPr>
              <w:jc w:val="center"/>
            </w:pPr>
            <w:r>
              <w:rPr>
                <w:rFonts w:hint="eastAsia" w:ascii="宋体" w:hAnsi="宋体"/>
                <w:kern w:val="2"/>
              </w:rPr>
              <w:t>办公楼东门岗</w:t>
            </w:r>
          </w:p>
        </w:tc>
        <w:tc>
          <w:tcPr>
            <w:tcW w:w="720" w:type="dxa"/>
            <w:noWrap/>
            <w:vAlign w:val="center"/>
          </w:tcPr>
          <w:p w14:paraId="203658D3">
            <w:pPr>
              <w:jc w:val="center"/>
            </w:pPr>
            <w:r>
              <w:rPr>
                <w:rFonts w:hint="eastAsia"/>
              </w:rPr>
              <w:t>1</w:t>
            </w:r>
          </w:p>
        </w:tc>
        <w:tc>
          <w:tcPr>
            <w:tcW w:w="2010" w:type="dxa"/>
            <w:noWrap/>
            <w:vAlign w:val="center"/>
          </w:tcPr>
          <w:p w14:paraId="079FCEDD">
            <w:pPr>
              <w:jc w:val="center"/>
            </w:pPr>
            <w:r>
              <w:rPr>
                <w:rFonts w:hint="eastAsia" w:cs="宋体"/>
              </w:rPr>
              <w:t>24小时</w:t>
            </w:r>
          </w:p>
        </w:tc>
        <w:tc>
          <w:tcPr>
            <w:tcW w:w="1125" w:type="dxa"/>
            <w:vAlign w:val="center"/>
          </w:tcPr>
          <w:p w14:paraId="1E8B2226">
            <w:pPr>
              <w:jc w:val="center"/>
            </w:pPr>
            <w:r>
              <w:rPr>
                <w:rFonts w:hint="eastAsia"/>
              </w:rPr>
              <w:t>4</w:t>
            </w:r>
          </w:p>
        </w:tc>
        <w:tc>
          <w:tcPr>
            <w:tcW w:w="1346" w:type="dxa"/>
            <w:gridSpan w:val="2"/>
            <w:vMerge w:val="restart"/>
            <w:noWrap/>
            <w:vAlign w:val="center"/>
          </w:tcPr>
          <w:p w14:paraId="2C5093DD">
            <w:pPr>
              <w:jc w:val="center"/>
            </w:pPr>
            <w:r>
              <w:rPr>
                <w:rFonts w:hint="eastAsia"/>
              </w:rPr>
              <w:t>闭馆时负责各类施工、维保等跟进工作</w:t>
            </w:r>
          </w:p>
        </w:tc>
      </w:tr>
      <w:tr w14:paraId="4359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shd w:val="clear" w:color="auto" w:fill="auto"/>
            <w:noWrap/>
            <w:vAlign w:val="center"/>
          </w:tcPr>
          <w:p w14:paraId="1CCC0C26">
            <w:pPr>
              <w:jc w:val="center"/>
              <w:rPr>
                <w:rFonts w:hint="eastAsia" w:eastAsia="宋体"/>
                <w:lang w:eastAsia="zh-CN"/>
              </w:rPr>
            </w:pPr>
            <w:r>
              <w:rPr>
                <w:rFonts w:hint="eastAsia"/>
              </w:rPr>
              <w:t>2</w:t>
            </w:r>
            <w:r>
              <w:rPr>
                <w:rFonts w:hint="eastAsia"/>
                <w:lang w:val="en-US" w:eastAsia="zh-CN"/>
              </w:rPr>
              <w:t>0</w:t>
            </w:r>
          </w:p>
        </w:tc>
        <w:tc>
          <w:tcPr>
            <w:tcW w:w="1956" w:type="dxa"/>
            <w:noWrap/>
            <w:vAlign w:val="center"/>
          </w:tcPr>
          <w:p w14:paraId="390EB61B">
            <w:pPr>
              <w:jc w:val="center"/>
            </w:pPr>
            <w:r>
              <w:rPr>
                <w:rFonts w:hint="eastAsia" w:ascii="宋体" w:hAnsi="宋体"/>
                <w:kern w:val="2"/>
              </w:rPr>
              <w:t>北广场区域管理员</w:t>
            </w:r>
          </w:p>
        </w:tc>
        <w:tc>
          <w:tcPr>
            <w:tcW w:w="720" w:type="dxa"/>
            <w:noWrap/>
            <w:vAlign w:val="center"/>
          </w:tcPr>
          <w:p w14:paraId="000CF860">
            <w:pPr>
              <w:jc w:val="center"/>
            </w:pPr>
            <w:r>
              <w:rPr>
                <w:rFonts w:hint="eastAsia"/>
              </w:rPr>
              <w:t>1</w:t>
            </w:r>
          </w:p>
        </w:tc>
        <w:tc>
          <w:tcPr>
            <w:tcW w:w="2010" w:type="dxa"/>
            <w:noWrap/>
            <w:vAlign w:val="center"/>
          </w:tcPr>
          <w:p w14:paraId="6CF7375B">
            <w:pPr>
              <w:jc w:val="center"/>
            </w:pPr>
            <w:r>
              <w:rPr>
                <w:rFonts w:hint="eastAsia" w:cs="宋体"/>
              </w:rPr>
              <w:t>12小时</w:t>
            </w:r>
          </w:p>
        </w:tc>
        <w:tc>
          <w:tcPr>
            <w:tcW w:w="1125" w:type="dxa"/>
            <w:vAlign w:val="center"/>
          </w:tcPr>
          <w:p w14:paraId="33E11654">
            <w:pPr>
              <w:jc w:val="center"/>
            </w:pPr>
            <w:r>
              <w:rPr>
                <w:rFonts w:hint="eastAsia"/>
              </w:rPr>
              <w:t>2</w:t>
            </w:r>
          </w:p>
        </w:tc>
        <w:tc>
          <w:tcPr>
            <w:tcW w:w="1346" w:type="dxa"/>
            <w:gridSpan w:val="2"/>
            <w:vMerge w:val="continue"/>
            <w:noWrap/>
            <w:vAlign w:val="center"/>
          </w:tcPr>
          <w:p w14:paraId="2ECD20D3">
            <w:pPr>
              <w:jc w:val="center"/>
            </w:pPr>
          </w:p>
        </w:tc>
      </w:tr>
      <w:tr w14:paraId="309B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shd w:val="clear" w:color="auto" w:fill="auto"/>
            <w:noWrap/>
            <w:vAlign w:val="center"/>
          </w:tcPr>
          <w:p w14:paraId="4B7CD810">
            <w:pPr>
              <w:jc w:val="center"/>
              <w:rPr>
                <w:rFonts w:hint="eastAsia" w:eastAsia="宋体"/>
                <w:lang w:eastAsia="zh-CN"/>
              </w:rPr>
            </w:pPr>
            <w:r>
              <w:rPr>
                <w:rFonts w:hint="eastAsia"/>
              </w:rPr>
              <w:t>2</w:t>
            </w:r>
            <w:r>
              <w:rPr>
                <w:rFonts w:hint="eastAsia"/>
                <w:lang w:val="en-US" w:eastAsia="zh-CN"/>
              </w:rPr>
              <w:t>1</w:t>
            </w:r>
          </w:p>
        </w:tc>
        <w:tc>
          <w:tcPr>
            <w:tcW w:w="1956" w:type="dxa"/>
            <w:noWrap/>
            <w:vAlign w:val="center"/>
          </w:tcPr>
          <w:p w14:paraId="4D7FCCA0">
            <w:pPr>
              <w:jc w:val="center"/>
              <w:rPr>
                <w:rFonts w:ascii="宋体" w:hAnsi="宋体"/>
                <w:kern w:val="2"/>
              </w:rPr>
            </w:pPr>
            <w:r>
              <w:rPr>
                <w:rFonts w:hint="eastAsia" w:ascii="宋体" w:hAnsi="宋体"/>
                <w:kern w:val="2"/>
              </w:rPr>
              <w:t>室内车库管理员</w:t>
            </w:r>
          </w:p>
        </w:tc>
        <w:tc>
          <w:tcPr>
            <w:tcW w:w="720" w:type="dxa"/>
            <w:noWrap/>
            <w:vAlign w:val="center"/>
          </w:tcPr>
          <w:p w14:paraId="42BC8BB3">
            <w:pPr>
              <w:jc w:val="center"/>
            </w:pPr>
            <w:r>
              <w:rPr>
                <w:rFonts w:hint="eastAsia"/>
              </w:rPr>
              <w:t>1</w:t>
            </w:r>
          </w:p>
        </w:tc>
        <w:tc>
          <w:tcPr>
            <w:tcW w:w="2010" w:type="dxa"/>
            <w:noWrap/>
            <w:vAlign w:val="center"/>
          </w:tcPr>
          <w:p w14:paraId="5866CFF2">
            <w:pPr>
              <w:jc w:val="center"/>
              <w:rPr>
                <w:rFonts w:cs="宋体"/>
              </w:rPr>
            </w:pPr>
            <w:r>
              <w:rPr>
                <w:rFonts w:hint="eastAsia" w:cs="宋体"/>
              </w:rPr>
              <w:t>12小时</w:t>
            </w:r>
          </w:p>
        </w:tc>
        <w:tc>
          <w:tcPr>
            <w:tcW w:w="1125" w:type="dxa"/>
            <w:vAlign w:val="center"/>
          </w:tcPr>
          <w:p w14:paraId="3D5A7DF5">
            <w:pPr>
              <w:jc w:val="center"/>
            </w:pPr>
            <w:r>
              <w:rPr>
                <w:rFonts w:hint="eastAsia"/>
              </w:rPr>
              <w:t>2</w:t>
            </w:r>
          </w:p>
        </w:tc>
        <w:tc>
          <w:tcPr>
            <w:tcW w:w="1346" w:type="dxa"/>
            <w:gridSpan w:val="2"/>
            <w:vMerge w:val="continue"/>
            <w:noWrap/>
            <w:vAlign w:val="center"/>
          </w:tcPr>
          <w:p w14:paraId="265E1B7E">
            <w:pPr>
              <w:jc w:val="center"/>
            </w:pPr>
          </w:p>
        </w:tc>
      </w:tr>
      <w:tr w14:paraId="5F23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shd w:val="clear" w:color="auto" w:fill="auto"/>
            <w:noWrap/>
            <w:vAlign w:val="center"/>
          </w:tcPr>
          <w:p w14:paraId="1D60F6C6">
            <w:pPr>
              <w:jc w:val="center"/>
              <w:rPr>
                <w:rFonts w:hint="eastAsia" w:eastAsia="宋体"/>
                <w:lang w:eastAsia="zh-CN"/>
              </w:rPr>
            </w:pPr>
            <w:r>
              <w:rPr>
                <w:rFonts w:hint="eastAsia"/>
              </w:rPr>
              <w:t>2</w:t>
            </w:r>
            <w:r>
              <w:rPr>
                <w:rFonts w:hint="eastAsia"/>
                <w:lang w:val="en-US" w:eastAsia="zh-CN"/>
              </w:rPr>
              <w:t>2</w:t>
            </w:r>
          </w:p>
        </w:tc>
        <w:tc>
          <w:tcPr>
            <w:tcW w:w="1956" w:type="dxa"/>
            <w:noWrap/>
            <w:vAlign w:val="center"/>
          </w:tcPr>
          <w:p w14:paraId="255EEB68">
            <w:pPr>
              <w:jc w:val="center"/>
              <w:rPr>
                <w:rFonts w:ascii="宋体" w:hAnsi="宋体"/>
                <w:kern w:val="2"/>
              </w:rPr>
            </w:pPr>
            <w:r>
              <w:rPr>
                <w:rFonts w:hint="eastAsia" w:ascii="宋体" w:hAnsi="宋体"/>
                <w:kern w:val="2"/>
              </w:rPr>
              <w:t>室外停车场行人出入口</w:t>
            </w:r>
          </w:p>
        </w:tc>
        <w:tc>
          <w:tcPr>
            <w:tcW w:w="720" w:type="dxa"/>
            <w:noWrap/>
            <w:vAlign w:val="center"/>
          </w:tcPr>
          <w:p w14:paraId="2626D2F6">
            <w:pPr>
              <w:jc w:val="center"/>
            </w:pPr>
            <w:r>
              <w:rPr>
                <w:rFonts w:hint="eastAsia"/>
              </w:rPr>
              <w:t>1</w:t>
            </w:r>
          </w:p>
        </w:tc>
        <w:tc>
          <w:tcPr>
            <w:tcW w:w="2010" w:type="dxa"/>
            <w:noWrap/>
            <w:vAlign w:val="center"/>
          </w:tcPr>
          <w:p w14:paraId="5E0B3EAA">
            <w:pPr>
              <w:jc w:val="center"/>
              <w:rPr>
                <w:rFonts w:cs="宋体"/>
              </w:rPr>
            </w:pPr>
            <w:r>
              <w:rPr>
                <w:rFonts w:hint="eastAsia" w:cs="宋体"/>
              </w:rPr>
              <w:t>12小时</w:t>
            </w:r>
          </w:p>
        </w:tc>
        <w:tc>
          <w:tcPr>
            <w:tcW w:w="1125" w:type="dxa"/>
            <w:vAlign w:val="center"/>
          </w:tcPr>
          <w:p w14:paraId="38C48F21">
            <w:pPr>
              <w:jc w:val="center"/>
            </w:pPr>
            <w:r>
              <w:rPr>
                <w:rFonts w:hint="eastAsia"/>
              </w:rPr>
              <w:t>2</w:t>
            </w:r>
          </w:p>
        </w:tc>
        <w:tc>
          <w:tcPr>
            <w:tcW w:w="1346" w:type="dxa"/>
            <w:gridSpan w:val="2"/>
            <w:vMerge w:val="continue"/>
            <w:noWrap/>
            <w:vAlign w:val="center"/>
          </w:tcPr>
          <w:p w14:paraId="492DC70F">
            <w:pPr>
              <w:jc w:val="center"/>
            </w:pPr>
          </w:p>
        </w:tc>
      </w:tr>
      <w:tr w14:paraId="5063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shd w:val="clear" w:color="auto" w:fill="auto"/>
            <w:noWrap/>
            <w:vAlign w:val="center"/>
          </w:tcPr>
          <w:p w14:paraId="05CDBEC2">
            <w:pPr>
              <w:jc w:val="center"/>
              <w:rPr>
                <w:rFonts w:hint="eastAsia" w:eastAsia="宋体"/>
                <w:lang w:eastAsia="zh-CN"/>
              </w:rPr>
            </w:pPr>
            <w:r>
              <w:rPr>
                <w:rFonts w:hint="eastAsia"/>
              </w:rPr>
              <w:t>2</w:t>
            </w:r>
            <w:r>
              <w:rPr>
                <w:rFonts w:hint="eastAsia"/>
                <w:lang w:val="en-US" w:eastAsia="zh-CN"/>
              </w:rPr>
              <w:t>3</w:t>
            </w:r>
          </w:p>
        </w:tc>
        <w:tc>
          <w:tcPr>
            <w:tcW w:w="1956" w:type="dxa"/>
            <w:noWrap/>
            <w:vAlign w:val="center"/>
          </w:tcPr>
          <w:p w14:paraId="00D92B2C">
            <w:pPr>
              <w:jc w:val="center"/>
              <w:rPr>
                <w:rFonts w:ascii="宋体" w:hAnsi="宋体"/>
                <w:kern w:val="2"/>
              </w:rPr>
            </w:pPr>
            <w:r>
              <w:rPr>
                <w:rFonts w:hint="eastAsia" w:ascii="宋体" w:hAnsi="宋体"/>
                <w:kern w:val="2"/>
              </w:rPr>
              <w:t>展区主入口防暴员</w:t>
            </w:r>
          </w:p>
        </w:tc>
        <w:tc>
          <w:tcPr>
            <w:tcW w:w="720" w:type="dxa"/>
            <w:noWrap/>
            <w:vAlign w:val="center"/>
          </w:tcPr>
          <w:p w14:paraId="20BBB1A4">
            <w:pPr>
              <w:jc w:val="center"/>
            </w:pPr>
            <w:r>
              <w:rPr>
                <w:rFonts w:hint="eastAsia"/>
              </w:rPr>
              <w:t>1</w:t>
            </w:r>
          </w:p>
        </w:tc>
        <w:tc>
          <w:tcPr>
            <w:tcW w:w="2010" w:type="dxa"/>
            <w:noWrap/>
            <w:vAlign w:val="center"/>
          </w:tcPr>
          <w:p w14:paraId="388A0F0D">
            <w:pPr>
              <w:jc w:val="center"/>
              <w:rPr>
                <w:rFonts w:cs="宋体"/>
              </w:rPr>
            </w:pPr>
            <w:r>
              <w:rPr>
                <w:rFonts w:hint="eastAsia" w:cs="宋体"/>
              </w:rPr>
              <w:t>12小时</w:t>
            </w:r>
          </w:p>
        </w:tc>
        <w:tc>
          <w:tcPr>
            <w:tcW w:w="1125" w:type="dxa"/>
            <w:vAlign w:val="center"/>
          </w:tcPr>
          <w:p w14:paraId="1A99AB09">
            <w:pPr>
              <w:jc w:val="center"/>
            </w:pPr>
            <w:r>
              <w:rPr>
                <w:rFonts w:hint="eastAsia"/>
              </w:rPr>
              <w:t>2</w:t>
            </w:r>
          </w:p>
        </w:tc>
        <w:tc>
          <w:tcPr>
            <w:tcW w:w="1346" w:type="dxa"/>
            <w:gridSpan w:val="2"/>
            <w:vMerge w:val="continue"/>
            <w:noWrap/>
            <w:vAlign w:val="center"/>
          </w:tcPr>
          <w:p w14:paraId="1FD43437">
            <w:pPr>
              <w:jc w:val="center"/>
            </w:pPr>
          </w:p>
        </w:tc>
      </w:tr>
      <w:tr w14:paraId="3627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shd w:val="clear" w:color="auto" w:fill="auto"/>
            <w:noWrap/>
            <w:vAlign w:val="center"/>
          </w:tcPr>
          <w:p w14:paraId="6DCBF7CE">
            <w:pPr>
              <w:jc w:val="center"/>
              <w:rPr>
                <w:rFonts w:hint="eastAsia" w:eastAsia="宋体"/>
                <w:lang w:eastAsia="zh-CN"/>
              </w:rPr>
            </w:pPr>
            <w:r>
              <w:rPr>
                <w:rFonts w:hint="eastAsia"/>
              </w:rPr>
              <w:t>2</w:t>
            </w:r>
            <w:r>
              <w:rPr>
                <w:rFonts w:hint="eastAsia"/>
                <w:lang w:val="en-US" w:eastAsia="zh-CN"/>
              </w:rPr>
              <w:t>4</w:t>
            </w:r>
          </w:p>
        </w:tc>
        <w:tc>
          <w:tcPr>
            <w:tcW w:w="1956" w:type="dxa"/>
            <w:noWrap/>
            <w:vAlign w:val="center"/>
          </w:tcPr>
          <w:p w14:paraId="3DA58F2E">
            <w:pPr>
              <w:jc w:val="center"/>
              <w:rPr>
                <w:rFonts w:ascii="宋体" w:hAnsi="宋体"/>
                <w:kern w:val="2"/>
              </w:rPr>
            </w:pPr>
          </w:p>
        </w:tc>
        <w:tc>
          <w:tcPr>
            <w:tcW w:w="720" w:type="dxa"/>
            <w:noWrap/>
            <w:vAlign w:val="center"/>
          </w:tcPr>
          <w:p w14:paraId="483D42A0">
            <w:pPr>
              <w:jc w:val="center"/>
            </w:pPr>
            <w:r>
              <w:rPr>
                <w:rFonts w:hint="eastAsia"/>
              </w:rPr>
              <w:t>30</w:t>
            </w:r>
          </w:p>
        </w:tc>
        <w:tc>
          <w:tcPr>
            <w:tcW w:w="2010" w:type="dxa"/>
            <w:noWrap/>
            <w:vAlign w:val="center"/>
          </w:tcPr>
          <w:p w14:paraId="17AEB759">
            <w:pPr>
              <w:jc w:val="center"/>
              <w:rPr>
                <w:rFonts w:cs="宋体"/>
              </w:rPr>
            </w:pPr>
          </w:p>
        </w:tc>
        <w:tc>
          <w:tcPr>
            <w:tcW w:w="1125" w:type="dxa"/>
            <w:vAlign w:val="center"/>
          </w:tcPr>
          <w:p w14:paraId="0DD730FD">
            <w:pPr>
              <w:jc w:val="center"/>
            </w:pPr>
            <w:r>
              <w:rPr>
                <w:rFonts w:hint="eastAsia"/>
              </w:rPr>
              <w:t>72.2</w:t>
            </w:r>
          </w:p>
        </w:tc>
        <w:tc>
          <w:tcPr>
            <w:tcW w:w="1346" w:type="dxa"/>
            <w:gridSpan w:val="2"/>
            <w:noWrap/>
            <w:vAlign w:val="center"/>
          </w:tcPr>
          <w:p w14:paraId="61CA3E4C">
            <w:pPr>
              <w:jc w:val="center"/>
            </w:pPr>
          </w:p>
        </w:tc>
      </w:tr>
      <w:tr w14:paraId="0883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99" w:type="dxa"/>
          <w:trHeight w:val="617" w:hRule="atLeast"/>
        </w:trPr>
        <w:tc>
          <w:tcPr>
            <w:tcW w:w="722" w:type="dxa"/>
            <w:gridSpan w:val="2"/>
            <w:noWrap/>
            <w:vAlign w:val="center"/>
          </w:tcPr>
          <w:p w14:paraId="3499A53E">
            <w:pPr>
              <w:jc w:val="center"/>
            </w:pPr>
          </w:p>
        </w:tc>
        <w:tc>
          <w:tcPr>
            <w:tcW w:w="1956" w:type="dxa"/>
            <w:noWrap/>
            <w:vAlign w:val="center"/>
          </w:tcPr>
          <w:p w14:paraId="3EF46C57">
            <w:pPr>
              <w:ind w:firstLine="482" w:firstLineChars="200"/>
              <w:jc w:val="center"/>
              <w:rPr>
                <w:rFonts w:cs="宋体"/>
                <w:b/>
                <w:sz w:val="24"/>
                <w:szCs w:val="24"/>
              </w:rPr>
            </w:pPr>
            <w:r>
              <w:rPr>
                <w:rFonts w:hint="eastAsia" w:cs="宋体"/>
                <w:b/>
                <w:sz w:val="24"/>
                <w:szCs w:val="24"/>
              </w:rPr>
              <w:t>共计</w:t>
            </w:r>
          </w:p>
        </w:tc>
        <w:tc>
          <w:tcPr>
            <w:tcW w:w="720" w:type="dxa"/>
            <w:noWrap/>
            <w:vAlign w:val="center"/>
          </w:tcPr>
          <w:p w14:paraId="14A20328">
            <w:pPr>
              <w:jc w:val="center"/>
              <w:rPr>
                <w:rFonts w:ascii="宋体" w:hAnsi="宋体" w:cs="宋体"/>
                <w:b/>
                <w:sz w:val="24"/>
                <w:szCs w:val="24"/>
              </w:rPr>
            </w:pPr>
            <w:r>
              <w:rPr>
                <w:rFonts w:hint="eastAsia" w:cs="宋体"/>
                <w:b/>
                <w:sz w:val="24"/>
                <w:szCs w:val="24"/>
              </w:rPr>
              <w:t>132岗</w:t>
            </w:r>
          </w:p>
        </w:tc>
        <w:tc>
          <w:tcPr>
            <w:tcW w:w="2010" w:type="dxa"/>
            <w:noWrap/>
            <w:vAlign w:val="center"/>
          </w:tcPr>
          <w:p w14:paraId="799292E3">
            <w:pPr>
              <w:jc w:val="center"/>
              <w:rPr>
                <w:rFonts w:cs="宋体"/>
                <w:b/>
                <w:sz w:val="24"/>
                <w:szCs w:val="24"/>
              </w:rPr>
            </w:pPr>
          </w:p>
        </w:tc>
        <w:tc>
          <w:tcPr>
            <w:tcW w:w="1125" w:type="dxa"/>
            <w:vAlign w:val="center"/>
          </w:tcPr>
          <w:p w14:paraId="1BD0C8B4">
            <w:pPr>
              <w:jc w:val="center"/>
              <w:rPr>
                <w:rFonts w:cs="宋体"/>
                <w:b/>
                <w:sz w:val="24"/>
                <w:szCs w:val="24"/>
              </w:rPr>
            </w:pPr>
            <w:r>
              <w:rPr>
                <w:rFonts w:hint="eastAsia" w:cs="宋体"/>
                <w:b/>
                <w:sz w:val="24"/>
                <w:szCs w:val="24"/>
              </w:rPr>
              <w:t>247.16</w:t>
            </w:r>
          </w:p>
        </w:tc>
        <w:tc>
          <w:tcPr>
            <w:tcW w:w="1346" w:type="dxa"/>
            <w:gridSpan w:val="2"/>
            <w:noWrap/>
            <w:vAlign w:val="center"/>
          </w:tcPr>
          <w:p w14:paraId="440DE205">
            <w:pPr>
              <w:jc w:val="center"/>
              <w:rPr>
                <w:rFonts w:cs="宋体"/>
                <w:b/>
                <w:sz w:val="24"/>
                <w:szCs w:val="24"/>
              </w:rPr>
            </w:pPr>
            <w:r>
              <w:rPr>
                <w:rFonts w:hint="eastAsia" w:cs="宋体"/>
                <w:b/>
                <w:sz w:val="24"/>
                <w:szCs w:val="24"/>
              </w:rPr>
              <w:t>人员总数不少于248人</w:t>
            </w:r>
          </w:p>
        </w:tc>
      </w:tr>
    </w:tbl>
    <w:p w14:paraId="6F650A11">
      <w:pPr>
        <w:spacing w:line="360" w:lineRule="auto"/>
        <w:ind w:firstLine="480" w:firstLineChars="200"/>
        <w:rPr>
          <w:rFonts w:cs="宋体"/>
          <w:sz w:val="24"/>
          <w:szCs w:val="24"/>
          <w:u w:val="single"/>
        </w:rPr>
      </w:pPr>
    </w:p>
    <w:p w14:paraId="5AA4311B">
      <w:pPr>
        <w:spacing w:line="360" w:lineRule="auto"/>
        <w:ind w:firstLine="480" w:firstLineChars="200"/>
        <w:rPr>
          <w:rFonts w:cs="宋体"/>
          <w:b/>
          <w:sz w:val="24"/>
          <w:szCs w:val="24"/>
        </w:rPr>
      </w:pPr>
      <w:r>
        <w:rPr>
          <w:rFonts w:hint="eastAsia" w:ascii="宋体" w:hAnsi="宋体" w:cs="宋体"/>
          <w:sz w:val="24"/>
          <w:szCs w:val="24"/>
        </w:rPr>
        <w:t>★本项目服务日常运营岗位数不少于132岗，</w:t>
      </w:r>
      <w:r>
        <w:rPr>
          <w:rFonts w:hint="eastAsia" w:cs="宋体"/>
          <w:b/>
          <w:sz w:val="24"/>
          <w:szCs w:val="24"/>
        </w:rPr>
        <w:t>人员总数不少于248人。</w:t>
      </w:r>
    </w:p>
    <w:p w14:paraId="2FE6A3AC">
      <w:pPr>
        <w:spacing w:line="360" w:lineRule="auto"/>
        <w:ind w:firstLine="480" w:firstLineChars="200"/>
        <w:rPr>
          <w:rFonts w:ascii="宋体" w:hAnsi="宋体" w:cs="宋体"/>
          <w:sz w:val="24"/>
          <w:szCs w:val="24"/>
        </w:rPr>
      </w:pPr>
      <w:r>
        <w:rPr>
          <w:rFonts w:hint="eastAsia" w:ascii="宋体" w:hAnsi="宋体" w:cs="宋体"/>
          <w:sz w:val="24"/>
          <w:szCs w:val="24"/>
        </w:rPr>
        <w:t>投标人需对以上关键岗位16岗人员人数配置（不少于26人）提交承诺。项目经理1人；公众服务</w:t>
      </w:r>
      <w:r>
        <w:rPr>
          <w:rFonts w:hint="eastAsia" w:ascii="宋体" w:hAnsi="宋体" w:cs="宋体"/>
          <w:sz w:val="24"/>
          <w:szCs w:val="24"/>
          <w:lang w:val="en-US" w:eastAsia="zh-CN"/>
        </w:rPr>
        <w:t>49</w:t>
      </w:r>
      <w:r>
        <w:rPr>
          <w:rFonts w:hint="eastAsia" w:ascii="宋体" w:hAnsi="宋体" w:cs="宋体"/>
          <w:sz w:val="24"/>
          <w:szCs w:val="24"/>
        </w:rPr>
        <w:t>岗，不少于71人；设备设施管理19岗，不少于39人，环境保洁33岗，不少于65人，秩序维护30岗不少于72人。</w:t>
      </w:r>
    </w:p>
    <w:p w14:paraId="209CC8ED">
      <w:pPr>
        <w:spacing w:line="360" w:lineRule="auto"/>
        <w:ind w:firstLine="480" w:firstLineChars="200"/>
        <w:rPr>
          <w:rFonts w:ascii="宋体" w:hAnsi="宋体" w:cs="宋体"/>
          <w:sz w:val="24"/>
          <w:szCs w:val="24"/>
        </w:rPr>
      </w:pPr>
      <w:r>
        <w:rPr>
          <w:rFonts w:hint="eastAsia" w:ascii="宋体" w:hAnsi="宋体" w:cs="宋体"/>
          <w:sz w:val="24"/>
          <w:szCs w:val="24"/>
        </w:rPr>
        <w:t>（二）、节假日、大客流、大型活动等期间工作增加岗位、增加开放时间需求</w:t>
      </w:r>
    </w:p>
    <w:p w14:paraId="3D366459">
      <w:pPr>
        <w:spacing w:line="360" w:lineRule="auto"/>
        <w:ind w:firstLine="528" w:firstLineChars="220"/>
        <w:rPr>
          <w:rFonts w:ascii="宋体" w:hAnsi="宋体" w:cs="宋体"/>
          <w:sz w:val="24"/>
          <w:szCs w:val="24"/>
        </w:rPr>
      </w:pPr>
      <w:r>
        <w:rPr>
          <w:rFonts w:hint="eastAsia" w:ascii="宋体" w:hAnsi="宋体" w:cs="宋体"/>
          <w:sz w:val="24"/>
          <w:szCs w:val="24"/>
        </w:rPr>
        <w:t>采购人每年预计会举办2场1200人左右，4场800人左右的大型赛事接待活动和10场左右临时展览活动。同时根据往年全年国定节假日、大型活动、学生春秋游、暑期游、中国航海日、博物馆纪念日、免费开放日等大客流达2500人以上高峰客流天数预估在100天左右，投标人要适当增加人员满足各项活动的服务管理要求，且不向采购人提出另外增加费用。</w:t>
      </w:r>
    </w:p>
    <w:p w14:paraId="18625484">
      <w:pPr>
        <w:spacing w:line="360" w:lineRule="auto"/>
        <w:ind w:firstLine="480" w:firstLineChars="200"/>
        <w:rPr>
          <w:rFonts w:ascii="宋体" w:hAnsi="宋体" w:cs="宋体"/>
          <w:sz w:val="24"/>
          <w:szCs w:val="24"/>
        </w:rPr>
      </w:pPr>
      <w:r>
        <w:rPr>
          <w:rFonts w:hint="eastAsia" w:ascii="宋体" w:hAnsi="宋体" w:cs="宋体"/>
          <w:sz w:val="24"/>
          <w:szCs w:val="24"/>
        </w:rPr>
        <w:t>节假日、大客流、大型活动包括但不限于周六、周日及元旦、春节、清明、五一、端午、国庆、中秋等国家规定的公共假期，以及采购人规定的免费开放日、中国航海日、博物馆日等活动和春秋学生团队大客流期间，采购人有权在合同实施过程中对该项内容进行适当调整，调整内容包含但不限于公共假期、大型活动等客流期间人员及岗位安排、开放时间，中标供应商需无条件配合，费用已包含在中标总价之中，采购人不支付任何形式的人员费用包括但不限于加班费用等。投标人应按采购人的实际要求按时提前制定日常、节假日及其他大客流期间客流情况岗位配置方案。</w:t>
      </w:r>
    </w:p>
    <w:p w14:paraId="1013D588">
      <w:pPr>
        <w:spacing w:line="360" w:lineRule="auto"/>
        <w:ind w:firstLine="480" w:firstLineChars="200"/>
        <w:rPr>
          <w:rFonts w:ascii="宋体" w:hAnsi="宋体" w:cs="宋体"/>
          <w:sz w:val="24"/>
          <w:szCs w:val="24"/>
        </w:rPr>
      </w:pPr>
      <w:r>
        <w:rPr>
          <w:rFonts w:hint="eastAsia" w:ascii="宋体" w:hAnsi="宋体" w:cs="宋体"/>
          <w:sz w:val="24"/>
          <w:szCs w:val="24"/>
        </w:rPr>
        <w:t>投标方应充分理解知悉并需无条件配合采购人将根据开馆实际及包括但不限于上述客流情况适时调整延迟对外开放时间。投标人也应充分知悉采购人开放时间的适时调整及上述日常开放时间、节假日、大型活动、大客流等开放时间需配备充足人员并将会产生人员费包括但不限于加班费用等，所有人员的配备费及加班费用均已包含在中标价中，除中标价外采购人不负责额外支付任何形式的人员费用及加班费用。</w:t>
      </w:r>
    </w:p>
    <w:p w14:paraId="4A82DF39">
      <w:pPr>
        <w:spacing w:line="360" w:lineRule="auto"/>
        <w:ind w:firstLine="480" w:firstLineChars="200"/>
        <w:rPr>
          <w:rFonts w:ascii="宋体" w:hAnsi="宋体" w:cs="宋体"/>
          <w:sz w:val="24"/>
          <w:szCs w:val="24"/>
        </w:rPr>
      </w:pPr>
    </w:p>
    <w:p w14:paraId="0453BEE9">
      <w:pPr>
        <w:spacing w:line="360" w:lineRule="auto"/>
        <w:ind w:firstLine="480" w:firstLineChars="200"/>
        <w:rPr>
          <w:sz w:val="24"/>
          <w:szCs w:val="24"/>
        </w:rPr>
      </w:pPr>
      <w:r>
        <w:rPr>
          <w:rFonts w:hint="eastAsia" w:cs="宋体"/>
          <w:sz w:val="24"/>
          <w:szCs w:val="24"/>
        </w:rPr>
        <w:t>（三）投标人应配合采购人完成年度讲解工作量不低于2000场次，投标人对讲解人员应有健全考核机制和奖惩措施，已确保讲解服务质量，提升博物馆的社会影响力。</w:t>
      </w:r>
    </w:p>
    <w:p w14:paraId="5DF2CF03"/>
    <w:p w14:paraId="29EAC1AA">
      <w:pPr>
        <w:spacing w:line="360" w:lineRule="auto"/>
        <w:ind w:firstLine="480" w:firstLineChars="200"/>
        <w:rPr>
          <w:rFonts w:ascii="宋体" w:hAnsi="宋体" w:cs="宋体"/>
          <w:sz w:val="24"/>
          <w:szCs w:val="24"/>
        </w:rPr>
      </w:pPr>
      <w:r>
        <w:rPr>
          <w:rFonts w:hint="eastAsia" w:ascii="宋体" w:hAnsi="宋体" w:cs="宋体"/>
          <w:sz w:val="24"/>
          <w:szCs w:val="24"/>
        </w:rPr>
        <w:t>（四）人员配置标准</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1044"/>
        <w:gridCol w:w="4039"/>
        <w:gridCol w:w="1381"/>
        <w:gridCol w:w="1227"/>
      </w:tblGrid>
      <w:tr w14:paraId="05F5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 w:type="dxa"/>
            <w:noWrap/>
          </w:tcPr>
          <w:p w14:paraId="3C5EEACF">
            <w:pPr>
              <w:jc w:val="center"/>
            </w:pPr>
            <w:r>
              <w:rPr>
                <w:rFonts w:hint="eastAsia" w:cs="宋体"/>
              </w:rPr>
              <w:t>序号</w:t>
            </w:r>
          </w:p>
        </w:tc>
        <w:tc>
          <w:tcPr>
            <w:tcW w:w="1044" w:type="dxa"/>
            <w:noWrap/>
          </w:tcPr>
          <w:p w14:paraId="2EF81F14">
            <w:pPr>
              <w:jc w:val="center"/>
            </w:pPr>
            <w:r>
              <w:rPr>
                <w:rFonts w:hint="eastAsia" w:cs="宋体"/>
              </w:rPr>
              <w:t>岗位名称</w:t>
            </w:r>
          </w:p>
        </w:tc>
        <w:tc>
          <w:tcPr>
            <w:tcW w:w="4039" w:type="dxa"/>
            <w:noWrap/>
          </w:tcPr>
          <w:p w14:paraId="02CF2E10">
            <w:pPr>
              <w:jc w:val="center"/>
            </w:pPr>
            <w:r>
              <w:rPr>
                <w:rFonts w:hint="eastAsia" w:cs="宋体"/>
              </w:rPr>
              <w:t>人员主要要求</w:t>
            </w:r>
          </w:p>
        </w:tc>
        <w:tc>
          <w:tcPr>
            <w:tcW w:w="1381" w:type="dxa"/>
            <w:noWrap/>
          </w:tcPr>
          <w:p w14:paraId="336440E9">
            <w:pPr>
              <w:jc w:val="center"/>
            </w:pPr>
            <w:r>
              <w:rPr>
                <w:rFonts w:hint="eastAsia" w:cs="宋体"/>
              </w:rPr>
              <w:t>特殊物业需求</w:t>
            </w:r>
          </w:p>
        </w:tc>
        <w:tc>
          <w:tcPr>
            <w:tcW w:w="1227" w:type="dxa"/>
            <w:noWrap/>
          </w:tcPr>
          <w:p w14:paraId="7E03242D">
            <w:pPr>
              <w:jc w:val="center"/>
            </w:pPr>
            <w:r>
              <w:rPr>
                <w:rFonts w:hint="eastAsia" w:cs="宋体"/>
              </w:rPr>
              <w:t>备注</w:t>
            </w:r>
          </w:p>
        </w:tc>
      </w:tr>
      <w:tr w14:paraId="2AB1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1" w:type="dxa"/>
            <w:noWrap/>
          </w:tcPr>
          <w:p w14:paraId="74C9A712">
            <w:pPr>
              <w:jc w:val="center"/>
            </w:pPr>
            <w:r>
              <w:t>1</w:t>
            </w:r>
          </w:p>
        </w:tc>
        <w:tc>
          <w:tcPr>
            <w:tcW w:w="1044" w:type="dxa"/>
            <w:noWrap/>
          </w:tcPr>
          <w:p w14:paraId="48F1AF1F">
            <w:pPr>
              <w:jc w:val="center"/>
              <w:rPr>
                <w:rFonts w:cs="宋体"/>
              </w:rPr>
            </w:pPr>
            <w:r>
              <w:rPr>
                <w:rFonts w:hint="eastAsia" w:cs="宋体"/>
              </w:rPr>
              <w:t>项目</w:t>
            </w:r>
          </w:p>
          <w:p w14:paraId="35808532">
            <w:pPr>
              <w:jc w:val="center"/>
            </w:pPr>
            <w:r>
              <w:rPr>
                <w:rFonts w:hint="eastAsia" w:cs="宋体"/>
              </w:rPr>
              <w:t>经理</w:t>
            </w:r>
          </w:p>
        </w:tc>
        <w:tc>
          <w:tcPr>
            <w:tcW w:w="4039" w:type="dxa"/>
            <w:noWrap/>
          </w:tcPr>
          <w:p w14:paraId="6000FED3">
            <w:pPr>
              <w:jc w:val="center"/>
            </w:pPr>
            <w:r>
              <w:rPr>
                <w:rFonts w:hint="eastAsia"/>
              </w:rPr>
              <w:t>大专及以上学历；物业经理（中级）、设备维修工程师或相关工程技能类职业资格（二级）及以上职称，责任心强；具有公众物业管理经验5年以上，从事过类似规模物业管理的工作，并拥有成功管理经历；具有很强的组织管理能力和协调能力；具有运行IS09001质量管理体系的经历；熟悉房地产、物业管理和国家有关法律法规；身体健康，能承受工作压力。</w:t>
            </w:r>
          </w:p>
          <w:p w14:paraId="66FAEB09">
            <w:pPr>
              <w:jc w:val="center"/>
            </w:pPr>
          </w:p>
        </w:tc>
        <w:tc>
          <w:tcPr>
            <w:tcW w:w="1381" w:type="dxa"/>
            <w:noWrap/>
          </w:tcPr>
          <w:p w14:paraId="3809CFBD">
            <w:pPr>
              <w:jc w:val="center"/>
            </w:pPr>
          </w:p>
        </w:tc>
        <w:tc>
          <w:tcPr>
            <w:tcW w:w="1227" w:type="dxa"/>
            <w:noWrap/>
          </w:tcPr>
          <w:p w14:paraId="6F0124C9">
            <w:pPr>
              <w:jc w:val="center"/>
            </w:pPr>
          </w:p>
        </w:tc>
      </w:tr>
    </w:tbl>
    <w:p w14:paraId="37D80318">
      <w:pPr>
        <w:jc w:val="left"/>
      </w:pPr>
    </w:p>
    <w:p w14:paraId="1CD1821F">
      <w:pPr>
        <w:jc w:val="center"/>
      </w:pPr>
      <w:r>
        <w:t>公众服务</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237"/>
        <w:gridCol w:w="3328"/>
        <w:gridCol w:w="1690"/>
        <w:gridCol w:w="1740"/>
      </w:tblGrid>
      <w:tr w14:paraId="33E4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3" w:type="dxa"/>
            <w:noWrap/>
          </w:tcPr>
          <w:p w14:paraId="077A9C2F">
            <w:pPr>
              <w:jc w:val="center"/>
            </w:pPr>
            <w:r>
              <w:rPr>
                <w:rFonts w:hint="eastAsia" w:cs="宋体"/>
              </w:rPr>
              <w:t>序号</w:t>
            </w:r>
          </w:p>
        </w:tc>
        <w:tc>
          <w:tcPr>
            <w:tcW w:w="1237" w:type="dxa"/>
            <w:noWrap/>
          </w:tcPr>
          <w:p w14:paraId="2FF6F801">
            <w:pPr>
              <w:jc w:val="center"/>
            </w:pPr>
            <w:r>
              <w:rPr>
                <w:rFonts w:hint="eastAsia" w:cs="宋体"/>
              </w:rPr>
              <w:t>岗位名称</w:t>
            </w:r>
          </w:p>
        </w:tc>
        <w:tc>
          <w:tcPr>
            <w:tcW w:w="3328" w:type="dxa"/>
            <w:noWrap/>
          </w:tcPr>
          <w:p w14:paraId="2CF37AA5">
            <w:pPr>
              <w:jc w:val="center"/>
            </w:pPr>
            <w:r>
              <w:rPr>
                <w:rFonts w:hint="eastAsia" w:cs="宋体"/>
              </w:rPr>
              <w:t>人员基本要求</w:t>
            </w:r>
          </w:p>
        </w:tc>
        <w:tc>
          <w:tcPr>
            <w:tcW w:w="1690" w:type="dxa"/>
            <w:noWrap/>
          </w:tcPr>
          <w:p w14:paraId="24D9661A">
            <w:pPr>
              <w:jc w:val="center"/>
            </w:pPr>
            <w:r>
              <w:rPr>
                <w:rFonts w:hint="eastAsia" w:cs="宋体"/>
              </w:rPr>
              <w:t>特殊物业需求</w:t>
            </w:r>
          </w:p>
        </w:tc>
        <w:tc>
          <w:tcPr>
            <w:tcW w:w="1740" w:type="dxa"/>
            <w:noWrap/>
          </w:tcPr>
          <w:p w14:paraId="3F900170">
            <w:pPr>
              <w:jc w:val="center"/>
            </w:pPr>
            <w:r>
              <w:rPr>
                <w:rFonts w:hint="eastAsia" w:cs="宋体"/>
              </w:rPr>
              <w:t>备注</w:t>
            </w:r>
          </w:p>
        </w:tc>
      </w:tr>
      <w:tr w14:paraId="332B8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33" w:type="dxa"/>
            <w:noWrap/>
            <w:vAlign w:val="center"/>
          </w:tcPr>
          <w:p w14:paraId="7FAA1A95">
            <w:pPr>
              <w:jc w:val="center"/>
            </w:pPr>
            <w:r>
              <w:rPr>
                <w:rFonts w:hint="eastAsia"/>
              </w:rPr>
              <w:t>1</w:t>
            </w:r>
          </w:p>
        </w:tc>
        <w:tc>
          <w:tcPr>
            <w:tcW w:w="1237" w:type="dxa"/>
            <w:noWrap/>
            <w:vAlign w:val="center"/>
          </w:tcPr>
          <w:p w14:paraId="446C4B38">
            <w:pPr>
              <w:jc w:val="center"/>
            </w:pPr>
            <w:r>
              <w:rPr>
                <w:rFonts w:hint="eastAsia" w:cs="宋体"/>
              </w:rPr>
              <w:t>讲解员</w:t>
            </w:r>
          </w:p>
        </w:tc>
        <w:tc>
          <w:tcPr>
            <w:tcW w:w="3328" w:type="dxa"/>
            <w:noWrap/>
            <w:vAlign w:val="center"/>
          </w:tcPr>
          <w:p w14:paraId="245579AB">
            <w:pPr>
              <w:jc w:val="left"/>
            </w:pPr>
            <w:r>
              <w:rPr>
                <w:rFonts w:hint="eastAsia"/>
              </w:rPr>
              <w:t>1、本科及以上学历，专业不限；</w:t>
            </w:r>
          </w:p>
          <w:p w14:paraId="35BAF26D">
            <w:pPr>
              <w:jc w:val="left"/>
            </w:pPr>
            <w:r>
              <w:rPr>
                <w:rFonts w:hint="eastAsia"/>
              </w:rPr>
              <w:t>2、具备中文、外文双语讲解的能力，普通话水平达二级乙等及以上水平，年龄在35周岁以下，男性身高170cm及以上，女性身高160及以上，形象气质佳；</w:t>
            </w:r>
          </w:p>
          <w:p w14:paraId="47BF7E20">
            <w:pPr>
              <w:jc w:val="left"/>
            </w:pPr>
            <w:r>
              <w:rPr>
                <w:rFonts w:hint="eastAsia"/>
              </w:rPr>
              <w:t>3、特别优秀的讲解员学历可放宽至全日制大专。</w:t>
            </w:r>
          </w:p>
          <w:p w14:paraId="63615F81">
            <w:pPr>
              <w:jc w:val="left"/>
            </w:pPr>
            <w:r>
              <w:rPr>
                <w:rFonts w:hint="eastAsia"/>
              </w:rPr>
              <w:t>4、具有相关工作经验3年以上。</w:t>
            </w:r>
          </w:p>
        </w:tc>
        <w:tc>
          <w:tcPr>
            <w:tcW w:w="1690" w:type="dxa"/>
            <w:noWrap/>
            <w:vAlign w:val="center"/>
          </w:tcPr>
          <w:p w14:paraId="26F14782">
            <w:pPr>
              <w:ind w:firstLine="420"/>
              <w:jc w:val="left"/>
              <w:rPr>
                <w:rFonts w:cs="宋体"/>
              </w:rPr>
            </w:pPr>
            <w:r>
              <w:rPr>
                <w:rFonts w:hint="eastAsia" w:cs="宋体"/>
              </w:rPr>
              <w:t>1、每人每月不少于20场次讲解任务；</w:t>
            </w:r>
          </w:p>
          <w:p w14:paraId="01CD9789">
            <w:pPr>
              <w:ind w:firstLine="420"/>
              <w:jc w:val="left"/>
              <w:rPr>
                <w:sz w:val="24"/>
                <w:szCs w:val="24"/>
              </w:rPr>
            </w:pPr>
            <w:r>
              <w:rPr>
                <w:rFonts w:hint="eastAsia" w:cs="宋体"/>
              </w:rPr>
              <w:t>2、投标人对讲解人员应有健全考核机制和奖惩措施，已确保讲解服务质量，提升博物馆的社会影响力。</w:t>
            </w:r>
          </w:p>
          <w:p w14:paraId="493AD64C">
            <w:pPr>
              <w:jc w:val="center"/>
            </w:pPr>
          </w:p>
        </w:tc>
        <w:tc>
          <w:tcPr>
            <w:tcW w:w="1740" w:type="dxa"/>
            <w:noWrap/>
            <w:vAlign w:val="center"/>
          </w:tcPr>
          <w:p w14:paraId="510D266A">
            <w:pPr>
              <w:jc w:val="center"/>
            </w:pPr>
            <w:r>
              <w:rPr>
                <w:rFonts w:hint="eastAsia" w:cs="宋体"/>
                <w:sz w:val="24"/>
                <w:szCs w:val="24"/>
              </w:rPr>
              <w:t>投标人对讲解人员应有健全考核机制和奖惩措施设立讲解提成不低于100,000元/年，此项费用已包含在人员费用内</w:t>
            </w:r>
          </w:p>
        </w:tc>
      </w:tr>
      <w:tr w14:paraId="5813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14:paraId="0FDB354E">
            <w:pPr>
              <w:jc w:val="center"/>
            </w:pPr>
            <w:r>
              <w:rPr>
                <w:rFonts w:hint="eastAsia"/>
              </w:rPr>
              <w:t>2</w:t>
            </w:r>
          </w:p>
        </w:tc>
        <w:tc>
          <w:tcPr>
            <w:tcW w:w="1237" w:type="dxa"/>
            <w:noWrap/>
            <w:vAlign w:val="center"/>
          </w:tcPr>
          <w:p w14:paraId="4C34941B">
            <w:pPr>
              <w:jc w:val="center"/>
            </w:pPr>
            <w:r>
              <w:rPr>
                <w:rFonts w:hint="eastAsia"/>
              </w:rPr>
              <w:t>科普教员</w:t>
            </w:r>
          </w:p>
        </w:tc>
        <w:tc>
          <w:tcPr>
            <w:tcW w:w="3328" w:type="dxa"/>
            <w:noWrap/>
          </w:tcPr>
          <w:p w14:paraId="1AE06154">
            <w:pPr>
              <w:jc w:val="center"/>
            </w:pPr>
            <w:r>
              <w:rPr>
                <w:rFonts w:hint="eastAsia"/>
              </w:rPr>
              <w:t>大专及以上学历（拥有相关工作经验者优先）；责任心强，能维持、疏导和控制现场观众秩序，能耐心解答观众疑问，并做好岗位设施设备的日常检查，发现故障及时修理或报修；协助馆方做好志愿者的辅助管理和物料周转点的出入管理；掌握一定的软件和设施设备操作技能，用好社教团队预约系统协助活动预约的发布管理、活动核销设备的使用，以及展区内展项设施设备的使用和教授；掌握一定的手工专技本领，能教授社教常用手工及参与新手工物料的课件研发；能适应社教岗位工作的临时调整，经过培训能及时熟悉新岗位的工作要求；能独立处理岗位日常事件，合理妥善及时处理岗位突发事件。</w:t>
            </w:r>
          </w:p>
        </w:tc>
        <w:tc>
          <w:tcPr>
            <w:tcW w:w="1690" w:type="dxa"/>
            <w:noWrap/>
            <w:vAlign w:val="center"/>
          </w:tcPr>
          <w:p w14:paraId="3972C5BF">
            <w:pPr>
              <w:jc w:val="center"/>
            </w:pPr>
            <w:r>
              <w:rPr>
                <w:rFonts w:hint="eastAsia"/>
              </w:rPr>
              <w:t>领班：大专及以上学历；责任心强；具有公众物业管理经营3年以上，从事过类似规模物业管理的工作，并拥有成功管理经历；具有较强的组织管理能力和协调能力；对新进人员进行指导和培训，合理安排每日岗位出勤和配合教育活动开展；根据科教岗位和馆内外社教工作的的实际情况，合理安排上岗人数和机动处理；落实日常岗位的巡视，严格要求岗位纪律，掌握科教岗位人员动向，检查《科教岗位动向表》内容填写完整、准确；处理好科教班组的内部事务。</w:t>
            </w:r>
          </w:p>
        </w:tc>
        <w:tc>
          <w:tcPr>
            <w:tcW w:w="1740" w:type="dxa"/>
            <w:noWrap/>
            <w:vAlign w:val="center"/>
          </w:tcPr>
          <w:p w14:paraId="489CDADF">
            <w:pPr>
              <w:jc w:val="center"/>
            </w:pPr>
          </w:p>
        </w:tc>
      </w:tr>
      <w:tr w14:paraId="4B1E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14:paraId="32F6AD82">
            <w:pPr>
              <w:jc w:val="center"/>
            </w:pPr>
            <w:r>
              <w:rPr>
                <w:rFonts w:hint="eastAsia"/>
              </w:rPr>
              <w:t>3</w:t>
            </w:r>
          </w:p>
        </w:tc>
        <w:tc>
          <w:tcPr>
            <w:tcW w:w="1237" w:type="dxa"/>
            <w:noWrap/>
            <w:vAlign w:val="center"/>
          </w:tcPr>
          <w:p w14:paraId="4A16E21D">
            <w:pPr>
              <w:jc w:val="center"/>
              <w:rPr>
                <w:rFonts w:ascii="宋体" w:hAnsi="宋体" w:cs="宋体"/>
              </w:rPr>
            </w:pPr>
            <w:r>
              <w:rPr>
                <w:rFonts w:hint="eastAsia" w:cs="宋体"/>
              </w:rPr>
              <w:t>售票</w:t>
            </w:r>
          </w:p>
        </w:tc>
        <w:tc>
          <w:tcPr>
            <w:tcW w:w="3328" w:type="dxa"/>
            <w:noWrap/>
          </w:tcPr>
          <w:p w14:paraId="5A66AB6E">
            <w:pPr>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rPr>
              <w:t>大专及以上学历，形象气质佳，身高1.65米以上，工作责任心及服务意识较强，普通话标准，</w:t>
            </w:r>
            <w:r>
              <w:rPr>
                <w:rFonts w:asciiTheme="minorEastAsia" w:hAnsiTheme="minorEastAsia" w:eastAsiaTheme="minorEastAsia"/>
                <w:color w:val="000000"/>
              </w:rPr>
              <w:t>熟练使用移动支付设备，</w:t>
            </w:r>
            <w:r>
              <w:rPr>
                <w:rFonts w:hint="eastAsia" w:asciiTheme="minorEastAsia" w:hAnsiTheme="minorEastAsia" w:eastAsiaTheme="minorEastAsia"/>
                <w:color w:val="000000"/>
              </w:rPr>
              <w:t>具备一定的英语表达能力。</w:t>
            </w:r>
          </w:p>
        </w:tc>
        <w:tc>
          <w:tcPr>
            <w:tcW w:w="1690" w:type="dxa"/>
            <w:tcBorders>
              <w:top w:val="nil"/>
              <w:bottom w:val="single" w:color="auto" w:sz="4" w:space="0"/>
            </w:tcBorders>
            <w:noWrap/>
            <w:vAlign w:val="center"/>
          </w:tcPr>
          <w:p w14:paraId="30F1B343">
            <w:pPr>
              <w:jc w:val="center"/>
            </w:pPr>
          </w:p>
        </w:tc>
        <w:tc>
          <w:tcPr>
            <w:tcW w:w="1740" w:type="dxa"/>
            <w:noWrap/>
            <w:vAlign w:val="center"/>
          </w:tcPr>
          <w:p w14:paraId="07A40F4C">
            <w:pPr>
              <w:jc w:val="left"/>
              <w:rPr>
                <w:rFonts w:asciiTheme="minorEastAsia" w:hAnsiTheme="minorEastAsia" w:eastAsiaTheme="minorEastAsia"/>
              </w:rPr>
            </w:pPr>
            <w:r>
              <w:rPr>
                <w:rFonts w:asciiTheme="minorEastAsia" w:hAnsiTheme="minorEastAsia" w:eastAsiaTheme="minorEastAsia"/>
              </w:rPr>
              <w:t>1.票务销售：通过窗口出售博物馆门票、</w:t>
            </w:r>
            <w:r>
              <w:rPr>
                <w:rFonts w:hint="eastAsia" w:asciiTheme="minorEastAsia" w:hAnsiTheme="minorEastAsia" w:eastAsiaTheme="minorEastAsia"/>
              </w:rPr>
              <w:t>优惠票、年</w:t>
            </w:r>
            <w:r>
              <w:rPr>
                <w:rFonts w:asciiTheme="minorEastAsia" w:hAnsiTheme="minorEastAsia" w:eastAsiaTheme="minorEastAsia"/>
              </w:rPr>
              <w:t>票、</w:t>
            </w:r>
            <w:r>
              <w:rPr>
                <w:rFonts w:hint="eastAsia" w:asciiTheme="minorEastAsia" w:hAnsiTheme="minorEastAsia" w:eastAsiaTheme="minorEastAsia"/>
              </w:rPr>
              <w:t>影院</w:t>
            </w:r>
            <w:r>
              <w:rPr>
                <w:rFonts w:asciiTheme="minorEastAsia" w:hAnsiTheme="minorEastAsia" w:eastAsiaTheme="minorEastAsia"/>
              </w:rPr>
              <w:t>票</w:t>
            </w:r>
            <w:r>
              <w:rPr>
                <w:rFonts w:hint="eastAsia" w:asciiTheme="minorEastAsia" w:hAnsiTheme="minorEastAsia" w:eastAsiaTheme="minorEastAsia"/>
              </w:rPr>
              <w:t>等</w:t>
            </w:r>
            <w:r>
              <w:rPr>
                <w:rFonts w:asciiTheme="minorEastAsia" w:hAnsiTheme="minorEastAsia" w:eastAsiaTheme="minorEastAsia"/>
              </w:rPr>
              <w:t>。</w:t>
            </w:r>
          </w:p>
          <w:p w14:paraId="042B6987">
            <w:pPr>
              <w:jc w:val="left"/>
              <w:rPr>
                <w:rFonts w:asciiTheme="minorEastAsia" w:hAnsiTheme="minorEastAsia" w:eastAsiaTheme="minorEastAsia"/>
              </w:rPr>
            </w:pPr>
            <w:r>
              <w:rPr>
                <w:rFonts w:asciiTheme="minorEastAsia" w:hAnsiTheme="minorEastAsia" w:eastAsiaTheme="minorEastAsia"/>
              </w:rPr>
              <w:t>2.信息核验：核对游客身份证、学生证、军官证等有效证件，确保票务政策准确执行。</w:t>
            </w:r>
          </w:p>
          <w:p w14:paraId="182DF569">
            <w:pPr>
              <w:jc w:val="left"/>
              <w:rPr>
                <w:rFonts w:asciiTheme="minorEastAsia" w:hAnsiTheme="minorEastAsia" w:eastAsiaTheme="minorEastAsia"/>
              </w:rPr>
            </w:pPr>
            <w:r>
              <w:rPr>
                <w:rFonts w:asciiTheme="minorEastAsia" w:hAnsiTheme="minorEastAsia" w:eastAsiaTheme="minorEastAsia"/>
              </w:rPr>
              <w:t>3.咨询服务：解答游客关于票价、开放时间、展览内容等基础问题。</w:t>
            </w:r>
          </w:p>
          <w:p w14:paraId="1185694D">
            <w:pPr>
              <w:jc w:val="left"/>
            </w:pPr>
            <w:r>
              <w:rPr>
                <w:rFonts w:asciiTheme="minorEastAsia" w:hAnsiTheme="minorEastAsia" w:eastAsiaTheme="minorEastAsia"/>
              </w:rPr>
              <w:t>4.账务管理：每日清点票款，确保账目与系统数据一致，配合财务对账。</w:t>
            </w:r>
          </w:p>
        </w:tc>
      </w:tr>
      <w:tr w14:paraId="6A0E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14:paraId="042DBEFB">
            <w:pPr>
              <w:jc w:val="center"/>
            </w:pPr>
            <w:r>
              <w:rPr>
                <w:rFonts w:hint="eastAsia"/>
              </w:rPr>
              <w:t>4</w:t>
            </w:r>
          </w:p>
        </w:tc>
        <w:tc>
          <w:tcPr>
            <w:tcW w:w="1237" w:type="dxa"/>
            <w:noWrap/>
            <w:vAlign w:val="center"/>
          </w:tcPr>
          <w:p w14:paraId="53EC0167">
            <w:pPr>
              <w:jc w:val="center"/>
              <w:rPr>
                <w:rFonts w:ascii="宋体" w:hAnsi="宋体" w:cs="宋体"/>
              </w:rPr>
            </w:pPr>
            <w:r>
              <w:rPr>
                <w:rFonts w:hint="eastAsia" w:cs="宋体"/>
              </w:rPr>
              <w:t>检票</w:t>
            </w:r>
          </w:p>
        </w:tc>
        <w:tc>
          <w:tcPr>
            <w:tcW w:w="3328" w:type="dxa"/>
            <w:noWrap/>
          </w:tcPr>
          <w:p w14:paraId="7C61A7F8">
            <w:pPr>
              <w:ind w:firstLine="420" w:firstLineChars="200"/>
              <w:jc w:val="left"/>
            </w:pPr>
            <w:r>
              <w:rPr>
                <w:rFonts w:hint="eastAsia" w:asciiTheme="minorEastAsia" w:hAnsiTheme="minorEastAsia" w:eastAsiaTheme="minorEastAsia"/>
                <w:color w:val="000000"/>
              </w:rPr>
              <w:t>大专及以上学历，形象气质佳，身高1.65米以上，工作责任心及服务意识较强，普通话标准，</w:t>
            </w:r>
            <w:r>
              <w:rPr>
                <w:rFonts w:asciiTheme="minorEastAsia" w:hAnsiTheme="minorEastAsia" w:eastAsiaTheme="minorEastAsia"/>
                <w:color w:val="000000"/>
              </w:rPr>
              <w:t>熟练使用移动支付设备，</w:t>
            </w:r>
            <w:r>
              <w:rPr>
                <w:rFonts w:hint="eastAsia" w:asciiTheme="minorEastAsia" w:hAnsiTheme="minorEastAsia" w:eastAsiaTheme="minorEastAsia"/>
                <w:color w:val="000000"/>
              </w:rPr>
              <w:t>具备一定的英语表达能力。</w:t>
            </w:r>
          </w:p>
        </w:tc>
        <w:tc>
          <w:tcPr>
            <w:tcW w:w="1690" w:type="dxa"/>
            <w:tcBorders>
              <w:top w:val="nil"/>
              <w:bottom w:val="single" w:color="auto" w:sz="4" w:space="0"/>
            </w:tcBorders>
            <w:noWrap/>
            <w:vAlign w:val="center"/>
          </w:tcPr>
          <w:p w14:paraId="7FBADD4A">
            <w:pPr>
              <w:jc w:val="center"/>
            </w:pPr>
          </w:p>
        </w:tc>
        <w:tc>
          <w:tcPr>
            <w:tcW w:w="1740" w:type="dxa"/>
            <w:noWrap/>
            <w:vAlign w:val="center"/>
          </w:tcPr>
          <w:p w14:paraId="0D652441">
            <w:pPr>
              <w:jc w:val="left"/>
              <w:rPr>
                <w:rFonts w:asciiTheme="minorEastAsia" w:hAnsiTheme="minorEastAsia" w:eastAsiaTheme="minorEastAsia"/>
              </w:rPr>
            </w:pPr>
            <w:r>
              <w:rPr>
                <w:rFonts w:asciiTheme="minorEastAsia" w:hAnsiTheme="minorEastAsia" w:eastAsiaTheme="minorEastAsia"/>
              </w:rPr>
              <w:t>1.票务核验：扫描或人工查验游客</w:t>
            </w:r>
            <w:r>
              <w:rPr>
                <w:rFonts w:hint="eastAsia" w:asciiTheme="minorEastAsia" w:hAnsiTheme="minorEastAsia" w:eastAsiaTheme="minorEastAsia"/>
              </w:rPr>
              <w:t>入场凭证</w:t>
            </w:r>
            <w:r>
              <w:rPr>
                <w:rFonts w:asciiTheme="minorEastAsia" w:hAnsiTheme="minorEastAsia" w:eastAsiaTheme="minorEastAsia"/>
              </w:rPr>
              <w:t>、电子二维码</w:t>
            </w:r>
            <w:r>
              <w:rPr>
                <w:rFonts w:hint="eastAsia" w:asciiTheme="minorEastAsia" w:hAnsiTheme="minorEastAsia" w:eastAsiaTheme="minorEastAsia"/>
              </w:rPr>
              <w:t>等</w:t>
            </w:r>
            <w:r>
              <w:rPr>
                <w:rFonts w:asciiTheme="minorEastAsia" w:hAnsiTheme="minorEastAsia" w:eastAsiaTheme="minorEastAsia"/>
              </w:rPr>
              <w:t>，确保票证有效</w:t>
            </w:r>
            <w:r>
              <w:rPr>
                <w:rFonts w:hint="eastAsia" w:asciiTheme="minorEastAsia" w:hAnsiTheme="minorEastAsia" w:eastAsiaTheme="minorEastAsia"/>
              </w:rPr>
              <w:t>；接待团队，实时清点团队人数、检核团队中不同持证人员、填写团队接待单、制作每日报表等。</w:t>
            </w:r>
          </w:p>
          <w:p w14:paraId="41A7CBDE">
            <w:pPr>
              <w:jc w:val="left"/>
              <w:rPr>
                <w:rFonts w:asciiTheme="minorEastAsia" w:hAnsiTheme="minorEastAsia" w:eastAsiaTheme="minorEastAsia"/>
              </w:rPr>
            </w:pPr>
            <w:r>
              <w:rPr>
                <w:rFonts w:asciiTheme="minorEastAsia" w:hAnsiTheme="minorEastAsia" w:eastAsiaTheme="minorEastAsia"/>
              </w:rPr>
              <w:t>2.秩序维护：引导游客有序入场，处理插队等不文明行为。</w:t>
            </w:r>
          </w:p>
          <w:p w14:paraId="61A981B7">
            <w:pPr>
              <w:jc w:val="left"/>
              <w:rPr>
                <w:rFonts w:asciiTheme="minorEastAsia" w:hAnsiTheme="minorEastAsia" w:eastAsiaTheme="minorEastAsia"/>
              </w:rPr>
            </w:pPr>
            <w:r>
              <w:rPr>
                <w:rFonts w:asciiTheme="minorEastAsia" w:hAnsiTheme="minorEastAsia" w:eastAsiaTheme="minorEastAsia"/>
              </w:rPr>
              <w:t>3.数据统计：记录每日入</w:t>
            </w:r>
            <w:r>
              <w:rPr>
                <w:rFonts w:hint="eastAsia" w:asciiTheme="minorEastAsia" w:hAnsiTheme="minorEastAsia" w:eastAsiaTheme="minorEastAsia"/>
              </w:rPr>
              <w:t>馆及观影</w:t>
            </w:r>
            <w:r>
              <w:rPr>
                <w:rFonts w:asciiTheme="minorEastAsia" w:hAnsiTheme="minorEastAsia" w:eastAsiaTheme="minorEastAsia"/>
              </w:rPr>
              <w:t>人数，协助汇总客流数据。</w:t>
            </w:r>
          </w:p>
          <w:p w14:paraId="1127630A">
            <w:pPr>
              <w:jc w:val="left"/>
              <w:rPr>
                <w:rFonts w:asciiTheme="minorEastAsia" w:hAnsiTheme="minorEastAsia" w:eastAsiaTheme="minorEastAsia"/>
              </w:rPr>
            </w:pPr>
            <w:r>
              <w:rPr>
                <w:rFonts w:asciiTheme="minorEastAsia" w:hAnsiTheme="minorEastAsia" w:eastAsiaTheme="minorEastAsia"/>
              </w:rPr>
              <w:t>4.特殊通道管理：为老人、残疾人</w:t>
            </w:r>
            <w:r>
              <w:rPr>
                <w:rFonts w:hint="eastAsia" w:asciiTheme="minorEastAsia" w:hAnsiTheme="minorEastAsia" w:eastAsiaTheme="minorEastAsia"/>
              </w:rPr>
              <w:t>、儿童、再次入馆观众</w:t>
            </w:r>
            <w:r>
              <w:rPr>
                <w:rFonts w:asciiTheme="minorEastAsia" w:hAnsiTheme="minorEastAsia" w:eastAsiaTheme="minorEastAsia"/>
              </w:rPr>
              <w:t>等提供快速通道服务。</w:t>
            </w:r>
          </w:p>
          <w:p w14:paraId="1AC89D88">
            <w:pPr>
              <w:jc w:val="center"/>
            </w:pPr>
            <w:r>
              <w:rPr>
                <w:rFonts w:hint="eastAsia" w:asciiTheme="minorEastAsia" w:hAnsiTheme="minorEastAsia" w:eastAsiaTheme="minorEastAsia"/>
              </w:rPr>
              <w:t>5.</w:t>
            </w:r>
            <w:r>
              <w:rPr>
                <w:rFonts w:asciiTheme="minorEastAsia" w:hAnsiTheme="minorEastAsia" w:eastAsiaTheme="minorEastAsia"/>
              </w:rPr>
              <w:t>协作支持：协助处理团体预约、特殊活动票务需求。</w:t>
            </w:r>
          </w:p>
        </w:tc>
      </w:tr>
      <w:tr w14:paraId="2B3A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14:paraId="19FEE7A4">
            <w:pPr>
              <w:jc w:val="center"/>
            </w:pPr>
            <w:r>
              <w:rPr>
                <w:rFonts w:hint="eastAsia"/>
              </w:rPr>
              <w:t>5</w:t>
            </w:r>
          </w:p>
        </w:tc>
        <w:tc>
          <w:tcPr>
            <w:tcW w:w="1237" w:type="dxa"/>
            <w:noWrap/>
            <w:vAlign w:val="center"/>
          </w:tcPr>
          <w:p w14:paraId="6C6F95A8">
            <w:pPr>
              <w:jc w:val="center"/>
              <w:rPr>
                <w:rFonts w:ascii="宋体" w:hAnsi="宋体" w:cs="宋体"/>
              </w:rPr>
            </w:pPr>
            <w:r>
              <w:rPr>
                <w:rFonts w:hint="eastAsia" w:cs="宋体"/>
              </w:rPr>
              <w:t>综合服务</w:t>
            </w:r>
          </w:p>
        </w:tc>
        <w:tc>
          <w:tcPr>
            <w:tcW w:w="3328" w:type="dxa"/>
            <w:noWrap/>
          </w:tcPr>
          <w:p w14:paraId="493ED38A">
            <w:pPr>
              <w:tabs>
                <w:tab w:val="left" w:pos="639"/>
              </w:tabs>
              <w:jc w:val="left"/>
            </w:pPr>
            <w:r>
              <w:tab/>
            </w:r>
            <w:r>
              <w:rPr>
                <w:rFonts w:hint="eastAsia" w:asciiTheme="minorEastAsia" w:hAnsiTheme="minorEastAsia" w:eastAsiaTheme="minorEastAsia"/>
                <w:color w:val="000000"/>
              </w:rPr>
              <w:t>大专及以上学历，形象气质佳，身高1.65米以上，工作责任心及服务意识较强，普通话标准，具备一定的英语表达能力。</w:t>
            </w:r>
          </w:p>
        </w:tc>
        <w:tc>
          <w:tcPr>
            <w:tcW w:w="1690" w:type="dxa"/>
            <w:tcBorders>
              <w:top w:val="nil"/>
              <w:bottom w:val="single" w:color="auto" w:sz="4" w:space="0"/>
            </w:tcBorders>
            <w:noWrap/>
            <w:vAlign w:val="center"/>
          </w:tcPr>
          <w:p w14:paraId="4B2A671F">
            <w:pPr>
              <w:jc w:val="center"/>
            </w:pPr>
          </w:p>
        </w:tc>
        <w:tc>
          <w:tcPr>
            <w:tcW w:w="1740" w:type="dxa"/>
            <w:noWrap/>
            <w:vAlign w:val="center"/>
          </w:tcPr>
          <w:p w14:paraId="63D3F5B2">
            <w:pPr>
              <w:jc w:val="left"/>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提供参观咨询：解答游客关于展览内容、场馆设施、活动安排、票务政策等各类问询</w:t>
            </w:r>
            <w:r>
              <w:rPr>
                <w:rFonts w:hint="eastAsia" w:asciiTheme="minorEastAsia" w:hAnsiTheme="minorEastAsia" w:eastAsiaTheme="minorEastAsia"/>
              </w:rPr>
              <w:t>，并做好电话咨询、服务、接待、广播等。</w:t>
            </w:r>
          </w:p>
          <w:p w14:paraId="2354C763">
            <w:pPr>
              <w:jc w:val="left"/>
              <w:rPr>
                <w:rFonts w:asciiTheme="minorEastAsia" w:hAnsiTheme="minorEastAsia" w:eastAsiaTheme="minorEastAsia"/>
              </w:rPr>
            </w:pPr>
            <w:r>
              <w:rPr>
                <w:rFonts w:asciiTheme="minorEastAsia" w:hAnsiTheme="minorEastAsia" w:eastAsiaTheme="minorEastAsia"/>
              </w:rPr>
              <w:t>2.投诉与应急处理：记录并反馈游客意见，协助处理突发情况（如寻人寻物、医疗求助</w:t>
            </w:r>
            <w:r>
              <w:rPr>
                <w:rFonts w:hint="eastAsia" w:asciiTheme="minorEastAsia" w:hAnsiTheme="minorEastAsia" w:eastAsiaTheme="minorEastAsia"/>
              </w:rPr>
              <w:t>、意外受伤</w:t>
            </w:r>
            <w:r>
              <w:rPr>
                <w:rFonts w:asciiTheme="minorEastAsia" w:hAnsiTheme="minorEastAsia" w:eastAsiaTheme="minorEastAsia"/>
              </w:rPr>
              <w:t>等）。</w:t>
            </w:r>
          </w:p>
          <w:p w14:paraId="3F0EBF49">
            <w:pPr>
              <w:jc w:val="left"/>
              <w:rPr>
                <w:rFonts w:asciiTheme="minorEastAsia" w:hAnsiTheme="minorEastAsia" w:eastAsiaTheme="minorEastAsia"/>
              </w:rPr>
            </w:pPr>
            <w:r>
              <w:rPr>
                <w:rFonts w:asciiTheme="minorEastAsia" w:hAnsiTheme="minorEastAsia" w:eastAsiaTheme="minorEastAsia"/>
              </w:rPr>
              <w:t>3.资料管理：维护宣传资料架，定期补充更新</w:t>
            </w:r>
            <w:r>
              <w:rPr>
                <w:rFonts w:hint="eastAsia" w:asciiTheme="minorEastAsia" w:hAnsiTheme="minorEastAsia" w:eastAsiaTheme="minorEastAsia"/>
              </w:rPr>
              <w:t>，做好发放记录等</w:t>
            </w:r>
            <w:r>
              <w:rPr>
                <w:rFonts w:asciiTheme="minorEastAsia" w:hAnsiTheme="minorEastAsia" w:eastAsiaTheme="minorEastAsia"/>
              </w:rPr>
              <w:t>。</w:t>
            </w:r>
          </w:p>
          <w:p w14:paraId="2E6F4D2C">
            <w:pPr>
              <w:jc w:val="left"/>
              <w:rPr>
                <w:rFonts w:asciiTheme="minorEastAsia" w:hAnsiTheme="minorEastAsia" w:eastAsiaTheme="minorEastAsia"/>
              </w:rPr>
            </w:pPr>
            <w:r>
              <w:rPr>
                <w:rFonts w:hint="eastAsia" w:asciiTheme="minorEastAsia" w:hAnsiTheme="minorEastAsia" w:eastAsiaTheme="minorEastAsia"/>
              </w:rPr>
              <w:t>4.导赏服务：</w:t>
            </w:r>
            <w:r>
              <w:rPr>
                <w:rFonts w:asciiTheme="minorEastAsia" w:hAnsiTheme="minorEastAsia" w:eastAsiaTheme="minorEastAsia"/>
              </w:rPr>
              <w:t>为游客提供博物馆展览及文化内容的延伸介绍，推荐相关特色服务，增强参观体验。</w:t>
            </w:r>
          </w:p>
          <w:p w14:paraId="4D853125">
            <w:pPr>
              <w:jc w:val="center"/>
            </w:pPr>
            <w:r>
              <w:rPr>
                <w:rFonts w:asciiTheme="minorEastAsia" w:hAnsiTheme="minorEastAsia" w:eastAsiaTheme="minorEastAsia"/>
              </w:rPr>
              <w:t>5</w:t>
            </w:r>
            <w:r>
              <w:rPr>
                <w:rFonts w:hint="eastAsia" w:asciiTheme="minorEastAsia" w:hAnsiTheme="minorEastAsia" w:eastAsiaTheme="minorEastAsia"/>
              </w:rPr>
              <w:t>.协作支持：</w:t>
            </w:r>
            <w:r>
              <w:rPr>
                <w:rFonts w:asciiTheme="minorEastAsia" w:hAnsiTheme="minorEastAsia" w:eastAsiaTheme="minorEastAsia"/>
              </w:rPr>
              <w:t>维护</w:t>
            </w:r>
            <w:r>
              <w:rPr>
                <w:rFonts w:hint="eastAsia" w:asciiTheme="minorEastAsia" w:hAnsiTheme="minorEastAsia" w:eastAsiaTheme="minorEastAsia"/>
              </w:rPr>
              <w:t>观众服务相关区域</w:t>
            </w:r>
            <w:r>
              <w:rPr>
                <w:rFonts w:asciiTheme="minorEastAsia" w:hAnsiTheme="minorEastAsia" w:eastAsiaTheme="minorEastAsia"/>
              </w:rPr>
              <w:t>环境整洁，定期整理库存</w:t>
            </w:r>
            <w:r>
              <w:rPr>
                <w:rFonts w:hint="eastAsia" w:asciiTheme="minorEastAsia" w:hAnsiTheme="minorEastAsia" w:eastAsiaTheme="minorEastAsia"/>
              </w:rPr>
              <w:t>等</w:t>
            </w:r>
            <w:r>
              <w:rPr>
                <w:rFonts w:asciiTheme="minorEastAsia" w:hAnsiTheme="minorEastAsia" w:eastAsiaTheme="minorEastAsia"/>
              </w:rPr>
              <w:t>。</w:t>
            </w:r>
          </w:p>
        </w:tc>
      </w:tr>
      <w:tr w14:paraId="4A5B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14:paraId="141F2E47">
            <w:pPr>
              <w:jc w:val="center"/>
            </w:pPr>
            <w:r>
              <w:rPr>
                <w:rFonts w:hint="eastAsia"/>
              </w:rPr>
              <w:t>6</w:t>
            </w:r>
          </w:p>
        </w:tc>
        <w:tc>
          <w:tcPr>
            <w:tcW w:w="1237" w:type="dxa"/>
            <w:noWrap/>
            <w:vAlign w:val="center"/>
          </w:tcPr>
          <w:p w14:paraId="43A8FB0A">
            <w:pPr>
              <w:jc w:val="center"/>
              <w:rPr>
                <w:rFonts w:ascii="宋体" w:hAnsi="宋体" w:cs="宋体"/>
              </w:rPr>
            </w:pPr>
            <w:r>
              <w:rPr>
                <w:rFonts w:hint="eastAsia" w:cs="宋体"/>
              </w:rPr>
              <w:t>寄存服务</w:t>
            </w:r>
          </w:p>
        </w:tc>
        <w:tc>
          <w:tcPr>
            <w:tcW w:w="3328" w:type="dxa"/>
            <w:noWrap/>
          </w:tcPr>
          <w:p w14:paraId="3634E820">
            <w:pPr>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rPr>
              <w:t>大专及以上学历，形象气质佳，身高1.65米以上，工作责任心及服务意识较强，普通话标准，具备一定的英语表达能力。</w:t>
            </w:r>
          </w:p>
          <w:p w14:paraId="299C4619">
            <w:pPr>
              <w:jc w:val="left"/>
            </w:pPr>
          </w:p>
        </w:tc>
        <w:tc>
          <w:tcPr>
            <w:tcW w:w="1690" w:type="dxa"/>
            <w:tcBorders>
              <w:top w:val="nil"/>
              <w:bottom w:val="single" w:color="auto" w:sz="4" w:space="0"/>
            </w:tcBorders>
            <w:noWrap/>
            <w:vAlign w:val="center"/>
          </w:tcPr>
          <w:p w14:paraId="4DB5D332">
            <w:pPr>
              <w:jc w:val="center"/>
            </w:pPr>
          </w:p>
        </w:tc>
        <w:tc>
          <w:tcPr>
            <w:tcW w:w="1740" w:type="dxa"/>
            <w:noWrap/>
            <w:vAlign w:val="center"/>
          </w:tcPr>
          <w:p w14:paraId="05B0398C">
            <w:pPr>
              <w:jc w:val="left"/>
              <w:rPr>
                <w:rFonts w:asciiTheme="minorEastAsia" w:hAnsiTheme="minorEastAsia" w:eastAsiaTheme="minorEastAsia"/>
              </w:rPr>
            </w:pPr>
            <w:r>
              <w:rPr>
                <w:rFonts w:asciiTheme="minorEastAsia" w:hAnsiTheme="minorEastAsia" w:eastAsiaTheme="minorEastAsia"/>
              </w:rPr>
              <w:t>1.物品寄存管理：为游客提供行李、包裹的临时寄存服务，核对寄存牌信息。</w:t>
            </w:r>
          </w:p>
          <w:p w14:paraId="2F244455">
            <w:pPr>
              <w:jc w:val="left"/>
              <w:rPr>
                <w:rFonts w:asciiTheme="minorEastAsia" w:hAnsiTheme="minorEastAsia" w:eastAsiaTheme="minorEastAsia"/>
              </w:rPr>
            </w:pPr>
            <w:r>
              <w:rPr>
                <w:rFonts w:asciiTheme="minorEastAsia" w:hAnsiTheme="minorEastAsia" w:eastAsiaTheme="minorEastAsia"/>
              </w:rPr>
              <w:t>2.设施维护：确保寄存柜、监控设备正常运行，定期清洁消毒寄存区域。</w:t>
            </w:r>
          </w:p>
          <w:p w14:paraId="3DFDA6AE">
            <w:pPr>
              <w:jc w:val="center"/>
            </w:pPr>
            <w:r>
              <w:rPr>
                <w:rFonts w:asciiTheme="minorEastAsia" w:hAnsiTheme="minorEastAsia" w:eastAsiaTheme="minorEastAsia"/>
              </w:rPr>
              <w:t>3.失物招领：登记、保管游客遗失物品，协助联系失主。</w:t>
            </w:r>
          </w:p>
        </w:tc>
      </w:tr>
      <w:tr w14:paraId="5A69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14:paraId="072B04D1">
            <w:pPr>
              <w:jc w:val="center"/>
            </w:pPr>
            <w:r>
              <w:rPr>
                <w:rFonts w:hint="eastAsia"/>
              </w:rPr>
              <w:t>7</w:t>
            </w:r>
          </w:p>
        </w:tc>
        <w:tc>
          <w:tcPr>
            <w:tcW w:w="1237" w:type="dxa"/>
            <w:noWrap/>
            <w:vAlign w:val="center"/>
          </w:tcPr>
          <w:p w14:paraId="58D64F27">
            <w:pPr>
              <w:jc w:val="center"/>
              <w:rPr>
                <w:rFonts w:ascii="宋体" w:hAnsi="宋体" w:cs="宋体"/>
              </w:rPr>
            </w:pPr>
            <w:r>
              <w:rPr>
                <w:rFonts w:hint="eastAsia" w:cs="宋体"/>
              </w:rPr>
              <w:t>游客引导</w:t>
            </w:r>
          </w:p>
        </w:tc>
        <w:tc>
          <w:tcPr>
            <w:tcW w:w="3328" w:type="dxa"/>
            <w:noWrap/>
          </w:tcPr>
          <w:p w14:paraId="41C549AC">
            <w:pPr>
              <w:jc w:val="left"/>
            </w:pPr>
            <w:r>
              <w:rPr>
                <w:rFonts w:hint="eastAsia" w:asciiTheme="minorEastAsia" w:hAnsiTheme="minorEastAsia" w:eastAsiaTheme="minorEastAsia"/>
                <w:color w:val="000000"/>
              </w:rPr>
              <w:t>大专及以上学历，形象气质佳，身高1.65米以上，工作责任心及服务意识较强，普通话标准，具备一定的英语表达能力。</w:t>
            </w:r>
          </w:p>
        </w:tc>
        <w:tc>
          <w:tcPr>
            <w:tcW w:w="1690" w:type="dxa"/>
            <w:tcBorders>
              <w:top w:val="nil"/>
              <w:bottom w:val="single" w:color="auto" w:sz="4" w:space="0"/>
            </w:tcBorders>
            <w:noWrap/>
            <w:vAlign w:val="center"/>
          </w:tcPr>
          <w:p w14:paraId="11C8B5CB">
            <w:pPr>
              <w:jc w:val="center"/>
            </w:pPr>
            <w:r>
              <w:rPr>
                <w:rFonts w:asciiTheme="minorEastAsia" w:hAnsiTheme="minorEastAsia" w:eastAsiaTheme="minorEastAsia"/>
                <w:color w:val="000000"/>
              </w:rPr>
              <w:t>需掌握基础急救知识</w:t>
            </w:r>
          </w:p>
        </w:tc>
        <w:tc>
          <w:tcPr>
            <w:tcW w:w="1740" w:type="dxa"/>
            <w:noWrap/>
            <w:vAlign w:val="center"/>
          </w:tcPr>
          <w:p w14:paraId="592A3CDA">
            <w:pPr>
              <w:jc w:val="left"/>
              <w:rPr>
                <w:rFonts w:asciiTheme="minorEastAsia" w:hAnsiTheme="minorEastAsia" w:eastAsiaTheme="minorEastAsia"/>
              </w:rPr>
            </w:pPr>
            <w:r>
              <w:rPr>
                <w:rFonts w:asciiTheme="minorEastAsia" w:hAnsiTheme="minorEastAsia" w:eastAsiaTheme="minorEastAsia"/>
              </w:rPr>
              <w:t>1.动线引导：在入口</w:t>
            </w:r>
            <w:r>
              <w:rPr>
                <w:rFonts w:hint="eastAsia" w:asciiTheme="minorEastAsia" w:hAnsiTheme="minorEastAsia" w:eastAsiaTheme="minorEastAsia"/>
              </w:rPr>
              <w:t>、影院、文创商店</w:t>
            </w:r>
            <w:r>
              <w:rPr>
                <w:rFonts w:asciiTheme="minorEastAsia" w:hAnsiTheme="minorEastAsia" w:eastAsiaTheme="minorEastAsia"/>
              </w:rPr>
              <w:t>等重点</w:t>
            </w:r>
            <w:r>
              <w:rPr>
                <w:rFonts w:hint="eastAsia" w:asciiTheme="minorEastAsia" w:hAnsiTheme="minorEastAsia" w:eastAsiaTheme="minorEastAsia"/>
              </w:rPr>
              <w:t>公众服务</w:t>
            </w:r>
            <w:r>
              <w:rPr>
                <w:rFonts w:asciiTheme="minorEastAsia" w:hAnsiTheme="minorEastAsia" w:eastAsiaTheme="minorEastAsia"/>
              </w:rPr>
              <w:t>区域疏导人流，维持参观秩序。</w:t>
            </w:r>
          </w:p>
          <w:p w14:paraId="19729083">
            <w:pPr>
              <w:pStyle w:val="2"/>
            </w:pPr>
            <w:r>
              <w:rPr>
                <w:rFonts w:asciiTheme="minorEastAsia" w:hAnsiTheme="minorEastAsia" w:eastAsiaTheme="minorEastAsia"/>
              </w:rPr>
              <w:t>2.</w:t>
            </w:r>
            <w:r>
              <w:rPr>
                <w:rFonts w:hint="eastAsia" w:asciiTheme="minorEastAsia" w:hAnsiTheme="minorEastAsia" w:eastAsiaTheme="minorEastAsia"/>
              </w:rPr>
              <w:t>团队引导</w:t>
            </w:r>
            <w:r>
              <w:rPr>
                <w:rFonts w:asciiTheme="minorEastAsia" w:hAnsiTheme="minorEastAsia" w:eastAsiaTheme="minorEastAsia"/>
              </w:rPr>
              <w:t>：</w:t>
            </w:r>
            <w:r>
              <w:t>对参观团队进行前置导览，了解团队名称，做好团队通道引导等</w:t>
            </w:r>
            <w:r>
              <w:rPr>
                <w:rFonts w:hint="eastAsia"/>
              </w:rPr>
              <w:t>。</w:t>
            </w:r>
          </w:p>
          <w:p w14:paraId="6BC2E77A">
            <w:pPr>
              <w:pStyle w:val="2"/>
            </w:pPr>
            <w:r>
              <w:rPr>
                <w:rFonts w:hint="eastAsia"/>
              </w:rPr>
              <w:t>3.疏散引导</w:t>
            </w:r>
            <w:r>
              <w:t>对散客、团队客流入馆后及时引导疏散，避免团队、散客入口处人员挤压等安全隐患控制服务。</w:t>
            </w:r>
          </w:p>
          <w:p w14:paraId="21268E75">
            <w:pPr>
              <w:jc w:val="center"/>
            </w:pPr>
            <w:r>
              <w:rPr>
                <w:rFonts w:hint="eastAsia" w:asciiTheme="minorEastAsia" w:hAnsiTheme="minorEastAsia" w:eastAsiaTheme="minorEastAsia"/>
              </w:rPr>
              <w:t>4.影院引导：观影区域秩序维护、游客现场服务、讲解、退场时游客疏导、现场设备保护等。</w:t>
            </w:r>
          </w:p>
        </w:tc>
      </w:tr>
      <w:tr w14:paraId="417C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14:paraId="78830DAA">
            <w:pPr>
              <w:jc w:val="center"/>
            </w:pPr>
            <w:r>
              <w:rPr>
                <w:rFonts w:hint="eastAsia"/>
              </w:rPr>
              <w:t>8</w:t>
            </w:r>
          </w:p>
        </w:tc>
        <w:tc>
          <w:tcPr>
            <w:tcW w:w="1237" w:type="dxa"/>
            <w:noWrap/>
            <w:vAlign w:val="center"/>
          </w:tcPr>
          <w:p w14:paraId="03601A7A">
            <w:pPr>
              <w:jc w:val="center"/>
              <w:rPr>
                <w:rFonts w:ascii="宋体" w:hAnsi="宋体" w:cs="宋体"/>
              </w:rPr>
            </w:pPr>
            <w:r>
              <w:rPr>
                <w:rFonts w:hint="eastAsia" w:ascii="宋体" w:hAnsi="宋体" w:cs="宋体"/>
              </w:rPr>
              <w:t>物业物资采购岗</w:t>
            </w:r>
          </w:p>
        </w:tc>
        <w:tc>
          <w:tcPr>
            <w:tcW w:w="3328" w:type="dxa"/>
            <w:noWrap/>
          </w:tcPr>
          <w:p w14:paraId="3293820B">
            <w:pPr>
              <w:jc w:val="left"/>
              <w:rPr>
                <w:rFonts w:ascii="宋体" w:hAnsi="宋体" w:cs="宋体"/>
              </w:rPr>
            </w:pPr>
          </w:p>
        </w:tc>
        <w:tc>
          <w:tcPr>
            <w:tcW w:w="1690" w:type="dxa"/>
            <w:tcBorders>
              <w:top w:val="single" w:color="auto" w:sz="4" w:space="0"/>
              <w:bottom w:val="single" w:color="auto" w:sz="4" w:space="0"/>
            </w:tcBorders>
            <w:noWrap/>
            <w:vAlign w:val="center"/>
          </w:tcPr>
          <w:p w14:paraId="32A41F44">
            <w:pPr>
              <w:jc w:val="center"/>
              <w:rPr>
                <w:rFonts w:ascii="宋体" w:hAnsi="宋体" w:cs="宋体"/>
              </w:rPr>
            </w:pPr>
          </w:p>
        </w:tc>
        <w:tc>
          <w:tcPr>
            <w:tcW w:w="1740" w:type="dxa"/>
            <w:noWrap/>
            <w:vAlign w:val="center"/>
          </w:tcPr>
          <w:p w14:paraId="0BB1B122">
            <w:pPr>
              <w:jc w:val="center"/>
            </w:pPr>
            <w:r>
              <w:rPr>
                <w:rFonts w:hint="eastAsia" w:cs="宋体"/>
              </w:rPr>
              <w:t>与收发室人员统筹使用</w:t>
            </w:r>
          </w:p>
        </w:tc>
      </w:tr>
      <w:tr w14:paraId="2B91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14:paraId="3BD58640">
            <w:pPr>
              <w:jc w:val="center"/>
            </w:pPr>
            <w:r>
              <w:rPr>
                <w:rFonts w:hint="eastAsia"/>
              </w:rPr>
              <w:t>9</w:t>
            </w:r>
          </w:p>
        </w:tc>
        <w:tc>
          <w:tcPr>
            <w:tcW w:w="1237" w:type="dxa"/>
            <w:noWrap/>
            <w:vAlign w:val="center"/>
          </w:tcPr>
          <w:p w14:paraId="6F812EA4">
            <w:pPr>
              <w:jc w:val="center"/>
              <w:rPr>
                <w:rFonts w:ascii="宋体" w:hAnsi="宋体" w:cs="宋体"/>
              </w:rPr>
            </w:pPr>
            <w:r>
              <w:rPr>
                <w:rFonts w:hint="eastAsia" w:cs="宋体"/>
              </w:rPr>
              <w:t>综合仓库管理岗</w:t>
            </w:r>
          </w:p>
        </w:tc>
        <w:tc>
          <w:tcPr>
            <w:tcW w:w="3328" w:type="dxa"/>
            <w:noWrap/>
          </w:tcPr>
          <w:p w14:paraId="0775BF12">
            <w:pPr>
              <w:jc w:val="left"/>
              <w:rPr>
                <w:rFonts w:ascii="宋体" w:hAnsi="宋体" w:cs="宋体"/>
              </w:rPr>
            </w:pPr>
          </w:p>
        </w:tc>
        <w:tc>
          <w:tcPr>
            <w:tcW w:w="1690" w:type="dxa"/>
            <w:tcBorders>
              <w:top w:val="single" w:color="auto" w:sz="4" w:space="0"/>
              <w:bottom w:val="single" w:color="auto" w:sz="4" w:space="0"/>
            </w:tcBorders>
            <w:noWrap/>
            <w:vAlign w:val="center"/>
          </w:tcPr>
          <w:p w14:paraId="52D9BE25">
            <w:pPr>
              <w:jc w:val="center"/>
              <w:rPr>
                <w:rFonts w:ascii="宋体" w:hAnsi="宋体" w:cs="宋体"/>
              </w:rPr>
            </w:pPr>
          </w:p>
        </w:tc>
        <w:tc>
          <w:tcPr>
            <w:tcW w:w="1740" w:type="dxa"/>
            <w:noWrap/>
            <w:vAlign w:val="center"/>
          </w:tcPr>
          <w:p w14:paraId="61FA6598">
            <w:pPr>
              <w:jc w:val="center"/>
            </w:pPr>
            <w:r>
              <w:rPr>
                <w:rFonts w:hint="eastAsia" w:cs="宋体"/>
              </w:rPr>
              <w:t>与收发室人员统筹使用</w:t>
            </w:r>
          </w:p>
        </w:tc>
      </w:tr>
      <w:tr w14:paraId="579F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14:paraId="0AAA6972">
            <w:pPr>
              <w:jc w:val="center"/>
            </w:pPr>
            <w:r>
              <w:rPr>
                <w:rFonts w:hint="eastAsia"/>
              </w:rPr>
              <w:t>10</w:t>
            </w:r>
          </w:p>
        </w:tc>
        <w:tc>
          <w:tcPr>
            <w:tcW w:w="1237" w:type="dxa"/>
            <w:noWrap/>
            <w:vAlign w:val="center"/>
          </w:tcPr>
          <w:p w14:paraId="04AA42B4">
            <w:pPr>
              <w:jc w:val="center"/>
              <w:rPr>
                <w:rFonts w:ascii="宋体" w:hAnsi="宋体" w:cs="宋体"/>
              </w:rPr>
            </w:pPr>
            <w:r>
              <w:rPr>
                <w:rFonts w:hint="eastAsia" w:cs="宋体"/>
              </w:rPr>
              <w:t>收发室客户服务岗</w:t>
            </w:r>
          </w:p>
        </w:tc>
        <w:tc>
          <w:tcPr>
            <w:tcW w:w="3328" w:type="dxa"/>
            <w:noWrap/>
          </w:tcPr>
          <w:p w14:paraId="28E656D5">
            <w:pPr>
              <w:jc w:val="left"/>
              <w:rPr>
                <w:rFonts w:ascii="宋体" w:hAnsi="宋体" w:cs="宋体"/>
              </w:rPr>
            </w:pPr>
            <w:r>
              <w:t>身体健康</w:t>
            </w:r>
            <w:r>
              <w:rPr>
                <w:rFonts w:hint="eastAsia"/>
              </w:rPr>
              <w:t>，工作认真尽责细致，积极主动，礼仪规范，服务态度好，处理问题得当，五官端正，容貌较好</w:t>
            </w:r>
          </w:p>
        </w:tc>
        <w:tc>
          <w:tcPr>
            <w:tcW w:w="1690" w:type="dxa"/>
            <w:tcBorders>
              <w:top w:val="single" w:color="auto" w:sz="4" w:space="0"/>
              <w:bottom w:val="single" w:color="auto" w:sz="4" w:space="0"/>
            </w:tcBorders>
            <w:noWrap/>
            <w:vAlign w:val="center"/>
          </w:tcPr>
          <w:p w14:paraId="69691985">
            <w:pPr>
              <w:jc w:val="center"/>
              <w:rPr>
                <w:rFonts w:ascii="宋体" w:hAnsi="宋体" w:cs="宋体"/>
              </w:rPr>
            </w:pPr>
            <w:r>
              <w:rPr>
                <w:rFonts w:hint="eastAsia" w:cs="宋体"/>
              </w:rPr>
              <w:t>兼</w:t>
            </w:r>
            <w:r>
              <w:t>VIP</w:t>
            </w:r>
            <w:r>
              <w:rPr>
                <w:rFonts w:hint="eastAsia" w:cs="宋体"/>
              </w:rPr>
              <w:t>接待</w:t>
            </w:r>
          </w:p>
        </w:tc>
        <w:tc>
          <w:tcPr>
            <w:tcW w:w="1740" w:type="dxa"/>
            <w:noWrap/>
            <w:vAlign w:val="center"/>
          </w:tcPr>
          <w:p w14:paraId="0200C30E">
            <w:pPr>
              <w:jc w:val="center"/>
            </w:pPr>
            <w:r>
              <w:rPr>
                <w:rFonts w:hint="eastAsia" w:cs="宋体"/>
              </w:rPr>
              <w:t>与收发室人员统筹使用</w:t>
            </w:r>
          </w:p>
        </w:tc>
      </w:tr>
      <w:tr w14:paraId="742A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3" w:type="dxa"/>
            <w:noWrap/>
            <w:vAlign w:val="center"/>
          </w:tcPr>
          <w:p w14:paraId="45FBCEA2">
            <w:pPr>
              <w:jc w:val="center"/>
            </w:pPr>
            <w:r>
              <w:rPr>
                <w:rFonts w:hint="eastAsia"/>
              </w:rPr>
              <w:t>11</w:t>
            </w:r>
          </w:p>
        </w:tc>
        <w:tc>
          <w:tcPr>
            <w:tcW w:w="1237" w:type="dxa"/>
            <w:noWrap/>
            <w:vAlign w:val="center"/>
          </w:tcPr>
          <w:p w14:paraId="2C9F5A8D">
            <w:pPr>
              <w:jc w:val="center"/>
              <w:rPr>
                <w:rFonts w:ascii="宋体" w:hAnsi="宋体" w:cs="宋体"/>
              </w:rPr>
            </w:pPr>
            <w:r>
              <w:rPr>
                <w:rFonts w:hint="eastAsia" w:cs="宋体"/>
              </w:rPr>
              <w:t>水房</w:t>
            </w:r>
          </w:p>
        </w:tc>
        <w:tc>
          <w:tcPr>
            <w:tcW w:w="3328" w:type="dxa"/>
            <w:noWrap/>
          </w:tcPr>
          <w:p w14:paraId="42CA4236">
            <w:pPr>
              <w:jc w:val="left"/>
              <w:rPr>
                <w:rFonts w:ascii="宋体" w:hAnsi="宋体" w:cs="宋体"/>
              </w:rPr>
            </w:pPr>
            <w:r>
              <w:t>身体健康</w:t>
            </w:r>
            <w:r>
              <w:rPr>
                <w:rFonts w:hint="eastAsia"/>
              </w:rPr>
              <w:t>，工作认真尽责细致，积极主动，服务态度好</w:t>
            </w:r>
          </w:p>
        </w:tc>
        <w:tc>
          <w:tcPr>
            <w:tcW w:w="1690" w:type="dxa"/>
            <w:tcBorders>
              <w:top w:val="single" w:color="auto" w:sz="4" w:space="0"/>
            </w:tcBorders>
            <w:noWrap/>
            <w:vAlign w:val="center"/>
          </w:tcPr>
          <w:p w14:paraId="3C7BF972">
            <w:pPr>
              <w:jc w:val="center"/>
              <w:rPr>
                <w:rFonts w:ascii="宋体" w:hAnsi="宋体" w:cs="宋体"/>
              </w:rPr>
            </w:pPr>
          </w:p>
        </w:tc>
        <w:tc>
          <w:tcPr>
            <w:tcW w:w="1740" w:type="dxa"/>
            <w:noWrap/>
            <w:vAlign w:val="center"/>
          </w:tcPr>
          <w:p w14:paraId="26193363">
            <w:pPr>
              <w:jc w:val="center"/>
            </w:pPr>
            <w:r>
              <w:rPr>
                <w:rFonts w:hint="eastAsia" w:cs="宋体"/>
              </w:rPr>
              <w:t>协助收发室工作</w:t>
            </w:r>
          </w:p>
        </w:tc>
      </w:tr>
    </w:tbl>
    <w:p w14:paraId="48EAFC0A">
      <w:pPr>
        <w:jc w:val="center"/>
      </w:pPr>
    </w:p>
    <w:p w14:paraId="4170C410">
      <w:pPr>
        <w:jc w:val="center"/>
      </w:pPr>
      <w:r>
        <w:t>设备设施管理</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226"/>
        <w:gridCol w:w="2870"/>
        <w:gridCol w:w="2031"/>
        <w:gridCol w:w="1794"/>
      </w:tblGrid>
      <w:tr w14:paraId="6FFDC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noWrap/>
          </w:tcPr>
          <w:p w14:paraId="6314B23D">
            <w:pPr>
              <w:jc w:val="center"/>
            </w:pPr>
            <w:r>
              <w:rPr>
                <w:rFonts w:hint="eastAsia" w:cs="宋体"/>
              </w:rPr>
              <w:t>序号</w:t>
            </w:r>
          </w:p>
        </w:tc>
        <w:tc>
          <w:tcPr>
            <w:tcW w:w="1226" w:type="dxa"/>
            <w:noWrap/>
          </w:tcPr>
          <w:p w14:paraId="4D4B963F">
            <w:pPr>
              <w:jc w:val="center"/>
            </w:pPr>
            <w:r>
              <w:rPr>
                <w:rFonts w:hint="eastAsia" w:cs="宋体"/>
              </w:rPr>
              <w:t>岗位名称</w:t>
            </w:r>
          </w:p>
        </w:tc>
        <w:tc>
          <w:tcPr>
            <w:tcW w:w="2870" w:type="dxa"/>
            <w:noWrap/>
          </w:tcPr>
          <w:p w14:paraId="7BC2F077">
            <w:pPr>
              <w:jc w:val="center"/>
            </w:pPr>
            <w:r>
              <w:rPr>
                <w:rFonts w:hint="eastAsia" w:cs="宋体"/>
              </w:rPr>
              <w:t>人员主要要求</w:t>
            </w:r>
          </w:p>
        </w:tc>
        <w:tc>
          <w:tcPr>
            <w:tcW w:w="2031" w:type="dxa"/>
            <w:noWrap/>
          </w:tcPr>
          <w:p w14:paraId="177E3CBA">
            <w:pPr>
              <w:jc w:val="center"/>
            </w:pPr>
            <w:r>
              <w:rPr>
                <w:rFonts w:hint="eastAsia" w:cs="宋体"/>
              </w:rPr>
              <w:t>特殊物业需求</w:t>
            </w:r>
          </w:p>
        </w:tc>
        <w:tc>
          <w:tcPr>
            <w:tcW w:w="1794" w:type="dxa"/>
            <w:noWrap/>
          </w:tcPr>
          <w:p w14:paraId="2E155E49">
            <w:pPr>
              <w:jc w:val="center"/>
            </w:pPr>
            <w:r>
              <w:rPr>
                <w:rFonts w:hint="eastAsia" w:cs="宋体"/>
              </w:rPr>
              <w:t>备注</w:t>
            </w:r>
          </w:p>
        </w:tc>
      </w:tr>
      <w:tr w14:paraId="4881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14:paraId="37F1467C">
            <w:pPr>
              <w:jc w:val="center"/>
            </w:pPr>
            <w:r>
              <w:t>1</w:t>
            </w:r>
          </w:p>
        </w:tc>
        <w:tc>
          <w:tcPr>
            <w:tcW w:w="1226" w:type="dxa"/>
            <w:noWrap/>
          </w:tcPr>
          <w:p w14:paraId="4320B869">
            <w:pPr>
              <w:jc w:val="center"/>
            </w:pPr>
            <w:r>
              <w:rPr>
                <w:rFonts w:hint="eastAsia" w:cs="宋体"/>
              </w:rPr>
              <w:t>特种设备安全总监</w:t>
            </w:r>
          </w:p>
        </w:tc>
        <w:tc>
          <w:tcPr>
            <w:tcW w:w="2870" w:type="dxa"/>
            <w:noWrap/>
          </w:tcPr>
          <w:p w14:paraId="2C4D5B6D">
            <w:pPr>
              <w:jc w:val="center"/>
            </w:pPr>
            <w:r>
              <w:rPr>
                <w:rFonts w:hint="eastAsia"/>
              </w:rPr>
              <w:t>具有5年以上大型场馆房屋建筑和物业设备管理经验，能够制定设备运行管理制度、应急预案和工作流程，组织协调能力强，有责任心。具有相关专业从业经历和中级职称证书，年龄50周岁以下。如实战经验非常丰富，有很强的沟通协调组织能力的可适当放宽。</w:t>
            </w:r>
          </w:p>
        </w:tc>
        <w:tc>
          <w:tcPr>
            <w:tcW w:w="2031" w:type="dxa"/>
            <w:noWrap/>
            <w:vAlign w:val="center"/>
          </w:tcPr>
          <w:p w14:paraId="59D9ED71">
            <w:pPr>
              <w:tabs>
                <w:tab w:val="left" w:pos="675"/>
              </w:tabs>
              <w:jc w:val="center"/>
              <w:rPr>
                <w:b/>
                <w:bCs/>
              </w:rPr>
            </w:pPr>
            <w:r>
              <w:t>熟悉电梯使用相关法律法规、安全技术规范、标准和本单位电梯安全使用要求；具备识别和防控电梯使用安全风险的专业知识；具备按照相关要求履行职位职责的能力；符合特种设备法律法规和安全技术规范的其它要求。</w:t>
            </w:r>
          </w:p>
        </w:tc>
        <w:tc>
          <w:tcPr>
            <w:tcW w:w="1794" w:type="dxa"/>
            <w:noWrap/>
          </w:tcPr>
          <w:p w14:paraId="23C67855">
            <w:pPr>
              <w:jc w:val="center"/>
            </w:pPr>
            <w:r>
              <w:t>电梯安全总监指使用单位管理负责电梯使用安全的人。</w:t>
            </w:r>
          </w:p>
        </w:tc>
      </w:tr>
      <w:tr w14:paraId="5422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14:paraId="7111AB69">
            <w:pPr>
              <w:jc w:val="center"/>
            </w:pPr>
            <w:r>
              <w:rPr>
                <w:rFonts w:hint="eastAsia"/>
              </w:rPr>
              <w:t>2</w:t>
            </w:r>
          </w:p>
        </w:tc>
        <w:tc>
          <w:tcPr>
            <w:tcW w:w="1226" w:type="dxa"/>
            <w:noWrap/>
          </w:tcPr>
          <w:p w14:paraId="60CD3455">
            <w:pPr>
              <w:jc w:val="center"/>
              <w:rPr>
                <w:rFonts w:cs="宋体"/>
              </w:rPr>
            </w:pPr>
            <w:r>
              <w:rPr>
                <w:rFonts w:hint="eastAsia" w:cs="宋体"/>
              </w:rPr>
              <w:t>电梯管理员</w:t>
            </w:r>
          </w:p>
        </w:tc>
        <w:tc>
          <w:tcPr>
            <w:tcW w:w="2870" w:type="dxa"/>
            <w:noWrap/>
          </w:tcPr>
          <w:p w14:paraId="1AB84A7C">
            <w:pPr>
              <w:jc w:val="center"/>
            </w:pPr>
            <w:r>
              <w:rPr>
                <w:rFonts w:hint="eastAsia" w:ascii="宋体" w:hAnsi="宋体"/>
              </w:rPr>
              <w:t>需要电梯运行安全资格证书，有相关电工资格证书，</w:t>
            </w:r>
            <w:r>
              <w:rPr>
                <w:rFonts w:hint="eastAsia"/>
              </w:rPr>
              <w:t>具有相关工作经验3年以上。</w:t>
            </w:r>
          </w:p>
        </w:tc>
        <w:tc>
          <w:tcPr>
            <w:tcW w:w="2031" w:type="dxa"/>
            <w:noWrap/>
            <w:vAlign w:val="center"/>
          </w:tcPr>
          <w:p w14:paraId="28B3F2B7">
            <w:pPr>
              <w:tabs>
                <w:tab w:val="left" w:pos="675"/>
              </w:tabs>
            </w:pPr>
            <w:r>
              <w:t>熟悉电梯使用相关法律法规、安全技术规范、标准和本单位电梯安全使用要求；具备识别和防控电梯使用安全风险的专业知识；具备按照相关要求履行职位职责的能力；符合特种设备法律法规和安全。</w:t>
            </w:r>
          </w:p>
        </w:tc>
        <w:tc>
          <w:tcPr>
            <w:tcW w:w="1794" w:type="dxa"/>
            <w:noWrap/>
          </w:tcPr>
          <w:p w14:paraId="7FC58B3D">
            <w:pPr>
              <w:jc w:val="center"/>
              <w:rPr>
                <w:rFonts w:cs="宋体"/>
              </w:rPr>
            </w:pPr>
          </w:p>
        </w:tc>
      </w:tr>
      <w:tr w14:paraId="219C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14:paraId="41B0A7C8">
            <w:pPr>
              <w:jc w:val="center"/>
            </w:pPr>
            <w:r>
              <w:rPr>
                <w:rFonts w:hint="eastAsia"/>
              </w:rPr>
              <w:t>3</w:t>
            </w:r>
          </w:p>
        </w:tc>
        <w:tc>
          <w:tcPr>
            <w:tcW w:w="1226" w:type="dxa"/>
            <w:noWrap/>
          </w:tcPr>
          <w:p w14:paraId="1F40BA1A">
            <w:pPr>
              <w:jc w:val="center"/>
              <w:rPr>
                <w:rFonts w:cs="宋体"/>
              </w:rPr>
            </w:pPr>
            <w:r>
              <w:rPr>
                <w:rFonts w:hint="eastAsia" w:cs="宋体"/>
              </w:rPr>
              <w:t>物业报修服务</w:t>
            </w:r>
          </w:p>
        </w:tc>
        <w:tc>
          <w:tcPr>
            <w:tcW w:w="2870" w:type="dxa"/>
            <w:noWrap/>
          </w:tcPr>
          <w:p w14:paraId="254AB382">
            <w:pPr>
              <w:jc w:val="center"/>
              <w:rPr>
                <w:rFonts w:cs="宋体"/>
              </w:rPr>
            </w:pPr>
            <w:r>
              <w:rPr>
                <w:rFonts w:hint="eastAsia"/>
              </w:rPr>
              <w:t>大专以上学历，女、形象佳，责任心强，普通话流利，身体健康，持健康证，具有相关工作经验3年以上。</w:t>
            </w:r>
          </w:p>
        </w:tc>
        <w:tc>
          <w:tcPr>
            <w:tcW w:w="2031" w:type="dxa"/>
            <w:noWrap/>
          </w:tcPr>
          <w:p w14:paraId="4DC5BAC4">
            <w:pPr>
              <w:tabs>
                <w:tab w:val="left" w:pos="675"/>
              </w:tabs>
              <w:jc w:val="center"/>
            </w:pPr>
          </w:p>
        </w:tc>
        <w:tc>
          <w:tcPr>
            <w:tcW w:w="1794" w:type="dxa"/>
            <w:noWrap/>
          </w:tcPr>
          <w:p w14:paraId="6F7BF2FC">
            <w:pPr>
              <w:jc w:val="center"/>
              <w:rPr>
                <w:rFonts w:cs="宋体"/>
              </w:rPr>
            </w:pPr>
          </w:p>
        </w:tc>
      </w:tr>
      <w:tr w14:paraId="4B41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14:paraId="2D9366CB">
            <w:pPr>
              <w:jc w:val="center"/>
            </w:pPr>
            <w:r>
              <w:rPr>
                <w:rFonts w:hint="eastAsia"/>
              </w:rPr>
              <w:t>4</w:t>
            </w:r>
          </w:p>
        </w:tc>
        <w:tc>
          <w:tcPr>
            <w:tcW w:w="1226" w:type="dxa"/>
            <w:noWrap/>
          </w:tcPr>
          <w:p w14:paraId="4C823589">
            <w:pPr>
              <w:jc w:val="center"/>
              <w:rPr>
                <w:rFonts w:cs="宋体"/>
              </w:rPr>
            </w:pPr>
            <w:r>
              <w:rPr>
                <w:rFonts w:hint="eastAsia" w:cs="宋体"/>
              </w:rPr>
              <w:t>高配间值班电工（24H）</w:t>
            </w:r>
          </w:p>
        </w:tc>
        <w:tc>
          <w:tcPr>
            <w:tcW w:w="2870" w:type="dxa"/>
            <w:noWrap/>
          </w:tcPr>
          <w:p w14:paraId="5FABE86F">
            <w:pPr>
              <w:jc w:val="center"/>
            </w:pPr>
            <w:r>
              <w:rPr>
                <w:rFonts w:hint="eastAsia" w:ascii="宋体" w:hAnsi="宋体"/>
              </w:rPr>
              <w:t>持有高压电工上岗证书，</w:t>
            </w:r>
            <w:r>
              <w:rPr>
                <w:rFonts w:hint="eastAsia"/>
              </w:rPr>
              <w:t>具有相关工作经验3年以上。</w:t>
            </w:r>
          </w:p>
        </w:tc>
        <w:tc>
          <w:tcPr>
            <w:tcW w:w="2031" w:type="dxa"/>
            <w:noWrap/>
          </w:tcPr>
          <w:p w14:paraId="6CA8E018">
            <w:pPr>
              <w:tabs>
                <w:tab w:val="left" w:pos="675"/>
              </w:tabs>
              <w:jc w:val="center"/>
            </w:pPr>
            <w:r>
              <w:rPr>
                <w:rFonts w:hint="eastAsia" w:cs="宋体"/>
              </w:rPr>
              <w:t>高压配电间</w:t>
            </w:r>
            <w:r>
              <w:t>24</w:t>
            </w:r>
            <w:r>
              <w:rPr>
                <w:rFonts w:hint="eastAsia" w:cs="宋体"/>
              </w:rPr>
              <w:t>小时值班，12小时</w:t>
            </w:r>
            <w:r>
              <w:t>1</w:t>
            </w:r>
            <w:r>
              <w:rPr>
                <w:rFonts w:hint="eastAsia" w:cs="宋体"/>
              </w:rPr>
              <w:t>班，每班</w:t>
            </w:r>
            <w:r>
              <w:t>2</w:t>
            </w:r>
            <w:r>
              <w:rPr>
                <w:rFonts w:hint="eastAsia" w:cs="宋体"/>
              </w:rPr>
              <w:t>人</w:t>
            </w:r>
            <w:r>
              <w:t>2</w:t>
            </w:r>
            <w:r>
              <w:rPr>
                <w:rFonts w:hint="eastAsia" w:cs="宋体"/>
              </w:rPr>
              <w:t>岗</w:t>
            </w:r>
          </w:p>
        </w:tc>
        <w:tc>
          <w:tcPr>
            <w:tcW w:w="1794" w:type="dxa"/>
            <w:noWrap/>
          </w:tcPr>
          <w:p w14:paraId="113EDAB3">
            <w:pPr>
              <w:jc w:val="center"/>
              <w:rPr>
                <w:rFonts w:cs="宋体"/>
              </w:rPr>
            </w:pPr>
          </w:p>
        </w:tc>
      </w:tr>
      <w:tr w14:paraId="7A40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14:paraId="56423941">
            <w:pPr>
              <w:jc w:val="center"/>
            </w:pPr>
            <w:r>
              <w:rPr>
                <w:rFonts w:hint="eastAsia"/>
              </w:rPr>
              <w:t>5</w:t>
            </w:r>
          </w:p>
        </w:tc>
        <w:tc>
          <w:tcPr>
            <w:tcW w:w="1226" w:type="dxa"/>
            <w:noWrap/>
          </w:tcPr>
          <w:p w14:paraId="227161B7">
            <w:pPr>
              <w:jc w:val="center"/>
              <w:rPr>
                <w:rFonts w:cs="宋体"/>
              </w:rPr>
            </w:pPr>
            <w:r>
              <w:rPr>
                <w:rFonts w:hint="eastAsia" w:cs="宋体"/>
              </w:rPr>
              <w:t>维修电工</w:t>
            </w:r>
          </w:p>
        </w:tc>
        <w:tc>
          <w:tcPr>
            <w:tcW w:w="2870" w:type="dxa"/>
            <w:noWrap/>
          </w:tcPr>
          <w:p w14:paraId="04DD4AA8">
            <w:pPr>
              <w:jc w:val="center"/>
            </w:pPr>
            <w:r>
              <w:rPr>
                <w:rFonts w:hint="eastAsia" w:cs="宋体"/>
              </w:rPr>
              <w:t>持有相关低压电工上岗证书，</w:t>
            </w:r>
            <w:r>
              <w:rPr>
                <w:rFonts w:hint="eastAsia"/>
              </w:rPr>
              <w:t>具有相关工作经验3年以上</w:t>
            </w:r>
            <w:r>
              <w:rPr>
                <w:rFonts w:hint="eastAsia" w:cs="宋体"/>
              </w:rPr>
              <w:t>。</w:t>
            </w:r>
          </w:p>
        </w:tc>
        <w:tc>
          <w:tcPr>
            <w:tcW w:w="2031" w:type="dxa"/>
            <w:noWrap/>
          </w:tcPr>
          <w:p w14:paraId="0E02ECF1">
            <w:pPr>
              <w:tabs>
                <w:tab w:val="left" w:pos="675"/>
              </w:tabs>
              <w:jc w:val="center"/>
            </w:pPr>
            <w:r>
              <w:t>上午</w:t>
            </w:r>
            <w:r>
              <w:rPr>
                <w:rFonts w:hint="eastAsia"/>
              </w:rPr>
              <w:t>8-下午20点，做一休一。</w:t>
            </w:r>
          </w:p>
        </w:tc>
        <w:tc>
          <w:tcPr>
            <w:tcW w:w="1794" w:type="dxa"/>
            <w:noWrap/>
          </w:tcPr>
          <w:p w14:paraId="6F75420D">
            <w:pPr>
              <w:jc w:val="center"/>
              <w:rPr>
                <w:rFonts w:cs="宋体"/>
              </w:rPr>
            </w:pPr>
          </w:p>
        </w:tc>
      </w:tr>
      <w:tr w14:paraId="1A43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14:paraId="5EA49ECA">
            <w:pPr>
              <w:jc w:val="center"/>
            </w:pPr>
            <w:r>
              <w:rPr>
                <w:rFonts w:hint="eastAsia"/>
              </w:rPr>
              <w:t>6</w:t>
            </w:r>
          </w:p>
        </w:tc>
        <w:tc>
          <w:tcPr>
            <w:tcW w:w="1226" w:type="dxa"/>
            <w:noWrap/>
            <w:vAlign w:val="center"/>
          </w:tcPr>
          <w:p w14:paraId="51EDC5EA">
            <w:pPr>
              <w:jc w:val="center"/>
              <w:rPr>
                <w:rFonts w:cs="宋体"/>
              </w:rPr>
            </w:pPr>
            <w:r>
              <w:rPr>
                <w:rFonts w:hint="eastAsia" w:cs="宋体"/>
              </w:rPr>
              <w:t>建筑给排水维修工</w:t>
            </w:r>
          </w:p>
        </w:tc>
        <w:tc>
          <w:tcPr>
            <w:tcW w:w="2870" w:type="dxa"/>
            <w:noWrap/>
          </w:tcPr>
          <w:p w14:paraId="4E557C35">
            <w:pPr>
              <w:jc w:val="center"/>
              <w:rPr>
                <w:rFonts w:cs="宋体"/>
              </w:rPr>
            </w:pPr>
            <w:r>
              <w:rPr>
                <w:rFonts w:hint="eastAsia" w:cs="宋体"/>
              </w:rPr>
              <w:t>身体健康，具有给排水系统</w:t>
            </w:r>
            <w:r>
              <w:t>3</w:t>
            </w:r>
            <w:r>
              <w:rPr>
                <w:rFonts w:hint="eastAsia" w:cs="宋体"/>
              </w:rPr>
              <w:t>年以上从业经历，处事认真，具有给排水维修相关技能。</w:t>
            </w:r>
          </w:p>
        </w:tc>
        <w:tc>
          <w:tcPr>
            <w:tcW w:w="2031" w:type="dxa"/>
            <w:noWrap/>
          </w:tcPr>
          <w:p w14:paraId="328254BE">
            <w:pPr>
              <w:tabs>
                <w:tab w:val="left" w:pos="675"/>
              </w:tabs>
              <w:jc w:val="center"/>
            </w:pPr>
          </w:p>
        </w:tc>
        <w:tc>
          <w:tcPr>
            <w:tcW w:w="1794" w:type="dxa"/>
            <w:noWrap/>
          </w:tcPr>
          <w:p w14:paraId="03FB945F">
            <w:pPr>
              <w:jc w:val="center"/>
              <w:rPr>
                <w:rFonts w:cs="宋体"/>
              </w:rPr>
            </w:pPr>
          </w:p>
        </w:tc>
      </w:tr>
      <w:tr w14:paraId="270E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14:paraId="42592C6B">
            <w:pPr>
              <w:jc w:val="center"/>
            </w:pPr>
            <w:r>
              <w:rPr>
                <w:rFonts w:hint="eastAsia"/>
              </w:rPr>
              <w:t>7</w:t>
            </w:r>
          </w:p>
        </w:tc>
        <w:tc>
          <w:tcPr>
            <w:tcW w:w="1226" w:type="dxa"/>
            <w:noWrap/>
          </w:tcPr>
          <w:p w14:paraId="0B20B757">
            <w:pPr>
              <w:jc w:val="center"/>
              <w:rPr>
                <w:rFonts w:cs="宋体"/>
              </w:rPr>
            </w:pPr>
            <w:r>
              <w:rPr>
                <w:rFonts w:hint="eastAsia" w:cs="宋体"/>
              </w:rPr>
              <w:t>暖通运行维修工</w:t>
            </w:r>
          </w:p>
        </w:tc>
        <w:tc>
          <w:tcPr>
            <w:tcW w:w="2870" w:type="dxa"/>
            <w:noWrap/>
          </w:tcPr>
          <w:p w14:paraId="7BC7FF07">
            <w:pPr>
              <w:jc w:val="center"/>
              <w:rPr>
                <w:rFonts w:cs="宋体"/>
              </w:rPr>
            </w:pPr>
            <w:r>
              <w:rPr>
                <w:rFonts w:hint="eastAsia"/>
              </w:rPr>
              <w:t>熟练掌握物业暖通设备操作技能，持有制冷与空调作业上岗证，具有相关工作经验3年以上。</w:t>
            </w:r>
          </w:p>
        </w:tc>
        <w:tc>
          <w:tcPr>
            <w:tcW w:w="2031" w:type="dxa"/>
            <w:noWrap/>
          </w:tcPr>
          <w:p w14:paraId="2E08087B">
            <w:pPr>
              <w:tabs>
                <w:tab w:val="left" w:pos="675"/>
              </w:tabs>
              <w:jc w:val="center"/>
            </w:pPr>
          </w:p>
        </w:tc>
        <w:tc>
          <w:tcPr>
            <w:tcW w:w="1794" w:type="dxa"/>
            <w:noWrap/>
          </w:tcPr>
          <w:p w14:paraId="5D61B64F">
            <w:pPr>
              <w:jc w:val="center"/>
              <w:rPr>
                <w:rFonts w:cs="宋体"/>
              </w:rPr>
            </w:pPr>
          </w:p>
        </w:tc>
      </w:tr>
      <w:tr w14:paraId="7ED7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14:paraId="5A76DB55">
            <w:pPr>
              <w:jc w:val="center"/>
            </w:pPr>
            <w:r>
              <w:rPr>
                <w:rFonts w:hint="eastAsia"/>
              </w:rPr>
              <w:t>8</w:t>
            </w:r>
          </w:p>
        </w:tc>
        <w:tc>
          <w:tcPr>
            <w:tcW w:w="1226" w:type="dxa"/>
            <w:noWrap/>
          </w:tcPr>
          <w:p w14:paraId="19F85BE1">
            <w:pPr>
              <w:jc w:val="center"/>
              <w:rPr>
                <w:rFonts w:cs="宋体"/>
              </w:rPr>
            </w:pPr>
            <w:r>
              <w:rPr>
                <w:rFonts w:hint="eastAsia" w:cs="宋体"/>
              </w:rPr>
              <w:t>中央机房机组运行值班工（24H）</w:t>
            </w:r>
          </w:p>
        </w:tc>
        <w:tc>
          <w:tcPr>
            <w:tcW w:w="2870" w:type="dxa"/>
            <w:noWrap/>
          </w:tcPr>
          <w:p w14:paraId="7A096C1A">
            <w:pPr>
              <w:jc w:val="center"/>
              <w:rPr>
                <w:rFonts w:cs="宋体"/>
              </w:rPr>
            </w:pPr>
            <w:r>
              <w:rPr>
                <w:rFonts w:hint="eastAsia"/>
              </w:rPr>
              <w:t>熟练掌握物业暖通设备操作技能，持有制冷与空调作业上岗证，具有相关工作经验3年以上。</w:t>
            </w:r>
          </w:p>
        </w:tc>
        <w:tc>
          <w:tcPr>
            <w:tcW w:w="2031" w:type="dxa"/>
            <w:noWrap/>
          </w:tcPr>
          <w:p w14:paraId="15DD3706">
            <w:pPr>
              <w:tabs>
                <w:tab w:val="left" w:pos="675"/>
              </w:tabs>
              <w:jc w:val="center"/>
            </w:pPr>
            <w:r>
              <w:rPr>
                <w:rFonts w:hint="eastAsia"/>
              </w:rPr>
              <w:t>中央机房24小时值班，12小时1班，每班1人1岗。</w:t>
            </w:r>
          </w:p>
        </w:tc>
        <w:tc>
          <w:tcPr>
            <w:tcW w:w="1794" w:type="dxa"/>
            <w:noWrap/>
          </w:tcPr>
          <w:p w14:paraId="4BAB4E28">
            <w:pPr>
              <w:jc w:val="center"/>
              <w:rPr>
                <w:rFonts w:cs="宋体"/>
              </w:rPr>
            </w:pPr>
          </w:p>
        </w:tc>
      </w:tr>
      <w:tr w14:paraId="3156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14:paraId="69999D0E">
            <w:pPr>
              <w:jc w:val="center"/>
            </w:pPr>
            <w:r>
              <w:rPr>
                <w:rFonts w:hint="eastAsia"/>
              </w:rPr>
              <w:t>9</w:t>
            </w:r>
          </w:p>
        </w:tc>
        <w:tc>
          <w:tcPr>
            <w:tcW w:w="1226" w:type="dxa"/>
            <w:noWrap/>
          </w:tcPr>
          <w:p w14:paraId="6C4F7070">
            <w:pPr>
              <w:jc w:val="center"/>
              <w:rPr>
                <w:rFonts w:cs="宋体"/>
              </w:rPr>
            </w:pPr>
            <w:r>
              <w:rPr>
                <w:rFonts w:hint="eastAsia" w:cs="宋体"/>
              </w:rPr>
              <w:t>多媒体展项管理人员</w:t>
            </w:r>
          </w:p>
        </w:tc>
        <w:tc>
          <w:tcPr>
            <w:tcW w:w="2870" w:type="dxa"/>
            <w:noWrap/>
          </w:tcPr>
          <w:p w14:paraId="763C6BE2">
            <w:pPr>
              <w:jc w:val="left"/>
            </w:pPr>
            <w:r>
              <w:rPr>
                <w:rFonts w:hint="eastAsia"/>
              </w:rPr>
              <w:t>1．负责中海博多媒体展项日常管理和维护保养。</w:t>
            </w:r>
          </w:p>
          <w:p w14:paraId="01840BDC">
            <w:pPr>
              <w:jc w:val="left"/>
            </w:pPr>
            <w:r>
              <w:rPr>
                <w:rFonts w:hint="eastAsia"/>
              </w:rPr>
              <w:t>2．对中海博多媒体展项实施开关机、健康巡检、安全检查、除尘除灰等常规性工作，对存在的隐患和故障问题，采取有效措施进行处置。</w:t>
            </w:r>
          </w:p>
          <w:p w14:paraId="74BCD194">
            <w:pPr>
              <w:jc w:val="left"/>
            </w:pPr>
            <w:r>
              <w:rPr>
                <w:rFonts w:hint="eastAsia"/>
              </w:rPr>
              <w:t>3．对中海博多媒体展项实施维护保养，包括硬件故障排查或更换、软件更新升级、数据恢复备份等工作，确保展项安全可靠运行。</w:t>
            </w:r>
          </w:p>
          <w:p w14:paraId="0F1AFC87">
            <w:pPr>
              <w:jc w:val="left"/>
            </w:pPr>
            <w:r>
              <w:rPr>
                <w:rFonts w:hint="eastAsia"/>
              </w:rPr>
              <w:t>4．完成全馆区域内设备机房及设备的安全巡查工作。</w:t>
            </w:r>
          </w:p>
          <w:p w14:paraId="1D60D491">
            <w:pPr>
              <w:jc w:val="left"/>
            </w:pPr>
            <w:r>
              <w:rPr>
                <w:rFonts w:hint="eastAsia"/>
              </w:rPr>
              <w:t>5．完成领导交办的其他任务。</w:t>
            </w:r>
          </w:p>
        </w:tc>
        <w:tc>
          <w:tcPr>
            <w:tcW w:w="2031" w:type="dxa"/>
            <w:noWrap/>
          </w:tcPr>
          <w:p w14:paraId="39DB5407">
            <w:pPr>
              <w:tabs>
                <w:tab w:val="left" w:pos="675"/>
              </w:tabs>
              <w:jc w:val="center"/>
            </w:pPr>
            <w:r>
              <w:rPr>
                <w:rFonts w:hint="eastAsia"/>
              </w:rPr>
              <w:t>1．</w:t>
            </w:r>
            <w:r>
              <w:rPr>
                <w:rFonts w:hint="eastAsia" w:cs="宋体"/>
              </w:rPr>
              <w:t>持有低压电工上岗证书</w:t>
            </w:r>
            <w:r>
              <w:rPr>
                <w:rFonts w:hint="eastAsia"/>
              </w:rPr>
              <w:t>。</w:t>
            </w:r>
          </w:p>
          <w:p w14:paraId="42197179">
            <w:pPr>
              <w:tabs>
                <w:tab w:val="left" w:pos="675"/>
              </w:tabs>
              <w:jc w:val="center"/>
            </w:pPr>
            <w:r>
              <w:rPr>
                <w:rFonts w:hint="eastAsia"/>
              </w:rPr>
              <w:t>2．熟悉主流多媒体展示设备的使用特点和应用技术。</w:t>
            </w:r>
          </w:p>
          <w:p w14:paraId="1F630A96">
            <w:pPr>
              <w:tabs>
                <w:tab w:val="left" w:pos="675"/>
              </w:tabs>
              <w:jc w:val="center"/>
            </w:pPr>
            <w:r>
              <w:rPr>
                <w:rFonts w:hint="eastAsia"/>
              </w:rPr>
              <w:t>3．具有相关工作经验3年以上。，能独立排查多媒体故障并解决问题</w:t>
            </w:r>
          </w:p>
          <w:p w14:paraId="130F51B2">
            <w:pPr>
              <w:tabs>
                <w:tab w:val="left" w:pos="675"/>
              </w:tabs>
              <w:jc w:val="center"/>
            </w:pPr>
            <w:r>
              <w:rPr>
                <w:rFonts w:hint="eastAsia"/>
              </w:rPr>
              <w:t>4．节假日需上岗</w:t>
            </w:r>
          </w:p>
        </w:tc>
        <w:tc>
          <w:tcPr>
            <w:tcW w:w="1794" w:type="dxa"/>
            <w:noWrap/>
          </w:tcPr>
          <w:p w14:paraId="228A046E">
            <w:pPr>
              <w:jc w:val="center"/>
            </w:pPr>
          </w:p>
        </w:tc>
      </w:tr>
      <w:tr w14:paraId="1D949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1" w:type="dxa"/>
            <w:noWrap/>
          </w:tcPr>
          <w:p w14:paraId="58E8FFEB">
            <w:pPr>
              <w:jc w:val="center"/>
            </w:pPr>
            <w:r>
              <w:rPr>
                <w:rFonts w:hint="eastAsia"/>
              </w:rPr>
              <w:t>10</w:t>
            </w:r>
          </w:p>
        </w:tc>
        <w:tc>
          <w:tcPr>
            <w:tcW w:w="1226" w:type="dxa"/>
            <w:noWrap/>
          </w:tcPr>
          <w:p w14:paraId="4E8B5A4F">
            <w:pPr>
              <w:jc w:val="center"/>
              <w:rPr>
                <w:rFonts w:cs="宋体"/>
              </w:rPr>
            </w:pPr>
            <w:r>
              <w:rPr>
                <w:rFonts w:hint="eastAsia" w:cs="宋体"/>
              </w:rPr>
              <w:t>弱电系统操作人员</w:t>
            </w:r>
          </w:p>
        </w:tc>
        <w:tc>
          <w:tcPr>
            <w:tcW w:w="2870" w:type="dxa"/>
            <w:noWrap/>
          </w:tcPr>
          <w:p w14:paraId="7717B27E">
            <w:pPr>
              <w:jc w:val="left"/>
            </w:pPr>
            <w:r>
              <w:rPr>
                <w:rFonts w:hint="eastAsia"/>
              </w:rPr>
              <w:t>1．负责中海博弱电系统（楼宇自控系统、电话系统、应急广播及应急电源系统、对讲机系统、音响扩音等）的巡查记录工作，对存在的隐患和故障问题，采取初步安全处置。</w:t>
            </w:r>
          </w:p>
          <w:p w14:paraId="0D579989">
            <w:pPr>
              <w:jc w:val="left"/>
            </w:pPr>
            <w:r>
              <w:rPr>
                <w:rFonts w:hint="eastAsia"/>
              </w:rPr>
              <w:t>2．熟悉网络、电话等综合布线规范和要求。</w:t>
            </w:r>
          </w:p>
          <w:p w14:paraId="14AD4097">
            <w:pPr>
              <w:jc w:val="left"/>
            </w:pPr>
            <w:r>
              <w:rPr>
                <w:rFonts w:hint="eastAsia"/>
              </w:rPr>
              <w:t>3．对弱电系统出现的故障进行简单排查和检修，并会同第三方运维公司对弱电系统进行维护保养，做好记录。</w:t>
            </w:r>
          </w:p>
          <w:p w14:paraId="706E2A40">
            <w:pPr>
              <w:jc w:val="center"/>
            </w:pPr>
            <w:r>
              <w:rPr>
                <w:rFonts w:hint="eastAsia"/>
              </w:rPr>
              <w:t>4．完成领导交办的其他任务。</w:t>
            </w:r>
          </w:p>
        </w:tc>
        <w:tc>
          <w:tcPr>
            <w:tcW w:w="2031" w:type="dxa"/>
            <w:noWrap/>
          </w:tcPr>
          <w:p w14:paraId="39FDB56C">
            <w:pPr>
              <w:jc w:val="center"/>
            </w:pPr>
            <w:r>
              <w:rPr>
                <w:rFonts w:hint="eastAsia"/>
              </w:rPr>
              <w:t>1．</w:t>
            </w:r>
            <w:r>
              <w:rPr>
                <w:rFonts w:hint="eastAsia" w:cs="宋体"/>
              </w:rPr>
              <w:t>持有低压电工上岗证书</w:t>
            </w:r>
            <w:r>
              <w:rPr>
                <w:rFonts w:hint="eastAsia"/>
              </w:rPr>
              <w:t>。</w:t>
            </w:r>
          </w:p>
          <w:p w14:paraId="107D5BA9">
            <w:pPr>
              <w:jc w:val="center"/>
            </w:pPr>
            <w:r>
              <w:rPr>
                <w:rFonts w:hint="eastAsia"/>
              </w:rPr>
              <w:t>2．具有相关工作经验3年以上。</w:t>
            </w:r>
          </w:p>
        </w:tc>
        <w:tc>
          <w:tcPr>
            <w:tcW w:w="1794" w:type="dxa"/>
            <w:noWrap/>
            <w:vAlign w:val="center"/>
          </w:tcPr>
          <w:p w14:paraId="0A3DB0B5">
            <w:pPr>
              <w:rPr>
                <w:b/>
                <w:bCs/>
                <w:kern w:val="44"/>
                <w:sz w:val="44"/>
                <w:szCs w:val="44"/>
              </w:rPr>
            </w:pPr>
          </w:p>
        </w:tc>
      </w:tr>
    </w:tbl>
    <w:p w14:paraId="5329A0B2">
      <w:pPr>
        <w:jc w:val="center"/>
      </w:pPr>
    </w:p>
    <w:p w14:paraId="6B91DB62">
      <w:pPr>
        <w:jc w:val="center"/>
      </w:pPr>
      <w:r>
        <w:t>环境保洁管理</w:t>
      </w:r>
    </w:p>
    <w:tbl>
      <w:tblPr>
        <w:tblStyle w:val="9"/>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34"/>
        <w:gridCol w:w="3794"/>
        <w:gridCol w:w="1243"/>
        <w:gridCol w:w="1648"/>
      </w:tblGrid>
      <w:tr w14:paraId="4784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noWrap/>
          </w:tcPr>
          <w:p w14:paraId="7973715F">
            <w:pPr>
              <w:jc w:val="center"/>
            </w:pPr>
            <w:r>
              <w:rPr>
                <w:rFonts w:hint="eastAsia" w:cs="宋体"/>
              </w:rPr>
              <w:t>序号</w:t>
            </w:r>
          </w:p>
        </w:tc>
        <w:tc>
          <w:tcPr>
            <w:tcW w:w="1234" w:type="dxa"/>
            <w:noWrap/>
          </w:tcPr>
          <w:p w14:paraId="13A3D989">
            <w:pPr>
              <w:jc w:val="center"/>
            </w:pPr>
            <w:r>
              <w:rPr>
                <w:rFonts w:hint="eastAsia" w:cs="宋体"/>
              </w:rPr>
              <w:t>岗位名称</w:t>
            </w:r>
          </w:p>
        </w:tc>
        <w:tc>
          <w:tcPr>
            <w:tcW w:w="3794" w:type="dxa"/>
            <w:noWrap/>
          </w:tcPr>
          <w:p w14:paraId="671FC209">
            <w:pPr>
              <w:jc w:val="center"/>
            </w:pPr>
            <w:r>
              <w:rPr>
                <w:rFonts w:hint="eastAsia" w:cs="宋体"/>
              </w:rPr>
              <w:t>人员主要要求</w:t>
            </w:r>
          </w:p>
        </w:tc>
        <w:tc>
          <w:tcPr>
            <w:tcW w:w="1243" w:type="dxa"/>
            <w:noWrap/>
          </w:tcPr>
          <w:p w14:paraId="46AF13D4">
            <w:pPr>
              <w:jc w:val="center"/>
            </w:pPr>
            <w:r>
              <w:rPr>
                <w:rFonts w:hint="eastAsia" w:cs="宋体"/>
              </w:rPr>
              <w:t>特殊物业需求</w:t>
            </w:r>
          </w:p>
        </w:tc>
        <w:tc>
          <w:tcPr>
            <w:tcW w:w="1648" w:type="dxa"/>
            <w:noWrap/>
          </w:tcPr>
          <w:p w14:paraId="1516FD78">
            <w:pPr>
              <w:jc w:val="center"/>
            </w:pPr>
            <w:r>
              <w:rPr>
                <w:rFonts w:hint="eastAsia" w:cs="宋体"/>
              </w:rPr>
              <w:t>备注</w:t>
            </w:r>
          </w:p>
        </w:tc>
      </w:tr>
      <w:tr w14:paraId="5B22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36" w:type="dxa"/>
            <w:noWrap/>
          </w:tcPr>
          <w:p w14:paraId="2631A5EC">
            <w:pPr>
              <w:jc w:val="center"/>
            </w:pPr>
            <w:r>
              <w:rPr>
                <w:rFonts w:hint="eastAsia"/>
              </w:rPr>
              <w:t>1</w:t>
            </w:r>
          </w:p>
        </w:tc>
        <w:tc>
          <w:tcPr>
            <w:tcW w:w="1234" w:type="dxa"/>
            <w:noWrap/>
          </w:tcPr>
          <w:p w14:paraId="105ED5AE">
            <w:pPr>
              <w:jc w:val="center"/>
            </w:pPr>
            <w:r>
              <w:rPr>
                <w:rFonts w:hint="eastAsia" w:cs="宋体"/>
              </w:rPr>
              <w:t>环境质量员</w:t>
            </w:r>
          </w:p>
        </w:tc>
        <w:tc>
          <w:tcPr>
            <w:tcW w:w="3794" w:type="dxa"/>
            <w:noWrap/>
          </w:tcPr>
          <w:p w14:paraId="449D6641">
            <w:pPr>
              <w:jc w:val="center"/>
            </w:pPr>
            <w:r>
              <w:rPr>
                <w:rFonts w:hint="eastAsia" w:cs="宋体"/>
              </w:rPr>
              <w:t>大专及以上学历，身体健康，</w:t>
            </w:r>
            <w:r>
              <w:t>50</w:t>
            </w:r>
            <w:r>
              <w:rPr>
                <w:rFonts w:hint="eastAsia" w:cs="宋体"/>
              </w:rPr>
              <w:t>周岁以下，具有</w:t>
            </w:r>
            <w:r>
              <w:t>5</w:t>
            </w:r>
            <w:r>
              <w:rPr>
                <w:rFonts w:hint="eastAsia" w:cs="宋体"/>
              </w:rPr>
              <w:t>年以上类似场馆工作经验。</w:t>
            </w:r>
          </w:p>
        </w:tc>
        <w:tc>
          <w:tcPr>
            <w:tcW w:w="1243" w:type="dxa"/>
            <w:noWrap/>
          </w:tcPr>
          <w:p w14:paraId="0CA6F5E6">
            <w:pPr>
              <w:jc w:val="center"/>
            </w:pPr>
          </w:p>
        </w:tc>
        <w:tc>
          <w:tcPr>
            <w:tcW w:w="1648" w:type="dxa"/>
            <w:noWrap/>
          </w:tcPr>
          <w:p w14:paraId="355BBC1A">
            <w:pPr>
              <w:jc w:val="center"/>
            </w:pPr>
            <w:r>
              <w:rPr>
                <w:rFonts w:hint="eastAsia" w:cs="宋体"/>
              </w:rPr>
              <w:t>做一休一</w:t>
            </w:r>
          </w:p>
        </w:tc>
      </w:tr>
      <w:tr w14:paraId="227D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14:paraId="4AF3756D">
            <w:pPr>
              <w:jc w:val="center"/>
            </w:pPr>
            <w:r>
              <w:rPr>
                <w:rFonts w:hint="eastAsia"/>
              </w:rPr>
              <w:t>2</w:t>
            </w:r>
          </w:p>
        </w:tc>
        <w:tc>
          <w:tcPr>
            <w:tcW w:w="1234" w:type="dxa"/>
            <w:noWrap/>
          </w:tcPr>
          <w:p w14:paraId="1B7B9463">
            <w:pPr>
              <w:jc w:val="center"/>
            </w:pPr>
            <w:r>
              <w:rPr>
                <w:rFonts w:hint="eastAsia" w:cs="宋体"/>
              </w:rPr>
              <w:t>一层展区保洁员</w:t>
            </w:r>
          </w:p>
        </w:tc>
        <w:tc>
          <w:tcPr>
            <w:tcW w:w="3794" w:type="dxa"/>
            <w:noWrap/>
          </w:tcPr>
          <w:p w14:paraId="76DAB2EC">
            <w:pPr>
              <w:jc w:val="center"/>
            </w:pPr>
            <w:r>
              <w:rPr>
                <w:rFonts w:hint="eastAsia" w:cs="宋体"/>
              </w:rPr>
              <w:t>身体健康，</w:t>
            </w:r>
            <w:r>
              <w:t>50</w:t>
            </w:r>
            <w:r>
              <w:rPr>
                <w:rFonts w:hint="eastAsia" w:cs="宋体"/>
              </w:rPr>
              <w:t>周岁以下，具有相关保洁经验。</w:t>
            </w:r>
          </w:p>
        </w:tc>
        <w:tc>
          <w:tcPr>
            <w:tcW w:w="1243" w:type="dxa"/>
            <w:noWrap/>
          </w:tcPr>
          <w:p w14:paraId="113F88E2">
            <w:pPr>
              <w:jc w:val="center"/>
            </w:pPr>
          </w:p>
        </w:tc>
        <w:tc>
          <w:tcPr>
            <w:tcW w:w="1648" w:type="dxa"/>
            <w:noWrap/>
          </w:tcPr>
          <w:p w14:paraId="1709E20D">
            <w:pPr>
              <w:jc w:val="center"/>
            </w:pPr>
            <w:r>
              <w:rPr>
                <w:rFonts w:hint="eastAsia" w:cs="宋体"/>
              </w:rPr>
              <w:t>做一休一</w:t>
            </w:r>
          </w:p>
        </w:tc>
      </w:tr>
      <w:tr w14:paraId="0673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14:paraId="6429AD75">
            <w:pPr>
              <w:jc w:val="center"/>
            </w:pPr>
            <w:r>
              <w:rPr>
                <w:rFonts w:hint="eastAsia"/>
              </w:rPr>
              <w:t>3</w:t>
            </w:r>
          </w:p>
        </w:tc>
        <w:tc>
          <w:tcPr>
            <w:tcW w:w="1234" w:type="dxa"/>
            <w:noWrap/>
          </w:tcPr>
          <w:p w14:paraId="3A2A1FCD">
            <w:pPr>
              <w:jc w:val="center"/>
            </w:pPr>
            <w:r>
              <w:rPr>
                <w:rFonts w:hint="eastAsia" w:cs="宋体"/>
              </w:rPr>
              <w:t>二层展区保洁员</w:t>
            </w:r>
          </w:p>
        </w:tc>
        <w:tc>
          <w:tcPr>
            <w:tcW w:w="3794" w:type="dxa"/>
            <w:noWrap/>
          </w:tcPr>
          <w:p w14:paraId="4798A338">
            <w:pPr>
              <w:jc w:val="center"/>
            </w:pPr>
            <w:r>
              <w:rPr>
                <w:rFonts w:hint="eastAsia" w:cs="宋体"/>
              </w:rPr>
              <w:t>身体健康，</w:t>
            </w:r>
            <w:r>
              <w:t>50</w:t>
            </w:r>
            <w:r>
              <w:rPr>
                <w:rFonts w:hint="eastAsia" w:cs="宋体"/>
              </w:rPr>
              <w:t>周岁以下，具有相关保洁经验。</w:t>
            </w:r>
          </w:p>
        </w:tc>
        <w:tc>
          <w:tcPr>
            <w:tcW w:w="1243" w:type="dxa"/>
            <w:noWrap/>
          </w:tcPr>
          <w:p w14:paraId="58026F73">
            <w:pPr>
              <w:jc w:val="center"/>
            </w:pPr>
          </w:p>
        </w:tc>
        <w:tc>
          <w:tcPr>
            <w:tcW w:w="1648" w:type="dxa"/>
            <w:noWrap/>
          </w:tcPr>
          <w:p w14:paraId="4E458819">
            <w:pPr>
              <w:jc w:val="center"/>
            </w:pPr>
            <w:r>
              <w:rPr>
                <w:rFonts w:hint="eastAsia" w:cs="宋体"/>
              </w:rPr>
              <w:t>做一休一</w:t>
            </w:r>
          </w:p>
        </w:tc>
      </w:tr>
      <w:tr w14:paraId="5CA19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14:paraId="7D6CA02D">
            <w:pPr>
              <w:jc w:val="center"/>
            </w:pPr>
            <w:r>
              <w:rPr>
                <w:rFonts w:hint="eastAsia"/>
              </w:rPr>
              <w:t>4</w:t>
            </w:r>
          </w:p>
        </w:tc>
        <w:tc>
          <w:tcPr>
            <w:tcW w:w="1234" w:type="dxa"/>
            <w:noWrap/>
          </w:tcPr>
          <w:p w14:paraId="3736603F">
            <w:pPr>
              <w:jc w:val="center"/>
            </w:pPr>
            <w:r>
              <w:rPr>
                <w:rFonts w:hint="eastAsia" w:cs="宋体"/>
              </w:rPr>
              <w:t>三层展区保洁员</w:t>
            </w:r>
          </w:p>
        </w:tc>
        <w:tc>
          <w:tcPr>
            <w:tcW w:w="3794" w:type="dxa"/>
            <w:noWrap/>
          </w:tcPr>
          <w:p w14:paraId="2EF0CD21">
            <w:pPr>
              <w:jc w:val="center"/>
            </w:pPr>
            <w:r>
              <w:rPr>
                <w:rFonts w:hint="eastAsia" w:cs="宋体"/>
              </w:rPr>
              <w:t>身体健康，</w:t>
            </w:r>
            <w:r>
              <w:t>50</w:t>
            </w:r>
            <w:r>
              <w:rPr>
                <w:rFonts w:hint="eastAsia" w:cs="宋体"/>
              </w:rPr>
              <w:t>周岁以下，具有相关保洁经验。</w:t>
            </w:r>
          </w:p>
        </w:tc>
        <w:tc>
          <w:tcPr>
            <w:tcW w:w="1243" w:type="dxa"/>
            <w:noWrap/>
          </w:tcPr>
          <w:p w14:paraId="463BBC4F">
            <w:pPr>
              <w:jc w:val="center"/>
            </w:pPr>
          </w:p>
        </w:tc>
        <w:tc>
          <w:tcPr>
            <w:tcW w:w="1648" w:type="dxa"/>
            <w:noWrap/>
          </w:tcPr>
          <w:p w14:paraId="283EE0EF">
            <w:pPr>
              <w:jc w:val="center"/>
            </w:pPr>
            <w:r>
              <w:rPr>
                <w:rFonts w:hint="eastAsia" w:cs="宋体"/>
              </w:rPr>
              <w:t>做一休一</w:t>
            </w:r>
          </w:p>
        </w:tc>
      </w:tr>
      <w:tr w14:paraId="06AB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14:paraId="4BF1276C">
            <w:pPr>
              <w:jc w:val="center"/>
            </w:pPr>
            <w:r>
              <w:rPr>
                <w:rFonts w:hint="eastAsia"/>
              </w:rPr>
              <w:t>5</w:t>
            </w:r>
          </w:p>
        </w:tc>
        <w:tc>
          <w:tcPr>
            <w:tcW w:w="1234" w:type="dxa"/>
            <w:noWrap/>
          </w:tcPr>
          <w:p w14:paraId="2B6F5F7B">
            <w:pPr>
              <w:jc w:val="center"/>
            </w:pPr>
            <w:r>
              <w:rPr>
                <w:rFonts w:hint="eastAsia" w:cs="宋体"/>
              </w:rPr>
              <w:t>东三楼区域保洁员</w:t>
            </w:r>
          </w:p>
        </w:tc>
        <w:tc>
          <w:tcPr>
            <w:tcW w:w="3794" w:type="dxa"/>
            <w:noWrap/>
          </w:tcPr>
          <w:p w14:paraId="30ADCE98">
            <w:pPr>
              <w:jc w:val="center"/>
            </w:pPr>
            <w:r>
              <w:rPr>
                <w:rFonts w:hint="eastAsia" w:cs="宋体"/>
              </w:rPr>
              <w:t>身体健康，</w:t>
            </w:r>
            <w:r>
              <w:t>50</w:t>
            </w:r>
            <w:r>
              <w:rPr>
                <w:rFonts w:hint="eastAsia" w:cs="宋体"/>
              </w:rPr>
              <w:t>周岁以下，具有相关保洁经验。</w:t>
            </w:r>
          </w:p>
        </w:tc>
        <w:tc>
          <w:tcPr>
            <w:tcW w:w="1243" w:type="dxa"/>
            <w:noWrap/>
          </w:tcPr>
          <w:p w14:paraId="45E7B760">
            <w:pPr>
              <w:jc w:val="center"/>
            </w:pPr>
          </w:p>
        </w:tc>
        <w:tc>
          <w:tcPr>
            <w:tcW w:w="1648" w:type="dxa"/>
            <w:noWrap/>
          </w:tcPr>
          <w:p w14:paraId="5D7DEFA0">
            <w:pPr>
              <w:jc w:val="center"/>
            </w:pPr>
            <w:r>
              <w:rPr>
                <w:rFonts w:hint="eastAsia" w:cs="宋体"/>
              </w:rPr>
              <w:t>做一休一</w:t>
            </w:r>
          </w:p>
        </w:tc>
      </w:tr>
      <w:tr w14:paraId="7F5D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14:paraId="743D1C91">
            <w:pPr>
              <w:jc w:val="center"/>
            </w:pPr>
            <w:r>
              <w:rPr>
                <w:rFonts w:hint="eastAsia"/>
              </w:rPr>
              <w:t>6</w:t>
            </w:r>
          </w:p>
        </w:tc>
        <w:tc>
          <w:tcPr>
            <w:tcW w:w="1234" w:type="dxa"/>
            <w:noWrap/>
          </w:tcPr>
          <w:p w14:paraId="587A82B2">
            <w:pPr>
              <w:jc w:val="center"/>
            </w:pPr>
            <w:r>
              <w:rPr>
                <w:rFonts w:hint="eastAsia" w:cs="宋体"/>
              </w:rPr>
              <w:t>东四楼区域保洁员</w:t>
            </w:r>
          </w:p>
        </w:tc>
        <w:tc>
          <w:tcPr>
            <w:tcW w:w="3794" w:type="dxa"/>
            <w:noWrap/>
          </w:tcPr>
          <w:p w14:paraId="756EA24C">
            <w:pPr>
              <w:jc w:val="center"/>
            </w:pPr>
            <w:r>
              <w:rPr>
                <w:rFonts w:hint="eastAsia" w:cs="宋体"/>
              </w:rPr>
              <w:t>身体健康，</w:t>
            </w:r>
            <w:r>
              <w:t>50</w:t>
            </w:r>
            <w:r>
              <w:rPr>
                <w:rFonts w:hint="eastAsia" w:cs="宋体"/>
              </w:rPr>
              <w:t>周岁以下，具有相关保洁经验。</w:t>
            </w:r>
          </w:p>
        </w:tc>
        <w:tc>
          <w:tcPr>
            <w:tcW w:w="1243" w:type="dxa"/>
            <w:noWrap/>
          </w:tcPr>
          <w:p w14:paraId="0B4137A7">
            <w:pPr>
              <w:jc w:val="center"/>
            </w:pPr>
          </w:p>
        </w:tc>
        <w:tc>
          <w:tcPr>
            <w:tcW w:w="1648" w:type="dxa"/>
            <w:noWrap/>
          </w:tcPr>
          <w:p w14:paraId="7E5CF093">
            <w:pPr>
              <w:jc w:val="center"/>
            </w:pPr>
            <w:r>
              <w:rPr>
                <w:rFonts w:hint="eastAsia" w:cs="宋体"/>
              </w:rPr>
              <w:t>做一休一</w:t>
            </w:r>
          </w:p>
        </w:tc>
      </w:tr>
      <w:tr w14:paraId="3AFB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14:paraId="77625181">
            <w:pPr>
              <w:jc w:val="center"/>
            </w:pPr>
            <w:r>
              <w:rPr>
                <w:rFonts w:hint="eastAsia"/>
              </w:rPr>
              <w:t>7</w:t>
            </w:r>
          </w:p>
        </w:tc>
        <w:tc>
          <w:tcPr>
            <w:tcW w:w="1234" w:type="dxa"/>
            <w:noWrap/>
          </w:tcPr>
          <w:p w14:paraId="57F44FD8">
            <w:pPr>
              <w:jc w:val="center"/>
            </w:pPr>
            <w:r>
              <w:rPr>
                <w:rFonts w:hint="eastAsia" w:cs="宋体"/>
              </w:rPr>
              <w:t>西三楼区域保洁员</w:t>
            </w:r>
          </w:p>
        </w:tc>
        <w:tc>
          <w:tcPr>
            <w:tcW w:w="3794" w:type="dxa"/>
            <w:noWrap/>
          </w:tcPr>
          <w:p w14:paraId="38FA20A7">
            <w:pPr>
              <w:jc w:val="center"/>
            </w:pPr>
            <w:r>
              <w:rPr>
                <w:rFonts w:hint="eastAsia" w:cs="宋体"/>
              </w:rPr>
              <w:t>身体健康，</w:t>
            </w:r>
            <w:r>
              <w:t>50</w:t>
            </w:r>
            <w:r>
              <w:rPr>
                <w:rFonts w:hint="eastAsia" w:cs="宋体"/>
              </w:rPr>
              <w:t>周岁以下，具有相关保洁经验。</w:t>
            </w:r>
          </w:p>
        </w:tc>
        <w:tc>
          <w:tcPr>
            <w:tcW w:w="1243" w:type="dxa"/>
            <w:noWrap/>
          </w:tcPr>
          <w:p w14:paraId="1DF034AB">
            <w:pPr>
              <w:jc w:val="center"/>
            </w:pPr>
          </w:p>
        </w:tc>
        <w:tc>
          <w:tcPr>
            <w:tcW w:w="1648" w:type="dxa"/>
            <w:noWrap/>
          </w:tcPr>
          <w:p w14:paraId="20C80A80">
            <w:pPr>
              <w:jc w:val="center"/>
            </w:pPr>
            <w:r>
              <w:rPr>
                <w:rFonts w:hint="eastAsia" w:cs="宋体"/>
              </w:rPr>
              <w:t>做一休一</w:t>
            </w:r>
          </w:p>
        </w:tc>
      </w:tr>
      <w:tr w14:paraId="3A8C7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14:paraId="0B16DE35">
            <w:pPr>
              <w:jc w:val="center"/>
            </w:pPr>
            <w:r>
              <w:rPr>
                <w:rFonts w:hint="eastAsia"/>
              </w:rPr>
              <w:t>8</w:t>
            </w:r>
          </w:p>
        </w:tc>
        <w:tc>
          <w:tcPr>
            <w:tcW w:w="1234" w:type="dxa"/>
            <w:noWrap/>
          </w:tcPr>
          <w:p w14:paraId="5993D51A">
            <w:pPr>
              <w:jc w:val="center"/>
            </w:pPr>
            <w:r>
              <w:rPr>
                <w:rFonts w:hint="eastAsia" w:cs="宋体"/>
              </w:rPr>
              <w:t>西四楼区域保洁员</w:t>
            </w:r>
          </w:p>
        </w:tc>
        <w:tc>
          <w:tcPr>
            <w:tcW w:w="3794" w:type="dxa"/>
            <w:noWrap/>
          </w:tcPr>
          <w:p w14:paraId="0ABA8F7A">
            <w:pPr>
              <w:jc w:val="center"/>
            </w:pPr>
            <w:r>
              <w:rPr>
                <w:rFonts w:hint="eastAsia" w:cs="宋体"/>
              </w:rPr>
              <w:t>身体健康，</w:t>
            </w:r>
            <w:r>
              <w:t>50</w:t>
            </w:r>
            <w:r>
              <w:rPr>
                <w:rFonts w:hint="eastAsia" w:cs="宋体"/>
              </w:rPr>
              <w:t>周岁以下，具有相关保洁经验。</w:t>
            </w:r>
          </w:p>
        </w:tc>
        <w:tc>
          <w:tcPr>
            <w:tcW w:w="1243" w:type="dxa"/>
            <w:noWrap/>
          </w:tcPr>
          <w:p w14:paraId="796DCB9B">
            <w:pPr>
              <w:jc w:val="center"/>
            </w:pPr>
          </w:p>
        </w:tc>
        <w:tc>
          <w:tcPr>
            <w:tcW w:w="1648" w:type="dxa"/>
            <w:noWrap/>
          </w:tcPr>
          <w:p w14:paraId="4617DCEC">
            <w:pPr>
              <w:jc w:val="center"/>
            </w:pPr>
            <w:r>
              <w:rPr>
                <w:rFonts w:hint="eastAsia" w:cs="宋体"/>
              </w:rPr>
              <w:t>做一休一</w:t>
            </w:r>
          </w:p>
        </w:tc>
      </w:tr>
      <w:tr w14:paraId="252E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14:paraId="7F45C058">
            <w:pPr>
              <w:jc w:val="center"/>
            </w:pPr>
            <w:r>
              <w:rPr>
                <w:rFonts w:hint="eastAsia"/>
              </w:rPr>
              <w:t>9</w:t>
            </w:r>
          </w:p>
        </w:tc>
        <w:tc>
          <w:tcPr>
            <w:tcW w:w="1234" w:type="dxa"/>
            <w:noWrap/>
          </w:tcPr>
          <w:p w14:paraId="7B66FA18">
            <w:pPr>
              <w:jc w:val="center"/>
            </w:pPr>
            <w:r>
              <w:rPr>
                <w:rFonts w:hint="eastAsia" w:cs="宋体"/>
              </w:rPr>
              <w:t>外围保洁员</w:t>
            </w:r>
          </w:p>
        </w:tc>
        <w:tc>
          <w:tcPr>
            <w:tcW w:w="3794" w:type="dxa"/>
            <w:noWrap/>
          </w:tcPr>
          <w:p w14:paraId="35B0C57E">
            <w:pPr>
              <w:jc w:val="center"/>
            </w:pPr>
            <w:r>
              <w:rPr>
                <w:rFonts w:hint="eastAsia" w:cs="宋体"/>
              </w:rPr>
              <w:t>身体健康，</w:t>
            </w:r>
            <w:r>
              <w:t>50</w:t>
            </w:r>
            <w:r>
              <w:rPr>
                <w:rFonts w:hint="eastAsia" w:cs="宋体"/>
              </w:rPr>
              <w:t>周岁以下，具有相关保洁经验。</w:t>
            </w:r>
          </w:p>
        </w:tc>
        <w:tc>
          <w:tcPr>
            <w:tcW w:w="1243" w:type="dxa"/>
            <w:noWrap/>
          </w:tcPr>
          <w:p w14:paraId="3C303C52">
            <w:pPr>
              <w:jc w:val="center"/>
            </w:pPr>
          </w:p>
        </w:tc>
        <w:tc>
          <w:tcPr>
            <w:tcW w:w="1648" w:type="dxa"/>
            <w:noWrap/>
          </w:tcPr>
          <w:p w14:paraId="0A7873E8">
            <w:pPr>
              <w:jc w:val="center"/>
            </w:pPr>
            <w:r>
              <w:rPr>
                <w:rFonts w:hint="eastAsia" w:cs="宋体"/>
              </w:rPr>
              <w:t>做一休一</w:t>
            </w:r>
          </w:p>
        </w:tc>
      </w:tr>
      <w:tr w14:paraId="28E3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14:paraId="2980834B">
            <w:pPr>
              <w:jc w:val="center"/>
            </w:pPr>
            <w:r>
              <w:rPr>
                <w:rFonts w:hint="eastAsia"/>
              </w:rPr>
              <w:t>10</w:t>
            </w:r>
          </w:p>
        </w:tc>
        <w:tc>
          <w:tcPr>
            <w:tcW w:w="1234" w:type="dxa"/>
            <w:noWrap/>
          </w:tcPr>
          <w:p w14:paraId="0939DAC7">
            <w:pPr>
              <w:jc w:val="center"/>
            </w:pPr>
            <w:r>
              <w:rPr>
                <w:rFonts w:hint="eastAsia" w:cs="宋体"/>
              </w:rPr>
              <w:t>库房区、洗衣房区域保洁员</w:t>
            </w:r>
          </w:p>
        </w:tc>
        <w:tc>
          <w:tcPr>
            <w:tcW w:w="3794" w:type="dxa"/>
            <w:noWrap/>
          </w:tcPr>
          <w:p w14:paraId="37C9F53D">
            <w:pPr>
              <w:jc w:val="center"/>
            </w:pPr>
            <w:r>
              <w:rPr>
                <w:rFonts w:hint="eastAsia" w:cs="宋体"/>
              </w:rPr>
              <w:t>身体健康，</w:t>
            </w:r>
            <w:r>
              <w:t>50</w:t>
            </w:r>
            <w:r>
              <w:rPr>
                <w:rFonts w:hint="eastAsia" w:cs="宋体"/>
              </w:rPr>
              <w:t>周岁以下，具有相关保洁经验。</w:t>
            </w:r>
          </w:p>
        </w:tc>
        <w:tc>
          <w:tcPr>
            <w:tcW w:w="1243" w:type="dxa"/>
            <w:noWrap/>
          </w:tcPr>
          <w:p w14:paraId="19C0C902">
            <w:pPr>
              <w:jc w:val="center"/>
            </w:pPr>
          </w:p>
        </w:tc>
        <w:tc>
          <w:tcPr>
            <w:tcW w:w="1648" w:type="dxa"/>
            <w:noWrap/>
          </w:tcPr>
          <w:p w14:paraId="5999BD8C">
            <w:pPr>
              <w:jc w:val="center"/>
            </w:pPr>
            <w:r>
              <w:rPr>
                <w:rFonts w:hint="eastAsia" w:cs="宋体"/>
              </w:rPr>
              <w:t>做一休一</w:t>
            </w:r>
          </w:p>
        </w:tc>
      </w:tr>
      <w:tr w14:paraId="7877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14:paraId="54D02B0D">
            <w:pPr>
              <w:jc w:val="center"/>
            </w:pPr>
            <w:r>
              <w:rPr>
                <w:rFonts w:hint="eastAsia"/>
              </w:rPr>
              <w:t>11</w:t>
            </w:r>
          </w:p>
        </w:tc>
        <w:tc>
          <w:tcPr>
            <w:tcW w:w="1234" w:type="dxa"/>
            <w:noWrap/>
          </w:tcPr>
          <w:p w14:paraId="419C434A">
            <w:pPr>
              <w:jc w:val="center"/>
            </w:pPr>
            <w:r>
              <w:rPr>
                <w:rFonts w:hint="eastAsia" w:cs="宋体"/>
              </w:rPr>
              <w:t>车库区域保洁员</w:t>
            </w:r>
          </w:p>
        </w:tc>
        <w:tc>
          <w:tcPr>
            <w:tcW w:w="3794" w:type="dxa"/>
            <w:noWrap/>
          </w:tcPr>
          <w:p w14:paraId="352FD26C">
            <w:pPr>
              <w:jc w:val="center"/>
            </w:pPr>
            <w:r>
              <w:rPr>
                <w:rFonts w:hint="eastAsia" w:cs="宋体"/>
              </w:rPr>
              <w:t>身体健康，</w:t>
            </w:r>
            <w:r>
              <w:t>50</w:t>
            </w:r>
            <w:r>
              <w:rPr>
                <w:rFonts w:hint="eastAsia" w:cs="宋体"/>
              </w:rPr>
              <w:t>周岁以下，具有相关保洁经验。</w:t>
            </w:r>
          </w:p>
        </w:tc>
        <w:tc>
          <w:tcPr>
            <w:tcW w:w="1243" w:type="dxa"/>
            <w:noWrap/>
          </w:tcPr>
          <w:p w14:paraId="5937F8FF">
            <w:pPr>
              <w:jc w:val="center"/>
            </w:pPr>
          </w:p>
        </w:tc>
        <w:tc>
          <w:tcPr>
            <w:tcW w:w="1648" w:type="dxa"/>
            <w:noWrap/>
          </w:tcPr>
          <w:p w14:paraId="193B9F2B">
            <w:pPr>
              <w:jc w:val="center"/>
            </w:pPr>
            <w:r>
              <w:rPr>
                <w:rFonts w:hint="eastAsia" w:cs="宋体"/>
              </w:rPr>
              <w:t>做一休一</w:t>
            </w:r>
          </w:p>
        </w:tc>
      </w:tr>
      <w:tr w14:paraId="49C3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636" w:type="dxa"/>
            <w:noWrap/>
          </w:tcPr>
          <w:p w14:paraId="3CC799B4">
            <w:pPr>
              <w:jc w:val="center"/>
            </w:pPr>
            <w:r>
              <w:rPr>
                <w:rFonts w:hint="eastAsia"/>
              </w:rPr>
              <w:t>12</w:t>
            </w:r>
          </w:p>
        </w:tc>
        <w:tc>
          <w:tcPr>
            <w:tcW w:w="1234" w:type="dxa"/>
            <w:noWrap/>
          </w:tcPr>
          <w:p w14:paraId="3422098E">
            <w:pPr>
              <w:jc w:val="center"/>
              <w:rPr>
                <w:rFonts w:cs="宋体"/>
              </w:rPr>
            </w:pPr>
            <w:r>
              <w:rPr>
                <w:rFonts w:hint="eastAsia" w:cs="宋体"/>
              </w:rPr>
              <w:t>灯塔灯船保洁员</w:t>
            </w:r>
          </w:p>
        </w:tc>
        <w:tc>
          <w:tcPr>
            <w:tcW w:w="3794" w:type="dxa"/>
            <w:noWrap/>
          </w:tcPr>
          <w:p w14:paraId="4A20F7BF">
            <w:pPr>
              <w:jc w:val="center"/>
              <w:rPr>
                <w:rFonts w:cs="宋体"/>
              </w:rPr>
            </w:pPr>
            <w:r>
              <w:rPr>
                <w:rFonts w:hint="eastAsia" w:cs="宋体"/>
              </w:rPr>
              <w:t>身体健康，</w:t>
            </w:r>
            <w:r>
              <w:t>50</w:t>
            </w:r>
            <w:r>
              <w:rPr>
                <w:rFonts w:hint="eastAsia" w:cs="宋体"/>
              </w:rPr>
              <w:t>周岁以下，具有相关保洁经验。</w:t>
            </w:r>
          </w:p>
        </w:tc>
        <w:tc>
          <w:tcPr>
            <w:tcW w:w="1243" w:type="dxa"/>
            <w:noWrap/>
          </w:tcPr>
          <w:p w14:paraId="68747B58">
            <w:pPr>
              <w:jc w:val="center"/>
            </w:pPr>
          </w:p>
        </w:tc>
        <w:tc>
          <w:tcPr>
            <w:tcW w:w="1648" w:type="dxa"/>
            <w:noWrap/>
          </w:tcPr>
          <w:p w14:paraId="22229A61">
            <w:pPr>
              <w:jc w:val="center"/>
              <w:rPr>
                <w:rFonts w:cs="宋体"/>
              </w:rPr>
            </w:pPr>
            <w:r>
              <w:rPr>
                <w:rFonts w:hint="eastAsia" w:cs="宋体"/>
              </w:rPr>
              <w:t>做五休二</w:t>
            </w:r>
          </w:p>
        </w:tc>
      </w:tr>
    </w:tbl>
    <w:p w14:paraId="46DDFB0D">
      <w:pPr>
        <w:jc w:val="center"/>
      </w:pPr>
    </w:p>
    <w:p w14:paraId="3BFA209A">
      <w:pPr>
        <w:jc w:val="center"/>
      </w:pPr>
      <w:r>
        <w:rPr>
          <w:rFonts w:hint="eastAsia"/>
        </w:rPr>
        <w:t>秩序维护管理</w:t>
      </w:r>
    </w:p>
    <w:tbl>
      <w:tblPr>
        <w:tblStyle w:val="9"/>
        <w:tblW w:w="860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85"/>
        <w:gridCol w:w="2895"/>
        <w:gridCol w:w="1323"/>
        <w:gridCol w:w="1693"/>
      </w:tblGrid>
      <w:tr w14:paraId="2AC9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4BDD1468">
            <w:pPr>
              <w:jc w:val="center"/>
              <w:rPr>
                <w:b/>
                <w:bCs/>
              </w:rPr>
            </w:pPr>
            <w:r>
              <w:rPr>
                <w:rFonts w:hint="eastAsia" w:cs="宋体"/>
                <w:b/>
                <w:bCs/>
              </w:rPr>
              <w:t>序号</w:t>
            </w:r>
          </w:p>
        </w:tc>
        <w:tc>
          <w:tcPr>
            <w:tcW w:w="1985" w:type="dxa"/>
            <w:noWrap/>
            <w:vAlign w:val="center"/>
          </w:tcPr>
          <w:p w14:paraId="02D82D25">
            <w:pPr>
              <w:jc w:val="center"/>
              <w:rPr>
                <w:b/>
                <w:bCs/>
              </w:rPr>
            </w:pPr>
            <w:r>
              <w:rPr>
                <w:rFonts w:hint="eastAsia" w:cs="宋体"/>
                <w:b/>
                <w:bCs/>
              </w:rPr>
              <w:t>岗位名称</w:t>
            </w:r>
          </w:p>
        </w:tc>
        <w:tc>
          <w:tcPr>
            <w:tcW w:w="2895" w:type="dxa"/>
            <w:noWrap/>
            <w:vAlign w:val="center"/>
          </w:tcPr>
          <w:p w14:paraId="3E441FD9">
            <w:pPr>
              <w:jc w:val="center"/>
              <w:rPr>
                <w:b/>
                <w:bCs/>
              </w:rPr>
            </w:pPr>
            <w:r>
              <w:rPr>
                <w:rFonts w:hint="eastAsia" w:cs="宋体"/>
                <w:b/>
                <w:bCs/>
              </w:rPr>
              <w:t>人员主要要求</w:t>
            </w:r>
          </w:p>
        </w:tc>
        <w:tc>
          <w:tcPr>
            <w:tcW w:w="1323" w:type="dxa"/>
            <w:noWrap/>
            <w:vAlign w:val="center"/>
          </w:tcPr>
          <w:p w14:paraId="799BD010">
            <w:pPr>
              <w:ind w:right="-107" w:rightChars="-51"/>
              <w:jc w:val="center"/>
              <w:rPr>
                <w:rFonts w:cs="宋体"/>
                <w:b/>
                <w:bCs/>
              </w:rPr>
            </w:pPr>
            <w:r>
              <w:rPr>
                <w:rFonts w:hint="eastAsia" w:cs="宋体"/>
                <w:b/>
                <w:bCs/>
              </w:rPr>
              <w:t>特殊物业</w:t>
            </w:r>
          </w:p>
          <w:p w14:paraId="63AAE51E">
            <w:pPr>
              <w:ind w:right="-107" w:rightChars="-51"/>
              <w:jc w:val="center"/>
              <w:rPr>
                <w:b/>
                <w:bCs/>
              </w:rPr>
            </w:pPr>
            <w:r>
              <w:rPr>
                <w:rFonts w:hint="eastAsia" w:cs="宋体"/>
                <w:b/>
                <w:bCs/>
              </w:rPr>
              <w:t>需求</w:t>
            </w:r>
          </w:p>
        </w:tc>
        <w:tc>
          <w:tcPr>
            <w:tcW w:w="1693" w:type="dxa"/>
            <w:noWrap/>
            <w:vAlign w:val="center"/>
          </w:tcPr>
          <w:p w14:paraId="6552DB3D">
            <w:pPr>
              <w:ind w:right="-107" w:rightChars="-51" w:firstLine="422"/>
              <w:jc w:val="center"/>
              <w:rPr>
                <w:b/>
                <w:bCs/>
              </w:rPr>
            </w:pPr>
            <w:r>
              <w:rPr>
                <w:rFonts w:hint="eastAsia" w:cs="宋体"/>
                <w:b/>
                <w:bCs/>
              </w:rPr>
              <w:t>备注</w:t>
            </w:r>
          </w:p>
        </w:tc>
      </w:tr>
      <w:tr w14:paraId="4531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709" w:type="dxa"/>
            <w:noWrap/>
            <w:vAlign w:val="center"/>
          </w:tcPr>
          <w:p w14:paraId="6E2F75BD">
            <w:pPr>
              <w:jc w:val="center"/>
            </w:pPr>
            <w:r>
              <w:t>1</w:t>
            </w:r>
          </w:p>
        </w:tc>
        <w:tc>
          <w:tcPr>
            <w:tcW w:w="1985" w:type="dxa"/>
            <w:noWrap/>
            <w:vAlign w:val="center"/>
          </w:tcPr>
          <w:p w14:paraId="3A8619B6">
            <w:pPr>
              <w:jc w:val="center"/>
            </w:pPr>
            <w:r>
              <w:rPr>
                <w:rFonts w:hint="eastAsia" w:ascii="宋体" w:hAnsi="宋体" w:cs="宋体"/>
              </w:rPr>
              <w:t>安全生产管理员</w:t>
            </w:r>
          </w:p>
        </w:tc>
        <w:tc>
          <w:tcPr>
            <w:tcW w:w="2895" w:type="dxa"/>
            <w:noWrap/>
            <w:vAlign w:val="center"/>
          </w:tcPr>
          <w:p w14:paraId="564BAD64">
            <w:pPr>
              <w:jc w:val="center"/>
            </w:pPr>
            <w:r>
              <w:rPr>
                <w:rFonts w:hint="eastAsia"/>
              </w:rPr>
              <w:t>无犯罪记录、身体健康、50岁以下；持有《</w:t>
            </w:r>
            <w:r>
              <w:rPr>
                <w:rFonts w:hint="eastAsia"/>
                <w:kern w:val="2"/>
              </w:rPr>
              <w:t>消防设施操作员中级证书》</w:t>
            </w:r>
            <w:r>
              <w:rPr>
                <w:rFonts w:hint="eastAsia" w:ascii="宋体" w:hAnsi="宋体"/>
                <w:kern w:val="2"/>
              </w:rPr>
              <w:t>《保安上岗证》</w:t>
            </w:r>
            <w:r>
              <w:rPr>
                <w:rFonts w:hint="eastAsia"/>
              </w:rPr>
              <w:t>；相关工作经验3年以上。</w:t>
            </w:r>
          </w:p>
        </w:tc>
        <w:tc>
          <w:tcPr>
            <w:tcW w:w="1323" w:type="dxa"/>
            <w:noWrap/>
          </w:tcPr>
          <w:p w14:paraId="214BDC85">
            <w:pPr>
              <w:jc w:val="center"/>
            </w:pPr>
          </w:p>
        </w:tc>
        <w:tc>
          <w:tcPr>
            <w:tcW w:w="1693" w:type="dxa"/>
            <w:noWrap/>
            <w:vAlign w:val="center"/>
          </w:tcPr>
          <w:p w14:paraId="5291EBBB">
            <w:pPr>
              <w:jc w:val="center"/>
            </w:pPr>
            <w:r>
              <w:rPr>
                <w:rFonts w:hint="eastAsia" w:cs="宋体"/>
              </w:rPr>
              <w:t>常日班</w:t>
            </w:r>
          </w:p>
        </w:tc>
      </w:tr>
      <w:tr w14:paraId="7AC7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709" w:type="dxa"/>
            <w:noWrap/>
            <w:vAlign w:val="center"/>
          </w:tcPr>
          <w:p w14:paraId="7F10D088">
            <w:pPr>
              <w:jc w:val="center"/>
            </w:pPr>
          </w:p>
          <w:p w14:paraId="1FDC38B2">
            <w:pPr>
              <w:jc w:val="center"/>
            </w:pPr>
            <w:r>
              <w:rPr>
                <w:rFonts w:hint="eastAsia"/>
              </w:rPr>
              <w:t>2</w:t>
            </w:r>
          </w:p>
        </w:tc>
        <w:tc>
          <w:tcPr>
            <w:tcW w:w="1985" w:type="dxa"/>
            <w:noWrap/>
            <w:vAlign w:val="center"/>
          </w:tcPr>
          <w:p w14:paraId="51431931">
            <w:pPr>
              <w:jc w:val="center"/>
            </w:pPr>
            <w:r>
              <w:rPr>
                <w:rFonts w:hint="eastAsia" w:ascii="宋体" w:hAnsi="宋体" w:cs="宋体"/>
              </w:rPr>
              <w:t>消防安全员（</w:t>
            </w:r>
          </w:p>
        </w:tc>
        <w:tc>
          <w:tcPr>
            <w:tcW w:w="2895" w:type="dxa"/>
            <w:noWrap/>
            <w:vAlign w:val="center"/>
          </w:tcPr>
          <w:p w14:paraId="295014DF">
            <w:pPr>
              <w:jc w:val="center"/>
            </w:pPr>
            <w:r>
              <w:rPr>
                <w:rFonts w:hint="eastAsia"/>
              </w:rPr>
              <w:t>无犯罪记录、身体健康、50岁以下；持有《</w:t>
            </w:r>
            <w:r>
              <w:rPr>
                <w:rFonts w:hint="eastAsia"/>
                <w:kern w:val="2"/>
              </w:rPr>
              <w:t>消防设施操作员中级证书》</w:t>
            </w:r>
            <w:r>
              <w:rPr>
                <w:rFonts w:hint="eastAsia" w:ascii="宋体" w:hAnsi="宋体"/>
                <w:kern w:val="2"/>
              </w:rPr>
              <w:t>《保安上岗证》</w:t>
            </w:r>
            <w:r>
              <w:rPr>
                <w:rFonts w:hint="eastAsia"/>
              </w:rPr>
              <w:t>；相关工作经验3年以上。</w:t>
            </w:r>
          </w:p>
        </w:tc>
        <w:tc>
          <w:tcPr>
            <w:tcW w:w="1323" w:type="dxa"/>
            <w:noWrap/>
          </w:tcPr>
          <w:p w14:paraId="34C8B008">
            <w:pPr>
              <w:jc w:val="center"/>
            </w:pPr>
          </w:p>
        </w:tc>
        <w:tc>
          <w:tcPr>
            <w:tcW w:w="1693" w:type="dxa"/>
            <w:noWrap/>
            <w:vAlign w:val="center"/>
          </w:tcPr>
          <w:p w14:paraId="5B56DC83">
            <w:pPr>
              <w:jc w:val="center"/>
            </w:pPr>
            <w:r>
              <w:rPr>
                <w:rFonts w:hint="eastAsia" w:cs="宋体"/>
              </w:rPr>
              <w:t>常日班</w:t>
            </w:r>
          </w:p>
        </w:tc>
      </w:tr>
      <w:tr w14:paraId="3860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20774747">
            <w:pPr>
              <w:jc w:val="center"/>
            </w:pPr>
            <w:r>
              <w:rPr>
                <w:rFonts w:hint="eastAsia"/>
              </w:rPr>
              <w:t>3</w:t>
            </w:r>
          </w:p>
        </w:tc>
        <w:tc>
          <w:tcPr>
            <w:tcW w:w="1985" w:type="dxa"/>
            <w:noWrap/>
            <w:vAlign w:val="center"/>
          </w:tcPr>
          <w:p w14:paraId="4FE4D638">
            <w:pPr>
              <w:jc w:val="center"/>
            </w:pPr>
            <w:r>
              <w:rPr>
                <w:rFonts w:hint="eastAsia" w:ascii="宋体" w:hAnsi="宋体" w:cs="宋体"/>
              </w:rPr>
              <w:t>安防系统管理员</w:t>
            </w:r>
          </w:p>
        </w:tc>
        <w:tc>
          <w:tcPr>
            <w:tcW w:w="2895" w:type="dxa"/>
            <w:noWrap/>
            <w:vAlign w:val="center"/>
          </w:tcPr>
          <w:p w14:paraId="68C04C34">
            <w:pPr>
              <w:jc w:val="center"/>
            </w:pPr>
            <w:r>
              <w:rPr>
                <w:rFonts w:hint="eastAsia"/>
              </w:rPr>
              <w:t>无犯罪记录、身体健康、50岁以下；持有《</w:t>
            </w:r>
            <w:r>
              <w:rPr>
                <w:rFonts w:hint="eastAsia"/>
                <w:kern w:val="2"/>
              </w:rPr>
              <w:t>消防设施操作员中级证书》</w:t>
            </w:r>
            <w:r>
              <w:rPr>
                <w:rFonts w:hint="eastAsia" w:ascii="宋体" w:hAnsi="宋体"/>
                <w:kern w:val="2"/>
              </w:rPr>
              <w:t>《保安上岗证》</w:t>
            </w:r>
            <w:r>
              <w:rPr>
                <w:rFonts w:hint="eastAsia"/>
              </w:rPr>
              <w:t>；相关工作经验3年以上。</w:t>
            </w:r>
          </w:p>
        </w:tc>
        <w:tc>
          <w:tcPr>
            <w:tcW w:w="1323" w:type="dxa"/>
            <w:noWrap/>
          </w:tcPr>
          <w:p w14:paraId="09E76006">
            <w:pPr>
              <w:jc w:val="center"/>
            </w:pPr>
          </w:p>
        </w:tc>
        <w:tc>
          <w:tcPr>
            <w:tcW w:w="1693" w:type="dxa"/>
            <w:noWrap/>
            <w:vAlign w:val="center"/>
          </w:tcPr>
          <w:p w14:paraId="2C464A2F">
            <w:pPr>
              <w:jc w:val="center"/>
            </w:pPr>
            <w:r>
              <w:rPr>
                <w:rFonts w:hint="eastAsia" w:cs="宋体"/>
              </w:rPr>
              <w:t>常日班</w:t>
            </w:r>
          </w:p>
        </w:tc>
      </w:tr>
      <w:tr w14:paraId="0C84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0946E0D1">
            <w:pPr>
              <w:jc w:val="center"/>
            </w:pPr>
            <w:r>
              <w:rPr>
                <w:rFonts w:hint="eastAsia"/>
              </w:rPr>
              <w:t>4</w:t>
            </w:r>
          </w:p>
        </w:tc>
        <w:tc>
          <w:tcPr>
            <w:tcW w:w="1985" w:type="dxa"/>
            <w:noWrap/>
            <w:vAlign w:val="center"/>
          </w:tcPr>
          <w:p w14:paraId="26DA5159">
            <w:pPr>
              <w:jc w:val="center"/>
            </w:pPr>
            <w:r>
              <w:rPr>
                <w:rFonts w:hint="eastAsia" w:cs="宋体"/>
              </w:rPr>
              <w:t>散客入口安检员</w:t>
            </w:r>
          </w:p>
        </w:tc>
        <w:tc>
          <w:tcPr>
            <w:tcW w:w="2895" w:type="dxa"/>
            <w:noWrap/>
            <w:vAlign w:val="center"/>
          </w:tcPr>
          <w:p w14:paraId="7C1B2138">
            <w:pPr>
              <w:jc w:val="center"/>
            </w:pPr>
            <w:r>
              <w:rPr>
                <w:rFonts w:hint="eastAsia" w:ascii="宋体" w:hAnsi="宋体"/>
                <w:kern w:val="2"/>
              </w:rPr>
              <w:t>无犯罪记录、身体健康、</w:t>
            </w:r>
            <w:r>
              <w:rPr>
                <w:rFonts w:hint="eastAsia"/>
                <w:kern w:val="2"/>
              </w:rPr>
              <w:t>50</w:t>
            </w:r>
            <w:r>
              <w:rPr>
                <w:rFonts w:hint="eastAsia" w:ascii="宋体" w:hAnsi="宋体"/>
                <w:kern w:val="2"/>
              </w:rPr>
              <w:t>岁以下；相关工作经验1年以上；持有《保安上岗证》等相关职业资格证。</w:t>
            </w:r>
          </w:p>
        </w:tc>
        <w:tc>
          <w:tcPr>
            <w:tcW w:w="1323" w:type="dxa"/>
            <w:noWrap/>
          </w:tcPr>
          <w:p w14:paraId="79D36B31">
            <w:pPr>
              <w:jc w:val="center"/>
            </w:pPr>
          </w:p>
        </w:tc>
        <w:tc>
          <w:tcPr>
            <w:tcW w:w="1693" w:type="dxa"/>
            <w:noWrap/>
            <w:vAlign w:val="center"/>
          </w:tcPr>
          <w:p w14:paraId="22DC9A0D">
            <w:pPr>
              <w:jc w:val="center"/>
            </w:pPr>
            <w:r>
              <w:rPr>
                <w:rFonts w:hint="eastAsia" w:cs="宋体"/>
              </w:rPr>
              <w:t>常日班</w:t>
            </w:r>
          </w:p>
        </w:tc>
      </w:tr>
      <w:tr w14:paraId="2DB2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716B2C69">
            <w:pPr>
              <w:jc w:val="center"/>
            </w:pPr>
            <w:r>
              <w:rPr>
                <w:rFonts w:hint="eastAsia"/>
              </w:rPr>
              <w:t>5</w:t>
            </w:r>
          </w:p>
        </w:tc>
        <w:tc>
          <w:tcPr>
            <w:tcW w:w="1985" w:type="dxa"/>
            <w:noWrap/>
            <w:vAlign w:val="center"/>
          </w:tcPr>
          <w:p w14:paraId="7EA1FED2">
            <w:pPr>
              <w:jc w:val="center"/>
            </w:pPr>
            <w:r>
              <w:rPr>
                <w:rFonts w:hint="eastAsia" w:ascii="宋体" w:hAnsi="宋体" w:cs="宋体"/>
              </w:rPr>
              <w:t>团队入口安检员</w:t>
            </w:r>
          </w:p>
        </w:tc>
        <w:tc>
          <w:tcPr>
            <w:tcW w:w="2895" w:type="dxa"/>
            <w:vMerge w:val="restart"/>
            <w:noWrap/>
            <w:vAlign w:val="center"/>
          </w:tcPr>
          <w:p w14:paraId="65E21E9B">
            <w:pPr>
              <w:jc w:val="center"/>
            </w:pPr>
            <w:r>
              <w:rPr>
                <w:rFonts w:hint="eastAsia" w:cs="宋体"/>
              </w:rPr>
              <w:t>无犯罪记录、身体健康、</w:t>
            </w:r>
            <w:r>
              <w:rPr>
                <w:rFonts w:hint="eastAsia"/>
              </w:rPr>
              <w:t>50</w:t>
            </w:r>
            <w:r>
              <w:rPr>
                <w:rFonts w:hint="eastAsia" w:cs="宋体"/>
              </w:rPr>
              <w:t>岁以下；安检工作经验</w:t>
            </w:r>
            <w:r>
              <w:t>1</w:t>
            </w:r>
            <w:r>
              <w:rPr>
                <w:rFonts w:hint="eastAsia" w:cs="宋体"/>
              </w:rPr>
              <w:t>年以上，持有相关职业能力证书的优先；持有《保安上岗证》。</w:t>
            </w:r>
          </w:p>
          <w:p w14:paraId="26C5DAE4">
            <w:pPr>
              <w:jc w:val="center"/>
            </w:pPr>
          </w:p>
        </w:tc>
        <w:tc>
          <w:tcPr>
            <w:tcW w:w="1323" w:type="dxa"/>
            <w:noWrap/>
          </w:tcPr>
          <w:p w14:paraId="13A9A677">
            <w:pPr>
              <w:jc w:val="center"/>
            </w:pPr>
          </w:p>
        </w:tc>
        <w:tc>
          <w:tcPr>
            <w:tcW w:w="1693" w:type="dxa"/>
            <w:vMerge w:val="restart"/>
            <w:noWrap/>
            <w:vAlign w:val="center"/>
          </w:tcPr>
          <w:p w14:paraId="25E9FE4B">
            <w:pPr>
              <w:jc w:val="center"/>
            </w:pPr>
            <w:r>
              <w:rPr>
                <w:rFonts w:hint="eastAsia" w:cs="宋体"/>
              </w:rPr>
              <w:t>常日班</w:t>
            </w:r>
          </w:p>
        </w:tc>
      </w:tr>
      <w:tr w14:paraId="066E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5A29BC17">
            <w:pPr>
              <w:jc w:val="center"/>
            </w:pPr>
            <w:r>
              <w:rPr>
                <w:rFonts w:hint="eastAsia"/>
              </w:rPr>
              <w:t>6</w:t>
            </w:r>
          </w:p>
        </w:tc>
        <w:tc>
          <w:tcPr>
            <w:tcW w:w="1985" w:type="dxa"/>
            <w:noWrap/>
            <w:vAlign w:val="center"/>
          </w:tcPr>
          <w:p w14:paraId="4C280D95">
            <w:pPr>
              <w:jc w:val="center"/>
            </w:pPr>
            <w:r>
              <w:rPr>
                <w:rFonts w:ascii="宋体" w:hAnsi="宋体" w:cs="宋体"/>
              </w:rPr>
              <w:t>2F员工通道安检员</w:t>
            </w:r>
          </w:p>
        </w:tc>
        <w:tc>
          <w:tcPr>
            <w:tcW w:w="2895" w:type="dxa"/>
            <w:vMerge w:val="continue"/>
            <w:noWrap/>
            <w:vAlign w:val="center"/>
          </w:tcPr>
          <w:p w14:paraId="083D0085">
            <w:pPr>
              <w:jc w:val="center"/>
            </w:pPr>
          </w:p>
        </w:tc>
        <w:tc>
          <w:tcPr>
            <w:tcW w:w="1323" w:type="dxa"/>
            <w:noWrap/>
          </w:tcPr>
          <w:p w14:paraId="3C2E658C">
            <w:pPr>
              <w:jc w:val="center"/>
            </w:pPr>
          </w:p>
        </w:tc>
        <w:tc>
          <w:tcPr>
            <w:tcW w:w="1693" w:type="dxa"/>
            <w:vMerge w:val="continue"/>
            <w:noWrap/>
            <w:vAlign w:val="center"/>
          </w:tcPr>
          <w:p w14:paraId="4FF165B6">
            <w:pPr>
              <w:jc w:val="center"/>
            </w:pPr>
          </w:p>
        </w:tc>
      </w:tr>
      <w:tr w14:paraId="5BB4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5CC2A829">
            <w:pPr>
              <w:jc w:val="center"/>
            </w:pPr>
            <w:r>
              <w:rPr>
                <w:rFonts w:hint="eastAsia"/>
              </w:rPr>
              <w:t>7</w:t>
            </w:r>
          </w:p>
        </w:tc>
        <w:tc>
          <w:tcPr>
            <w:tcW w:w="1985" w:type="dxa"/>
            <w:noWrap/>
            <w:vAlign w:val="center"/>
          </w:tcPr>
          <w:p w14:paraId="7F075FEF">
            <w:pPr>
              <w:jc w:val="center"/>
            </w:pPr>
            <w:r>
              <w:rPr>
                <w:rFonts w:ascii="宋体" w:hAnsi="宋体" w:cs="宋体"/>
              </w:rPr>
              <w:t>1F员工通道安检员</w:t>
            </w:r>
          </w:p>
        </w:tc>
        <w:tc>
          <w:tcPr>
            <w:tcW w:w="2895" w:type="dxa"/>
            <w:vMerge w:val="continue"/>
            <w:noWrap/>
            <w:vAlign w:val="center"/>
          </w:tcPr>
          <w:p w14:paraId="440E65F9">
            <w:pPr>
              <w:jc w:val="center"/>
            </w:pPr>
          </w:p>
        </w:tc>
        <w:tc>
          <w:tcPr>
            <w:tcW w:w="1323" w:type="dxa"/>
            <w:noWrap/>
          </w:tcPr>
          <w:p w14:paraId="27199554">
            <w:pPr>
              <w:jc w:val="center"/>
            </w:pPr>
          </w:p>
        </w:tc>
        <w:tc>
          <w:tcPr>
            <w:tcW w:w="1693" w:type="dxa"/>
            <w:vMerge w:val="continue"/>
            <w:noWrap/>
            <w:vAlign w:val="center"/>
          </w:tcPr>
          <w:p w14:paraId="651A264C">
            <w:pPr>
              <w:jc w:val="center"/>
            </w:pPr>
          </w:p>
        </w:tc>
      </w:tr>
      <w:tr w14:paraId="6669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1C38DB47">
            <w:pPr>
              <w:jc w:val="center"/>
            </w:pPr>
            <w:r>
              <w:rPr>
                <w:rFonts w:hint="eastAsia"/>
              </w:rPr>
              <w:t>8</w:t>
            </w:r>
          </w:p>
        </w:tc>
        <w:tc>
          <w:tcPr>
            <w:tcW w:w="1985" w:type="dxa"/>
            <w:noWrap/>
            <w:vAlign w:val="center"/>
          </w:tcPr>
          <w:p w14:paraId="652E4C24">
            <w:pPr>
              <w:jc w:val="center"/>
            </w:pPr>
            <w:r>
              <w:rPr>
                <w:rFonts w:hint="eastAsia"/>
              </w:rPr>
              <w:t>中央大厅、船舶馆、亲水区域管理员</w:t>
            </w:r>
          </w:p>
        </w:tc>
        <w:tc>
          <w:tcPr>
            <w:tcW w:w="2895" w:type="dxa"/>
            <w:vMerge w:val="continue"/>
            <w:noWrap/>
            <w:vAlign w:val="center"/>
          </w:tcPr>
          <w:p w14:paraId="72A38D6A">
            <w:pPr>
              <w:jc w:val="center"/>
            </w:pPr>
          </w:p>
        </w:tc>
        <w:tc>
          <w:tcPr>
            <w:tcW w:w="1323" w:type="dxa"/>
            <w:noWrap/>
          </w:tcPr>
          <w:p w14:paraId="381E2DB4">
            <w:pPr>
              <w:jc w:val="center"/>
            </w:pPr>
          </w:p>
        </w:tc>
        <w:tc>
          <w:tcPr>
            <w:tcW w:w="1693" w:type="dxa"/>
            <w:vMerge w:val="continue"/>
            <w:noWrap/>
            <w:vAlign w:val="center"/>
          </w:tcPr>
          <w:p w14:paraId="03BB50DE">
            <w:pPr>
              <w:jc w:val="center"/>
            </w:pPr>
          </w:p>
        </w:tc>
      </w:tr>
      <w:tr w14:paraId="5B49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09" w:type="dxa"/>
            <w:noWrap/>
            <w:vAlign w:val="center"/>
          </w:tcPr>
          <w:p w14:paraId="31C953B4">
            <w:pPr>
              <w:jc w:val="center"/>
            </w:pPr>
            <w:r>
              <w:rPr>
                <w:rFonts w:hint="eastAsia"/>
              </w:rPr>
              <w:t>9</w:t>
            </w:r>
          </w:p>
        </w:tc>
        <w:tc>
          <w:tcPr>
            <w:tcW w:w="1985" w:type="dxa"/>
            <w:noWrap/>
            <w:vAlign w:val="center"/>
          </w:tcPr>
          <w:p w14:paraId="2994A161">
            <w:pPr>
              <w:jc w:val="center"/>
            </w:pPr>
            <w:r>
              <w:rPr>
                <w:rFonts w:hint="eastAsia" w:ascii="宋体" w:hAnsi="宋体" w:cs="宋体"/>
              </w:rPr>
              <w:t>历史馆、海洋展厅区域管理员</w:t>
            </w:r>
          </w:p>
        </w:tc>
        <w:tc>
          <w:tcPr>
            <w:tcW w:w="2895" w:type="dxa"/>
            <w:vMerge w:val="continue"/>
            <w:noWrap/>
            <w:vAlign w:val="center"/>
          </w:tcPr>
          <w:p w14:paraId="64C3A36B">
            <w:pPr>
              <w:jc w:val="center"/>
            </w:pPr>
          </w:p>
        </w:tc>
        <w:tc>
          <w:tcPr>
            <w:tcW w:w="1323" w:type="dxa"/>
            <w:noWrap/>
          </w:tcPr>
          <w:p w14:paraId="2ED60212">
            <w:pPr>
              <w:jc w:val="center"/>
            </w:pPr>
          </w:p>
        </w:tc>
        <w:tc>
          <w:tcPr>
            <w:tcW w:w="1693" w:type="dxa"/>
            <w:vMerge w:val="continue"/>
            <w:noWrap/>
            <w:vAlign w:val="center"/>
          </w:tcPr>
          <w:p w14:paraId="0AB23C3A">
            <w:pPr>
              <w:jc w:val="center"/>
            </w:pPr>
          </w:p>
        </w:tc>
      </w:tr>
      <w:tr w14:paraId="4774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09" w:type="dxa"/>
            <w:vMerge w:val="restart"/>
            <w:noWrap/>
            <w:vAlign w:val="center"/>
          </w:tcPr>
          <w:p w14:paraId="2539E023">
            <w:pPr>
              <w:jc w:val="center"/>
            </w:pPr>
            <w:r>
              <w:rPr>
                <w:rFonts w:hint="eastAsia"/>
              </w:rPr>
              <w:t>10</w:t>
            </w:r>
          </w:p>
        </w:tc>
        <w:tc>
          <w:tcPr>
            <w:tcW w:w="1985" w:type="dxa"/>
            <w:vMerge w:val="restart"/>
            <w:noWrap/>
            <w:vAlign w:val="center"/>
          </w:tcPr>
          <w:p w14:paraId="31A8C015">
            <w:pPr>
              <w:jc w:val="center"/>
            </w:pPr>
            <w:r>
              <w:rPr>
                <w:rFonts w:hint="eastAsia" w:ascii="宋体" w:hAnsi="宋体" w:cs="宋体"/>
              </w:rPr>
              <w:t>航海与港口馆、扶梯区域管理员</w:t>
            </w:r>
          </w:p>
        </w:tc>
        <w:tc>
          <w:tcPr>
            <w:tcW w:w="2895" w:type="dxa"/>
            <w:vMerge w:val="restart"/>
            <w:noWrap/>
            <w:vAlign w:val="center"/>
          </w:tcPr>
          <w:p w14:paraId="2D134421">
            <w:r>
              <w:rPr>
                <w:rFonts w:hint="eastAsia" w:cs="宋体"/>
              </w:rPr>
              <w:t>无犯罪记录、身体健康、</w:t>
            </w:r>
            <w:r>
              <w:rPr>
                <w:rFonts w:hint="eastAsia"/>
              </w:rPr>
              <w:t>50</w:t>
            </w:r>
            <w:r>
              <w:rPr>
                <w:rFonts w:hint="eastAsia" w:cs="宋体"/>
              </w:rPr>
              <w:t>岁以下；持有《保安上岗证》。</w:t>
            </w:r>
          </w:p>
          <w:p w14:paraId="629358FF">
            <w:pPr>
              <w:jc w:val="center"/>
            </w:pPr>
          </w:p>
        </w:tc>
        <w:tc>
          <w:tcPr>
            <w:tcW w:w="1323" w:type="dxa"/>
            <w:vMerge w:val="restart"/>
            <w:noWrap/>
          </w:tcPr>
          <w:p w14:paraId="25F3E1F1">
            <w:pPr>
              <w:jc w:val="center"/>
            </w:pPr>
          </w:p>
        </w:tc>
        <w:tc>
          <w:tcPr>
            <w:tcW w:w="1693" w:type="dxa"/>
            <w:noWrap/>
            <w:vAlign w:val="center"/>
          </w:tcPr>
          <w:p w14:paraId="4E3DC1C1">
            <w:pPr>
              <w:jc w:val="center"/>
            </w:pPr>
          </w:p>
        </w:tc>
      </w:tr>
      <w:tr w14:paraId="0503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09" w:type="dxa"/>
            <w:vMerge w:val="continue"/>
            <w:noWrap/>
            <w:vAlign w:val="center"/>
          </w:tcPr>
          <w:p w14:paraId="68E78BA1">
            <w:pPr>
              <w:jc w:val="center"/>
            </w:pPr>
          </w:p>
        </w:tc>
        <w:tc>
          <w:tcPr>
            <w:tcW w:w="1985" w:type="dxa"/>
            <w:vMerge w:val="continue"/>
            <w:noWrap/>
            <w:vAlign w:val="center"/>
          </w:tcPr>
          <w:p w14:paraId="7FE5D3A4">
            <w:pPr>
              <w:jc w:val="center"/>
              <w:rPr>
                <w:rFonts w:ascii="宋体" w:hAnsi="宋体"/>
                <w:kern w:val="2"/>
              </w:rPr>
            </w:pPr>
          </w:p>
        </w:tc>
        <w:tc>
          <w:tcPr>
            <w:tcW w:w="2895" w:type="dxa"/>
            <w:vMerge w:val="continue"/>
            <w:noWrap/>
            <w:vAlign w:val="center"/>
          </w:tcPr>
          <w:p w14:paraId="19B83674">
            <w:pPr>
              <w:jc w:val="center"/>
            </w:pPr>
          </w:p>
        </w:tc>
        <w:tc>
          <w:tcPr>
            <w:tcW w:w="1323" w:type="dxa"/>
            <w:vMerge w:val="continue"/>
            <w:noWrap/>
          </w:tcPr>
          <w:p w14:paraId="6449DB0E">
            <w:pPr>
              <w:jc w:val="center"/>
            </w:pPr>
          </w:p>
        </w:tc>
        <w:tc>
          <w:tcPr>
            <w:tcW w:w="1693" w:type="dxa"/>
            <w:vMerge w:val="restart"/>
            <w:noWrap/>
            <w:vAlign w:val="center"/>
          </w:tcPr>
          <w:p w14:paraId="6CCA53D3">
            <w:pPr>
              <w:jc w:val="center"/>
            </w:pPr>
            <w:r>
              <w:rPr>
                <w:rFonts w:hint="eastAsia" w:cs="宋体"/>
              </w:rPr>
              <w:t>常日班</w:t>
            </w:r>
          </w:p>
        </w:tc>
      </w:tr>
      <w:tr w14:paraId="4A11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48D9F9A4">
            <w:pPr>
              <w:jc w:val="center"/>
            </w:pPr>
            <w:r>
              <w:rPr>
                <w:rFonts w:hint="eastAsia"/>
              </w:rPr>
              <w:t>11</w:t>
            </w:r>
          </w:p>
        </w:tc>
        <w:tc>
          <w:tcPr>
            <w:tcW w:w="1985" w:type="dxa"/>
            <w:noWrap/>
            <w:vAlign w:val="center"/>
          </w:tcPr>
          <w:p w14:paraId="66373D7A">
            <w:pPr>
              <w:jc w:val="center"/>
            </w:pPr>
            <w:r>
              <w:rPr>
                <w:rFonts w:hint="eastAsia" w:ascii="宋体" w:hAnsi="宋体" w:cs="宋体"/>
              </w:rPr>
              <w:t>海事馆、军事馆、打捞馆、扶梯区域管理员</w:t>
            </w:r>
          </w:p>
        </w:tc>
        <w:tc>
          <w:tcPr>
            <w:tcW w:w="2895" w:type="dxa"/>
            <w:vMerge w:val="continue"/>
            <w:noWrap/>
            <w:vAlign w:val="center"/>
          </w:tcPr>
          <w:p w14:paraId="2F200A14">
            <w:pPr>
              <w:jc w:val="center"/>
            </w:pPr>
          </w:p>
        </w:tc>
        <w:tc>
          <w:tcPr>
            <w:tcW w:w="1323" w:type="dxa"/>
            <w:noWrap/>
          </w:tcPr>
          <w:p w14:paraId="4D76E180">
            <w:pPr>
              <w:jc w:val="center"/>
            </w:pPr>
          </w:p>
        </w:tc>
        <w:tc>
          <w:tcPr>
            <w:tcW w:w="1693" w:type="dxa"/>
            <w:vMerge w:val="continue"/>
            <w:noWrap/>
          </w:tcPr>
          <w:p w14:paraId="65770B5F">
            <w:pPr>
              <w:jc w:val="center"/>
            </w:pPr>
          </w:p>
        </w:tc>
      </w:tr>
      <w:tr w14:paraId="6D65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2A3A5A6E">
            <w:pPr>
              <w:jc w:val="center"/>
            </w:pPr>
            <w:r>
              <w:rPr>
                <w:rFonts w:hint="eastAsia"/>
              </w:rPr>
              <w:t>12</w:t>
            </w:r>
          </w:p>
        </w:tc>
        <w:tc>
          <w:tcPr>
            <w:tcW w:w="1985" w:type="dxa"/>
            <w:noWrap/>
            <w:vAlign w:val="center"/>
          </w:tcPr>
          <w:p w14:paraId="083F530B">
            <w:pPr>
              <w:jc w:val="center"/>
            </w:pPr>
            <w:r>
              <w:rPr>
                <w:rFonts w:ascii="宋体" w:hAnsi="宋体" w:cs="宋体"/>
              </w:rPr>
              <w:t>3F帆体区域管理员</w:t>
            </w:r>
          </w:p>
        </w:tc>
        <w:tc>
          <w:tcPr>
            <w:tcW w:w="2895" w:type="dxa"/>
            <w:vMerge w:val="continue"/>
            <w:noWrap/>
            <w:vAlign w:val="center"/>
          </w:tcPr>
          <w:p w14:paraId="6FE124A4">
            <w:pPr>
              <w:jc w:val="center"/>
            </w:pPr>
          </w:p>
        </w:tc>
        <w:tc>
          <w:tcPr>
            <w:tcW w:w="1323" w:type="dxa"/>
            <w:noWrap/>
          </w:tcPr>
          <w:p w14:paraId="6995FBEC">
            <w:pPr>
              <w:jc w:val="center"/>
            </w:pPr>
          </w:p>
        </w:tc>
        <w:tc>
          <w:tcPr>
            <w:tcW w:w="1693" w:type="dxa"/>
            <w:vMerge w:val="continue"/>
            <w:noWrap/>
          </w:tcPr>
          <w:p w14:paraId="2EDCD349">
            <w:pPr>
              <w:jc w:val="center"/>
            </w:pPr>
          </w:p>
        </w:tc>
      </w:tr>
      <w:tr w14:paraId="12A0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09" w:type="dxa"/>
            <w:noWrap/>
            <w:vAlign w:val="center"/>
          </w:tcPr>
          <w:p w14:paraId="36370D8B">
            <w:pPr>
              <w:jc w:val="center"/>
            </w:pPr>
            <w:r>
              <w:rPr>
                <w:rFonts w:hint="eastAsia"/>
              </w:rPr>
              <w:t>13</w:t>
            </w:r>
          </w:p>
        </w:tc>
        <w:tc>
          <w:tcPr>
            <w:tcW w:w="1985" w:type="dxa"/>
            <w:noWrap/>
            <w:vAlign w:val="center"/>
          </w:tcPr>
          <w:p w14:paraId="2BE15036">
            <w:pPr>
              <w:jc w:val="center"/>
            </w:pPr>
            <w:r>
              <w:rPr>
                <w:rFonts w:hint="eastAsia" w:ascii="宋体" w:hAnsi="宋体" w:cs="宋体"/>
              </w:rPr>
              <w:t>东一楼临展厅区域管理员</w:t>
            </w:r>
          </w:p>
        </w:tc>
        <w:tc>
          <w:tcPr>
            <w:tcW w:w="2895" w:type="dxa"/>
            <w:vMerge w:val="continue"/>
            <w:noWrap/>
            <w:vAlign w:val="center"/>
          </w:tcPr>
          <w:p w14:paraId="33AF4285">
            <w:pPr>
              <w:jc w:val="center"/>
            </w:pPr>
          </w:p>
        </w:tc>
        <w:tc>
          <w:tcPr>
            <w:tcW w:w="1323" w:type="dxa"/>
            <w:noWrap/>
          </w:tcPr>
          <w:p w14:paraId="6954B3E7">
            <w:pPr>
              <w:jc w:val="center"/>
            </w:pPr>
          </w:p>
        </w:tc>
        <w:tc>
          <w:tcPr>
            <w:tcW w:w="1693" w:type="dxa"/>
            <w:vMerge w:val="continue"/>
            <w:noWrap/>
          </w:tcPr>
          <w:p w14:paraId="6341AD3A">
            <w:pPr>
              <w:jc w:val="center"/>
            </w:pPr>
          </w:p>
        </w:tc>
      </w:tr>
      <w:tr w14:paraId="402F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09" w:type="dxa"/>
            <w:noWrap/>
            <w:vAlign w:val="center"/>
          </w:tcPr>
          <w:p w14:paraId="626E0DD4">
            <w:pPr>
              <w:jc w:val="center"/>
            </w:pPr>
            <w:r>
              <w:rPr>
                <w:rFonts w:hint="eastAsia"/>
              </w:rPr>
              <w:t>14</w:t>
            </w:r>
          </w:p>
        </w:tc>
        <w:tc>
          <w:tcPr>
            <w:tcW w:w="1985" w:type="dxa"/>
            <w:noWrap/>
            <w:vAlign w:val="center"/>
          </w:tcPr>
          <w:p w14:paraId="62BD1741">
            <w:pPr>
              <w:jc w:val="center"/>
              <w:rPr>
                <w:rFonts w:ascii="宋体" w:hAnsi="宋体" w:cs="宋体"/>
              </w:rPr>
            </w:pPr>
            <w:r>
              <w:rPr>
                <w:rFonts w:hint="eastAsia" w:ascii="宋体" w:hAnsi="宋体" w:cs="宋体"/>
              </w:rPr>
              <w:t>四三楼临展厅区域管理员</w:t>
            </w:r>
          </w:p>
        </w:tc>
        <w:tc>
          <w:tcPr>
            <w:tcW w:w="2895" w:type="dxa"/>
            <w:noWrap/>
            <w:vAlign w:val="center"/>
          </w:tcPr>
          <w:p w14:paraId="3CD94295">
            <w:pPr>
              <w:jc w:val="center"/>
            </w:pPr>
          </w:p>
        </w:tc>
        <w:tc>
          <w:tcPr>
            <w:tcW w:w="1323" w:type="dxa"/>
            <w:noWrap/>
          </w:tcPr>
          <w:p w14:paraId="5707841B">
            <w:pPr>
              <w:jc w:val="center"/>
            </w:pPr>
          </w:p>
        </w:tc>
        <w:tc>
          <w:tcPr>
            <w:tcW w:w="1693" w:type="dxa"/>
            <w:noWrap/>
          </w:tcPr>
          <w:p w14:paraId="4C9E9CF2">
            <w:pPr>
              <w:jc w:val="center"/>
            </w:pPr>
            <w:r>
              <w:rPr>
                <w:rFonts w:hint="eastAsia" w:cs="宋体"/>
              </w:rPr>
              <w:t>常日班</w:t>
            </w:r>
          </w:p>
          <w:p w14:paraId="789837F2">
            <w:pPr>
              <w:jc w:val="center"/>
            </w:pPr>
          </w:p>
        </w:tc>
      </w:tr>
      <w:tr w14:paraId="74A7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09" w:type="dxa"/>
            <w:noWrap/>
            <w:vAlign w:val="center"/>
          </w:tcPr>
          <w:p w14:paraId="229A60FA">
            <w:pPr>
              <w:jc w:val="center"/>
            </w:pPr>
            <w:r>
              <w:rPr>
                <w:rFonts w:hint="eastAsia"/>
              </w:rPr>
              <w:t>15</w:t>
            </w:r>
          </w:p>
        </w:tc>
        <w:tc>
          <w:tcPr>
            <w:tcW w:w="1985" w:type="dxa"/>
            <w:noWrap/>
            <w:vAlign w:val="center"/>
          </w:tcPr>
          <w:p w14:paraId="7A1E1434">
            <w:pPr>
              <w:jc w:val="center"/>
            </w:pPr>
            <w:r>
              <w:rPr>
                <w:rFonts w:hint="eastAsia" w:cs="宋体"/>
              </w:rPr>
              <w:t>监控中心值班员（24小时）</w:t>
            </w:r>
          </w:p>
        </w:tc>
        <w:tc>
          <w:tcPr>
            <w:tcW w:w="2895" w:type="dxa"/>
            <w:noWrap/>
            <w:vAlign w:val="center"/>
          </w:tcPr>
          <w:p w14:paraId="14D14C80">
            <w:pPr>
              <w:jc w:val="center"/>
            </w:pPr>
            <w:r>
              <w:rPr>
                <w:rFonts w:hint="eastAsia"/>
                <w:kern w:val="2"/>
              </w:rPr>
              <w:t>无犯罪记录、身体健康、50岁以下；持有《</w:t>
            </w:r>
            <w:r>
              <w:rPr>
                <w:kern w:val="2"/>
              </w:rPr>
              <w:t>消防设施操作员四级</w:t>
            </w:r>
            <w:r>
              <w:rPr>
                <w:rFonts w:hint="eastAsia"/>
                <w:kern w:val="2"/>
              </w:rPr>
              <w:t>》或以上证书和《保安上岗证》；相关工作经验3年以上。</w:t>
            </w:r>
          </w:p>
        </w:tc>
        <w:tc>
          <w:tcPr>
            <w:tcW w:w="1323" w:type="dxa"/>
            <w:noWrap/>
          </w:tcPr>
          <w:p w14:paraId="667C59E8">
            <w:pPr>
              <w:jc w:val="center"/>
            </w:pPr>
          </w:p>
        </w:tc>
        <w:tc>
          <w:tcPr>
            <w:tcW w:w="1693" w:type="dxa"/>
            <w:vMerge w:val="restart"/>
            <w:noWrap/>
            <w:vAlign w:val="center"/>
          </w:tcPr>
          <w:p w14:paraId="4B8AEEB0">
            <w:pPr>
              <w:jc w:val="center"/>
            </w:pPr>
            <w:r>
              <w:rPr>
                <w:rFonts w:hint="eastAsia"/>
              </w:rPr>
              <w:t>12小时</w:t>
            </w:r>
          </w:p>
          <w:p w14:paraId="51B70B58">
            <w:pPr>
              <w:jc w:val="center"/>
            </w:pPr>
            <w:r>
              <w:t>做二休二</w:t>
            </w:r>
          </w:p>
          <w:p w14:paraId="01A3661A">
            <w:pPr>
              <w:jc w:val="left"/>
              <w:textAlignment w:val="center"/>
              <w:rPr>
                <w:rFonts w:ascii="宋体" w:hAnsi="宋体" w:cs="宋体"/>
                <w:color w:val="000000"/>
              </w:rPr>
            </w:pPr>
          </w:p>
        </w:tc>
      </w:tr>
      <w:tr w14:paraId="3ED3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09" w:type="dxa"/>
            <w:noWrap/>
            <w:vAlign w:val="center"/>
          </w:tcPr>
          <w:p w14:paraId="7C0386E2">
            <w:pPr>
              <w:jc w:val="center"/>
            </w:pPr>
            <w:r>
              <w:rPr>
                <w:rFonts w:hint="eastAsia"/>
              </w:rPr>
              <w:t>16</w:t>
            </w:r>
          </w:p>
        </w:tc>
        <w:tc>
          <w:tcPr>
            <w:tcW w:w="1985" w:type="dxa"/>
            <w:noWrap/>
            <w:vAlign w:val="center"/>
          </w:tcPr>
          <w:p w14:paraId="4F1A484D">
            <w:pPr>
              <w:jc w:val="center"/>
              <w:rPr>
                <w:rFonts w:cs="宋体"/>
              </w:rPr>
            </w:pPr>
            <w:r>
              <w:rPr>
                <w:rFonts w:hint="eastAsia" w:cs="宋体"/>
              </w:rPr>
              <w:t>外保巡逻（24小时）</w:t>
            </w:r>
          </w:p>
        </w:tc>
        <w:tc>
          <w:tcPr>
            <w:tcW w:w="2895" w:type="dxa"/>
            <w:noWrap/>
            <w:vAlign w:val="center"/>
          </w:tcPr>
          <w:p w14:paraId="729987C5">
            <w:pPr>
              <w:jc w:val="center"/>
              <w:rPr>
                <w:kern w:val="2"/>
              </w:rPr>
            </w:pPr>
            <w:r>
              <w:rPr>
                <w:rFonts w:hint="eastAsia"/>
                <w:kern w:val="2"/>
              </w:rPr>
              <w:t>无犯罪记录、身体健康、50岁以下；持有《保安上岗证》；相关工作经验1年以上，仅限男性。</w:t>
            </w:r>
          </w:p>
        </w:tc>
        <w:tc>
          <w:tcPr>
            <w:tcW w:w="1323" w:type="dxa"/>
            <w:noWrap/>
          </w:tcPr>
          <w:p w14:paraId="1FB91C78">
            <w:pPr>
              <w:jc w:val="center"/>
            </w:pPr>
          </w:p>
        </w:tc>
        <w:tc>
          <w:tcPr>
            <w:tcW w:w="1693" w:type="dxa"/>
            <w:vMerge w:val="continue"/>
            <w:noWrap/>
            <w:vAlign w:val="center"/>
          </w:tcPr>
          <w:p w14:paraId="5BA3AAEF">
            <w:pPr>
              <w:jc w:val="center"/>
            </w:pPr>
          </w:p>
        </w:tc>
      </w:tr>
      <w:tr w14:paraId="688C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709" w:type="dxa"/>
            <w:noWrap/>
            <w:vAlign w:val="center"/>
          </w:tcPr>
          <w:p w14:paraId="52B191B6">
            <w:pPr>
              <w:jc w:val="center"/>
            </w:pPr>
            <w:r>
              <w:rPr>
                <w:rFonts w:hint="eastAsia"/>
              </w:rPr>
              <w:t>17</w:t>
            </w:r>
          </w:p>
        </w:tc>
        <w:tc>
          <w:tcPr>
            <w:tcW w:w="1985" w:type="dxa"/>
            <w:noWrap/>
            <w:vAlign w:val="center"/>
          </w:tcPr>
          <w:p w14:paraId="1C49C2AE">
            <w:pPr>
              <w:jc w:val="center"/>
            </w:pPr>
            <w:r>
              <w:rPr>
                <w:rFonts w:hint="eastAsia"/>
              </w:rPr>
              <w:t>外围10A西门岗（24小时）</w:t>
            </w:r>
          </w:p>
        </w:tc>
        <w:tc>
          <w:tcPr>
            <w:tcW w:w="2895" w:type="dxa"/>
            <w:vMerge w:val="restart"/>
            <w:noWrap/>
            <w:vAlign w:val="center"/>
          </w:tcPr>
          <w:p w14:paraId="49381688">
            <w:pPr>
              <w:jc w:val="center"/>
            </w:pPr>
            <w:r>
              <w:rPr>
                <w:rFonts w:hint="eastAsia" w:ascii="宋体" w:hAnsi="宋体"/>
                <w:kern w:val="2"/>
              </w:rPr>
              <w:t>无犯罪记录、身体健康、</w:t>
            </w:r>
            <w:r>
              <w:rPr>
                <w:rFonts w:hint="eastAsia"/>
                <w:kern w:val="2"/>
              </w:rPr>
              <w:t>50</w:t>
            </w:r>
            <w:r>
              <w:rPr>
                <w:rFonts w:hint="eastAsia" w:ascii="宋体" w:hAnsi="宋体"/>
                <w:kern w:val="2"/>
              </w:rPr>
              <w:t>岁以下；持有《保安上岗证》；仅限男性。</w:t>
            </w:r>
          </w:p>
        </w:tc>
        <w:tc>
          <w:tcPr>
            <w:tcW w:w="1323" w:type="dxa"/>
            <w:noWrap/>
          </w:tcPr>
          <w:p w14:paraId="59432C68">
            <w:pPr>
              <w:jc w:val="center"/>
            </w:pPr>
          </w:p>
        </w:tc>
        <w:tc>
          <w:tcPr>
            <w:tcW w:w="1693" w:type="dxa"/>
            <w:vMerge w:val="continue"/>
            <w:noWrap/>
          </w:tcPr>
          <w:p w14:paraId="7A701C7D">
            <w:pPr>
              <w:jc w:val="center"/>
            </w:pPr>
          </w:p>
        </w:tc>
      </w:tr>
      <w:tr w14:paraId="1309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09" w:type="dxa"/>
            <w:noWrap/>
            <w:vAlign w:val="center"/>
          </w:tcPr>
          <w:p w14:paraId="3071A0B0">
            <w:pPr>
              <w:jc w:val="center"/>
            </w:pPr>
            <w:r>
              <w:rPr>
                <w:rFonts w:hint="eastAsia"/>
              </w:rPr>
              <w:t>18</w:t>
            </w:r>
          </w:p>
        </w:tc>
        <w:tc>
          <w:tcPr>
            <w:tcW w:w="1985" w:type="dxa"/>
            <w:noWrap/>
            <w:vAlign w:val="center"/>
          </w:tcPr>
          <w:p w14:paraId="3C84944C">
            <w:pPr>
              <w:jc w:val="center"/>
            </w:pPr>
            <w:r>
              <w:rPr>
                <w:rFonts w:hint="eastAsia"/>
              </w:rPr>
              <w:t>外围10C东门岗（24小时）</w:t>
            </w:r>
          </w:p>
        </w:tc>
        <w:tc>
          <w:tcPr>
            <w:tcW w:w="2895" w:type="dxa"/>
            <w:vMerge w:val="continue"/>
            <w:noWrap/>
            <w:vAlign w:val="center"/>
          </w:tcPr>
          <w:p w14:paraId="171DD0DC">
            <w:pPr>
              <w:jc w:val="center"/>
            </w:pPr>
          </w:p>
        </w:tc>
        <w:tc>
          <w:tcPr>
            <w:tcW w:w="1323" w:type="dxa"/>
            <w:noWrap/>
          </w:tcPr>
          <w:p w14:paraId="0C8BB647">
            <w:pPr>
              <w:jc w:val="center"/>
            </w:pPr>
          </w:p>
        </w:tc>
        <w:tc>
          <w:tcPr>
            <w:tcW w:w="1693" w:type="dxa"/>
            <w:vMerge w:val="continue"/>
            <w:noWrap/>
          </w:tcPr>
          <w:p w14:paraId="46F410EC">
            <w:pPr>
              <w:jc w:val="center"/>
            </w:pPr>
          </w:p>
        </w:tc>
      </w:tr>
      <w:tr w14:paraId="3598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75883002">
            <w:pPr>
              <w:jc w:val="center"/>
            </w:pPr>
            <w:r>
              <w:rPr>
                <w:rFonts w:hint="eastAsia"/>
              </w:rPr>
              <w:t>19</w:t>
            </w:r>
          </w:p>
        </w:tc>
        <w:tc>
          <w:tcPr>
            <w:tcW w:w="1985" w:type="dxa"/>
            <w:noWrap/>
            <w:vAlign w:val="center"/>
          </w:tcPr>
          <w:p w14:paraId="47BB0A9B">
            <w:pPr>
              <w:jc w:val="center"/>
            </w:pPr>
            <w:r>
              <w:rPr>
                <w:rFonts w:hint="eastAsia" w:ascii="宋体" w:hAnsi="宋体"/>
                <w:kern w:val="2"/>
              </w:rPr>
              <w:t>办公楼东门岗</w:t>
            </w:r>
            <w:r>
              <w:rPr>
                <w:rFonts w:hint="eastAsia"/>
              </w:rPr>
              <w:t>（24小时）</w:t>
            </w:r>
          </w:p>
        </w:tc>
        <w:tc>
          <w:tcPr>
            <w:tcW w:w="2895" w:type="dxa"/>
            <w:noWrap/>
            <w:vAlign w:val="center"/>
          </w:tcPr>
          <w:p w14:paraId="75FCA8DA">
            <w:pPr>
              <w:jc w:val="center"/>
              <w:rPr>
                <w:rFonts w:cs="宋体"/>
              </w:rPr>
            </w:pPr>
            <w:r>
              <w:rPr>
                <w:rFonts w:hint="eastAsia" w:cs="宋体"/>
              </w:rPr>
              <w:t>无犯罪记录、身体健康、</w:t>
            </w:r>
            <w:r>
              <w:rPr>
                <w:rFonts w:hint="eastAsia"/>
              </w:rPr>
              <w:t>50</w:t>
            </w:r>
            <w:r>
              <w:rPr>
                <w:rFonts w:hint="eastAsia" w:cs="宋体"/>
              </w:rPr>
              <w:t>岁以下；持有《保安上岗证》。</w:t>
            </w:r>
          </w:p>
        </w:tc>
        <w:tc>
          <w:tcPr>
            <w:tcW w:w="1323" w:type="dxa"/>
            <w:noWrap/>
          </w:tcPr>
          <w:p w14:paraId="77AEF3A3">
            <w:pPr>
              <w:jc w:val="center"/>
            </w:pPr>
          </w:p>
        </w:tc>
        <w:tc>
          <w:tcPr>
            <w:tcW w:w="1693" w:type="dxa"/>
            <w:vMerge w:val="continue"/>
            <w:shd w:val="clear" w:color="auto" w:fill="auto"/>
            <w:noWrap/>
            <w:vAlign w:val="center"/>
          </w:tcPr>
          <w:p w14:paraId="4F4E14F9">
            <w:pPr>
              <w:jc w:val="left"/>
              <w:textAlignment w:val="center"/>
              <w:rPr>
                <w:rFonts w:ascii="宋体" w:hAnsi="宋体" w:cs="宋体"/>
                <w:color w:val="000000"/>
              </w:rPr>
            </w:pPr>
          </w:p>
        </w:tc>
      </w:tr>
      <w:tr w14:paraId="759F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70C60B5A">
            <w:pPr>
              <w:jc w:val="center"/>
            </w:pPr>
            <w:r>
              <w:rPr>
                <w:rFonts w:hint="eastAsia"/>
              </w:rPr>
              <w:t>20</w:t>
            </w:r>
          </w:p>
        </w:tc>
        <w:tc>
          <w:tcPr>
            <w:tcW w:w="1985" w:type="dxa"/>
            <w:noWrap/>
            <w:vAlign w:val="center"/>
          </w:tcPr>
          <w:p w14:paraId="462B656F">
            <w:pPr>
              <w:jc w:val="center"/>
            </w:pPr>
            <w:r>
              <w:rPr>
                <w:rFonts w:hint="eastAsia" w:cs="宋体"/>
              </w:rPr>
              <w:t>北广场区域管理员</w:t>
            </w:r>
            <w:r>
              <w:rPr>
                <w:rFonts w:hint="eastAsia"/>
              </w:rPr>
              <w:t>（12小时）</w:t>
            </w:r>
          </w:p>
        </w:tc>
        <w:tc>
          <w:tcPr>
            <w:tcW w:w="2895" w:type="dxa"/>
            <w:noWrap/>
          </w:tcPr>
          <w:p w14:paraId="58B9040F">
            <w:pPr>
              <w:jc w:val="center"/>
            </w:pPr>
            <w:r>
              <w:rPr>
                <w:rFonts w:hint="eastAsia" w:cs="宋体"/>
              </w:rPr>
              <w:t>无犯罪记录、身体健康、</w:t>
            </w:r>
            <w:r>
              <w:rPr>
                <w:rFonts w:hint="eastAsia"/>
              </w:rPr>
              <w:t>50</w:t>
            </w:r>
            <w:r>
              <w:rPr>
                <w:rFonts w:hint="eastAsia" w:cs="宋体"/>
              </w:rPr>
              <w:t>岁以下；持有《保安上岗证》。</w:t>
            </w:r>
          </w:p>
        </w:tc>
        <w:tc>
          <w:tcPr>
            <w:tcW w:w="1323" w:type="dxa"/>
            <w:noWrap/>
          </w:tcPr>
          <w:p w14:paraId="1CB41BEF">
            <w:pPr>
              <w:jc w:val="center"/>
            </w:pPr>
          </w:p>
        </w:tc>
        <w:tc>
          <w:tcPr>
            <w:tcW w:w="1693" w:type="dxa"/>
            <w:vMerge w:val="restart"/>
            <w:noWrap/>
          </w:tcPr>
          <w:p w14:paraId="48673AAF">
            <w:pPr>
              <w:jc w:val="center"/>
            </w:pPr>
            <w:r>
              <w:rPr>
                <w:rFonts w:hint="eastAsia" w:ascii="宋体" w:hAnsi="宋体" w:cs="宋体"/>
                <w:color w:val="000000"/>
              </w:rPr>
              <w:t>常日班，闭馆时负责各类施工、维保、动火作业等现场跟进工作</w:t>
            </w:r>
          </w:p>
        </w:tc>
      </w:tr>
      <w:tr w14:paraId="2B29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08AF1B8F">
            <w:pPr>
              <w:jc w:val="center"/>
            </w:pPr>
            <w:r>
              <w:rPr>
                <w:rFonts w:hint="eastAsia"/>
              </w:rPr>
              <w:t>21</w:t>
            </w:r>
          </w:p>
        </w:tc>
        <w:tc>
          <w:tcPr>
            <w:tcW w:w="1985" w:type="dxa"/>
            <w:noWrap/>
            <w:vAlign w:val="center"/>
          </w:tcPr>
          <w:p w14:paraId="08C1CA72">
            <w:pPr>
              <w:jc w:val="center"/>
            </w:pPr>
            <w:r>
              <w:rPr>
                <w:rFonts w:hint="eastAsia" w:cs="宋体"/>
              </w:rPr>
              <w:t>室内车库管理员</w:t>
            </w:r>
            <w:r>
              <w:rPr>
                <w:rFonts w:hint="eastAsia"/>
              </w:rPr>
              <w:t>（12小时）</w:t>
            </w:r>
          </w:p>
        </w:tc>
        <w:tc>
          <w:tcPr>
            <w:tcW w:w="2895" w:type="dxa"/>
            <w:noWrap/>
          </w:tcPr>
          <w:p w14:paraId="31BCB9FD">
            <w:pPr>
              <w:jc w:val="center"/>
            </w:pPr>
            <w:r>
              <w:rPr>
                <w:rFonts w:hint="eastAsia" w:cs="宋体"/>
              </w:rPr>
              <w:t>无犯罪记录、身体健康、</w:t>
            </w:r>
            <w:r>
              <w:rPr>
                <w:rFonts w:hint="eastAsia"/>
              </w:rPr>
              <w:t>50</w:t>
            </w:r>
            <w:r>
              <w:rPr>
                <w:rFonts w:hint="eastAsia" w:cs="宋体"/>
              </w:rPr>
              <w:t>岁以下；持有《保安上岗证》。</w:t>
            </w:r>
          </w:p>
        </w:tc>
        <w:tc>
          <w:tcPr>
            <w:tcW w:w="1323" w:type="dxa"/>
            <w:noWrap/>
          </w:tcPr>
          <w:p w14:paraId="4DF29456">
            <w:pPr>
              <w:jc w:val="center"/>
            </w:pPr>
          </w:p>
        </w:tc>
        <w:tc>
          <w:tcPr>
            <w:tcW w:w="1693" w:type="dxa"/>
            <w:vMerge w:val="continue"/>
            <w:noWrap/>
          </w:tcPr>
          <w:p w14:paraId="6CA15E5F">
            <w:pPr>
              <w:jc w:val="center"/>
            </w:pPr>
          </w:p>
        </w:tc>
      </w:tr>
      <w:tr w14:paraId="712B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20DAC3C3">
            <w:pPr>
              <w:jc w:val="center"/>
            </w:pPr>
            <w:r>
              <w:rPr>
                <w:rFonts w:hint="eastAsia"/>
              </w:rPr>
              <w:t>22</w:t>
            </w:r>
          </w:p>
        </w:tc>
        <w:tc>
          <w:tcPr>
            <w:tcW w:w="1985" w:type="dxa"/>
            <w:noWrap/>
            <w:vAlign w:val="center"/>
          </w:tcPr>
          <w:p w14:paraId="4D9157C1">
            <w:pPr>
              <w:jc w:val="center"/>
              <w:rPr>
                <w:rFonts w:cs="宋体"/>
              </w:rPr>
            </w:pPr>
            <w:r>
              <w:rPr>
                <w:rFonts w:hint="eastAsia" w:cs="宋体"/>
              </w:rPr>
              <w:t>室外停车场行人出入口</w:t>
            </w:r>
            <w:r>
              <w:rPr>
                <w:rFonts w:hint="eastAsia"/>
              </w:rPr>
              <w:t>（12小时）</w:t>
            </w:r>
          </w:p>
        </w:tc>
        <w:tc>
          <w:tcPr>
            <w:tcW w:w="2895" w:type="dxa"/>
            <w:noWrap/>
          </w:tcPr>
          <w:p w14:paraId="0C04F21D">
            <w:pPr>
              <w:jc w:val="center"/>
              <w:rPr>
                <w:rFonts w:cs="宋体"/>
              </w:rPr>
            </w:pPr>
            <w:r>
              <w:rPr>
                <w:rFonts w:hint="eastAsia" w:cs="宋体"/>
              </w:rPr>
              <w:t>无犯罪记录、身体健康、</w:t>
            </w:r>
            <w:r>
              <w:rPr>
                <w:rFonts w:hint="eastAsia"/>
              </w:rPr>
              <w:t>50</w:t>
            </w:r>
            <w:r>
              <w:rPr>
                <w:rFonts w:hint="eastAsia" w:cs="宋体"/>
              </w:rPr>
              <w:t>岁以下；持有《保安上岗证》</w:t>
            </w:r>
          </w:p>
        </w:tc>
        <w:tc>
          <w:tcPr>
            <w:tcW w:w="1323" w:type="dxa"/>
            <w:noWrap/>
          </w:tcPr>
          <w:p w14:paraId="3F87A13D">
            <w:pPr>
              <w:jc w:val="center"/>
            </w:pPr>
          </w:p>
        </w:tc>
        <w:tc>
          <w:tcPr>
            <w:tcW w:w="1693" w:type="dxa"/>
            <w:vMerge w:val="continue"/>
            <w:noWrap/>
          </w:tcPr>
          <w:p w14:paraId="0B064DD9">
            <w:pPr>
              <w:jc w:val="center"/>
              <w:rPr>
                <w:rFonts w:cs="宋体"/>
              </w:rPr>
            </w:pPr>
          </w:p>
        </w:tc>
      </w:tr>
      <w:tr w14:paraId="3B4A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center"/>
          </w:tcPr>
          <w:p w14:paraId="430837B1">
            <w:pPr>
              <w:jc w:val="center"/>
            </w:pPr>
            <w:r>
              <w:rPr>
                <w:rFonts w:hint="eastAsia"/>
              </w:rPr>
              <w:t>23</w:t>
            </w:r>
          </w:p>
        </w:tc>
        <w:tc>
          <w:tcPr>
            <w:tcW w:w="1985" w:type="dxa"/>
            <w:noWrap/>
            <w:vAlign w:val="center"/>
          </w:tcPr>
          <w:p w14:paraId="72EA2C57">
            <w:pPr>
              <w:jc w:val="center"/>
              <w:rPr>
                <w:rFonts w:cs="宋体"/>
              </w:rPr>
            </w:pPr>
            <w:r>
              <w:rPr>
                <w:rFonts w:hint="eastAsia" w:cs="宋体"/>
              </w:rPr>
              <w:t>展区主入口防暴员</w:t>
            </w:r>
            <w:r>
              <w:rPr>
                <w:rFonts w:hint="eastAsia"/>
              </w:rPr>
              <w:t>（12小时）</w:t>
            </w:r>
          </w:p>
        </w:tc>
        <w:tc>
          <w:tcPr>
            <w:tcW w:w="2895" w:type="dxa"/>
            <w:noWrap/>
          </w:tcPr>
          <w:p w14:paraId="63B4C0AC">
            <w:pPr>
              <w:jc w:val="center"/>
              <w:rPr>
                <w:rFonts w:cs="宋体"/>
              </w:rPr>
            </w:pPr>
            <w:r>
              <w:rPr>
                <w:rFonts w:hint="eastAsia" w:cs="宋体"/>
              </w:rPr>
              <w:t>无犯罪记录、身体健康、</w:t>
            </w:r>
            <w:r>
              <w:rPr>
                <w:rFonts w:hint="eastAsia"/>
              </w:rPr>
              <w:t>50</w:t>
            </w:r>
            <w:r>
              <w:rPr>
                <w:rFonts w:hint="eastAsia" w:cs="宋体"/>
              </w:rPr>
              <w:t>岁以下；持有《保安上岗证》。</w:t>
            </w:r>
          </w:p>
        </w:tc>
        <w:tc>
          <w:tcPr>
            <w:tcW w:w="1323" w:type="dxa"/>
            <w:noWrap/>
          </w:tcPr>
          <w:p w14:paraId="2900A81D">
            <w:pPr>
              <w:jc w:val="center"/>
            </w:pPr>
          </w:p>
        </w:tc>
        <w:tc>
          <w:tcPr>
            <w:tcW w:w="1693" w:type="dxa"/>
            <w:vMerge w:val="continue"/>
            <w:noWrap/>
          </w:tcPr>
          <w:p w14:paraId="79A6F4B7">
            <w:pPr>
              <w:jc w:val="center"/>
              <w:rPr>
                <w:rFonts w:cs="宋体"/>
              </w:rPr>
            </w:pPr>
          </w:p>
        </w:tc>
      </w:tr>
    </w:tbl>
    <w:p w14:paraId="1F28CBFD">
      <w:pPr>
        <w:jc w:val="left"/>
      </w:pPr>
    </w:p>
    <w:p w14:paraId="5571BE7B">
      <w:pPr>
        <w:spacing w:line="360" w:lineRule="auto"/>
        <w:ind w:firstLine="420" w:firstLineChars="200"/>
      </w:pPr>
    </w:p>
    <w:p w14:paraId="50EB77C4">
      <w:pPr>
        <w:spacing w:line="360" w:lineRule="auto"/>
        <w:rPr>
          <w:rFonts w:ascii="宋体"/>
          <w:b/>
          <w:bCs/>
        </w:rPr>
      </w:pPr>
      <w:r>
        <w:rPr>
          <w:rFonts w:hint="eastAsia" w:ascii="宋体" w:hAnsi="宋体" w:cs="宋体"/>
          <w:b/>
          <w:bCs/>
        </w:rPr>
        <w:t>五、物业管理服务期限（合同）及费用结算方式</w:t>
      </w:r>
    </w:p>
    <w:p w14:paraId="0C84A3C1">
      <w:pPr>
        <w:spacing w:line="360" w:lineRule="auto"/>
        <w:ind w:firstLine="357" w:firstLineChars="170"/>
        <w:rPr>
          <w:rFonts w:ascii="宋体"/>
        </w:rPr>
      </w:pPr>
      <w:r>
        <w:rPr>
          <w:rFonts w:hint="eastAsia" w:ascii="宋体" w:hAnsi="宋体" w:cs="宋体"/>
        </w:rPr>
        <w:t>5</w:t>
      </w:r>
      <w:r>
        <w:rPr>
          <w:rFonts w:ascii="宋体" w:hAnsi="宋体" w:cs="宋体"/>
        </w:rPr>
        <w:t>.1</w:t>
      </w:r>
      <w:r>
        <w:rPr>
          <w:rFonts w:hint="eastAsia" w:ascii="宋体" w:hAnsi="宋体" w:cs="宋体"/>
        </w:rPr>
        <w:t>物业管理服务期限为：</w:t>
      </w:r>
      <w:bookmarkStart w:id="3" w:name="交付日期"/>
      <w:r>
        <w:rPr>
          <w:rFonts w:hint="eastAsia" w:ascii="宋体" w:hAnsi="宋体" w:cs="宋体"/>
        </w:rPr>
        <w:t>本项目物业服务采购采用一次招标三年沿用、合同一年一签的方式实施，项目服务期限自第一年合同签订生效之日起，期限三年。每年年终考核的结果也作为续签下年合同的依据。采购人有权根据投标人的现场服务情况，在服务期内对考核办法进行微调，如有重大调整，需与投标人协商一致后实施。。自合同签订之日起生效。</w:t>
      </w:r>
      <w:bookmarkEnd w:id="3"/>
      <w:r>
        <w:rPr>
          <w:rFonts w:hint="eastAsia" w:ascii="宋体" w:hAnsi="宋体" w:cs="宋体"/>
        </w:rPr>
        <w:t>物业管理服务费按季度支付，每年度支付比例分为30%、30%、30%、10%。中标人在合同签订后，按照合同约定向采购人提供履约保函后，采购方全额支付第一季度物业管理费。第二季度物业管理费由采购人在对上一季度考核后十个工作日内支付当季度实际物业管理服务费。中标人在履行完合同约定的全部义务且考核合格后，采购人将履约保函退还给中标人。（</w:t>
      </w:r>
      <w:r>
        <w:rPr>
          <w:rFonts w:hint="eastAsia" w:ascii="宋体" w:hAnsi="Wingdings"/>
          <w:szCs w:val="20"/>
        </w:rPr>
        <w:sym w:font="Wingdings" w:char="F076"/>
      </w:r>
      <w:r>
        <w:rPr>
          <w:rFonts w:hint="eastAsia" w:ascii="宋体" w:hAnsi="宋体" w:cs="宋体"/>
        </w:rPr>
        <w:t>详见附件二）</w:t>
      </w:r>
    </w:p>
    <w:p w14:paraId="3A7DC78D">
      <w:pPr>
        <w:spacing w:line="360" w:lineRule="auto"/>
        <w:ind w:firstLine="359" w:firstLineChars="171"/>
        <w:rPr>
          <w:rFonts w:ascii="宋体" w:hAnsi="宋体" w:cs="宋体"/>
        </w:rPr>
      </w:pPr>
      <w:r>
        <w:rPr>
          <w:rFonts w:hint="eastAsia" w:ascii="宋体" w:hAnsi="宋体" w:cs="宋体"/>
        </w:rPr>
        <w:t>5</w:t>
      </w:r>
      <w:r>
        <w:rPr>
          <w:rFonts w:ascii="宋体" w:hAnsi="宋体" w:cs="宋体"/>
        </w:rPr>
        <w:t>.2</w:t>
      </w:r>
      <w:r>
        <w:rPr>
          <w:rFonts w:hint="eastAsia" w:ascii="宋体" w:hAnsi="宋体" w:cs="宋体"/>
        </w:rPr>
        <w:t>物业管理费以一个自然年度作为预算周期进行测算，按第一年预算费用报价，并按三年累计报价。</w:t>
      </w:r>
    </w:p>
    <w:p w14:paraId="3DD3409E">
      <w:pPr>
        <w:spacing w:line="360" w:lineRule="auto"/>
        <w:ind w:firstLine="359" w:firstLineChars="171"/>
        <w:rPr>
          <w:rFonts w:ascii="宋体"/>
        </w:rPr>
      </w:pPr>
      <w:r>
        <w:rPr>
          <w:rFonts w:hint="eastAsia" w:ascii="宋体" w:hAnsi="宋体" w:cs="宋体"/>
        </w:rPr>
        <w:t>5</w:t>
      </w:r>
      <w:r>
        <w:rPr>
          <w:rFonts w:ascii="宋体" w:hAnsi="宋体" w:cs="宋体"/>
        </w:rPr>
        <w:t>.3</w:t>
      </w:r>
      <w:r>
        <w:rPr>
          <w:rFonts w:hint="eastAsia" w:ascii="宋体" w:hAnsi="宋体" w:cs="宋体"/>
        </w:rPr>
        <w:t>本项目投标文件报价无交接费。</w:t>
      </w:r>
    </w:p>
    <w:p w14:paraId="6E519D50">
      <w:pPr>
        <w:widowControl w:val="0"/>
        <w:spacing w:line="360" w:lineRule="auto"/>
        <w:ind w:firstLine="525" w:firstLineChars="250"/>
        <w:jc w:val="left"/>
        <w:rPr>
          <w:rFonts w:ascii="宋体" w:hAnsi="宋体"/>
        </w:rPr>
      </w:pPr>
      <w:r>
        <w:rPr>
          <w:rFonts w:hint="eastAsia" w:ascii="宋体" w:hAnsi="宋体" w:cs="宋体"/>
        </w:rPr>
        <w:t>5</w:t>
      </w:r>
      <w:r>
        <w:rPr>
          <w:rFonts w:ascii="宋体" w:hAnsi="宋体" w:cs="宋体"/>
        </w:rPr>
        <w:t xml:space="preserve">.4 </w:t>
      </w:r>
      <w:r>
        <w:rPr>
          <w:rFonts w:hint="eastAsia" w:ascii="宋体" w:hAnsi="宋体" w:cs="宋体"/>
        </w:rPr>
        <w:t>采购人本项目总预算为25,026,000元</w:t>
      </w:r>
      <w:r>
        <w:rPr>
          <w:rFonts w:ascii="宋体" w:hAnsi="宋体" w:cs="宋体"/>
        </w:rPr>
        <w:t>/</w:t>
      </w:r>
      <w:r>
        <w:rPr>
          <w:rFonts w:hint="eastAsia" w:ascii="宋体" w:hAnsi="宋体" w:cs="宋体"/>
        </w:rPr>
        <w:t>年，超出预算限价将不被接受。本预算为三年不变价，投标企业应充分考虑市场变化因素，避免经营风险。</w:t>
      </w:r>
      <w:r>
        <w:rPr>
          <w:rFonts w:hint="eastAsia" w:ascii="宋体" w:hAnsi="宋体"/>
        </w:rPr>
        <w:t>本项目物业管理费用应当是指招标文件中说明的全部物业管理服务内容的报酬，其中必须包括人员费用、各类委托服务费用、暂定费用、保险费用、其他投标人认为必要的费用、利润、税金及其他任何有关的费用。物业管理服务费具体包括但不限于人员运营费用（包括但不限于任何形式的工资、加班费、夜班费、值班费、差旅费、工伤、保险等与人工有关的一切费用及人工风险、通勤费、保险、劳保等一切人工费用、人员运营费。如遇节假日、大客流、大型活动等，招标方有权在合同实施过程中对人员、岗位进行适当调整，相关费用已包含在物业服务费用中）、建筑设备设施维修维护保养及日常物耗费用、公众服务日常物耗费用、环境保洁保绿维护保养及日常物耗费用、秩序维护日常物耗费用、招标文件中规定的及合同约定的全部物业管理服务内容的报酬、办公费用、绿化养护费用、清洁卫生费用、秩序维护费用、其他专项费用、各类物耗、各类委托服务费用、保险费用、管理费、利润、税金及其他任何与本项目有关的费用、包括合同明示或暗示的所有责任、义务和一切风险费用、包括投标文件承诺的各种服务费用、政策性文件规定及本项目、合同中所包含的所有责任、义务和所有风险、责任等各项费用和一切成本费用。投标方不得以任何理由要求招标方增加本项目任何费用。投标报价必须是唯一的。</w:t>
      </w:r>
    </w:p>
    <w:p w14:paraId="5CFCAACE">
      <w:pPr>
        <w:spacing w:line="360" w:lineRule="auto"/>
        <w:ind w:firstLine="210" w:firstLineChars="100"/>
        <w:rPr>
          <w:rFonts w:ascii="宋体" w:hAnsi="宋体" w:cs="宋体"/>
          <w:u w:val="single"/>
        </w:rPr>
      </w:pPr>
      <w:r>
        <w:rPr>
          <w:rFonts w:hint="eastAsia" w:ascii="宋体" w:hAnsi="宋体" w:cs="宋体"/>
          <w:u w:val="single"/>
        </w:rPr>
        <w:t>物业管理服务成本包括但不限于以下内容：</w:t>
      </w:r>
    </w:p>
    <w:p w14:paraId="60E8F6AA">
      <w:pPr>
        <w:pStyle w:val="16"/>
        <w:widowControl/>
        <w:spacing w:line="360" w:lineRule="auto"/>
        <w:ind w:left="360" w:firstLine="0" w:firstLineChars="0"/>
        <w:jc w:val="left"/>
        <w:rPr>
          <w:rFonts w:ascii="宋体" w:hAnsi="宋体" w:cs="宋体"/>
          <w:u w:val="single"/>
        </w:rPr>
      </w:pPr>
      <w:r>
        <w:rPr>
          <w:rFonts w:hint="eastAsia" w:ascii="宋体" w:hAnsi="宋体" w:cs="宋体"/>
          <w:u w:val="single"/>
        </w:rPr>
        <w:t>5.4.1人员工资包括但不限于基本工资、岗位工资、绩效工资等所有工资性支出。</w:t>
      </w:r>
    </w:p>
    <w:p w14:paraId="4D57E4F0">
      <w:pPr>
        <w:pStyle w:val="16"/>
        <w:widowControl/>
        <w:spacing w:line="360" w:lineRule="auto"/>
        <w:ind w:left="360" w:firstLine="0" w:firstLineChars="0"/>
        <w:jc w:val="left"/>
        <w:rPr>
          <w:rFonts w:ascii="宋体" w:hAnsi="宋体" w:cs="宋体"/>
          <w:u w:val="single"/>
        </w:rPr>
      </w:pPr>
      <w:r>
        <w:rPr>
          <w:rFonts w:hint="eastAsia" w:ascii="宋体" w:hAnsi="宋体" w:cs="宋体"/>
          <w:u w:val="single"/>
        </w:rPr>
        <w:t>5.4.2人员福利包括但不限于人员社保、服装劳防、高温津贴、雇主责任险、国定假日加班工资等福利性支出。</w:t>
      </w:r>
    </w:p>
    <w:p w14:paraId="01376ADB">
      <w:pPr>
        <w:pStyle w:val="16"/>
        <w:widowControl/>
        <w:spacing w:line="360" w:lineRule="auto"/>
        <w:ind w:left="360" w:firstLine="0" w:firstLineChars="0"/>
        <w:jc w:val="left"/>
        <w:rPr>
          <w:rFonts w:ascii="宋体" w:hAnsi="宋体" w:cs="宋体"/>
          <w:u w:val="single"/>
        </w:rPr>
      </w:pPr>
      <w:r>
        <w:rPr>
          <w:rFonts w:hint="eastAsia" w:ascii="宋体" w:hAnsi="宋体" w:cs="宋体"/>
          <w:u w:val="single"/>
        </w:rPr>
        <w:t>5.4.3企业管理费及计划利润。</w:t>
      </w:r>
    </w:p>
    <w:p w14:paraId="456D3B94">
      <w:pPr>
        <w:pStyle w:val="16"/>
        <w:widowControl/>
        <w:spacing w:line="360" w:lineRule="auto"/>
        <w:ind w:left="360" w:firstLine="0" w:firstLineChars="0"/>
        <w:jc w:val="left"/>
        <w:rPr>
          <w:rFonts w:ascii="宋体" w:hAnsi="宋体" w:cs="宋体"/>
          <w:u w:val="single"/>
        </w:rPr>
      </w:pPr>
      <w:r>
        <w:rPr>
          <w:rFonts w:hint="eastAsia" w:ascii="宋体" w:hAnsi="宋体" w:cs="宋体"/>
          <w:u w:val="single"/>
        </w:rPr>
        <w:t>5.4.4营业税金。</w:t>
      </w:r>
    </w:p>
    <w:p w14:paraId="4D567519">
      <w:pPr>
        <w:pStyle w:val="16"/>
        <w:widowControl/>
        <w:spacing w:line="360" w:lineRule="auto"/>
        <w:ind w:left="360" w:firstLine="0" w:firstLineChars="0"/>
        <w:jc w:val="left"/>
        <w:rPr>
          <w:rFonts w:ascii="宋体" w:hAnsi="宋体" w:cs="宋体"/>
          <w:u w:val="single"/>
        </w:rPr>
      </w:pPr>
      <w:r>
        <w:rPr>
          <w:rFonts w:hint="eastAsia" w:ascii="宋体" w:hAnsi="宋体" w:cs="宋体"/>
          <w:u w:val="single"/>
        </w:rPr>
        <w:t>5.4.5投标企业认为与本项目管理服务相关的其他费用。</w:t>
      </w:r>
    </w:p>
    <w:p w14:paraId="28589D59">
      <w:pPr>
        <w:pStyle w:val="16"/>
        <w:widowControl/>
        <w:spacing w:line="360" w:lineRule="auto"/>
        <w:ind w:left="360" w:firstLine="0" w:firstLineChars="0"/>
        <w:jc w:val="left"/>
        <w:rPr>
          <w:rFonts w:ascii="宋体" w:hAnsi="宋体" w:cs="宋体"/>
          <w:u w:val="single"/>
        </w:rPr>
      </w:pPr>
    </w:p>
    <w:p w14:paraId="2D2A0402">
      <w:pPr>
        <w:pStyle w:val="16"/>
        <w:widowControl/>
        <w:spacing w:line="360" w:lineRule="auto"/>
        <w:ind w:left="360" w:firstLine="0" w:firstLineChars="0"/>
        <w:jc w:val="left"/>
        <w:rPr>
          <w:rFonts w:ascii="宋体" w:hAnsi="宋体" w:cs="宋体"/>
          <w:b/>
          <w:u w:val="single"/>
        </w:rPr>
      </w:pPr>
      <w:r>
        <w:rPr>
          <w:rFonts w:ascii="宋体" w:hAnsi="宋体" w:cs="宋体"/>
          <w:b/>
          <w:u w:val="single"/>
        </w:rPr>
        <w:t>5.4.6常规设备</w:t>
      </w:r>
      <w:r>
        <w:rPr>
          <w:rFonts w:hint="eastAsia" w:ascii="宋体" w:hAnsi="宋体" w:cs="宋体"/>
          <w:b/>
          <w:u w:val="single"/>
        </w:rPr>
        <w:t>设施维保、设备及表类年检、保洁维护、设备设施财产险</w:t>
      </w:r>
      <w:r>
        <w:rPr>
          <w:rFonts w:hint="eastAsia" w:ascii="宋体"/>
          <w:b/>
        </w:rPr>
        <w:t>（固定报价）</w:t>
      </w:r>
    </w:p>
    <w:p w14:paraId="654D69CD">
      <w:pPr>
        <w:pStyle w:val="16"/>
        <w:widowControl/>
        <w:spacing w:line="360" w:lineRule="auto"/>
        <w:ind w:left="360" w:firstLine="0" w:firstLineChars="0"/>
        <w:jc w:val="left"/>
        <w:rPr>
          <w:rFonts w:ascii="宋体" w:hAnsi="宋体" w:cs="宋体"/>
          <w:b/>
          <w:u w:val="single"/>
        </w:rPr>
      </w:pPr>
      <w:r>
        <w:rPr>
          <w:rFonts w:ascii="宋体" w:hAnsi="宋体" w:cs="宋体"/>
          <w:b/>
          <w:u w:val="single"/>
        </w:rPr>
        <w:t>常规设备</w:t>
      </w:r>
      <w:r>
        <w:rPr>
          <w:rFonts w:hint="eastAsia" w:ascii="宋体" w:hAnsi="宋体" w:cs="宋体"/>
          <w:b/>
          <w:u w:val="single"/>
        </w:rPr>
        <w:t>设施维保、设备及表类年检、保洁维护、设备设施财产险（包括但不限于下表内容），</w:t>
      </w:r>
      <w:r>
        <w:rPr>
          <w:rFonts w:ascii="宋体" w:hAnsi="宋体" w:cs="宋体"/>
          <w:b/>
          <w:u w:val="single"/>
        </w:rPr>
        <w:t>常规设备</w:t>
      </w:r>
      <w:r>
        <w:rPr>
          <w:rFonts w:hint="eastAsia" w:ascii="宋体" w:hAnsi="宋体" w:cs="宋体"/>
          <w:b/>
          <w:u w:val="single"/>
        </w:rPr>
        <w:t>设施维保、设备及表类年检、保洁维护、设备设施财产险</w:t>
      </w:r>
      <w:r>
        <w:rPr>
          <w:rFonts w:hint="eastAsia"/>
        </w:rPr>
        <w:t>已包含在本项目物业服务费用中，招标方无需另行支付。</w:t>
      </w:r>
      <w:r>
        <w:rPr>
          <w:rFonts w:ascii="宋体" w:hAnsi="宋体" w:cs="宋体"/>
          <w:b/>
          <w:u w:val="single"/>
        </w:rPr>
        <w:t>常规设备</w:t>
      </w:r>
      <w:r>
        <w:rPr>
          <w:rFonts w:hint="eastAsia" w:ascii="宋体" w:hAnsi="宋体" w:cs="宋体"/>
          <w:b/>
          <w:u w:val="single"/>
        </w:rPr>
        <w:t>设施维保、设备及表类年检、保洁维护、设备设施财产险</w:t>
      </w:r>
      <w:r>
        <w:rPr>
          <w:rFonts w:hint="eastAsia" w:ascii="宋体"/>
        </w:rPr>
        <w:t>的使用采用预决算制，按实结算，中标单位使用前需申请并报采购人批准后方可使用。</w:t>
      </w:r>
    </w:p>
    <w:tbl>
      <w:tblPr>
        <w:tblStyle w:val="10"/>
        <w:tblW w:w="8522" w:type="dxa"/>
        <w:tblInd w:w="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30"/>
        <w:gridCol w:w="2130"/>
        <w:gridCol w:w="2131"/>
        <w:gridCol w:w="2131"/>
      </w:tblGrid>
      <w:tr w14:paraId="13582A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14:paraId="18CA11BB">
            <w:pPr>
              <w:pStyle w:val="16"/>
              <w:widowControl/>
              <w:spacing w:line="360" w:lineRule="auto"/>
              <w:ind w:firstLine="0" w:firstLineChars="0"/>
              <w:jc w:val="left"/>
              <w:rPr>
                <w:rFonts w:ascii="宋体" w:hAnsi="宋体" w:cs="宋体"/>
                <w:u w:val="single"/>
              </w:rPr>
            </w:pPr>
            <w:r>
              <w:rPr>
                <w:rFonts w:ascii="宋体" w:hAnsi="宋体" w:cs="宋体"/>
                <w:u w:val="single"/>
              </w:rPr>
              <w:t>项目名称</w:t>
            </w:r>
          </w:p>
        </w:tc>
        <w:tc>
          <w:tcPr>
            <w:tcW w:w="2130" w:type="dxa"/>
          </w:tcPr>
          <w:p w14:paraId="1DC10D66">
            <w:pPr>
              <w:pStyle w:val="16"/>
              <w:widowControl/>
              <w:spacing w:line="360" w:lineRule="auto"/>
              <w:ind w:firstLine="0" w:firstLineChars="0"/>
              <w:jc w:val="left"/>
              <w:rPr>
                <w:rFonts w:ascii="宋体" w:hAnsi="宋体" w:cs="宋体"/>
                <w:u w:val="single"/>
              </w:rPr>
            </w:pPr>
            <w:r>
              <w:rPr>
                <w:rFonts w:ascii="宋体" w:hAnsi="宋体" w:cs="宋体"/>
                <w:u w:val="single"/>
              </w:rPr>
              <w:t>具体内容</w:t>
            </w:r>
          </w:p>
        </w:tc>
        <w:tc>
          <w:tcPr>
            <w:tcW w:w="2131" w:type="dxa"/>
          </w:tcPr>
          <w:p w14:paraId="23F39632">
            <w:pPr>
              <w:pStyle w:val="16"/>
              <w:widowControl/>
              <w:spacing w:line="360" w:lineRule="auto"/>
              <w:ind w:firstLine="0" w:firstLineChars="0"/>
              <w:jc w:val="left"/>
              <w:rPr>
                <w:rFonts w:ascii="宋体" w:hAnsi="宋体" w:cs="宋体"/>
                <w:u w:val="single"/>
              </w:rPr>
            </w:pPr>
            <w:r>
              <w:rPr>
                <w:rFonts w:ascii="宋体" w:hAnsi="宋体" w:cs="宋体"/>
                <w:u w:val="single"/>
              </w:rPr>
              <w:t>明细金额</w:t>
            </w:r>
          </w:p>
        </w:tc>
        <w:tc>
          <w:tcPr>
            <w:tcW w:w="2131" w:type="dxa"/>
          </w:tcPr>
          <w:p w14:paraId="0A947E96">
            <w:pPr>
              <w:pStyle w:val="16"/>
              <w:widowControl/>
              <w:spacing w:line="360" w:lineRule="auto"/>
              <w:ind w:firstLine="0" w:firstLineChars="0"/>
              <w:jc w:val="left"/>
              <w:rPr>
                <w:rFonts w:ascii="宋体" w:hAnsi="宋体" w:cs="宋体"/>
                <w:u w:val="single"/>
              </w:rPr>
            </w:pPr>
            <w:r>
              <w:rPr>
                <w:rFonts w:ascii="宋体" w:hAnsi="宋体" w:cs="宋体"/>
                <w:u w:val="single"/>
              </w:rPr>
              <w:t>总金额</w:t>
            </w:r>
          </w:p>
        </w:tc>
      </w:tr>
      <w:tr w14:paraId="66D173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restart"/>
          </w:tcPr>
          <w:p w14:paraId="3124B50D">
            <w:pPr>
              <w:pStyle w:val="16"/>
              <w:widowControl/>
              <w:spacing w:line="360" w:lineRule="auto"/>
              <w:ind w:firstLine="0" w:firstLineChars="0"/>
              <w:jc w:val="left"/>
              <w:rPr>
                <w:rFonts w:ascii="宋体" w:hAnsi="宋体" w:cs="宋体"/>
                <w:u w:val="single"/>
              </w:rPr>
            </w:pPr>
            <w:r>
              <w:rPr>
                <w:rFonts w:ascii="宋体" w:hAnsi="宋体" w:cs="宋体"/>
                <w:u w:val="single"/>
              </w:rPr>
              <w:t>常规设备设施维保</w:t>
            </w:r>
          </w:p>
        </w:tc>
        <w:tc>
          <w:tcPr>
            <w:tcW w:w="2130" w:type="dxa"/>
          </w:tcPr>
          <w:p w14:paraId="0E4B5BA2">
            <w:pPr>
              <w:pStyle w:val="16"/>
              <w:widowControl/>
              <w:spacing w:line="360" w:lineRule="auto"/>
              <w:jc w:val="left"/>
              <w:rPr>
                <w:rFonts w:ascii="宋体" w:hAnsi="宋体" w:cs="宋体"/>
                <w:u w:val="single"/>
              </w:rPr>
            </w:pPr>
            <w:r>
              <w:rPr>
                <w:rFonts w:hint="eastAsia" w:ascii="宋体" w:hAnsi="宋体" w:cs="宋体"/>
                <w:u w:val="single"/>
              </w:rPr>
              <w:t>自动门(12扇平移式自动门)</w:t>
            </w:r>
          </w:p>
        </w:tc>
        <w:tc>
          <w:tcPr>
            <w:tcW w:w="2131" w:type="dxa"/>
          </w:tcPr>
          <w:p w14:paraId="2B64703B">
            <w:pPr>
              <w:pStyle w:val="16"/>
              <w:widowControl/>
              <w:spacing w:line="360" w:lineRule="auto"/>
              <w:jc w:val="left"/>
              <w:rPr>
                <w:rFonts w:ascii="宋体" w:hAnsi="宋体" w:cs="宋体"/>
                <w:u w:val="single"/>
              </w:rPr>
            </w:pPr>
            <w:r>
              <w:rPr>
                <w:rFonts w:ascii="宋体" w:hAnsi="宋体" w:cs="宋体"/>
                <w:u w:val="single"/>
              </w:rPr>
              <w:t>18000</w:t>
            </w:r>
            <w:r>
              <w:rPr>
                <w:rFonts w:hint="eastAsia" w:ascii="宋体" w:hAnsi="宋体" w:cs="宋体"/>
                <w:u w:val="single"/>
              </w:rPr>
              <w:t>.00</w:t>
            </w:r>
          </w:p>
        </w:tc>
        <w:tc>
          <w:tcPr>
            <w:tcW w:w="2131" w:type="dxa"/>
            <w:vMerge w:val="restart"/>
          </w:tcPr>
          <w:p w14:paraId="689FA232">
            <w:pPr>
              <w:pStyle w:val="16"/>
              <w:widowControl/>
              <w:spacing w:line="360" w:lineRule="auto"/>
              <w:ind w:firstLine="0" w:firstLineChars="0"/>
              <w:jc w:val="left"/>
              <w:rPr>
                <w:rFonts w:ascii="宋体" w:hAnsi="宋体" w:cs="宋体"/>
                <w:u w:val="single"/>
              </w:rPr>
            </w:pPr>
            <w:r>
              <w:rPr>
                <w:rFonts w:hint="eastAsia" w:ascii="宋体" w:hAnsi="宋体" w:cs="宋体"/>
                <w:u w:val="single"/>
              </w:rPr>
              <w:t>389000.00</w:t>
            </w:r>
          </w:p>
        </w:tc>
      </w:tr>
      <w:tr w14:paraId="67AFA3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1A8A21DC">
            <w:pPr>
              <w:pStyle w:val="16"/>
              <w:widowControl/>
              <w:spacing w:line="360" w:lineRule="auto"/>
              <w:ind w:firstLine="0" w:firstLineChars="0"/>
              <w:jc w:val="left"/>
              <w:rPr>
                <w:rFonts w:ascii="宋体" w:hAnsi="宋体" w:cs="宋体"/>
                <w:u w:val="single"/>
              </w:rPr>
            </w:pPr>
          </w:p>
        </w:tc>
        <w:tc>
          <w:tcPr>
            <w:tcW w:w="2130" w:type="dxa"/>
          </w:tcPr>
          <w:p w14:paraId="443B69C1">
            <w:pPr>
              <w:pStyle w:val="16"/>
              <w:widowControl/>
              <w:spacing w:line="360" w:lineRule="auto"/>
              <w:jc w:val="left"/>
              <w:rPr>
                <w:rFonts w:ascii="宋体" w:hAnsi="宋体" w:cs="宋体"/>
                <w:u w:val="single"/>
              </w:rPr>
            </w:pPr>
            <w:r>
              <w:rPr>
                <w:rFonts w:hint="eastAsia" w:ascii="宋体" w:hAnsi="宋体" w:cs="宋体"/>
                <w:u w:val="single"/>
              </w:rPr>
              <w:t>柴油发电机1台</w:t>
            </w:r>
          </w:p>
        </w:tc>
        <w:tc>
          <w:tcPr>
            <w:tcW w:w="2131" w:type="dxa"/>
          </w:tcPr>
          <w:p w14:paraId="046ED8B8">
            <w:pPr>
              <w:pStyle w:val="16"/>
              <w:widowControl/>
              <w:spacing w:line="360" w:lineRule="auto"/>
              <w:ind w:firstLine="0" w:firstLineChars="0"/>
              <w:jc w:val="left"/>
              <w:rPr>
                <w:rFonts w:ascii="宋体" w:hAnsi="宋体" w:cs="宋体"/>
                <w:u w:val="single"/>
              </w:rPr>
            </w:pPr>
            <w:r>
              <w:rPr>
                <w:rFonts w:hint="eastAsia" w:ascii="宋体" w:hAnsi="宋体" w:cs="宋体"/>
                <w:u w:val="single"/>
              </w:rPr>
              <w:t>12000.00</w:t>
            </w:r>
          </w:p>
        </w:tc>
        <w:tc>
          <w:tcPr>
            <w:tcW w:w="2131" w:type="dxa"/>
            <w:vMerge w:val="continue"/>
          </w:tcPr>
          <w:p w14:paraId="4AED790D">
            <w:pPr>
              <w:pStyle w:val="16"/>
              <w:widowControl/>
              <w:spacing w:line="360" w:lineRule="auto"/>
              <w:ind w:firstLine="0" w:firstLineChars="0"/>
              <w:jc w:val="left"/>
              <w:rPr>
                <w:rFonts w:ascii="宋体" w:hAnsi="宋体" w:cs="宋体"/>
                <w:u w:val="single"/>
              </w:rPr>
            </w:pPr>
          </w:p>
        </w:tc>
      </w:tr>
      <w:tr w14:paraId="450E0A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5BF4B64F">
            <w:pPr>
              <w:pStyle w:val="16"/>
              <w:widowControl/>
              <w:spacing w:line="360" w:lineRule="auto"/>
              <w:ind w:firstLine="0" w:firstLineChars="0"/>
              <w:jc w:val="left"/>
              <w:rPr>
                <w:rFonts w:ascii="宋体" w:hAnsi="宋体" w:cs="宋体"/>
                <w:u w:val="single"/>
              </w:rPr>
            </w:pPr>
          </w:p>
        </w:tc>
        <w:tc>
          <w:tcPr>
            <w:tcW w:w="2130" w:type="dxa"/>
          </w:tcPr>
          <w:p w14:paraId="1940EA79">
            <w:pPr>
              <w:pStyle w:val="16"/>
              <w:widowControl/>
              <w:spacing w:line="360" w:lineRule="auto"/>
              <w:ind w:firstLine="0" w:firstLineChars="0"/>
              <w:jc w:val="center"/>
              <w:rPr>
                <w:rFonts w:ascii="宋体" w:hAnsi="宋体" w:cs="宋体"/>
                <w:u w:val="single"/>
              </w:rPr>
            </w:pPr>
            <w:r>
              <w:rPr>
                <w:rFonts w:hint="eastAsia" w:ascii="宋体" w:hAnsi="宋体" w:cs="宋体"/>
                <w:u w:val="single"/>
              </w:rPr>
              <w:t>溴化锂机组2台</w:t>
            </w:r>
          </w:p>
        </w:tc>
        <w:tc>
          <w:tcPr>
            <w:tcW w:w="2131" w:type="dxa"/>
          </w:tcPr>
          <w:p w14:paraId="44642ADE">
            <w:pPr>
              <w:pStyle w:val="16"/>
              <w:widowControl/>
              <w:spacing w:line="360" w:lineRule="auto"/>
              <w:ind w:firstLine="0" w:firstLineChars="0"/>
              <w:jc w:val="left"/>
              <w:rPr>
                <w:rFonts w:ascii="宋体" w:hAnsi="宋体" w:cs="宋体"/>
                <w:u w:val="single"/>
              </w:rPr>
            </w:pPr>
            <w:r>
              <w:rPr>
                <w:rFonts w:hint="eastAsia" w:ascii="宋体" w:hAnsi="宋体" w:cs="宋体"/>
                <w:u w:val="single"/>
              </w:rPr>
              <w:t>60000.00</w:t>
            </w:r>
          </w:p>
        </w:tc>
        <w:tc>
          <w:tcPr>
            <w:tcW w:w="2131" w:type="dxa"/>
            <w:vMerge w:val="continue"/>
          </w:tcPr>
          <w:p w14:paraId="1E8E5925">
            <w:pPr>
              <w:pStyle w:val="16"/>
              <w:widowControl/>
              <w:spacing w:line="360" w:lineRule="auto"/>
              <w:ind w:firstLine="0" w:firstLineChars="0"/>
              <w:jc w:val="left"/>
              <w:rPr>
                <w:rFonts w:ascii="宋体" w:hAnsi="宋体" w:cs="宋体"/>
                <w:u w:val="single"/>
              </w:rPr>
            </w:pPr>
          </w:p>
        </w:tc>
      </w:tr>
      <w:tr w14:paraId="78A239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26E20B78">
            <w:pPr>
              <w:pStyle w:val="16"/>
              <w:widowControl/>
              <w:spacing w:line="360" w:lineRule="auto"/>
              <w:ind w:firstLine="0" w:firstLineChars="0"/>
              <w:jc w:val="left"/>
              <w:rPr>
                <w:rFonts w:ascii="宋体" w:hAnsi="宋体" w:cs="宋体"/>
                <w:u w:val="single"/>
              </w:rPr>
            </w:pPr>
          </w:p>
        </w:tc>
        <w:tc>
          <w:tcPr>
            <w:tcW w:w="2130" w:type="dxa"/>
          </w:tcPr>
          <w:p w14:paraId="3135379C">
            <w:pPr>
              <w:pStyle w:val="16"/>
              <w:widowControl/>
              <w:spacing w:line="360" w:lineRule="auto"/>
              <w:jc w:val="left"/>
              <w:rPr>
                <w:rFonts w:ascii="宋体" w:hAnsi="宋体" w:cs="宋体"/>
                <w:u w:val="single"/>
              </w:rPr>
            </w:pPr>
            <w:r>
              <w:rPr>
                <w:rFonts w:hint="eastAsia" w:ascii="宋体" w:hAnsi="宋体" w:cs="宋体"/>
                <w:u w:val="single"/>
              </w:rPr>
              <w:t>天然气调压箱和报警切断系统维护</w:t>
            </w:r>
          </w:p>
        </w:tc>
        <w:tc>
          <w:tcPr>
            <w:tcW w:w="2131" w:type="dxa"/>
          </w:tcPr>
          <w:p w14:paraId="2390EB2D">
            <w:pPr>
              <w:pStyle w:val="16"/>
              <w:widowControl/>
              <w:spacing w:line="360" w:lineRule="auto"/>
              <w:ind w:firstLine="0" w:firstLineChars="0"/>
              <w:jc w:val="center"/>
              <w:rPr>
                <w:rFonts w:ascii="宋体" w:hAnsi="宋体" w:cs="宋体"/>
                <w:u w:val="single"/>
              </w:rPr>
            </w:pPr>
            <w:r>
              <w:rPr>
                <w:rFonts w:ascii="宋体" w:hAnsi="宋体" w:cs="宋体"/>
                <w:u w:val="single"/>
              </w:rPr>
              <w:t>9000</w:t>
            </w:r>
            <w:r>
              <w:rPr>
                <w:rFonts w:hint="eastAsia" w:ascii="宋体" w:hAnsi="宋体" w:cs="宋体"/>
                <w:u w:val="single"/>
              </w:rPr>
              <w:t>.00</w:t>
            </w:r>
          </w:p>
        </w:tc>
        <w:tc>
          <w:tcPr>
            <w:tcW w:w="2131" w:type="dxa"/>
            <w:vMerge w:val="continue"/>
          </w:tcPr>
          <w:p w14:paraId="10A0B76D">
            <w:pPr>
              <w:pStyle w:val="16"/>
              <w:widowControl/>
              <w:spacing w:line="360" w:lineRule="auto"/>
              <w:ind w:firstLine="0" w:firstLineChars="0"/>
              <w:jc w:val="left"/>
              <w:rPr>
                <w:rFonts w:ascii="宋体" w:hAnsi="宋体" w:cs="宋体"/>
                <w:u w:val="single"/>
              </w:rPr>
            </w:pPr>
          </w:p>
        </w:tc>
      </w:tr>
      <w:tr w14:paraId="309622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7C80C529">
            <w:pPr>
              <w:pStyle w:val="16"/>
              <w:widowControl/>
              <w:spacing w:line="360" w:lineRule="auto"/>
              <w:ind w:firstLine="0" w:firstLineChars="0"/>
              <w:jc w:val="left"/>
              <w:rPr>
                <w:rFonts w:ascii="宋体" w:hAnsi="宋体" w:cs="宋体"/>
                <w:u w:val="single"/>
              </w:rPr>
            </w:pPr>
          </w:p>
        </w:tc>
        <w:tc>
          <w:tcPr>
            <w:tcW w:w="2130" w:type="dxa"/>
          </w:tcPr>
          <w:p w14:paraId="4064B9E2">
            <w:pPr>
              <w:pStyle w:val="16"/>
              <w:widowControl/>
              <w:spacing w:line="360" w:lineRule="auto"/>
              <w:jc w:val="left"/>
              <w:rPr>
                <w:rFonts w:ascii="宋体" w:hAnsi="宋体" w:cs="宋体"/>
                <w:u w:val="single"/>
              </w:rPr>
            </w:pPr>
            <w:r>
              <w:rPr>
                <w:rFonts w:hint="eastAsia" w:ascii="宋体" w:hAnsi="宋体" w:cs="宋体"/>
                <w:u w:val="single"/>
              </w:rPr>
              <w:t>帆体安全监测(帆体面积:14500平方米、帆体内外索网:4000平方米)</w:t>
            </w:r>
          </w:p>
        </w:tc>
        <w:tc>
          <w:tcPr>
            <w:tcW w:w="2131" w:type="dxa"/>
          </w:tcPr>
          <w:p w14:paraId="76FACEDB">
            <w:pPr>
              <w:pStyle w:val="16"/>
              <w:widowControl/>
              <w:spacing w:line="360" w:lineRule="auto"/>
              <w:ind w:firstLine="0" w:firstLineChars="0"/>
              <w:jc w:val="left"/>
              <w:rPr>
                <w:rFonts w:ascii="宋体" w:hAnsi="宋体" w:cs="宋体"/>
                <w:u w:val="single"/>
              </w:rPr>
            </w:pPr>
            <w:r>
              <w:rPr>
                <w:rFonts w:hint="eastAsia" w:ascii="宋体" w:hAnsi="宋体" w:cs="宋体"/>
                <w:u w:val="single"/>
              </w:rPr>
              <w:t>80000.00</w:t>
            </w:r>
          </w:p>
        </w:tc>
        <w:tc>
          <w:tcPr>
            <w:tcW w:w="2131" w:type="dxa"/>
            <w:vMerge w:val="continue"/>
          </w:tcPr>
          <w:p w14:paraId="578C1C5F">
            <w:pPr>
              <w:pStyle w:val="16"/>
              <w:widowControl/>
              <w:spacing w:line="360" w:lineRule="auto"/>
              <w:ind w:firstLine="0" w:firstLineChars="0"/>
              <w:jc w:val="left"/>
              <w:rPr>
                <w:rFonts w:ascii="宋体" w:hAnsi="宋体" w:cs="宋体"/>
                <w:u w:val="single"/>
              </w:rPr>
            </w:pPr>
          </w:p>
        </w:tc>
      </w:tr>
      <w:tr w14:paraId="0F843E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0CD547BE">
            <w:pPr>
              <w:pStyle w:val="16"/>
              <w:widowControl/>
              <w:spacing w:line="360" w:lineRule="auto"/>
              <w:ind w:firstLine="0" w:firstLineChars="0"/>
              <w:jc w:val="left"/>
              <w:rPr>
                <w:rFonts w:ascii="宋体" w:hAnsi="宋体" w:cs="宋体"/>
                <w:u w:val="single"/>
              </w:rPr>
            </w:pPr>
          </w:p>
        </w:tc>
        <w:tc>
          <w:tcPr>
            <w:tcW w:w="2130" w:type="dxa"/>
          </w:tcPr>
          <w:p w14:paraId="44603C18">
            <w:pPr>
              <w:pStyle w:val="16"/>
              <w:widowControl/>
              <w:spacing w:line="360" w:lineRule="auto"/>
              <w:jc w:val="left"/>
              <w:rPr>
                <w:rFonts w:ascii="宋体" w:hAnsi="宋体" w:cs="宋体"/>
                <w:u w:val="single"/>
              </w:rPr>
            </w:pPr>
            <w:r>
              <w:rPr>
                <w:rFonts w:hint="eastAsia" w:ascii="宋体" w:hAnsi="宋体" w:cs="宋体"/>
                <w:u w:val="single"/>
              </w:rPr>
              <w:t>建筑沉降观测(79个沉降观测点，全年5次建筑沉降观测技术服务)</w:t>
            </w:r>
          </w:p>
        </w:tc>
        <w:tc>
          <w:tcPr>
            <w:tcW w:w="2131" w:type="dxa"/>
          </w:tcPr>
          <w:p w14:paraId="5E16AF19">
            <w:pPr>
              <w:pStyle w:val="16"/>
              <w:widowControl/>
              <w:spacing w:line="360" w:lineRule="auto"/>
              <w:ind w:firstLine="0" w:firstLineChars="0"/>
              <w:jc w:val="left"/>
              <w:rPr>
                <w:rFonts w:ascii="宋体" w:hAnsi="宋体" w:cs="宋体"/>
                <w:u w:val="single"/>
              </w:rPr>
            </w:pPr>
            <w:r>
              <w:rPr>
                <w:rFonts w:hint="eastAsia" w:ascii="宋体" w:hAnsi="宋体" w:cs="宋体"/>
                <w:u w:val="single"/>
              </w:rPr>
              <w:t>32000.00</w:t>
            </w:r>
          </w:p>
        </w:tc>
        <w:tc>
          <w:tcPr>
            <w:tcW w:w="2131" w:type="dxa"/>
            <w:vMerge w:val="continue"/>
          </w:tcPr>
          <w:p w14:paraId="70E3C8CC">
            <w:pPr>
              <w:pStyle w:val="16"/>
              <w:widowControl/>
              <w:spacing w:line="360" w:lineRule="auto"/>
              <w:ind w:firstLine="0" w:firstLineChars="0"/>
              <w:jc w:val="left"/>
              <w:rPr>
                <w:rFonts w:ascii="宋体" w:hAnsi="宋体" w:cs="宋体"/>
                <w:u w:val="single"/>
              </w:rPr>
            </w:pPr>
          </w:p>
        </w:tc>
      </w:tr>
      <w:tr w14:paraId="4CA0AD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4E16FE98">
            <w:pPr>
              <w:pStyle w:val="16"/>
              <w:widowControl/>
              <w:spacing w:line="360" w:lineRule="auto"/>
              <w:ind w:firstLine="0" w:firstLineChars="0"/>
              <w:jc w:val="left"/>
              <w:rPr>
                <w:rFonts w:ascii="宋体" w:hAnsi="宋体" w:cs="宋体"/>
                <w:u w:val="single"/>
              </w:rPr>
            </w:pPr>
          </w:p>
        </w:tc>
        <w:tc>
          <w:tcPr>
            <w:tcW w:w="2130" w:type="dxa"/>
          </w:tcPr>
          <w:p w14:paraId="30689A6E">
            <w:pPr>
              <w:pStyle w:val="16"/>
              <w:widowControl/>
              <w:spacing w:line="360" w:lineRule="auto"/>
              <w:jc w:val="left"/>
              <w:rPr>
                <w:rFonts w:ascii="宋体" w:hAnsi="宋体" w:cs="宋体"/>
                <w:sz w:val="18"/>
                <w:szCs w:val="18"/>
                <w:u w:val="single"/>
              </w:rPr>
            </w:pPr>
            <w:r>
              <w:rPr>
                <w:rFonts w:hint="eastAsia" w:ascii="宋体" w:hAnsi="宋体" w:cs="宋体"/>
                <w:u w:val="single"/>
              </w:rPr>
              <w:t>污水处理系统维护(隔油池、格栅池、格栅机、展区污水集水井、生化池和雨污水管网全面彻底清理、疏通、及污水设备维护)</w:t>
            </w:r>
          </w:p>
        </w:tc>
        <w:tc>
          <w:tcPr>
            <w:tcW w:w="2131" w:type="dxa"/>
          </w:tcPr>
          <w:p w14:paraId="55F72C69">
            <w:pPr>
              <w:pStyle w:val="16"/>
              <w:widowControl/>
              <w:spacing w:line="360" w:lineRule="auto"/>
              <w:ind w:firstLine="0" w:firstLineChars="0"/>
              <w:jc w:val="left"/>
              <w:rPr>
                <w:rFonts w:ascii="宋体" w:hAnsi="宋体" w:cs="宋体"/>
                <w:u w:val="single"/>
              </w:rPr>
            </w:pPr>
            <w:r>
              <w:rPr>
                <w:rFonts w:hint="eastAsia" w:ascii="宋体" w:hAnsi="宋体" w:cs="宋体"/>
                <w:u w:val="single"/>
              </w:rPr>
              <w:t>88000.00</w:t>
            </w:r>
          </w:p>
        </w:tc>
        <w:tc>
          <w:tcPr>
            <w:tcW w:w="2131" w:type="dxa"/>
            <w:vMerge w:val="continue"/>
          </w:tcPr>
          <w:p w14:paraId="4A83C058">
            <w:pPr>
              <w:pStyle w:val="16"/>
              <w:widowControl/>
              <w:spacing w:line="360" w:lineRule="auto"/>
              <w:ind w:firstLine="0" w:firstLineChars="0"/>
              <w:jc w:val="left"/>
              <w:rPr>
                <w:rFonts w:ascii="宋体" w:hAnsi="宋体" w:cs="宋体"/>
                <w:u w:val="single"/>
              </w:rPr>
            </w:pPr>
          </w:p>
        </w:tc>
      </w:tr>
      <w:tr w14:paraId="0DEC30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41B825AF">
            <w:pPr>
              <w:pStyle w:val="16"/>
              <w:widowControl/>
              <w:spacing w:line="360" w:lineRule="auto"/>
              <w:ind w:firstLine="0" w:firstLineChars="0"/>
              <w:jc w:val="left"/>
              <w:rPr>
                <w:rFonts w:ascii="宋体" w:hAnsi="宋体" w:cs="宋体"/>
                <w:u w:val="single"/>
              </w:rPr>
            </w:pPr>
          </w:p>
        </w:tc>
        <w:tc>
          <w:tcPr>
            <w:tcW w:w="2130" w:type="dxa"/>
          </w:tcPr>
          <w:p w14:paraId="3E4050AD">
            <w:pPr>
              <w:pStyle w:val="16"/>
              <w:widowControl/>
              <w:spacing w:line="360" w:lineRule="auto"/>
              <w:ind w:firstLine="0" w:firstLineChars="0"/>
              <w:jc w:val="left"/>
              <w:rPr>
                <w:rFonts w:ascii="宋体" w:hAnsi="宋体" w:cs="宋体"/>
                <w:u w:val="single"/>
              </w:rPr>
            </w:pPr>
            <w:r>
              <w:rPr>
                <w:rFonts w:hint="eastAsia" w:ascii="宋体" w:hAnsi="宋体" w:cs="宋体"/>
                <w:u w:val="single"/>
              </w:rPr>
              <w:t>厨房设备维护(对维保清单列表中厨房设备进行每月一次检查维保、接报修及应急维修)</w:t>
            </w:r>
          </w:p>
        </w:tc>
        <w:tc>
          <w:tcPr>
            <w:tcW w:w="2131" w:type="dxa"/>
          </w:tcPr>
          <w:p w14:paraId="45A205A4">
            <w:pPr>
              <w:pStyle w:val="16"/>
              <w:widowControl/>
              <w:spacing w:line="360" w:lineRule="auto"/>
              <w:ind w:firstLine="0" w:firstLineChars="0"/>
              <w:jc w:val="left"/>
              <w:rPr>
                <w:rFonts w:ascii="宋体" w:hAnsi="宋体" w:cs="宋体"/>
                <w:u w:val="single"/>
              </w:rPr>
            </w:pPr>
            <w:r>
              <w:rPr>
                <w:rFonts w:hint="eastAsia" w:ascii="宋体" w:hAnsi="宋体" w:cs="宋体"/>
                <w:u w:val="single"/>
              </w:rPr>
              <w:t>90000.00</w:t>
            </w:r>
          </w:p>
        </w:tc>
        <w:tc>
          <w:tcPr>
            <w:tcW w:w="2131" w:type="dxa"/>
            <w:vMerge w:val="continue"/>
          </w:tcPr>
          <w:p w14:paraId="0DB89E07">
            <w:pPr>
              <w:pStyle w:val="16"/>
              <w:widowControl/>
              <w:spacing w:line="360" w:lineRule="auto"/>
              <w:ind w:firstLine="0" w:firstLineChars="0"/>
              <w:jc w:val="left"/>
              <w:rPr>
                <w:rFonts w:ascii="宋体" w:hAnsi="宋体" w:cs="宋体"/>
                <w:u w:val="single"/>
              </w:rPr>
            </w:pPr>
          </w:p>
        </w:tc>
      </w:tr>
      <w:tr w14:paraId="24A9F6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restart"/>
          </w:tcPr>
          <w:p w14:paraId="6E65F831">
            <w:pPr>
              <w:pStyle w:val="16"/>
              <w:widowControl/>
              <w:spacing w:line="360" w:lineRule="auto"/>
              <w:ind w:firstLine="0" w:firstLineChars="0"/>
              <w:jc w:val="left"/>
              <w:rPr>
                <w:rFonts w:ascii="宋体" w:hAnsi="宋体" w:cs="宋体"/>
                <w:u w:val="single"/>
              </w:rPr>
            </w:pPr>
            <w:r>
              <w:rPr>
                <w:rFonts w:ascii="宋体" w:hAnsi="宋体" w:cs="宋体"/>
                <w:u w:val="single"/>
              </w:rPr>
              <w:t>设备及表类年检</w:t>
            </w:r>
          </w:p>
        </w:tc>
        <w:tc>
          <w:tcPr>
            <w:tcW w:w="2130" w:type="dxa"/>
          </w:tcPr>
          <w:p w14:paraId="65E061BF">
            <w:pPr>
              <w:pStyle w:val="16"/>
              <w:widowControl/>
              <w:spacing w:line="360" w:lineRule="auto"/>
              <w:jc w:val="left"/>
              <w:rPr>
                <w:rFonts w:ascii="宋体" w:hAnsi="宋体" w:cs="宋体"/>
                <w:u w:val="single"/>
              </w:rPr>
            </w:pPr>
            <w:r>
              <w:rPr>
                <w:rFonts w:hint="eastAsia" w:ascii="宋体" w:hAnsi="宋体" w:cs="宋体"/>
                <w:u w:val="single"/>
              </w:rPr>
              <w:t>电梯年检（垂直电梯、自动坡道电梯）</w:t>
            </w:r>
          </w:p>
        </w:tc>
        <w:tc>
          <w:tcPr>
            <w:tcW w:w="2131" w:type="dxa"/>
          </w:tcPr>
          <w:p w14:paraId="5E32B945">
            <w:pPr>
              <w:pStyle w:val="16"/>
              <w:widowControl/>
              <w:spacing w:line="360" w:lineRule="auto"/>
              <w:ind w:firstLine="0" w:firstLineChars="0"/>
              <w:jc w:val="left"/>
              <w:rPr>
                <w:rFonts w:ascii="宋体" w:hAnsi="宋体" w:cs="宋体"/>
                <w:u w:val="single"/>
              </w:rPr>
            </w:pPr>
            <w:r>
              <w:rPr>
                <w:rFonts w:hint="eastAsia" w:ascii="宋体" w:hAnsi="宋体" w:cs="宋体"/>
                <w:u w:val="single"/>
              </w:rPr>
              <w:t>5500.00</w:t>
            </w:r>
          </w:p>
        </w:tc>
        <w:tc>
          <w:tcPr>
            <w:tcW w:w="2131" w:type="dxa"/>
            <w:vMerge w:val="restart"/>
          </w:tcPr>
          <w:p w14:paraId="56C5F5BD">
            <w:pPr>
              <w:pStyle w:val="16"/>
              <w:widowControl/>
              <w:spacing w:line="360" w:lineRule="auto"/>
              <w:ind w:firstLine="0" w:firstLineChars="0"/>
              <w:jc w:val="left"/>
              <w:rPr>
                <w:rFonts w:ascii="宋体" w:hAnsi="宋体" w:cs="宋体"/>
                <w:u w:val="single"/>
              </w:rPr>
            </w:pPr>
            <w:r>
              <w:rPr>
                <w:rFonts w:hint="eastAsia" w:ascii="宋体" w:hAnsi="宋体" w:cs="宋体"/>
                <w:u w:val="single"/>
              </w:rPr>
              <w:t>27500.00</w:t>
            </w:r>
          </w:p>
        </w:tc>
      </w:tr>
      <w:tr w14:paraId="1CC53A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4336513D">
            <w:pPr>
              <w:pStyle w:val="16"/>
              <w:widowControl/>
              <w:spacing w:line="360" w:lineRule="auto"/>
              <w:ind w:firstLine="0" w:firstLineChars="0"/>
              <w:jc w:val="left"/>
              <w:rPr>
                <w:rFonts w:ascii="宋体" w:hAnsi="宋体" w:cs="宋体"/>
                <w:u w:val="single"/>
              </w:rPr>
            </w:pPr>
          </w:p>
        </w:tc>
        <w:tc>
          <w:tcPr>
            <w:tcW w:w="2130" w:type="dxa"/>
          </w:tcPr>
          <w:p w14:paraId="7056F51D">
            <w:pPr>
              <w:pStyle w:val="16"/>
              <w:widowControl/>
              <w:spacing w:line="360" w:lineRule="auto"/>
              <w:jc w:val="left"/>
              <w:rPr>
                <w:rFonts w:ascii="宋体" w:hAnsi="宋体" w:cs="宋体"/>
                <w:u w:val="single"/>
              </w:rPr>
            </w:pPr>
            <w:r>
              <w:rPr>
                <w:rFonts w:hint="eastAsia" w:ascii="宋体" w:hAnsi="宋体" w:cs="宋体"/>
                <w:u w:val="single"/>
              </w:rPr>
              <w:t>垂直电梯限速器检测</w:t>
            </w:r>
          </w:p>
        </w:tc>
        <w:tc>
          <w:tcPr>
            <w:tcW w:w="2131" w:type="dxa"/>
          </w:tcPr>
          <w:p w14:paraId="4FCDABB9">
            <w:pPr>
              <w:pStyle w:val="16"/>
              <w:widowControl/>
              <w:spacing w:line="360" w:lineRule="auto"/>
              <w:ind w:firstLine="0" w:firstLineChars="0"/>
              <w:jc w:val="left"/>
              <w:rPr>
                <w:rFonts w:ascii="宋体" w:hAnsi="宋体" w:cs="宋体"/>
                <w:u w:val="single"/>
              </w:rPr>
            </w:pPr>
            <w:r>
              <w:rPr>
                <w:rFonts w:hint="eastAsia" w:ascii="宋体" w:hAnsi="宋体" w:cs="宋体"/>
                <w:u w:val="single"/>
              </w:rPr>
              <w:t>5000.00</w:t>
            </w:r>
          </w:p>
        </w:tc>
        <w:tc>
          <w:tcPr>
            <w:tcW w:w="2131" w:type="dxa"/>
            <w:vMerge w:val="continue"/>
          </w:tcPr>
          <w:p w14:paraId="7F073FFC">
            <w:pPr>
              <w:pStyle w:val="16"/>
              <w:widowControl/>
              <w:spacing w:line="360" w:lineRule="auto"/>
              <w:ind w:firstLine="0" w:firstLineChars="0"/>
              <w:jc w:val="left"/>
              <w:rPr>
                <w:rFonts w:ascii="宋体" w:hAnsi="宋体" w:cs="宋体"/>
                <w:u w:val="single"/>
              </w:rPr>
            </w:pPr>
          </w:p>
        </w:tc>
      </w:tr>
      <w:tr w14:paraId="662C9B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2A7E8AC0">
            <w:pPr>
              <w:pStyle w:val="16"/>
              <w:widowControl/>
              <w:spacing w:line="360" w:lineRule="auto"/>
              <w:ind w:firstLine="0" w:firstLineChars="0"/>
              <w:jc w:val="left"/>
              <w:rPr>
                <w:rFonts w:ascii="宋体" w:hAnsi="宋体" w:cs="宋体"/>
                <w:u w:val="single"/>
              </w:rPr>
            </w:pPr>
          </w:p>
        </w:tc>
        <w:tc>
          <w:tcPr>
            <w:tcW w:w="2130" w:type="dxa"/>
          </w:tcPr>
          <w:p w14:paraId="39374493">
            <w:pPr>
              <w:pStyle w:val="16"/>
              <w:widowControl/>
              <w:spacing w:line="360" w:lineRule="auto"/>
              <w:jc w:val="left"/>
              <w:rPr>
                <w:rFonts w:ascii="宋体" w:hAnsi="宋体" w:cs="宋体"/>
                <w:u w:val="single"/>
              </w:rPr>
            </w:pPr>
            <w:r>
              <w:rPr>
                <w:rFonts w:hint="eastAsia" w:ascii="宋体" w:hAnsi="宋体" w:cs="宋体"/>
                <w:u w:val="single"/>
              </w:rPr>
              <w:t>避雷装置安全检测</w:t>
            </w:r>
          </w:p>
        </w:tc>
        <w:tc>
          <w:tcPr>
            <w:tcW w:w="2131" w:type="dxa"/>
          </w:tcPr>
          <w:p w14:paraId="54E0A2F1">
            <w:pPr>
              <w:pStyle w:val="16"/>
              <w:widowControl/>
              <w:spacing w:line="360" w:lineRule="auto"/>
              <w:ind w:firstLine="0" w:firstLineChars="0"/>
              <w:jc w:val="left"/>
              <w:rPr>
                <w:rFonts w:ascii="宋体" w:hAnsi="宋体" w:cs="宋体"/>
                <w:u w:val="single"/>
              </w:rPr>
            </w:pPr>
            <w:r>
              <w:rPr>
                <w:rFonts w:hint="eastAsia" w:ascii="宋体" w:hAnsi="宋体" w:cs="宋体"/>
                <w:u w:val="single"/>
              </w:rPr>
              <w:t>12000.00</w:t>
            </w:r>
          </w:p>
        </w:tc>
        <w:tc>
          <w:tcPr>
            <w:tcW w:w="2131" w:type="dxa"/>
            <w:vMerge w:val="continue"/>
          </w:tcPr>
          <w:p w14:paraId="2B7F2293">
            <w:pPr>
              <w:pStyle w:val="16"/>
              <w:widowControl/>
              <w:spacing w:line="360" w:lineRule="auto"/>
              <w:ind w:firstLine="0" w:firstLineChars="0"/>
              <w:jc w:val="left"/>
              <w:rPr>
                <w:rFonts w:ascii="宋体" w:hAnsi="宋体" w:cs="宋体"/>
                <w:u w:val="single"/>
              </w:rPr>
            </w:pPr>
          </w:p>
        </w:tc>
      </w:tr>
      <w:tr w14:paraId="78703D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7B3BD152">
            <w:pPr>
              <w:pStyle w:val="16"/>
              <w:widowControl/>
              <w:spacing w:line="360" w:lineRule="auto"/>
              <w:ind w:firstLine="0" w:firstLineChars="0"/>
              <w:jc w:val="left"/>
              <w:rPr>
                <w:rFonts w:ascii="宋体" w:hAnsi="宋体" w:cs="宋体"/>
                <w:u w:val="single"/>
              </w:rPr>
            </w:pPr>
          </w:p>
        </w:tc>
        <w:tc>
          <w:tcPr>
            <w:tcW w:w="2130" w:type="dxa"/>
          </w:tcPr>
          <w:p w14:paraId="471ABC95">
            <w:pPr>
              <w:pStyle w:val="16"/>
              <w:widowControl/>
              <w:spacing w:line="360" w:lineRule="auto"/>
              <w:jc w:val="left"/>
              <w:rPr>
                <w:rFonts w:ascii="宋体" w:hAnsi="宋体" w:cs="宋体"/>
                <w:u w:val="single"/>
              </w:rPr>
            </w:pPr>
            <w:r>
              <w:rPr>
                <w:rFonts w:hint="eastAsia" w:ascii="宋体" w:hAnsi="宋体" w:cs="宋体"/>
                <w:u w:val="single"/>
              </w:rPr>
              <w:t>检测费（万用表、钳形电流表、兆欧表、压力表、安全阀)</w:t>
            </w:r>
          </w:p>
        </w:tc>
        <w:tc>
          <w:tcPr>
            <w:tcW w:w="2131" w:type="dxa"/>
          </w:tcPr>
          <w:p w14:paraId="3305DCF5">
            <w:pPr>
              <w:pStyle w:val="16"/>
              <w:widowControl/>
              <w:spacing w:line="360" w:lineRule="auto"/>
              <w:ind w:firstLine="0" w:firstLineChars="0"/>
              <w:jc w:val="left"/>
              <w:rPr>
                <w:rFonts w:ascii="宋体" w:hAnsi="宋体" w:cs="宋体"/>
                <w:u w:val="single"/>
              </w:rPr>
            </w:pPr>
            <w:r>
              <w:rPr>
                <w:rFonts w:hint="eastAsia" w:ascii="宋体" w:hAnsi="宋体" w:cs="宋体"/>
                <w:u w:val="single"/>
              </w:rPr>
              <w:t>5000.00</w:t>
            </w:r>
          </w:p>
        </w:tc>
        <w:tc>
          <w:tcPr>
            <w:tcW w:w="2131" w:type="dxa"/>
            <w:vMerge w:val="continue"/>
          </w:tcPr>
          <w:p w14:paraId="6B7CB7F4">
            <w:pPr>
              <w:pStyle w:val="16"/>
              <w:widowControl/>
              <w:spacing w:line="360" w:lineRule="auto"/>
              <w:ind w:firstLine="0" w:firstLineChars="0"/>
              <w:jc w:val="left"/>
              <w:rPr>
                <w:rFonts w:ascii="宋体" w:hAnsi="宋体" w:cs="宋体"/>
                <w:u w:val="single"/>
              </w:rPr>
            </w:pPr>
          </w:p>
        </w:tc>
      </w:tr>
      <w:tr w14:paraId="1FE605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restart"/>
          </w:tcPr>
          <w:p w14:paraId="38F14FE7">
            <w:pPr>
              <w:pStyle w:val="16"/>
              <w:widowControl/>
              <w:spacing w:line="360" w:lineRule="auto"/>
              <w:ind w:firstLine="0" w:firstLineChars="0"/>
              <w:jc w:val="left"/>
              <w:rPr>
                <w:rFonts w:ascii="宋体" w:hAnsi="宋体" w:cs="宋体"/>
                <w:u w:val="single"/>
              </w:rPr>
            </w:pPr>
            <w:r>
              <w:rPr>
                <w:rFonts w:ascii="宋体" w:hAnsi="宋体" w:cs="宋体"/>
                <w:u w:val="single"/>
              </w:rPr>
              <w:t>保洁维护</w:t>
            </w:r>
          </w:p>
        </w:tc>
        <w:tc>
          <w:tcPr>
            <w:tcW w:w="2130" w:type="dxa"/>
          </w:tcPr>
          <w:p w14:paraId="35C16689">
            <w:pPr>
              <w:pStyle w:val="16"/>
              <w:widowControl/>
              <w:spacing w:line="360" w:lineRule="auto"/>
              <w:jc w:val="center"/>
              <w:rPr>
                <w:rFonts w:ascii="宋体" w:hAnsi="宋体" w:cs="宋体"/>
                <w:u w:val="single"/>
              </w:rPr>
            </w:pPr>
            <w:r>
              <w:rPr>
                <w:rFonts w:hint="eastAsia" w:ascii="宋体" w:hAnsi="宋体" w:cs="宋体"/>
                <w:u w:val="single"/>
              </w:rPr>
              <w:t>水箱清洗及检测</w:t>
            </w:r>
          </w:p>
        </w:tc>
        <w:tc>
          <w:tcPr>
            <w:tcW w:w="2131" w:type="dxa"/>
          </w:tcPr>
          <w:p w14:paraId="73EE3BC9">
            <w:pPr>
              <w:pStyle w:val="16"/>
              <w:widowControl/>
              <w:spacing w:line="360" w:lineRule="auto"/>
              <w:ind w:firstLine="0" w:firstLineChars="0"/>
              <w:jc w:val="left"/>
              <w:rPr>
                <w:rFonts w:ascii="宋体" w:hAnsi="宋体" w:cs="宋体"/>
                <w:u w:val="single"/>
              </w:rPr>
            </w:pPr>
            <w:r>
              <w:rPr>
                <w:rFonts w:hint="eastAsia" w:ascii="宋体" w:hAnsi="宋体" w:cs="宋体"/>
                <w:u w:val="single"/>
              </w:rPr>
              <w:t>8000.00</w:t>
            </w:r>
          </w:p>
        </w:tc>
        <w:tc>
          <w:tcPr>
            <w:tcW w:w="2131" w:type="dxa"/>
            <w:vMerge w:val="restart"/>
          </w:tcPr>
          <w:p w14:paraId="5EBB3CC1">
            <w:pPr>
              <w:pStyle w:val="16"/>
              <w:widowControl/>
              <w:spacing w:line="360" w:lineRule="auto"/>
              <w:ind w:firstLine="0" w:firstLineChars="0"/>
              <w:jc w:val="left"/>
              <w:rPr>
                <w:rFonts w:ascii="宋体" w:hAnsi="宋体" w:cs="宋体"/>
                <w:u w:val="single"/>
              </w:rPr>
            </w:pPr>
            <w:r>
              <w:rPr>
                <w:rFonts w:hint="eastAsia" w:ascii="宋体" w:hAnsi="宋体" w:cs="宋体"/>
                <w:u w:val="single"/>
              </w:rPr>
              <w:t>241500.00</w:t>
            </w:r>
          </w:p>
        </w:tc>
      </w:tr>
      <w:tr w14:paraId="7D03F2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1FE5268E">
            <w:pPr>
              <w:pStyle w:val="16"/>
              <w:widowControl/>
              <w:spacing w:line="360" w:lineRule="auto"/>
              <w:ind w:firstLine="0" w:firstLineChars="0"/>
              <w:jc w:val="left"/>
              <w:rPr>
                <w:rFonts w:ascii="宋体" w:hAnsi="宋体" w:cs="宋体"/>
                <w:u w:val="single"/>
              </w:rPr>
            </w:pPr>
          </w:p>
        </w:tc>
        <w:tc>
          <w:tcPr>
            <w:tcW w:w="2130" w:type="dxa"/>
          </w:tcPr>
          <w:p w14:paraId="3E46E544">
            <w:pPr>
              <w:pStyle w:val="16"/>
              <w:widowControl/>
              <w:spacing w:line="360" w:lineRule="auto"/>
              <w:jc w:val="left"/>
              <w:rPr>
                <w:rFonts w:ascii="宋体" w:hAnsi="宋体" w:cs="宋体"/>
                <w:u w:val="single"/>
              </w:rPr>
            </w:pPr>
            <w:r>
              <w:rPr>
                <w:rFonts w:hint="eastAsia" w:ascii="宋体" w:hAnsi="宋体" w:cs="宋体"/>
                <w:u w:val="single"/>
              </w:rPr>
              <w:t>有害生物防治</w:t>
            </w:r>
          </w:p>
        </w:tc>
        <w:tc>
          <w:tcPr>
            <w:tcW w:w="2131" w:type="dxa"/>
          </w:tcPr>
          <w:p w14:paraId="2CD3A286">
            <w:pPr>
              <w:pStyle w:val="16"/>
              <w:widowControl/>
              <w:spacing w:line="360" w:lineRule="auto"/>
              <w:ind w:firstLine="0" w:firstLineChars="0"/>
              <w:jc w:val="left"/>
              <w:rPr>
                <w:rFonts w:ascii="宋体" w:hAnsi="宋体" w:cs="宋体"/>
                <w:u w:val="single"/>
              </w:rPr>
            </w:pPr>
            <w:r>
              <w:rPr>
                <w:rFonts w:hint="eastAsia" w:ascii="宋体" w:hAnsi="宋体" w:cs="宋体"/>
                <w:u w:val="single"/>
              </w:rPr>
              <w:t>96000.00</w:t>
            </w:r>
          </w:p>
        </w:tc>
        <w:tc>
          <w:tcPr>
            <w:tcW w:w="2131" w:type="dxa"/>
            <w:vMerge w:val="continue"/>
          </w:tcPr>
          <w:p w14:paraId="3BEE86B6">
            <w:pPr>
              <w:pStyle w:val="16"/>
              <w:widowControl/>
              <w:spacing w:line="360" w:lineRule="auto"/>
              <w:ind w:firstLine="0" w:firstLineChars="0"/>
              <w:jc w:val="left"/>
              <w:rPr>
                <w:rFonts w:ascii="宋体" w:hAnsi="宋体" w:cs="宋体"/>
                <w:u w:val="single"/>
              </w:rPr>
            </w:pPr>
          </w:p>
        </w:tc>
      </w:tr>
      <w:tr w14:paraId="0C329D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563D8C43">
            <w:pPr>
              <w:pStyle w:val="16"/>
              <w:widowControl/>
              <w:spacing w:line="360" w:lineRule="auto"/>
              <w:ind w:firstLine="0" w:firstLineChars="0"/>
              <w:jc w:val="left"/>
              <w:rPr>
                <w:rFonts w:ascii="宋体" w:hAnsi="宋体" w:cs="宋体"/>
                <w:u w:val="single"/>
              </w:rPr>
            </w:pPr>
          </w:p>
        </w:tc>
        <w:tc>
          <w:tcPr>
            <w:tcW w:w="2130" w:type="dxa"/>
          </w:tcPr>
          <w:p w14:paraId="70FC41C4">
            <w:pPr>
              <w:pStyle w:val="16"/>
              <w:widowControl/>
              <w:spacing w:line="360" w:lineRule="auto"/>
              <w:jc w:val="left"/>
              <w:rPr>
                <w:rFonts w:ascii="宋体" w:hAnsi="宋体" w:cs="宋体"/>
                <w:u w:val="single"/>
              </w:rPr>
            </w:pPr>
            <w:r>
              <w:rPr>
                <w:rFonts w:hint="eastAsia" w:ascii="宋体" w:hAnsi="宋体" w:cs="宋体"/>
                <w:u w:val="single"/>
              </w:rPr>
              <w:t>固体废弃物处置</w:t>
            </w:r>
          </w:p>
        </w:tc>
        <w:tc>
          <w:tcPr>
            <w:tcW w:w="2131" w:type="dxa"/>
          </w:tcPr>
          <w:p w14:paraId="23D6B5F0">
            <w:pPr>
              <w:pStyle w:val="16"/>
              <w:widowControl/>
              <w:spacing w:line="360" w:lineRule="auto"/>
              <w:ind w:firstLine="0" w:firstLineChars="0"/>
              <w:jc w:val="left"/>
              <w:rPr>
                <w:rFonts w:ascii="宋体" w:hAnsi="宋体" w:cs="宋体"/>
                <w:u w:val="single"/>
              </w:rPr>
            </w:pPr>
            <w:r>
              <w:rPr>
                <w:rFonts w:hint="eastAsia" w:ascii="宋体" w:hAnsi="宋体" w:cs="宋体"/>
                <w:u w:val="single"/>
              </w:rPr>
              <w:t>7500.00</w:t>
            </w:r>
          </w:p>
        </w:tc>
        <w:tc>
          <w:tcPr>
            <w:tcW w:w="2131" w:type="dxa"/>
            <w:vMerge w:val="continue"/>
          </w:tcPr>
          <w:p w14:paraId="2D5C0CB8">
            <w:pPr>
              <w:pStyle w:val="16"/>
              <w:widowControl/>
              <w:spacing w:line="360" w:lineRule="auto"/>
              <w:ind w:firstLine="0" w:firstLineChars="0"/>
              <w:jc w:val="left"/>
              <w:rPr>
                <w:rFonts w:ascii="宋体" w:hAnsi="宋体" w:cs="宋体"/>
                <w:u w:val="single"/>
              </w:rPr>
            </w:pPr>
          </w:p>
        </w:tc>
      </w:tr>
      <w:tr w14:paraId="402747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10808491">
            <w:pPr>
              <w:pStyle w:val="16"/>
              <w:widowControl/>
              <w:spacing w:line="360" w:lineRule="auto"/>
              <w:ind w:firstLine="0" w:firstLineChars="0"/>
              <w:jc w:val="left"/>
              <w:rPr>
                <w:rFonts w:ascii="宋体" w:hAnsi="宋体" w:cs="宋体"/>
                <w:u w:val="single"/>
              </w:rPr>
            </w:pPr>
          </w:p>
        </w:tc>
        <w:tc>
          <w:tcPr>
            <w:tcW w:w="2130" w:type="dxa"/>
          </w:tcPr>
          <w:p w14:paraId="6B893C80">
            <w:pPr>
              <w:pStyle w:val="16"/>
              <w:widowControl/>
              <w:spacing w:line="360" w:lineRule="auto"/>
              <w:jc w:val="center"/>
              <w:rPr>
                <w:rFonts w:ascii="宋体" w:hAnsi="宋体" w:cs="宋体"/>
                <w:u w:val="single"/>
              </w:rPr>
            </w:pPr>
            <w:r>
              <w:rPr>
                <w:rFonts w:hint="eastAsia" w:ascii="宋体" w:hAnsi="宋体" w:cs="宋体"/>
                <w:u w:val="single"/>
              </w:rPr>
              <w:t>垃圾清运</w:t>
            </w:r>
          </w:p>
        </w:tc>
        <w:tc>
          <w:tcPr>
            <w:tcW w:w="2131" w:type="dxa"/>
          </w:tcPr>
          <w:p w14:paraId="0645C93A">
            <w:pPr>
              <w:pStyle w:val="16"/>
              <w:widowControl/>
              <w:spacing w:line="360" w:lineRule="auto"/>
              <w:ind w:firstLine="0" w:firstLineChars="0"/>
              <w:jc w:val="left"/>
              <w:rPr>
                <w:rFonts w:ascii="宋体" w:hAnsi="宋体" w:cs="宋体"/>
                <w:u w:val="single"/>
              </w:rPr>
            </w:pPr>
            <w:r>
              <w:rPr>
                <w:rFonts w:hint="eastAsia" w:ascii="宋体" w:hAnsi="宋体" w:cs="宋体"/>
                <w:u w:val="single"/>
              </w:rPr>
              <w:t>101000.00</w:t>
            </w:r>
          </w:p>
        </w:tc>
        <w:tc>
          <w:tcPr>
            <w:tcW w:w="2131" w:type="dxa"/>
            <w:vMerge w:val="continue"/>
          </w:tcPr>
          <w:p w14:paraId="390EBBED">
            <w:pPr>
              <w:pStyle w:val="16"/>
              <w:widowControl/>
              <w:spacing w:line="360" w:lineRule="auto"/>
              <w:ind w:firstLine="0" w:firstLineChars="0"/>
              <w:jc w:val="left"/>
              <w:rPr>
                <w:rFonts w:ascii="宋体" w:hAnsi="宋体" w:cs="宋体"/>
                <w:u w:val="single"/>
              </w:rPr>
            </w:pPr>
          </w:p>
        </w:tc>
      </w:tr>
      <w:tr w14:paraId="5B0E55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3D52B23A">
            <w:pPr>
              <w:pStyle w:val="16"/>
              <w:widowControl/>
              <w:spacing w:line="360" w:lineRule="auto"/>
              <w:ind w:firstLine="0" w:firstLineChars="0"/>
              <w:jc w:val="left"/>
              <w:rPr>
                <w:rFonts w:ascii="宋体" w:hAnsi="宋体" w:cs="宋体"/>
                <w:u w:val="single"/>
              </w:rPr>
            </w:pPr>
          </w:p>
        </w:tc>
        <w:tc>
          <w:tcPr>
            <w:tcW w:w="2130" w:type="dxa"/>
          </w:tcPr>
          <w:p w14:paraId="5A2FB986">
            <w:pPr>
              <w:pStyle w:val="16"/>
              <w:widowControl/>
              <w:spacing w:line="360" w:lineRule="auto"/>
              <w:jc w:val="left"/>
              <w:rPr>
                <w:rFonts w:ascii="宋体" w:hAnsi="宋体" w:cs="宋体"/>
                <w:u w:val="single"/>
              </w:rPr>
            </w:pPr>
            <w:r>
              <w:rPr>
                <w:rFonts w:hint="eastAsia" w:ascii="宋体" w:hAnsi="宋体" w:cs="宋体"/>
                <w:u w:val="single"/>
              </w:rPr>
              <w:t>化粪池清污清理维护</w:t>
            </w:r>
          </w:p>
        </w:tc>
        <w:tc>
          <w:tcPr>
            <w:tcW w:w="2131" w:type="dxa"/>
          </w:tcPr>
          <w:p w14:paraId="7FA6A09E">
            <w:pPr>
              <w:pStyle w:val="16"/>
              <w:widowControl/>
              <w:spacing w:line="360" w:lineRule="auto"/>
              <w:ind w:firstLine="0" w:firstLineChars="0"/>
              <w:jc w:val="left"/>
              <w:rPr>
                <w:rFonts w:ascii="宋体" w:hAnsi="宋体" w:cs="宋体"/>
                <w:u w:val="single"/>
              </w:rPr>
            </w:pPr>
            <w:r>
              <w:rPr>
                <w:rFonts w:hint="eastAsia" w:ascii="宋体" w:hAnsi="宋体" w:cs="宋体"/>
                <w:u w:val="single"/>
              </w:rPr>
              <w:t>11000.00</w:t>
            </w:r>
          </w:p>
        </w:tc>
        <w:tc>
          <w:tcPr>
            <w:tcW w:w="2131" w:type="dxa"/>
            <w:vMerge w:val="continue"/>
          </w:tcPr>
          <w:p w14:paraId="6EBF0D1F">
            <w:pPr>
              <w:pStyle w:val="16"/>
              <w:widowControl/>
              <w:spacing w:line="360" w:lineRule="auto"/>
              <w:ind w:firstLine="0" w:firstLineChars="0"/>
              <w:jc w:val="left"/>
              <w:rPr>
                <w:rFonts w:ascii="宋体" w:hAnsi="宋体" w:cs="宋体"/>
                <w:u w:val="single"/>
              </w:rPr>
            </w:pPr>
          </w:p>
        </w:tc>
      </w:tr>
      <w:tr w14:paraId="39B1FC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vMerge w:val="continue"/>
          </w:tcPr>
          <w:p w14:paraId="54A5DA32">
            <w:pPr>
              <w:pStyle w:val="16"/>
              <w:widowControl/>
              <w:spacing w:line="360" w:lineRule="auto"/>
              <w:ind w:firstLine="0" w:firstLineChars="0"/>
              <w:jc w:val="left"/>
              <w:rPr>
                <w:rFonts w:ascii="宋体" w:hAnsi="宋体" w:cs="宋体"/>
                <w:u w:val="single"/>
              </w:rPr>
            </w:pPr>
          </w:p>
        </w:tc>
        <w:tc>
          <w:tcPr>
            <w:tcW w:w="2130" w:type="dxa"/>
          </w:tcPr>
          <w:p w14:paraId="24BE7219">
            <w:pPr>
              <w:pStyle w:val="16"/>
              <w:widowControl/>
              <w:spacing w:line="360" w:lineRule="auto"/>
              <w:jc w:val="center"/>
              <w:rPr>
                <w:rFonts w:ascii="宋体" w:hAnsi="宋体" w:cs="宋体"/>
                <w:u w:val="single"/>
              </w:rPr>
            </w:pPr>
            <w:r>
              <w:rPr>
                <w:rFonts w:hint="eastAsia" w:ascii="宋体" w:hAnsi="宋体" w:cs="宋体"/>
                <w:u w:val="single"/>
              </w:rPr>
              <w:t>扫地机租赁</w:t>
            </w:r>
          </w:p>
        </w:tc>
        <w:tc>
          <w:tcPr>
            <w:tcW w:w="2131" w:type="dxa"/>
          </w:tcPr>
          <w:p w14:paraId="2B55F2D4">
            <w:pPr>
              <w:pStyle w:val="16"/>
              <w:widowControl/>
              <w:spacing w:line="360" w:lineRule="auto"/>
              <w:ind w:firstLine="0" w:firstLineChars="0"/>
              <w:jc w:val="left"/>
              <w:rPr>
                <w:rFonts w:ascii="宋体" w:hAnsi="宋体" w:cs="宋体"/>
                <w:u w:val="single"/>
              </w:rPr>
            </w:pPr>
            <w:r>
              <w:rPr>
                <w:rFonts w:hint="eastAsia" w:ascii="宋体" w:hAnsi="宋体" w:cs="宋体"/>
                <w:u w:val="single"/>
              </w:rPr>
              <w:t>18000.00</w:t>
            </w:r>
          </w:p>
        </w:tc>
        <w:tc>
          <w:tcPr>
            <w:tcW w:w="2131" w:type="dxa"/>
            <w:vMerge w:val="continue"/>
          </w:tcPr>
          <w:p w14:paraId="2C03BC53">
            <w:pPr>
              <w:pStyle w:val="16"/>
              <w:widowControl/>
              <w:spacing w:line="360" w:lineRule="auto"/>
              <w:ind w:firstLine="0" w:firstLineChars="0"/>
              <w:jc w:val="left"/>
              <w:rPr>
                <w:rFonts w:ascii="宋体" w:hAnsi="宋体" w:cs="宋体"/>
                <w:u w:val="single"/>
              </w:rPr>
            </w:pPr>
          </w:p>
        </w:tc>
      </w:tr>
      <w:tr w14:paraId="1C2680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30" w:type="dxa"/>
          </w:tcPr>
          <w:p w14:paraId="11164BB7">
            <w:pPr>
              <w:pStyle w:val="16"/>
              <w:widowControl/>
              <w:spacing w:line="360" w:lineRule="auto"/>
              <w:ind w:firstLine="0" w:firstLineChars="0"/>
              <w:jc w:val="left"/>
              <w:rPr>
                <w:rFonts w:ascii="宋体" w:hAnsi="宋体" w:cs="宋体"/>
                <w:u w:val="single"/>
              </w:rPr>
            </w:pPr>
            <w:r>
              <w:rPr>
                <w:rFonts w:ascii="宋体" w:hAnsi="宋体" w:cs="宋体"/>
                <w:u w:val="single"/>
              </w:rPr>
              <w:t>设备设施财产险</w:t>
            </w:r>
          </w:p>
        </w:tc>
        <w:tc>
          <w:tcPr>
            <w:tcW w:w="2130" w:type="dxa"/>
          </w:tcPr>
          <w:p w14:paraId="072018F3">
            <w:pPr>
              <w:pStyle w:val="16"/>
              <w:widowControl/>
              <w:spacing w:line="360" w:lineRule="auto"/>
              <w:jc w:val="left"/>
              <w:rPr>
                <w:rFonts w:ascii="宋体" w:hAnsi="宋体" w:cs="宋体"/>
                <w:u w:val="single"/>
              </w:rPr>
            </w:pPr>
            <w:r>
              <w:rPr>
                <w:rFonts w:hint="eastAsia" w:ascii="宋体" w:hAnsi="宋体" w:cs="宋体"/>
                <w:u w:val="single"/>
              </w:rPr>
              <w:t>设备设施财产险</w:t>
            </w:r>
          </w:p>
        </w:tc>
        <w:tc>
          <w:tcPr>
            <w:tcW w:w="2131" w:type="dxa"/>
          </w:tcPr>
          <w:p w14:paraId="07257E0A">
            <w:pPr>
              <w:pStyle w:val="16"/>
              <w:widowControl/>
              <w:spacing w:line="360" w:lineRule="auto"/>
              <w:ind w:firstLine="0" w:firstLineChars="0"/>
              <w:jc w:val="left"/>
              <w:rPr>
                <w:rFonts w:ascii="宋体" w:hAnsi="宋体" w:cs="宋体"/>
                <w:u w:val="single"/>
              </w:rPr>
            </w:pPr>
            <w:r>
              <w:rPr>
                <w:rFonts w:hint="eastAsia" w:ascii="宋体" w:hAnsi="宋体" w:cs="宋体"/>
                <w:u w:val="single"/>
              </w:rPr>
              <w:t>50000.00</w:t>
            </w:r>
          </w:p>
        </w:tc>
        <w:tc>
          <w:tcPr>
            <w:tcW w:w="2131" w:type="dxa"/>
          </w:tcPr>
          <w:p w14:paraId="15CEE70F">
            <w:pPr>
              <w:pStyle w:val="16"/>
              <w:widowControl/>
              <w:spacing w:line="360" w:lineRule="auto"/>
              <w:ind w:firstLine="0" w:firstLineChars="0"/>
              <w:jc w:val="left"/>
              <w:rPr>
                <w:rFonts w:ascii="宋体" w:hAnsi="宋体" w:cs="宋体"/>
                <w:u w:val="single"/>
              </w:rPr>
            </w:pPr>
            <w:r>
              <w:rPr>
                <w:rFonts w:hint="eastAsia" w:ascii="宋体" w:hAnsi="宋体" w:cs="宋体"/>
                <w:u w:val="single"/>
              </w:rPr>
              <w:t>50000</w:t>
            </w:r>
          </w:p>
        </w:tc>
      </w:tr>
      <w:tr w14:paraId="012294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60" w:type="dxa"/>
            <w:gridSpan w:val="2"/>
          </w:tcPr>
          <w:p w14:paraId="5CE7A159">
            <w:pPr>
              <w:pStyle w:val="16"/>
              <w:widowControl/>
              <w:spacing w:line="360" w:lineRule="auto"/>
              <w:jc w:val="left"/>
              <w:rPr>
                <w:rFonts w:ascii="宋体" w:hAnsi="宋体" w:cs="宋体"/>
                <w:u w:val="single"/>
              </w:rPr>
            </w:pPr>
            <w:r>
              <w:rPr>
                <w:rFonts w:hint="eastAsia" w:ascii="宋体" w:hAnsi="宋体" w:cs="宋体"/>
                <w:u w:val="single"/>
              </w:rPr>
              <w:t>合计</w:t>
            </w:r>
          </w:p>
        </w:tc>
        <w:tc>
          <w:tcPr>
            <w:tcW w:w="2131" w:type="dxa"/>
          </w:tcPr>
          <w:p w14:paraId="0D3033F2">
            <w:pPr>
              <w:pStyle w:val="16"/>
              <w:widowControl/>
              <w:spacing w:line="360" w:lineRule="auto"/>
              <w:ind w:firstLine="0" w:firstLineChars="0"/>
              <w:jc w:val="left"/>
              <w:rPr>
                <w:rFonts w:ascii="宋体" w:hAnsi="宋体" w:cs="宋体"/>
                <w:u w:val="single"/>
              </w:rPr>
            </w:pPr>
            <w:r>
              <w:rPr>
                <w:rFonts w:hint="eastAsia" w:ascii="宋体" w:hAnsi="宋体" w:cs="宋体"/>
                <w:u w:val="single"/>
              </w:rPr>
              <w:t>708000.00</w:t>
            </w:r>
          </w:p>
        </w:tc>
        <w:tc>
          <w:tcPr>
            <w:tcW w:w="2131" w:type="dxa"/>
          </w:tcPr>
          <w:p w14:paraId="11E038C6">
            <w:pPr>
              <w:pStyle w:val="16"/>
              <w:widowControl/>
              <w:spacing w:line="360" w:lineRule="auto"/>
              <w:ind w:firstLine="0" w:firstLineChars="0"/>
              <w:jc w:val="left"/>
              <w:rPr>
                <w:rFonts w:ascii="宋体" w:hAnsi="宋体" w:cs="宋体"/>
                <w:u w:val="single"/>
              </w:rPr>
            </w:pPr>
            <w:r>
              <w:rPr>
                <w:rFonts w:hint="eastAsia" w:ascii="宋体" w:hAnsi="宋体" w:cs="宋体"/>
                <w:u w:val="single"/>
              </w:rPr>
              <w:t>708000.00</w:t>
            </w:r>
          </w:p>
        </w:tc>
      </w:tr>
    </w:tbl>
    <w:p w14:paraId="464AA08F">
      <w:pPr>
        <w:pStyle w:val="16"/>
        <w:widowControl/>
        <w:spacing w:line="360" w:lineRule="auto"/>
        <w:ind w:left="360" w:firstLine="0" w:firstLineChars="0"/>
        <w:jc w:val="left"/>
        <w:rPr>
          <w:rFonts w:ascii="宋体" w:hAnsi="宋体" w:cs="宋体"/>
          <w:u w:val="single"/>
        </w:rPr>
      </w:pPr>
    </w:p>
    <w:p w14:paraId="6DC9DB3A">
      <w:pPr>
        <w:spacing w:line="360" w:lineRule="auto"/>
        <w:ind w:firstLine="361" w:firstLineChars="171"/>
        <w:rPr>
          <w:rFonts w:ascii="宋体"/>
        </w:rPr>
      </w:pPr>
      <w:r>
        <w:rPr>
          <w:rFonts w:hint="eastAsia" w:ascii="宋体"/>
          <w:b/>
        </w:rPr>
        <w:t>5.4.7物耗费用（自行报价）最高限额</w:t>
      </w:r>
      <w:r>
        <w:rPr>
          <w:rFonts w:hint="eastAsia" w:ascii="宋体" w:hAnsi="宋体" w:cs="宋体"/>
        </w:rPr>
        <w:t>941,000.00元</w:t>
      </w:r>
      <w:r>
        <w:rPr>
          <w:rFonts w:ascii="宋体" w:hAnsi="宋体" w:cs="宋体"/>
        </w:rPr>
        <w:t>/</w:t>
      </w:r>
      <w:r>
        <w:rPr>
          <w:rFonts w:hint="eastAsia" w:ascii="宋体" w:hAnsi="宋体" w:cs="宋体"/>
        </w:rPr>
        <w:t>年，超出预算限价将不被接受。</w:t>
      </w:r>
      <w:r>
        <w:rPr>
          <w:rFonts w:hint="eastAsia" w:ascii="宋体"/>
        </w:rPr>
        <w:t>材料物耗费（包括但不限于）：强电维修材料费、弱电维修材料费、给排水维修材料费、空调设备维修材料费、建筑装饰维修材料费、厨房设备维修材料费、保洁物耗费、服务物耗费、安保物耗费等。</w:t>
      </w:r>
      <w:r>
        <w:rPr>
          <w:rFonts w:hint="eastAsia"/>
        </w:rPr>
        <w:t>物耗费已包含在本项目物业服务费用中，招标方无需另行支付。材料物耗费自行报价，</w:t>
      </w:r>
      <w:r>
        <w:rPr>
          <w:rFonts w:hint="eastAsia" w:ascii="宋体"/>
        </w:rPr>
        <w:t>材料物耗费的使用采用预决算制，按实结算，中标单位使用前需申请并报采购人批准后方可使用。</w:t>
      </w:r>
      <w:r>
        <w:rPr>
          <w:rFonts w:hint="eastAsia"/>
        </w:rPr>
        <w:t>具体如下：</w:t>
      </w:r>
    </w:p>
    <w:p w14:paraId="1710E4EE">
      <w:pPr>
        <w:spacing w:line="360" w:lineRule="auto"/>
        <w:ind w:firstLine="361" w:firstLineChars="171"/>
        <w:rPr>
          <w:rFonts w:ascii="宋体"/>
          <w:b/>
        </w:rPr>
      </w:pP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75"/>
        <w:gridCol w:w="1418"/>
        <w:gridCol w:w="3402"/>
        <w:gridCol w:w="1984"/>
        <w:gridCol w:w="1043"/>
      </w:tblGrid>
      <w:tr w14:paraId="42ED88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474C7AD8">
            <w:pPr>
              <w:spacing w:line="360" w:lineRule="auto"/>
              <w:jc w:val="center"/>
              <w:rPr>
                <w:rFonts w:ascii="宋体"/>
              </w:rPr>
            </w:pPr>
            <w:r>
              <w:rPr>
                <w:rFonts w:ascii="宋体"/>
              </w:rPr>
              <w:t>序号</w:t>
            </w:r>
          </w:p>
        </w:tc>
        <w:tc>
          <w:tcPr>
            <w:tcW w:w="1418" w:type="dxa"/>
          </w:tcPr>
          <w:p w14:paraId="477FF291">
            <w:pPr>
              <w:spacing w:line="360" w:lineRule="auto"/>
              <w:jc w:val="center"/>
              <w:rPr>
                <w:rFonts w:ascii="宋体"/>
              </w:rPr>
            </w:pPr>
            <w:r>
              <w:rPr>
                <w:rFonts w:ascii="宋体"/>
              </w:rPr>
              <w:t>费用名称</w:t>
            </w:r>
          </w:p>
        </w:tc>
        <w:tc>
          <w:tcPr>
            <w:tcW w:w="3402" w:type="dxa"/>
          </w:tcPr>
          <w:p w14:paraId="28248D29">
            <w:pPr>
              <w:spacing w:line="360" w:lineRule="auto"/>
              <w:jc w:val="center"/>
              <w:rPr>
                <w:rFonts w:ascii="宋体"/>
              </w:rPr>
            </w:pPr>
            <w:r>
              <w:rPr>
                <w:rFonts w:ascii="宋体"/>
              </w:rPr>
              <w:t>基本内容</w:t>
            </w:r>
          </w:p>
        </w:tc>
        <w:tc>
          <w:tcPr>
            <w:tcW w:w="1984" w:type="dxa"/>
          </w:tcPr>
          <w:p w14:paraId="5F913594">
            <w:pPr>
              <w:spacing w:line="360" w:lineRule="auto"/>
              <w:jc w:val="center"/>
              <w:rPr>
                <w:rFonts w:ascii="宋体"/>
              </w:rPr>
            </w:pPr>
            <w:r>
              <w:rPr>
                <w:rFonts w:ascii="宋体"/>
              </w:rPr>
              <w:t>费用金额</w:t>
            </w:r>
            <w:r>
              <w:rPr>
                <w:rFonts w:hint="eastAsia" w:ascii="宋体"/>
              </w:rPr>
              <w:t>（</w:t>
            </w:r>
            <w:r>
              <w:rPr>
                <w:rFonts w:ascii="宋体"/>
              </w:rPr>
              <w:t>元</w:t>
            </w:r>
            <w:r>
              <w:rPr>
                <w:rFonts w:hint="eastAsia" w:ascii="宋体"/>
              </w:rPr>
              <w:t>/年）</w:t>
            </w:r>
          </w:p>
        </w:tc>
        <w:tc>
          <w:tcPr>
            <w:tcW w:w="1043" w:type="dxa"/>
          </w:tcPr>
          <w:p w14:paraId="586BB406">
            <w:pPr>
              <w:spacing w:line="360" w:lineRule="auto"/>
              <w:jc w:val="center"/>
              <w:rPr>
                <w:rFonts w:ascii="宋体"/>
              </w:rPr>
            </w:pPr>
            <w:r>
              <w:rPr>
                <w:rFonts w:ascii="宋体"/>
              </w:rPr>
              <w:t>备注</w:t>
            </w:r>
          </w:p>
        </w:tc>
      </w:tr>
      <w:tr w14:paraId="51F203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A742A0E">
            <w:pPr>
              <w:spacing w:line="360" w:lineRule="auto"/>
              <w:rPr>
                <w:rFonts w:ascii="宋体"/>
              </w:rPr>
            </w:pPr>
            <w:r>
              <w:rPr>
                <w:rFonts w:hint="eastAsia" w:ascii="宋体"/>
              </w:rPr>
              <w:t>1</w:t>
            </w:r>
          </w:p>
        </w:tc>
        <w:tc>
          <w:tcPr>
            <w:tcW w:w="1418" w:type="dxa"/>
          </w:tcPr>
          <w:p w14:paraId="6385E24A">
            <w:pPr>
              <w:spacing w:line="360" w:lineRule="auto"/>
              <w:rPr>
                <w:rFonts w:ascii="宋体"/>
              </w:rPr>
            </w:pPr>
            <w:r>
              <w:rPr>
                <w:rFonts w:hint="eastAsia" w:ascii="宋体"/>
              </w:rPr>
              <w:t>材料</w:t>
            </w:r>
            <w:r>
              <w:rPr>
                <w:rFonts w:ascii="宋体"/>
              </w:rPr>
              <w:t>物耗费</w:t>
            </w:r>
          </w:p>
        </w:tc>
        <w:tc>
          <w:tcPr>
            <w:tcW w:w="3402" w:type="dxa"/>
          </w:tcPr>
          <w:p w14:paraId="504E9EFA">
            <w:pPr>
              <w:spacing w:line="360" w:lineRule="auto"/>
              <w:ind w:firstLine="359" w:firstLineChars="171"/>
              <w:rPr>
                <w:rFonts w:ascii="宋体"/>
              </w:rPr>
            </w:pPr>
            <w:r>
              <w:rPr>
                <w:rFonts w:hint="eastAsia" w:ascii="宋体"/>
              </w:rPr>
              <w:t>材料物耗费内容（包括但不限于）：强电维修材料费、弱电维修材料费、给排水维修材料费、空调设备维修材料费、建筑装饰维修材料费、厨房设备维修材料费、保洁物耗费、服务物耗费、安保物耗费等。</w:t>
            </w:r>
          </w:p>
          <w:p w14:paraId="118B0671">
            <w:pPr>
              <w:spacing w:line="360" w:lineRule="auto"/>
              <w:rPr>
                <w:rFonts w:ascii="宋体"/>
              </w:rPr>
            </w:pPr>
          </w:p>
        </w:tc>
        <w:tc>
          <w:tcPr>
            <w:tcW w:w="1984" w:type="dxa"/>
          </w:tcPr>
          <w:p w14:paraId="55A91E23">
            <w:pPr>
              <w:spacing w:line="360" w:lineRule="auto"/>
              <w:rPr>
                <w:rFonts w:ascii="宋体"/>
              </w:rPr>
            </w:pPr>
            <w:r>
              <w:rPr>
                <w:rFonts w:hint="eastAsia" w:ascii="宋体"/>
              </w:rPr>
              <w:t>自行报价</w:t>
            </w:r>
          </w:p>
        </w:tc>
        <w:tc>
          <w:tcPr>
            <w:tcW w:w="1043" w:type="dxa"/>
          </w:tcPr>
          <w:p w14:paraId="69CC3C7E">
            <w:pPr>
              <w:spacing w:line="360" w:lineRule="auto"/>
              <w:rPr>
                <w:rFonts w:ascii="宋体"/>
              </w:rPr>
            </w:pPr>
            <w:r>
              <w:rPr>
                <w:rFonts w:ascii="宋体"/>
              </w:rPr>
              <w:t>采用预决算制</w:t>
            </w:r>
            <w:r>
              <w:rPr>
                <w:rFonts w:hint="eastAsia" w:ascii="宋体"/>
              </w:rPr>
              <w:t>，</w:t>
            </w:r>
            <w:r>
              <w:rPr>
                <w:rFonts w:ascii="宋体"/>
              </w:rPr>
              <w:t>按实结算，</w:t>
            </w:r>
            <w:r>
              <w:rPr>
                <w:rFonts w:hint="eastAsia" w:ascii="宋体" w:hAnsi="宋体" w:cs="宋体"/>
              </w:rPr>
              <w:t>超出预算限价将不被接受</w:t>
            </w:r>
          </w:p>
        </w:tc>
      </w:tr>
    </w:tbl>
    <w:p w14:paraId="3823C057">
      <w:pPr>
        <w:pStyle w:val="16"/>
        <w:widowControl/>
        <w:spacing w:line="360" w:lineRule="auto"/>
        <w:ind w:left="360" w:firstLine="0" w:firstLineChars="0"/>
        <w:jc w:val="left"/>
        <w:rPr>
          <w:rFonts w:ascii="宋体" w:hAnsi="宋体" w:cs="宋体"/>
          <w:u w:val="single"/>
        </w:rPr>
      </w:pPr>
    </w:p>
    <w:p w14:paraId="343E7576">
      <w:pPr>
        <w:spacing w:line="360" w:lineRule="auto"/>
        <w:rPr>
          <w:rFonts w:ascii="宋体"/>
          <w:b/>
          <w:bCs/>
        </w:rPr>
      </w:pPr>
      <w:r>
        <w:rPr>
          <w:rFonts w:hint="eastAsia" w:ascii="宋体" w:hAnsi="宋体" w:cs="宋体"/>
          <w:b/>
          <w:bCs/>
        </w:rPr>
        <w:t>七、博物馆总平面图及主要楼层平面分布表</w:t>
      </w:r>
    </w:p>
    <w:p w14:paraId="68BB04A1">
      <w:pPr>
        <w:spacing w:line="360" w:lineRule="auto"/>
        <w:ind w:firstLine="357" w:firstLineChars="170"/>
        <w:rPr>
          <w:rFonts w:ascii="宋体" w:hAnsi="宋体" w:cs="宋体"/>
        </w:rPr>
      </w:pPr>
      <w:r>
        <w:rPr>
          <w:rFonts w:hint="eastAsia" w:ascii="宋体" w:hAnsi="宋体" w:cs="宋体"/>
        </w:rPr>
        <w:sym w:font="Wingdings" w:char="F076"/>
      </w:r>
      <w:r>
        <w:rPr>
          <w:rFonts w:hint="eastAsia" w:ascii="宋体" w:hAnsi="宋体" w:cs="宋体"/>
        </w:rPr>
        <w:t>（详见附件三）</w:t>
      </w:r>
    </w:p>
    <w:p w14:paraId="389B4945">
      <w:pPr>
        <w:jc w:val="left"/>
        <w:rPr>
          <w:rFonts w:ascii="仿宋_GB2312" w:eastAsia="仿宋_GB2312"/>
          <w:sz w:val="32"/>
          <w:szCs w:val="32"/>
        </w:rPr>
      </w:pPr>
    </w:p>
    <w:p w14:paraId="5B1A33CE">
      <w:pPr>
        <w:jc w:val="left"/>
        <w:rPr>
          <w:b/>
          <w:sz w:val="32"/>
          <w:szCs w:val="32"/>
        </w:rPr>
      </w:pPr>
      <w:r>
        <w:rPr>
          <w:b/>
          <w:sz w:val="32"/>
          <w:szCs w:val="32"/>
        </w:rPr>
        <w:br w:type="page"/>
      </w:r>
    </w:p>
    <w:p w14:paraId="61DD9140">
      <w:pPr>
        <w:rPr>
          <w:b/>
          <w:sz w:val="32"/>
          <w:szCs w:val="32"/>
        </w:rPr>
      </w:pPr>
      <w:r>
        <w:rPr>
          <w:rFonts w:hint="eastAsia"/>
          <w:b/>
          <w:sz w:val="32"/>
          <w:szCs w:val="32"/>
        </w:rPr>
        <w:t>附件一：物业管理服务内容及要求</w:t>
      </w:r>
    </w:p>
    <w:tbl>
      <w:tblPr>
        <w:tblStyle w:val="9"/>
        <w:tblW w:w="8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4"/>
        <w:gridCol w:w="1913"/>
        <w:gridCol w:w="5968"/>
      </w:tblGrid>
      <w:tr w14:paraId="0AC2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tcPr>
          <w:p w14:paraId="226706EC">
            <w:r>
              <w:rPr>
                <w:rFonts w:hint="eastAsia"/>
              </w:rPr>
              <w:t>序号</w:t>
            </w:r>
          </w:p>
        </w:tc>
        <w:tc>
          <w:tcPr>
            <w:tcW w:w="1937" w:type="dxa"/>
            <w:gridSpan w:val="2"/>
          </w:tcPr>
          <w:p w14:paraId="11324973">
            <w:r>
              <w:rPr>
                <w:rFonts w:hint="eastAsia"/>
              </w:rPr>
              <w:t>物业管理要求</w:t>
            </w:r>
          </w:p>
        </w:tc>
        <w:tc>
          <w:tcPr>
            <w:tcW w:w="5968" w:type="dxa"/>
          </w:tcPr>
          <w:p w14:paraId="6A7635C3">
            <w:r>
              <w:rPr>
                <w:rFonts w:hint="eastAsia"/>
              </w:rPr>
              <w:t>工作内容（包括但不限于）</w:t>
            </w:r>
          </w:p>
        </w:tc>
      </w:tr>
      <w:tr w14:paraId="7809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tcPr>
          <w:p w14:paraId="350790DF">
            <w:pPr>
              <w:rPr>
                <w:b/>
              </w:rPr>
            </w:pPr>
            <w:r>
              <w:rPr>
                <w:rFonts w:hint="eastAsia"/>
                <w:b/>
              </w:rPr>
              <w:t>一</w:t>
            </w:r>
          </w:p>
        </w:tc>
        <w:tc>
          <w:tcPr>
            <w:tcW w:w="7905" w:type="dxa"/>
            <w:gridSpan w:val="3"/>
          </w:tcPr>
          <w:p w14:paraId="62B06C90">
            <w:pPr>
              <w:rPr>
                <w:b/>
              </w:rPr>
            </w:pPr>
            <w:r>
              <w:rPr>
                <w:rFonts w:hint="eastAsia"/>
                <w:b/>
              </w:rPr>
              <w:t>建筑物及其附属共用设施、设备、场地的管理、维修养护、巡视检查</w:t>
            </w:r>
          </w:p>
        </w:tc>
      </w:tr>
      <w:tr w14:paraId="7D13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14:paraId="43C4D98F">
            <w:r>
              <w:rPr>
                <w:rFonts w:hint="eastAsia"/>
              </w:rPr>
              <w:t>1</w:t>
            </w:r>
          </w:p>
        </w:tc>
        <w:tc>
          <w:tcPr>
            <w:tcW w:w="1937" w:type="dxa"/>
            <w:gridSpan w:val="2"/>
            <w:vMerge w:val="restart"/>
          </w:tcPr>
          <w:p w14:paraId="777273C9">
            <w:pPr>
              <w:spacing w:line="360" w:lineRule="exact"/>
              <w:ind w:left="315" w:hanging="315" w:hangingChars="150"/>
            </w:pPr>
            <w:r>
              <w:rPr>
                <w:rFonts w:hint="eastAsia"/>
              </w:rPr>
              <w:t>1、负责供、配电各子系统系统的运行、维护和保养工作，制定相应的运行维护保养计划，进行日常检查、运维、检修和保养作业，并作出记录；</w:t>
            </w:r>
          </w:p>
          <w:p w14:paraId="451A2BE3">
            <w:pPr>
              <w:spacing w:line="360" w:lineRule="exact"/>
              <w:ind w:left="315" w:hanging="315" w:hangingChars="150"/>
            </w:pPr>
            <w:r>
              <w:rPr>
                <w:rFonts w:hint="eastAsia"/>
              </w:rPr>
              <w:t>2、按供电部门相关规定操作，负责供、配电安全；</w:t>
            </w:r>
          </w:p>
          <w:p w14:paraId="3640B00D">
            <w:pPr>
              <w:spacing w:line="360" w:lineRule="exact"/>
              <w:ind w:left="315" w:hanging="315" w:hangingChars="150"/>
            </w:pPr>
            <w:r>
              <w:rPr>
                <w:rFonts w:hint="eastAsia"/>
              </w:rPr>
              <w:t>3、法规规定的特种设备的维修保养检测除外，但应做好配合工作；</w:t>
            </w:r>
          </w:p>
          <w:p w14:paraId="7F80894B">
            <w:pPr>
              <w:spacing w:line="360" w:lineRule="exact"/>
              <w:ind w:left="315" w:hanging="315" w:hangingChars="150"/>
            </w:pPr>
            <w:r>
              <w:rPr>
                <w:rFonts w:hint="eastAsia"/>
              </w:rPr>
              <w:t>4、设备检修期间，需要提供临时措施和解决办法。</w:t>
            </w:r>
          </w:p>
        </w:tc>
        <w:tc>
          <w:tcPr>
            <w:tcW w:w="5968" w:type="dxa"/>
          </w:tcPr>
          <w:p w14:paraId="6E427034">
            <w:pPr>
              <w:spacing w:line="360" w:lineRule="exact"/>
            </w:pPr>
            <w:r>
              <w:rPr>
                <w:rFonts w:hint="eastAsia"/>
              </w:rPr>
              <w:t>变电站：</w:t>
            </w:r>
          </w:p>
          <w:p w14:paraId="13201E09">
            <w:pPr>
              <w:spacing w:line="360" w:lineRule="exact"/>
            </w:pPr>
            <w:r>
              <w:rPr>
                <w:rFonts w:hint="eastAsia"/>
              </w:rPr>
              <w:t>1.每天巡视各主机房的动力控制柜、配电箱等；</w:t>
            </w:r>
          </w:p>
          <w:p w14:paraId="5268933E">
            <w:pPr>
              <w:spacing w:line="360" w:lineRule="exact"/>
              <w:ind w:left="210" w:hanging="210" w:hangingChars="100"/>
            </w:pPr>
            <w:r>
              <w:rPr>
                <w:rFonts w:hint="eastAsia"/>
              </w:rPr>
              <w:t>2.每月检查动力控制柜、配电箱、照明箱，并对双电源切换箱功能进行检查和试验（供电局），并做好台账记录；</w:t>
            </w:r>
          </w:p>
          <w:p w14:paraId="5121AD6F">
            <w:pPr>
              <w:spacing w:line="360" w:lineRule="exact"/>
              <w:ind w:left="210" w:hanging="210" w:hangingChars="100"/>
            </w:pPr>
            <w:r>
              <w:rPr>
                <w:rFonts w:hint="eastAsia"/>
              </w:rPr>
              <w:t>3.配电站保证24小时值班，每二小时巡视一次变电站供配电系统设备；</w:t>
            </w:r>
          </w:p>
          <w:p w14:paraId="298848BC">
            <w:pPr>
              <w:spacing w:line="360" w:lineRule="exact"/>
              <w:ind w:left="210" w:hanging="210" w:hangingChars="100"/>
            </w:pPr>
            <w:r>
              <w:rPr>
                <w:rFonts w:hint="eastAsia"/>
              </w:rPr>
              <w:t>4.每天根据巡视时间，做好各类运行数据的记录工作；掌握整个变电站设备的系统原理、运行状态；</w:t>
            </w:r>
          </w:p>
          <w:p w14:paraId="407C839A">
            <w:pPr>
              <w:spacing w:line="360" w:lineRule="exact"/>
            </w:pPr>
            <w:r>
              <w:rPr>
                <w:rFonts w:hint="eastAsia"/>
              </w:rPr>
              <w:t>5.制定变电站系统设备的维护保养工作计划，做好各类维修工作，并按计划做好保养工作；</w:t>
            </w:r>
          </w:p>
        </w:tc>
      </w:tr>
      <w:tr w14:paraId="1A2A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14:paraId="7EB9DFF4"/>
        </w:tc>
        <w:tc>
          <w:tcPr>
            <w:tcW w:w="1937" w:type="dxa"/>
            <w:gridSpan w:val="2"/>
            <w:vMerge w:val="continue"/>
          </w:tcPr>
          <w:p w14:paraId="7FB7BF3B">
            <w:pPr>
              <w:spacing w:line="360" w:lineRule="exact"/>
            </w:pPr>
          </w:p>
        </w:tc>
        <w:tc>
          <w:tcPr>
            <w:tcW w:w="5968" w:type="dxa"/>
          </w:tcPr>
          <w:p w14:paraId="5434FE30">
            <w:pPr>
              <w:spacing w:line="360" w:lineRule="exact"/>
            </w:pPr>
            <w:r>
              <w:rPr>
                <w:rFonts w:hint="eastAsia"/>
              </w:rPr>
              <w:t>二级配电系统：</w:t>
            </w:r>
          </w:p>
          <w:p w14:paraId="067D992C">
            <w:pPr>
              <w:spacing w:line="360" w:lineRule="exact"/>
            </w:pPr>
            <w:r>
              <w:rPr>
                <w:rFonts w:hint="eastAsia"/>
              </w:rPr>
              <w:t>1.维修保养主机房的动力控制柜、配电箱等；</w:t>
            </w:r>
          </w:p>
          <w:p w14:paraId="4E44D4CB">
            <w:pPr>
              <w:spacing w:line="360" w:lineRule="exact"/>
              <w:ind w:left="210" w:hanging="210" w:hangingChars="100"/>
            </w:pPr>
            <w:r>
              <w:rPr>
                <w:rFonts w:hint="eastAsia"/>
              </w:rPr>
              <w:t>2.制定维护保养计划，每月对所有二级配电系统动力、照明、空调等设备设施进行维护保养及维修（特殊设备除外）；</w:t>
            </w:r>
          </w:p>
          <w:p w14:paraId="32FBEAEE">
            <w:pPr>
              <w:spacing w:line="360" w:lineRule="exact"/>
            </w:pPr>
            <w:r>
              <w:rPr>
                <w:rFonts w:hint="eastAsia"/>
              </w:rPr>
              <w:t>3.每月检查各类动力、空调、照明以及所有影院内的配电箱；</w:t>
            </w:r>
          </w:p>
          <w:p w14:paraId="663C5D40">
            <w:pPr>
              <w:spacing w:line="360" w:lineRule="exact"/>
              <w:ind w:left="210" w:hanging="210" w:hangingChars="100"/>
            </w:pPr>
            <w:r>
              <w:rPr>
                <w:rFonts w:hint="eastAsia"/>
              </w:rPr>
              <w:t>4.对具有双电源切换功能的（影院、信息中心等）配电系统每年2次检查和试验；</w:t>
            </w:r>
          </w:p>
          <w:p w14:paraId="4BA19239">
            <w:pPr>
              <w:spacing w:line="360" w:lineRule="exact"/>
            </w:pPr>
            <w:r>
              <w:rPr>
                <w:rFonts w:hint="eastAsia"/>
              </w:rPr>
              <w:t>5.每半年对所有配电箱进行除尘清扫；</w:t>
            </w:r>
          </w:p>
          <w:p w14:paraId="1A7BA7F3">
            <w:pPr>
              <w:spacing w:line="360" w:lineRule="exact"/>
              <w:ind w:left="210" w:hanging="210" w:hangingChars="100"/>
            </w:pPr>
            <w:r>
              <w:rPr>
                <w:rFonts w:hint="eastAsia"/>
              </w:rPr>
              <w:t>6.每季对继电器控制柜内的元器件检查一次，每半年校正一次热继电器的整定值，并予以清洁。</w:t>
            </w:r>
          </w:p>
          <w:p w14:paraId="3EAFF39C">
            <w:pPr>
              <w:spacing w:line="360" w:lineRule="exact"/>
            </w:pPr>
            <w:r>
              <w:rPr>
                <w:rFonts w:hint="eastAsia"/>
              </w:rPr>
              <w:t>7.每年一次对各导线的街头紧固、接地测试；</w:t>
            </w:r>
          </w:p>
          <w:p w14:paraId="74DF0C30">
            <w:pPr>
              <w:spacing w:line="360" w:lineRule="exact"/>
              <w:ind w:left="210" w:hanging="210" w:hangingChars="100"/>
            </w:pPr>
            <w:r>
              <w:rPr>
                <w:rFonts w:hint="eastAsia"/>
              </w:rPr>
              <w:t>8.每年一次对密集型母线排（机房内）检查，各类电缆导线等的接头紧固，并进行接地测试、绝缘测试。</w:t>
            </w:r>
          </w:p>
        </w:tc>
      </w:tr>
      <w:tr w14:paraId="2A0C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14:paraId="713A5106"/>
        </w:tc>
        <w:tc>
          <w:tcPr>
            <w:tcW w:w="1937" w:type="dxa"/>
            <w:gridSpan w:val="2"/>
            <w:vMerge w:val="continue"/>
          </w:tcPr>
          <w:p w14:paraId="28F29725">
            <w:pPr>
              <w:spacing w:line="360" w:lineRule="exact"/>
            </w:pPr>
          </w:p>
        </w:tc>
        <w:tc>
          <w:tcPr>
            <w:tcW w:w="5968" w:type="dxa"/>
          </w:tcPr>
          <w:p w14:paraId="4368E765">
            <w:pPr>
              <w:spacing w:line="360" w:lineRule="exact"/>
            </w:pPr>
            <w:r>
              <w:rPr>
                <w:rFonts w:hint="eastAsia"/>
              </w:rPr>
              <w:t>柴油发电机组：</w:t>
            </w:r>
          </w:p>
          <w:p w14:paraId="6BF0562B">
            <w:pPr>
              <w:spacing w:line="360" w:lineRule="exact"/>
              <w:ind w:left="210" w:hanging="210" w:hangingChars="100"/>
            </w:pPr>
            <w:r>
              <w:rPr>
                <w:rFonts w:hint="eastAsia"/>
              </w:rPr>
              <w:t>1.每月一次检查热备用状态、空气滤清器检查、蓄电池检查、压线紧固、皮带检查、散热器检查、水箱检查。</w:t>
            </w:r>
          </w:p>
          <w:p w14:paraId="06C72BCC">
            <w:pPr>
              <w:spacing w:line="360" w:lineRule="exact"/>
            </w:pPr>
            <w:r>
              <w:rPr>
                <w:rFonts w:hint="eastAsia"/>
              </w:rPr>
              <w:t>2.每季度一次润滑油液位检查。</w:t>
            </w:r>
          </w:p>
          <w:p w14:paraId="2BA707B9">
            <w:pPr>
              <w:spacing w:line="360" w:lineRule="exact"/>
            </w:pPr>
            <w:r>
              <w:rPr>
                <w:rFonts w:hint="eastAsia"/>
              </w:rPr>
              <w:t>3.每季度一次控制屏清除灰尘，接线头紧固，对于生锈或过热的接线头子处理并拧紧。</w:t>
            </w:r>
          </w:p>
        </w:tc>
      </w:tr>
      <w:tr w14:paraId="6C9F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14:paraId="54E7FC0C"/>
        </w:tc>
        <w:tc>
          <w:tcPr>
            <w:tcW w:w="1937" w:type="dxa"/>
            <w:gridSpan w:val="2"/>
            <w:vMerge w:val="continue"/>
          </w:tcPr>
          <w:p w14:paraId="182B99B1">
            <w:pPr>
              <w:spacing w:line="360" w:lineRule="exact"/>
            </w:pPr>
          </w:p>
        </w:tc>
        <w:tc>
          <w:tcPr>
            <w:tcW w:w="5968" w:type="dxa"/>
          </w:tcPr>
          <w:p w14:paraId="69812DAB">
            <w:pPr>
              <w:spacing w:line="360" w:lineRule="exact"/>
            </w:pPr>
            <w:r>
              <w:rPr>
                <w:rFonts w:hint="eastAsia"/>
              </w:rPr>
              <w:t>其他日常基础工作：</w:t>
            </w:r>
          </w:p>
          <w:p w14:paraId="43291EE7">
            <w:pPr>
              <w:spacing w:line="360" w:lineRule="exact"/>
            </w:pPr>
            <w:r>
              <w:rPr>
                <w:rFonts w:hint="eastAsia"/>
              </w:rPr>
              <w:t>1.根据电气安全规程的要求，做（安排）好对馆内高压配电间内强电设施的电气绝缘试验，以及其他电工安全用具的强制检验。</w:t>
            </w:r>
          </w:p>
          <w:p w14:paraId="449CC25A">
            <w:pPr>
              <w:spacing w:line="360" w:lineRule="exact"/>
            </w:pPr>
            <w:r>
              <w:rPr>
                <w:rFonts w:hint="eastAsia"/>
              </w:rPr>
              <w:t>2.根据建筑物防雷安全管理的有关要求，做好博物馆接地装置、建筑防雷系统装置的日常维护管理和定期安全检查测试工作，落实整改完善。</w:t>
            </w:r>
          </w:p>
          <w:p w14:paraId="76BCDD30">
            <w:pPr>
              <w:spacing w:line="360" w:lineRule="exact"/>
            </w:pPr>
            <w:r>
              <w:rPr>
                <w:rFonts w:hint="eastAsia"/>
              </w:rPr>
              <w:t>3.根据电梯使用管理和特种设备安全管理有关要求，做好博物馆电梯设备定期安全检查测试和特种设备年检工作，落实整改完善。</w:t>
            </w:r>
          </w:p>
          <w:p w14:paraId="2C12603E">
            <w:r>
              <w:rPr>
                <w:rFonts w:hint="eastAsia"/>
              </w:rPr>
              <w:t>4.建立严格的配、送电运行制度和电气维修制度及停电事故应急预案。</w:t>
            </w:r>
          </w:p>
          <w:p w14:paraId="54861080">
            <w:r>
              <w:rPr>
                <w:rFonts w:hint="eastAsia"/>
              </w:rPr>
              <w:t>5.处理好强电系统突发事件（如外网波动造成停电等情况）。</w:t>
            </w:r>
          </w:p>
          <w:p w14:paraId="0C0B4C86">
            <w:r>
              <w:rPr>
                <w:rFonts w:hint="eastAsia"/>
              </w:rPr>
              <w:t>6.保障公共区域的照明、指示、显示灯完；对路灯、庭园灯的操作及维修，确保正常运行。</w:t>
            </w:r>
          </w:p>
          <w:p w14:paraId="75AF5B1B">
            <w:r>
              <w:rPr>
                <w:rFonts w:hint="eastAsia"/>
              </w:rPr>
              <w:t>7.电梯运行管理，对电梯机房设备、井道系统、轿厢设备进行日常运行管理和定期检查、维护、保养；负责协调电梯维修保养专业供方落实维修保养，对服务过程和结果进行监督、检验。</w:t>
            </w:r>
          </w:p>
          <w:p w14:paraId="2D78A99D">
            <w:r>
              <w:rPr>
                <w:rFonts w:hint="eastAsia"/>
              </w:rPr>
              <w:t>8.健全电梯设备档案及修理记录，做（安排）好电梯安全年检工作，落实整改完善工作。密切监视和掌握电梯的运行动态，及时做好需变动的电梯运行的调度、管理工作。</w:t>
            </w:r>
          </w:p>
          <w:p w14:paraId="27C070D6">
            <w:r>
              <w:rPr>
                <w:rFonts w:hint="eastAsia"/>
              </w:rPr>
              <w:t>9.负责停电、设备主机故障、电梯困人等突发事件的处理。</w:t>
            </w:r>
          </w:p>
          <w:p w14:paraId="56DC3C67">
            <w:pPr>
              <w:spacing w:line="360" w:lineRule="exact"/>
            </w:pPr>
            <w:r>
              <w:rPr>
                <w:rFonts w:hint="eastAsia"/>
              </w:rPr>
              <w:t>10.加强日常维护检修，公共使用的照明、指示灯具线路、开关要保证完好，确保用电完全；管理和维护好办公楼(区)灯具等用电设施；制定突发事件应急处理程序和临时用电管理措施。</w:t>
            </w:r>
          </w:p>
        </w:tc>
      </w:tr>
      <w:tr w14:paraId="1BD8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14:paraId="2E1D31C7"/>
        </w:tc>
        <w:tc>
          <w:tcPr>
            <w:tcW w:w="1937" w:type="dxa"/>
            <w:gridSpan w:val="2"/>
            <w:vMerge w:val="continue"/>
          </w:tcPr>
          <w:p w14:paraId="40FEEA28">
            <w:pPr>
              <w:spacing w:line="360" w:lineRule="exact"/>
            </w:pPr>
          </w:p>
        </w:tc>
        <w:tc>
          <w:tcPr>
            <w:tcW w:w="5968" w:type="dxa"/>
          </w:tcPr>
          <w:p w14:paraId="4ECE66D7">
            <w:pPr>
              <w:spacing w:line="360" w:lineRule="exact"/>
            </w:pPr>
            <w:r>
              <w:rPr>
                <w:rFonts w:hint="eastAsia"/>
              </w:rPr>
              <w:t>能源管理：</w:t>
            </w:r>
          </w:p>
          <w:p w14:paraId="2875F758">
            <w:pPr>
              <w:spacing w:line="360" w:lineRule="exact"/>
            </w:pPr>
            <w:r>
              <w:rPr>
                <w:rFonts w:hint="eastAsia"/>
              </w:rPr>
              <w:t>1.根据国家相关法规，做好全馆的能源管理工作；</w:t>
            </w:r>
          </w:p>
          <w:p w14:paraId="53EFE582">
            <w:pPr>
              <w:spacing w:line="360" w:lineRule="exact"/>
              <w:ind w:left="210" w:hanging="210" w:hangingChars="100"/>
            </w:pPr>
            <w:r>
              <w:rPr>
                <w:rFonts w:hint="eastAsia"/>
              </w:rPr>
              <w:t>2.详细正确的做好各类能源的统计报表（按月、季、半年、年统计），并对能源的消耗进行综合分析。</w:t>
            </w:r>
          </w:p>
          <w:p w14:paraId="42D80C4B">
            <w:pPr>
              <w:spacing w:line="360" w:lineRule="exact"/>
            </w:pPr>
            <w:r>
              <w:rPr>
                <w:rFonts w:hint="eastAsia"/>
              </w:rPr>
              <w:t>3.完成各类节能降耗的考核指标，提出节能管理方案。（请物业部进行补充</w:t>
            </w:r>
          </w:p>
        </w:tc>
      </w:tr>
      <w:tr w14:paraId="0FFC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tcPr>
          <w:p w14:paraId="0BCA7CDC"/>
          <w:p w14:paraId="08118199"/>
          <w:p w14:paraId="1DD494ED"/>
          <w:p w14:paraId="63BA9E40"/>
          <w:p w14:paraId="422E6AB2"/>
          <w:p w14:paraId="56133139">
            <w:r>
              <w:rPr>
                <w:rFonts w:hint="eastAsia"/>
              </w:rPr>
              <w:t>2</w:t>
            </w:r>
          </w:p>
        </w:tc>
        <w:tc>
          <w:tcPr>
            <w:tcW w:w="1937" w:type="dxa"/>
            <w:gridSpan w:val="2"/>
            <w:vMerge w:val="restart"/>
          </w:tcPr>
          <w:p w14:paraId="00146778">
            <w:pPr>
              <w:spacing w:line="360" w:lineRule="exact"/>
              <w:ind w:left="210" w:hanging="210" w:hangingChars="100"/>
            </w:pPr>
            <w:r>
              <w:rPr>
                <w:rFonts w:hint="eastAsia"/>
              </w:rPr>
              <w:t>1、负责给排水各子系统的运行、维护和保养工作，制定相应的运行维护保养计划，进行日常检查、运维、检修和保养作业，并作出记录；</w:t>
            </w:r>
          </w:p>
          <w:p w14:paraId="57177C3E">
            <w:pPr>
              <w:spacing w:line="360" w:lineRule="exact"/>
              <w:ind w:left="210" w:hanging="210" w:hangingChars="100"/>
            </w:pPr>
            <w:r>
              <w:rPr>
                <w:rFonts w:hint="eastAsia"/>
              </w:rPr>
              <w:t>2、执行给排水方面的法律、法规和规范和规范；</w:t>
            </w:r>
          </w:p>
          <w:p w14:paraId="00AC1BD7">
            <w:pPr>
              <w:spacing w:line="360" w:lineRule="exact"/>
              <w:ind w:left="210" w:hanging="210" w:hangingChars="100"/>
            </w:pPr>
            <w:r>
              <w:rPr>
                <w:rFonts w:hint="eastAsia"/>
              </w:rPr>
              <w:t>3、确保污水排放达标；</w:t>
            </w:r>
          </w:p>
          <w:p w14:paraId="4450AC0B">
            <w:pPr>
              <w:spacing w:line="360" w:lineRule="exact"/>
              <w:ind w:left="210" w:hanging="210" w:hangingChars="100"/>
            </w:pPr>
            <w:r>
              <w:rPr>
                <w:rFonts w:hint="eastAsia"/>
              </w:rPr>
              <w:t>4、负责运行安全。</w:t>
            </w:r>
          </w:p>
        </w:tc>
        <w:tc>
          <w:tcPr>
            <w:tcW w:w="5968" w:type="dxa"/>
          </w:tcPr>
          <w:p w14:paraId="78E5F315">
            <w:pPr>
              <w:spacing w:line="360" w:lineRule="exact"/>
              <w:ind w:left="210" w:hanging="210" w:hangingChars="100"/>
            </w:pPr>
            <w:r>
              <w:rPr>
                <w:rFonts w:hint="eastAsia"/>
              </w:rPr>
              <w:t>给水系统：</w:t>
            </w:r>
          </w:p>
          <w:p w14:paraId="3CB88938">
            <w:pPr>
              <w:ind w:left="210" w:hanging="210" w:hangingChars="100"/>
            </w:pPr>
            <w:r>
              <w:rPr>
                <w:rFonts w:hint="eastAsia"/>
              </w:rPr>
              <w:t>1. 每日给排水系统巡检工作，并作记录，掌握给排水系统当前运行的状态，确保设备运行良好。</w:t>
            </w:r>
          </w:p>
          <w:p w14:paraId="52AF0F88">
            <w:pPr>
              <w:ind w:left="210" w:hanging="210" w:hangingChars="100"/>
            </w:pPr>
            <w:r>
              <w:rPr>
                <w:rFonts w:hint="eastAsia"/>
              </w:rPr>
              <w:t>2.根据实际使用情况制订年度设备设施管理及维修保养计划，定期进行更换损耗件等维保工作。</w:t>
            </w:r>
          </w:p>
          <w:p w14:paraId="2D5C9136">
            <w:pPr>
              <w:ind w:left="210" w:hanging="210" w:hangingChars="100"/>
            </w:pPr>
            <w:r>
              <w:rPr>
                <w:rFonts w:hint="eastAsia"/>
              </w:rPr>
              <w:t>3.保持供水系统的正常运转，定期检查水泵运转情况。</w:t>
            </w:r>
          </w:p>
          <w:p w14:paraId="64D87C66">
            <w:pPr>
              <w:ind w:left="210" w:hanging="210" w:hangingChars="100"/>
            </w:pPr>
            <w:r>
              <w:rPr>
                <w:rFonts w:hint="eastAsia"/>
              </w:rPr>
              <w:t>4.定期检修维护供水系统管路、水泵、水池、水箱、阀门、水表，保证其正常运转。</w:t>
            </w:r>
          </w:p>
          <w:p w14:paraId="50E87EB1">
            <w:pPr>
              <w:ind w:left="210" w:hanging="210" w:hangingChars="100"/>
            </w:pPr>
            <w:r>
              <w:rPr>
                <w:rFonts w:hint="eastAsia"/>
              </w:rPr>
              <w:t>5．做好设备系统设备和设备机房的清洁保养工作。</w:t>
            </w:r>
          </w:p>
          <w:p w14:paraId="21BCB5FF">
            <w:pPr>
              <w:ind w:left="210" w:hanging="210" w:hangingChars="100"/>
            </w:pPr>
            <w:r>
              <w:rPr>
                <w:rFonts w:hint="eastAsia"/>
              </w:rPr>
              <w:t>6.根据维护、巡检记录，做好当月的给排水设备的工作状态曲线图以预测设备的寿命周期。</w:t>
            </w:r>
          </w:p>
          <w:p w14:paraId="2BE4600B">
            <w:pPr>
              <w:ind w:left="210" w:hanging="210" w:hangingChars="100"/>
            </w:pPr>
            <w:r>
              <w:rPr>
                <w:rFonts w:hint="eastAsia"/>
              </w:rPr>
              <w:t>7.节约用水，防止冒、滴、漏，大面积跑水事故的发生。</w:t>
            </w:r>
          </w:p>
          <w:p w14:paraId="2D8B95FA">
            <w:pPr>
              <w:ind w:left="210" w:hanging="210" w:hangingChars="100"/>
            </w:pPr>
            <w:r>
              <w:rPr>
                <w:rFonts w:hint="eastAsia"/>
              </w:rPr>
              <w:t>8.保持水池、水箱的清洁卫生，防止二次污染。</w:t>
            </w:r>
          </w:p>
          <w:p w14:paraId="0720AF73">
            <w:pPr>
              <w:spacing w:line="360" w:lineRule="exact"/>
              <w:ind w:left="210" w:hanging="210" w:hangingChars="100"/>
            </w:pPr>
            <w:r>
              <w:rPr>
                <w:rFonts w:hint="eastAsia"/>
              </w:rPr>
              <w:t>9.停水预先通知馆方，以便做好安排。</w:t>
            </w:r>
          </w:p>
        </w:tc>
      </w:tr>
      <w:tr w14:paraId="5EBC3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14:paraId="3C7A552D"/>
        </w:tc>
        <w:tc>
          <w:tcPr>
            <w:tcW w:w="1937" w:type="dxa"/>
            <w:gridSpan w:val="2"/>
            <w:vMerge w:val="continue"/>
          </w:tcPr>
          <w:p w14:paraId="223B0CEB">
            <w:pPr>
              <w:spacing w:line="360" w:lineRule="exact"/>
              <w:ind w:left="210" w:hanging="210" w:hangingChars="100"/>
            </w:pPr>
          </w:p>
        </w:tc>
        <w:tc>
          <w:tcPr>
            <w:tcW w:w="5968" w:type="dxa"/>
          </w:tcPr>
          <w:p w14:paraId="7E945C8C">
            <w:pPr>
              <w:spacing w:line="360" w:lineRule="exact"/>
              <w:ind w:left="210" w:hanging="210" w:hangingChars="100"/>
            </w:pPr>
            <w:r>
              <w:rPr>
                <w:rFonts w:hint="eastAsia"/>
              </w:rPr>
              <w:t>排水系统：</w:t>
            </w:r>
          </w:p>
          <w:p w14:paraId="4284A1D7">
            <w:pPr>
              <w:ind w:left="210" w:hanging="210" w:hangingChars="100"/>
            </w:pPr>
            <w:r>
              <w:rPr>
                <w:rFonts w:hint="eastAsia"/>
              </w:rPr>
              <w:t>1. 保证排水系统的正常运转，防止阻塞。</w:t>
            </w:r>
          </w:p>
          <w:p w14:paraId="2626F8A0">
            <w:pPr>
              <w:ind w:left="210" w:hanging="210" w:hangingChars="100"/>
            </w:pPr>
            <w:r>
              <w:rPr>
                <w:rFonts w:hint="eastAsia"/>
              </w:rPr>
              <w:t>2.区域内生活污水经污水管道集中排放处理。</w:t>
            </w:r>
          </w:p>
          <w:p w14:paraId="14614FAD">
            <w:pPr>
              <w:ind w:left="210" w:hanging="210" w:hangingChars="100"/>
            </w:pPr>
            <w:r>
              <w:rPr>
                <w:rFonts w:hint="eastAsia"/>
              </w:rPr>
              <w:t>3.按时对排水沟清扫一次，明沟每周一次，暗沟每月一次。</w:t>
            </w:r>
          </w:p>
          <w:p w14:paraId="7F78458C">
            <w:pPr>
              <w:ind w:left="210" w:hanging="210" w:hangingChars="100"/>
            </w:pPr>
            <w:r>
              <w:rPr>
                <w:rFonts w:hint="eastAsia"/>
              </w:rPr>
              <w:t>4.排水管道每月检查2次，如有堵塞应随时处理、疏通。</w:t>
            </w:r>
          </w:p>
          <w:p w14:paraId="158B58A4">
            <w:pPr>
              <w:ind w:left="210" w:hanging="210" w:hangingChars="100"/>
            </w:pPr>
            <w:r>
              <w:rPr>
                <w:rFonts w:hint="eastAsia"/>
              </w:rPr>
              <w:t>5.每年对污水管网系统那进行2次全面疏浚清洗工作。</w:t>
            </w:r>
          </w:p>
          <w:p w14:paraId="73A6FF87">
            <w:pPr>
              <w:ind w:left="210" w:hanging="210" w:hangingChars="100"/>
            </w:pPr>
            <w:r>
              <w:rPr>
                <w:rFonts w:hint="eastAsia"/>
              </w:rPr>
              <w:t>6.定期对水质采样及分析，保持构筑物进出流、水位正常，保障污水系统正常运作。</w:t>
            </w:r>
          </w:p>
          <w:p w14:paraId="45626AE0">
            <w:pPr>
              <w:ind w:left="210" w:hanging="210" w:hangingChars="100"/>
            </w:pPr>
            <w:r>
              <w:rPr>
                <w:rFonts w:hint="eastAsia"/>
              </w:rPr>
              <w:t>7.配合业主做好水务管理部门的抽检工作。</w:t>
            </w:r>
          </w:p>
        </w:tc>
      </w:tr>
      <w:tr w14:paraId="2123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rPr>
        <w:tc>
          <w:tcPr>
            <w:tcW w:w="846" w:type="dxa"/>
            <w:vAlign w:val="center"/>
          </w:tcPr>
          <w:p w14:paraId="5BE6BF35">
            <w:r>
              <w:rPr>
                <w:rFonts w:hint="eastAsia"/>
              </w:rPr>
              <w:t>3</w:t>
            </w:r>
          </w:p>
        </w:tc>
        <w:tc>
          <w:tcPr>
            <w:tcW w:w="1937" w:type="dxa"/>
            <w:gridSpan w:val="2"/>
          </w:tcPr>
          <w:p w14:paraId="45F30122">
            <w:pPr>
              <w:spacing w:line="360" w:lineRule="exact"/>
            </w:pPr>
            <w:r>
              <w:rPr>
                <w:rFonts w:hint="eastAsia"/>
              </w:rPr>
              <w:t>暖通系统</w:t>
            </w:r>
          </w:p>
          <w:p w14:paraId="54BDB88A">
            <w:pPr>
              <w:spacing w:line="360" w:lineRule="exact"/>
              <w:rPr>
                <w:b/>
              </w:rPr>
            </w:pPr>
            <w:r>
              <w:rPr>
                <w:rFonts w:hint="eastAsia"/>
              </w:rPr>
              <w:t>1、全馆空调及通风系统运行管理，负责运行安全。</w:t>
            </w:r>
          </w:p>
          <w:p w14:paraId="229AD064">
            <w:pPr>
              <w:spacing w:line="360" w:lineRule="exact"/>
            </w:pPr>
            <w:r>
              <w:rPr>
                <w:rFonts w:hint="eastAsia"/>
              </w:rPr>
              <w:t>2、集中空调系统的运行管理及空调设施设备的日常养护维修。</w:t>
            </w:r>
          </w:p>
          <w:p w14:paraId="14E20329">
            <w:pPr>
              <w:spacing w:line="360" w:lineRule="exact"/>
            </w:pPr>
            <w:r>
              <w:rPr>
                <w:rFonts w:hint="eastAsia"/>
              </w:rPr>
              <w:t>3、恒温恒湿系统及机组设备运行管理和维护保养。</w:t>
            </w:r>
          </w:p>
          <w:p w14:paraId="7B9D6D12">
            <w:pPr>
              <w:spacing w:line="360" w:lineRule="exact"/>
            </w:pPr>
            <w:r>
              <w:rPr>
                <w:rFonts w:hint="eastAsia"/>
              </w:rPr>
              <w:t>4、建立空调运行管理制度和安全操作规程，保证空调系统安全运行和正常使用。</w:t>
            </w:r>
          </w:p>
          <w:p w14:paraId="3FD85EFC">
            <w:pPr>
              <w:spacing w:line="360" w:lineRule="exact"/>
            </w:pPr>
            <w:r>
              <w:rPr>
                <w:rFonts w:hint="eastAsia"/>
              </w:rPr>
              <w:t>5、负责集中空调系统、恒温恒湿系统及暖通设备换季大维保工作。</w:t>
            </w:r>
          </w:p>
          <w:p w14:paraId="7320F061">
            <w:pPr>
              <w:spacing w:line="360" w:lineRule="exact"/>
            </w:pPr>
            <w:r>
              <w:rPr>
                <w:rFonts w:hint="eastAsia"/>
              </w:rPr>
              <w:t>6、配合物业管理部落实空调风管系统清洁检测工作。</w:t>
            </w:r>
          </w:p>
          <w:p w14:paraId="66E98BA0">
            <w:pPr>
              <w:spacing w:line="360" w:lineRule="exact"/>
            </w:pPr>
            <w:r>
              <w:rPr>
                <w:rFonts w:hint="eastAsia"/>
              </w:rPr>
              <w:t>7、负责对维保/改造项目的专业供方服务过程、结果进行监管和验收。</w:t>
            </w:r>
          </w:p>
          <w:p w14:paraId="75A1319E">
            <w:pPr>
              <w:spacing w:line="360" w:lineRule="exact"/>
            </w:pPr>
            <w:r>
              <w:rPr>
                <w:rFonts w:hint="eastAsia"/>
              </w:rPr>
              <w:t>8、建立相应运行管理制度和应急流程，处理空调系统突发事件。</w:t>
            </w:r>
          </w:p>
          <w:p w14:paraId="69097B86">
            <w:pPr>
              <w:spacing w:line="360" w:lineRule="exact"/>
            </w:pPr>
            <w:r>
              <w:rPr>
                <w:rFonts w:hint="eastAsia"/>
              </w:rPr>
              <w:t>9、根据实际使用情况制订年度总体节能计划。</w:t>
            </w:r>
          </w:p>
          <w:p w14:paraId="441DADAF">
            <w:pPr>
              <w:spacing w:line="360" w:lineRule="exact"/>
            </w:pPr>
            <w:r>
              <w:rPr>
                <w:rFonts w:hint="eastAsia"/>
              </w:rPr>
              <w:t>10、中央空调控制室实行每日24小时人员值班、监控。11、根据运营要求，建立相应的暖通设备运行管理规章制度。</w:t>
            </w:r>
          </w:p>
          <w:p w14:paraId="64ADC15D">
            <w:pPr>
              <w:spacing w:line="360" w:lineRule="exact"/>
              <w:ind w:left="315" w:hanging="315" w:hangingChars="150"/>
            </w:pPr>
            <w:r>
              <w:rPr>
                <w:rFonts w:hint="eastAsia"/>
              </w:rPr>
              <w:t>12、执行暖通系统方面的法律、法规和规范。</w:t>
            </w:r>
          </w:p>
        </w:tc>
        <w:tc>
          <w:tcPr>
            <w:tcW w:w="5968" w:type="dxa"/>
          </w:tcPr>
          <w:p w14:paraId="404E950F">
            <w:pPr>
              <w:spacing w:line="360" w:lineRule="exact"/>
            </w:pPr>
            <w:r>
              <w:rPr>
                <w:rFonts w:hint="eastAsia"/>
              </w:rPr>
              <w:t>空调系统实行24小时运行管理与维护：</w:t>
            </w:r>
          </w:p>
          <w:p w14:paraId="4CBEC0AA">
            <w:pPr>
              <w:spacing w:line="360" w:lineRule="exact"/>
            </w:pPr>
            <w:r>
              <w:rPr>
                <w:rFonts w:hint="eastAsia"/>
              </w:rPr>
              <w:t>1.建立空调运行管理制度和安全操作规程，保证空调系统安全运行和正常使用。</w:t>
            </w:r>
          </w:p>
          <w:p w14:paraId="420CCF55">
            <w:pPr>
              <w:spacing w:line="360" w:lineRule="exact"/>
            </w:pPr>
            <w:r>
              <w:rPr>
                <w:rFonts w:hint="eastAsia"/>
              </w:rPr>
              <w:t>2.定期巡查设备运行状态并记录运行参数。</w:t>
            </w:r>
          </w:p>
          <w:p w14:paraId="3529DB43">
            <w:pPr>
              <w:spacing w:line="360" w:lineRule="exact"/>
            </w:pPr>
            <w:r>
              <w:rPr>
                <w:rFonts w:hint="eastAsia"/>
              </w:rPr>
              <w:t>3.空调系统运行时，空调人员轮班进行展区巡查，进行巡检记录，发现问题马上进行处理。</w:t>
            </w:r>
          </w:p>
          <w:p w14:paraId="15F3EC29">
            <w:pPr>
              <w:spacing w:line="360" w:lineRule="exact"/>
            </w:pPr>
            <w:r>
              <w:rPr>
                <w:rFonts w:hint="eastAsia"/>
              </w:rPr>
              <w:t>4.空调运行中空调人员要保障每四小时进行温湿度和空调设备安全运行的巡查并做好记录，发现问题马上进行处理。</w:t>
            </w:r>
          </w:p>
          <w:p w14:paraId="56009DD2">
            <w:pPr>
              <w:spacing w:line="360" w:lineRule="exact"/>
            </w:pPr>
            <w:r>
              <w:rPr>
                <w:rFonts w:hint="eastAsia"/>
              </w:rPr>
              <w:t>5.每月检查空调主机，测试运行控制和安全控制功能，分析运行数据。</w:t>
            </w:r>
          </w:p>
          <w:p w14:paraId="1BDEE013">
            <w:pPr>
              <w:spacing w:line="360" w:lineRule="exact"/>
            </w:pPr>
            <w:r>
              <w:rPr>
                <w:rFonts w:hint="eastAsia"/>
              </w:rPr>
              <w:t>6.定期检查冷却塔电机、变速箱、布水器及其它附属设备，每年至少清洗、维护保养冷却塔一次。</w:t>
            </w:r>
          </w:p>
          <w:p w14:paraId="17DA87FF">
            <w:pPr>
              <w:spacing w:line="360" w:lineRule="exact"/>
            </w:pPr>
            <w:r>
              <w:rPr>
                <w:rFonts w:hint="eastAsia"/>
              </w:rPr>
              <w:t>7.定期检查循环泵、冷却泵电机及泵体，每年进行一次添加更换润滑脂、清洁叶轮、基础紧固、除锈刷漆等维护保养。</w:t>
            </w:r>
          </w:p>
          <w:p w14:paraId="5FBC2672">
            <w:pPr>
              <w:spacing w:line="360" w:lineRule="exact"/>
            </w:pPr>
            <w:r>
              <w:rPr>
                <w:rFonts w:hint="eastAsia"/>
              </w:rPr>
              <w:t>8.定期对空气处理单元、新风处理单元、风机盘管、滤网、加(除)湿器、风阀、积水盘、冷凝水管、膨胀水箱、集水器分水器、风机表冷器进行检查、清洗和保养。</w:t>
            </w:r>
          </w:p>
          <w:p w14:paraId="709663F2">
            <w:pPr>
              <w:spacing w:line="360" w:lineRule="exact"/>
            </w:pPr>
            <w:r>
              <w:rPr>
                <w:rFonts w:hint="eastAsia"/>
              </w:rPr>
              <w:t>9.定期做好恒温恒湿机组的维护保养工作，保障恒温恒湿空调系统24小时正常运行。</w:t>
            </w:r>
          </w:p>
          <w:p w14:paraId="73A122EA">
            <w:pPr>
              <w:spacing w:line="360" w:lineRule="exact"/>
            </w:pPr>
            <w:r>
              <w:rPr>
                <w:rFonts w:hint="eastAsia"/>
              </w:rPr>
              <w:t>10.定期对空调系统电源柜、控制柜进行检查，紧固螺栓、测试绝缘，保证系统的用电安全。</w:t>
            </w:r>
          </w:p>
          <w:p w14:paraId="04100380">
            <w:pPr>
              <w:spacing w:line="360" w:lineRule="exact"/>
            </w:pPr>
            <w:r>
              <w:rPr>
                <w:rFonts w:hint="eastAsia"/>
              </w:rPr>
              <w:t>11.管道、阀门无锈蚀，风管、保温层完好无破损，无跑、冒、滴、漏现象。</w:t>
            </w:r>
          </w:p>
          <w:p w14:paraId="39F726A5">
            <w:pPr>
              <w:spacing w:line="360" w:lineRule="exact"/>
            </w:pPr>
            <w:r>
              <w:rPr>
                <w:rFonts w:hint="eastAsia"/>
              </w:rPr>
              <w:t>12.每二年至少除锈漆刷漆一次。</w:t>
            </w:r>
          </w:p>
          <w:p w14:paraId="0D8E3AA4">
            <w:pPr>
              <w:spacing w:line="360" w:lineRule="exact"/>
            </w:pPr>
            <w:r>
              <w:rPr>
                <w:rFonts w:hint="eastAsia"/>
              </w:rPr>
              <w:t>13.定期对空调循环水进行水质处理和水质分析，保证系统水质符合标准要求。</w:t>
            </w:r>
          </w:p>
          <w:p w14:paraId="07969E7E">
            <w:pPr>
              <w:spacing w:line="360" w:lineRule="exact"/>
            </w:pPr>
            <w:r>
              <w:rPr>
                <w:rFonts w:hint="eastAsia"/>
              </w:rPr>
              <w:t>14.根据实际情况进行风管系统清洗和空气质量测定，保证空气质量符合标准要求；</w:t>
            </w:r>
          </w:p>
          <w:p w14:paraId="3F74537F">
            <w:pPr>
              <w:spacing w:line="360" w:lineRule="exact"/>
            </w:pPr>
            <w:r>
              <w:rPr>
                <w:rFonts w:hint="eastAsia"/>
              </w:rPr>
              <w:t>15.压力表、真空仪、传感器等测量装置按规定周期送计检局校验。</w:t>
            </w:r>
          </w:p>
          <w:p w14:paraId="0DB30133">
            <w:pPr>
              <w:spacing w:line="360" w:lineRule="exact"/>
            </w:pPr>
            <w:r>
              <w:rPr>
                <w:rFonts w:hint="eastAsia"/>
              </w:rPr>
              <w:t>16.定期对空调系统设施设备进行能耗统计和分析，做好节能工作。</w:t>
            </w:r>
          </w:p>
          <w:p w14:paraId="150D36B9">
            <w:pPr>
              <w:spacing w:line="360" w:lineRule="exact"/>
            </w:pPr>
            <w:r>
              <w:rPr>
                <w:rFonts w:hint="eastAsia"/>
              </w:rPr>
              <w:t>17.在每个供冷期或供热期交替运行之前，或系统停机一段时间后又重新投入运行时，必须对系统所有设施设备(如冷却水循环管道、冷冻水循环管道风管、新风系统等的管件、阀门、电气控制、隔热保温等)进行严格细致的检查、清洗、测试和调整，确定正常后方能投入运行。</w:t>
            </w:r>
          </w:p>
          <w:p w14:paraId="605D3BA5">
            <w:pPr>
              <w:spacing w:line="360" w:lineRule="exact"/>
            </w:pPr>
            <w:r>
              <w:rPr>
                <w:rFonts w:hint="eastAsia"/>
              </w:rPr>
              <w:t>18.空调系统出现运行故障后，维修人员应在10分钟内到达现场实施维修，并做好记录。</w:t>
            </w:r>
          </w:p>
          <w:p w14:paraId="29F5590E">
            <w:pPr>
              <w:spacing w:line="360" w:lineRule="exact"/>
            </w:pPr>
            <w:r>
              <w:rPr>
                <w:rFonts w:hint="eastAsia"/>
              </w:rPr>
              <w:t>19.中央空调控制室管理要求：按保养计划进行维修保养，并将维修保养情况记录于相应记录内，物业工程部主管每年按设备运行情况制订下一年度中修、大修计划。中控室设备故障维修一般不超过2小时。负责控制非必要人员进入中控室。保证各控制相、显示屏、信号灯、控制线路等的运作始终处于良好状态，各类操作按钮、手柄在自动位置。每班检查一次各类信号是否正常并做记录。</w:t>
            </w:r>
          </w:p>
        </w:tc>
      </w:tr>
      <w:tr w14:paraId="3724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3CAA3B62">
            <w:r>
              <w:rPr>
                <w:rFonts w:hint="eastAsia"/>
              </w:rPr>
              <w:t>4</w:t>
            </w:r>
          </w:p>
        </w:tc>
        <w:tc>
          <w:tcPr>
            <w:tcW w:w="1937" w:type="dxa"/>
            <w:gridSpan w:val="2"/>
          </w:tcPr>
          <w:p w14:paraId="5241AEB1">
            <w:pPr>
              <w:spacing w:line="360" w:lineRule="exact"/>
              <w:ind w:left="315" w:hanging="315" w:hangingChars="150"/>
            </w:pPr>
            <w:r>
              <w:rPr>
                <w:rFonts w:hint="eastAsia"/>
              </w:rPr>
              <w:t>1、负责建筑自动化系统的运行、维护和保养工作，制定相应的运行维护保养计划，进行日常检查、运维、检修和保养作业，并作出记录。</w:t>
            </w:r>
          </w:p>
          <w:p w14:paraId="63CF91CC">
            <w:pPr>
              <w:spacing w:line="360" w:lineRule="exact"/>
            </w:pPr>
            <w:r>
              <w:rPr>
                <w:rFonts w:hint="eastAsia"/>
              </w:rPr>
              <w:t>2、执行相关方面的法律、法规和规范。</w:t>
            </w:r>
          </w:p>
          <w:p w14:paraId="53F9CDE5">
            <w:pPr>
              <w:spacing w:line="360" w:lineRule="exact"/>
            </w:pPr>
            <w:r>
              <w:rPr>
                <w:rFonts w:hint="eastAsia"/>
              </w:rPr>
              <w:t>3、负责运行安全。</w:t>
            </w:r>
          </w:p>
        </w:tc>
        <w:tc>
          <w:tcPr>
            <w:tcW w:w="5968" w:type="dxa"/>
          </w:tcPr>
          <w:p w14:paraId="71D1B52F">
            <w:pPr>
              <w:spacing w:line="360" w:lineRule="exact"/>
            </w:pPr>
            <w:r>
              <w:rPr>
                <w:rFonts w:hint="eastAsia"/>
              </w:rPr>
              <w:t>建筑自动化系统：</w:t>
            </w:r>
          </w:p>
          <w:p w14:paraId="18501AAD">
            <w:pPr>
              <w:spacing w:line="360" w:lineRule="exact"/>
            </w:pPr>
            <w:r>
              <w:rPr>
                <w:rFonts w:hint="eastAsia"/>
              </w:rPr>
              <w:t>1.每年二次检修BA工作站硬件及软件运行情况。</w:t>
            </w:r>
          </w:p>
          <w:p w14:paraId="59A7B8C5">
            <w:pPr>
              <w:spacing w:line="360" w:lineRule="exact"/>
              <w:ind w:left="210" w:hanging="210" w:hangingChars="100"/>
            </w:pPr>
            <w:r>
              <w:rPr>
                <w:rFonts w:hint="eastAsia"/>
              </w:rPr>
              <w:t>2.每年四次检修BA现场DDC控制器、BA现场弱电控制接口设备、BA末端传感器和其他辅助设备；BA末端阀执行器信号。</w:t>
            </w:r>
          </w:p>
          <w:p w14:paraId="7BDF7CE3">
            <w:pPr>
              <w:spacing w:line="360" w:lineRule="exact"/>
            </w:pPr>
            <w:r>
              <w:rPr>
                <w:rFonts w:hint="eastAsia"/>
              </w:rPr>
              <w:t>3. 每年二次检查3台网络控制器与DDC的通讯状况。</w:t>
            </w:r>
          </w:p>
          <w:p w14:paraId="2EC7AB16">
            <w:pPr>
              <w:spacing w:line="360" w:lineRule="exact"/>
            </w:pPr>
            <w:r>
              <w:rPr>
                <w:rFonts w:hint="eastAsia"/>
              </w:rPr>
              <w:t>4. 每年四次对库房恒温恒湿空调进行漏水检测报警测试。</w:t>
            </w:r>
          </w:p>
          <w:p w14:paraId="51F5E5A7">
            <w:pPr>
              <w:spacing w:line="360" w:lineRule="auto"/>
              <w:jc w:val="left"/>
              <w:rPr>
                <w:rFonts w:ascii="宋体" w:hAnsi="宋体"/>
              </w:rPr>
            </w:pPr>
            <w:r>
              <w:rPr>
                <w:rFonts w:hint="eastAsia"/>
              </w:rPr>
              <w:t>5.</w:t>
            </w:r>
            <w:r>
              <w:rPr>
                <w:rFonts w:hint="eastAsia" w:ascii="宋体" w:hAnsi="宋体"/>
              </w:rPr>
              <w:t xml:space="preserve"> 每年二次在换季时，对BA系统做换季调整，根据实际需要修改相应的参数设定，按要求转入换季的控制程序。</w:t>
            </w:r>
          </w:p>
          <w:p w14:paraId="3F587B9F">
            <w:pPr>
              <w:spacing w:line="360" w:lineRule="exact"/>
            </w:pPr>
            <w:r>
              <w:rPr>
                <w:rFonts w:hint="eastAsia"/>
              </w:rPr>
              <w:t>6.各设备以及设备之间的连接线路完好无损、无缺；各设备运行、联动控制正常；电源供应正常。主机、末端设备和各接线箱内、外部清洁，无杂物，无积灰，无锈蚀，无损坏；接线整齐，温度正常；各种标识、标签、编号准确完好。</w:t>
            </w:r>
          </w:p>
          <w:p w14:paraId="1B68DF94">
            <w:pPr>
              <w:spacing w:line="360" w:lineRule="exact"/>
              <w:ind w:left="210" w:hanging="210" w:hangingChars="100"/>
            </w:pPr>
            <w:r>
              <w:rPr>
                <w:rFonts w:hint="eastAsia"/>
              </w:rPr>
              <w:t>7.执行保修制度，故障修复及时，维修资料好记录齐全。</w:t>
            </w:r>
          </w:p>
        </w:tc>
      </w:tr>
      <w:tr w14:paraId="256C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26A0BC92">
            <w:r>
              <w:rPr>
                <w:rFonts w:hint="eastAsia"/>
              </w:rPr>
              <w:t>5</w:t>
            </w:r>
          </w:p>
        </w:tc>
        <w:tc>
          <w:tcPr>
            <w:tcW w:w="1937" w:type="dxa"/>
            <w:gridSpan w:val="2"/>
            <w:vAlign w:val="center"/>
          </w:tcPr>
          <w:p w14:paraId="79F5A4C2">
            <w:pPr>
              <w:spacing w:line="360" w:lineRule="exact"/>
              <w:ind w:left="315" w:hanging="315" w:hangingChars="150"/>
            </w:pPr>
            <w:r>
              <w:rPr>
                <w:rFonts w:hint="eastAsia"/>
              </w:rPr>
              <w:t>1、负责电梯系统的运行、维护和保养工作，制定相应的运行维护保养计划，进行日常检查、运维、检修和保养作业，并作出记录；</w:t>
            </w:r>
          </w:p>
          <w:p w14:paraId="2F106685">
            <w:pPr>
              <w:spacing w:line="360" w:lineRule="exact"/>
              <w:ind w:left="315" w:hanging="315" w:hangingChars="150"/>
            </w:pPr>
            <w:r>
              <w:rPr>
                <w:rFonts w:hint="eastAsia"/>
              </w:rPr>
              <w:t>2、执行国家电梯方面的法律、法规和规范，满足其执法、检查方面要求；</w:t>
            </w:r>
          </w:p>
          <w:p w14:paraId="57F380E7">
            <w:pPr>
              <w:spacing w:line="360" w:lineRule="exact"/>
              <w:ind w:left="315" w:hanging="315" w:hangingChars="150"/>
            </w:pPr>
            <w:r>
              <w:rPr>
                <w:rFonts w:hint="eastAsia"/>
              </w:rPr>
              <w:t>3、负责运行安全。</w:t>
            </w:r>
          </w:p>
        </w:tc>
        <w:tc>
          <w:tcPr>
            <w:tcW w:w="5968" w:type="dxa"/>
            <w:vAlign w:val="center"/>
          </w:tcPr>
          <w:p w14:paraId="165E273F">
            <w:pPr>
              <w:spacing w:line="360" w:lineRule="exact"/>
            </w:pPr>
            <w:r>
              <w:rPr>
                <w:rFonts w:hint="eastAsia"/>
              </w:rPr>
              <w:t>电梯系统：</w:t>
            </w:r>
          </w:p>
          <w:p w14:paraId="592D0DF2">
            <w:pPr>
              <w:spacing w:line="360" w:lineRule="exact"/>
              <w:ind w:left="210" w:hanging="210" w:hangingChars="100"/>
            </w:pPr>
            <w:r>
              <w:rPr>
                <w:rFonts w:hint="eastAsia"/>
              </w:rPr>
              <w:t>1.按照国家对电梯安全运行的标准，建立对电梯设备及附属设施的维护维修实施方案；</w:t>
            </w:r>
          </w:p>
          <w:p w14:paraId="4D13CEBC">
            <w:pPr>
              <w:spacing w:line="360" w:lineRule="exact"/>
            </w:pPr>
            <w:r>
              <w:rPr>
                <w:rFonts w:hint="eastAsia"/>
              </w:rPr>
              <w:t>2.落实电梯设备设施维护、维修的专业（单位）力量；</w:t>
            </w:r>
          </w:p>
          <w:p w14:paraId="3B4E87F1">
            <w:pPr>
              <w:spacing w:line="360" w:lineRule="exact"/>
              <w:ind w:left="210" w:hanging="210" w:hangingChars="100"/>
            </w:pPr>
            <w:r>
              <w:rPr>
                <w:rFonts w:hint="eastAsia"/>
              </w:rPr>
              <w:t>3.实施依照电梯维护、维修工作方案，专业（单位）力量所进行日常工作的监管，建立《电梯运行日记》；</w:t>
            </w:r>
          </w:p>
          <w:p w14:paraId="27503F7C">
            <w:pPr>
              <w:spacing w:line="360" w:lineRule="exact"/>
            </w:pPr>
            <w:r>
              <w:rPr>
                <w:rFonts w:hint="eastAsia"/>
              </w:rPr>
              <w:t>4.落实协调电梯停运检修，提供电梯维修记录、维护情况台账；</w:t>
            </w:r>
          </w:p>
          <w:p w14:paraId="4C3A81FC">
            <w:pPr>
              <w:spacing w:line="360" w:lineRule="exact"/>
            </w:pPr>
            <w:r>
              <w:rPr>
                <w:rFonts w:hint="eastAsia"/>
              </w:rPr>
              <w:t>5.电梯运行故障率控制在0.5%以下，停行时间/运行有效时间比小于0.3%，故障报修抢修到现场时间不超过半小时；</w:t>
            </w:r>
          </w:p>
          <w:p w14:paraId="4358754C">
            <w:pPr>
              <w:spacing w:line="360" w:lineRule="exact"/>
            </w:pPr>
            <w:r>
              <w:rPr>
                <w:rFonts w:hint="eastAsia"/>
              </w:rPr>
              <w:t>6.落实当年电梯年检做到电梯年检、年审一次合格通过。</w:t>
            </w:r>
          </w:p>
          <w:p w14:paraId="3711E03F">
            <w:pPr>
              <w:spacing w:line="360" w:lineRule="exact"/>
            </w:pPr>
          </w:p>
        </w:tc>
      </w:tr>
      <w:tr w14:paraId="73EA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14:paraId="2EE6F268">
            <w:r>
              <w:rPr>
                <w:rFonts w:hint="eastAsia"/>
              </w:rPr>
              <w:t>6</w:t>
            </w:r>
          </w:p>
        </w:tc>
        <w:tc>
          <w:tcPr>
            <w:tcW w:w="1937" w:type="dxa"/>
            <w:gridSpan w:val="2"/>
            <w:vMerge w:val="restart"/>
            <w:vAlign w:val="center"/>
          </w:tcPr>
          <w:p w14:paraId="681EA3BE">
            <w:pPr>
              <w:spacing w:line="360" w:lineRule="exact"/>
              <w:ind w:left="315" w:hanging="315" w:hangingChars="150"/>
            </w:pPr>
            <w:r>
              <w:rPr>
                <w:rFonts w:hint="eastAsia"/>
              </w:rPr>
              <w:t>1、负责弱电系统的运行、维护和保养工作，制定相应的运行维护保养作业，并作出记录；</w:t>
            </w:r>
          </w:p>
          <w:p w14:paraId="795AA58D">
            <w:pPr>
              <w:spacing w:line="360" w:lineRule="exact"/>
              <w:ind w:left="315" w:hanging="315" w:hangingChars="150"/>
            </w:pPr>
            <w:r>
              <w:rPr>
                <w:rFonts w:hint="eastAsia"/>
              </w:rPr>
              <w:t>2、执行相关方面的法律、法规和规范，满足其执法、检查方面要求；</w:t>
            </w:r>
          </w:p>
          <w:p w14:paraId="386DF33D">
            <w:pPr>
              <w:spacing w:line="360" w:lineRule="exact"/>
              <w:ind w:left="315" w:hanging="315" w:hangingChars="150"/>
            </w:pPr>
            <w:r>
              <w:rPr>
                <w:rFonts w:hint="eastAsia"/>
              </w:rPr>
              <w:t>3、负责运行安全。</w:t>
            </w:r>
          </w:p>
        </w:tc>
        <w:tc>
          <w:tcPr>
            <w:tcW w:w="5968" w:type="dxa"/>
            <w:vAlign w:val="center"/>
          </w:tcPr>
          <w:p w14:paraId="54087E14">
            <w:pPr>
              <w:spacing w:line="360" w:lineRule="exact"/>
            </w:pPr>
            <w:r>
              <w:rPr>
                <w:rFonts w:hint="eastAsia"/>
              </w:rPr>
              <w:t>程控电话交换系统、对讲机系统、公共广播系统、卫星电视系统：</w:t>
            </w:r>
          </w:p>
          <w:p w14:paraId="4BB303E1">
            <w:pPr>
              <w:spacing w:line="360" w:lineRule="exact"/>
              <w:ind w:left="210" w:hanging="210" w:hangingChars="100"/>
            </w:pPr>
            <w:r>
              <w:rPr>
                <w:rFonts w:hint="eastAsia"/>
              </w:rPr>
              <w:t>A.负责系统的日常维护，确保系统正常运行，要求：（1）各种设备以及设备间的连接线路完好无损，无缺；（2）各种末端设备运行正常，电源供应正常；各种电话通信正常，符合技术要求；（3）各种设备和各接线箱内、外清洁无杂物，无积灰，无锈蚀，接线整齐，温度正常，各种标识、标签准确完好；</w:t>
            </w:r>
          </w:p>
          <w:p w14:paraId="0C41A244">
            <w:pPr>
              <w:spacing w:line="360" w:lineRule="exact"/>
              <w:ind w:left="210" w:hanging="210" w:hangingChars="100"/>
            </w:pPr>
            <w:r>
              <w:rPr>
                <w:rFonts w:hint="eastAsia"/>
              </w:rPr>
              <w:t>B.每月一次检查程控交换机设备，电源设备、电话计费系统、话务台、交换器维护终端、语音问询设备和模拟及数字电路板设备；</w:t>
            </w:r>
          </w:p>
          <w:p w14:paraId="59D5F79D">
            <w:pPr>
              <w:spacing w:line="360" w:lineRule="exact"/>
              <w:ind w:left="210" w:hanging="210" w:hangingChars="100"/>
            </w:pPr>
            <w:r>
              <w:rPr>
                <w:rFonts w:hint="eastAsia"/>
              </w:rPr>
              <w:t>C.每月检查中继台设备、机房环境、信号放大器、通信天线、UPS电源设备；</w:t>
            </w:r>
          </w:p>
          <w:p w14:paraId="0D83B221">
            <w:pPr>
              <w:spacing w:line="360" w:lineRule="exact"/>
              <w:ind w:left="210" w:hanging="210" w:hangingChars="100"/>
            </w:pPr>
            <w:r>
              <w:rPr>
                <w:rFonts w:hint="eastAsia"/>
              </w:rPr>
              <w:t>D. 每月检查音频切换器、应急广播切换控制器、应急广播切换控制器、定压式功放，每季度调试分区播放、紧急消防联动功能；</w:t>
            </w:r>
          </w:p>
          <w:p w14:paraId="2403805A">
            <w:pPr>
              <w:spacing w:line="360" w:lineRule="exact"/>
              <w:ind w:left="210" w:hanging="210" w:hangingChars="100"/>
            </w:pPr>
            <w:r>
              <w:rPr>
                <w:rFonts w:hint="eastAsia"/>
              </w:rPr>
              <w:t>E. 每月检查</w:t>
            </w:r>
            <w:r>
              <w:rPr>
                <w:rFonts w:hint="eastAsia" w:ascii="宋体" w:hAnsi="宋体"/>
              </w:rPr>
              <w:t>卫星接受器、卫星天线、解调器，每月调试电视图像声音的清晰度</w:t>
            </w:r>
          </w:p>
          <w:p w14:paraId="449B6FA4">
            <w:pPr>
              <w:spacing w:line="360" w:lineRule="exact"/>
              <w:ind w:left="210" w:hanging="210" w:hangingChars="100"/>
            </w:pPr>
            <w:r>
              <w:rPr>
                <w:rFonts w:hint="eastAsia"/>
              </w:rPr>
              <w:t>F. 平时落实报修制度，维修资料和记录齐全。</w:t>
            </w:r>
          </w:p>
        </w:tc>
      </w:tr>
      <w:tr w14:paraId="6C96C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77811384"/>
        </w:tc>
        <w:tc>
          <w:tcPr>
            <w:tcW w:w="1937" w:type="dxa"/>
            <w:gridSpan w:val="2"/>
            <w:vMerge w:val="continue"/>
            <w:vAlign w:val="center"/>
          </w:tcPr>
          <w:p w14:paraId="64FFD5EF">
            <w:pPr>
              <w:spacing w:line="360" w:lineRule="exact"/>
            </w:pPr>
          </w:p>
        </w:tc>
        <w:tc>
          <w:tcPr>
            <w:tcW w:w="5968" w:type="dxa"/>
            <w:vAlign w:val="center"/>
          </w:tcPr>
          <w:p w14:paraId="18309134">
            <w:pPr>
              <w:spacing w:line="360" w:lineRule="exact"/>
            </w:pPr>
            <w:r>
              <w:rPr>
                <w:rFonts w:hint="eastAsia"/>
              </w:rPr>
              <w:t>会务系统（音响、视频、灯光、会议设备）：</w:t>
            </w:r>
          </w:p>
          <w:p w14:paraId="11B9B741">
            <w:pPr>
              <w:spacing w:line="360" w:lineRule="exact"/>
              <w:ind w:left="210" w:hanging="210" w:hangingChars="100"/>
            </w:pPr>
            <w:r>
              <w:rPr>
                <w:rFonts w:hint="eastAsia"/>
              </w:rPr>
              <w:t>A.每周检查一次；每次会议前进行设备检查。会议举行时随时与会务服务人员保持联系，掌握一手资料，确保会议现场的设备完好。</w:t>
            </w:r>
          </w:p>
          <w:p w14:paraId="251BAC64">
            <w:pPr>
              <w:spacing w:line="360" w:lineRule="exact"/>
              <w:ind w:left="210" w:hanging="210" w:hangingChars="100"/>
            </w:pPr>
            <w:r>
              <w:rPr>
                <w:rFonts w:hint="eastAsia"/>
              </w:rPr>
              <w:t>B.每年四次检查固定场所和流动会务音响、视频、电源设备及其他一定会务、灯光表演设备；</w:t>
            </w:r>
          </w:p>
          <w:p w14:paraId="2685F356">
            <w:pPr>
              <w:spacing w:line="360" w:lineRule="exact"/>
              <w:ind w:left="210" w:hanging="210" w:hangingChars="100"/>
            </w:pPr>
            <w:r>
              <w:rPr>
                <w:rFonts w:hint="eastAsia"/>
              </w:rPr>
              <w:t>C.各种会务设备以及设备间的连接线路、各种线缆完好，无损，无缺；各会场内会务设施完好无损；</w:t>
            </w:r>
          </w:p>
          <w:p w14:paraId="54ECD0CF">
            <w:pPr>
              <w:spacing w:line="360" w:lineRule="exact"/>
              <w:ind w:left="210" w:hanging="210" w:hangingChars="100"/>
            </w:pPr>
            <w:r>
              <w:rPr>
                <w:rFonts w:hint="eastAsia"/>
              </w:rPr>
              <w:t>D.各种会务设备能正常使用；声音、图像、灯光符合技术要求；</w:t>
            </w:r>
          </w:p>
          <w:p w14:paraId="2CC2AEE0">
            <w:pPr>
              <w:spacing w:line="360" w:lineRule="exact"/>
              <w:ind w:left="210" w:hanging="210" w:hangingChars="100"/>
            </w:pPr>
            <w:r>
              <w:rPr>
                <w:rFonts w:hint="eastAsia"/>
              </w:rPr>
              <w:t>E.各种设备和各接线箱内、外清洁无杂物，无积灰，无锈蚀，接线整齐，温度正常，各种标识、标签准确完好；</w:t>
            </w:r>
          </w:p>
          <w:p w14:paraId="739E0AB6">
            <w:pPr>
              <w:spacing w:line="360" w:lineRule="exact"/>
              <w:ind w:left="210" w:hanging="210" w:hangingChars="100"/>
            </w:pPr>
            <w:r>
              <w:rPr>
                <w:rFonts w:hint="eastAsia"/>
              </w:rPr>
              <w:t>F.制定会务应急预案，应急设备设施齐全，每月进行一次应急演练；</w:t>
            </w:r>
          </w:p>
          <w:p w14:paraId="2B569E1E">
            <w:pPr>
              <w:spacing w:line="360" w:lineRule="exact"/>
              <w:ind w:left="210" w:hanging="210" w:hangingChars="100"/>
            </w:pPr>
            <w:r>
              <w:rPr>
                <w:rFonts w:hint="eastAsia"/>
              </w:rPr>
              <w:t>G. 平时落实报修制度，维修资料和记录齐全。</w:t>
            </w:r>
          </w:p>
        </w:tc>
      </w:tr>
      <w:tr w14:paraId="772B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1A0EDB00"/>
          <w:p w14:paraId="6A6ED6B0"/>
          <w:p w14:paraId="6093BE70"/>
          <w:p w14:paraId="7A2750B1"/>
          <w:p w14:paraId="0C903C73"/>
          <w:p w14:paraId="581925BD"/>
          <w:p w14:paraId="2964DE45"/>
          <w:p w14:paraId="3DE09A74"/>
          <w:p w14:paraId="3BB723BC">
            <w:r>
              <w:rPr>
                <w:rFonts w:hint="eastAsia"/>
              </w:rPr>
              <w:t>7</w:t>
            </w:r>
          </w:p>
        </w:tc>
        <w:tc>
          <w:tcPr>
            <w:tcW w:w="1937" w:type="dxa"/>
            <w:gridSpan w:val="2"/>
            <w:vAlign w:val="center"/>
          </w:tcPr>
          <w:p w14:paraId="50726F17">
            <w:pPr>
              <w:widowControl w:val="0"/>
              <w:numPr>
                <w:ilvl w:val="0"/>
                <w:numId w:val="3"/>
              </w:numPr>
              <w:spacing w:line="360" w:lineRule="exact"/>
            </w:pPr>
            <w:r>
              <w:rPr>
                <w:rFonts w:hint="eastAsia"/>
              </w:rPr>
              <w:t>展区多媒体展项日常开关机工作。</w:t>
            </w:r>
          </w:p>
          <w:p w14:paraId="3871DA3C">
            <w:pPr>
              <w:widowControl w:val="0"/>
              <w:numPr>
                <w:ilvl w:val="0"/>
                <w:numId w:val="3"/>
              </w:numPr>
              <w:spacing w:line="360" w:lineRule="exact"/>
            </w:pPr>
            <w:r>
              <w:rPr>
                <w:rFonts w:hint="eastAsia"/>
              </w:rPr>
              <w:t>展区多媒体展项日常设备维修工作。</w:t>
            </w:r>
          </w:p>
          <w:p w14:paraId="3E710F71">
            <w:pPr>
              <w:widowControl w:val="0"/>
              <w:numPr>
                <w:ilvl w:val="0"/>
                <w:numId w:val="3"/>
              </w:numPr>
              <w:spacing w:line="360" w:lineRule="exact"/>
            </w:pPr>
            <w:r>
              <w:rPr>
                <w:rFonts w:hint="eastAsia"/>
              </w:rPr>
              <w:t>展区多媒体展项日常巡检工作。</w:t>
            </w:r>
          </w:p>
          <w:p w14:paraId="7FE38A73">
            <w:pPr>
              <w:widowControl w:val="0"/>
              <w:numPr>
                <w:ilvl w:val="0"/>
                <w:numId w:val="3"/>
              </w:numPr>
              <w:spacing w:line="360" w:lineRule="exact"/>
            </w:pPr>
            <w:r>
              <w:rPr>
                <w:rFonts w:hint="eastAsia"/>
              </w:rPr>
              <w:t>展区多媒体展项基础管理工作。</w:t>
            </w:r>
          </w:p>
          <w:p w14:paraId="674FEEC3">
            <w:pPr>
              <w:widowControl w:val="0"/>
              <w:numPr>
                <w:ilvl w:val="0"/>
                <w:numId w:val="3"/>
              </w:numPr>
              <w:spacing w:line="360" w:lineRule="exact"/>
            </w:pPr>
            <w:r>
              <w:rPr>
                <w:rFonts w:hint="eastAsia"/>
              </w:rPr>
              <w:t>展区多媒体展项设备的日常保养和管理工作。</w:t>
            </w:r>
          </w:p>
          <w:p w14:paraId="1E158EC1">
            <w:pPr>
              <w:widowControl w:val="0"/>
              <w:numPr>
                <w:ilvl w:val="0"/>
                <w:numId w:val="3"/>
              </w:numPr>
              <w:spacing w:line="360" w:lineRule="exact"/>
            </w:pPr>
            <w:r>
              <w:rPr>
                <w:rFonts w:hint="eastAsia"/>
              </w:rPr>
              <w:t>展区相关施工作业的配合工作。</w:t>
            </w:r>
          </w:p>
          <w:p w14:paraId="67A490EB">
            <w:pPr>
              <w:widowControl w:val="0"/>
              <w:numPr>
                <w:ilvl w:val="0"/>
                <w:numId w:val="3"/>
              </w:numPr>
              <w:spacing w:line="360" w:lineRule="exact"/>
            </w:pPr>
            <w:r>
              <w:rPr>
                <w:rFonts w:hint="eastAsia"/>
              </w:rPr>
              <w:t>展区多媒体展项的周期维护计划工作。</w:t>
            </w:r>
          </w:p>
          <w:p w14:paraId="4CFDD9F0">
            <w:pPr>
              <w:spacing w:line="360" w:lineRule="exact"/>
            </w:pPr>
            <w:r>
              <w:rPr>
                <w:rFonts w:hint="eastAsia"/>
              </w:rPr>
              <w:t>其他临时交办的工作。</w:t>
            </w:r>
          </w:p>
        </w:tc>
        <w:tc>
          <w:tcPr>
            <w:tcW w:w="5968" w:type="dxa"/>
            <w:vAlign w:val="center"/>
          </w:tcPr>
          <w:p w14:paraId="6A267417">
            <w:pPr>
              <w:spacing w:line="360" w:lineRule="exact"/>
            </w:pPr>
            <w:r>
              <w:rPr>
                <w:rFonts w:hint="eastAsia"/>
              </w:rPr>
              <w:t>展区多媒体展示系统：</w:t>
            </w:r>
          </w:p>
          <w:p w14:paraId="1F0702D1">
            <w:pPr>
              <w:widowControl w:val="0"/>
              <w:numPr>
                <w:ilvl w:val="0"/>
                <w:numId w:val="4"/>
              </w:numPr>
              <w:spacing w:line="360" w:lineRule="exact"/>
            </w:pPr>
            <w:r>
              <w:rPr>
                <w:rFonts w:hint="eastAsia"/>
              </w:rPr>
              <w:t>在每个开馆日的开馆和闭馆期间，实施对博物馆内多媒体展项设备进行开机和关机。</w:t>
            </w:r>
          </w:p>
          <w:p w14:paraId="6CEEA8CE">
            <w:pPr>
              <w:widowControl w:val="0"/>
              <w:numPr>
                <w:ilvl w:val="0"/>
                <w:numId w:val="4"/>
              </w:numPr>
              <w:spacing w:line="360" w:lineRule="exact"/>
            </w:pPr>
            <w:r>
              <w:rPr>
                <w:rFonts w:hint="eastAsia"/>
              </w:rPr>
              <w:t>在开馆期间如多媒体展示设备发生故障，弱电工作人员必须到场并对故障设备进行诊断，确定故障原因。如有需要，向信息技术部相关工作人或多媒体展项运维供应商报告，在技术人员的指导下对故障设施实施维修工作。</w:t>
            </w:r>
          </w:p>
          <w:p w14:paraId="07B03290">
            <w:pPr>
              <w:widowControl w:val="0"/>
              <w:numPr>
                <w:ilvl w:val="0"/>
                <w:numId w:val="4"/>
              </w:numPr>
              <w:spacing w:line="360" w:lineRule="exact"/>
            </w:pPr>
            <w:r>
              <w:rPr>
                <w:rFonts w:hint="eastAsia"/>
              </w:rPr>
              <w:t>在每个开馆日工作期间，对所有展区多媒体展项设备的运行情况进行3次例行巡检，若发现问题，及时向信息技术部通报。</w:t>
            </w:r>
          </w:p>
          <w:p w14:paraId="1847EFFF">
            <w:pPr>
              <w:widowControl w:val="0"/>
              <w:numPr>
                <w:ilvl w:val="0"/>
                <w:numId w:val="4"/>
              </w:numPr>
              <w:spacing w:line="360" w:lineRule="exact"/>
            </w:pPr>
            <w:r>
              <w:rPr>
                <w:rFonts w:hint="eastAsia"/>
              </w:rPr>
              <w:t>每天登录到中控管理系统中，对当天设备的巡检和维修情况进行记录，以便日后对设备的使用情况进行检讨。</w:t>
            </w:r>
          </w:p>
          <w:p w14:paraId="28BA7E70">
            <w:pPr>
              <w:widowControl w:val="0"/>
              <w:numPr>
                <w:ilvl w:val="0"/>
                <w:numId w:val="4"/>
              </w:numPr>
              <w:spacing w:line="360" w:lineRule="exact"/>
            </w:pPr>
            <w:r>
              <w:rPr>
                <w:rFonts w:hint="eastAsia"/>
              </w:rPr>
              <w:t>每个季度对设备机房的定期清洁，以及在设备运维供应公司工作人员的指导下，对多媒体展项设备进行开机清洁等。</w:t>
            </w:r>
          </w:p>
          <w:p w14:paraId="37618DD9">
            <w:pPr>
              <w:widowControl w:val="0"/>
              <w:numPr>
                <w:ilvl w:val="0"/>
                <w:numId w:val="4"/>
              </w:numPr>
              <w:spacing w:line="360" w:lineRule="exact"/>
            </w:pPr>
            <w:r>
              <w:rPr>
                <w:rFonts w:hint="eastAsia"/>
              </w:rPr>
              <w:t>在博物馆建设其他多媒体展项期间，为建设公司提供必要的服务，配合相关展项的建设。</w:t>
            </w:r>
          </w:p>
          <w:p w14:paraId="61C168C7">
            <w:pPr>
              <w:spacing w:line="360" w:lineRule="exact"/>
            </w:pPr>
            <w:r>
              <w:rPr>
                <w:rFonts w:hint="eastAsia"/>
              </w:rPr>
              <w:t>每个月的月底，向信息技术部多媒体相关负责人员提交本月工作计划总结和下个月的工作计划和安排。</w:t>
            </w:r>
          </w:p>
        </w:tc>
      </w:tr>
      <w:tr w14:paraId="600D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7A87DEC6"/>
          <w:p w14:paraId="43D45F10"/>
          <w:p w14:paraId="4C01E728"/>
          <w:p w14:paraId="40474581"/>
          <w:p w14:paraId="63F66FE2"/>
          <w:p w14:paraId="59C97886"/>
          <w:p w14:paraId="23505A4D"/>
          <w:p w14:paraId="5DEAEF97"/>
          <w:p w14:paraId="22714B98"/>
          <w:p w14:paraId="0287EE84"/>
          <w:p w14:paraId="24238DBF"/>
          <w:p w14:paraId="1FB3550F"/>
          <w:p w14:paraId="302F769F"/>
          <w:p w14:paraId="36280003"/>
          <w:p w14:paraId="203240F4"/>
          <w:p w14:paraId="28E1D146">
            <w:r>
              <w:rPr>
                <w:rFonts w:hint="eastAsia"/>
              </w:rPr>
              <w:t>8</w:t>
            </w:r>
          </w:p>
        </w:tc>
        <w:tc>
          <w:tcPr>
            <w:tcW w:w="1937" w:type="dxa"/>
            <w:gridSpan w:val="2"/>
            <w:vAlign w:val="center"/>
          </w:tcPr>
          <w:p w14:paraId="77D0A4C0">
            <w:pPr>
              <w:spacing w:line="360" w:lineRule="exact"/>
              <w:ind w:left="315" w:hanging="315" w:hangingChars="150"/>
            </w:pPr>
            <w:r>
              <w:rPr>
                <w:rFonts w:hint="eastAsia"/>
              </w:rPr>
              <w:t>1、负责房屋及室外场地的维护和保养工作，制定相应的运行维护保养计划，进行日常检查、维护、检修和保养作业，并作出记录；</w:t>
            </w:r>
          </w:p>
          <w:p w14:paraId="07D544EC">
            <w:pPr>
              <w:spacing w:line="360" w:lineRule="exact"/>
              <w:ind w:left="315" w:hanging="315" w:hangingChars="150"/>
            </w:pPr>
            <w:r>
              <w:rPr>
                <w:rFonts w:hint="eastAsia"/>
              </w:rPr>
              <w:t>2、执行相关方面的法律、法规和规范，满足其执法、检查方面要求；</w:t>
            </w:r>
          </w:p>
          <w:p w14:paraId="1A0EB94E">
            <w:pPr>
              <w:spacing w:line="360" w:lineRule="exact"/>
            </w:pPr>
            <w:r>
              <w:rPr>
                <w:rFonts w:hint="eastAsia"/>
              </w:rPr>
              <w:t>3、负责运行安全。</w:t>
            </w:r>
          </w:p>
        </w:tc>
        <w:tc>
          <w:tcPr>
            <w:tcW w:w="5968" w:type="dxa"/>
            <w:vAlign w:val="center"/>
          </w:tcPr>
          <w:p w14:paraId="15A48D27">
            <w:pPr>
              <w:spacing w:line="360" w:lineRule="exact"/>
            </w:pPr>
            <w:r>
              <w:rPr>
                <w:rFonts w:hint="eastAsia"/>
              </w:rPr>
              <w:t>1.办公楼（区）、会议区、展区、库区、生活区等房屋地面、墙台面及吊顶、门窗、楼梯、通风道等日常养护维修管理。</w:t>
            </w:r>
          </w:p>
          <w:p w14:paraId="12906F6C">
            <w:pPr>
              <w:spacing w:line="360" w:lineRule="exact"/>
            </w:pPr>
            <w:r>
              <w:rPr>
                <w:rFonts w:hint="eastAsia"/>
              </w:rPr>
              <w:t>2.负责建筑及装饰维修班组参与在每月初、季度初、年初做好工作计划。</w:t>
            </w:r>
          </w:p>
          <w:p w14:paraId="783924C8">
            <w:pPr>
              <w:spacing w:line="360" w:lineRule="exact"/>
            </w:pPr>
            <w:r>
              <w:rPr>
                <w:rFonts w:hint="eastAsia"/>
              </w:rPr>
              <w:t>3.每日做好建筑及装饰系统巡检工作，并作记录，掌握建筑及装饰系统当前的状态。</w:t>
            </w:r>
          </w:p>
          <w:p w14:paraId="5CBB7D3D">
            <w:pPr>
              <w:spacing w:line="360" w:lineRule="exact"/>
            </w:pPr>
            <w:r>
              <w:rPr>
                <w:rFonts w:hint="eastAsia"/>
              </w:rPr>
              <w:t>4.制定建筑及装饰系统季度、年度维保计划，定期协同供应商、专业维保单位进行建筑及装饰方面的维保工作。</w:t>
            </w:r>
          </w:p>
          <w:p w14:paraId="0C8F3FBE">
            <w:pPr>
              <w:spacing w:line="360" w:lineRule="exact"/>
            </w:pPr>
            <w:r>
              <w:rPr>
                <w:rFonts w:hint="eastAsia"/>
              </w:rPr>
              <w:t>5.制定建筑及装饰系统每年的备品、备件的采购及维护工作计划。</w:t>
            </w:r>
          </w:p>
          <w:p w14:paraId="140FFE5A">
            <w:pPr>
              <w:spacing w:line="360" w:lineRule="exact"/>
            </w:pPr>
            <w:r>
              <w:rPr>
                <w:rFonts w:hint="eastAsia"/>
              </w:rPr>
              <w:t>6.做好建筑及装饰系统的相关数据记录和专业维保单位的维保记录。</w:t>
            </w:r>
          </w:p>
          <w:p w14:paraId="4BB5DF23">
            <w:pPr>
              <w:spacing w:line="360" w:lineRule="exact"/>
            </w:pPr>
            <w:r>
              <w:rPr>
                <w:rFonts w:hint="eastAsia"/>
              </w:rPr>
              <w:t>7.根据维护、巡检记录，做好当月的建筑及装饰的状态曲线图以预测建筑及装饰的寿命周期。</w:t>
            </w:r>
          </w:p>
          <w:p w14:paraId="578088EC">
            <w:pPr>
              <w:spacing w:line="360" w:lineRule="exact"/>
            </w:pPr>
            <w:r>
              <w:rPr>
                <w:rFonts w:hint="eastAsia"/>
              </w:rPr>
              <w:t>8.做好建筑及装饰系统的定期维护保养工作。</w:t>
            </w:r>
          </w:p>
          <w:p w14:paraId="4820932C">
            <w:pPr>
              <w:spacing w:line="360" w:lineRule="exact"/>
            </w:pPr>
            <w:r>
              <w:rPr>
                <w:rFonts w:hint="eastAsia"/>
              </w:rPr>
              <w:t>9.每周对建筑的柱、梁、沉降缝、装饰区域的吊顶、地面、墙进行巡查，发现问题及时处理维修。</w:t>
            </w:r>
          </w:p>
          <w:p w14:paraId="4448019F">
            <w:pPr>
              <w:spacing w:line="360" w:lineRule="exact"/>
            </w:pPr>
            <w:r>
              <w:rPr>
                <w:rFonts w:hint="eastAsia"/>
              </w:rPr>
              <w:t>10.每周对建筑的玻璃幕墙、墙地面石材、帆体的索网玻璃和蜂窝铝板进行目测检查，发现问题，及时处理、维修。因使用不当造成结构局部受损较轻，按房屋修缮规定实施维修；如局部受损较重，应请专家会诊后，提出方案，委托专业公司实施。</w:t>
            </w:r>
          </w:p>
          <w:p w14:paraId="071DDF03">
            <w:pPr>
              <w:spacing w:line="360" w:lineRule="exact"/>
            </w:pPr>
            <w:r>
              <w:rPr>
                <w:rFonts w:hint="eastAsia"/>
              </w:rPr>
              <w:t>11.每年对室外钢结构构件进行一次敲铲、除锈、油漆。</w:t>
            </w:r>
          </w:p>
          <w:p w14:paraId="051D76C3">
            <w:pPr>
              <w:spacing w:line="360" w:lineRule="exact"/>
            </w:pPr>
            <w:r>
              <w:rPr>
                <w:rFonts w:hint="eastAsia"/>
              </w:rPr>
              <w:t>12.每周对大理石、玻璃、铝板、台阶、雨蓬巡查一次，遇到问题及时处理、维修。</w:t>
            </w:r>
          </w:p>
          <w:p w14:paraId="10594309">
            <w:pPr>
              <w:spacing w:line="360" w:lineRule="exact"/>
            </w:pPr>
            <w:r>
              <w:rPr>
                <w:rFonts w:hint="eastAsia"/>
              </w:rPr>
              <w:t>13.每季度对隔热层进行一次检查，确保完好无损伤，屋面无渗漏</w:t>
            </w:r>
          </w:p>
          <w:p w14:paraId="2B7F34D2">
            <w:pPr>
              <w:spacing w:line="360" w:lineRule="exact"/>
            </w:pPr>
            <w:r>
              <w:rPr>
                <w:rFonts w:hint="eastAsia"/>
              </w:rPr>
              <w:t>14.每半年检查一次伸缩缝，在台汛季节来临之前必须检查一次。15.每月对屋面泄水沟进行一次检查、清扫，确保泄水通畅；在台汛季节，每周进行一次检查清扫。</w:t>
            </w:r>
          </w:p>
          <w:p w14:paraId="41DB8313">
            <w:pPr>
              <w:spacing w:line="360" w:lineRule="exact"/>
            </w:pPr>
            <w:r>
              <w:rPr>
                <w:rFonts w:hint="eastAsia"/>
              </w:rPr>
              <w:t>16.每周对地面、墙面、天花板、门窗、梁柱、楼梯踏步、扶手目测检查一次，发现问题及时解决。</w:t>
            </w:r>
          </w:p>
          <w:p w14:paraId="5254263E">
            <w:pPr>
              <w:spacing w:line="360" w:lineRule="exact"/>
            </w:pPr>
            <w:r>
              <w:rPr>
                <w:rFonts w:hint="eastAsia"/>
              </w:rPr>
              <w:t>17.每天对卫生间的五金件、装置等检查一次。</w:t>
            </w:r>
          </w:p>
          <w:p w14:paraId="2E148ADD">
            <w:pPr>
              <w:spacing w:line="360" w:lineRule="exact"/>
            </w:pPr>
            <w:r>
              <w:rPr>
                <w:rFonts w:hint="eastAsia"/>
              </w:rPr>
              <w:t>18.每年对局部损坏严重、修补多次的路面进行翻新。</w:t>
            </w:r>
          </w:p>
          <w:p w14:paraId="39CB17D7">
            <w:pPr>
              <w:spacing w:line="360" w:lineRule="exact"/>
              <w:ind w:left="210" w:hanging="210" w:hangingChars="100"/>
            </w:pPr>
            <w:r>
              <w:rPr>
                <w:rFonts w:hint="eastAsia"/>
              </w:rPr>
              <w:t>19.每半年对井壁脱落维修一次，每半年对井盖编号刷漆一次，每年汛期前对井内堆积物清理一次。</w:t>
            </w:r>
          </w:p>
        </w:tc>
      </w:tr>
      <w:tr w14:paraId="3185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7BE2615E">
            <w:r>
              <w:rPr>
                <w:rFonts w:hint="eastAsia"/>
              </w:rPr>
              <w:t>9</w:t>
            </w:r>
          </w:p>
        </w:tc>
        <w:tc>
          <w:tcPr>
            <w:tcW w:w="1937" w:type="dxa"/>
            <w:gridSpan w:val="2"/>
          </w:tcPr>
          <w:p w14:paraId="03ED129B">
            <w:pPr>
              <w:spacing w:line="360" w:lineRule="exact"/>
              <w:ind w:left="315" w:hanging="315" w:hangingChars="150"/>
            </w:pPr>
            <w:r>
              <w:rPr>
                <w:rFonts w:hint="eastAsia"/>
              </w:rPr>
              <w:t>1、负责特种设备的维护和保养工作，制定相应的运行维护保养计划，进行日常检查、维护、检修和保养作业，并作出记录；</w:t>
            </w:r>
          </w:p>
          <w:p w14:paraId="7A1B7FFD">
            <w:pPr>
              <w:spacing w:line="360" w:lineRule="exact"/>
              <w:ind w:left="315" w:hanging="315" w:hangingChars="150"/>
            </w:pPr>
            <w:r>
              <w:rPr>
                <w:rFonts w:hint="eastAsia"/>
              </w:rPr>
              <w:t>2、执行相关方面的法律、法规和规范，满足其执法、检查方面要求；</w:t>
            </w:r>
          </w:p>
          <w:p w14:paraId="3B94D816">
            <w:pPr>
              <w:spacing w:line="360" w:lineRule="exact"/>
              <w:ind w:left="315" w:hanging="315" w:hangingChars="150"/>
            </w:pPr>
            <w:r>
              <w:rPr>
                <w:rFonts w:hint="eastAsia"/>
              </w:rPr>
              <w:t>3、负责运行安全。</w:t>
            </w:r>
          </w:p>
        </w:tc>
        <w:tc>
          <w:tcPr>
            <w:tcW w:w="5968" w:type="dxa"/>
          </w:tcPr>
          <w:p w14:paraId="33EC1456">
            <w:pPr>
              <w:spacing w:line="360" w:lineRule="exact"/>
            </w:pPr>
            <w:r>
              <w:rPr>
                <w:rFonts w:hint="eastAsia"/>
              </w:rPr>
              <w:t>特种设备：</w:t>
            </w:r>
          </w:p>
          <w:p w14:paraId="365722A2">
            <w:pPr>
              <w:spacing w:line="360" w:lineRule="exact"/>
              <w:ind w:left="210" w:hanging="210" w:hangingChars="100"/>
            </w:pPr>
            <w:r>
              <w:rPr>
                <w:rFonts w:hint="eastAsia"/>
              </w:rPr>
              <w:t>1.特种设备包括但不限于：电瓶车、铲车、登高设备、设施及搬运设备；</w:t>
            </w:r>
          </w:p>
          <w:p w14:paraId="5090433A">
            <w:pPr>
              <w:spacing w:line="360" w:lineRule="exact"/>
              <w:ind w:left="210" w:hanging="210" w:hangingChars="100"/>
            </w:pPr>
            <w:r>
              <w:rPr>
                <w:rFonts w:hint="eastAsia"/>
              </w:rPr>
              <w:t>2.负责对特种设备进行维护、保养和具体操作，必要时配合外协单位使用管理；</w:t>
            </w:r>
          </w:p>
          <w:p w14:paraId="5EB8E98C">
            <w:pPr>
              <w:spacing w:line="360" w:lineRule="exact"/>
              <w:ind w:left="210" w:hanging="210" w:hangingChars="100"/>
            </w:pPr>
            <w:r>
              <w:rPr>
                <w:rFonts w:hint="eastAsia"/>
              </w:rPr>
              <w:t>3.建立维修巡查制度，，且有巡查记录；</w:t>
            </w:r>
          </w:p>
          <w:p w14:paraId="2023EFE5">
            <w:pPr>
              <w:spacing w:line="360" w:lineRule="exact"/>
              <w:ind w:left="210" w:hanging="210" w:hangingChars="100"/>
            </w:pPr>
            <w:r>
              <w:rPr>
                <w:rFonts w:hint="eastAsia"/>
              </w:rPr>
              <w:t>4.建立日常巡视及定期保养结合制度。</w:t>
            </w:r>
          </w:p>
        </w:tc>
      </w:tr>
      <w:tr w14:paraId="2895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7CD468D7">
            <w:r>
              <w:rPr>
                <w:rFonts w:hint="eastAsia"/>
              </w:rPr>
              <w:t>10</w:t>
            </w:r>
          </w:p>
        </w:tc>
        <w:tc>
          <w:tcPr>
            <w:tcW w:w="1937" w:type="dxa"/>
            <w:gridSpan w:val="2"/>
            <w:vAlign w:val="center"/>
          </w:tcPr>
          <w:p w14:paraId="68F36F08">
            <w:pPr>
              <w:spacing w:line="360" w:lineRule="exact"/>
              <w:ind w:left="315" w:hanging="315" w:hangingChars="150"/>
              <w:jc w:val="center"/>
            </w:pPr>
            <w:r>
              <w:rPr>
                <w:rFonts w:hint="eastAsia"/>
              </w:rPr>
              <w:t>基础管理</w:t>
            </w:r>
          </w:p>
        </w:tc>
        <w:tc>
          <w:tcPr>
            <w:tcW w:w="5968" w:type="dxa"/>
          </w:tcPr>
          <w:p w14:paraId="491DAA79">
            <w:pPr>
              <w:spacing w:line="360" w:lineRule="exact"/>
            </w:pPr>
            <w:r>
              <w:rPr>
                <w:rFonts w:hint="eastAsia"/>
              </w:rPr>
              <w:t>基础管理是指对管辖区域内的建筑设备设施管理在日常运行管理过程中的基础管理工作，主要包括：技术资料管理、固定资产管理（设备台帐）、备品备件工程物料管理、供方管理、员工培训、计划管理、成本管理、其他专项管理。</w:t>
            </w:r>
          </w:p>
        </w:tc>
      </w:tr>
      <w:tr w14:paraId="74D9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tcPr>
          <w:p w14:paraId="6FA27BF4">
            <w:pPr>
              <w:rPr>
                <w:b/>
              </w:rPr>
            </w:pPr>
            <w:r>
              <w:rPr>
                <w:rFonts w:hint="eastAsia"/>
                <w:b/>
              </w:rPr>
              <w:t>二</w:t>
            </w:r>
          </w:p>
        </w:tc>
        <w:tc>
          <w:tcPr>
            <w:tcW w:w="7905" w:type="dxa"/>
            <w:gridSpan w:val="3"/>
          </w:tcPr>
          <w:p w14:paraId="1882F22C">
            <w:pPr>
              <w:spacing w:line="360" w:lineRule="exact"/>
              <w:rPr>
                <w:b/>
              </w:rPr>
            </w:pPr>
            <w:r>
              <w:rPr>
                <w:rFonts w:hint="eastAsia"/>
                <w:b/>
              </w:rPr>
              <w:t>环境卫生保洁管理服务</w:t>
            </w:r>
          </w:p>
        </w:tc>
      </w:tr>
      <w:tr w14:paraId="2B4B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restart"/>
            <w:vAlign w:val="center"/>
          </w:tcPr>
          <w:p w14:paraId="44ABB7ED">
            <w:r>
              <w:rPr>
                <w:rFonts w:hint="eastAsia"/>
              </w:rPr>
              <w:t>1</w:t>
            </w:r>
          </w:p>
          <w:p w14:paraId="3079FE09">
            <w:pPr>
              <w:spacing w:line="360" w:lineRule="exact"/>
            </w:pPr>
          </w:p>
        </w:tc>
        <w:tc>
          <w:tcPr>
            <w:tcW w:w="1913" w:type="dxa"/>
            <w:vMerge w:val="restart"/>
            <w:vAlign w:val="center"/>
          </w:tcPr>
          <w:p w14:paraId="6EE390AC">
            <w:pPr>
              <w:jc w:val="left"/>
            </w:pPr>
            <w:r>
              <w:rPr>
                <w:rFonts w:hint="eastAsia"/>
              </w:rPr>
              <w:t>室内保洁</w:t>
            </w:r>
          </w:p>
          <w:p w14:paraId="5ACD08FD">
            <w:pPr>
              <w:spacing w:line="360" w:lineRule="exact"/>
            </w:pPr>
          </w:p>
        </w:tc>
        <w:tc>
          <w:tcPr>
            <w:tcW w:w="5968" w:type="dxa"/>
            <w:vAlign w:val="center"/>
          </w:tcPr>
          <w:p w14:paraId="45335003">
            <w:pPr>
              <w:pStyle w:val="16"/>
              <w:ind w:firstLine="422"/>
              <w:jc w:val="center"/>
            </w:pPr>
            <w:r>
              <w:rPr>
                <w:rFonts w:hint="eastAsia" w:ascii="宋体" w:hAnsi="宋体"/>
                <w:b/>
              </w:rPr>
              <w:t>室内保洁内容：</w:t>
            </w:r>
          </w:p>
        </w:tc>
      </w:tr>
      <w:tr w14:paraId="3C1F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548A7DAF">
            <w:pPr>
              <w:spacing w:line="360" w:lineRule="exact"/>
            </w:pPr>
          </w:p>
        </w:tc>
        <w:tc>
          <w:tcPr>
            <w:tcW w:w="1913" w:type="dxa"/>
            <w:vMerge w:val="continue"/>
            <w:vAlign w:val="center"/>
          </w:tcPr>
          <w:p w14:paraId="14FF45F6">
            <w:pPr>
              <w:spacing w:line="360" w:lineRule="exact"/>
            </w:pPr>
          </w:p>
        </w:tc>
        <w:tc>
          <w:tcPr>
            <w:tcW w:w="5968" w:type="dxa"/>
            <w:vAlign w:val="center"/>
          </w:tcPr>
          <w:p w14:paraId="0F4759E9">
            <w:pPr>
              <w:rPr>
                <w:rFonts w:ascii="宋体" w:hAnsi="宋体"/>
                <w:b/>
              </w:rPr>
            </w:pPr>
            <w:r>
              <w:rPr>
                <w:rFonts w:hint="eastAsia" w:ascii="宋体" w:hAnsi="宋体"/>
              </w:rPr>
              <w:t>主要包括：1、展区公共区域、影院、纪念品商店、手工活动区域清洁； 2、办公区、会议室、贵宾室、图书室、报告厅清洁；              3、藏品区、库房清洁；4、机房清洁； 5、卫生间；6、电梯、楼道、7、餐饮区清洁；8、更衣室、淋浴室清洁、值班室清洁、9、其他公共设备设施清洁。</w:t>
            </w:r>
          </w:p>
        </w:tc>
      </w:tr>
      <w:tr w14:paraId="5842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54E43688">
            <w:pPr>
              <w:spacing w:line="360" w:lineRule="exact"/>
            </w:pPr>
          </w:p>
        </w:tc>
        <w:tc>
          <w:tcPr>
            <w:tcW w:w="1913" w:type="dxa"/>
            <w:vMerge w:val="continue"/>
            <w:vAlign w:val="center"/>
          </w:tcPr>
          <w:p w14:paraId="7E480FAA">
            <w:pPr>
              <w:spacing w:line="360" w:lineRule="exact"/>
            </w:pPr>
          </w:p>
        </w:tc>
        <w:tc>
          <w:tcPr>
            <w:tcW w:w="5968" w:type="dxa"/>
            <w:vAlign w:val="center"/>
          </w:tcPr>
          <w:p w14:paraId="11AE7A3D">
            <w:pPr>
              <w:pStyle w:val="16"/>
              <w:ind w:firstLine="422"/>
              <w:jc w:val="center"/>
              <w:rPr>
                <w:rFonts w:ascii="宋体" w:hAnsi="宋体"/>
              </w:rPr>
            </w:pPr>
            <w:r>
              <w:rPr>
                <w:rFonts w:hint="eastAsia" w:ascii="宋体" w:hAnsi="宋体"/>
                <w:b/>
              </w:rPr>
              <w:t>室内保洁</w:t>
            </w:r>
          </w:p>
        </w:tc>
      </w:tr>
      <w:tr w14:paraId="7D063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3C90644F">
            <w:pPr>
              <w:spacing w:line="360" w:lineRule="exact"/>
            </w:pPr>
          </w:p>
        </w:tc>
        <w:tc>
          <w:tcPr>
            <w:tcW w:w="1913" w:type="dxa"/>
            <w:vMerge w:val="continue"/>
            <w:vAlign w:val="center"/>
          </w:tcPr>
          <w:p w14:paraId="66B07171">
            <w:pPr>
              <w:spacing w:line="360" w:lineRule="exact"/>
            </w:pPr>
          </w:p>
        </w:tc>
        <w:tc>
          <w:tcPr>
            <w:tcW w:w="5968" w:type="dxa"/>
            <w:vAlign w:val="center"/>
          </w:tcPr>
          <w:p w14:paraId="3617AF33">
            <w:pPr>
              <w:rPr>
                <w:rFonts w:ascii="宋体" w:hAnsi="宋体"/>
                <w:b/>
              </w:rPr>
            </w:pPr>
            <w:r>
              <w:rPr>
                <w:rFonts w:hint="eastAsia" w:ascii="宋体" w:hAnsi="宋体"/>
              </w:rPr>
              <w:t>1、展区公共区域、影院、纪念品商店、手工活动区域：地面无浮灰、无水迹、无污渍、地面光亮、平滑；玻璃及镜面无污迹、水迹、污垢、表面洁净明亮；垃圾桶内外侧无浮灰、无污渍、无水迹，无锈迹，及时更换垃圾袋；地毯无缩水、褪色、污点、变形、损坏，清洗后色泽均匀，鲜亮，无色差。</w:t>
            </w:r>
          </w:p>
        </w:tc>
      </w:tr>
      <w:tr w14:paraId="1D5E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7ADEBA47">
            <w:pPr>
              <w:spacing w:line="360" w:lineRule="exact"/>
            </w:pPr>
          </w:p>
        </w:tc>
        <w:tc>
          <w:tcPr>
            <w:tcW w:w="1913" w:type="dxa"/>
            <w:vMerge w:val="continue"/>
            <w:vAlign w:val="center"/>
          </w:tcPr>
          <w:p w14:paraId="4C1ECF7A">
            <w:pPr>
              <w:spacing w:line="360" w:lineRule="exact"/>
            </w:pPr>
          </w:p>
        </w:tc>
        <w:tc>
          <w:tcPr>
            <w:tcW w:w="5968" w:type="dxa"/>
            <w:vAlign w:val="center"/>
          </w:tcPr>
          <w:p w14:paraId="71CF9184">
            <w:pPr>
              <w:spacing w:line="360" w:lineRule="exact"/>
            </w:pPr>
            <w:r>
              <w:rPr>
                <w:rFonts w:hint="eastAsia"/>
              </w:rPr>
              <w:t>2、</w:t>
            </w:r>
            <w:r>
              <w:rPr>
                <w:rFonts w:hint="eastAsia" w:ascii="宋体" w:hAnsi="宋体"/>
              </w:rPr>
              <w:t>办公区、会议室、贵宾室、图书室、报告厅：无浮灰、无异味，地面光亮、无污渍；玻璃及镜面无污迹、水迹、污垢、表面洁净明亮；做好垃圾分类，日产日清；电话机定期进行消毒；木器家具色泽均匀光亮，无污迹，无手印，无蜡迹印；地毯无缩水、褪色、污点、变形、损坏，清洗后色泽均匀，鲜亮，无色差。</w:t>
            </w:r>
          </w:p>
        </w:tc>
      </w:tr>
      <w:tr w14:paraId="013A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1C258A40">
            <w:pPr>
              <w:spacing w:line="360" w:lineRule="exact"/>
            </w:pPr>
          </w:p>
        </w:tc>
        <w:tc>
          <w:tcPr>
            <w:tcW w:w="1913" w:type="dxa"/>
            <w:vMerge w:val="continue"/>
            <w:vAlign w:val="center"/>
          </w:tcPr>
          <w:p w14:paraId="2A5632AC">
            <w:pPr>
              <w:spacing w:line="360" w:lineRule="exact"/>
            </w:pPr>
          </w:p>
        </w:tc>
        <w:tc>
          <w:tcPr>
            <w:tcW w:w="5968" w:type="dxa"/>
            <w:vAlign w:val="center"/>
          </w:tcPr>
          <w:p w14:paraId="4D90A81A">
            <w:pPr>
              <w:spacing w:line="360" w:lineRule="exact"/>
            </w:pPr>
            <w:r>
              <w:rPr>
                <w:rFonts w:hint="eastAsia"/>
              </w:rPr>
              <w:t>3、</w:t>
            </w:r>
            <w:r>
              <w:rPr>
                <w:rFonts w:hint="eastAsia" w:ascii="宋体" w:hAnsi="宋体"/>
              </w:rPr>
              <w:t>藏品区、库房清洁：根据相关职责部门的工作要求进行清洁。</w:t>
            </w:r>
          </w:p>
        </w:tc>
      </w:tr>
      <w:tr w14:paraId="4CA7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7C67D4CA">
            <w:pPr>
              <w:spacing w:line="360" w:lineRule="exact"/>
            </w:pPr>
          </w:p>
        </w:tc>
        <w:tc>
          <w:tcPr>
            <w:tcW w:w="1913" w:type="dxa"/>
            <w:vMerge w:val="continue"/>
            <w:vAlign w:val="center"/>
          </w:tcPr>
          <w:p w14:paraId="553D96D2">
            <w:pPr>
              <w:spacing w:line="360" w:lineRule="exact"/>
            </w:pPr>
          </w:p>
        </w:tc>
        <w:tc>
          <w:tcPr>
            <w:tcW w:w="5968" w:type="dxa"/>
            <w:vAlign w:val="center"/>
          </w:tcPr>
          <w:p w14:paraId="2A8945C5">
            <w:r>
              <w:rPr>
                <w:rFonts w:hint="eastAsia"/>
              </w:rPr>
              <w:t>4、</w:t>
            </w:r>
            <w:r>
              <w:rPr>
                <w:rFonts w:hint="eastAsia" w:ascii="宋体" w:hAnsi="宋体"/>
              </w:rPr>
              <w:t>机房清洁：由使用条线人员进行清洁，并遵守相应管理制度。</w:t>
            </w:r>
          </w:p>
        </w:tc>
      </w:tr>
      <w:tr w14:paraId="79DC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4C2D0483">
            <w:pPr>
              <w:spacing w:line="360" w:lineRule="exact"/>
            </w:pPr>
          </w:p>
        </w:tc>
        <w:tc>
          <w:tcPr>
            <w:tcW w:w="1913" w:type="dxa"/>
            <w:vMerge w:val="continue"/>
            <w:vAlign w:val="center"/>
          </w:tcPr>
          <w:p w14:paraId="1AB3FABC">
            <w:pPr>
              <w:spacing w:line="360" w:lineRule="exact"/>
            </w:pPr>
          </w:p>
        </w:tc>
        <w:tc>
          <w:tcPr>
            <w:tcW w:w="5968" w:type="dxa"/>
            <w:vAlign w:val="center"/>
          </w:tcPr>
          <w:p w14:paraId="05D7BAD7">
            <w:r>
              <w:rPr>
                <w:rFonts w:hint="eastAsia"/>
              </w:rPr>
              <w:t>5、卫生间：</w:t>
            </w:r>
            <w:r>
              <w:rPr>
                <w:rFonts w:hint="eastAsia" w:ascii="宋体" w:hAnsi="宋体"/>
              </w:rPr>
              <w:t>顶部天花板表面色泽均匀、无积灰；大理石墙面无灰尘、无印迹、无污垢、表面光洁明亮；小便器及马桶表面无灰尘、无印迹，瓷釉色泽光亮、无损伤；地面表面无灰尘、无水迹、无污垢，色泽光亮；地漏无污渍、无异味、反光均匀；及时更换卷纸、洗手液、擦手纸，对各类洁具进行日常消毒，定时巡视保洁。</w:t>
            </w:r>
          </w:p>
        </w:tc>
      </w:tr>
      <w:tr w14:paraId="255AF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4510E6C1">
            <w:pPr>
              <w:spacing w:line="360" w:lineRule="exact"/>
            </w:pPr>
          </w:p>
        </w:tc>
        <w:tc>
          <w:tcPr>
            <w:tcW w:w="1913" w:type="dxa"/>
            <w:vMerge w:val="continue"/>
            <w:vAlign w:val="center"/>
          </w:tcPr>
          <w:p w14:paraId="57B35C26">
            <w:pPr>
              <w:spacing w:line="360" w:lineRule="exact"/>
            </w:pPr>
          </w:p>
        </w:tc>
        <w:tc>
          <w:tcPr>
            <w:tcW w:w="5968" w:type="dxa"/>
            <w:vAlign w:val="center"/>
          </w:tcPr>
          <w:p w14:paraId="726C7D95">
            <w:r>
              <w:rPr>
                <w:rFonts w:hint="eastAsia"/>
              </w:rPr>
              <w:t>6、</w:t>
            </w:r>
            <w:r>
              <w:rPr>
                <w:rFonts w:hint="eastAsia" w:ascii="宋体" w:hAnsi="宋体"/>
              </w:rPr>
              <w:t>电梯、楼道：操作面板、不锈钢墙面无灰尘、无印迹，无污渍，色泽均一；楼道整洁无。</w:t>
            </w:r>
          </w:p>
        </w:tc>
      </w:tr>
      <w:tr w14:paraId="2472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67EC53C5">
            <w:pPr>
              <w:spacing w:line="360" w:lineRule="exact"/>
            </w:pPr>
          </w:p>
        </w:tc>
        <w:tc>
          <w:tcPr>
            <w:tcW w:w="1913" w:type="dxa"/>
            <w:vMerge w:val="continue"/>
            <w:vAlign w:val="center"/>
          </w:tcPr>
          <w:p w14:paraId="142EF40B">
            <w:pPr>
              <w:spacing w:line="360" w:lineRule="exact"/>
            </w:pPr>
          </w:p>
        </w:tc>
        <w:tc>
          <w:tcPr>
            <w:tcW w:w="5968" w:type="dxa"/>
            <w:vAlign w:val="center"/>
          </w:tcPr>
          <w:p w14:paraId="16325126">
            <w:r>
              <w:rPr>
                <w:rFonts w:hint="eastAsia"/>
              </w:rPr>
              <w:t>7、</w:t>
            </w:r>
            <w:r>
              <w:rPr>
                <w:rFonts w:hint="eastAsia" w:ascii="宋体" w:hAnsi="宋体"/>
              </w:rPr>
              <w:t>餐饮区：桌椅摆放整齐，无灰尘，无污垢，无异味，干净整洁；地面无浮灰、无水迹、无污渍、光亮平滑。</w:t>
            </w:r>
          </w:p>
        </w:tc>
      </w:tr>
      <w:tr w14:paraId="5EE9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4E76F1F4">
            <w:pPr>
              <w:spacing w:line="360" w:lineRule="exact"/>
            </w:pPr>
          </w:p>
        </w:tc>
        <w:tc>
          <w:tcPr>
            <w:tcW w:w="1913" w:type="dxa"/>
            <w:vMerge w:val="continue"/>
            <w:vAlign w:val="center"/>
          </w:tcPr>
          <w:p w14:paraId="703A5218">
            <w:pPr>
              <w:spacing w:line="360" w:lineRule="exact"/>
            </w:pPr>
          </w:p>
        </w:tc>
        <w:tc>
          <w:tcPr>
            <w:tcW w:w="5968" w:type="dxa"/>
            <w:vAlign w:val="center"/>
          </w:tcPr>
          <w:p w14:paraId="69CF2A5C">
            <w:pPr>
              <w:rPr>
                <w:rFonts w:ascii="宋体" w:hAnsi="宋体"/>
              </w:rPr>
            </w:pPr>
            <w:r>
              <w:rPr>
                <w:rFonts w:hint="eastAsia"/>
              </w:rPr>
              <w:t>8、</w:t>
            </w:r>
            <w:r>
              <w:rPr>
                <w:rFonts w:hint="eastAsia" w:ascii="宋体" w:hAnsi="宋体"/>
              </w:rPr>
              <w:t>更衣室、淋浴室：地面干净，无浮灰、无水迹、无污渍，更衣箱每日清洁，表面无灰尘，无水迹、印迹，光亮清洁。</w:t>
            </w:r>
          </w:p>
        </w:tc>
      </w:tr>
      <w:tr w14:paraId="40E4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37A57573">
            <w:pPr>
              <w:spacing w:line="360" w:lineRule="exact"/>
            </w:pPr>
          </w:p>
        </w:tc>
        <w:tc>
          <w:tcPr>
            <w:tcW w:w="1913" w:type="dxa"/>
            <w:vMerge w:val="continue"/>
            <w:vAlign w:val="center"/>
          </w:tcPr>
          <w:p w14:paraId="3E9DF97C">
            <w:pPr>
              <w:spacing w:line="360" w:lineRule="exact"/>
            </w:pPr>
          </w:p>
        </w:tc>
        <w:tc>
          <w:tcPr>
            <w:tcW w:w="5968" w:type="dxa"/>
            <w:vAlign w:val="center"/>
          </w:tcPr>
          <w:p w14:paraId="140E98D9">
            <w:pPr>
              <w:rPr>
                <w:rFonts w:ascii="宋体" w:hAnsi="宋体"/>
              </w:rPr>
            </w:pPr>
            <w:r>
              <w:rPr>
                <w:rFonts w:hint="eastAsia"/>
              </w:rPr>
              <w:t>9、</w:t>
            </w:r>
            <w:r>
              <w:rPr>
                <w:rFonts w:hint="eastAsia" w:ascii="宋体" w:hAnsi="宋体"/>
              </w:rPr>
              <w:t>其他公共设备设施：制定计划定时、定点、定人进行清洁和消毒，类金属表层或表面使用专用保洁剂或防锈处理，保持光亮洁净。</w:t>
            </w:r>
          </w:p>
        </w:tc>
      </w:tr>
      <w:tr w14:paraId="0BF9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0" w:type="dxa"/>
            <w:gridSpan w:val="2"/>
            <w:vMerge w:val="continue"/>
            <w:vAlign w:val="center"/>
          </w:tcPr>
          <w:p w14:paraId="49FE20FB">
            <w:pPr>
              <w:spacing w:line="360" w:lineRule="exact"/>
            </w:pPr>
          </w:p>
        </w:tc>
        <w:tc>
          <w:tcPr>
            <w:tcW w:w="1913" w:type="dxa"/>
            <w:vMerge w:val="continue"/>
            <w:vAlign w:val="center"/>
          </w:tcPr>
          <w:p w14:paraId="2802E78F">
            <w:pPr>
              <w:spacing w:line="360" w:lineRule="exact"/>
            </w:pPr>
          </w:p>
        </w:tc>
        <w:tc>
          <w:tcPr>
            <w:tcW w:w="5968" w:type="dxa"/>
            <w:vAlign w:val="center"/>
          </w:tcPr>
          <w:p w14:paraId="2116D011">
            <w:pPr>
              <w:rPr>
                <w:rFonts w:ascii="宋体" w:hAnsi="宋体"/>
              </w:rPr>
            </w:pPr>
            <w:r>
              <w:rPr>
                <w:rFonts w:hint="eastAsia"/>
              </w:rPr>
              <w:t>10、</w:t>
            </w:r>
            <w:r>
              <w:rPr>
                <w:rFonts w:hint="eastAsia" w:ascii="宋体" w:hAnsi="宋体"/>
              </w:rPr>
              <w:t>每日清洁以上室内保洁内容，做到杂物、废弃物及时清理，垃圾不隔夜，对人员出入频繁之地，进行不间断巡视保洁。</w:t>
            </w:r>
          </w:p>
        </w:tc>
      </w:tr>
      <w:tr w14:paraId="71CF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14:paraId="36ED6A0D">
            <w:r>
              <w:rPr>
                <w:rFonts w:hint="eastAsia"/>
              </w:rPr>
              <w:t>2</w:t>
            </w:r>
          </w:p>
        </w:tc>
        <w:tc>
          <w:tcPr>
            <w:tcW w:w="1937" w:type="dxa"/>
            <w:gridSpan w:val="2"/>
            <w:vMerge w:val="restart"/>
            <w:vAlign w:val="center"/>
          </w:tcPr>
          <w:p w14:paraId="2B6F9B3B">
            <w:pPr>
              <w:spacing w:line="360" w:lineRule="exact"/>
            </w:pPr>
            <w:r>
              <w:rPr>
                <w:rFonts w:hint="eastAsia"/>
              </w:rPr>
              <w:t>室外保洁</w:t>
            </w:r>
          </w:p>
        </w:tc>
        <w:tc>
          <w:tcPr>
            <w:tcW w:w="5968" w:type="dxa"/>
            <w:vAlign w:val="center"/>
          </w:tcPr>
          <w:p w14:paraId="5AD9011C">
            <w:pPr>
              <w:jc w:val="center"/>
              <w:rPr>
                <w:rFonts w:ascii="宋体" w:hAnsi="宋体"/>
                <w:b/>
              </w:rPr>
            </w:pPr>
            <w:r>
              <w:rPr>
                <w:rFonts w:hint="eastAsia" w:ascii="宋体" w:hAnsi="宋体"/>
                <w:b/>
              </w:rPr>
              <w:t>室外保洁</w:t>
            </w:r>
          </w:p>
        </w:tc>
      </w:tr>
      <w:tr w14:paraId="0488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2E001E55"/>
        </w:tc>
        <w:tc>
          <w:tcPr>
            <w:tcW w:w="1937" w:type="dxa"/>
            <w:gridSpan w:val="2"/>
            <w:vMerge w:val="continue"/>
            <w:vAlign w:val="center"/>
          </w:tcPr>
          <w:p w14:paraId="54CE39FF">
            <w:pPr>
              <w:spacing w:line="360" w:lineRule="exact"/>
            </w:pPr>
          </w:p>
        </w:tc>
        <w:tc>
          <w:tcPr>
            <w:tcW w:w="5968" w:type="dxa"/>
            <w:vAlign w:val="center"/>
          </w:tcPr>
          <w:p w14:paraId="14352E63">
            <w:pPr>
              <w:rPr>
                <w:rFonts w:ascii="宋体" w:hAnsi="宋体"/>
                <w:b/>
              </w:rPr>
            </w:pPr>
            <w:r>
              <w:rPr>
                <w:rFonts w:hint="eastAsia" w:ascii="宋体" w:hAnsi="宋体"/>
              </w:rPr>
              <w:t>1、对帆体建筑外立面、天象馆、裙楼石材及玻璃幕墙清洁、非机动车库顶棚进行外委保洁，负责对整个清洗过程的监管及清洗验收。要求清洗剂对铝板、玻璃及石材表面无伤害，清洗要求为：铝板表面无污迹、无积灰、无水迹，光亮鲜明；幕墙玻璃无积灰、无水迹、表面洁净明亮；石材光洁，无青苔、无积灰，无锈迹；棚玻璃无积灰，光亮。清洗过程中发现有破坏之处视情况立即予以修复或赔偿。</w:t>
            </w:r>
          </w:p>
        </w:tc>
      </w:tr>
      <w:tr w14:paraId="28F5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069CFFBC"/>
        </w:tc>
        <w:tc>
          <w:tcPr>
            <w:tcW w:w="1937" w:type="dxa"/>
            <w:gridSpan w:val="2"/>
            <w:vMerge w:val="continue"/>
            <w:vAlign w:val="center"/>
          </w:tcPr>
          <w:p w14:paraId="232573D8">
            <w:pPr>
              <w:spacing w:line="360" w:lineRule="exact"/>
            </w:pPr>
          </w:p>
        </w:tc>
        <w:tc>
          <w:tcPr>
            <w:tcW w:w="5968" w:type="dxa"/>
            <w:vAlign w:val="center"/>
          </w:tcPr>
          <w:p w14:paraId="4D472361">
            <w:pPr>
              <w:rPr>
                <w:rFonts w:ascii="宋体" w:hAnsi="宋体"/>
                <w:b/>
              </w:rPr>
            </w:pPr>
            <w:r>
              <w:rPr>
                <w:rFonts w:hint="eastAsia" w:ascii="宋体" w:hAnsi="宋体"/>
              </w:rPr>
              <w:t>2、 2米以下外玻璃幕墙、售票厅顶棚、阳光房外侧清洁，要求玻璃无污迹、水迹、污垢、表面洁净明亮。</w:t>
            </w:r>
          </w:p>
        </w:tc>
      </w:tr>
      <w:tr w14:paraId="6D74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1CC3DD92"/>
        </w:tc>
        <w:tc>
          <w:tcPr>
            <w:tcW w:w="1937" w:type="dxa"/>
            <w:gridSpan w:val="2"/>
            <w:vMerge w:val="continue"/>
            <w:vAlign w:val="center"/>
          </w:tcPr>
          <w:p w14:paraId="45B5C919">
            <w:pPr>
              <w:spacing w:line="360" w:lineRule="exact"/>
            </w:pPr>
          </w:p>
        </w:tc>
        <w:tc>
          <w:tcPr>
            <w:tcW w:w="5968" w:type="dxa"/>
            <w:vAlign w:val="center"/>
          </w:tcPr>
          <w:p w14:paraId="6F152E0C">
            <w:pPr>
              <w:jc w:val="left"/>
              <w:rPr>
                <w:rFonts w:ascii="宋体" w:hAnsi="宋体"/>
                <w:b/>
              </w:rPr>
            </w:pPr>
            <w:r>
              <w:rPr>
                <w:rFonts w:hint="eastAsia" w:ascii="宋体" w:hAnsi="宋体"/>
              </w:rPr>
              <w:t>3、外围广场、台阶、道路及车库：按计划定期清洁。</w:t>
            </w:r>
          </w:p>
        </w:tc>
      </w:tr>
      <w:tr w14:paraId="0FBA4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4ABCC396"/>
        </w:tc>
        <w:tc>
          <w:tcPr>
            <w:tcW w:w="1937" w:type="dxa"/>
            <w:gridSpan w:val="2"/>
            <w:vMerge w:val="continue"/>
            <w:vAlign w:val="center"/>
          </w:tcPr>
          <w:p w14:paraId="640A1DA7">
            <w:pPr>
              <w:spacing w:line="360" w:lineRule="exact"/>
            </w:pPr>
          </w:p>
        </w:tc>
        <w:tc>
          <w:tcPr>
            <w:tcW w:w="5968" w:type="dxa"/>
            <w:vAlign w:val="center"/>
          </w:tcPr>
          <w:p w14:paraId="4207EEF3">
            <w:pPr>
              <w:jc w:val="left"/>
              <w:rPr>
                <w:rFonts w:ascii="宋体" w:hAnsi="宋体"/>
                <w:b/>
              </w:rPr>
            </w:pPr>
            <w:r>
              <w:rPr>
                <w:rFonts w:hint="eastAsia" w:ascii="宋体" w:hAnsi="宋体"/>
              </w:rPr>
              <w:t>4、亲水平台水域：每日用打捞网进行垃圾打捞，水体无杂物、无异味，开馆期间做好巡视保洁。</w:t>
            </w:r>
          </w:p>
        </w:tc>
      </w:tr>
      <w:tr w14:paraId="4D97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116947A2"/>
        </w:tc>
        <w:tc>
          <w:tcPr>
            <w:tcW w:w="1937" w:type="dxa"/>
            <w:gridSpan w:val="2"/>
            <w:vMerge w:val="continue"/>
            <w:vAlign w:val="center"/>
          </w:tcPr>
          <w:p w14:paraId="5B31D037">
            <w:pPr>
              <w:spacing w:line="360" w:lineRule="exact"/>
            </w:pPr>
          </w:p>
        </w:tc>
        <w:tc>
          <w:tcPr>
            <w:tcW w:w="5968" w:type="dxa"/>
            <w:vAlign w:val="center"/>
          </w:tcPr>
          <w:p w14:paraId="206375CF">
            <w:pPr>
              <w:jc w:val="left"/>
              <w:rPr>
                <w:rFonts w:ascii="宋体" w:hAnsi="宋体"/>
                <w:b/>
              </w:rPr>
            </w:pPr>
            <w:r>
              <w:rPr>
                <w:rFonts w:hint="eastAsia" w:ascii="宋体" w:hAnsi="宋体"/>
              </w:rPr>
              <w:t>5、生活水箱清洗：每年清洗不少于两次并进行水质检测，需达到符合生活用水标准。</w:t>
            </w:r>
          </w:p>
        </w:tc>
      </w:tr>
      <w:tr w14:paraId="70A0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344F2D8E"/>
        </w:tc>
        <w:tc>
          <w:tcPr>
            <w:tcW w:w="1937" w:type="dxa"/>
            <w:gridSpan w:val="2"/>
            <w:vMerge w:val="continue"/>
            <w:vAlign w:val="center"/>
          </w:tcPr>
          <w:p w14:paraId="02C98292">
            <w:pPr>
              <w:jc w:val="left"/>
              <w:rPr>
                <w:rFonts w:ascii="宋体" w:hAnsi="宋体"/>
                <w:b/>
              </w:rPr>
            </w:pPr>
          </w:p>
        </w:tc>
        <w:tc>
          <w:tcPr>
            <w:tcW w:w="5968" w:type="dxa"/>
            <w:vAlign w:val="center"/>
          </w:tcPr>
          <w:p w14:paraId="77711FBA">
            <w:pPr>
              <w:jc w:val="left"/>
              <w:rPr>
                <w:rFonts w:ascii="宋体" w:hAnsi="宋体"/>
                <w:b/>
              </w:rPr>
            </w:pPr>
            <w:r>
              <w:rPr>
                <w:rFonts w:hint="eastAsia" w:ascii="宋体" w:hAnsi="宋体"/>
              </w:rPr>
              <w:t>6、其他公共设施设备需制定计划，按时按需进行清洗。</w:t>
            </w:r>
          </w:p>
        </w:tc>
      </w:tr>
      <w:tr w14:paraId="7467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14:paraId="7643FC64">
            <w:pPr>
              <w:jc w:val="center"/>
            </w:pPr>
            <w:r>
              <w:rPr>
                <w:rFonts w:hint="eastAsia"/>
              </w:rPr>
              <w:t>3</w:t>
            </w:r>
          </w:p>
        </w:tc>
        <w:tc>
          <w:tcPr>
            <w:tcW w:w="1937" w:type="dxa"/>
            <w:gridSpan w:val="2"/>
            <w:vMerge w:val="restart"/>
            <w:tcBorders>
              <w:right w:val="single" w:color="auto" w:sz="4" w:space="0"/>
            </w:tcBorders>
            <w:vAlign w:val="center"/>
          </w:tcPr>
          <w:p w14:paraId="2B76976E">
            <w:pPr>
              <w:jc w:val="center"/>
            </w:pPr>
            <w:r>
              <w:rPr>
                <w:rFonts w:hint="eastAsia"/>
              </w:rPr>
              <w:t>垃圾清运</w:t>
            </w:r>
          </w:p>
        </w:tc>
        <w:tc>
          <w:tcPr>
            <w:tcW w:w="5968" w:type="dxa"/>
            <w:tcBorders>
              <w:left w:val="single" w:color="auto" w:sz="4" w:space="0"/>
            </w:tcBorders>
            <w:vAlign w:val="center"/>
          </w:tcPr>
          <w:p w14:paraId="26DF0C20">
            <w:pPr>
              <w:jc w:val="center"/>
            </w:pPr>
            <w:r>
              <w:rPr>
                <w:rFonts w:hint="eastAsia" w:ascii="宋体" w:hAnsi="宋体"/>
                <w:b/>
              </w:rPr>
              <w:t>垃圾清运内容</w:t>
            </w:r>
          </w:p>
        </w:tc>
      </w:tr>
      <w:tr w14:paraId="1310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5881D0CE">
            <w:pPr>
              <w:jc w:val="center"/>
            </w:pPr>
          </w:p>
        </w:tc>
        <w:tc>
          <w:tcPr>
            <w:tcW w:w="1937" w:type="dxa"/>
            <w:gridSpan w:val="2"/>
            <w:vMerge w:val="continue"/>
            <w:tcBorders>
              <w:right w:val="single" w:color="auto" w:sz="4" w:space="0"/>
            </w:tcBorders>
            <w:vAlign w:val="center"/>
          </w:tcPr>
          <w:p w14:paraId="6A0AB7CA">
            <w:pPr>
              <w:rPr>
                <w:rFonts w:ascii="宋体" w:hAnsi="宋体"/>
                <w:b/>
              </w:rPr>
            </w:pPr>
          </w:p>
        </w:tc>
        <w:tc>
          <w:tcPr>
            <w:tcW w:w="5968" w:type="dxa"/>
            <w:tcBorders>
              <w:left w:val="single" w:color="auto" w:sz="4" w:space="0"/>
              <w:bottom w:val="nil"/>
            </w:tcBorders>
            <w:vAlign w:val="center"/>
          </w:tcPr>
          <w:p w14:paraId="1129DF07">
            <w:pPr>
              <w:rPr>
                <w:rFonts w:ascii="宋体" w:hAnsi="宋体"/>
                <w:b/>
              </w:rPr>
            </w:pPr>
            <w:r>
              <w:rPr>
                <w:rFonts w:hint="eastAsia" w:ascii="宋体" w:hAnsi="宋体"/>
              </w:rPr>
              <w:t>包括生活垃圾清运，建筑垃圾清运，厨房垃圾清运，各类电子危险废弃物处置及垃圾中转站管理。</w:t>
            </w:r>
          </w:p>
        </w:tc>
      </w:tr>
      <w:tr w14:paraId="5F4B4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48A6F903">
            <w:pPr>
              <w:jc w:val="center"/>
            </w:pPr>
          </w:p>
        </w:tc>
        <w:tc>
          <w:tcPr>
            <w:tcW w:w="1937" w:type="dxa"/>
            <w:gridSpan w:val="2"/>
            <w:vMerge w:val="continue"/>
            <w:tcBorders>
              <w:right w:val="single" w:color="auto" w:sz="4" w:space="0"/>
            </w:tcBorders>
            <w:vAlign w:val="center"/>
          </w:tcPr>
          <w:p w14:paraId="362C5757">
            <w:pPr>
              <w:spacing w:line="360" w:lineRule="exact"/>
              <w:jc w:val="center"/>
            </w:pPr>
          </w:p>
        </w:tc>
        <w:tc>
          <w:tcPr>
            <w:tcW w:w="5968" w:type="dxa"/>
            <w:tcBorders>
              <w:left w:val="single" w:color="auto" w:sz="4" w:space="0"/>
            </w:tcBorders>
          </w:tcPr>
          <w:p w14:paraId="4150369B">
            <w:pPr>
              <w:jc w:val="center"/>
            </w:pPr>
            <w:r>
              <w:rPr>
                <w:rFonts w:hint="eastAsia" w:ascii="宋体" w:hAnsi="宋体"/>
                <w:b/>
              </w:rPr>
              <w:t>垃圾清运</w:t>
            </w:r>
          </w:p>
        </w:tc>
      </w:tr>
      <w:tr w14:paraId="3C4D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67543673"/>
        </w:tc>
        <w:tc>
          <w:tcPr>
            <w:tcW w:w="1937" w:type="dxa"/>
            <w:gridSpan w:val="2"/>
            <w:vMerge w:val="continue"/>
            <w:tcBorders>
              <w:right w:val="single" w:color="auto" w:sz="4" w:space="0"/>
            </w:tcBorders>
            <w:vAlign w:val="center"/>
          </w:tcPr>
          <w:p w14:paraId="130EDB8E">
            <w:pPr>
              <w:spacing w:line="360" w:lineRule="exact"/>
            </w:pPr>
          </w:p>
        </w:tc>
        <w:tc>
          <w:tcPr>
            <w:tcW w:w="5968" w:type="dxa"/>
            <w:tcBorders>
              <w:left w:val="single" w:color="auto" w:sz="4" w:space="0"/>
            </w:tcBorders>
          </w:tcPr>
          <w:p w14:paraId="068D8A94">
            <w:pPr>
              <w:spacing w:line="360" w:lineRule="exact"/>
            </w:pPr>
            <w:r>
              <w:rPr>
                <w:rFonts w:hint="eastAsia" w:ascii="宋体" w:hAnsi="宋体"/>
              </w:rPr>
              <w:t>1、在展区、办公区域、外围公共部位合理设置分类垃圾箱。</w:t>
            </w:r>
          </w:p>
        </w:tc>
      </w:tr>
      <w:tr w14:paraId="3DFA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13544D46">
            <w:pPr>
              <w:jc w:val="center"/>
            </w:pPr>
          </w:p>
        </w:tc>
        <w:tc>
          <w:tcPr>
            <w:tcW w:w="1937" w:type="dxa"/>
            <w:gridSpan w:val="2"/>
            <w:vMerge w:val="continue"/>
            <w:tcBorders>
              <w:right w:val="single" w:color="auto" w:sz="4" w:space="0"/>
            </w:tcBorders>
            <w:vAlign w:val="center"/>
          </w:tcPr>
          <w:p w14:paraId="34DCFAFC">
            <w:pPr>
              <w:spacing w:line="360" w:lineRule="exact"/>
              <w:jc w:val="center"/>
            </w:pPr>
          </w:p>
        </w:tc>
        <w:tc>
          <w:tcPr>
            <w:tcW w:w="5968" w:type="dxa"/>
            <w:tcBorders>
              <w:left w:val="single" w:color="auto" w:sz="4" w:space="0"/>
            </w:tcBorders>
          </w:tcPr>
          <w:p w14:paraId="533E2638">
            <w:pPr>
              <w:rPr>
                <w:rFonts w:ascii="宋体" w:hAnsi="宋体"/>
              </w:rPr>
            </w:pPr>
            <w:r>
              <w:rPr>
                <w:rFonts w:hint="eastAsia" w:ascii="宋体" w:hAnsi="宋体"/>
              </w:rPr>
              <w:t>2、、垃圾实行袋装化，由保洁专员视垃圾量进行循环清理，垃圾收集后直接送至垃圾房，从而达到更高层次的环保效果。</w:t>
            </w:r>
          </w:p>
        </w:tc>
      </w:tr>
      <w:tr w14:paraId="4B64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2D10ED68">
            <w:pPr>
              <w:jc w:val="center"/>
            </w:pPr>
          </w:p>
        </w:tc>
        <w:tc>
          <w:tcPr>
            <w:tcW w:w="1937" w:type="dxa"/>
            <w:gridSpan w:val="2"/>
            <w:vMerge w:val="continue"/>
            <w:tcBorders>
              <w:right w:val="single" w:color="auto" w:sz="4" w:space="0"/>
            </w:tcBorders>
            <w:vAlign w:val="center"/>
          </w:tcPr>
          <w:p w14:paraId="6A4BD462">
            <w:pPr>
              <w:spacing w:line="360" w:lineRule="exact"/>
              <w:jc w:val="center"/>
            </w:pPr>
          </w:p>
        </w:tc>
        <w:tc>
          <w:tcPr>
            <w:tcW w:w="5968" w:type="dxa"/>
            <w:tcBorders>
              <w:left w:val="single" w:color="auto" w:sz="4" w:space="0"/>
            </w:tcBorders>
          </w:tcPr>
          <w:p w14:paraId="744015A2">
            <w:pPr>
              <w:rPr>
                <w:rFonts w:ascii="宋体" w:hAnsi="宋体"/>
              </w:rPr>
            </w:pPr>
            <w:r>
              <w:rPr>
                <w:rFonts w:hint="eastAsia" w:ascii="宋体" w:hAnsi="宋体"/>
              </w:rPr>
              <w:t>3、按照博物馆施工管理办法，建筑垃圾袋装后督促施工单位运出博物馆，并做好现场监管。</w:t>
            </w:r>
          </w:p>
        </w:tc>
      </w:tr>
      <w:tr w14:paraId="6A02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4604A95C">
            <w:pPr>
              <w:jc w:val="center"/>
            </w:pPr>
          </w:p>
        </w:tc>
        <w:tc>
          <w:tcPr>
            <w:tcW w:w="1937" w:type="dxa"/>
            <w:gridSpan w:val="2"/>
            <w:vMerge w:val="continue"/>
            <w:tcBorders>
              <w:right w:val="single" w:color="auto" w:sz="4" w:space="0"/>
            </w:tcBorders>
            <w:vAlign w:val="center"/>
          </w:tcPr>
          <w:p w14:paraId="10FBEFA4">
            <w:pPr>
              <w:spacing w:line="360" w:lineRule="exact"/>
              <w:jc w:val="center"/>
            </w:pPr>
          </w:p>
        </w:tc>
        <w:tc>
          <w:tcPr>
            <w:tcW w:w="5968" w:type="dxa"/>
            <w:tcBorders>
              <w:left w:val="single" w:color="auto" w:sz="4" w:space="0"/>
            </w:tcBorders>
          </w:tcPr>
          <w:p w14:paraId="406693DD">
            <w:pPr>
              <w:rPr>
                <w:rFonts w:ascii="宋体" w:hAnsi="宋体"/>
              </w:rPr>
            </w:pPr>
            <w:r>
              <w:rPr>
                <w:rFonts w:hint="eastAsia" w:ascii="宋体" w:hAnsi="宋体"/>
              </w:rPr>
              <w:t>4、餐饮区域产生的垃圾，有餐饮单位在餐饮区域设置垃圾收集点进行专项处理，与馆内生活垃圾进行分开管理。</w:t>
            </w:r>
          </w:p>
        </w:tc>
      </w:tr>
      <w:tr w14:paraId="146A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1FBBE10C"/>
        </w:tc>
        <w:tc>
          <w:tcPr>
            <w:tcW w:w="1937" w:type="dxa"/>
            <w:gridSpan w:val="2"/>
            <w:vMerge w:val="continue"/>
            <w:tcBorders>
              <w:right w:val="single" w:color="auto" w:sz="4" w:space="0"/>
            </w:tcBorders>
            <w:vAlign w:val="center"/>
          </w:tcPr>
          <w:p w14:paraId="0BB2D4EF">
            <w:pPr>
              <w:spacing w:line="360" w:lineRule="exact"/>
            </w:pPr>
          </w:p>
        </w:tc>
        <w:tc>
          <w:tcPr>
            <w:tcW w:w="5968" w:type="dxa"/>
            <w:tcBorders>
              <w:left w:val="single" w:color="auto" w:sz="4" w:space="0"/>
            </w:tcBorders>
          </w:tcPr>
          <w:p w14:paraId="601768E3">
            <w:pPr>
              <w:spacing w:line="360" w:lineRule="exact"/>
            </w:pPr>
            <w:r>
              <w:rPr>
                <w:rFonts w:hint="eastAsia" w:ascii="宋体" w:hAnsi="宋体"/>
              </w:rPr>
              <w:t>5、对废旧电池、灯管等有害垃圾，按照建设绿色环保城市号召，进行专项回收和处理，并与有资质单位签订收集处置合同。</w:t>
            </w:r>
          </w:p>
        </w:tc>
      </w:tr>
      <w:tr w14:paraId="0FC9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26AC3652">
            <w:pPr>
              <w:jc w:val="center"/>
            </w:pPr>
          </w:p>
        </w:tc>
        <w:tc>
          <w:tcPr>
            <w:tcW w:w="1937" w:type="dxa"/>
            <w:gridSpan w:val="2"/>
            <w:vMerge w:val="continue"/>
            <w:tcBorders>
              <w:right w:val="single" w:color="auto" w:sz="4" w:space="0"/>
            </w:tcBorders>
            <w:vAlign w:val="center"/>
          </w:tcPr>
          <w:p w14:paraId="50019C17">
            <w:pPr>
              <w:spacing w:line="360" w:lineRule="exact"/>
              <w:jc w:val="center"/>
            </w:pPr>
          </w:p>
        </w:tc>
        <w:tc>
          <w:tcPr>
            <w:tcW w:w="5968" w:type="dxa"/>
            <w:tcBorders>
              <w:left w:val="single" w:color="auto" w:sz="4" w:space="0"/>
            </w:tcBorders>
          </w:tcPr>
          <w:p w14:paraId="57C74A5D">
            <w:pPr>
              <w:rPr>
                <w:rFonts w:ascii="宋体" w:hAnsi="宋体"/>
              </w:rPr>
            </w:pPr>
            <w:r>
              <w:rPr>
                <w:rFonts w:hint="eastAsia" w:ascii="宋体" w:hAnsi="宋体"/>
              </w:rPr>
              <w:t>6、派专员管理垃圾中转站（垃圾房），做好垃圾分类工作，并按时清运、处理垃圾。</w:t>
            </w:r>
          </w:p>
        </w:tc>
      </w:tr>
      <w:tr w14:paraId="2831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180A3E4E">
            <w:pPr>
              <w:jc w:val="center"/>
            </w:pPr>
          </w:p>
        </w:tc>
        <w:tc>
          <w:tcPr>
            <w:tcW w:w="1937" w:type="dxa"/>
            <w:gridSpan w:val="2"/>
            <w:vMerge w:val="continue"/>
            <w:tcBorders>
              <w:right w:val="single" w:color="auto" w:sz="4" w:space="0"/>
            </w:tcBorders>
            <w:vAlign w:val="center"/>
          </w:tcPr>
          <w:p w14:paraId="25DAF661">
            <w:pPr>
              <w:spacing w:line="360" w:lineRule="exact"/>
              <w:jc w:val="center"/>
            </w:pPr>
          </w:p>
        </w:tc>
        <w:tc>
          <w:tcPr>
            <w:tcW w:w="5968" w:type="dxa"/>
            <w:tcBorders>
              <w:left w:val="single" w:color="auto" w:sz="4" w:space="0"/>
            </w:tcBorders>
          </w:tcPr>
          <w:p w14:paraId="321BA0A5">
            <w:pPr>
              <w:rPr>
                <w:rFonts w:ascii="宋体" w:hAnsi="宋体"/>
              </w:rPr>
            </w:pPr>
            <w:r>
              <w:rPr>
                <w:rFonts w:hint="eastAsia" w:ascii="宋体" w:hAnsi="宋体"/>
              </w:rPr>
              <w:t>7、定时高压冲洗垃圾中转站（垃圾房）内外墙壁及地面，定期进行灭虫、消毒处理。</w:t>
            </w:r>
          </w:p>
        </w:tc>
      </w:tr>
      <w:tr w14:paraId="7AF05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02315927">
            <w:pPr>
              <w:jc w:val="center"/>
            </w:pPr>
          </w:p>
        </w:tc>
        <w:tc>
          <w:tcPr>
            <w:tcW w:w="1937" w:type="dxa"/>
            <w:gridSpan w:val="2"/>
            <w:vMerge w:val="continue"/>
            <w:tcBorders>
              <w:right w:val="single" w:color="auto" w:sz="4" w:space="0"/>
            </w:tcBorders>
            <w:vAlign w:val="center"/>
          </w:tcPr>
          <w:p w14:paraId="1A328AA1">
            <w:pPr>
              <w:spacing w:line="360" w:lineRule="exact"/>
              <w:jc w:val="center"/>
            </w:pPr>
          </w:p>
        </w:tc>
        <w:tc>
          <w:tcPr>
            <w:tcW w:w="5968" w:type="dxa"/>
            <w:tcBorders>
              <w:left w:val="single" w:color="auto" w:sz="4" w:space="0"/>
            </w:tcBorders>
          </w:tcPr>
          <w:p w14:paraId="7B876479">
            <w:pPr>
              <w:rPr>
                <w:rFonts w:ascii="宋体" w:hAnsi="宋体"/>
              </w:rPr>
            </w:pPr>
            <w:r>
              <w:rPr>
                <w:rFonts w:hint="eastAsia" w:ascii="宋体" w:hAnsi="宋体"/>
              </w:rPr>
              <w:t>8、和当地环卫部门保持良好关系并签订城市垃圾收集处理合同，由环卫部门进行垃圾清运处理，做到垃圾日产日清。保洁部做好现场垃圾清运的监管。</w:t>
            </w:r>
          </w:p>
        </w:tc>
      </w:tr>
      <w:tr w14:paraId="3E13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212FCFDC">
            <w:pPr>
              <w:jc w:val="center"/>
            </w:pPr>
          </w:p>
        </w:tc>
        <w:tc>
          <w:tcPr>
            <w:tcW w:w="1937" w:type="dxa"/>
            <w:gridSpan w:val="2"/>
            <w:vMerge w:val="continue"/>
            <w:tcBorders>
              <w:right w:val="single" w:color="auto" w:sz="4" w:space="0"/>
            </w:tcBorders>
            <w:vAlign w:val="center"/>
          </w:tcPr>
          <w:p w14:paraId="0FCEEB04">
            <w:pPr>
              <w:spacing w:line="360" w:lineRule="exact"/>
              <w:jc w:val="center"/>
            </w:pPr>
          </w:p>
        </w:tc>
        <w:tc>
          <w:tcPr>
            <w:tcW w:w="5968" w:type="dxa"/>
            <w:tcBorders>
              <w:left w:val="single" w:color="auto" w:sz="4" w:space="0"/>
            </w:tcBorders>
          </w:tcPr>
          <w:p w14:paraId="3993CE3D">
            <w:pPr>
              <w:rPr>
                <w:rFonts w:ascii="宋体" w:hAnsi="宋体"/>
              </w:rPr>
            </w:pPr>
            <w:r>
              <w:rPr>
                <w:rFonts w:hint="eastAsia" w:ascii="宋体" w:hAnsi="宋体"/>
              </w:rPr>
              <w:t>9、所有垃圾清运处理应符合上海市有关法律、法规规定。</w:t>
            </w:r>
          </w:p>
        </w:tc>
      </w:tr>
      <w:tr w14:paraId="4248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14:paraId="0B388041">
            <w:pPr>
              <w:jc w:val="center"/>
            </w:pPr>
            <w:r>
              <w:rPr>
                <w:rFonts w:hint="eastAsia"/>
              </w:rPr>
              <w:t>4</w:t>
            </w:r>
          </w:p>
        </w:tc>
        <w:tc>
          <w:tcPr>
            <w:tcW w:w="1937" w:type="dxa"/>
            <w:gridSpan w:val="2"/>
            <w:vMerge w:val="restart"/>
            <w:vAlign w:val="center"/>
          </w:tcPr>
          <w:p w14:paraId="4EDA31D5">
            <w:pPr>
              <w:spacing w:line="360" w:lineRule="exact"/>
              <w:jc w:val="center"/>
            </w:pPr>
            <w:r>
              <w:rPr>
                <w:rFonts w:hint="eastAsia"/>
              </w:rPr>
              <w:t>虫害治理</w:t>
            </w:r>
          </w:p>
        </w:tc>
        <w:tc>
          <w:tcPr>
            <w:tcW w:w="5968" w:type="dxa"/>
            <w:vAlign w:val="center"/>
          </w:tcPr>
          <w:p w14:paraId="4D2EF63D">
            <w:pPr>
              <w:jc w:val="center"/>
            </w:pPr>
            <w:r>
              <w:rPr>
                <w:rFonts w:hint="eastAsia" w:ascii="宋体" w:hAnsi="宋体"/>
                <w:b/>
              </w:rPr>
              <w:t>虫害治理内容</w:t>
            </w:r>
          </w:p>
        </w:tc>
      </w:tr>
      <w:tr w14:paraId="11792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36EADFAF">
            <w:pPr>
              <w:jc w:val="center"/>
            </w:pPr>
          </w:p>
        </w:tc>
        <w:tc>
          <w:tcPr>
            <w:tcW w:w="1937" w:type="dxa"/>
            <w:gridSpan w:val="2"/>
            <w:vMerge w:val="continue"/>
            <w:vAlign w:val="center"/>
          </w:tcPr>
          <w:p w14:paraId="364CA459">
            <w:pPr>
              <w:jc w:val="center"/>
              <w:rPr>
                <w:rFonts w:ascii="宋体" w:hAnsi="宋体"/>
                <w:b/>
              </w:rPr>
            </w:pPr>
          </w:p>
        </w:tc>
        <w:tc>
          <w:tcPr>
            <w:tcW w:w="5968" w:type="dxa"/>
            <w:vAlign w:val="center"/>
          </w:tcPr>
          <w:p w14:paraId="20F6608F">
            <w:pPr>
              <w:rPr>
                <w:rFonts w:ascii="宋体" w:hAnsi="宋体"/>
                <w:b/>
              </w:rPr>
            </w:pPr>
            <w:r>
              <w:rPr>
                <w:rFonts w:hint="eastAsia" w:ascii="宋体" w:hAnsi="宋体"/>
              </w:rPr>
              <w:t>主要包括：鼠害控制、白蚁控制、蚊、蝇控制、蟑螂控制、跳蚤控制、其他虫害控制，科学有效的进行卫生消毒。对地区特异性的虫害做好预先防控措施。</w:t>
            </w:r>
          </w:p>
        </w:tc>
      </w:tr>
      <w:tr w14:paraId="55D5B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6E0EFA3B">
            <w:pPr>
              <w:jc w:val="center"/>
            </w:pPr>
          </w:p>
        </w:tc>
        <w:tc>
          <w:tcPr>
            <w:tcW w:w="1937" w:type="dxa"/>
            <w:gridSpan w:val="2"/>
            <w:vMerge w:val="continue"/>
            <w:vAlign w:val="center"/>
          </w:tcPr>
          <w:p w14:paraId="59F0325B">
            <w:pPr>
              <w:jc w:val="center"/>
              <w:rPr>
                <w:rFonts w:ascii="宋体" w:hAnsi="宋体"/>
                <w:b/>
              </w:rPr>
            </w:pPr>
          </w:p>
        </w:tc>
        <w:tc>
          <w:tcPr>
            <w:tcW w:w="5968" w:type="dxa"/>
            <w:vAlign w:val="center"/>
          </w:tcPr>
          <w:p w14:paraId="102A700A">
            <w:pPr>
              <w:jc w:val="center"/>
              <w:rPr>
                <w:rFonts w:ascii="宋体" w:hAnsi="宋体"/>
              </w:rPr>
            </w:pPr>
            <w:r>
              <w:rPr>
                <w:rFonts w:hint="eastAsia" w:ascii="宋体" w:hAnsi="宋体"/>
                <w:b/>
              </w:rPr>
              <w:t>虫害治理</w:t>
            </w:r>
          </w:p>
        </w:tc>
      </w:tr>
      <w:tr w14:paraId="6FC2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069245DD">
            <w:pPr>
              <w:jc w:val="center"/>
            </w:pPr>
          </w:p>
        </w:tc>
        <w:tc>
          <w:tcPr>
            <w:tcW w:w="1937" w:type="dxa"/>
            <w:gridSpan w:val="2"/>
            <w:vMerge w:val="continue"/>
            <w:vAlign w:val="center"/>
          </w:tcPr>
          <w:p w14:paraId="2902F8E2">
            <w:pPr>
              <w:jc w:val="center"/>
              <w:rPr>
                <w:rFonts w:ascii="宋体" w:hAnsi="宋体"/>
                <w:b/>
              </w:rPr>
            </w:pPr>
          </w:p>
        </w:tc>
        <w:tc>
          <w:tcPr>
            <w:tcW w:w="5968" w:type="dxa"/>
            <w:vAlign w:val="center"/>
          </w:tcPr>
          <w:p w14:paraId="0C711465">
            <w:pPr>
              <w:rPr>
                <w:rFonts w:ascii="宋体" w:hAnsi="宋体"/>
                <w:b/>
              </w:rPr>
            </w:pPr>
            <w:r>
              <w:rPr>
                <w:rFonts w:hint="eastAsia" w:ascii="宋体" w:hAnsi="宋体"/>
              </w:rPr>
              <w:t>1、灭鼠、灭蚊、灭苍蝇、灭蟑螂达到全国爱卫生委员会及上海市爱卫生委员会规定的标准。</w:t>
            </w:r>
          </w:p>
        </w:tc>
      </w:tr>
      <w:tr w14:paraId="4505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0B0C9191">
            <w:pPr>
              <w:jc w:val="center"/>
            </w:pPr>
          </w:p>
        </w:tc>
        <w:tc>
          <w:tcPr>
            <w:tcW w:w="1937" w:type="dxa"/>
            <w:gridSpan w:val="2"/>
            <w:vMerge w:val="continue"/>
            <w:vAlign w:val="center"/>
          </w:tcPr>
          <w:p w14:paraId="75C5C4C2">
            <w:pPr>
              <w:jc w:val="center"/>
              <w:rPr>
                <w:rFonts w:ascii="宋体" w:hAnsi="宋体"/>
                <w:b/>
              </w:rPr>
            </w:pPr>
          </w:p>
        </w:tc>
        <w:tc>
          <w:tcPr>
            <w:tcW w:w="5968" w:type="dxa"/>
            <w:vAlign w:val="center"/>
          </w:tcPr>
          <w:p w14:paraId="0B8542D2">
            <w:pPr>
              <w:rPr>
                <w:rFonts w:ascii="宋体" w:hAnsi="宋体"/>
              </w:rPr>
            </w:pPr>
            <w:r>
              <w:rPr>
                <w:rFonts w:hint="eastAsia" w:ascii="宋体" w:hAnsi="宋体"/>
              </w:rPr>
              <w:t>2、定期科学有效地对办公区、展区及外围绿化带进行消杀工作。所选用的药剂和器械保证对人类及其他动植物及环境的危害是最低的，注重科学合理用药，不使用国家禁用药品。</w:t>
            </w:r>
          </w:p>
        </w:tc>
      </w:tr>
      <w:tr w14:paraId="2B6D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0E8F948E">
            <w:pPr>
              <w:jc w:val="center"/>
            </w:pPr>
          </w:p>
        </w:tc>
        <w:tc>
          <w:tcPr>
            <w:tcW w:w="1937" w:type="dxa"/>
            <w:gridSpan w:val="2"/>
            <w:vMerge w:val="continue"/>
            <w:vAlign w:val="center"/>
          </w:tcPr>
          <w:p w14:paraId="64D804CE">
            <w:pPr>
              <w:jc w:val="center"/>
              <w:rPr>
                <w:rFonts w:ascii="宋体" w:hAnsi="宋体"/>
                <w:b/>
              </w:rPr>
            </w:pPr>
          </w:p>
        </w:tc>
        <w:tc>
          <w:tcPr>
            <w:tcW w:w="5968" w:type="dxa"/>
            <w:vAlign w:val="center"/>
          </w:tcPr>
          <w:p w14:paraId="362897EA">
            <w:pPr>
              <w:rPr>
                <w:rFonts w:ascii="宋体" w:hAnsi="宋体"/>
              </w:rPr>
            </w:pPr>
            <w:r>
              <w:rPr>
                <w:rFonts w:hint="eastAsia" w:ascii="宋体" w:hAnsi="宋体"/>
              </w:rPr>
              <w:t>3、对参与实施消杀服务的员工必须进行消杀理论和实际操作的培训和考核。保洁部具体负责此项工作的监管及验收工作。</w:t>
            </w:r>
          </w:p>
        </w:tc>
      </w:tr>
      <w:tr w14:paraId="1FF2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14:paraId="19ECA08F">
            <w:pPr>
              <w:jc w:val="center"/>
            </w:pPr>
          </w:p>
          <w:p w14:paraId="78BA50A2">
            <w:pPr>
              <w:jc w:val="center"/>
            </w:pPr>
          </w:p>
          <w:p w14:paraId="60ECE14E">
            <w:pPr>
              <w:jc w:val="center"/>
            </w:pPr>
            <w:r>
              <w:rPr>
                <w:rFonts w:hint="eastAsia"/>
              </w:rPr>
              <w:t>5</w:t>
            </w:r>
          </w:p>
        </w:tc>
        <w:tc>
          <w:tcPr>
            <w:tcW w:w="1937" w:type="dxa"/>
            <w:gridSpan w:val="2"/>
            <w:vMerge w:val="restart"/>
            <w:vAlign w:val="center"/>
          </w:tcPr>
          <w:p w14:paraId="031F22AD">
            <w:pPr>
              <w:jc w:val="center"/>
              <w:rPr>
                <w:rFonts w:ascii="宋体" w:hAnsi="宋体"/>
              </w:rPr>
            </w:pPr>
            <w:r>
              <w:rPr>
                <w:rFonts w:hint="eastAsia" w:ascii="宋体" w:hAnsi="宋体"/>
              </w:rPr>
              <w:t>卫生防疫</w:t>
            </w:r>
          </w:p>
          <w:p w14:paraId="42953020">
            <w:pPr>
              <w:jc w:val="center"/>
            </w:pPr>
          </w:p>
        </w:tc>
        <w:tc>
          <w:tcPr>
            <w:tcW w:w="5968" w:type="dxa"/>
            <w:vAlign w:val="center"/>
          </w:tcPr>
          <w:p w14:paraId="2B9BDBD7">
            <w:pPr>
              <w:jc w:val="center"/>
            </w:pPr>
            <w:r>
              <w:rPr>
                <w:rFonts w:hint="eastAsia" w:ascii="宋体" w:hAnsi="宋体"/>
                <w:b/>
              </w:rPr>
              <w:t>卫生防疫的内容：</w:t>
            </w:r>
          </w:p>
        </w:tc>
      </w:tr>
      <w:tr w14:paraId="212C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7829CDB9">
            <w:pPr>
              <w:jc w:val="center"/>
            </w:pPr>
          </w:p>
        </w:tc>
        <w:tc>
          <w:tcPr>
            <w:tcW w:w="1937" w:type="dxa"/>
            <w:gridSpan w:val="2"/>
            <w:vMerge w:val="continue"/>
            <w:vAlign w:val="center"/>
          </w:tcPr>
          <w:p w14:paraId="74626A04">
            <w:pPr>
              <w:jc w:val="center"/>
            </w:pPr>
          </w:p>
        </w:tc>
        <w:tc>
          <w:tcPr>
            <w:tcW w:w="5968" w:type="dxa"/>
            <w:vAlign w:val="center"/>
          </w:tcPr>
          <w:p w14:paraId="1DECC490">
            <w:r>
              <w:rPr>
                <w:rFonts w:hint="eastAsia" w:ascii="宋体" w:hAnsi="宋体"/>
              </w:rPr>
              <w:t>包括公共卫生防疫、群发性疫情防治等。</w:t>
            </w:r>
          </w:p>
        </w:tc>
      </w:tr>
      <w:tr w14:paraId="51C9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29292A1E">
            <w:pPr>
              <w:jc w:val="center"/>
            </w:pPr>
          </w:p>
        </w:tc>
        <w:tc>
          <w:tcPr>
            <w:tcW w:w="1937" w:type="dxa"/>
            <w:gridSpan w:val="2"/>
            <w:vMerge w:val="continue"/>
            <w:vAlign w:val="center"/>
          </w:tcPr>
          <w:p w14:paraId="63E01CA7">
            <w:pPr>
              <w:jc w:val="center"/>
            </w:pPr>
          </w:p>
        </w:tc>
        <w:tc>
          <w:tcPr>
            <w:tcW w:w="5968" w:type="dxa"/>
            <w:vAlign w:val="center"/>
          </w:tcPr>
          <w:p w14:paraId="12BDD8C0">
            <w:pPr>
              <w:spacing w:line="360" w:lineRule="exact"/>
              <w:jc w:val="center"/>
            </w:pPr>
            <w:r>
              <w:rPr>
                <w:rFonts w:hint="eastAsia" w:ascii="宋体" w:hAnsi="宋体"/>
                <w:b/>
              </w:rPr>
              <w:t>卫生防疫</w:t>
            </w:r>
          </w:p>
        </w:tc>
      </w:tr>
      <w:tr w14:paraId="05D6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725368D6">
            <w:pPr>
              <w:jc w:val="center"/>
            </w:pPr>
          </w:p>
        </w:tc>
        <w:tc>
          <w:tcPr>
            <w:tcW w:w="1937" w:type="dxa"/>
            <w:gridSpan w:val="2"/>
            <w:vMerge w:val="continue"/>
            <w:vAlign w:val="center"/>
          </w:tcPr>
          <w:p w14:paraId="03950D80">
            <w:pPr>
              <w:jc w:val="center"/>
            </w:pPr>
          </w:p>
        </w:tc>
        <w:tc>
          <w:tcPr>
            <w:tcW w:w="5968" w:type="dxa"/>
            <w:vAlign w:val="center"/>
          </w:tcPr>
          <w:p w14:paraId="45B28992">
            <w:r>
              <w:rPr>
                <w:rFonts w:hint="eastAsia" w:ascii="宋体" w:hAnsi="宋体"/>
              </w:rPr>
              <w:t>1、博物馆区域及外围绿化及车库应有明确划分，建立责任区，需由专人负责，使卫生管理工作保持经常化。环境卫生定期检查并形成记录，发现问题限期改正。</w:t>
            </w:r>
          </w:p>
        </w:tc>
      </w:tr>
      <w:tr w14:paraId="05C3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49B76C12">
            <w:pPr>
              <w:jc w:val="center"/>
            </w:pPr>
          </w:p>
        </w:tc>
        <w:tc>
          <w:tcPr>
            <w:tcW w:w="1937" w:type="dxa"/>
            <w:gridSpan w:val="2"/>
            <w:vMerge w:val="continue"/>
            <w:vAlign w:val="center"/>
          </w:tcPr>
          <w:p w14:paraId="13870FB2">
            <w:pPr>
              <w:jc w:val="center"/>
            </w:pPr>
          </w:p>
        </w:tc>
        <w:tc>
          <w:tcPr>
            <w:tcW w:w="5968" w:type="dxa"/>
            <w:vAlign w:val="center"/>
          </w:tcPr>
          <w:p w14:paraId="5242809F">
            <w:pPr>
              <w:rPr>
                <w:rFonts w:ascii="宋体" w:hAnsi="宋体"/>
              </w:rPr>
            </w:pPr>
            <w:r>
              <w:rPr>
                <w:rFonts w:hint="eastAsia" w:ascii="宋体" w:hAnsi="宋体"/>
              </w:rPr>
              <w:t>2、定期对公共设施设备进行消毒处理，定期博物馆内空气环境进行通风。</w:t>
            </w:r>
          </w:p>
        </w:tc>
      </w:tr>
      <w:tr w14:paraId="7B00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4D3F1C45">
            <w:pPr>
              <w:jc w:val="center"/>
            </w:pPr>
          </w:p>
        </w:tc>
        <w:tc>
          <w:tcPr>
            <w:tcW w:w="1937" w:type="dxa"/>
            <w:gridSpan w:val="2"/>
            <w:vMerge w:val="continue"/>
            <w:vAlign w:val="center"/>
          </w:tcPr>
          <w:p w14:paraId="53F80EBB">
            <w:pPr>
              <w:jc w:val="center"/>
            </w:pPr>
          </w:p>
        </w:tc>
        <w:tc>
          <w:tcPr>
            <w:tcW w:w="5968" w:type="dxa"/>
            <w:vAlign w:val="center"/>
          </w:tcPr>
          <w:p w14:paraId="65067CE6">
            <w:pPr>
              <w:rPr>
                <w:rFonts w:ascii="宋体" w:hAnsi="宋体"/>
              </w:rPr>
            </w:pPr>
            <w:r>
              <w:rPr>
                <w:rFonts w:hint="eastAsia" w:ascii="宋体" w:hAnsi="宋体"/>
              </w:rPr>
              <w:t>3、在流行病情突发季节，采取有效措施，加强卫生防疫工作。</w:t>
            </w:r>
          </w:p>
        </w:tc>
      </w:tr>
      <w:tr w14:paraId="2B1D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14:paraId="1E5D959C">
            <w:pPr>
              <w:jc w:val="center"/>
            </w:pPr>
            <w:r>
              <w:rPr>
                <w:rFonts w:hint="eastAsia"/>
              </w:rPr>
              <w:t>6</w:t>
            </w:r>
          </w:p>
        </w:tc>
        <w:tc>
          <w:tcPr>
            <w:tcW w:w="1937" w:type="dxa"/>
            <w:gridSpan w:val="2"/>
            <w:vMerge w:val="restart"/>
            <w:vAlign w:val="center"/>
          </w:tcPr>
          <w:p w14:paraId="369B6D25">
            <w:pPr>
              <w:jc w:val="center"/>
            </w:pPr>
            <w:r>
              <w:rPr>
                <w:rFonts w:hint="eastAsia" w:ascii="宋体" w:hAnsi="宋体"/>
              </w:rPr>
              <w:t>环境保护</w:t>
            </w:r>
          </w:p>
        </w:tc>
        <w:tc>
          <w:tcPr>
            <w:tcW w:w="5968" w:type="dxa"/>
            <w:vAlign w:val="center"/>
          </w:tcPr>
          <w:p w14:paraId="26BD36E5">
            <w:pPr>
              <w:jc w:val="center"/>
              <w:rPr>
                <w:b/>
              </w:rPr>
            </w:pPr>
            <w:r>
              <w:rPr>
                <w:rFonts w:hint="eastAsia" w:ascii="宋体" w:hAnsi="宋体"/>
                <w:b/>
              </w:rPr>
              <w:t>环境保护的内容</w:t>
            </w:r>
          </w:p>
        </w:tc>
      </w:tr>
      <w:tr w14:paraId="147A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60DDA024">
            <w:pPr>
              <w:jc w:val="center"/>
            </w:pPr>
          </w:p>
        </w:tc>
        <w:tc>
          <w:tcPr>
            <w:tcW w:w="1937" w:type="dxa"/>
            <w:gridSpan w:val="2"/>
            <w:vMerge w:val="continue"/>
            <w:vAlign w:val="center"/>
          </w:tcPr>
          <w:p w14:paraId="5C52B1C2">
            <w:pPr>
              <w:jc w:val="center"/>
              <w:rPr>
                <w:rFonts w:ascii="宋体" w:hAnsi="宋体"/>
                <w:b/>
              </w:rPr>
            </w:pPr>
          </w:p>
        </w:tc>
        <w:tc>
          <w:tcPr>
            <w:tcW w:w="5968" w:type="dxa"/>
            <w:vAlign w:val="center"/>
          </w:tcPr>
          <w:p w14:paraId="7FC67AEF">
            <w:pPr>
              <w:rPr>
                <w:rFonts w:ascii="宋体" w:hAnsi="宋体"/>
                <w:b/>
              </w:rPr>
            </w:pPr>
            <w:r>
              <w:rPr>
                <w:rFonts w:hint="eastAsia" w:ascii="宋体" w:hAnsi="宋体"/>
              </w:rPr>
              <w:t>包括对环境污染治理和防治、大气污染控制、水体污染控制、固体废弃物污染控制、噪声污染控制、环境卫生管理部门协调等。</w:t>
            </w:r>
          </w:p>
        </w:tc>
      </w:tr>
      <w:tr w14:paraId="012B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7DE5C34F">
            <w:pPr>
              <w:jc w:val="center"/>
            </w:pPr>
          </w:p>
        </w:tc>
        <w:tc>
          <w:tcPr>
            <w:tcW w:w="1937" w:type="dxa"/>
            <w:gridSpan w:val="2"/>
            <w:vMerge w:val="continue"/>
            <w:vAlign w:val="center"/>
          </w:tcPr>
          <w:p w14:paraId="1972EAD5">
            <w:pPr>
              <w:jc w:val="center"/>
              <w:rPr>
                <w:rFonts w:ascii="宋体" w:hAnsi="宋体"/>
                <w:b/>
              </w:rPr>
            </w:pPr>
          </w:p>
        </w:tc>
        <w:tc>
          <w:tcPr>
            <w:tcW w:w="5968" w:type="dxa"/>
            <w:vAlign w:val="center"/>
          </w:tcPr>
          <w:p w14:paraId="14BAD515">
            <w:pPr>
              <w:jc w:val="center"/>
              <w:rPr>
                <w:rFonts w:ascii="宋体" w:hAnsi="宋体"/>
              </w:rPr>
            </w:pPr>
            <w:r>
              <w:rPr>
                <w:rFonts w:hint="eastAsia" w:ascii="宋体" w:hAnsi="宋体"/>
                <w:b/>
              </w:rPr>
              <w:t>环境保护</w:t>
            </w:r>
          </w:p>
        </w:tc>
      </w:tr>
      <w:tr w14:paraId="3DC5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781230EA">
            <w:pPr>
              <w:jc w:val="center"/>
            </w:pPr>
          </w:p>
        </w:tc>
        <w:tc>
          <w:tcPr>
            <w:tcW w:w="1937" w:type="dxa"/>
            <w:gridSpan w:val="2"/>
            <w:vMerge w:val="continue"/>
            <w:vAlign w:val="center"/>
          </w:tcPr>
          <w:p w14:paraId="5308C2DE">
            <w:pPr>
              <w:jc w:val="center"/>
              <w:rPr>
                <w:rFonts w:ascii="宋体" w:hAnsi="宋体"/>
                <w:b/>
              </w:rPr>
            </w:pPr>
          </w:p>
        </w:tc>
        <w:tc>
          <w:tcPr>
            <w:tcW w:w="5968" w:type="dxa"/>
            <w:vAlign w:val="center"/>
          </w:tcPr>
          <w:p w14:paraId="29028A98">
            <w:pPr>
              <w:rPr>
                <w:rFonts w:ascii="宋体" w:hAnsi="宋体"/>
                <w:b/>
              </w:rPr>
            </w:pPr>
            <w:r>
              <w:rPr>
                <w:rFonts w:hint="eastAsia" w:ascii="宋体" w:hAnsi="宋体"/>
              </w:rPr>
              <w:t>1、对博物馆及周围环境有效控制，做到无异味，无污染，对噪声有效控制，适当制止噪声源。</w:t>
            </w:r>
          </w:p>
        </w:tc>
      </w:tr>
      <w:tr w14:paraId="27F1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33AB7D3E">
            <w:pPr>
              <w:jc w:val="center"/>
            </w:pPr>
          </w:p>
        </w:tc>
        <w:tc>
          <w:tcPr>
            <w:tcW w:w="1937" w:type="dxa"/>
            <w:gridSpan w:val="2"/>
            <w:vMerge w:val="continue"/>
            <w:vAlign w:val="center"/>
          </w:tcPr>
          <w:p w14:paraId="55C39B4F">
            <w:pPr>
              <w:jc w:val="center"/>
              <w:rPr>
                <w:rFonts w:ascii="宋体" w:hAnsi="宋体"/>
                <w:b/>
              </w:rPr>
            </w:pPr>
          </w:p>
        </w:tc>
        <w:tc>
          <w:tcPr>
            <w:tcW w:w="5968" w:type="dxa"/>
            <w:vAlign w:val="center"/>
          </w:tcPr>
          <w:p w14:paraId="31620687">
            <w:pPr>
              <w:rPr>
                <w:rFonts w:ascii="宋体" w:hAnsi="宋体"/>
              </w:rPr>
            </w:pPr>
            <w:r>
              <w:rPr>
                <w:rFonts w:hint="eastAsia" w:ascii="宋体" w:hAnsi="宋体"/>
              </w:rPr>
              <w:t xml:space="preserve">2、对废弃物进行循环清理，并设专人收集送至指定地点。  </w:t>
            </w:r>
          </w:p>
        </w:tc>
      </w:tr>
      <w:tr w14:paraId="6D92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0FD8C842">
            <w:pPr>
              <w:jc w:val="center"/>
            </w:pPr>
          </w:p>
        </w:tc>
        <w:tc>
          <w:tcPr>
            <w:tcW w:w="1937" w:type="dxa"/>
            <w:gridSpan w:val="2"/>
            <w:vMerge w:val="continue"/>
            <w:vAlign w:val="center"/>
          </w:tcPr>
          <w:p w14:paraId="2924ABE0">
            <w:pPr>
              <w:jc w:val="center"/>
              <w:rPr>
                <w:rFonts w:ascii="宋体" w:hAnsi="宋体"/>
                <w:b/>
              </w:rPr>
            </w:pPr>
          </w:p>
        </w:tc>
        <w:tc>
          <w:tcPr>
            <w:tcW w:w="5968" w:type="dxa"/>
            <w:vAlign w:val="center"/>
          </w:tcPr>
          <w:p w14:paraId="4DBD8D48">
            <w:pPr>
              <w:rPr>
                <w:rFonts w:ascii="宋体" w:hAnsi="宋体"/>
              </w:rPr>
            </w:pPr>
            <w:r>
              <w:rPr>
                <w:rFonts w:hint="eastAsia" w:ascii="宋体" w:hAnsi="宋体"/>
              </w:rPr>
              <w:t>3对周围水域定期进行水质检测，并和政府有关部门保持良好的沟通关系。</w:t>
            </w:r>
          </w:p>
        </w:tc>
      </w:tr>
      <w:tr w14:paraId="05C6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14:paraId="71D768A3">
            <w:pPr>
              <w:jc w:val="center"/>
            </w:pPr>
            <w:r>
              <w:rPr>
                <w:rFonts w:hint="eastAsia"/>
              </w:rPr>
              <w:t>7</w:t>
            </w:r>
          </w:p>
        </w:tc>
        <w:tc>
          <w:tcPr>
            <w:tcW w:w="1937" w:type="dxa"/>
            <w:gridSpan w:val="2"/>
            <w:vMerge w:val="restart"/>
            <w:vAlign w:val="center"/>
          </w:tcPr>
          <w:p w14:paraId="59236629">
            <w:pPr>
              <w:jc w:val="center"/>
            </w:pPr>
            <w:r>
              <w:rPr>
                <w:rFonts w:hint="eastAsia" w:ascii="宋体" w:hAnsi="宋体"/>
              </w:rPr>
              <w:t>其他环保工作</w:t>
            </w:r>
          </w:p>
        </w:tc>
        <w:tc>
          <w:tcPr>
            <w:tcW w:w="5968" w:type="dxa"/>
            <w:vAlign w:val="center"/>
          </w:tcPr>
          <w:p w14:paraId="03062A38">
            <w:pPr>
              <w:jc w:val="center"/>
            </w:pPr>
            <w:r>
              <w:rPr>
                <w:rFonts w:hint="eastAsia" w:ascii="宋体" w:hAnsi="宋体"/>
                <w:b/>
              </w:rPr>
              <w:t>其他环保工作内容</w:t>
            </w:r>
          </w:p>
        </w:tc>
      </w:tr>
      <w:tr w14:paraId="7B4D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1E0B4508"/>
        </w:tc>
        <w:tc>
          <w:tcPr>
            <w:tcW w:w="1937" w:type="dxa"/>
            <w:gridSpan w:val="2"/>
            <w:vMerge w:val="continue"/>
            <w:vAlign w:val="center"/>
          </w:tcPr>
          <w:p w14:paraId="0821DC55">
            <w:pPr>
              <w:rPr>
                <w:rFonts w:ascii="宋体" w:hAnsi="宋体"/>
                <w:b/>
              </w:rPr>
            </w:pPr>
          </w:p>
        </w:tc>
        <w:tc>
          <w:tcPr>
            <w:tcW w:w="5968" w:type="dxa"/>
            <w:vAlign w:val="center"/>
          </w:tcPr>
          <w:p w14:paraId="215A63D6">
            <w:pPr>
              <w:rPr>
                <w:rFonts w:ascii="宋体" w:hAnsi="宋体"/>
                <w:b/>
              </w:rPr>
            </w:pPr>
            <w:r>
              <w:rPr>
                <w:rFonts w:hint="eastAsia" w:ascii="宋体" w:hAnsi="宋体"/>
              </w:rPr>
              <w:t>主要包括大型活动现场环境保护工作及灾害性气候造成的环境工作等。</w:t>
            </w:r>
          </w:p>
        </w:tc>
      </w:tr>
      <w:tr w14:paraId="090E8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tcPr>
          <w:p w14:paraId="30D982B1"/>
        </w:tc>
        <w:tc>
          <w:tcPr>
            <w:tcW w:w="1937" w:type="dxa"/>
            <w:gridSpan w:val="2"/>
            <w:vMerge w:val="continue"/>
            <w:vAlign w:val="center"/>
          </w:tcPr>
          <w:p w14:paraId="67C4EB93">
            <w:pPr>
              <w:spacing w:line="360" w:lineRule="exact"/>
            </w:pPr>
          </w:p>
        </w:tc>
        <w:tc>
          <w:tcPr>
            <w:tcW w:w="5968" w:type="dxa"/>
            <w:vAlign w:val="center"/>
          </w:tcPr>
          <w:p w14:paraId="3E961EE1">
            <w:pPr>
              <w:jc w:val="center"/>
            </w:pPr>
            <w:r>
              <w:rPr>
                <w:rFonts w:hint="eastAsia" w:ascii="宋体" w:hAnsi="宋体"/>
                <w:b/>
              </w:rPr>
              <w:t>其他环保工作</w:t>
            </w:r>
          </w:p>
        </w:tc>
      </w:tr>
      <w:tr w14:paraId="4B15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846" w:type="dxa"/>
            <w:vMerge w:val="continue"/>
          </w:tcPr>
          <w:p w14:paraId="11D3ACE1"/>
        </w:tc>
        <w:tc>
          <w:tcPr>
            <w:tcW w:w="1937" w:type="dxa"/>
            <w:gridSpan w:val="2"/>
            <w:vMerge w:val="continue"/>
            <w:vAlign w:val="center"/>
          </w:tcPr>
          <w:p w14:paraId="5D936BC5">
            <w:pPr>
              <w:spacing w:line="360" w:lineRule="exact"/>
            </w:pPr>
          </w:p>
        </w:tc>
        <w:tc>
          <w:tcPr>
            <w:tcW w:w="5968" w:type="dxa"/>
            <w:vAlign w:val="center"/>
          </w:tcPr>
          <w:p w14:paraId="3E388973">
            <w:pPr>
              <w:rPr>
                <w:rFonts w:ascii="宋体" w:hAnsi="宋体"/>
              </w:rPr>
            </w:pPr>
            <w:r>
              <w:rPr>
                <w:rFonts w:hint="eastAsia" w:ascii="宋体" w:hAnsi="宋体"/>
              </w:rPr>
              <w:t>1、对大型活动现场进行巡视保洁，使现场能保持地面干净整洁。针对灾害性天气的预防措施，对灾害性天气造成的环境破坏及时清理及复原。</w:t>
            </w:r>
          </w:p>
          <w:p w14:paraId="3889DED3">
            <w:pPr>
              <w:rPr>
                <w:rFonts w:ascii="宋体" w:hAnsi="宋体"/>
                <w:b/>
              </w:rPr>
            </w:pPr>
            <w:r>
              <w:rPr>
                <w:rFonts w:hint="eastAsia" w:ascii="宋体" w:hAnsi="宋体"/>
              </w:rPr>
              <w:t>2、配合博物馆其他相关部门的环境保洁需求。</w:t>
            </w:r>
          </w:p>
        </w:tc>
      </w:tr>
      <w:tr w14:paraId="53F1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46" w:type="dxa"/>
            <w:tcBorders>
              <w:top w:val="nil"/>
            </w:tcBorders>
            <w:vAlign w:val="center"/>
          </w:tcPr>
          <w:p w14:paraId="1CD197B1">
            <w:pPr>
              <w:rPr>
                <w:b/>
              </w:rPr>
            </w:pPr>
            <w:r>
              <w:rPr>
                <w:rFonts w:hint="eastAsia"/>
                <w:b/>
              </w:rPr>
              <w:t>三</w:t>
            </w:r>
          </w:p>
        </w:tc>
        <w:tc>
          <w:tcPr>
            <w:tcW w:w="7905" w:type="dxa"/>
            <w:gridSpan w:val="3"/>
            <w:tcBorders>
              <w:top w:val="nil"/>
            </w:tcBorders>
            <w:vAlign w:val="center"/>
          </w:tcPr>
          <w:p w14:paraId="2392A262">
            <w:pPr>
              <w:spacing w:line="360" w:lineRule="exact"/>
              <w:rPr>
                <w:b/>
              </w:rPr>
            </w:pPr>
            <w:r>
              <w:rPr>
                <w:rFonts w:hint="eastAsia"/>
                <w:b/>
              </w:rPr>
              <w:t>安全管理服务</w:t>
            </w:r>
          </w:p>
        </w:tc>
      </w:tr>
      <w:tr w14:paraId="6177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tcBorders>
              <w:top w:val="single" w:color="auto" w:sz="4" w:space="0"/>
            </w:tcBorders>
            <w:vAlign w:val="center"/>
          </w:tcPr>
          <w:p w14:paraId="66A0D861">
            <w:pPr>
              <w:jc w:val="center"/>
            </w:pPr>
          </w:p>
          <w:p w14:paraId="7AE2F4BC">
            <w:pPr>
              <w:jc w:val="center"/>
            </w:pPr>
          </w:p>
          <w:p w14:paraId="2FD49F87">
            <w:pPr>
              <w:jc w:val="center"/>
            </w:pPr>
          </w:p>
          <w:p w14:paraId="4CC61198">
            <w:pPr>
              <w:jc w:val="center"/>
            </w:pPr>
          </w:p>
          <w:p w14:paraId="400119CD">
            <w:pPr>
              <w:jc w:val="center"/>
            </w:pPr>
          </w:p>
          <w:p w14:paraId="56649A19">
            <w:pPr>
              <w:jc w:val="center"/>
            </w:pPr>
          </w:p>
          <w:p w14:paraId="6D25C472">
            <w:pPr>
              <w:jc w:val="center"/>
            </w:pPr>
          </w:p>
          <w:p w14:paraId="722A2F8D">
            <w:pPr>
              <w:jc w:val="center"/>
            </w:pPr>
          </w:p>
          <w:p w14:paraId="6760B5DA">
            <w:pPr>
              <w:ind w:firstLine="315" w:firstLineChars="150"/>
            </w:pPr>
            <w:r>
              <w:rPr>
                <w:rFonts w:hint="eastAsia"/>
              </w:rPr>
              <w:t>1</w:t>
            </w:r>
          </w:p>
        </w:tc>
        <w:tc>
          <w:tcPr>
            <w:tcW w:w="1937" w:type="dxa"/>
            <w:gridSpan w:val="2"/>
            <w:tcBorders>
              <w:top w:val="nil"/>
            </w:tcBorders>
            <w:vAlign w:val="center"/>
          </w:tcPr>
          <w:p w14:paraId="6CDED068">
            <w:pPr>
              <w:spacing w:line="360" w:lineRule="exact"/>
              <w:jc w:val="center"/>
            </w:pPr>
          </w:p>
          <w:p w14:paraId="7F13B528">
            <w:pPr>
              <w:spacing w:line="360" w:lineRule="exact"/>
              <w:jc w:val="center"/>
            </w:pPr>
          </w:p>
          <w:p w14:paraId="34EB5F64">
            <w:pPr>
              <w:spacing w:line="360" w:lineRule="exact"/>
              <w:jc w:val="center"/>
            </w:pPr>
          </w:p>
          <w:p w14:paraId="00762A7E">
            <w:pPr>
              <w:spacing w:line="360" w:lineRule="exact"/>
              <w:jc w:val="center"/>
            </w:pPr>
          </w:p>
          <w:p w14:paraId="094DF934">
            <w:pPr>
              <w:spacing w:line="360" w:lineRule="exact"/>
              <w:jc w:val="center"/>
            </w:pPr>
          </w:p>
          <w:p w14:paraId="1B646EB4">
            <w:pPr>
              <w:spacing w:line="360" w:lineRule="exact"/>
              <w:jc w:val="center"/>
            </w:pPr>
          </w:p>
          <w:p w14:paraId="0F4F0668">
            <w:pPr>
              <w:spacing w:line="360" w:lineRule="exact"/>
              <w:jc w:val="center"/>
            </w:pPr>
          </w:p>
          <w:p w14:paraId="3561AE5A">
            <w:pPr>
              <w:spacing w:line="360" w:lineRule="exact"/>
              <w:jc w:val="center"/>
            </w:pPr>
            <w:r>
              <w:rPr>
                <w:rFonts w:hint="eastAsia"/>
              </w:rPr>
              <w:t>安全管理</w:t>
            </w:r>
          </w:p>
        </w:tc>
        <w:tc>
          <w:tcPr>
            <w:tcW w:w="5968" w:type="dxa"/>
            <w:tcBorders>
              <w:top w:val="nil"/>
            </w:tcBorders>
            <w:vAlign w:val="center"/>
          </w:tcPr>
          <w:p w14:paraId="6E630B8B">
            <w:pPr>
              <w:spacing w:line="360" w:lineRule="auto"/>
            </w:pPr>
            <w:r>
              <w:rPr>
                <w:rFonts w:hint="eastAsia"/>
              </w:rPr>
              <w:t>（一）</w:t>
            </w:r>
            <w:r>
              <w:t>安保工作的现场管理分为内保条线和外保条线两个部分。</w:t>
            </w:r>
          </w:p>
          <w:p w14:paraId="32A2386E">
            <w:pPr>
              <w:spacing w:line="360" w:lineRule="auto"/>
            </w:pPr>
            <w:r>
              <w:rPr>
                <w:rFonts w:hint="eastAsia"/>
              </w:rPr>
              <w:t>1、</w:t>
            </w:r>
            <w:r>
              <w:t>其中内保条线主要负责中国航海博物馆开馆运营时段场馆内部的秩序维护工作，包括但不限于开馆前与外保条线的场馆（展区）交接、观众安检、区域秩序维护、区域客流管理、突发事件应急处置、闭馆联合清场、闭馆时与外保条线场馆（展区）交接以及消防管理等。内保条线实行8小时单班运行，人员实行峰值配置，以便集中人力资源做好开馆运营时段的安全保障工作。</w:t>
            </w:r>
          </w:p>
          <w:p w14:paraId="63593F99">
            <w:pPr>
              <w:tabs>
                <w:tab w:val="left" w:pos="720"/>
              </w:tabs>
              <w:autoSpaceDE w:val="0"/>
              <w:autoSpaceDN w:val="0"/>
              <w:spacing w:line="360" w:lineRule="auto"/>
              <w:ind w:right="18"/>
              <w:jc w:val="left"/>
            </w:pPr>
            <w:r>
              <w:rPr>
                <w:rFonts w:hint="eastAsia"/>
              </w:rPr>
              <w:t>2、</w:t>
            </w:r>
            <w:r>
              <w:t>外保条线主要负责开馆运营时段场馆外部的秩序维护工作，包括但不限于开馆前与外保的场馆（展区）交接、场馆门岗管理、交通管理、停车管理、馆外区域的客流管理、突发事件应急处置、闭馆联合清场、闭馆时与内保交接，消防管理、24小时的监控中心管理以及闭馆后的整体安全管理。外保条线实行24小时轮班运行，人员实行最精简配置，以保障客流谷值阶段场馆安保需求为目标。</w:t>
            </w:r>
          </w:p>
          <w:p w14:paraId="7D2CD6BE">
            <w:pPr>
              <w:tabs>
                <w:tab w:val="left" w:pos="720"/>
              </w:tabs>
              <w:autoSpaceDE w:val="0"/>
              <w:autoSpaceDN w:val="0"/>
              <w:spacing w:line="360" w:lineRule="auto"/>
              <w:ind w:right="18"/>
              <w:jc w:val="left"/>
            </w:pPr>
            <w:r>
              <w:rPr>
                <w:rFonts w:hint="eastAsia"/>
              </w:rPr>
              <w:t>3、馆方安全保卫部交办的其他任务。</w:t>
            </w:r>
          </w:p>
        </w:tc>
      </w:tr>
      <w:tr w14:paraId="3BD9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38F5AB46">
            <w:pPr>
              <w:jc w:val="center"/>
            </w:pPr>
            <w:r>
              <w:rPr>
                <w:rFonts w:hint="eastAsia"/>
              </w:rPr>
              <w:t>2</w:t>
            </w:r>
          </w:p>
        </w:tc>
        <w:tc>
          <w:tcPr>
            <w:tcW w:w="1937" w:type="dxa"/>
            <w:gridSpan w:val="2"/>
            <w:vAlign w:val="center"/>
          </w:tcPr>
          <w:p w14:paraId="1AEE2EE6">
            <w:pPr>
              <w:spacing w:line="360" w:lineRule="exact"/>
              <w:jc w:val="center"/>
            </w:pPr>
            <w:r>
              <w:rPr>
                <w:rFonts w:hint="eastAsia"/>
              </w:rPr>
              <w:t>消防管理</w:t>
            </w:r>
          </w:p>
        </w:tc>
        <w:tc>
          <w:tcPr>
            <w:tcW w:w="5968" w:type="dxa"/>
            <w:vAlign w:val="center"/>
          </w:tcPr>
          <w:p w14:paraId="56D190FD">
            <w:pPr>
              <w:spacing w:line="360" w:lineRule="auto"/>
            </w:pPr>
            <w:r>
              <w:rPr>
                <w:rFonts w:hint="eastAsia"/>
              </w:rPr>
              <w:t>（一）配合馆方安全保卫部和消防系统维保方日常维护和维修，负责系统全面的日常维护和检查，保证24小时正常运行。</w:t>
            </w:r>
          </w:p>
          <w:p w14:paraId="1F5F487C">
            <w:pPr>
              <w:spacing w:line="360" w:lineRule="auto"/>
            </w:pPr>
            <w:r>
              <w:rPr>
                <w:rFonts w:hint="eastAsia"/>
              </w:rPr>
              <w:t>（二）</w:t>
            </w:r>
            <w:r>
              <w:t>消防安全巡检</w:t>
            </w:r>
            <w:r>
              <w:rPr>
                <w:rFonts w:hint="eastAsia"/>
              </w:rPr>
              <w:t>，填写防火巡查记录。</w:t>
            </w:r>
            <w:r>
              <w:t>每个轮班安排专人对全馆区域，实行消防安全巡视检查，巡视频次、路线安排及质量要求由</w:t>
            </w:r>
            <w:r>
              <w:rPr>
                <w:rFonts w:hint="eastAsia"/>
              </w:rPr>
              <w:t>安全保卫部</w:t>
            </w:r>
            <w:r>
              <w:t>设定。</w:t>
            </w:r>
            <w:r>
              <w:rPr>
                <w:rFonts w:hint="eastAsia"/>
              </w:rPr>
              <w:t>每月对馆内所有消防设施进行全面抽查，同时填写《海博馆消防安全检查表》。</w:t>
            </w:r>
          </w:p>
          <w:p w14:paraId="3CFF2836">
            <w:pPr>
              <w:spacing w:line="360" w:lineRule="auto"/>
              <w:outlineLvl w:val="3"/>
            </w:pPr>
            <w:r>
              <w:rPr>
                <w:rFonts w:hint="eastAsia"/>
              </w:rPr>
              <w:t>（三）</w:t>
            </w:r>
            <w:r>
              <w:t>消防设备器材管理</w:t>
            </w:r>
            <w:r>
              <w:rPr>
                <w:rFonts w:hint="eastAsia"/>
              </w:rPr>
              <w:t>。安全保卫部</w:t>
            </w:r>
            <w:r>
              <w:t>安排专人对全馆消防设备、器材实行周期性全覆盖巡视，巡视频次、</w:t>
            </w:r>
            <w:r>
              <w:rPr>
                <w:rFonts w:hint="eastAsia"/>
              </w:rPr>
              <w:t>巡</w:t>
            </w:r>
            <w:r>
              <w:t>视范围及质量要求由《消防设备器材巡检管理办法》设定。消防设备、器材巡检可与消防安全巡检相结合互动实施。</w:t>
            </w:r>
          </w:p>
          <w:p w14:paraId="5308F96F">
            <w:pPr>
              <w:spacing w:line="360" w:lineRule="auto"/>
              <w:outlineLvl w:val="3"/>
            </w:pPr>
            <w:r>
              <w:rPr>
                <w:rFonts w:hint="eastAsia"/>
              </w:rPr>
              <w:t>（四）志愿</w:t>
            </w:r>
            <w:r>
              <w:t>消防员制度</w:t>
            </w:r>
            <w:r>
              <w:rPr>
                <w:rFonts w:hint="eastAsia"/>
              </w:rPr>
              <w:t>。志愿消防队队员采取轮换制度，每半年轮换一次，每次轮换全员80%保留20%老队员用于帮教工作。志愿消防队在安全保卫部的领导下</w:t>
            </w:r>
            <w:r>
              <w:t>，开展各项消防安全防范工作，</w:t>
            </w:r>
            <w:r>
              <w:rPr>
                <w:rFonts w:hint="eastAsia"/>
              </w:rPr>
              <w:t>志愿</w:t>
            </w:r>
            <w:r>
              <w:t>消防员</w:t>
            </w:r>
            <w:r>
              <w:rPr>
                <w:rFonts w:hint="eastAsia"/>
              </w:rPr>
              <w:t>需遵守《志愿消防队管理办法》及《志愿消防队职责》</w:t>
            </w:r>
            <w:r>
              <w:t>。</w:t>
            </w:r>
            <w:r>
              <w:rPr>
                <w:rFonts w:hint="eastAsia"/>
              </w:rPr>
              <w:t>每周定期训练，训练科目由当日带队人员预先计划，训练结束填写训练《业务训练登记表》。</w:t>
            </w:r>
          </w:p>
          <w:p w14:paraId="43D00436">
            <w:pPr>
              <w:spacing w:line="360" w:lineRule="auto"/>
            </w:pPr>
            <w:r>
              <w:rPr>
                <w:rFonts w:hint="eastAsia"/>
              </w:rPr>
              <w:t>（五）动火审批制度。动火审批共分三级分别是特级、一级和二级。其中特级和一级审批需安全保卫部批准方可实施，动火单有效时限为24小时，超时需重新审批。二级动火物管中心即刻审批，最长时效为一周，超时需重新审批。</w:t>
            </w:r>
          </w:p>
          <w:p w14:paraId="3D1D874B">
            <w:pPr>
              <w:spacing w:line="360" w:lineRule="auto"/>
              <w:outlineLvl w:val="3"/>
            </w:pPr>
            <w:r>
              <w:rPr>
                <w:rFonts w:hint="eastAsia"/>
              </w:rPr>
              <w:t>（六）</w:t>
            </w:r>
            <w:r>
              <w:t>消防应急处理流程和火灾应急预案</w:t>
            </w:r>
            <w:r>
              <w:rPr>
                <w:rFonts w:hint="eastAsia"/>
              </w:rPr>
              <w:t>。</w:t>
            </w:r>
            <w:r>
              <w:t>内容可包括突发事件发生后组织内部的报告流程、应急处理流程、各级消防组织应急响应流程、火灾发生后扑救方法、人员、物资疏散方法、医疗救助方法、指挥部与现场通讯联络的方法以及相关的后勤保障措施。</w:t>
            </w:r>
          </w:p>
        </w:tc>
      </w:tr>
      <w:tr w14:paraId="6FAA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0F5863EC">
            <w:pPr>
              <w:jc w:val="center"/>
            </w:pPr>
            <w:r>
              <w:rPr>
                <w:rFonts w:hint="eastAsia"/>
              </w:rPr>
              <w:t>3</w:t>
            </w:r>
          </w:p>
        </w:tc>
        <w:tc>
          <w:tcPr>
            <w:tcW w:w="1937" w:type="dxa"/>
            <w:gridSpan w:val="2"/>
            <w:vAlign w:val="center"/>
          </w:tcPr>
          <w:p w14:paraId="1E4618B3">
            <w:pPr>
              <w:spacing w:line="360" w:lineRule="exact"/>
              <w:ind w:left="315" w:hanging="315" w:hangingChars="150"/>
              <w:jc w:val="center"/>
            </w:pPr>
            <w:r>
              <w:rPr>
                <w:rFonts w:hint="eastAsia"/>
              </w:rPr>
              <w:t>交通管理</w:t>
            </w:r>
          </w:p>
        </w:tc>
        <w:tc>
          <w:tcPr>
            <w:tcW w:w="5968" w:type="dxa"/>
          </w:tcPr>
          <w:p w14:paraId="239770AA">
            <w:pPr>
              <w:widowControl w:val="0"/>
              <w:numPr>
                <w:ilvl w:val="0"/>
                <w:numId w:val="5"/>
              </w:numPr>
              <w:spacing w:line="360" w:lineRule="auto"/>
              <w:outlineLvl w:val="3"/>
            </w:pPr>
            <w:r>
              <w:t>机动车辆管理</w:t>
            </w:r>
          </w:p>
          <w:p w14:paraId="3493A9DE">
            <w:pPr>
              <w:spacing w:line="360" w:lineRule="auto"/>
              <w:outlineLvl w:val="4"/>
            </w:pPr>
            <w:r>
              <w:rPr>
                <w:rFonts w:hint="eastAsia"/>
              </w:rPr>
              <w:t>1、</w:t>
            </w:r>
            <w:r>
              <w:t>中国航海博物馆工作车辆（含工作人员车辆</w:t>
            </w:r>
            <w:r>
              <w:rPr>
                <w:rFonts w:hint="eastAsia"/>
              </w:rPr>
              <w:t>、</w:t>
            </w:r>
            <w:r>
              <w:t>服务供方车辆）凭中国航海博物馆停车证准入及停放。</w:t>
            </w:r>
          </w:p>
          <w:p w14:paraId="11813D48">
            <w:pPr>
              <w:widowControl w:val="0"/>
              <w:numPr>
                <w:ilvl w:val="0"/>
                <w:numId w:val="6"/>
              </w:numPr>
              <w:spacing w:line="360" w:lineRule="auto"/>
              <w:outlineLvl w:val="4"/>
            </w:pPr>
            <w:r>
              <w:t>观众车辆停放</w:t>
            </w:r>
            <w:r>
              <w:rPr>
                <w:rFonts w:hint="eastAsia"/>
              </w:rPr>
              <w:t>至室内停车库或室外停车库。</w:t>
            </w:r>
          </w:p>
          <w:p w14:paraId="1628B46F">
            <w:pPr>
              <w:widowControl w:val="0"/>
              <w:numPr>
                <w:ilvl w:val="0"/>
                <w:numId w:val="6"/>
              </w:numPr>
              <w:spacing w:line="360" w:lineRule="auto"/>
              <w:outlineLvl w:val="4"/>
            </w:pPr>
            <w:r>
              <w:rPr>
                <w:rFonts w:hint="eastAsia"/>
              </w:rPr>
              <w:t>做好车库出入口的指引和车辆现场管理，确保人员安全。</w:t>
            </w:r>
          </w:p>
          <w:p w14:paraId="709F9351">
            <w:pPr>
              <w:widowControl w:val="0"/>
              <w:numPr>
                <w:ilvl w:val="0"/>
                <w:numId w:val="5"/>
              </w:numPr>
              <w:spacing w:line="360" w:lineRule="auto"/>
              <w:outlineLvl w:val="3"/>
            </w:pPr>
            <w:r>
              <w:t>非机动车辆管理</w:t>
            </w:r>
          </w:p>
          <w:p w14:paraId="5C121E59">
            <w:pPr>
              <w:spacing w:line="360" w:lineRule="auto"/>
              <w:outlineLvl w:val="3"/>
            </w:pPr>
            <w:r>
              <w:rPr>
                <w:rFonts w:hint="eastAsia"/>
              </w:rPr>
              <w:t>1、停入非机动车车库。</w:t>
            </w:r>
          </w:p>
        </w:tc>
      </w:tr>
      <w:tr w14:paraId="0FDD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7B0CEE22">
            <w:pPr>
              <w:jc w:val="center"/>
            </w:pPr>
            <w:r>
              <w:rPr>
                <w:rFonts w:hint="eastAsia"/>
              </w:rPr>
              <w:t>4</w:t>
            </w:r>
          </w:p>
        </w:tc>
        <w:tc>
          <w:tcPr>
            <w:tcW w:w="1937" w:type="dxa"/>
            <w:gridSpan w:val="2"/>
            <w:vAlign w:val="center"/>
          </w:tcPr>
          <w:p w14:paraId="029F9E43">
            <w:pPr>
              <w:spacing w:line="360" w:lineRule="exact"/>
              <w:ind w:left="315" w:hanging="315" w:hangingChars="150"/>
              <w:jc w:val="center"/>
            </w:pPr>
            <w:r>
              <w:rPr>
                <w:rFonts w:hint="eastAsia"/>
              </w:rPr>
              <w:t>安全生产管理</w:t>
            </w:r>
          </w:p>
        </w:tc>
        <w:tc>
          <w:tcPr>
            <w:tcW w:w="5968" w:type="dxa"/>
          </w:tcPr>
          <w:p w14:paraId="42BF4E47">
            <w:pPr>
              <w:widowControl w:val="0"/>
              <w:numPr>
                <w:ilvl w:val="0"/>
                <w:numId w:val="7"/>
              </w:numPr>
              <w:spacing w:line="360" w:lineRule="auto"/>
            </w:pPr>
            <w:r>
              <w:rPr>
                <w:rFonts w:hint="eastAsia"/>
              </w:rPr>
              <w:t>日常安全生产工作的检查、监督、跟进及现场施工区域</w:t>
            </w:r>
          </w:p>
          <w:p w14:paraId="03DEDB1F">
            <w:pPr>
              <w:spacing w:line="360" w:lineRule="auto"/>
            </w:pPr>
            <w:r>
              <w:rPr>
                <w:rFonts w:hint="eastAsia"/>
              </w:rPr>
              <w:t>的安全防范，提出不符合安全要求的整改意见。</w:t>
            </w:r>
          </w:p>
          <w:p w14:paraId="37954DEB">
            <w:pPr>
              <w:widowControl w:val="0"/>
              <w:numPr>
                <w:ilvl w:val="0"/>
                <w:numId w:val="7"/>
              </w:numPr>
              <w:spacing w:line="360" w:lineRule="auto"/>
            </w:pPr>
            <w:r>
              <w:rPr>
                <w:rFonts w:hint="eastAsia"/>
              </w:rPr>
              <w:t>施工方安全责任书的签订，施工许可证的下发，施工证</w:t>
            </w:r>
          </w:p>
          <w:p w14:paraId="224EC89E">
            <w:pPr>
              <w:spacing w:line="360" w:lineRule="auto"/>
            </w:pPr>
            <w:r>
              <w:rPr>
                <w:rFonts w:hint="eastAsia"/>
              </w:rPr>
              <w:t>及其他相关手续的办理，特殊工种证件的查验。</w:t>
            </w:r>
          </w:p>
          <w:p w14:paraId="3C48C75C">
            <w:pPr>
              <w:spacing w:line="360" w:lineRule="auto"/>
            </w:pPr>
            <w:r>
              <w:rPr>
                <w:rFonts w:hint="eastAsia"/>
              </w:rPr>
              <w:t>（三）确保现场符合安全生产要求。</w:t>
            </w:r>
          </w:p>
        </w:tc>
      </w:tr>
      <w:tr w14:paraId="3768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6DCDEF15">
            <w:pPr>
              <w:jc w:val="center"/>
            </w:pPr>
            <w:r>
              <w:rPr>
                <w:rFonts w:hint="eastAsia"/>
              </w:rPr>
              <w:t>5</w:t>
            </w:r>
          </w:p>
        </w:tc>
        <w:tc>
          <w:tcPr>
            <w:tcW w:w="1937" w:type="dxa"/>
            <w:gridSpan w:val="2"/>
            <w:vAlign w:val="center"/>
          </w:tcPr>
          <w:p w14:paraId="200DAF9C">
            <w:pPr>
              <w:spacing w:line="360" w:lineRule="auto"/>
              <w:ind w:left="315" w:hanging="315" w:hangingChars="150"/>
              <w:jc w:val="center"/>
              <w:rPr>
                <w:rFonts w:ascii="宋体" w:hAnsi="宋体"/>
              </w:rPr>
            </w:pPr>
            <w:r>
              <w:rPr>
                <w:rFonts w:hint="eastAsia" w:ascii="宋体" w:hAnsi="宋体"/>
              </w:rPr>
              <w:t>客流高峰管理</w:t>
            </w:r>
          </w:p>
        </w:tc>
        <w:tc>
          <w:tcPr>
            <w:tcW w:w="5968" w:type="dxa"/>
          </w:tcPr>
          <w:p w14:paraId="0D9C2736">
            <w:pPr>
              <w:tabs>
                <w:tab w:val="left" w:pos="1149"/>
              </w:tabs>
              <w:spacing w:line="360" w:lineRule="auto"/>
              <w:rPr>
                <w:rFonts w:ascii="宋体" w:hAnsi="宋体"/>
              </w:rPr>
            </w:pPr>
            <w:r>
              <w:rPr>
                <w:rFonts w:hint="eastAsia" w:ascii="宋体" w:hAnsi="宋体"/>
              </w:rPr>
              <w:t>（一）秩序维护，包括外围、展区、影院、餐饮区、车库、售票区、出入口等。</w:t>
            </w:r>
          </w:p>
          <w:p w14:paraId="7B1CAE67">
            <w:pPr>
              <w:tabs>
                <w:tab w:val="left" w:pos="1149"/>
              </w:tabs>
              <w:spacing w:line="360" w:lineRule="auto"/>
              <w:rPr>
                <w:rFonts w:ascii="宋体" w:hAnsi="宋体"/>
              </w:rPr>
            </w:pPr>
            <w:r>
              <w:rPr>
                <w:rFonts w:hint="eastAsia" w:ascii="宋体" w:hAnsi="宋体"/>
              </w:rPr>
              <w:t>（二）开启备用出入口，疏导人群。</w:t>
            </w:r>
          </w:p>
          <w:p w14:paraId="1252E374">
            <w:pPr>
              <w:tabs>
                <w:tab w:val="left" w:pos="1149"/>
              </w:tabs>
              <w:spacing w:line="360" w:lineRule="auto"/>
              <w:rPr>
                <w:rFonts w:ascii="宋体" w:hAnsi="宋体"/>
              </w:rPr>
            </w:pPr>
            <w:r>
              <w:rPr>
                <w:rFonts w:hint="eastAsia" w:ascii="宋体" w:hAnsi="宋体"/>
              </w:rPr>
              <w:t>（三）疏导车辆。及时同公安、交警部门联系，争取支持。</w:t>
            </w:r>
          </w:p>
        </w:tc>
      </w:tr>
      <w:tr w14:paraId="2FBA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467A194D">
            <w:pPr>
              <w:jc w:val="center"/>
            </w:pPr>
            <w:r>
              <w:rPr>
                <w:rFonts w:hint="eastAsia"/>
              </w:rPr>
              <w:t>6</w:t>
            </w:r>
          </w:p>
        </w:tc>
        <w:tc>
          <w:tcPr>
            <w:tcW w:w="1937" w:type="dxa"/>
            <w:gridSpan w:val="2"/>
            <w:vAlign w:val="center"/>
          </w:tcPr>
          <w:p w14:paraId="3E164186">
            <w:pPr>
              <w:spacing w:line="360" w:lineRule="exact"/>
              <w:ind w:left="315" w:hanging="315" w:hangingChars="150"/>
              <w:jc w:val="center"/>
            </w:pPr>
            <w:r>
              <w:rPr>
                <w:rFonts w:hint="eastAsia"/>
              </w:rPr>
              <w:t>专项活动安全保障</w:t>
            </w:r>
          </w:p>
        </w:tc>
        <w:tc>
          <w:tcPr>
            <w:tcW w:w="5968" w:type="dxa"/>
          </w:tcPr>
          <w:p w14:paraId="0C61F5A2">
            <w:pPr>
              <w:tabs>
                <w:tab w:val="left" w:pos="1149"/>
              </w:tabs>
              <w:spacing w:line="360" w:lineRule="auto"/>
              <w:rPr>
                <w:rFonts w:ascii="宋体" w:hAnsi="宋体"/>
              </w:rPr>
            </w:pPr>
            <w:r>
              <w:rPr>
                <w:rFonts w:hint="eastAsia" w:ascii="宋体" w:hAnsi="宋体"/>
              </w:rPr>
              <w:t>（一）制定专项活动安全保障制度</w:t>
            </w:r>
          </w:p>
          <w:p w14:paraId="19FE8EDD">
            <w:pPr>
              <w:tabs>
                <w:tab w:val="left" w:pos="1149"/>
              </w:tabs>
              <w:spacing w:line="360" w:lineRule="auto"/>
              <w:rPr>
                <w:rFonts w:ascii="宋体" w:hAnsi="宋体"/>
              </w:rPr>
            </w:pPr>
            <w:r>
              <w:rPr>
                <w:rFonts w:hint="eastAsia" w:ascii="宋体" w:hAnsi="宋体"/>
              </w:rPr>
              <w:t>1、专项活动实施前的各项安全确保，隐患排除。</w:t>
            </w:r>
          </w:p>
          <w:p w14:paraId="53BB726C">
            <w:pPr>
              <w:tabs>
                <w:tab w:val="left" w:pos="1149"/>
              </w:tabs>
              <w:spacing w:line="360" w:lineRule="auto"/>
              <w:rPr>
                <w:rFonts w:ascii="宋体" w:hAnsi="宋体"/>
              </w:rPr>
            </w:pPr>
            <w:r>
              <w:rPr>
                <w:rFonts w:hint="eastAsia" w:ascii="宋体" w:hAnsi="宋体"/>
              </w:rPr>
              <w:t>2、活动前各安保岗人员就位，责任明确。</w:t>
            </w:r>
          </w:p>
          <w:p w14:paraId="6E8D3639">
            <w:pPr>
              <w:tabs>
                <w:tab w:val="left" w:pos="1149"/>
              </w:tabs>
              <w:spacing w:line="360" w:lineRule="auto"/>
              <w:rPr>
                <w:rFonts w:ascii="宋体" w:hAnsi="宋体"/>
              </w:rPr>
            </w:pPr>
            <w:r>
              <w:rPr>
                <w:rFonts w:hint="eastAsia" w:ascii="宋体" w:hAnsi="宋体"/>
              </w:rPr>
              <w:t>3、车辆及停放线路按制定的要求完成。</w:t>
            </w:r>
          </w:p>
          <w:p w14:paraId="2EFAFC83">
            <w:pPr>
              <w:tabs>
                <w:tab w:val="left" w:pos="1149"/>
              </w:tabs>
              <w:spacing w:line="360" w:lineRule="auto"/>
              <w:rPr>
                <w:rFonts w:ascii="宋体" w:hAnsi="宋体"/>
              </w:rPr>
            </w:pPr>
            <w:r>
              <w:rPr>
                <w:rFonts w:hint="eastAsia" w:ascii="宋体" w:hAnsi="宋体"/>
              </w:rPr>
              <w:t>4、控制活动区域内无关人员的进入及现场秩序的维护。</w:t>
            </w:r>
          </w:p>
          <w:p w14:paraId="69D2BC0F">
            <w:pPr>
              <w:tabs>
                <w:tab w:val="left" w:pos="1149"/>
              </w:tabs>
              <w:spacing w:line="360" w:lineRule="auto"/>
              <w:rPr>
                <w:rFonts w:ascii="宋体" w:hAnsi="宋体"/>
              </w:rPr>
            </w:pPr>
            <w:r>
              <w:rPr>
                <w:rFonts w:hint="eastAsia" w:ascii="宋体" w:hAnsi="宋体"/>
              </w:rPr>
              <w:t>5、贵宾、嘉宾等参加活动线路的引导。</w:t>
            </w:r>
          </w:p>
          <w:p w14:paraId="7BD2DAE0">
            <w:pPr>
              <w:tabs>
                <w:tab w:val="left" w:pos="1149"/>
              </w:tabs>
              <w:spacing w:line="360" w:lineRule="auto"/>
              <w:rPr>
                <w:rFonts w:ascii="宋体" w:hAnsi="宋体"/>
              </w:rPr>
            </w:pPr>
            <w:r>
              <w:rPr>
                <w:rFonts w:hint="eastAsia" w:ascii="宋体" w:hAnsi="宋体"/>
              </w:rPr>
              <w:t>6、贵宾、嘉宾、观众活动过程中的各项安全保障。</w:t>
            </w:r>
          </w:p>
          <w:p w14:paraId="379CCDDB">
            <w:pPr>
              <w:tabs>
                <w:tab w:val="left" w:pos="1149"/>
              </w:tabs>
              <w:spacing w:line="360" w:lineRule="auto"/>
              <w:rPr>
                <w:rFonts w:ascii="宋体" w:hAnsi="宋体"/>
              </w:rPr>
            </w:pPr>
            <w:r>
              <w:rPr>
                <w:rFonts w:hint="eastAsia" w:ascii="宋体" w:hAnsi="宋体"/>
              </w:rPr>
              <w:t>7、安保队伍整体的协调联络，确保信息的畅通。</w:t>
            </w:r>
          </w:p>
          <w:p w14:paraId="37A880E1">
            <w:pPr>
              <w:tabs>
                <w:tab w:val="left" w:pos="1149"/>
              </w:tabs>
              <w:spacing w:line="360" w:lineRule="auto"/>
              <w:rPr>
                <w:rFonts w:ascii="宋体" w:hAnsi="宋体"/>
              </w:rPr>
            </w:pPr>
            <w:r>
              <w:rPr>
                <w:rFonts w:hint="eastAsia" w:ascii="宋体" w:hAnsi="宋体"/>
              </w:rPr>
              <w:t>8、整个活动区域内的安全保障，防止意外事件的发生。</w:t>
            </w:r>
          </w:p>
          <w:p w14:paraId="2E5FC456">
            <w:pPr>
              <w:tabs>
                <w:tab w:val="left" w:pos="1149"/>
              </w:tabs>
              <w:spacing w:line="360" w:lineRule="auto"/>
              <w:rPr>
                <w:rFonts w:ascii="宋体" w:hAnsi="宋体"/>
              </w:rPr>
            </w:pPr>
            <w:r>
              <w:rPr>
                <w:rFonts w:hint="eastAsia" w:ascii="宋体" w:hAnsi="宋体"/>
              </w:rPr>
              <w:t>9、活动结束或散场后的现场安全控制。</w:t>
            </w:r>
          </w:p>
          <w:p w14:paraId="16C2A1AA">
            <w:pPr>
              <w:tabs>
                <w:tab w:val="left" w:pos="1149"/>
              </w:tabs>
              <w:spacing w:line="360" w:lineRule="auto"/>
              <w:rPr>
                <w:rFonts w:ascii="宋体" w:hAnsi="宋体"/>
              </w:rPr>
            </w:pPr>
            <w:r>
              <w:rPr>
                <w:rFonts w:hint="eastAsia" w:ascii="宋体" w:hAnsi="宋体"/>
              </w:rPr>
              <w:t>10、活动变化情况下，由安全保障负责人统一指挥。</w:t>
            </w:r>
          </w:p>
        </w:tc>
      </w:tr>
      <w:tr w14:paraId="343A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4616EC79">
            <w:pPr>
              <w:jc w:val="center"/>
            </w:pPr>
            <w:r>
              <w:rPr>
                <w:rFonts w:hint="eastAsia"/>
              </w:rPr>
              <w:t>7</w:t>
            </w:r>
          </w:p>
        </w:tc>
        <w:tc>
          <w:tcPr>
            <w:tcW w:w="1937" w:type="dxa"/>
            <w:gridSpan w:val="2"/>
            <w:vAlign w:val="center"/>
          </w:tcPr>
          <w:p w14:paraId="5844245A">
            <w:pPr>
              <w:spacing w:line="360" w:lineRule="exact"/>
              <w:ind w:left="315" w:hanging="315" w:hangingChars="150"/>
              <w:jc w:val="center"/>
            </w:pPr>
            <w:r>
              <w:rPr>
                <w:rFonts w:hint="eastAsia"/>
              </w:rPr>
              <w:t>藏品库房及重点区域管理</w:t>
            </w:r>
          </w:p>
        </w:tc>
        <w:tc>
          <w:tcPr>
            <w:tcW w:w="5968" w:type="dxa"/>
          </w:tcPr>
          <w:p w14:paraId="066D141A">
            <w:pPr>
              <w:tabs>
                <w:tab w:val="left" w:pos="1149"/>
              </w:tabs>
              <w:spacing w:line="360" w:lineRule="auto"/>
              <w:rPr>
                <w:rFonts w:ascii="宋体" w:hAnsi="宋体"/>
              </w:rPr>
            </w:pPr>
            <w:r>
              <w:rPr>
                <w:rFonts w:hint="eastAsia" w:ascii="宋体" w:hAnsi="宋体"/>
              </w:rPr>
              <w:t>（一）制定藏品库房及重点区域相关管理制度</w:t>
            </w:r>
          </w:p>
          <w:p w14:paraId="217F6786">
            <w:pPr>
              <w:tabs>
                <w:tab w:val="left" w:pos="1149"/>
              </w:tabs>
              <w:spacing w:line="360" w:lineRule="auto"/>
              <w:rPr>
                <w:rFonts w:ascii="宋体" w:hAnsi="宋体"/>
              </w:rPr>
            </w:pPr>
            <w:r>
              <w:rPr>
                <w:rFonts w:hint="eastAsia" w:ascii="宋体" w:hAnsi="宋体"/>
              </w:rPr>
              <w:t>1、保持藏品库房及重点区域通道的畅通。</w:t>
            </w:r>
          </w:p>
          <w:p w14:paraId="6DFBD7F1">
            <w:pPr>
              <w:tabs>
                <w:tab w:val="left" w:pos="1149"/>
              </w:tabs>
              <w:spacing w:line="360" w:lineRule="auto"/>
              <w:rPr>
                <w:rFonts w:ascii="宋体" w:hAnsi="宋体"/>
              </w:rPr>
            </w:pPr>
            <w:r>
              <w:rPr>
                <w:rFonts w:hint="eastAsia" w:ascii="宋体" w:hAnsi="宋体"/>
              </w:rPr>
              <w:t>2、易燃易爆物严格按标准存放管理。</w:t>
            </w:r>
          </w:p>
          <w:p w14:paraId="5D9B22F0">
            <w:pPr>
              <w:tabs>
                <w:tab w:val="left" w:pos="1149"/>
              </w:tabs>
              <w:spacing w:line="360" w:lineRule="auto"/>
              <w:rPr>
                <w:rFonts w:ascii="宋体" w:hAnsi="宋体"/>
              </w:rPr>
            </w:pPr>
            <w:r>
              <w:rPr>
                <w:rFonts w:hint="eastAsia" w:ascii="宋体" w:hAnsi="宋体"/>
              </w:rPr>
              <w:t>3、藏品库房区及重点区域在监控系统可控范围内。</w:t>
            </w:r>
          </w:p>
          <w:p w14:paraId="605698FD">
            <w:pPr>
              <w:tabs>
                <w:tab w:val="left" w:pos="1149"/>
              </w:tabs>
              <w:spacing w:line="360" w:lineRule="auto"/>
              <w:rPr>
                <w:rFonts w:ascii="宋体" w:hAnsi="宋体"/>
              </w:rPr>
            </w:pPr>
            <w:r>
              <w:rPr>
                <w:rFonts w:hint="eastAsia" w:ascii="宋体" w:hAnsi="宋体"/>
              </w:rPr>
              <w:t>4、制定防火、防盗等相关应急预案。</w:t>
            </w:r>
          </w:p>
          <w:p w14:paraId="633B708D">
            <w:pPr>
              <w:tabs>
                <w:tab w:val="left" w:pos="1149"/>
              </w:tabs>
              <w:spacing w:line="360" w:lineRule="auto"/>
              <w:rPr>
                <w:rFonts w:ascii="宋体" w:hAnsi="宋体"/>
              </w:rPr>
            </w:pPr>
            <w:r>
              <w:rPr>
                <w:rFonts w:hint="eastAsia" w:ascii="宋体" w:hAnsi="宋体"/>
              </w:rPr>
              <w:t>5、做好库房文物和展品布展、撤展搬运路线中安全监管。</w:t>
            </w:r>
          </w:p>
          <w:p w14:paraId="5B8DFE03">
            <w:pPr>
              <w:tabs>
                <w:tab w:val="left" w:pos="1149"/>
              </w:tabs>
              <w:spacing w:line="360" w:lineRule="auto"/>
              <w:rPr>
                <w:rFonts w:ascii="宋体" w:hAnsi="宋体"/>
              </w:rPr>
            </w:pPr>
            <w:r>
              <w:rPr>
                <w:rFonts w:hint="eastAsia" w:ascii="宋体" w:hAnsi="宋体"/>
              </w:rPr>
              <w:t>6、严格按照重点区域专人管理规定。</w:t>
            </w:r>
          </w:p>
          <w:p w14:paraId="18F1A7D6">
            <w:pPr>
              <w:tabs>
                <w:tab w:val="left" w:pos="1149"/>
              </w:tabs>
              <w:spacing w:line="360" w:lineRule="auto"/>
              <w:rPr>
                <w:rFonts w:ascii="宋体" w:hAnsi="宋体"/>
              </w:rPr>
            </w:pPr>
            <w:r>
              <w:rPr>
                <w:rFonts w:hint="eastAsia" w:ascii="宋体" w:hAnsi="宋体"/>
              </w:rPr>
              <w:t>7、遵守保密制度，严守工作内容。</w:t>
            </w:r>
          </w:p>
          <w:p w14:paraId="64D24CCD">
            <w:pPr>
              <w:tabs>
                <w:tab w:val="left" w:pos="1149"/>
              </w:tabs>
              <w:spacing w:line="360" w:lineRule="auto"/>
              <w:rPr>
                <w:rFonts w:ascii="宋体" w:hAnsi="宋体"/>
              </w:rPr>
            </w:pPr>
            <w:r>
              <w:rPr>
                <w:rFonts w:hint="eastAsia" w:ascii="宋体" w:hAnsi="宋体"/>
              </w:rPr>
              <w:t>8、掌握库区及重点区域防火、初起灭火、应急逃生能力。</w:t>
            </w:r>
          </w:p>
        </w:tc>
      </w:tr>
      <w:tr w14:paraId="4610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28B36F28">
            <w:pPr>
              <w:jc w:val="center"/>
            </w:pPr>
            <w:r>
              <w:rPr>
                <w:rFonts w:hint="eastAsia"/>
              </w:rPr>
              <w:t>8</w:t>
            </w:r>
          </w:p>
        </w:tc>
        <w:tc>
          <w:tcPr>
            <w:tcW w:w="1937" w:type="dxa"/>
            <w:gridSpan w:val="2"/>
            <w:vAlign w:val="center"/>
          </w:tcPr>
          <w:p w14:paraId="63722A97">
            <w:pPr>
              <w:spacing w:line="360" w:lineRule="exact"/>
              <w:ind w:left="315" w:hanging="315" w:hangingChars="150"/>
              <w:jc w:val="center"/>
            </w:pPr>
            <w:r>
              <w:rPr>
                <w:rFonts w:hint="eastAsia"/>
              </w:rPr>
              <w:t>危险物品管理</w:t>
            </w:r>
          </w:p>
        </w:tc>
        <w:tc>
          <w:tcPr>
            <w:tcW w:w="5968" w:type="dxa"/>
          </w:tcPr>
          <w:p w14:paraId="3575D102">
            <w:pPr>
              <w:pStyle w:val="3"/>
              <w:spacing w:line="360" w:lineRule="auto"/>
              <w:rPr>
                <w:rFonts w:hAnsi="宋体"/>
                <w:szCs w:val="21"/>
              </w:rPr>
            </w:pPr>
            <w:r>
              <w:rPr>
                <w:rFonts w:hint="eastAsia" w:hAnsi="宋体"/>
                <w:szCs w:val="21"/>
              </w:rPr>
              <w:t>全馆区域内可能涉及使用的易燃、易爆等化学危险品（如柴油、汽油、油漆等）进行安全管理。</w:t>
            </w:r>
          </w:p>
        </w:tc>
      </w:tr>
      <w:tr w14:paraId="2AF0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6AA8343C">
            <w:pPr>
              <w:jc w:val="center"/>
            </w:pPr>
            <w:r>
              <w:rPr>
                <w:rFonts w:hint="eastAsia"/>
              </w:rPr>
              <w:t>9</w:t>
            </w:r>
          </w:p>
        </w:tc>
        <w:tc>
          <w:tcPr>
            <w:tcW w:w="1937" w:type="dxa"/>
            <w:gridSpan w:val="2"/>
            <w:vAlign w:val="center"/>
          </w:tcPr>
          <w:p w14:paraId="5461B63B">
            <w:pPr>
              <w:spacing w:line="360" w:lineRule="exact"/>
              <w:ind w:left="315" w:hanging="315" w:hangingChars="150"/>
              <w:jc w:val="center"/>
            </w:pPr>
            <w:r>
              <w:rPr>
                <w:rFonts w:hint="eastAsia"/>
              </w:rPr>
              <w:t>防台防汛</w:t>
            </w:r>
          </w:p>
        </w:tc>
        <w:tc>
          <w:tcPr>
            <w:tcW w:w="5968" w:type="dxa"/>
          </w:tcPr>
          <w:p w14:paraId="5521F91D">
            <w:pPr>
              <w:tabs>
                <w:tab w:val="left" w:pos="1149"/>
              </w:tabs>
              <w:spacing w:line="360" w:lineRule="auto"/>
              <w:rPr>
                <w:rFonts w:ascii="宋体" w:hAnsi="宋体"/>
              </w:rPr>
            </w:pPr>
            <w:r>
              <w:rPr>
                <w:rFonts w:hint="eastAsia" w:ascii="宋体" w:hAnsi="宋体"/>
              </w:rPr>
              <w:t>做好预案管理和演练，应急物资的日常检查，按要求将应急物资存放到位，确保应急物资在第一时间的使用和使用的可靠性，确保应急人员响应的整体性、有效性，确保防汛防台过程中人员安全，做好防汛防台人员数清点，财产损失初步统计。</w:t>
            </w:r>
          </w:p>
        </w:tc>
      </w:tr>
      <w:tr w14:paraId="3E46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66987634">
            <w:pPr>
              <w:rPr>
                <w:b/>
              </w:rPr>
            </w:pPr>
            <w:r>
              <w:rPr>
                <w:rFonts w:hint="eastAsia"/>
                <w:b/>
              </w:rPr>
              <w:t>四</w:t>
            </w:r>
          </w:p>
        </w:tc>
        <w:tc>
          <w:tcPr>
            <w:tcW w:w="7905" w:type="dxa"/>
            <w:gridSpan w:val="3"/>
            <w:vAlign w:val="center"/>
          </w:tcPr>
          <w:p w14:paraId="319B51F4">
            <w:pPr>
              <w:spacing w:line="360" w:lineRule="exact"/>
              <w:rPr>
                <w:b/>
              </w:rPr>
            </w:pPr>
            <w:r>
              <w:rPr>
                <w:rFonts w:hint="eastAsia"/>
                <w:b/>
              </w:rPr>
              <w:t>专项服务（包括不限于）</w:t>
            </w:r>
          </w:p>
        </w:tc>
      </w:tr>
      <w:tr w14:paraId="7832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6B7BBF58">
            <w:r>
              <w:rPr>
                <w:rFonts w:hint="eastAsia"/>
              </w:rPr>
              <w:t>（一）</w:t>
            </w:r>
          </w:p>
        </w:tc>
        <w:tc>
          <w:tcPr>
            <w:tcW w:w="7905" w:type="dxa"/>
            <w:gridSpan w:val="3"/>
            <w:vAlign w:val="center"/>
          </w:tcPr>
          <w:p w14:paraId="2E10BA59">
            <w:pPr>
              <w:spacing w:line="360" w:lineRule="exact"/>
            </w:pPr>
            <w:r>
              <w:rPr>
                <w:rFonts w:hint="eastAsia"/>
              </w:rPr>
              <w:t>后勤保障服务</w:t>
            </w:r>
          </w:p>
        </w:tc>
      </w:tr>
      <w:tr w14:paraId="12A9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7625763B">
            <w:r>
              <w:rPr>
                <w:rFonts w:hint="eastAsia"/>
              </w:rPr>
              <w:t>1</w:t>
            </w:r>
          </w:p>
        </w:tc>
        <w:tc>
          <w:tcPr>
            <w:tcW w:w="1937" w:type="dxa"/>
            <w:gridSpan w:val="2"/>
            <w:vAlign w:val="center"/>
          </w:tcPr>
          <w:p w14:paraId="016A97B1">
            <w:pPr>
              <w:spacing w:line="360" w:lineRule="exact"/>
            </w:pPr>
            <w:r>
              <w:rPr>
                <w:rFonts w:hint="eastAsia"/>
              </w:rPr>
              <w:t>各类配套服务（如教育活动、上级部门的安排活动等）</w:t>
            </w:r>
          </w:p>
        </w:tc>
        <w:tc>
          <w:tcPr>
            <w:tcW w:w="5968" w:type="dxa"/>
            <w:vAlign w:val="center"/>
          </w:tcPr>
          <w:p w14:paraId="27A95E1F">
            <w:pPr>
              <w:spacing w:line="360" w:lineRule="exact"/>
            </w:pPr>
            <w:r>
              <w:rPr>
                <w:rFonts w:hint="eastAsia"/>
              </w:rPr>
              <w:t>每次活动信息接收、活动资源准备、活动服务、贵宾讲解服务、签字服务、司梯服务、引位服务。重要接待前，应对各物业服区内的设备进行检查，确保运行；提供会议接待区的配套服务。</w:t>
            </w:r>
          </w:p>
          <w:p w14:paraId="29B79F8E">
            <w:pPr>
              <w:spacing w:line="360" w:lineRule="exact"/>
            </w:pPr>
            <w:r>
              <w:rPr>
                <w:rFonts w:hint="eastAsia"/>
              </w:rPr>
              <w:t>包括：礼仪服务、桌椅布置、席卡、物品寄放、环境保洁等。藏品（含图书、一般货物）的打包、装箱、搬运，征集品搬运工作，协助船模搬运。书画装框配合。</w:t>
            </w:r>
          </w:p>
          <w:p w14:paraId="4B16E8E7">
            <w:pPr>
              <w:spacing w:line="360" w:lineRule="exact"/>
            </w:pPr>
            <w:r>
              <w:rPr>
                <w:rFonts w:hint="eastAsia"/>
              </w:rPr>
              <w:t>电话总机服务（8:00~16:30）报刊、杂志、信件、包裹等收发、派送服务。办理快递业务；电话转接、语音热线、人工咨询服务；对来电、访客、信件、报纸、杂志、快件详细登记，接、发送规范登记；其他有关服务。</w:t>
            </w:r>
          </w:p>
        </w:tc>
      </w:tr>
      <w:tr w14:paraId="36CB9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53D67509">
            <w:r>
              <w:rPr>
                <w:rFonts w:hint="eastAsia"/>
              </w:rPr>
              <w:t>2</w:t>
            </w:r>
          </w:p>
        </w:tc>
        <w:tc>
          <w:tcPr>
            <w:tcW w:w="1937" w:type="dxa"/>
            <w:gridSpan w:val="2"/>
            <w:vAlign w:val="center"/>
          </w:tcPr>
          <w:p w14:paraId="01F3FEA2">
            <w:pPr>
              <w:spacing w:line="360" w:lineRule="exact"/>
            </w:pPr>
            <w:r>
              <w:rPr>
                <w:rFonts w:hint="eastAsia"/>
              </w:rPr>
              <w:t>临展区域、大型活动、场地租赁服务</w:t>
            </w:r>
          </w:p>
        </w:tc>
        <w:tc>
          <w:tcPr>
            <w:tcW w:w="5968" w:type="dxa"/>
            <w:vAlign w:val="center"/>
          </w:tcPr>
          <w:p w14:paraId="5CDAB3FF">
            <w:r>
              <w:rPr>
                <w:rFonts w:hint="eastAsia"/>
              </w:rPr>
              <w:t>a.负责制定临展区域、大型活动、场地租赁服务人员配置方案；临展服务人员培训；配合招标人临展布置及策划；临展活动现场管理，秩序维持，安全保卫，观众接待、贵宾接待、参观人数统计；临展期间媒体接待服务，包括媒体参观、媒体访问、媒体拍摄、媒体会议、新闻发布会等会务服务及特殊会议接待服务；及时提供临展期间安全、清洁、设备等保障工作，服从招标人安排、指导和管理，做到全方位服务保障。</w:t>
            </w:r>
          </w:p>
        </w:tc>
      </w:tr>
      <w:tr w14:paraId="2DA0F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55883AA6">
            <w:r>
              <w:rPr>
                <w:rFonts w:hint="eastAsia"/>
              </w:rPr>
              <w:t>3</w:t>
            </w:r>
          </w:p>
        </w:tc>
        <w:tc>
          <w:tcPr>
            <w:tcW w:w="1937" w:type="dxa"/>
            <w:gridSpan w:val="2"/>
            <w:vAlign w:val="center"/>
          </w:tcPr>
          <w:p w14:paraId="0A57F2CF">
            <w:pPr>
              <w:spacing w:line="360" w:lineRule="exact"/>
            </w:pPr>
            <w:r>
              <w:rPr>
                <w:rFonts w:hint="eastAsia"/>
              </w:rPr>
              <w:t>饮用水服务（水房）</w:t>
            </w:r>
          </w:p>
        </w:tc>
        <w:tc>
          <w:tcPr>
            <w:tcW w:w="5968" w:type="dxa"/>
            <w:vAlign w:val="center"/>
          </w:tcPr>
          <w:p w14:paraId="79738B37">
            <w:r>
              <w:rPr>
                <w:rFonts w:hint="eastAsia"/>
              </w:rPr>
              <w:t>每日定时提供饮用水服务，确保足够水量。做好水房桶装水清洗、消毒、灌装工作。做好水房热水供应保障、及时提供热水供应定期对室外、室内饮用水设备进行清洗、消毒，确保博物馆方健康饮水做好室内饮水设备的维护保养工作、定期、定时检查设备，保养设备、更换耗材等。制定水房管理制度，做好供水登记、</w:t>
            </w:r>
          </w:p>
        </w:tc>
      </w:tr>
      <w:tr w14:paraId="7D17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3D80C979">
            <w:r>
              <w:rPr>
                <w:rFonts w:hint="eastAsia"/>
              </w:rPr>
              <w:t>（二）</w:t>
            </w:r>
          </w:p>
        </w:tc>
        <w:tc>
          <w:tcPr>
            <w:tcW w:w="7905" w:type="dxa"/>
            <w:gridSpan w:val="3"/>
            <w:vAlign w:val="center"/>
          </w:tcPr>
          <w:p w14:paraId="6A9316CC">
            <w:pPr>
              <w:spacing w:line="360" w:lineRule="exact"/>
            </w:pPr>
            <w:r>
              <w:rPr>
                <w:rFonts w:hint="eastAsia"/>
                <w:b/>
              </w:rPr>
              <w:t>服务中心工作内容</w:t>
            </w:r>
            <w:r>
              <w:rPr>
                <w:rFonts w:hint="eastAsia"/>
              </w:rPr>
              <w:t>：</w:t>
            </w:r>
          </w:p>
        </w:tc>
      </w:tr>
      <w:tr w14:paraId="76B8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6A38918A">
            <w:r>
              <w:rPr>
                <w:rFonts w:hint="eastAsia"/>
              </w:rPr>
              <w:t>1</w:t>
            </w:r>
          </w:p>
        </w:tc>
        <w:tc>
          <w:tcPr>
            <w:tcW w:w="1937" w:type="dxa"/>
            <w:gridSpan w:val="2"/>
            <w:vAlign w:val="center"/>
          </w:tcPr>
          <w:p w14:paraId="0CE116CF">
            <w:pPr>
              <w:spacing w:line="360" w:lineRule="exact"/>
            </w:pPr>
            <w:r>
              <w:rPr>
                <w:rFonts w:hint="eastAsia"/>
              </w:rPr>
              <w:t>导览服务</w:t>
            </w:r>
          </w:p>
        </w:tc>
        <w:tc>
          <w:tcPr>
            <w:tcW w:w="5968" w:type="dxa"/>
            <w:vAlign w:val="center"/>
          </w:tcPr>
          <w:p w14:paraId="6BA242DB">
            <w:pPr>
              <w:spacing w:line="360" w:lineRule="exact"/>
            </w:pPr>
            <w:r>
              <w:rPr>
                <w:rFonts w:hint="eastAsia"/>
              </w:rPr>
              <w:t>主要负责对观众进行人工导览服务，做好管辖区域内的其他相关服务保障、客流疏导等工作</w:t>
            </w:r>
          </w:p>
        </w:tc>
      </w:tr>
      <w:tr w14:paraId="3148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6CE05B22">
            <w:r>
              <w:rPr>
                <w:rFonts w:hint="eastAsia"/>
              </w:rPr>
              <w:t>2</w:t>
            </w:r>
          </w:p>
        </w:tc>
        <w:tc>
          <w:tcPr>
            <w:tcW w:w="1937" w:type="dxa"/>
            <w:gridSpan w:val="2"/>
            <w:vAlign w:val="center"/>
          </w:tcPr>
          <w:p w14:paraId="12763177">
            <w:pPr>
              <w:spacing w:line="360" w:lineRule="exact"/>
            </w:pPr>
            <w:r>
              <w:rPr>
                <w:rFonts w:hint="eastAsia"/>
              </w:rPr>
              <w:t>前厅咨询</w:t>
            </w:r>
          </w:p>
        </w:tc>
        <w:tc>
          <w:tcPr>
            <w:tcW w:w="5968" w:type="dxa"/>
            <w:vAlign w:val="center"/>
          </w:tcPr>
          <w:p w14:paraId="0FD6D2E5">
            <w:r>
              <w:rPr>
                <w:rFonts w:hint="eastAsia"/>
              </w:rPr>
              <w:t>根据馆内相关部门提供的具体内容，了解并熟练掌握馆内展览信息、服务信息、开放信息等相关内容，做好现场咨询服务工作；负责提供有关参观内容的电话咨询服务；负责提供馆内信息和各类便民服务的广播服务；负责落实收集、传递和摆放各类宣传资料服务，并做好宣传资料发放台账</w:t>
            </w:r>
          </w:p>
        </w:tc>
      </w:tr>
      <w:tr w14:paraId="7891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3F065A50">
            <w:r>
              <w:rPr>
                <w:rFonts w:hint="eastAsia"/>
              </w:rPr>
              <w:t>3</w:t>
            </w:r>
          </w:p>
        </w:tc>
        <w:tc>
          <w:tcPr>
            <w:tcW w:w="1937" w:type="dxa"/>
            <w:gridSpan w:val="2"/>
            <w:vAlign w:val="center"/>
          </w:tcPr>
          <w:p w14:paraId="1C460165">
            <w:pPr>
              <w:spacing w:line="360" w:lineRule="exact"/>
            </w:pPr>
            <w:r>
              <w:rPr>
                <w:rFonts w:hint="eastAsia"/>
              </w:rPr>
              <w:t>寄存</w:t>
            </w:r>
          </w:p>
        </w:tc>
        <w:tc>
          <w:tcPr>
            <w:tcW w:w="5968" w:type="dxa"/>
            <w:vAlign w:val="center"/>
          </w:tcPr>
          <w:p w14:paraId="3475200F">
            <w:pPr>
              <w:spacing w:line="360" w:lineRule="exact"/>
            </w:pPr>
            <w:r>
              <w:rPr>
                <w:rFonts w:hint="eastAsia"/>
              </w:rPr>
              <w:t>负责寄存领取服务、遗失物管理、租借服务、自助寄存柜等便民服务；负责对每天租赁物品日常清洁、消毒、修补、包装等工作，保证各项租赁物品完好无损。负责检查各项器材完好无损，确保其能正常使用等。</w:t>
            </w:r>
          </w:p>
        </w:tc>
      </w:tr>
      <w:tr w14:paraId="0FC4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3884B32F">
            <w:r>
              <w:rPr>
                <w:rFonts w:hint="eastAsia"/>
              </w:rPr>
              <w:t>4</w:t>
            </w:r>
          </w:p>
        </w:tc>
        <w:tc>
          <w:tcPr>
            <w:tcW w:w="1937" w:type="dxa"/>
            <w:gridSpan w:val="2"/>
            <w:vAlign w:val="center"/>
          </w:tcPr>
          <w:p w14:paraId="01DC054F">
            <w:pPr>
              <w:spacing w:line="360" w:lineRule="exact"/>
            </w:pPr>
            <w:r>
              <w:rPr>
                <w:rFonts w:hint="eastAsia"/>
              </w:rPr>
              <w:t>售票</w:t>
            </w:r>
          </w:p>
        </w:tc>
        <w:tc>
          <w:tcPr>
            <w:tcW w:w="5968" w:type="dxa"/>
            <w:vAlign w:val="center"/>
          </w:tcPr>
          <w:p w14:paraId="025894A5">
            <w:r>
              <w:rPr>
                <w:rFonts w:hint="eastAsia"/>
              </w:rPr>
              <w:t>负责影院放映相关信息的及时对外公示；负责对出票机等设备设施进行例行日常维护，保证机器正常使用；负责门票、电影票等其他票务服务工作；负责各类门票的数据统计工作；负责对特定信息内容的提示和解释工作；负责其他收费服务项目内容提示和使用说明；负责其他与票务有关的服务工作。</w:t>
            </w:r>
          </w:p>
        </w:tc>
      </w:tr>
      <w:tr w14:paraId="6CA4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416A0F20">
            <w:r>
              <w:rPr>
                <w:rFonts w:hint="eastAsia"/>
              </w:rPr>
              <w:t>5</w:t>
            </w:r>
          </w:p>
        </w:tc>
        <w:tc>
          <w:tcPr>
            <w:tcW w:w="1937" w:type="dxa"/>
            <w:gridSpan w:val="2"/>
            <w:vAlign w:val="center"/>
          </w:tcPr>
          <w:p w14:paraId="19D54186">
            <w:pPr>
              <w:spacing w:line="360" w:lineRule="exact"/>
            </w:pPr>
            <w:r>
              <w:rPr>
                <w:rFonts w:hint="eastAsia"/>
              </w:rPr>
              <w:t>检票服务</w:t>
            </w:r>
          </w:p>
        </w:tc>
        <w:tc>
          <w:tcPr>
            <w:tcW w:w="5968" w:type="dxa"/>
            <w:vAlign w:val="center"/>
          </w:tcPr>
          <w:p w14:paraId="0F9E72E0">
            <w:pPr>
              <w:spacing w:line="360" w:lineRule="exact"/>
            </w:pPr>
            <w:r>
              <w:rPr>
                <w:rFonts w:hint="eastAsia"/>
              </w:rPr>
              <w:t>负责常设展区散客人工、电子检票服务以及团队检票服务；负责提供观众基本参观指引；负责检票数据和观众流量统计；协助保洁员做好检票入口环境工作；负责对扫描仪、闸机、PDA等设备日常维护，保证机器能正常使用；负责其他与检票服务有关的服务工作。</w:t>
            </w:r>
          </w:p>
        </w:tc>
      </w:tr>
      <w:tr w14:paraId="7A8B0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7B647020">
            <w:r>
              <w:rPr>
                <w:rFonts w:hint="eastAsia"/>
              </w:rPr>
              <w:t>（三）</w:t>
            </w:r>
          </w:p>
        </w:tc>
        <w:tc>
          <w:tcPr>
            <w:tcW w:w="7905" w:type="dxa"/>
            <w:gridSpan w:val="3"/>
            <w:vAlign w:val="center"/>
          </w:tcPr>
          <w:p w14:paraId="478B754B">
            <w:pPr>
              <w:spacing w:line="360" w:lineRule="exact"/>
              <w:rPr>
                <w:b/>
              </w:rPr>
            </w:pPr>
            <w:r>
              <w:rPr>
                <w:rFonts w:hint="eastAsia"/>
                <w:b/>
              </w:rPr>
              <w:t>影视中心工作内容：</w:t>
            </w:r>
          </w:p>
        </w:tc>
      </w:tr>
      <w:tr w14:paraId="3116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46" w:type="dxa"/>
            <w:vAlign w:val="center"/>
          </w:tcPr>
          <w:p w14:paraId="57EB63D7">
            <w:pPr>
              <w:jc w:val="center"/>
            </w:pPr>
            <w:r>
              <w:rPr>
                <w:rFonts w:hint="eastAsia"/>
              </w:rPr>
              <w:t>1</w:t>
            </w:r>
          </w:p>
        </w:tc>
        <w:tc>
          <w:tcPr>
            <w:tcW w:w="1937" w:type="dxa"/>
            <w:gridSpan w:val="2"/>
            <w:vAlign w:val="center"/>
          </w:tcPr>
          <w:p w14:paraId="64C22957">
            <w:pPr>
              <w:spacing w:line="360" w:lineRule="exact"/>
              <w:jc w:val="center"/>
            </w:pPr>
            <w:r>
              <w:rPr>
                <w:rFonts w:hint="eastAsia"/>
              </w:rPr>
              <w:t>4D影院及天象馆服务</w:t>
            </w:r>
          </w:p>
        </w:tc>
        <w:tc>
          <w:tcPr>
            <w:tcW w:w="5968" w:type="dxa"/>
            <w:vAlign w:val="center"/>
          </w:tcPr>
          <w:p w14:paraId="1F433A29">
            <w:r>
              <w:rPr>
                <w:rFonts w:hint="eastAsia"/>
              </w:rPr>
              <w:t>1 影院检票服务。</w:t>
            </w:r>
          </w:p>
          <w:p w14:paraId="43363852">
            <w:r>
              <w:rPr>
                <w:rFonts w:hint="eastAsia"/>
              </w:rPr>
              <w:t>2观影物品发放及回收。</w:t>
            </w:r>
          </w:p>
          <w:p w14:paraId="5698ACCC">
            <w:r>
              <w:rPr>
                <w:rFonts w:hint="eastAsia"/>
              </w:rPr>
              <w:t>3影院引位服务。</w:t>
            </w:r>
          </w:p>
          <w:p w14:paraId="6396A47B">
            <w:r>
              <w:rPr>
                <w:rFonts w:hint="eastAsia"/>
              </w:rPr>
              <w:t>4影院讲解服务。</w:t>
            </w:r>
          </w:p>
          <w:p w14:paraId="5F0093A4">
            <w:r>
              <w:rPr>
                <w:rFonts w:hint="eastAsia"/>
              </w:rPr>
              <w:t>5影院场次间的清洁服务及每周例行的保洁服务。</w:t>
            </w:r>
          </w:p>
          <w:p w14:paraId="50E430C5">
            <w:r>
              <w:rPr>
                <w:rFonts w:hint="eastAsia"/>
              </w:rPr>
              <w:t>6影院相关数据统计及日报制作。</w:t>
            </w:r>
          </w:p>
          <w:p w14:paraId="25A18FE3">
            <w:r>
              <w:rPr>
                <w:rFonts w:hint="eastAsia"/>
              </w:rPr>
              <w:t>7观影现场的秩序维护。</w:t>
            </w:r>
          </w:p>
          <w:p w14:paraId="65BD12F9">
            <w:r>
              <w:rPr>
                <w:rFonts w:hint="eastAsia"/>
              </w:rPr>
              <w:t>8观影区域的设备保护。</w:t>
            </w:r>
          </w:p>
          <w:p w14:paraId="118FC71B">
            <w:r>
              <w:rPr>
                <w:rFonts w:hint="eastAsia"/>
              </w:rPr>
              <w:t>9面对观众的现场接待。</w:t>
            </w:r>
          </w:p>
          <w:p w14:paraId="3B3A3FD9">
            <w:r>
              <w:rPr>
                <w:rFonts w:hint="eastAsia"/>
              </w:rPr>
              <w:t>10 突发事件的应急处理。</w:t>
            </w:r>
          </w:p>
          <w:p w14:paraId="00856229">
            <w:r>
              <w:rPr>
                <w:rFonts w:hint="eastAsia"/>
              </w:rPr>
              <w:t>11做好服务人员平时的管理及培训工作。</w:t>
            </w:r>
          </w:p>
          <w:p w14:paraId="32B5A1C8">
            <w:r>
              <w:rPr>
                <w:rFonts w:hint="eastAsia"/>
              </w:rPr>
              <w:t>12影院负责人要求的其他工作。</w:t>
            </w:r>
          </w:p>
        </w:tc>
      </w:tr>
      <w:tr w14:paraId="42A8C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46" w:type="dxa"/>
            <w:tcBorders>
              <w:top w:val="single" w:color="auto" w:sz="4" w:space="0"/>
              <w:left w:val="single" w:color="auto" w:sz="4" w:space="0"/>
              <w:bottom w:val="single" w:color="auto" w:sz="4" w:space="0"/>
              <w:right w:val="single" w:color="auto" w:sz="4" w:space="0"/>
            </w:tcBorders>
            <w:vAlign w:val="center"/>
          </w:tcPr>
          <w:p w14:paraId="7DE20452">
            <w:pPr>
              <w:jc w:val="center"/>
            </w:pPr>
            <w:r>
              <w:rPr>
                <w:rFonts w:hint="eastAsia"/>
              </w:rPr>
              <w:t>（四）</w:t>
            </w:r>
          </w:p>
        </w:tc>
        <w:tc>
          <w:tcPr>
            <w:tcW w:w="1937" w:type="dxa"/>
            <w:gridSpan w:val="2"/>
            <w:tcBorders>
              <w:top w:val="single" w:color="auto" w:sz="4" w:space="0"/>
              <w:left w:val="single" w:color="auto" w:sz="4" w:space="0"/>
              <w:bottom w:val="single" w:color="auto" w:sz="4" w:space="0"/>
              <w:right w:val="single" w:color="auto" w:sz="4" w:space="0"/>
            </w:tcBorders>
            <w:vAlign w:val="center"/>
          </w:tcPr>
          <w:p w14:paraId="15C75B55">
            <w:pPr>
              <w:spacing w:line="360" w:lineRule="exact"/>
              <w:jc w:val="center"/>
            </w:pPr>
            <w:r>
              <w:rPr>
                <w:rFonts w:hint="eastAsia"/>
              </w:rPr>
              <w:t>展项服务内容</w:t>
            </w:r>
          </w:p>
        </w:tc>
        <w:tc>
          <w:tcPr>
            <w:tcW w:w="5968" w:type="dxa"/>
            <w:tcBorders>
              <w:top w:val="single" w:color="auto" w:sz="4" w:space="0"/>
              <w:left w:val="single" w:color="auto" w:sz="4" w:space="0"/>
              <w:bottom w:val="single" w:color="auto" w:sz="4" w:space="0"/>
              <w:right w:val="single" w:color="auto" w:sz="4" w:space="0"/>
            </w:tcBorders>
            <w:vAlign w:val="center"/>
          </w:tcPr>
          <w:p w14:paraId="0E488A8D"/>
        </w:tc>
      </w:tr>
      <w:tr w14:paraId="67D8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846" w:type="dxa"/>
            <w:tcBorders>
              <w:top w:val="single" w:color="auto" w:sz="4" w:space="0"/>
              <w:left w:val="single" w:color="auto" w:sz="4" w:space="0"/>
              <w:bottom w:val="single" w:color="auto" w:sz="4" w:space="0"/>
              <w:right w:val="single" w:color="auto" w:sz="4" w:space="0"/>
            </w:tcBorders>
            <w:vAlign w:val="center"/>
          </w:tcPr>
          <w:p w14:paraId="61BAD026">
            <w:pPr>
              <w:jc w:val="center"/>
            </w:pPr>
            <w:r>
              <w:rPr>
                <w:rFonts w:hint="eastAsia"/>
              </w:rPr>
              <w:t>1</w:t>
            </w:r>
          </w:p>
        </w:tc>
        <w:tc>
          <w:tcPr>
            <w:tcW w:w="1937" w:type="dxa"/>
            <w:gridSpan w:val="2"/>
            <w:tcBorders>
              <w:top w:val="single" w:color="auto" w:sz="4" w:space="0"/>
              <w:left w:val="single" w:color="auto" w:sz="4" w:space="0"/>
              <w:bottom w:val="single" w:color="auto" w:sz="4" w:space="0"/>
              <w:right w:val="single" w:color="auto" w:sz="4" w:space="0"/>
            </w:tcBorders>
            <w:vAlign w:val="center"/>
          </w:tcPr>
          <w:p w14:paraId="2C710CF0">
            <w:pPr>
              <w:spacing w:line="360" w:lineRule="exact"/>
              <w:jc w:val="center"/>
            </w:pPr>
            <w:r>
              <w:rPr>
                <w:rFonts w:hint="eastAsia"/>
              </w:rPr>
              <w:t>科普教员</w:t>
            </w:r>
          </w:p>
        </w:tc>
        <w:tc>
          <w:tcPr>
            <w:tcW w:w="5968" w:type="dxa"/>
            <w:tcBorders>
              <w:top w:val="single" w:color="auto" w:sz="4" w:space="0"/>
              <w:left w:val="single" w:color="auto" w:sz="4" w:space="0"/>
              <w:bottom w:val="single" w:color="auto" w:sz="4" w:space="0"/>
              <w:right w:val="single" w:color="auto" w:sz="4" w:space="0"/>
            </w:tcBorders>
            <w:vAlign w:val="center"/>
          </w:tcPr>
          <w:p w14:paraId="38CBC59E">
            <w:pPr>
              <w:widowControl w:val="0"/>
              <w:numPr>
                <w:ilvl w:val="0"/>
                <w:numId w:val="8"/>
              </w:numPr>
            </w:pPr>
            <w:r>
              <w:rPr>
                <w:rFonts w:hint="eastAsia"/>
              </w:rPr>
              <w:t>引导观众安全有序参观，热情、耐心、细致地回答观众的问题，及时发现并阻止不文明行为、破坏性操作或恶意操作，及时排除安全隐患；</w:t>
            </w:r>
          </w:p>
          <w:p w14:paraId="504F67E8">
            <w:pPr>
              <w:widowControl w:val="0"/>
              <w:numPr>
                <w:ilvl w:val="0"/>
                <w:numId w:val="8"/>
              </w:numPr>
            </w:pPr>
            <w:r>
              <w:rPr>
                <w:rFonts w:hint="eastAsia"/>
              </w:rPr>
              <w:t>指导观众正确操作，向观众讲解及操作演示互动展项，讲解展项技术原理；</w:t>
            </w:r>
          </w:p>
          <w:p w14:paraId="6B4123CD">
            <w:pPr>
              <w:widowControl w:val="0"/>
              <w:numPr>
                <w:ilvl w:val="0"/>
                <w:numId w:val="8"/>
              </w:numPr>
            </w:pPr>
            <w:r>
              <w:rPr>
                <w:rFonts w:hint="eastAsia"/>
              </w:rPr>
              <w:t>做好所负责展项、展区的设备检查和巡检工作，发现问题和故障及时按流程报修或报告；</w:t>
            </w:r>
          </w:p>
          <w:p w14:paraId="1E63708D">
            <w:pPr>
              <w:widowControl w:val="0"/>
              <w:numPr>
                <w:ilvl w:val="0"/>
                <w:numId w:val="8"/>
              </w:numPr>
            </w:pPr>
            <w:r>
              <w:rPr>
                <w:rFonts w:hint="eastAsia"/>
              </w:rPr>
              <w:t>做好儿童活动中心、航海梦工坊、航海集装箱教室，以及航海大舞台等教育活动区域管理，包括但不限于活动的签到、秩序的维护、物料的准备、课程的教授、音响及投影等多媒体设施设备的准备，以及事后的空间整理和基本清洁工作。</w:t>
            </w:r>
          </w:p>
          <w:p w14:paraId="54EB9945">
            <w:pPr>
              <w:widowControl w:val="0"/>
              <w:numPr>
                <w:ilvl w:val="0"/>
                <w:numId w:val="8"/>
              </w:numPr>
            </w:pPr>
            <w:r>
              <w:rPr>
                <w:rFonts w:hint="eastAsia"/>
              </w:rPr>
              <w:t>按博物馆要求完成日常团队手工活动材料的申领、准备、现场教授，以及部分情况下的发放；指导教授散客手工活动，以及物料定期盘点等工作；</w:t>
            </w:r>
          </w:p>
          <w:p w14:paraId="471244C9">
            <w:pPr>
              <w:widowControl w:val="0"/>
              <w:numPr>
                <w:ilvl w:val="0"/>
                <w:numId w:val="8"/>
              </w:numPr>
            </w:pPr>
            <w:r>
              <w:rPr>
                <w:rFonts w:hint="eastAsia"/>
              </w:rPr>
              <w:t>按博物馆要求，在开展常规教育活动，以及临时性安排的各类教育活动时，配合做好后台系统信息录入、报名核销、秩序维护、外出支持，以及部分手工课程的教授等；</w:t>
            </w:r>
          </w:p>
          <w:p w14:paraId="52A1A8B1">
            <w:pPr>
              <w:widowControl w:val="0"/>
              <w:numPr>
                <w:ilvl w:val="0"/>
                <w:numId w:val="8"/>
              </w:numPr>
            </w:pPr>
            <w:r>
              <w:rPr>
                <w:rFonts w:hint="eastAsia"/>
              </w:rPr>
              <w:t>建立相关培训机制，至少有6名人员能熟练进行常设手工制作指导，且不随人员流动而影响活动的正常开展；</w:t>
            </w:r>
          </w:p>
          <w:p w14:paraId="3036FC11">
            <w:pPr>
              <w:widowControl w:val="0"/>
              <w:numPr>
                <w:ilvl w:val="0"/>
                <w:numId w:val="8"/>
              </w:numPr>
            </w:pPr>
            <w:r>
              <w:rPr>
                <w:rFonts w:hint="eastAsia"/>
              </w:rPr>
              <w:t>每名展项人员都需要对所负责区域的展品、展项进行不少于10分钟的讲解，每人至少掌握3个区域的讲解内容。</w:t>
            </w:r>
          </w:p>
          <w:p w14:paraId="009F2E6F">
            <w:r>
              <w:rPr>
                <w:rFonts w:hint="eastAsia"/>
              </w:rPr>
              <w:t>9、做好社会教育部交办的其他工作任务。</w:t>
            </w:r>
          </w:p>
        </w:tc>
      </w:tr>
      <w:tr w14:paraId="0427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364D5985">
            <w:r>
              <w:rPr>
                <w:rFonts w:hint="eastAsia"/>
              </w:rPr>
              <w:t>（五）</w:t>
            </w:r>
          </w:p>
        </w:tc>
        <w:tc>
          <w:tcPr>
            <w:tcW w:w="7905" w:type="dxa"/>
            <w:gridSpan w:val="3"/>
            <w:vAlign w:val="center"/>
          </w:tcPr>
          <w:p w14:paraId="134073CF">
            <w:pPr>
              <w:spacing w:line="360" w:lineRule="exact"/>
            </w:pPr>
            <w:r>
              <w:rPr>
                <w:rFonts w:hint="eastAsia"/>
              </w:rPr>
              <w:t>讲解员服务内容</w:t>
            </w:r>
          </w:p>
        </w:tc>
      </w:tr>
      <w:tr w14:paraId="6C81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3652AD66"/>
          <w:p w14:paraId="739F8F48"/>
          <w:p w14:paraId="573F31AC"/>
          <w:p w14:paraId="33DCFC91"/>
          <w:p w14:paraId="5E4BD7FF">
            <w:r>
              <w:rPr>
                <w:rFonts w:hint="eastAsia"/>
              </w:rPr>
              <w:t>1</w:t>
            </w:r>
          </w:p>
          <w:p w14:paraId="1C16714A"/>
          <w:p w14:paraId="0718CF86"/>
          <w:p w14:paraId="73DA9DF9"/>
        </w:tc>
        <w:tc>
          <w:tcPr>
            <w:tcW w:w="1937" w:type="dxa"/>
            <w:gridSpan w:val="2"/>
            <w:vAlign w:val="center"/>
          </w:tcPr>
          <w:p w14:paraId="44D4059B">
            <w:pPr>
              <w:spacing w:line="360" w:lineRule="exact"/>
            </w:pPr>
            <w:r>
              <w:rPr>
                <w:rFonts w:hint="eastAsia"/>
              </w:rPr>
              <w:t>讲解员</w:t>
            </w:r>
          </w:p>
        </w:tc>
        <w:tc>
          <w:tcPr>
            <w:tcW w:w="5968" w:type="dxa"/>
            <w:vAlign w:val="center"/>
          </w:tcPr>
          <w:p w14:paraId="280AFD80">
            <w:pPr>
              <w:numPr>
                <w:ilvl w:val="0"/>
                <w:numId w:val="9"/>
              </w:numPr>
              <w:spacing w:line="360" w:lineRule="exact"/>
            </w:pPr>
            <w:r>
              <w:rPr>
                <w:rFonts w:hint="eastAsia"/>
              </w:rPr>
              <w:t>熟练进行团队、散客观众的中英文全程讲解，区域定时定点讲解，临时展览讲解，情景讲解等；</w:t>
            </w:r>
          </w:p>
          <w:p w14:paraId="47069B9F">
            <w:pPr>
              <w:numPr>
                <w:ilvl w:val="0"/>
                <w:numId w:val="9"/>
              </w:numPr>
              <w:spacing w:line="360" w:lineRule="exact"/>
            </w:pPr>
            <w:r>
              <w:rPr>
                <w:rFonts w:hint="eastAsia"/>
              </w:rPr>
              <w:t>游客服务中心讲解引导咨询，热情、耐心回答观众服务的相关咨询，进行讲解设备的发放、回收，做好讲解公示栏的日常管理，及其他与教育活动有关的服务；</w:t>
            </w:r>
          </w:p>
          <w:p w14:paraId="4FCC33C0">
            <w:pPr>
              <w:numPr>
                <w:ilvl w:val="0"/>
                <w:numId w:val="9"/>
              </w:numPr>
              <w:spacing w:line="360" w:lineRule="exact"/>
            </w:pPr>
            <w:r>
              <w:rPr>
                <w:rFonts w:hint="eastAsia"/>
              </w:rPr>
              <w:t>精心准备并参加各类讲解比赛，包括稿件撰写、PPT制作等全部工作；</w:t>
            </w:r>
          </w:p>
          <w:p w14:paraId="523B08B1">
            <w:pPr>
              <w:numPr>
                <w:ilvl w:val="0"/>
                <w:numId w:val="9"/>
              </w:numPr>
              <w:spacing w:line="360" w:lineRule="exact"/>
            </w:pPr>
            <w:r>
              <w:rPr>
                <w:rFonts w:hint="eastAsia"/>
              </w:rPr>
              <w:t>全面参与社会教育工作，包括临展、常设展、巡展讲解词编写、更新，各类教育活动策划、实施，课程编写、科普授课、学生指导，讲解直播、讲解视频拍摄，博物馆组织的学习交流活动，观众意见征询和收集，以及其他社会教育部交办的其它工作；</w:t>
            </w:r>
          </w:p>
          <w:p w14:paraId="1EC14E82">
            <w:pPr>
              <w:widowControl w:val="0"/>
              <w:numPr>
                <w:ilvl w:val="0"/>
                <w:numId w:val="10"/>
              </w:numPr>
              <w:spacing w:line="360" w:lineRule="exact"/>
            </w:pPr>
            <w:r>
              <w:rPr>
                <w:rFonts w:hint="eastAsia"/>
              </w:rPr>
              <w:t>5、讲解星级和讲解员技能每年不断有提升，能满足博物馆讲解接待服务需求。</w:t>
            </w:r>
          </w:p>
        </w:tc>
      </w:tr>
      <w:tr w14:paraId="2B213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5DAA5F89">
            <w:pPr>
              <w:rPr>
                <w:b/>
              </w:rPr>
            </w:pPr>
            <w:r>
              <w:rPr>
                <w:rFonts w:hint="eastAsia"/>
                <w:b/>
              </w:rPr>
              <w:t>六</w:t>
            </w:r>
          </w:p>
        </w:tc>
        <w:tc>
          <w:tcPr>
            <w:tcW w:w="7905" w:type="dxa"/>
            <w:gridSpan w:val="3"/>
            <w:vAlign w:val="center"/>
          </w:tcPr>
          <w:p w14:paraId="210C3E9B">
            <w:pPr>
              <w:spacing w:line="360" w:lineRule="exact"/>
              <w:rPr>
                <w:b/>
              </w:rPr>
            </w:pPr>
            <w:r>
              <w:rPr>
                <w:rFonts w:hint="eastAsia"/>
                <w:b/>
              </w:rPr>
              <w:t>其他管理（包括但不限于）</w:t>
            </w:r>
          </w:p>
        </w:tc>
      </w:tr>
      <w:tr w14:paraId="6510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14:paraId="5A00C761">
            <w:r>
              <w:rPr>
                <w:rFonts w:hint="eastAsia"/>
              </w:rPr>
              <w:t>1</w:t>
            </w:r>
          </w:p>
        </w:tc>
        <w:tc>
          <w:tcPr>
            <w:tcW w:w="1937" w:type="dxa"/>
            <w:gridSpan w:val="2"/>
            <w:vMerge w:val="restart"/>
            <w:vAlign w:val="center"/>
          </w:tcPr>
          <w:p w14:paraId="4D53AD12">
            <w:pPr>
              <w:spacing w:line="360" w:lineRule="exact"/>
            </w:pPr>
            <w:r>
              <w:rPr>
                <w:rFonts w:hint="eastAsia"/>
              </w:rPr>
              <w:t>建立正常阶段的物业管理</w:t>
            </w:r>
          </w:p>
        </w:tc>
        <w:tc>
          <w:tcPr>
            <w:tcW w:w="5968" w:type="dxa"/>
            <w:vAlign w:val="center"/>
          </w:tcPr>
          <w:p w14:paraId="26D04014">
            <w:pPr>
              <w:spacing w:line="360" w:lineRule="exact"/>
            </w:pPr>
            <w:r>
              <w:rPr>
                <w:rFonts w:hint="eastAsia"/>
              </w:rPr>
              <w:t>正常阶段的物业管理立足于全方位物业管理与服务，包括物业机构自入驻以后，对前期阶段未涵盖的物业管理内容，以及前期阶段以后应实施的全部物业管理内容。正常阶段的管理分为一般性管理服务和其他管理服务，具体内容如下：</w:t>
            </w:r>
          </w:p>
        </w:tc>
      </w:tr>
      <w:tr w14:paraId="62D8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4A3684A5"/>
        </w:tc>
        <w:tc>
          <w:tcPr>
            <w:tcW w:w="1937" w:type="dxa"/>
            <w:gridSpan w:val="2"/>
            <w:vMerge w:val="continue"/>
            <w:vAlign w:val="center"/>
          </w:tcPr>
          <w:p w14:paraId="3E8A7BB7">
            <w:pPr>
              <w:spacing w:line="360" w:lineRule="exact"/>
            </w:pPr>
          </w:p>
        </w:tc>
        <w:tc>
          <w:tcPr>
            <w:tcW w:w="5968" w:type="dxa"/>
            <w:vAlign w:val="center"/>
          </w:tcPr>
          <w:p w14:paraId="07666FFA">
            <w:pPr>
              <w:spacing w:line="360" w:lineRule="exact"/>
            </w:pPr>
            <w:r>
              <w:rPr>
                <w:rFonts w:hint="eastAsia"/>
              </w:rPr>
              <w:t>一般性管理服务内容：</w:t>
            </w:r>
          </w:p>
          <w:p w14:paraId="3D2A2429">
            <w:pPr>
              <w:spacing w:line="360" w:lineRule="exact"/>
            </w:pPr>
            <w:r>
              <w:rPr>
                <w:rFonts w:hint="eastAsia"/>
              </w:rPr>
              <w:t>一般性管理服务系指为招标人、用户提供普遍的管理服务，具体如下：</w:t>
            </w:r>
          </w:p>
          <w:p w14:paraId="0CFF0B0D">
            <w:pPr>
              <w:spacing w:line="360" w:lineRule="exact"/>
            </w:pPr>
            <w:r>
              <w:rPr>
                <w:rFonts w:hint="eastAsia"/>
              </w:rPr>
              <w:t>a.受理业主报修；</w:t>
            </w:r>
          </w:p>
          <w:p w14:paraId="423DF039">
            <w:pPr>
              <w:spacing w:line="360" w:lineRule="exact"/>
            </w:pPr>
            <w:r>
              <w:rPr>
                <w:rFonts w:hint="eastAsia"/>
              </w:rPr>
              <w:t>b.提供邮政服务，为业主分发投递邮件和发放报刊；</w:t>
            </w:r>
          </w:p>
          <w:p w14:paraId="34CAEEFC">
            <w:pPr>
              <w:spacing w:line="360" w:lineRule="exact"/>
            </w:pPr>
            <w:r>
              <w:rPr>
                <w:rFonts w:hint="eastAsia"/>
              </w:rPr>
              <w:t>c.提供每日必须的饮用水量，定期对饮水机进行消毒。</w:t>
            </w:r>
          </w:p>
        </w:tc>
      </w:tr>
      <w:tr w14:paraId="496C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restart"/>
            <w:vAlign w:val="center"/>
          </w:tcPr>
          <w:p w14:paraId="7AD95FCD">
            <w:r>
              <w:rPr>
                <w:rFonts w:hint="eastAsia"/>
              </w:rPr>
              <w:t>2</w:t>
            </w:r>
          </w:p>
        </w:tc>
        <w:tc>
          <w:tcPr>
            <w:tcW w:w="1937" w:type="dxa"/>
            <w:gridSpan w:val="2"/>
            <w:vMerge w:val="restart"/>
            <w:vAlign w:val="center"/>
          </w:tcPr>
          <w:p w14:paraId="6A449BA4">
            <w:pPr>
              <w:spacing w:line="360" w:lineRule="exact"/>
            </w:pPr>
            <w:r>
              <w:rPr>
                <w:rFonts w:hint="eastAsia"/>
              </w:rPr>
              <w:t>对外协调</w:t>
            </w:r>
          </w:p>
        </w:tc>
        <w:tc>
          <w:tcPr>
            <w:tcW w:w="5968" w:type="dxa"/>
            <w:vAlign w:val="center"/>
          </w:tcPr>
          <w:p w14:paraId="73FED280">
            <w:pPr>
              <w:spacing w:line="360" w:lineRule="exact"/>
            </w:pPr>
            <w:r>
              <w:rPr>
                <w:rFonts w:hint="eastAsia"/>
              </w:rPr>
              <w:t>与业主相关单位的联系、沟通等工作。包括但不限于：</w:t>
            </w:r>
          </w:p>
          <w:p w14:paraId="7B917367">
            <w:pPr>
              <w:spacing w:line="360" w:lineRule="exact"/>
            </w:pPr>
            <w:r>
              <w:rPr>
                <w:rFonts w:hint="eastAsia"/>
              </w:rPr>
              <w:t>a.与各单位施工的衔接和管理。</w:t>
            </w:r>
          </w:p>
          <w:p w14:paraId="44E70FC5">
            <w:pPr>
              <w:spacing w:line="360" w:lineRule="exact"/>
            </w:pPr>
            <w:r>
              <w:rPr>
                <w:rFonts w:hint="eastAsia"/>
              </w:rPr>
              <w:t>b.配合处理游客投诉。</w:t>
            </w:r>
          </w:p>
          <w:p w14:paraId="032FA006">
            <w:pPr>
              <w:spacing w:line="360" w:lineRule="exact"/>
            </w:pPr>
            <w:r>
              <w:rPr>
                <w:rFonts w:hint="eastAsia"/>
              </w:rPr>
              <w:t>c.业主交办的其他事项。</w:t>
            </w:r>
          </w:p>
        </w:tc>
      </w:tr>
      <w:tr w14:paraId="25FE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Merge w:val="continue"/>
            <w:vAlign w:val="center"/>
          </w:tcPr>
          <w:p w14:paraId="67AF05A9"/>
        </w:tc>
        <w:tc>
          <w:tcPr>
            <w:tcW w:w="1937" w:type="dxa"/>
            <w:gridSpan w:val="2"/>
            <w:vMerge w:val="continue"/>
            <w:vAlign w:val="center"/>
          </w:tcPr>
          <w:p w14:paraId="649F787E">
            <w:pPr>
              <w:spacing w:line="360" w:lineRule="exact"/>
            </w:pPr>
          </w:p>
        </w:tc>
        <w:tc>
          <w:tcPr>
            <w:tcW w:w="5968" w:type="dxa"/>
            <w:vAlign w:val="center"/>
          </w:tcPr>
          <w:p w14:paraId="2F118011">
            <w:pPr>
              <w:spacing w:line="360" w:lineRule="exact"/>
            </w:pPr>
            <w:r>
              <w:rPr>
                <w:rFonts w:hint="eastAsia"/>
              </w:rPr>
              <w:t>对物业管理范围内发生施工的衔接和管理，内容如下：</w:t>
            </w:r>
          </w:p>
          <w:p w14:paraId="432861B3">
            <w:pPr>
              <w:spacing w:line="360" w:lineRule="exact"/>
            </w:pPr>
            <w:r>
              <w:rPr>
                <w:rFonts w:hint="eastAsia"/>
              </w:rPr>
              <w:t>a.提供施工必要的前置条件说明及必须遵守的规定说明：</w:t>
            </w:r>
          </w:p>
          <w:p w14:paraId="39E24344">
            <w:pPr>
              <w:spacing w:line="360" w:lineRule="exact"/>
              <w:ind w:left="210" w:hanging="210" w:hangingChars="100"/>
            </w:pPr>
            <w:r>
              <w:rPr>
                <w:rFonts w:hint="eastAsia"/>
              </w:rPr>
              <w:t>b.办理施工临时用电、动火和货梯专用手续；提供施工区域的物业安全巡查；；</w:t>
            </w:r>
          </w:p>
          <w:p w14:paraId="70C6ED9D">
            <w:pPr>
              <w:spacing w:line="360" w:lineRule="exact"/>
            </w:pPr>
            <w:r>
              <w:rPr>
                <w:rFonts w:hint="eastAsia"/>
              </w:rPr>
              <w:t>c.对施工涉及的必要防护措施、安全措施、工程施工等实施监督；</w:t>
            </w:r>
          </w:p>
          <w:p w14:paraId="3B9BAAB5">
            <w:pPr>
              <w:spacing w:line="360" w:lineRule="exact"/>
            </w:pPr>
            <w:r>
              <w:rPr>
                <w:rFonts w:hint="eastAsia"/>
              </w:rPr>
              <w:t>d.协助办理馆内施工申请单，负责施工人员出入管理；</w:t>
            </w:r>
          </w:p>
          <w:p w14:paraId="01CB5048">
            <w:pPr>
              <w:spacing w:line="360" w:lineRule="exact"/>
            </w:pPr>
            <w:r>
              <w:rPr>
                <w:rFonts w:hint="eastAsia"/>
              </w:rPr>
              <w:t>e.指定施工放垃圾集中存放场所；</w:t>
            </w:r>
          </w:p>
          <w:p w14:paraId="0AA16261">
            <w:pPr>
              <w:spacing w:line="360" w:lineRule="exact"/>
            </w:pPr>
            <w:r>
              <w:rPr>
                <w:rFonts w:hint="eastAsia"/>
              </w:rPr>
              <w:t>f.配合业主对施工项目的验收。</w:t>
            </w:r>
          </w:p>
        </w:tc>
      </w:tr>
      <w:tr w14:paraId="325B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2ED90429">
            <w:r>
              <w:rPr>
                <w:rFonts w:hint="eastAsia"/>
              </w:rPr>
              <w:t>3</w:t>
            </w:r>
          </w:p>
        </w:tc>
        <w:tc>
          <w:tcPr>
            <w:tcW w:w="1937" w:type="dxa"/>
            <w:gridSpan w:val="2"/>
            <w:vAlign w:val="center"/>
          </w:tcPr>
          <w:p w14:paraId="0D2BB295">
            <w:pPr>
              <w:spacing w:line="360" w:lineRule="exact"/>
            </w:pPr>
            <w:r>
              <w:rPr>
                <w:rFonts w:hint="eastAsia"/>
              </w:rPr>
              <w:t>安排环境导向指示管理</w:t>
            </w:r>
          </w:p>
        </w:tc>
        <w:tc>
          <w:tcPr>
            <w:tcW w:w="5968" w:type="dxa"/>
            <w:vAlign w:val="center"/>
          </w:tcPr>
          <w:p w14:paraId="491FBC90">
            <w:pPr>
              <w:spacing w:line="360" w:lineRule="exact"/>
            </w:pPr>
            <w:r>
              <w:rPr>
                <w:rFonts w:hint="eastAsia"/>
              </w:rPr>
              <w:t>制作各类会标、背景板、指示牌、警示牌、告示牌、通知等各类标识。安置现场导向指示牌、告示牌及各种导向标记；定期对导向指示牌及各种标记予以清洁，保持明晰。</w:t>
            </w:r>
          </w:p>
        </w:tc>
      </w:tr>
      <w:tr w14:paraId="593A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74AC4C81">
            <w:r>
              <w:rPr>
                <w:rFonts w:hint="eastAsia"/>
              </w:rPr>
              <w:t>4</w:t>
            </w:r>
          </w:p>
        </w:tc>
        <w:tc>
          <w:tcPr>
            <w:tcW w:w="1937" w:type="dxa"/>
            <w:gridSpan w:val="2"/>
            <w:vAlign w:val="center"/>
          </w:tcPr>
          <w:p w14:paraId="3F246C99">
            <w:pPr>
              <w:spacing w:line="360" w:lineRule="exact"/>
            </w:pPr>
            <w:r>
              <w:rPr>
                <w:rFonts w:hint="eastAsia"/>
              </w:rPr>
              <w:t>物业档案资料的管理</w:t>
            </w:r>
          </w:p>
        </w:tc>
        <w:tc>
          <w:tcPr>
            <w:tcW w:w="5968" w:type="dxa"/>
            <w:vAlign w:val="center"/>
          </w:tcPr>
          <w:p w14:paraId="1A436BC2">
            <w:pPr>
              <w:spacing w:line="360" w:lineRule="exact"/>
            </w:pPr>
            <w:r>
              <w:rPr>
                <w:rFonts w:hint="eastAsia"/>
              </w:rPr>
              <w:t>物业档案管理内容包括：修订房屋管理图册，每年更新；设有专人保存物业房屋建筑图纸、设备设施资料、装修改建图纸等历史资料，维护管理的连续性和规范化，便于房屋及设施设备的检查、维护、更新与业主的沟通、联系；</w:t>
            </w:r>
          </w:p>
          <w:p w14:paraId="033E5AC1">
            <w:pPr>
              <w:spacing w:line="360" w:lineRule="exact"/>
            </w:pPr>
            <w:r>
              <w:rPr>
                <w:rFonts w:hint="eastAsia"/>
              </w:rPr>
              <w:t>a.工程档案：从接管开始的所有工程技术、维修、改造资料、各种竣工图及各类设施设备《用户手册》或《使用说明》以及各系统室外调试、测试报告、物业管理申请表等；</w:t>
            </w:r>
          </w:p>
          <w:p w14:paraId="1D2DBBB8">
            <w:pPr>
              <w:spacing w:line="360" w:lineRule="exact"/>
            </w:pPr>
            <w:r>
              <w:rPr>
                <w:rFonts w:hint="eastAsia"/>
              </w:rPr>
              <w:t>b.行政档案：</w:t>
            </w:r>
          </w:p>
          <w:p w14:paraId="4F04273E">
            <w:pPr>
              <w:spacing w:line="360" w:lineRule="exact"/>
            </w:pPr>
            <w:r>
              <w:rPr>
                <w:rFonts w:hint="eastAsia"/>
              </w:rPr>
              <w:t>1）财务档案：逐年形成的财务收支报表、物业维修资金使用报表等，且需对业主提交；</w:t>
            </w:r>
          </w:p>
          <w:p w14:paraId="30562E5D">
            <w:pPr>
              <w:spacing w:line="360" w:lineRule="exact"/>
            </w:pPr>
            <w:r>
              <w:rPr>
                <w:rFonts w:hint="eastAsia"/>
              </w:rPr>
              <w:t>2）文件档案：有关物业管理法规政策、公司文件等；</w:t>
            </w:r>
          </w:p>
          <w:p w14:paraId="2690686A">
            <w:pPr>
              <w:spacing w:line="360" w:lineRule="exact"/>
            </w:pPr>
            <w:r>
              <w:rPr>
                <w:rFonts w:hint="eastAsia"/>
              </w:rPr>
              <w:t>3）管理资料：历年合同资料、供货商档案；</w:t>
            </w:r>
          </w:p>
          <w:p w14:paraId="692EDF67">
            <w:pPr>
              <w:spacing w:line="360" w:lineRule="exact"/>
            </w:pPr>
            <w:r>
              <w:rPr>
                <w:rFonts w:hint="eastAsia"/>
              </w:rPr>
              <w:t>4）日常工作（清洁、维修、保安、安保、值班、车辆管理等）的记录。</w:t>
            </w:r>
          </w:p>
        </w:tc>
      </w:tr>
      <w:tr w14:paraId="4109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5C92D21D">
            <w:r>
              <w:rPr>
                <w:rFonts w:hint="eastAsia"/>
              </w:rPr>
              <w:t>5</w:t>
            </w:r>
          </w:p>
        </w:tc>
        <w:tc>
          <w:tcPr>
            <w:tcW w:w="1937" w:type="dxa"/>
            <w:gridSpan w:val="2"/>
            <w:vAlign w:val="center"/>
          </w:tcPr>
          <w:p w14:paraId="6815037B">
            <w:pPr>
              <w:spacing w:line="360" w:lineRule="exact"/>
            </w:pPr>
            <w:r>
              <w:rPr>
                <w:rFonts w:hint="eastAsia"/>
              </w:rPr>
              <w:t>仓库管理</w:t>
            </w:r>
          </w:p>
        </w:tc>
        <w:tc>
          <w:tcPr>
            <w:tcW w:w="5968" w:type="dxa"/>
            <w:vAlign w:val="center"/>
          </w:tcPr>
          <w:p w14:paraId="0A899CAD">
            <w:pPr>
              <w:spacing w:line="360" w:lineRule="exact"/>
            </w:pPr>
            <w:r>
              <w:rPr>
                <w:rFonts w:hint="eastAsia"/>
              </w:rPr>
              <w:t>编制仓库管理办法，做好仓库管理的调换、存放、统计、管理等工作并对仓库等设施做常规性维修。</w:t>
            </w:r>
          </w:p>
        </w:tc>
      </w:tr>
      <w:tr w14:paraId="11E9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638BC9E8">
            <w:pPr>
              <w:rPr>
                <w:rFonts w:hint="eastAsia"/>
              </w:rPr>
            </w:pPr>
            <w:r>
              <w:rPr>
                <w:rFonts w:hint="eastAsia"/>
              </w:rPr>
              <w:t>6</w:t>
            </w:r>
          </w:p>
        </w:tc>
        <w:tc>
          <w:tcPr>
            <w:tcW w:w="1937" w:type="dxa"/>
            <w:gridSpan w:val="2"/>
            <w:vAlign w:val="center"/>
          </w:tcPr>
          <w:p w14:paraId="518E8651">
            <w:pPr>
              <w:spacing w:line="360" w:lineRule="exact"/>
              <w:rPr>
                <w:rFonts w:hint="eastAsia"/>
              </w:rPr>
            </w:pPr>
            <w:r>
              <w:rPr>
                <w:rFonts w:hint="eastAsia"/>
              </w:rPr>
              <w:t>智慧物业管理</w:t>
            </w:r>
          </w:p>
        </w:tc>
        <w:tc>
          <w:tcPr>
            <w:tcW w:w="5968" w:type="dxa"/>
            <w:vAlign w:val="center"/>
          </w:tcPr>
          <w:p w14:paraId="01AEDF60">
            <w:pPr>
              <w:spacing w:line="360" w:lineRule="exact"/>
              <w:rPr>
                <w:rFonts w:hint="eastAsia"/>
              </w:rPr>
            </w:pPr>
            <w:r>
              <w:rPr>
                <w:rFonts w:ascii="Segoe UI" w:hAnsi="Segoe UI" w:cs="Segoe UI"/>
                <w:shd w:val="clear" w:color="auto" w:fill="FFFFFF"/>
              </w:rPr>
              <w:t>建立数字化智慧化物业管理模式</w:t>
            </w:r>
          </w:p>
        </w:tc>
      </w:tr>
      <w:tr w14:paraId="0E4BC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6" w:type="dxa"/>
            <w:vAlign w:val="center"/>
          </w:tcPr>
          <w:p w14:paraId="6E4D17D8">
            <w:pPr>
              <w:rPr>
                <w:rFonts w:hint="eastAsia"/>
              </w:rPr>
            </w:pPr>
            <w:r>
              <w:rPr>
                <w:rFonts w:hint="eastAsia"/>
              </w:rPr>
              <w:t>7</w:t>
            </w:r>
          </w:p>
        </w:tc>
        <w:tc>
          <w:tcPr>
            <w:tcW w:w="1937" w:type="dxa"/>
            <w:gridSpan w:val="2"/>
            <w:vAlign w:val="center"/>
          </w:tcPr>
          <w:p w14:paraId="4D887F33">
            <w:pPr>
              <w:spacing w:line="360" w:lineRule="exact"/>
              <w:rPr>
                <w:rFonts w:hint="eastAsia"/>
              </w:rPr>
            </w:pPr>
            <w:r>
              <w:rPr>
                <w:rFonts w:hint="eastAsia"/>
              </w:rPr>
              <w:t>节能减排管理</w:t>
            </w:r>
          </w:p>
        </w:tc>
        <w:tc>
          <w:tcPr>
            <w:tcW w:w="5968" w:type="dxa"/>
            <w:vAlign w:val="center"/>
          </w:tcPr>
          <w:p w14:paraId="3F92E700">
            <w:pPr>
              <w:spacing w:line="360" w:lineRule="exact"/>
              <w:rPr>
                <w:rFonts w:hint="eastAsia"/>
              </w:rPr>
            </w:pPr>
            <w:r>
              <w:rPr>
                <w:rFonts w:ascii="Segoe UI" w:hAnsi="Segoe UI" w:cs="Segoe UI"/>
                <w:shd w:val="clear" w:color="auto" w:fill="FFFFFF"/>
              </w:rPr>
              <w:t>制定年度节能运行方案</w:t>
            </w:r>
          </w:p>
        </w:tc>
      </w:tr>
    </w:tbl>
    <w:p w14:paraId="6DE9FE91"/>
    <w:p w14:paraId="394198CE"/>
    <w:p w14:paraId="3F2DAB87"/>
    <w:p w14:paraId="7FD32DA9">
      <w:pPr>
        <w:ind w:firstLine="181" w:firstLineChars="50"/>
        <w:jc w:val="left"/>
        <w:rPr>
          <w:rFonts w:ascii="宋体"/>
          <w:b/>
          <w:bCs/>
          <w:sz w:val="36"/>
          <w:szCs w:val="36"/>
        </w:rPr>
      </w:pPr>
    </w:p>
    <w:p w14:paraId="191C116E">
      <w:pPr>
        <w:ind w:firstLine="181" w:firstLineChars="50"/>
        <w:jc w:val="left"/>
        <w:rPr>
          <w:rFonts w:ascii="宋体"/>
          <w:b/>
          <w:bCs/>
          <w:sz w:val="36"/>
          <w:szCs w:val="36"/>
        </w:rPr>
      </w:pPr>
    </w:p>
    <w:p w14:paraId="66498AD3">
      <w:pPr>
        <w:ind w:firstLine="181" w:firstLineChars="50"/>
        <w:jc w:val="left"/>
        <w:rPr>
          <w:rFonts w:ascii="宋体"/>
          <w:b/>
          <w:bCs/>
          <w:sz w:val="36"/>
          <w:szCs w:val="36"/>
        </w:rPr>
      </w:pPr>
    </w:p>
    <w:p w14:paraId="5F45CFB6">
      <w:pPr>
        <w:ind w:firstLine="181" w:firstLineChars="50"/>
        <w:jc w:val="left"/>
        <w:rPr>
          <w:rFonts w:ascii="宋体"/>
          <w:b/>
          <w:bCs/>
          <w:sz w:val="36"/>
          <w:szCs w:val="36"/>
        </w:rPr>
      </w:pPr>
    </w:p>
    <w:p w14:paraId="600B882B">
      <w:pPr>
        <w:ind w:firstLine="181" w:firstLineChars="50"/>
        <w:jc w:val="left"/>
        <w:rPr>
          <w:rFonts w:ascii="宋体"/>
          <w:b/>
          <w:bCs/>
          <w:sz w:val="36"/>
          <w:szCs w:val="36"/>
        </w:rPr>
      </w:pPr>
      <w:r>
        <w:rPr>
          <w:rFonts w:hint="eastAsia" w:ascii="宋体"/>
          <w:b/>
          <w:bCs/>
          <w:sz w:val="36"/>
          <w:szCs w:val="36"/>
        </w:rPr>
        <w:t>附件二：</w:t>
      </w:r>
    </w:p>
    <w:p w14:paraId="693460F1">
      <w:pPr>
        <w:ind w:firstLine="180" w:firstLineChars="50"/>
        <w:jc w:val="center"/>
        <w:rPr>
          <w:rFonts w:ascii="华文中宋" w:hAnsi="华文中宋" w:eastAsia="华文中宋"/>
          <w:b/>
          <w:sz w:val="36"/>
          <w:szCs w:val="36"/>
        </w:rPr>
      </w:pPr>
      <w:r>
        <w:rPr>
          <w:rFonts w:hint="eastAsia" w:ascii="华文中宋" w:hAnsi="华文中宋" w:eastAsia="华文中宋"/>
          <w:b/>
          <w:sz w:val="36"/>
          <w:szCs w:val="36"/>
        </w:rPr>
        <w:t>上海中国航海博物馆物业管理工作考核办法</w:t>
      </w:r>
    </w:p>
    <w:p w14:paraId="3F2CCD16">
      <w:pPr>
        <w:ind w:firstLine="160" w:firstLineChars="50"/>
        <w:jc w:val="center"/>
        <w:rPr>
          <w:rFonts w:ascii="仿宋_GB2312" w:eastAsia="仿宋_GB2312" w:cs="仿宋_GB2312"/>
          <w:sz w:val="32"/>
          <w:szCs w:val="32"/>
        </w:rPr>
      </w:pPr>
      <w:r>
        <w:rPr>
          <w:rFonts w:hint="eastAsia" w:ascii="仿宋_GB2312" w:eastAsia="仿宋_GB2312" w:cs="仿宋_GB2312"/>
          <w:sz w:val="32"/>
          <w:szCs w:val="32"/>
        </w:rPr>
        <w:t>中海博办【2024】5号</w:t>
      </w:r>
    </w:p>
    <w:p w14:paraId="66D370A2">
      <w:pPr>
        <w:spacing w:line="560" w:lineRule="exact"/>
        <w:ind w:firstLine="180" w:firstLineChars="50"/>
        <w:jc w:val="center"/>
        <w:rPr>
          <w:rFonts w:ascii="华文中宋" w:hAnsi="华文中宋" w:eastAsia="华文中宋" w:cs="方正小标宋简体"/>
          <w:b/>
          <w:sz w:val="36"/>
          <w:szCs w:val="36"/>
        </w:rPr>
      </w:pPr>
    </w:p>
    <w:p w14:paraId="2FCF87BD">
      <w:pPr>
        <w:spacing w:line="560" w:lineRule="exact"/>
        <w:ind w:firstLine="630" w:firstLineChars="196"/>
        <w:rPr>
          <w:rFonts w:ascii="仿宋_GB2312" w:eastAsia="仿宋_GB2312"/>
          <w:sz w:val="32"/>
          <w:szCs w:val="32"/>
        </w:rPr>
      </w:pPr>
      <w:r>
        <w:rPr>
          <w:rFonts w:hint="eastAsia" w:ascii="仿宋_GB2312" w:eastAsia="仿宋_GB2312" w:cs="仿宋_GB2312"/>
          <w:b/>
          <w:bCs/>
          <w:sz w:val="32"/>
          <w:szCs w:val="32"/>
        </w:rPr>
        <w:t xml:space="preserve">第一条 </w:t>
      </w:r>
      <w:r>
        <w:rPr>
          <w:rFonts w:hint="eastAsia" w:ascii="仿宋_GB2312" w:eastAsia="仿宋_GB2312" w:cs="仿宋_GB2312"/>
          <w:sz w:val="32"/>
          <w:szCs w:val="32"/>
        </w:rPr>
        <w:t>为加强上海中国航海博物馆（以下简称“甲方”）物业服务供方（以下简称“乙方”）的工作质量考核，</w:t>
      </w:r>
      <w:r>
        <w:rPr>
          <w:rFonts w:hint="eastAsia" w:ascii="仿宋_GB2312" w:hAnsi="仿宋" w:eastAsia="仿宋_GB2312" w:cs="仿宋_GB2312"/>
          <w:sz w:val="32"/>
          <w:szCs w:val="32"/>
        </w:rPr>
        <w:t>体现有奖有惩的原则，统一规范考核标准</w:t>
      </w:r>
      <w:r>
        <w:rPr>
          <w:rFonts w:hint="eastAsia" w:ascii="仿宋_GB2312" w:eastAsia="仿宋_GB2312" w:cs="仿宋_GB2312"/>
          <w:sz w:val="32"/>
          <w:szCs w:val="32"/>
        </w:rPr>
        <w:t>，进一步</w:t>
      </w:r>
      <w:r>
        <w:rPr>
          <w:rFonts w:hint="eastAsia" w:ascii="仿宋_GB2312" w:hAnsi="仿宋" w:eastAsia="仿宋_GB2312" w:cs="仿宋_GB2312"/>
          <w:sz w:val="32"/>
          <w:szCs w:val="32"/>
        </w:rPr>
        <w:t>提升物业服务供方的工作积极性，发挥其主观能动性，使其在物业服务过程中完善服务，</w:t>
      </w:r>
      <w:r>
        <w:rPr>
          <w:rFonts w:hint="eastAsia" w:ascii="仿宋_GB2312" w:eastAsia="仿宋_GB2312" w:cs="仿宋_GB2312"/>
          <w:sz w:val="32"/>
          <w:szCs w:val="32"/>
        </w:rPr>
        <w:t>特制定本办法。</w:t>
      </w:r>
    </w:p>
    <w:p w14:paraId="745BD03E">
      <w:pPr>
        <w:spacing w:line="560" w:lineRule="exact"/>
        <w:ind w:firstLine="630" w:firstLineChars="196"/>
        <w:rPr>
          <w:rFonts w:ascii="仿宋_GB2312" w:eastAsia="仿宋_GB2312"/>
          <w:b/>
          <w:bCs/>
          <w:sz w:val="32"/>
          <w:szCs w:val="32"/>
        </w:rPr>
      </w:pPr>
      <w:r>
        <w:rPr>
          <w:rFonts w:hint="eastAsia" w:ascii="仿宋_GB2312" w:eastAsia="仿宋_GB2312" w:cs="仿宋_GB2312"/>
          <w:b/>
          <w:bCs/>
          <w:sz w:val="32"/>
          <w:szCs w:val="32"/>
        </w:rPr>
        <w:t xml:space="preserve">第二条 </w:t>
      </w:r>
      <w:r>
        <w:rPr>
          <w:rFonts w:hint="eastAsia" w:ascii="仿宋_GB2312" w:eastAsia="仿宋_GB2312" w:cs="仿宋_GB2312"/>
          <w:sz w:val="32"/>
          <w:szCs w:val="32"/>
        </w:rPr>
        <w:t>本办法制定依据如下：</w:t>
      </w:r>
    </w:p>
    <w:p w14:paraId="3F351F49">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（一）《物业管理条例》、行业法律法规要求；</w:t>
      </w:r>
      <w:r>
        <w:rPr>
          <w:rFonts w:hint="eastAsia" w:ascii="仿宋_GB2312" w:eastAsia="仿宋_GB2312"/>
          <w:sz w:val="32"/>
          <w:szCs w:val="32"/>
        </w:rPr>
        <w:t xml:space="preserve"> </w:t>
      </w:r>
    </w:p>
    <w:p w14:paraId="7741C08E">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（二）上海中国航海博物馆制度汇编、上海中国航海博物馆运营手册、上海中国航海博物馆各类突发事件应急预案汇编等；</w:t>
      </w:r>
    </w:p>
    <w:p w14:paraId="43C1973F">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（三）甲方各相关考核部门制定的考核内容。</w:t>
      </w:r>
    </w:p>
    <w:p w14:paraId="1DD17497">
      <w:pPr>
        <w:spacing w:line="560" w:lineRule="exact"/>
        <w:ind w:firstLine="630" w:firstLineChars="196"/>
        <w:rPr>
          <w:rFonts w:ascii="仿宋_GB2312" w:eastAsia="仿宋_GB2312"/>
          <w:sz w:val="32"/>
          <w:szCs w:val="32"/>
        </w:rPr>
      </w:pPr>
      <w:r>
        <w:rPr>
          <w:rFonts w:hint="eastAsia" w:ascii="仿宋_GB2312" w:eastAsia="仿宋_GB2312" w:cs="仿宋_GB2312"/>
          <w:b/>
          <w:bCs/>
          <w:sz w:val="32"/>
          <w:szCs w:val="32"/>
        </w:rPr>
        <w:t xml:space="preserve">第三条 </w:t>
      </w:r>
      <w:r>
        <w:rPr>
          <w:rFonts w:hint="eastAsia" w:ascii="仿宋_GB2312" w:eastAsia="仿宋_GB2312" w:cs="仿宋_GB2312"/>
          <w:sz w:val="32"/>
          <w:szCs w:val="32"/>
        </w:rPr>
        <w:t>本办法涉及组织形式如下：</w:t>
      </w:r>
    </w:p>
    <w:p w14:paraId="39B7EE9D">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一）考核小组由甲方物业管理工作相关的部、室组成。直接考核部门为：办公室、物业管理部、社会教育部、开放管理部、运营开发部、信息技术部、安全保卫部、陈列展示部。非直接考核部门为：组织人事部、财务部、学术研究部、藏品征集部、藏品修复部。上述各部门负责对乙方进行考核；</w:t>
      </w:r>
    </w:p>
    <w:p w14:paraId="4D5578CB">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（二）物业管理部负责本考核办法的落实，包括日常管理及考核汇总等工作；</w:t>
      </w:r>
    </w:p>
    <w:p w14:paraId="623956CC">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（三）各相关部、室协助、配合物业管理部完成对本考核办法的落实；</w:t>
      </w:r>
    </w:p>
    <w:p w14:paraId="6D7C7A2D">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（四）考核小组组长由馆分管领导担任，负责考核的总体管理、监督及考核结果的审核；</w:t>
      </w:r>
    </w:p>
    <w:p w14:paraId="728A58DB">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（五）考核小组副组长由物业管理部负责人担任，负责考核乙方的日常组织，考核信息、数据或结果的收集、整理和汇总等工作，形成考核结果并报馆领导。</w:t>
      </w:r>
    </w:p>
    <w:p w14:paraId="225F4A5E">
      <w:pPr>
        <w:spacing w:line="560" w:lineRule="exact"/>
        <w:ind w:firstLine="630" w:firstLineChars="196"/>
        <w:rPr>
          <w:rFonts w:ascii="仿宋_GB2312" w:eastAsia="仿宋_GB2312"/>
          <w:b/>
          <w:bCs/>
          <w:sz w:val="32"/>
          <w:szCs w:val="32"/>
        </w:rPr>
      </w:pPr>
      <w:r>
        <w:rPr>
          <w:rFonts w:hint="eastAsia" w:ascii="仿宋_GB2312" w:eastAsia="仿宋_GB2312" w:cs="仿宋_GB2312"/>
          <w:b/>
          <w:bCs/>
          <w:sz w:val="32"/>
          <w:szCs w:val="32"/>
        </w:rPr>
        <w:t xml:space="preserve">第四条 </w:t>
      </w:r>
      <w:r>
        <w:rPr>
          <w:rFonts w:hint="eastAsia" w:ascii="仿宋_GB2312" w:eastAsia="仿宋_GB2312" w:cs="仿宋_GB2312"/>
          <w:sz w:val="32"/>
          <w:szCs w:val="32"/>
        </w:rPr>
        <w:t>考核形式及考核指标如下：</w:t>
      </w:r>
    </w:p>
    <w:p w14:paraId="35052BAF">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（一）考核形式分为月度考核及年度考核两种形式。</w:t>
      </w:r>
    </w:p>
    <w:p w14:paraId="2A997C32">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（二） 考核指标分为物业服务质量等。</w:t>
      </w:r>
    </w:p>
    <w:p w14:paraId="33905589">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（三） 各直接考核部门内容为：通用板块+各部门管辖工作板块+保障配合板块+优良表现。</w:t>
      </w:r>
    </w:p>
    <w:p w14:paraId="466CB016">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（四）月度考核内容如下：</w:t>
      </w:r>
    </w:p>
    <w:p w14:paraId="62E304B5">
      <w:pPr>
        <w:spacing w:line="560" w:lineRule="exact"/>
        <w:rPr>
          <w:rFonts w:ascii="仿宋_GB2312" w:eastAsia="仿宋_GB2312"/>
          <w:sz w:val="32"/>
          <w:szCs w:val="32"/>
        </w:rPr>
      </w:pPr>
      <w:r>
        <w:rPr>
          <w:rFonts w:hint="eastAsia" w:ascii="仿宋_GB2312" w:eastAsia="仿宋_GB2312" w:cs="仿宋_GB2312"/>
          <w:sz w:val="32"/>
          <w:szCs w:val="32"/>
        </w:rPr>
        <w:t xml:space="preserve">    1.月度考核实行扣分制，按考核项目合计扣分值。</w:t>
      </w:r>
    </w:p>
    <w:p w14:paraId="048B19C3">
      <w:pPr>
        <w:spacing w:line="560" w:lineRule="exact"/>
        <w:rPr>
          <w:rFonts w:ascii="仿宋_GB2312" w:eastAsia="仿宋_GB2312"/>
          <w:sz w:val="32"/>
          <w:szCs w:val="32"/>
        </w:rPr>
      </w:pPr>
      <w:r>
        <w:rPr>
          <w:rFonts w:hint="eastAsia" w:ascii="仿宋_GB2312" w:eastAsia="仿宋_GB2312" w:cs="仿宋_GB2312"/>
          <w:sz w:val="32"/>
          <w:szCs w:val="32"/>
        </w:rPr>
        <w:t xml:space="preserve">    2.各直接考核部门分别在《上海中国航海博物馆物业服务质量考核总表》中的通用板块、管辖工作板块及保障配合板块中实施考核。</w:t>
      </w:r>
    </w:p>
    <w:p w14:paraId="4D7F4FD3">
      <w:pPr>
        <w:spacing w:line="560" w:lineRule="exact"/>
        <w:ind w:firstLine="570"/>
        <w:rPr>
          <w:rFonts w:ascii="仿宋_GB2312" w:eastAsia="仿宋_GB2312" w:cs="仿宋_GB2312"/>
          <w:sz w:val="32"/>
          <w:szCs w:val="32"/>
        </w:rPr>
      </w:pPr>
      <w:r>
        <w:rPr>
          <w:rFonts w:hint="eastAsia" w:ascii="仿宋_GB2312" w:eastAsia="仿宋_GB2312" w:cs="仿宋_GB2312"/>
          <w:sz w:val="32"/>
          <w:szCs w:val="32"/>
        </w:rPr>
        <w:t>3.各直接考核部门不定期对管辖工作条线的工作质量、在岗人数、在编人数进行监督检查，对不符合考核要求的情况要记录并在考核表中描述扣分原因、日期等要素。提交考核表时，考核部门考核人及部门负责人需签字确认。乙方在收到考核部门考核表时确认并签字。</w:t>
      </w:r>
    </w:p>
    <w:p w14:paraId="4693C6C2">
      <w:pPr>
        <w:spacing w:line="560" w:lineRule="exact"/>
        <w:ind w:firstLine="570"/>
        <w:rPr>
          <w:rFonts w:ascii="仿宋_GB2312" w:eastAsia="仿宋_GB2312"/>
          <w:sz w:val="32"/>
          <w:szCs w:val="32"/>
        </w:rPr>
      </w:pPr>
      <w:r>
        <w:rPr>
          <w:rFonts w:hint="eastAsia" w:ascii="仿宋_GB2312" w:eastAsia="仿宋_GB2312" w:cs="仿宋_GB2312"/>
          <w:sz w:val="32"/>
          <w:szCs w:val="32"/>
        </w:rPr>
        <w:t>4.本物业服务项目考核依据为本项目当年招标文件及签订的物业服务合同设定的人员及岗位数。各考核部门负责对物业服务单位每日提供的上岗人数进行核实，如发现有缺岗人员，则按照投标文件中日人员经费的两倍扣款（扣款公式：投标文件中年人均人员经费÷365天×2倍=扣款金额）。</w:t>
      </w:r>
    </w:p>
    <w:p w14:paraId="639C2418">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人员补充期限为30天，逾期未到岗，按照投标文件中月人员经费（投标文件中年人均人员经费÷12）的三倍扣款；扣款时限为自31日-60日累计扣款，同时，如果该期间人员补充到岗，前期扣除费用不返还；扣款金额由人员经费中扣除。</w:t>
      </w:r>
    </w:p>
    <w:p w14:paraId="2B1C24F5">
      <w:pPr>
        <w:spacing w:line="560" w:lineRule="exact"/>
        <w:ind w:firstLine="720"/>
        <w:rPr>
          <w:rFonts w:ascii="仿宋_GB2312" w:eastAsia="仿宋_GB2312" w:cs="仿宋_GB2312"/>
          <w:sz w:val="32"/>
          <w:szCs w:val="32"/>
        </w:rPr>
      </w:pPr>
      <w:r>
        <w:rPr>
          <w:rFonts w:hint="eastAsia" w:ascii="仿宋_GB2312" w:eastAsia="仿宋_GB2312" w:cs="仿宋_GB2312"/>
          <w:sz w:val="32"/>
          <w:szCs w:val="32"/>
        </w:rPr>
        <w:t>5.非直接考核部门对物业服务质量评价，采用一事一报的方式，填写《物业服务质量反馈表》或在日常工作联系单的意见栏中反馈服务质量，由物业管理部统计汇总并统计入上海中国航海博物馆物业服务质量考核总表中。</w:t>
      </w:r>
    </w:p>
    <w:p w14:paraId="153C038D">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6.各直接考核部门每月月底前将考核总表交至物业管理部，由物业管理部进行汇总，形成每月考核报告并上报馆领导。</w:t>
      </w:r>
    </w:p>
    <w:p w14:paraId="5DB6E369">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每月考核报告将作为每季度物业费用的支付依据，由物业管理部按季度支付。</w:t>
      </w:r>
    </w:p>
    <w:p w14:paraId="2D5913D8">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每月考核扣分值×扣分对应金额=考核酬金扣款额，每0.5分对应考核金额为：人民币5000元。在每季度支付中扣除考核酬金扣款额后，将剩余的物业管理费支付给乙方。</w:t>
      </w:r>
    </w:p>
    <w:p w14:paraId="2734D148">
      <w:pPr>
        <w:spacing w:line="560" w:lineRule="exact"/>
        <w:ind w:firstLine="720"/>
        <w:rPr>
          <w:rFonts w:ascii="仿宋_GB2312" w:eastAsia="仿宋_GB2312" w:cs="仿宋_GB2312"/>
          <w:sz w:val="32"/>
          <w:szCs w:val="32"/>
        </w:rPr>
      </w:pPr>
      <w:r>
        <w:rPr>
          <w:rFonts w:hint="eastAsia" w:ascii="仿宋_GB2312" w:eastAsia="仿宋_GB2312" w:cs="仿宋_GB2312"/>
          <w:sz w:val="32"/>
          <w:szCs w:val="32"/>
        </w:rPr>
        <w:t>7.甲方考核小组以外的工作人员在工作中发现乙方的物业服务工作不符合相关要求的，可报告考核小组，由考核小组进行调查确认后，计入当月考核。</w:t>
      </w:r>
    </w:p>
    <w:p w14:paraId="36F6E8B6">
      <w:pPr>
        <w:spacing w:line="560" w:lineRule="exact"/>
        <w:ind w:firstLine="720"/>
        <w:rPr>
          <w:rFonts w:ascii="仿宋_GB2312" w:eastAsia="仿宋_GB2312"/>
          <w:sz w:val="32"/>
          <w:szCs w:val="32"/>
        </w:rPr>
      </w:pPr>
      <w:r>
        <w:rPr>
          <w:rFonts w:hint="eastAsia" w:ascii="仿宋_GB2312" w:eastAsia="仿宋_GB2312" w:cs="仿宋_GB2312"/>
          <w:sz w:val="32"/>
          <w:szCs w:val="32"/>
        </w:rPr>
        <w:t>8.</w:t>
      </w:r>
      <w:r>
        <w:rPr>
          <w:rFonts w:hint="eastAsia" w:ascii="仿宋_GB2312" w:eastAsia="仿宋_GB2312"/>
          <w:sz w:val="32"/>
          <w:szCs w:val="32"/>
        </w:rPr>
        <w:t xml:space="preserve"> </w:t>
      </w:r>
      <w:r>
        <w:rPr>
          <w:rFonts w:hint="eastAsia" w:ascii="仿宋_GB2312" w:eastAsia="仿宋_GB2312" w:cs="仿宋_GB2312"/>
          <w:sz w:val="32"/>
          <w:szCs w:val="32"/>
        </w:rPr>
        <w:t>馆内组织的任何形式检查，由物业管理统一纳入考核（如馆长巡馆等），在检查中发现的问题在考核总表中实施考核。</w:t>
      </w:r>
    </w:p>
    <w:p w14:paraId="4A48B3AE">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（五）年度考核评定：</w:t>
      </w:r>
    </w:p>
    <w:p w14:paraId="455DD8D0">
      <w:pPr>
        <w:spacing w:line="560" w:lineRule="exact"/>
        <w:ind w:firstLine="705"/>
        <w:rPr>
          <w:rFonts w:ascii="仿宋_GB2312" w:eastAsia="仿宋_GB2312"/>
          <w:sz w:val="32"/>
          <w:szCs w:val="32"/>
        </w:rPr>
      </w:pPr>
      <w:r>
        <w:rPr>
          <w:rFonts w:hint="eastAsia" w:ascii="仿宋_GB2312" w:eastAsia="仿宋_GB2312" w:cs="仿宋_GB2312"/>
          <w:sz w:val="32"/>
          <w:szCs w:val="32"/>
        </w:rPr>
        <w:t>1.年度考核扣分值=∑月度考核扣分值÷∑月度数。</w:t>
      </w:r>
    </w:p>
    <w:p w14:paraId="0845C649">
      <w:pPr>
        <w:spacing w:line="560" w:lineRule="exact"/>
        <w:ind w:firstLine="705"/>
        <w:rPr>
          <w:rFonts w:ascii="仿宋_GB2312" w:eastAsia="仿宋_GB2312"/>
          <w:sz w:val="32"/>
          <w:szCs w:val="32"/>
        </w:rPr>
      </w:pPr>
      <w:r>
        <w:rPr>
          <w:rFonts w:hint="eastAsia" w:ascii="仿宋_GB2312" w:eastAsia="仿宋_GB2312" w:cs="仿宋_GB2312"/>
          <w:sz w:val="32"/>
          <w:szCs w:val="32"/>
        </w:rPr>
        <w:t>2.年度考核扣分值小于等于30分，为“优秀”，可续签第二年度物业管理服务合同。</w:t>
      </w:r>
    </w:p>
    <w:p w14:paraId="6A212FB3">
      <w:pPr>
        <w:spacing w:line="560" w:lineRule="exact"/>
        <w:ind w:firstLine="705"/>
        <w:rPr>
          <w:rFonts w:ascii="仿宋_GB2312" w:eastAsia="仿宋_GB2312"/>
          <w:sz w:val="32"/>
          <w:szCs w:val="32"/>
        </w:rPr>
      </w:pPr>
      <w:r>
        <w:rPr>
          <w:rFonts w:hint="eastAsia" w:ascii="仿宋_GB2312" w:eastAsia="仿宋_GB2312" w:cs="仿宋_GB2312"/>
          <w:sz w:val="32"/>
          <w:szCs w:val="32"/>
        </w:rPr>
        <w:t>3. 年度考核扣分值大于30分，小于等于40分的，为“合格”，甲方将要求乙方提交物业工作报告，并要求乙方提出物业服务工作改进方案，在得到甲方认可后签订第二年物业管理服务合同。</w:t>
      </w:r>
    </w:p>
    <w:p w14:paraId="1E462FF6">
      <w:pPr>
        <w:spacing w:line="560" w:lineRule="exact"/>
        <w:ind w:firstLine="705"/>
        <w:rPr>
          <w:rFonts w:ascii="仿宋_GB2312" w:eastAsia="仿宋_GB2312"/>
          <w:sz w:val="32"/>
          <w:szCs w:val="32"/>
        </w:rPr>
      </w:pPr>
      <w:r>
        <w:rPr>
          <w:rFonts w:hint="eastAsia" w:ascii="仿宋_GB2312" w:eastAsia="仿宋_GB2312" w:cs="仿宋_GB2312"/>
          <w:sz w:val="32"/>
          <w:szCs w:val="32"/>
        </w:rPr>
        <w:t xml:space="preserve">4.年度考核扣分值大于40分，为“不合格”，甲方有权不续签物业管理服务合同。 </w:t>
      </w:r>
    </w:p>
    <w:p w14:paraId="70B9263C">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5.将人员流动列为年度考核依据。普通岗位年流动率不超过30%，管理层及关键岗位年流动率不超过5%，实习生比例不超过2%。每年，物业服务管理公司须向甲方提供年度人员流动情况报告。</w:t>
      </w:r>
    </w:p>
    <w:p w14:paraId="278FEE0F">
      <w:pPr>
        <w:spacing w:line="560" w:lineRule="exact"/>
        <w:ind w:firstLine="705"/>
        <w:rPr>
          <w:rFonts w:ascii="仿宋_GB2312" w:eastAsia="仿宋_GB2312"/>
          <w:sz w:val="32"/>
          <w:szCs w:val="32"/>
        </w:rPr>
      </w:pPr>
      <w:r>
        <w:rPr>
          <w:rFonts w:hint="eastAsia" w:ascii="仿宋_GB2312" w:eastAsia="仿宋_GB2312" w:cs="仿宋_GB2312"/>
          <w:sz w:val="32"/>
          <w:szCs w:val="32"/>
        </w:rPr>
        <w:t>6.物业服务公司在当年度中，如有违法违规行为、有重大违约行为或甲方认为其无法满足甲方管理要求的，甲方有权不续签物业管理服务合同，且不受上述考核结果的影响。同时，乙方应按合同约定承担相应的违约金，并赔偿甲方所受相应损失。本条约定适用于各阶段考核及各服务期间。</w:t>
      </w:r>
    </w:p>
    <w:p w14:paraId="7E20A485">
      <w:pPr>
        <w:spacing w:line="560" w:lineRule="exact"/>
        <w:ind w:firstLine="630" w:firstLineChars="196"/>
        <w:rPr>
          <w:rFonts w:ascii="仿宋_GB2312" w:eastAsia="仿宋_GB2312"/>
          <w:b/>
          <w:bCs/>
          <w:sz w:val="32"/>
          <w:szCs w:val="32"/>
        </w:rPr>
      </w:pPr>
      <w:r>
        <w:rPr>
          <w:rFonts w:hint="eastAsia" w:ascii="仿宋_GB2312" w:eastAsia="仿宋_GB2312" w:cs="仿宋_GB2312"/>
          <w:b/>
          <w:bCs/>
          <w:sz w:val="32"/>
          <w:szCs w:val="32"/>
        </w:rPr>
        <w:t xml:space="preserve">第五条 </w:t>
      </w:r>
      <w:r>
        <w:rPr>
          <w:rFonts w:hint="eastAsia" w:ascii="仿宋_GB2312" w:eastAsia="仿宋_GB2312" w:cs="仿宋_GB2312"/>
          <w:sz w:val="32"/>
          <w:szCs w:val="32"/>
        </w:rPr>
        <w:t>相关考核酬金支付方式及奖惩方式如下：</w:t>
      </w:r>
    </w:p>
    <w:p w14:paraId="00FE08CC">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 xml:space="preserve">（一）考核酬金总额按当年招标文件规定及物业服务合同约定执行。考核酬金为单独项目，人员缺岗扣款在考核酬金外另行计算。 </w:t>
      </w:r>
    </w:p>
    <w:p w14:paraId="4F355795">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（二）甲方于每季度首月5日根据月度考核结果支付考核酬金，每月酬金最高上限金额为甲乙双方约定的考核酬金总额，超过考核酬金总额部分甲方不予承担。</w:t>
      </w:r>
    </w:p>
    <w:p w14:paraId="1BB2A87D">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（三）每季支付考核酬金时，需将季度支付总金额经馆内流程审定确认后方可支付。</w:t>
      </w:r>
    </w:p>
    <w:p w14:paraId="725F4C92">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（四）每轮中标年度的第一季度考核酬金全额支付；当季季度考核成绩所涉扣分酬金金额，将在后一个季度中一并结算；第四季度考核成绩所涉扣分酬金金额，在下一年度的第一季度中一并结算。</w:t>
      </w:r>
    </w:p>
    <w:p w14:paraId="61E1E6DB">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（五）在合同服务期、考核期内，发生以下任何一种情况的，扣除当月的全部考核酬金，同时按本办法第四条第（四）项第6款执行。</w:t>
      </w:r>
    </w:p>
    <w:p w14:paraId="523BE539">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1.发生重大人身伤亡事故；</w:t>
      </w:r>
    </w:p>
    <w:p w14:paraId="4B1BF58A">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2.发生重大责任事故（影响全馆正常对外开放及重要VIP接待活动）；</w:t>
      </w:r>
    </w:p>
    <w:p w14:paraId="0BB8A091">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3.严重影响甲方品牌和对外形象及利益（以不正当行为占有客户、顾客、业主的财产、泄露有关保密信息等而导致业主形象或利益受损）；</w:t>
      </w:r>
    </w:p>
    <w:p w14:paraId="6DBB7506">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4.发生第四条第（四）项第6款的行为。</w:t>
      </w:r>
    </w:p>
    <w:p w14:paraId="6633F1CA">
      <w:pPr>
        <w:spacing w:line="560" w:lineRule="exact"/>
        <w:ind w:firstLine="630" w:firstLineChars="196"/>
        <w:rPr>
          <w:rFonts w:ascii="仿宋_GB2312" w:eastAsia="仿宋_GB2312"/>
          <w:b/>
          <w:bCs/>
          <w:sz w:val="32"/>
          <w:szCs w:val="32"/>
        </w:rPr>
      </w:pPr>
      <w:r>
        <w:rPr>
          <w:rFonts w:hint="eastAsia" w:ascii="仿宋_GB2312" w:eastAsia="仿宋_GB2312" w:cs="仿宋_GB2312"/>
          <w:b/>
          <w:bCs/>
          <w:sz w:val="32"/>
          <w:szCs w:val="32"/>
        </w:rPr>
        <w:t xml:space="preserve">第六条 </w:t>
      </w:r>
      <w:r>
        <w:rPr>
          <w:rFonts w:hint="eastAsia" w:ascii="仿宋_GB2312" w:eastAsia="仿宋_GB2312" w:cs="仿宋_GB2312"/>
          <w:sz w:val="32"/>
          <w:szCs w:val="32"/>
        </w:rPr>
        <w:t>加分项内容如下：</w:t>
      </w:r>
    </w:p>
    <w:p w14:paraId="5F3E0B07">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每月物业服务质量有突出表现的，各考核部门可在《上海中国航海博物馆物业服务质量考核总表》中优良表现处填写，作为年度考核加分依据。</w:t>
      </w:r>
    </w:p>
    <w:p w14:paraId="08CB3896">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统计加分项在支付第四季度物业管理费前完成。</w:t>
      </w:r>
    </w:p>
    <w:p w14:paraId="7EB94E0A">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加分奖励由甲乙双方根据乙方在本合同期内的突出表现，共同约定每分的加分金额。</w:t>
      </w:r>
    </w:p>
    <w:p w14:paraId="282A8195">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加分奖励支付由物业管理部负责统一汇总备案，报馆领导审核同意，并经馆内流程审议确认，在支付第四季度物业管理费时一并支付。加分金额累计超出物业合同总价时，按物业合同总价支付，超出部分不再另行支付。</w:t>
      </w:r>
    </w:p>
    <w:p w14:paraId="797288D9">
      <w:pPr>
        <w:spacing w:line="560" w:lineRule="exact"/>
        <w:ind w:firstLine="643" w:firstLineChars="200"/>
        <w:rPr>
          <w:rFonts w:ascii="仿宋_GB2312" w:eastAsia="仿宋_GB2312"/>
          <w:sz w:val="32"/>
          <w:szCs w:val="32"/>
        </w:rPr>
      </w:pPr>
      <w:r>
        <w:rPr>
          <w:rFonts w:hint="eastAsia" w:ascii="仿宋_GB2312" w:eastAsia="仿宋_GB2312" w:cs="仿宋_GB2312"/>
          <w:b/>
          <w:sz w:val="32"/>
          <w:szCs w:val="32"/>
        </w:rPr>
        <w:t>第七条</w:t>
      </w:r>
      <w:r>
        <w:rPr>
          <w:rFonts w:hint="eastAsia" w:ascii="仿宋_GB2312" w:eastAsia="仿宋_GB2312" w:cs="仿宋_GB2312"/>
          <w:sz w:val="32"/>
          <w:szCs w:val="32"/>
        </w:rPr>
        <w:t xml:space="preserve"> 加分细则</w:t>
      </w:r>
    </w:p>
    <w:p w14:paraId="0A3AF0BE">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 xml:space="preserve">（一）公众服务方面如下： </w:t>
      </w:r>
    </w:p>
    <w:p w14:paraId="2DD89301">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1.积极做好人好事或为观众提供最佳服务,工作积极热心,收到观众书面表扬的，经馆方以电话形式回访确认确实得到观众一致好评肯定的,每次加5分。</w:t>
      </w:r>
    </w:p>
    <w:p w14:paraId="64438EBE">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2.积极参加各类比赛、技能培训、重大活动，在比赛或技能培训中取得名次，并为馆方赢得荣誉的，每次加10分。</w:t>
      </w:r>
    </w:p>
    <w:p w14:paraId="224C4CA0">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3.能积极有效处理突发事件、观众投诉、处置得当并有效避免事件、投诉升级的，每次加5分。</w:t>
      </w:r>
    </w:p>
    <w:p w14:paraId="5614A747">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4.日常工作成绩突出，赢得馆方一致好评，同时考核部门予以肯定的，每次加5分。</w:t>
      </w:r>
    </w:p>
    <w:p w14:paraId="73F48669">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5.能够积极配合、协助馆方完成重大活动、VIP接待、外事接待等工作的，每次加5分。</w:t>
      </w:r>
    </w:p>
    <w:p w14:paraId="4704DB22">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（二）工程管理方面如下：</w:t>
      </w:r>
    </w:p>
    <w:p w14:paraId="62C55096">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1.在各种恶劣天气情况下，积极抢险救灾，坚守现场、配合跟进、不辞辛劳、积极主动减少馆内财产损失的，每次加5分。</w:t>
      </w:r>
    </w:p>
    <w:p w14:paraId="5FA87B39">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2.在工程条线应急抢修情况下，施工时间在凌晨至深夜并合理调整班组排班的；能及时提前完成任务并合理调整班组排班，确保日常运营不受影响的，每次加5分。</w:t>
      </w:r>
    </w:p>
    <w:p w14:paraId="22AB6899">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3.能及时发现设备设施存在的隐患，对设备设施进行自主修复或技术改造，提高设备设施的使用效率或掌握大型设备设施核心技术的，每次加10分。</w:t>
      </w:r>
    </w:p>
    <w:p w14:paraId="277C49E1">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（三）环境保洁方面如下:</w:t>
      </w:r>
    </w:p>
    <w:p w14:paraId="4E00CE3C">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1.能及时完成工作计划外或突发临时保洁工作，根据馆内实际情况及保洁特点，自主创新保洁工艺，并取得实质效果的,每次加5分。</w:t>
      </w:r>
    </w:p>
    <w:p w14:paraId="1CB218D6">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2.日常保洁工作突出，受到观众书面表扬，经馆方以电话回访形式确认的,每次加5分。</w:t>
      </w:r>
    </w:p>
    <w:p w14:paraId="29DE3600">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3.能及时完成非日常及职责范围内搬运工作，创新搬运方式或搬运工具，总结文物搬运经验并制定相关流程、手册的，每次加5分。</w:t>
      </w:r>
    </w:p>
    <w:p w14:paraId="4208848E">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4.按照相关防疫要求，严格落实防疫、消杀等措施，取得较好成绩的，每次加10分。</w:t>
      </w:r>
    </w:p>
    <w:p w14:paraId="7B03A228">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（四）秩序服务方面如下：</w:t>
      </w:r>
    </w:p>
    <w:p w14:paraId="54E6CF13">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1.积极熟悉馆内各区域，各安防技防设备的点位，熟练操作各种安防设备，对馆内安防提出有效建议并实施的，每次加5分。</w:t>
      </w:r>
    </w:p>
    <w:p w14:paraId="448FB24A">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2.遇到突发事件，能够及时通知甲方，火速赶至现场进行妥当处置，有效避免事件扩大化，受到观众书面表扬的，每次加10分。</w:t>
      </w:r>
    </w:p>
    <w:p w14:paraId="24968AB4">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（五）其他情况如下：</w:t>
      </w:r>
    </w:p>
    <w:p w14:paraId="2462EEE7">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1.同一项工作涉及甲方不同部门时，加分为一次，不得将内容拆分后，要求各部门都给予加分。</w:t>
      </w:r>
    </w:p>
    <w:p w14:paraId="55A8F1A9">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2.加分分值按加分项内容规定实施，如业务部门需提高加分分值，需明确说明原因并经部门主任签字确认。</w:t>
      </w:r>
    </w:p>
    <w:p w14:paraId="4EC71DAB">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3.考核实施中出现人员缺岗超出补充期限约定的,如考核部门不予以扣分,需由考核部门主任签字确认并明确说明原因。</w:t>
      </w:r>
    </w:p>
    <w:p w14:paraId="33F57841">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4.物业服务合同中约定的服务内容及事项不作为额外加分项。</w:t>
      </w:r>
    </w:p>
    <w:p w14:paraId="08A6C1A9">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5.物业服务单位工作突出，但所取得的成绩不在本细则范围内的,经考核部门给予肯定并说明原因后,可予以加分。</w:t>
      </w:r>
    </w:p>
    <w:p w14:paraId="765000F7">
      <w:pPr>
        <w:spacing w:line="560" w:lineRule="exact"/>
        <w:ind w:firstLine="640" w:firstLineChars="200"/>
        <w:rPr>
          <w:rFonts w:ascii="仿宋_GB2312" w:eastAsia="仿宋_GB2312"/>
          <w:sz w:val="32"/>
          <w:szCs w:val="32"/>
        </w:rPr>
      </w:pPr>
      <w:r>
        <w:rPr>
          <w:rFonts w:hint="eastAsia" w:ascii="仿宋_GB2312" w:eastAsia="仿宋_GB2312" w:cs="仿宋_GB2312"/>
          <w:sz w:val="32"/>
          <w:szCs w:val="32"/>
        </w:rPr>
        <w:t>6.个人取得的成绩、荣誉和团队工作成绩的加分项内容，其加分分值每次不得超出10分。</w:t>
      </w:r>
    </w:p>
    <w:p w14:paraId="7C8B4290">
      <w:pPr>
        <w:spacing w:line="560" w:lineRule="exact"/>
        <w:ind w:firstLine="643" w:firstLineChars="200"/>
        <w:rPr>
          <w:rFonts w:ascii="仿宋_GB2312" w:eastAsia="仿宋_GB2312"/>
          <w:sz w:val="32"/>
          <w:szCs w:val="32"/>
        </w:rPr>
      </w:pPr>
      <w:r>
        <w:rPr>
          <w:rFonts w:hint="eastAsia" w:ascii="仿宋_GB2312" w:eastAsia="仿宋_GB2312" w:cs="仿宋_GB2312"/>
          <w:b/>
          <w:bCs/>
          <w:sz w:val="32"/>
          <w:szCs w:val="32"/>
        </w:rPr>
        <w:t>第八条</w:t>
      </w:r>
      <w:r>
        <w:rPr>
          <w:rFonts w:hint="eastAsia" w:ascii="仿宋_GB2312" w:eastAsia="仿宋_GB2312" w:cs="仿宋_GB2312"/>
          <w:sz w:val="32"/>
          <w:szCs w:val="32"/>
        </w:rPr>
        <w:t xml:space="preserve"> 本考核办法最终解释权归上海中国航海博物馆所有。</w:t>
      </w:r>
    </w:p>
    <w:p w14:paraId="55F2F21F">
      <w:pPr>
        <w:spacing w:line="560" w:lineRule="exact"/>
        <w:ind w:firstLine="645"/>
        <w:rPr>
          <w:rFonts w:hint="eastAsia" w:ascii="仿宋_GB2312" w:eastAsia="仿宋_GB2312" w:cs="仿宋_GB2312"/>
          <w:sz w:val="32"/>
          <w:szCs w:val="32"/>
        </w:rPr>
      </w:pPr>
      <w:r>
        <w:rPr>
          <w:rFonts w:hint="eastAsia" w:ascii="仿宋_GB2312" w:eastAsia="仿宋_GB2312" w:cs="仿宋_GB2312"/>
          <w:b/>
          <w:bCs/>
          <w:sz w:val="32"/>
          <w:szCs w:val="32"/>
        </w:rPr>
        <w:t xml:space="preserve">第九条 </w:t>
      </w:r>
      <w:r>
        <w:rPr>
          <w:rFonts w:hint="eastAsia" w:ascii="仿宋_GB2312" w:eastAsia="仿宋_GB2312" w:cs="仿宋_GB2312"/>
          <w:sz w:val="32"/>
          <w:szCs w:val="32"/>
        </w:rPr>
        <w:t xml:space="preserve"> 本办法自发布之日起生效。原《上海中国航海博物馆物业管理工作考核办法》（中海博办〔2023〕2号）自本办法生效之日起自动废止。</w:t>
      </w:r>
    </w:p>
    <w:p w14:paraId="43D7982A">
      <w:pPr>
        <w:spacing w:line="560" w:lineRule="exact"/>
        <w:ind w:firstLine="645"/>
        <w:rPr>
          <w:rFonts w:hint="eastAsia" w:ascii="仿宋_GB2312" w:eastAsia="仿宋_GB2312" w:cs="仿宋_GB2312"/>
          <w:sz w:val="32"/>
          <w:szCs w:val="32"/>
        </w:rPr>
      </w:pPr>
    </w:p>
    <w:p w14:paraId="4474E6A4">
      <w:pPr>
        <w:spacing w:line="560" w:lineRule="exact"/>
        <w:ind w:firstLine="645"/>
        <w:rPr>
          <w:rFonts w:hint="eastAsia" w:ascii="仿宋_GB2312" w:eastAsia="仿宋_GB2312" w:cs="仿宋_GB2312"/>
          <w:sz w:val="32"/>
          <w:szCs w:val="32"/>
        </w:rPr>
      </w:pPr>
    </w:p>
    <w:p w14:paraId="0397E84D">
      <w:pPr>
        <w:spacing w:line="560" w:lineRule="exact"/>
        <w:ind w:firstLine="645"/>
        <w:jc w:val="right"/>
      </w:pPr>
      <w:r>
        <w:rPr>
          <w:rFonts w:hint="eastAsia" w:ascii="仿宋_GB2312" w:eastAsia="仿宋_GB2312" w:cs="仿宋_GB2312"/>
          <w:sz w:val="32"/>
          <w:szCs w:val="32"/>
        </w:rPr>
        <w:t>2024年1月23日</w:t>
      </w:r>
    </w:p>
    <w:p w14:paraId="2880FDC1">
      <w:pPr>
        <w:rPr>
          <w:szCs w:val="28"/>
        </w:rPr>
      </w:pPr>
    </w:p>
    <w:p w14:paraId="26D95839">
      <w:pPr>
        <w:ind w:firstLine="5040" w:firstLineChars="1800"/>
        <w:rPr>
          <w:rFonts w:ascii="仿宋_GB2312" w:eastAsia="仿宋_GB2312"/>
          <w:sz w:val="28"/>
          <w:szCs w:val="32"/>
        </w:rPr>
      </w:pPr>
    </w:p>
    <w:p w14:paraId="59CFDB17">
      <w:pPr>
        <w:ind w:firstLine="181" w:firstLineChars="50"/>
        <w:jc w:val="left"/>
        <w:rPr>
          <w:rFonts w:ascii="宋体"/>
          <w:b/>
          <w:bCs/>
          <w:sz w:val="36"/>
          <w:szCs w:val="36"/>
        </w:rPr>
      </w:pPr>
    </w:p>
    <w:p w14:paraId="220E1AFE">
      <w:pPr>
        <w:ind w:firstLine="181" w:firstLineChars="50"/>
        <w:jc w:val="left"/>
        <w:rPr>
          <w:rFonts w:ascii="宋体"/>
          <w:b/>
          <w:bCs/>
          <w:sz w:val="36"/>
          <w:szCs w:val="36"/>
        </w:rPr>
      </w:pPr>
    </w:p>
    <w:p w14:paraId="37CF5054">
      <w:pPr>
        <w:ind w:firstLine="181" w:firstLineChars="50"/>
        <w:jc w:val="left"/>
        <w:rPr>
          <w:rFonts w:ascii="宋体"/>
          <w:b/>
          <w:bCs/>
          <w:sz w:val="36"/>
          <w:szCs w:val="36"/>
        </w:rPr>
      </w:pPr>
    </w:p>
    <w:p w14:paraId="7CE787EA">
      <w:pPr>
        <w:ind w:firstLine="181" w:firstLineChars="50"/>
        <w:jc w:val="left"/>
        <w:rPr>
          <w:rFonts w:ascii="宋体"/>
          <w:b/>
          <w:bCs/>
          <w:sz w:val="36"/>
          <w:szCs w:val="36"/>
        </w:rPr>
      </w:pPr>
    </w:p>
    <w:p w14:paraId="2028951D">
      <w:pPr>
        <w:ind w:firstLine="181" w:firstLineChars="50"/>
        <w:jc w:val="left"/>
        <w:rPr>
          <w:rFonts w:ascii="宋体"/>
          <w:b/>
          <w:bCs/>
          <w:sz w:val="36"/>
          <w:szCs w:val="36"/>
        </w:rPr>
      </w:pPr>
    </w:p>
    <w:p w14:paraId="28A80272">
      <w:pPr>
        <w:ind w:firstLine="221" w:firstLineChars="50"/>
        <w:jc w:val="center"/>
        <w:rPr>
          <w:rFonts w:ascii="宋体"/>
          <w:b/>
          <w:bCs/>
          <w:sz w:val="36"/>
          <w:szCs w:val="36"/>
        </w:rPr>
      </w:pPr>
      <w:r>
        <w:rPr>
          <w:rFonts w:hint="eastAsia"/>
          <w:b/>
          <w:bCs/>
          <w:sz w:val="44"/>
          <w:szCs w:val="44"/>
        </w:rPr>
        <w:t>上海中国航海博物馆物业服务质量考核总表（月度考核表）</w:t>
      </w:r>
    </w:p>
    <w:tbl>
      <w:tblPr>
        <w:tblStyle w:val="9"/>
        <w:tblW w:w="5000" w:type="pct"/>
        <w:tblInd w:w="0" w:type="dxa"/>
        <w:tblLayout w:type="autofit"/>
        <w:tblCellMar>
          <w:top w:w="0" w:type="dxa"/>
          <w:left w:w="108" w:type="dxa"/>
          <w:bottom w:w="0" w:type="dxa"/>
          <w:right w:w="108" w:type="dxa"/>
        </w:tblCellMar>
      </w:tblPr>
      <w:tblGrid>
        <w:gridCol w:w="406"/>
        <w:gridCol w:w="396"/>
        <w:gridCol w:w="469"/>
        <w:gridCol w:w="676"/>
        <w:gridCol w:w="1608"/>
        <w:gridCol w:w="2920"/>
        <w:gridCol w:w="979"/>
        <w:gridCol w:w="597"/>
        <w:gridCol w:w="471"/>
      </w:tblGrid>
      <w:tr w14:paraId="300C2BCC">
        <w:tblPrEx>
          <w:tblCellMar>
            <w:top w:w="0" w:type="dxa"/>
            <w:left w:w="108" w:type="dxa"/>
            <w:bottom w:w="0" w:type="dxa"/>
            <w:right w:w="108" w:type="dxa"/>
          </w:tblCellMar>
        </w:tblPrEx>
        <w:trPr>
          <w:trHeight w:val="540" w:hRule="atLeast"/>
        </w:trPr>
        <w:tc>
          <w:tcPr>
            <w:tcW w:w="238" w:type="pct"/>
            <w:tcBorders>
              <w:top w:val="single" w:color="auto" w:sz="4" w:space="0"/>
              <w:left w:val="single" w:color="auto" w:sz="4" w:space="0"/>
              <w:bottom w:val="single" w:color="auto" w:sz="4" w:space="0"/>
              <w:right w:val="single" w:color="auto" w:sz="4" w:space="0"/>
            </w:tcBorders>
            <w:shd w:val="clear" w:color="auto" w:fill="auto"/>
            <w:vAlign w:val="center"/>
          </w:tcPr>
          <w:p w14:paraId="2446E193">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序号</w:t>
            </w:r>
          </w:p>
        </w:tc>
        <w:tc>
          <w:tcPr>
            <w:tcW w:w="234" w:type="pct"/>
            <w:tcBorders>
              <w:top w:val="single" w:color="auto" w:sz="4" w:space="0"/>
              <w:left w:val="nil"/>
              <w:bottom w:val="single" w:color="auto" w:sz="4" w:space="0"/>
              <w:right w:val="single" w:color="auto" w:sz="4" w:space="0"/>
            </w:tcBorders>
            <w:shd w:val="clear" w:color="auto" w:fill="auto"/>
            <w:vAlign w:val="center"/>
          </w:tcPr>
          <w:p w14:paraId="2FF17DCB">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考核板块</w:t>
            </w:r>
          </w:p>
        </w:tc>
        <w:tc>
          <w:tcPr>
            <w:tcW w:w="275" w:type="pct"/>
            <w:tcBorders>
              <w:top w:val="single" w:color="auto" w:sz="4" w:space="0"/>
              <w:left w:val="nil"/>
              <w:bottom w:val="single" w:color="auto" w:sz="4" w:space="0"/>
              <w:right w:val="single" w:color="auto" w:sz="4" w:space="0"/>
            </w:tcBorders>
            <w:shd w:val="clear" w:color="auto" w:fill="auto"/>
            <w:vAlign w:val="center"/>
          </w:tcPr>
          <w:p w14:paraId="1BD6D60D">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考核部门</w:t>
            </w:r>
          </w:p>
        </w:tc>
        <w:tc>
          <w:tcPr>
            <w:tcW w:w="397" w:type="pct"/>
            <w:tcBorders>
              <w:top w:val="single" w:color="auto" w:sz="4" w:space="0"/>
              <w:left w:val="nil"/>
              <w:bottom w:val="single" w:color="auto" w:sz="4" w:space="0"/>
              <w:right w:val="single" w:color="auto" w:sz="4" w:space="0"/>
            </w:tcBorders>
            <w:shd w:val="clear" w:color="auto" w:fill="auto"/>
            <w:vAlign w:val="center"/>
          </w:tcPr>
          <w:p w14:paraId="0B4FBD47">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考核项目</w:t>
            </w:r>
          </w:p>
        </w:tc>
        <w:tc>
          <w:tcPr>
            <w:tcW w:w="943" w:type="pct"/>
            <w:tcBorders>
              <w:top w:val="single" w:color="auto" w:sz="4" w:space="0"/>
              <w:left w:val="nil"/>
              <w:bottom w:val="single" w:color="auto" w:sz="4" w:space="0"/>
              <w:right w:val="single" w:color="auto" w:sz="4" w:space="0"/>
            </w:tcBorders>
            <w:shd w:val="clear" w:color="auto" w:fill="auto"/>
            <w:vAlign w:val="center"/>
          </w:tcPr>
          <w:p w14:paraId="2598A0A0">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考核内容</w:t>
            </w:r>
          </w:p>
        </w:tc>
        <w:tc>
          <w:tcPr>
            <w:tcW w:w="1713" w:type="pct"/>
            <w:tcBorders>
              <w:top w:val="single" w:color="auto" w:sz="4" w:space="0"/>
              <w:left w:val="nil"/>
              <w:bottom w:val="single" w:color="auto" w:sz="4" w:space="0"/>
              <w:right w:val="single" w:color="auto" w:sz="4" w:space="0"/>
            </w:tcBorders>
            <w:shd w:val="clear" w:color="auto" w:fill="auto"/>
            <w:vAlign w:val="center"/>
          </w:tcPr>
          <w:p w14:paraId="1BDE7B46">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考核要求</w:t>
            </w:r>
          </w:p>
        </w:tc>
        <w:tc>
          <w:tcPr>
            <w:tcW w:w="574" w:type="pct"/>
            <w:tcBorders>
              <w:top w:val="single" w:color="auto" w:sz="4" w:space="0"/>
              <w:left w:val="nil"/>
              <w:bottom w:val="single" w:color="auto" w:sz="4" w:space="0"/>
              <w:right w:val="single" w:color="auto" w:sz="4" w:space="0"/>
            </w:tcBorders>
            <w:shd w:val="clear" w:color="auto" w:fill="auto"/>
            <w:noWrap/>
            <w:vAlign w:val="center"/>
          </w:tcPr>
          <w:p w14:paraId="3D4D70AB">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检查情况描述</w:t>
            </w:r>
          </w:p>
        </w:tc>
        <w:tc>
          <w:tcPr>
            <w:tcW w:w="350" w:type="pct"/>
            <w:tcBorders>
              <w:top w:val="single" w:color="auto" w:sz="4" w:space="0"/>
              <w:left w:val="nil"/>
              <w:bottom w:val="single" w:color="auto" w:sz="4" w:space="0"/>
              <w:right w:val="single" w:color="auto" w:sz="4" w:space="0"/>
            </w:tcBorders>
            <w:shd w:val="clear" w:color="auto" w:fill="auto"/>
            <w:noWrap/>
            <w:vAlign w:val="center"/>
          </w:tcPr>
          <w:p w14:paraId="617E913A">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扣分值</w:t>
            </w:r>
          </w:p>
        </w:tc>
        <w:tc>
          <w:tcPr>
            <w:tcW w:w="276" w:type="pct"/>
            <w:tcBorders>
              <w:top w:val="single" w:color="auto" w:sz="4" w:space="0"/>
              <w:left w:val="nil"/>
              <w:bottom w:val="single" w:color="auto" w:sz="4" w:space="0"/>
              <w:right w:val="single" w:color="auto" w:sz="4" w:space="0"/>
            </w:tcBorders>
            <w:shd w:val="clear" w:color="auto" w:fill="auto"/>
            <w:noWrap/>
            <w:vAlign w:val="center"/>
          </w:tcPr>
          <w:p w14:paraId="095EF779">
            <w:pPr>
              <w:widowControl/>
              <w:jc w:val="center"/>
              <w:rPr>
                <w:rFonts w:ascii="宋体" w:hAnsi="宋体" w:eastAsia="宋体" w:cs="宋体"/>
                <w:b/>
                <w:bCs/>
                <w:color w:val="000000"/>
                <w:kern w:val="0"/>
                <w:sz w:val="22"/>
              </w:rPr>
            </w:pPr>
            <w:r>
              <w:rPr>
                <w:rFonts w:hint="eastAsia" w:ascii="宋体" w:hAnsi="宋体" w:eastAsia="宋体" w:cs="宋体"/>
                <w:b/>
                <w:bCs/>
                <w:color w:val="000000"/>
                <w:kern w:val="0"/>
                <w:sz w:val="22"/>
              </w:rPr>
              <w:t>备注</w:t>
            </w:r>
          </w:p>
        </w:tc>
      </w:tr>
      <w:tr w14:paraId="7B5049BB">
        <w:tblPrEx>
          <w:tblCellMar>
            <w:top w:w="0" w:type="dxa"/>
            <w:left w:w="108" w:type="dxa"/>
            <w:bottom w:w="0" w:type="dxa"/>
            <w:right w:w="108" w:type="dxa"/>
          </w:tblCellMar>
        </w:tblPrEx>
        <w:trPr>
          <w:trHeight w:val="765" w:hRule="atLeast"/>
        </w:trPr>
        <w:tc>
          <w:tcPr>
            <w:tcW w:w="238" w:type="pct"/>
            <w:vMerge w:val="restart"/>
            <w:tcBorders>
              <w:top w:val="nil"/>
              <w:left w:val="single" w:color="auto" w:sz="4" w:space="0"/>
              <w:bottom w:val="single" w:color="auto" w:sz="4" w:space="0"/>
              <w:right w:val="single" w:color="auto" w:sz="4" w:space="0"/>
            </w:tcBorders>
            <w:shd w:val="clear" w:color="000000" w:fill="FFFFFF"/>
            <w:vAlign w:val="center"/>
          </w:tcPr>
          <w:p w14:paraId="14C1474B">
            <w:pPr>
              <w:widowControl/>
              <w:jc w:val="center"/>
              <w:rPr>
                <w:rFonts w:ascii="宋体" w:hAnsi="宋体" w:eastAsia="宋体" w:cs="宋体"/>
                <w:kern w:val="0"/>
                <w:sz w:val="22"/>
              </w:rPr>
            </w:pPr>
            <w:r>
              <w:rPr>
                <w:rFonts w:hint="eastAsia" w:ascii="宋体" w:hAnsi="宋体" w:eastAsia="宋体" w:cs="宋体"/>
                <w:kern w:val="0"/>
                <w:sz w:val="22"/>
              </w:rPr>
              <w:t>1</w:t>
            </w:r>
          </w:p>
        </w:tc>
        <w:tc>
          <w:tcPr>
            <w:tcW w:w="234" w:type="pct"/>
            <w:vMerge w:val="restart"/>
            <w:tcBorders>
              <w:top w:val="nil"/>
              <w:left w:val="single" w:color="auto" w:sz="4" w:space="0"/>
              <w:bottom w:val="single" w:color="000000" w:sz="4" w:space="0"/>
              <w:right w:val="single" w:color="auto" w:sz="4" w:space="0"/>
            </w:tcBorders>
            <w:shd w:val="clear" w:color="000000" w:fill="FFFFFF"/>
            <w:vAlign w:val="center"/>
          </w:tcPr>
          <w:p w14:paraId="2BCFEBA6">
            <w:pPr>
              <w:widowControl/>
              <w:jc w:val="center"/>
              <w:rPr>
                <w:rFonts w:ascii="宋体" w:hAnsi="宋体" w:eastAsia="宋体" w:cs="宋体"/>
                <w:b/>
                <w:bCs/>
                <w:kern w:val="0"/>
                <w:sz w:val="22"/>
              </w:rPr>
            </w:pPr>
            <w:r>
              <w:rPr>
                <w:rFonts w:hint="eastAsia" w:ascii="宋体" w:hAnsi="宋体" w:eastAsia="宋体" w:cs="宋体"/>
                <w:b/>
                <w:bCs/>
                <w:kern w:val="0"/>
                <w:sz w:val="22"/>
              </w:rPr>
              <w:t>通用板块</w:t>
            </w:r>
          </w:p>
        </w:tc>
        <w:tc>
          <w:tcPr>
            <w:tcW w:w="275" w:type="pct"/>
            <w:vMerge w:val="restart"/>
            <w:tcBorders>
              <w:top w:val="nil"/>
              <w:left w:val="single" w:color="auto" w:sz="4" w:space="0"/>
              <w:bottom w:val="nil"/>
              <w:right w:val="single" w:color="auto" w:sz="4" w:space="0"/>
            </w:tcBorders>
            <w:shd w:val="clear" w:color="000000" w:fill="FFFFFF"/>
            <w:vAlign w:val="center"/>
          </w:tcPr>
          <w:p w14:paraId="35E5D3CD">
            <w:pPr>
              <w:widowControl/>
              <w:jc w:val="center"/>
              <w:rPr>
                <w:rFonts w:ascii="宋体" w:hAnsi="宋体" w:eastAsia="宋体" w:cs="宋体"/>
                <w:kern w:val="0"/>
                <w:sz w:val="22"/>
              </w:rPr>
            </w:pPr>
            <w:r>
              <w:rPr>
                <w:rFonts w:hint="eastAsia" w:ascii="宋体" w:hAnsi="宋体" w:eastAsia="宋体" w:cs="宋体"/>
                <w:kern w:val="0"/>
                <w:sz w:val="22"/>
              </w:rPr>
              <w:t>各考核部门</w:t>
            </w: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232DD08C">
            <w:pPr>
              <w:widowControl/>
              <w:jc w:val="center"/>
              <w:rPr>
                <w:rFonts w:ascii="宋体" w:hAnsi="宋体" w:eastAsia="宋体" w:cs="宋体"/>
                <w:kern w:val="0"/>
                <w:sz w:val="20"/>
                <w:szCs w:val="20"/>
              </w:rPr>
            </w:pPr>
            <w:r>
              <w:rPr>
                <w:rFonts w:hint="eastAsia" w:ascii="宋体" w:hAnsi="宋体" w:eastAsia="宋体" w:cs="宋体"/>
                <w:kern w:val="0"/>
                <w:sz w:val="20"/>
                <w:szCs w:val="20"/>
              </w:rPr>
              <w:t>上岗前的准备工作</w:t>
            </w:r>
          </w:p>
        </w:tc>
        <w:tc>
          <w:tcPr>
            <w:tcW w:w="943" w:type="pct"/>
            <w:vMerge w:val="restart"/>
            <w:tcBorders>
              <w:top w:val="nil"/>
              <w:left w:val="single" w:color="auto" w:sz="4" w:space="0"/>
              <w:bottom w:val="single" w:color="auto" w:sz="4" w:space="0"/>
              <w:right w:val="single" w:color="auto" w:sz="4" w:space="0"/>
            </w:tcBorders>
            <w:shd w:val="clear" w:color="000000" w:fill="FFFFFF"/>
            <w:vAlign w:val="center"/>
          </w:tcPr>
          <w:p w14:paraId="683D2473">
            <w:pPr>
              <w:widowControl/>
              <w:jc w:val="center"/>
              <w:rPr>
                <w:rFonts w:ascii="宋体" w:hAnsi="宋体" w:eastAsia="宋体" w:cs="宋体"/>
                <w:kern w:val="0"/>
                <w:sz w:val="20"/>
                <w:szCs w:val="20"/>
              </w:rPr>
            </w:pPr>
            <w:r>
              <w:rPr>
                <w:rFonts w:hint="eastAsia" w:ascii="宋体" w:hAnsi="宋体" w:eastAsia="宋体" w:cs="宋体"/>
                <w:kern w:val="0"/>
                <w:sz w:val="20"/>
                <w:szCs w:val="20"/>
              </w:rPr>
              <w:t>上岗前做好个人的仪表仪容，按各部门要求参加岗前晨会；开馆前10分钟做好相关设施设备的准备、为民服务设施、导览资料、广告牌、说明牌等放置到位。如遇特殊情况必须提前开馆的，必须严格按要求的时间点到岗准备。</w:t>
            </w:r>
          </w:p>
        </w:tc>
        <w:tc>
          <w:tcPr>
            <w:tcW w:w="1713" w:type="pct"/>
            <w:tcBorders>
              <w:top w:val="nil"/>
              <w:left w:val="nil"/>
              <w:bottom w:val="single" w:color="auto" w:sz="4" w:space="0"/>
              <w:right w:val="single" w:color="auto" w:sz="4" w:space="0"/>
            </w:tcBorders>
            <w:shd w:val="clear" w:color="000000" w:fill="FFFFFF"/>
            <w:vAlign w:val="center"/>
          </w:tcPr>
          <w:p w14:paraId="5FB3F543">
            <w:pPr>
              <w:widowControl/>
              <w:jc w:val="center"/>
              <w:rPr>
                <w:rFonts w:ascii="宋体" w:hAnsi="宋体" w:eastAsia="宋体" w:cs="宋体"/>
                <w:kern w:val="0"/>
                <w:sz w:val="20"/>
                <w:szCs w:val="20"/>
              </w:rPr>
            </w:pPr>
            <w:r>
              <w:rPr>
                <w:rFonts w:hint="eastAsia" w:ascii="宋体" w:hAnsi="宋体" w:eastAsia="宋体" w:cs="宋体"/>
                <w:kern w:val="0"/>
                <w:sz w:val="20"/>
                <w:szCs w:val="20"/>
              </w:rPr>
              <w:t>1.岗前晨会未准时参加或无故缺席的，每出现一例扣0.5-5分。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7F2D6511">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49EE79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vMerge w:val="restart"/>
            <w:tcBorders>
              <w:top w:val="nil"/>
              <w:left w:val="single" w:color="auto" w:sz="4" w:space="0"/>
              <w:bottom w:val="single" w:color="000000" w:sz="4" w:space="0"/>
              <w:right w:val="single" w:color="auto" w:sz="4" w:space="0"/>
            </w:tcBorders>
            <w:shd w:val="clear" w:color="000000" w:fill="FFFFFF"/>
            <w:vAlign w:val="center"/>
          </w:tcPr>
          <w:p w14:paraId="4DF41EBC">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r>
      <w:tr w14:paraId="4F014E14">
        <w:tblPrEx>
          <w:tblCellMar>
            <w:top w:w="0" w:type="dxa"/>
            <w:left w:w="108" w:type="dxa"/>
            <w:bottom w:w="0" w:type="dxa"/>
            <w:right w:w="108" w:type="dxa"/>
          </w:tblCellMar>
        </w:tblPrEx>
        <w:trPr>
          <w:trHeight w:val="750" w:hRule="atLeast"/>
        </w:trPr>
        <w:tc>
          <w:tcPr>
            <w:tcW w:w="238" w:type="pct"/>
            <w:vMerge w:val="continue"/>
            <w:tcBorders>
              <w:top w:val="nil"/>
              <w:left w:val="single" w:color="auto" w:sz="4" w:space="0"/>
              <w:bottom w:val="single" w:color="auto" w:sz="4" w:space="0"/>
              <w:right w:val="single" w:color="auto" w:sz="4" w:space="0"/>
            </w:tcBorders>
            <w:vAlign w:val="center"/>
          </w:tcPr>
          <w:p w14:paraId="0E746C10">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0C995E1E">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45A24DD4">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64DEEFAC">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3AB9CB07">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2931A613">
            <w:pPr>
              <w:widowControl/>
              <w:jc w:val="center"/>
              <w:rPr>
                <w:rFonts w:ascii="宋体" w:hAnsi="宋体" w:eastAsia="宋体" w:cs="宋体"/>
                <w:kern w:val="0"/>
                <w:sz w:val="20"/>
                <w:szCs w:val="20"/>
              </w:rPr>
            </w:pPr>
            <w:r>
              <w:rPr>
                <w:rFonts w:hint="eastAsia" w:ascii="宋体" w:hAnsi="宋体" w:eastAsia="宋体" w:cs="宋体"/>
                <w:kern w:val="0"/>
                <w:sz w:val="20"/>
                <w:szCs w:val="20"/>
              </w:rPr>
              <w:t>2.未按要求完成设施设备与用具等准备，每发现一例扣0.5-5分。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6F136E6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76D6D7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vMerge w:val="continue"/>
            <w:tcBorders>
              <w:top w:val="nil"/>
              <w:left w:val="single" w:color="auto" w:sz="4" w:space="0"/>
              <w:bottom w:val="single" w:color="000000" w:sz="4" w:space="0"/>
              <w:right w:val="single" w:color="auto" w:sz="4" w:space="0"/>
            </w:tcBorders>
            <w:vAlign w:val="center"/>
          </w:tcPr>
          <w:p w14:paraId="38A2B7AF">
            <w:pPr>
              <w:widowControl/>
              <w:jc w:val="left"/>
              <w:rPr>
                <w:rFonts w:ascii="宋体" w:hAnsi="宋体" w:eastAsia="宋体" w:cs="宋体"/>
                <w:color w:val="FF0000"/>
                <w:kern w:val="0"/>
                <w:sz w:val="22"/>
              </w:rPr>
            </w:pPr>
          </w:p>
        </w:tc>
      </w:tr>
      <w:tr w14:paraId="36114AD7">
        <w:tblPrEx>
          <w:tblCellMar>
            <w:top w:w="0" w:type="dxa"/>
            <w:left w:w="108" w:type="dxa"/>
            <w:bottom w:w="0" w:type="dxa"/>
            <w:right w:w="108" w:type="dxa"/>
          </w:tblCellMar>
        </w:tblPrEx>
        <w:trPr>
          <w:trHeight w:val="630" w:hRule="atLeast"/>
        </w:trPr>
        <w:tc>
          <w:tcPr>
            <w:tcW w:w="238" w:type="pct"/>
            <w:vMerge w:val="continue"/>
            <w:tcBorders>
              <w:top w:val="nil"/>
              <w:left w:val="single" w:color="auto" w:sz="4" w:space="0"/>
              <w:bottom w:val="single" w:color="auto" w:sz="4" w:space="0"/>
              <w:right w:val="single" w:color="auto" w:sz="4" w:space="0"/>
            </w:tcBorders>
            <w:vAlign w:val="center"/>
          </w:tcPr>
          <w:p w14:paraId="38ECBC42">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522A0551">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698C80A2">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11A6F8DB">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3F8B6ADE">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44F2F727">
            <w:pPr>
              <w:widowControl/>
              <w:jc w:val="center"/>
              <w:rPr>
                <w:rFonts w:ascii="宋体" w:hAnsi="宋体" w:eastAsia="宋体" w:cs="宋体"/>
                <w:kern w:val="0"/>
                <w:sz w:val="20"/>
                <w:szCs w:val="20"/>
              </w:rPr>
            </w:pPr>
            <w:r>
              <w:rPr>
                <w:rFonts w:hint="eastAsia" w:ascii="宋体" w:hAnsi="宋体" w:eastAsia="宋体" w:cs="宋体"/>
                <w:kern w:val="0"/>
                <w:sz w:val="20"/>
                <w:szCs w:val="20"/>
              </w:rPr>
              <w:t>3.上岗前做好个人的仪表仪容，按各部门要求参加岗前晨会；开馆前10分钟做好相关设施设备的准备、为民服务设施、导览资料、广告牌、说明牌等放置到位。如遇特殊情况必须提前开馆的，必须严格按要求的时间点到岗准备。</w:t>
            </w:r>
          </w:p>
        </w:tc>
        <w:tc>
          <w:tcPr>
            <w:tcW w:w="574" w:type="pct"/>
            <w:tcBorders>
              <w:top w:val="nil"/>
              <w:left w:val="nil"/>
              <w:bottom w:val="single" w:color="auto" w:sz="4" w:space="0"/>
              <w:right w:val="single" w:color="auto" w:sz="4" w:space="0"/>
            </w:tcBorders>
            <w:shd w:val="clear" w:color="000000" w:fill="FFFFFF"/>
            <w:noWrap/>
            <w:vAlign w:val="center"/>
          </w:tcPr>
          <w:p w14:paraId="48C0F34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BCB4E22">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vMerge w:val="continue"/>
            <w:tcBorders>
              <w:top w:val="nil"/>
              <w:left w:val="single" w:color="auto" w:sz="4" w:space="0"/>
              <w:bottom w:val="single" w:color="000000" w:sz="4" w:space="0"/>
              <w:right w:val="single" w:color="auto" w:sz="4" w:space="0"/>
            </w:tcBorders>
            <w:vAlign w:val="center"/>
          </w:tcPr>
          <w:p w14:paraId="7293DCB7">
            <w:pPr>
              <w:widowControl/>
              <w:jc w:val="left"/>
              <w:rPr>
                <w:rFonts w:ascii="宋体" w:hAnsi="宋体" w:eastAsia="宋体" w:cs="宋体"/>
                <w:color w:val="FF0000"/>
                <w:kern w:val="0"/>
                <w:sz w:val="22"/>
              </w:rPr>
            </w:pPr>
          </w:p>
        </w:tc>
      </w:tr>
      <w:tr w14:paraId="3EEB6CE5">
        <w:tblPrEx>
          <w:tblCellMar>
            <w:top w:w="0" w:type="dxa"/>
            <w:left w:w="108" w:type="dxa"/>
            <w:bottom w:w="0" w:type="dxa"/>
            <w:right w:w="108" w:type="dxa"/>
          </w:tblCellMar>
        </w:tblPrEx>
        <w:trPr>
          <w:trHeight w:val="300" w:hRule="atLeast"/>
        </w:trPr>
        <w:tc>
          <w:tcPr>
            <w:tcW w:w="238" w:type="pct"/>
            <w:vMerge w:val="restart"/>
            <w:tcBorders>
              <w:top w:val="nil"/>
              <w:left w:val="single" w:color="auto" w:sz="4" w:space="0"/>
              <w:bottom w:val="single" w:color="auto" w:sz="4" w:space="0"/>
              <w:right w:val="single" w:color="auto" w:sz="4" w:space="0"/>
            </w:tcBorders>
            <w:shd w:val="clear" w:color="000000" w:fill="FFFFFF"/>
            <w:vAlign w:val="center"/>
          </w:tcPr>
          <w:p w14:paraId="61ABDF99">
            <w:pPr>
              <w:widowControl/>
              <w:jc w:val="center"/>
              <w:rPr>
                <w:rFonts w:ascii="宋体" w:hAnsi="宋体" w:eastAsia="宋体" w:cs="宋体"/>
                <w:kern w:val="0"/>
                <w:sz w:val="22"/>
              </w:rPr>
            </w:pPr>
            <w:r>
              <w:rPr>
                <w:rFonts w:hint="eastAsia" w:ascii="宋体" w:hAnsi="宋体" w:eastAsia="宋体" w:cs="宋体"/>
                <w:kern w:val="0"/>
                <w:sz w:val="22"/>
              </w:rPr>
              <w:t>2</w:t>
            </w:r>
          </w:p>
        </w:tc>
        <w:tc>
          <w:tcPr>
            <w:tcW w:w="234" w:type="pct"/>
            <w:vMerge w:val="continue"/>
            <w:tcBorders>
              <w:top w:val="nil"/>
              <w:left w:val="single" w:color="auto" w:sz="4" w:space="0"/>
              <w:bottom w:val="single" w:color="000000" w:sz="4" w:space="0"/>
              <w:right w:val="single" w:color="auto" w:sz="4" w:space="0"/>
            </w:tcBorders>
            <w:vAlign w:val="center"/>
          </w:tcPr>
          <w:p w14:paraId="1E48EC8A">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2E51075D">
            <w:pPr>
              <w:widowControl/>
              <w:jc w:val="left"/>
              <w:rPr>
                <w:rFonts w:ascii="宋体" w:hAnsi="宋体" w:eastAsia="宋体" w:cs="宋体"/>
                <w:kern w:val="0"/>
                <w:sz w:val="22"/>
              </w:rPr>
            </w:pP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694E025B">
            <w:pPr>
              <w:widowControl/>
              <w:jc w:val="center"/>
              <w:rPr>
                <w:rFonts w:ascii="宋体" w:hAnsi="宋体" w:eastAsia="宋体" w:cs="宋体"/>
                <w:kern w:val="0"/>
                <w:sz w:val="20"/>
                <w:szCs w:val="20"/>
              </w:rPr>
            </w:pPr>
            <w:r>
              <w:rPr>
                <w:rFonts w:hint="eastAsia" w:ascii="宋体" w:hAnsi="宋体" w:eastAsia="宋体" w:cs="宋体"/>
                <w:kern w:val="0"/>
                <w:sz w:val="20"/>
                <w:szCs w:val="20"/>
              </w:rPr>
              <w:t>仪表仪容、礼仪规范、工作态度</w:t>
            </w:r>
          </w:p>
        </w:tc>
        <w:tc>
          <w:tcPr>
            <w:tcW w:w="943" w:type="pct"/>
            <w:vMerge w:val="restart"/>
            <w:tcBorders>
              <w:top w:val="nil"/>
              <w:left w:val="single" w:color="auto" w:sz="4" w:space="0"/>
              <w:bottom w:val="single" w:color="auto" w:sz="4" w:space="0"/>
              <w:right w:val="single" w:color="auto" w:sz="4" w:space="0"/>
            </w:tcBorders>
            <w:shd w:val="clear" w:color="000000" w:fill="FFFFFF"/>
            <w:vAlign w:val="center"/>
          </w:tcPr>
          <w:p w14:paraId="254DFE86">
            <w:pPr>
              <w:widowControl/>
              <w:jc w:val="center"/>
              <w:rPr>
                <w:rFonts w:ascii="宋体" w:hAnsi="宋体" w:eastAsia="宋体" w:cs="宋体"/>
                <w:kern w:val="0"/>
                <w:sz w:val="20"/>
                <w:szCs w:val="20"/>
              </w:rPr>
            </w:pPr>
            <w:r>
              <w:rPr>
                <w:rFonts w:hint="eastAsia" w:ascii="宋体" w:hAnsi="宋体" w:eastAsia="宋体" w:cs="宋体"/>
                <w:kern w:val="0"/>
                <w:sz w:val="20"/>
                <w:szCs w:val="20"/>
              </w:rPr>
              <w:t>着装统一规范；佩戴工号牌、胸前牌上岗；头发梳理得体，不染彩发，女员工长发用发套，男员工头发后面不过衣领，两侧不过耳；女员工面部淡妆，男员工不蓄胡须；指甲长短合适、清洁，不涂有色指甲油；不戴式样夸张、色彩鲜艳饰物。</w:t>
            </w:r>
          </w:p>
        </w:tc>
        <w:tc>
          <w:tcPr>
            <w:tcW w:w="1713" w:type="pct"/>
            <w:tcBorders>
              <w:top w:val="nil"/>
              <w:left w:val="nil"/>
              <w:bottom w:val="single" w:color="auto" w:sz="4" w:space="0"/>
              <w:right w:val="single" w:color="auto" w:sz="4" w:space="0"/>
            </w:tcBorders>
            <w:shd w:val="clear" w:color="000000" w:fill="FFFFFF"/>
            <w:vAlign w:val="center"/>
          </w:tcPr>
          <w:p w14:paraId="02A08F5D">
            <w:pPr>
              <w:widowControl/>
              <w:jc w:val="center"/>
              <w:rPr>
                <w:rFonts w:ascii="宋体" w:hAnsi="宋体" w:eastAsia="宋体" w:cs="宋体"/>
                <w:kern w:val="0"/>
                <w:sz w:val="20"/>
                <w:szCs w:val="20"/>
              </w:rPr>
            </w:pPr>
            <w:r>
              <w:rPr>
                <w:rFonts w:hint="eastAsia" w:ascii="宋体" w:hAnsi="宋体" w:eastAsia="宋体" w:cs="宋体"/>
                <w:kern w:val="0"/>
                <w:sz w:val="20"/>
                <w:szCs w:val="20"/>
              </w:rPr>
              <w:t>1.着装不统一规范，每出现一例扣0.5-5分。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11D1B692">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EA53EB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vMerge w:val="continue"/>
            <w:tcBorders>
              <w:top w:val="nil"/>
              <w:left w:val="single" w:color="auto" w:sz="4" w:space="0"/>
              <w:bottom w:val="single" w:color="000000" w:sz="4" w:space="0"/>
              <w:right w:val="single" w:color="auto" w:sz="4" w:space="0"/>
            </w:tcBorders>
            <w:vAlign w:val="center"/>
          </w:tcPr>
          <w:p w14:paraId="7C08AED3">
            <w:pPr>
              <w:widowControl/>
              <w:jc w:val="left"/>
              <w:rPr>
                <w:rFonts w:ascii="宋体" w:hAnsi="宋体" w:eastAsia="宋体" w:cs="宋体"/>
                <w:color w:val="FF0000"/>
                <w:kern w:val="0"/>
                <w:sz w:val="22"/>
              </w:rPr>
            </w:pPr>
          </w:p>
        </w:tc>
      </w:tr>
      <w:tr w14:paraId="7C694B93">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4FB00EB2">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3F01253">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416ECDD6">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2E17EF0B">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70716686">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29D0D8AD">
            <w:pPr>
              <w:widowControl/>
              <w:jc w:val="center"/>
              <w:rPr>
                <w:rFonts w:ascii="宋体" w:hAnsi="宋体" w:eastAsia="宋体" w:cs="宋体"/>
                <w:kern w:val="0"/>
                <w:sz w:val="20"/>
                <w:szCs w:val="20"/>
              </w:rPr>
            </w:pPr>
            <w:r>
              <w:rPr>
                <w:rFonts w:hint="eastAsia" w:ascii="宋体" w:hAnsi="宋体" w:eastAsia="宋体" w:cs="宋体"/>
                <w:kern w:val="0"/>
                <w:sz w:val="20"/>
                <w:szCs w:val="20"/>
              </w:rPr>
              <w:t>2.上岗未戴工号牌、胸前牌，每出现一例扣0.5-5分。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2A3F228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FB008C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vMerge w:val="continue"/>
            <w:tcBorders>
              <w:top w:val="nil"/>
              <w:left w:val="single" w:color="auto" w:sz="4" w:space="0"/>
              <w:bottom w:val="single" w:color="000000" w:sz="4" w:space="0"/>
              <w:right w:val="single" w:color="auto" w:sz="4" w:space="0"/>
            </w:tcBorders>
            <w:vAlign w:val="center"/>
          </w:tcPr>
          <w:p w14:paraId="02A0D0BC">
            <w:pPr>
              <w:widowControl/>
              <w:jc w:val="left"/>
              <w:rPr>
                <w:rFonts w:ascii="宋体" w:hAnsi="宋体" w:eastAsia="宋体" w:cs="宋体"/>
                <w:color w:val="FF0000"/>
                <w:kern w:val="0"/>
                <w:sz w:val="22"/>
              </w:rPr>
            </w:pPr>
          </w:p>
        </w:tc>
      </w:tr>
      <w:tr w14:paraId="6A3CE4EA">
        <w:tblPrEx>
          <w:tblCellMar>
            <w:top w:w="0" w:type="dxa"/>
            <w:left w:w="108" w:type="dxa"/>
            <w:bottom w:w="0" w:type="dxa"/>
            <w:right w:w="108" w:type="dxa"/>
          </w:tblCellMar>
        </w:tblPrEx>
        <w:trPr>
          <w:trHeight w:val="855" w:hRule="atLeast"/>
        </w:trPr>
        <w:tc>
          <w:tcPr>
            <w:tcW w:w="238" w:type="pct"/>
            <w:vMerge w:val="continue"/>
            <w:tcBorders>
              <w:top w:val="nil"/>
              <w:left w:val="single" w:color="auto" w:sz="4" w:space="0"/>
              <w:bottom w:val="single" w:color="auto" w:sz="4" w:space="0"/>
              <w:right w:val="single" w:color="auto" w:sz="4" w:space="0"/>
            </w:tcBorders>
            <w:vAlign w:val="center"/>
          </w:tcPr>
          <w:p w14:paraId="045C5F7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E0BB5DD">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1CE05CDB">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390436FE">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144BC368">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6284643E">
            <w:pPr>
              <w:widowControl/>
              <w:jc w:val="center"/>
              <w:rPr>
                <w:rFonts w:ascii="宋体" w:hAnsi="宋体" w:eastAsia="宋体" w:cs="宋体"/>
                <w:kern w:val="0"/>
                <w:sz w:val="20"/>
                <w:szCs w:val="20"/>
              </w:rPr>
            </w:pPr>
            <w:r>
              <w:rPr>
                <w:rFonts w:hint="eastAsia" w:ascii="宋体" w:hAnsi="宋体" w:eastAsia="宋体" w:cs="宋体"/>
                <w:kern w:val="0"/>
                <w:sz w:val="20"/>
                <w:szCs w:val="20"/>
              </w:rPr>
              <w:t>3. 女生长发披肩或梳理不整洁，染彩发，涂有色指甲油、戴夸张饰物等；男生留长发、蓄留胡须、留长指甲等，每发现一例扣0.5-5分。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52D91399">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2303B2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vMerge w:val="continue"/>
            <w:tcBorders>
              <w:top w:val="nil"/>
              <w:left w:val="single" w:color="auto" w:sz="4" w:space="0"/>
              <w:bottom w:val="single" w:color="000000" w:sz="4" w:space="0"/>
              <w:right w:val="single" w:color="auto" w:sz="4" w:space="0"/>
            </w:tcBorders>
            <w:vAlign w:val="center"/>
          </w:tcPr>
          <w:p w14:paraId="339D8744">
            <w:pPr>
              <w:widowControl/>
              <w:jc w:val="left"/>
              <w:rPr>
                <w:rFonts w:ascii="宋体" w:hAnsi="宋体" w:eastAsia="宋体" w:cs="宋体"/>
                <w:color w:val="FF0000"/>
                <w:kern w:val="0"/>
                <w:sz w:val="22"/>
              </w:rPr>
            </w:pPr>
          </w:p>
        </w:tc>
      </w:tr>
      <w:tr w14:paraId="22210D2E">
        <w:tblPrEx>
          <w:tblCellMar>
            <w:top w:w="0" w:type="dxa"/>
            <w:left w:w="108" w:type="dxa"/>
            <w:bottom w:w="0" w:type="dxa"/>
            <w:right w:w="108" w:type="dxa"/>
          </w:tblCellMar>
        </w:tblPrEx>
        <w:trPr>
          <w:trHeight w:val="660" w:hRule="atLeast"/>
        </w:trPr>
        <w:tc>
          <w:tcPr>
            <w:tcW w:w="238" w:type="pct"/>
            <w:vMerge w:val="continue"/>
            <w:tcBorders>
              <w:top w:val="nil"/>
              <w:left w:val="single" w:color="auto" w:sz="4" w:space="0"/>
              <w:bottom w:val="single" w:color="auto" w:sz="4" w:space="0"/>
              <w:right w:val="single" w:color="auto" w:sz="4" w:space="0"/>
            </w:tcBorders>
            <w:vAlign w:val="center"/>
          </w:tcPr>
          <w:p w14:paraId="6FF4AEF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22DA373A">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0F2ABAEA">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0569B74C">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5DF1113B">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7721B2C2">
            <w:pPr>
              <w:widowControl/>
              <w:jc w:val="center"/>
              <w:rPr>
                <w:rFonts w:ascii="宋体" w:hAnsi="宋体" w:eastAsia="宋体" w:cs="宋体"/>
                <w:kern w:val="0"/>
                <w:sz w:val="20"/>
                <w:szCs w:val="20"/>
              </w:rPr>
            </w:pPr>
            <w:r>
              <w:rPr>
                <w:rFonts w:hint="eastAsia" w:ascii="宋体" w:hAnsi="宋体" w:eastAsia="宋体" w:cs="宋体"/>
                <w:kern w:val="0"/>
                <w:sz w:val="20"/>
                <w:szCs w:val="20"/>
              </w:rPr>
              <w:t>4.外型整洁、精神；浓妆或彩妆、蓄留胡须、留长甲、涂有色指甲油、戴夸张饰物等，每出现一例扣0.5-5分。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6D3F1278">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38E2136">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vMerge w:val="continue"/>
            <w:tcBorders>
              <w:top w:val="nil"/>
              <w:left w:val="single" w:color="auto" w:sz="4" w:space="0"/>
              <w:bottom w:val="single" w:color="000000" w:sz="4" w:space="0"/>
              <w:right w:val="single" w:color="auto" w:sz="4" w:space="0"/>
            </w:tcBorders>
            <w:vAlign w:val="center"/>
          </w:tcPr>
          <w:p w14:paraId="63E3F17C">
            <w:pPr>
              <w:widowControl/>
              <w:jc w:val="left"/>
              <w:rPr>
                <w:rFonts w:ascii="宋体" w:hAnsi="宋体" w:eastAsia="宋体" w:cs="宋体"/>
                <w:color w:val="FF0000"/>
                <w:kern w:val="0"/>
                <w:sz w:val="22"/>
              </w:rPr>
            </w:pPr>
          </w:p>
        </w:tc>
      </w:tr>
      <w:tr w14:paraId="06279BFC">
        <w:tblPrEx>
          <w:tblCellMar>
            <w:top w:w="0" w:type="dxa"/>
            <w:left w:w="108" w:type="dxa"/>
            <w:bottom w:w="0" w:type="dxa"/>
            <w:right w:w="108" w:type="dxa"/>
          </w:tblCellMar>
        </w:tblPrEx>
        <w:trPr>
          <w:trHeight w:val="300" w:hRule="atLeast"/>
        </w:trPr>
        <w:tc>
          <w:tcPr>
            <w:tcW w:w="238" w:type="pct"/>
            <w:vMerge w:val="continue"/>
            <w:tcBorders>
              <w:top w:val="nil"/>
              <w:left w:val="single" w:color="auto" w:sz="4" w:space="0"/>
              <w:bottom w:val="single" w:color="auto" w:sz="4" w:space="0"/>
              <w:right w:val="single" w:color="auto" w:sz="4" w:space="0"/>
            </w:tcBorders>
            <w:vAlign w:val="center"/>
          </w:tcPr>
          <w:p w14:paraId="4BBC2074">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1DB99E92">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24DCEB7A">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5D8F41FE">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3606DE7D">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378BF24D">
            <w:pPr>
              <w:widowControl/>
              <w:jc w:val="center"/>
              <w:rPr>
                <w:rFonts w:ascii="宋体" w:hAnsi="宋体" w:eastAsia="宋体" w:cs="宋体"/>
                <w:kern w:val="0"/>
                <w:sz w:val="20"/>
                <w:szCs w:val="20"/>
              </w:rPr>
            </w:pPr>
            <w:r>
              <w:rPr>
                <w:rFonts w:hint="eastAsia" w:ascii="宋体" w:hAnsi="宋体" w:eastAsia="宋体" w:cs="宋体"/>
                <w:kern w:val="0"/>
                <w:sz w:val="20"/>
                <w:szCs w:val="20"/>
              </w:rPr>
              <w:t>5. 岗上出现站势不规范如倚靠、斜靠等，每一例扣0.5-5分。</w:t>
            </w:r>
          </w:p>
        </w:tc>
        <w:tc>
          <w:tcPr>
            <w:tcW w:w="574" w:type="pct"/>
            <w:tcBorders>
              <w:top w:val="nil"/>
              <w:left w:val="nil"/>
              <w:bottom w:val="single" w:color="auto" w:sz="4" w:space="0"/>
              <w:right w:val="single" w:color="auto" w:sz="4" w:space="0"/>
            </w:tcBorders>
            <w:shd w:val="clear" w:color="000000" w:fill="FFFFFF"/>
            <w:noWrap/>
            <w:vAlign w:val="center"/>
          </w:tcPr>
          <w:p w14:paraId="5408A55F">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402EE9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vMerge w:val="continue"/>
            <w:tcBorders>
              <w:top w:val="nil"/>
              <w:left w:val="single" w:color="auto" w:sz="4" w:space="0"/>
              <w:bottom w:val="single" w:color="000000" w:sz="4" w:space="0"/>
              <w:right w:val="single" w:color="auto" w:sz="4" w:space="0"/>
            </w:tcBorders>
            <w:vAlign w:val="center"/>
          </w:tcPr>
          <w:p w14:paraId="4F54B846">
            <w:pPr>
              <w:widowControl/>
              <w:jc w:val="left"/>
              <w:rPr>
                <w:rFonts w:ascii="宋体" w:hAnsi="宋体" w:eastAsia="宋体" w:cs="宋体"/>
                <w:color w:val="FF0000"/>
                <w:kern w:val="0"/>
                <w:sz w:val="22"/>
              </w:rPr>
            </w:pPr>
          </w:p>
        </w:tc>
      </w:tr>
      <w:tr w14:paraId="5AE6FB26">
        <w:tblPrEx>
          <w:tblCellMar>
            <w:top w:w="0" w:type="dxa"/>
            <w:left w:w="108" w:type="dxa"/>
            <w:bottom w:w="0" w:type="dxa"/>
            <w:right w:w="108" w:type="dxa"/>
          </w:tblCellMar>
        </w:tblPrEx>
        <w:trPr>
          <w:trHeight w:val="690" w:hRule="atLeast"/>
        </w:trPr>
        <w:tc>
          <w:tcPr>
            <w:tcW w:w="238" w:type="pct"/>
            <w:vMerge w:val="continue"/>
            <w:tcBorders>
              <w:top w:val="nil"/>
              <w:left w:val="single" w:color="auto" w:sz="4" w:space="0"/>
              <w:bottom w:val="single" w:color="auto" w:sz="4" w:space="0"/>
              <w:right w:val="single" w:color="auto" w:sz="4" w:space="0"/>
            </w:tcBorders>
            <w:vAlign w:val="center"/>
          </w:tcPr>
          <w:p w14:paraId="46AEBACA">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03EDE646">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73346C83">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3C29022A">
            <w:pPr>
              <w:widowControl/>
              <w:jc w:val="left"/>
              <w:rPr>
                <w:rFonts w:ascii="宋体" w:hAnsi="宋体" w:eastAsia="宋体" w:cs="宋体"/>
                <w:kern w:val="0"/>
                <w:sz w:val="20"/>
                <w:szCs w:val="20"/>
              </w:rPr>
            </w:pPr>
          </w:p>
        </w:tc>
        <w:tc>
          <w:tcPr>
            <w:tcW w:w="943" w:type="pct"/>
            <w:vMerge w:val="restart"/>
            <w:tcBorders>
              <w:top w:val="nil"/>
              <w:left w:val="single" w:color="auto" w:sz="4" w:space="0"/>
              <w:bottom w:val="single" w:color="000000" w:sz="4" w:space="0"/>
              <w:right w:val="single" w:color="auto" w:sz="4" w:space="0"/>
            </w:tcBorders>
            <w:shd w:val="clear" w:color="000000" w:fill="FFFFFF"/>
            <w:vAlign w:val="center"/>
          </w:tcPr>
          <w:p w14:paraId="08990EFD">
            <w:pPr>
              <w:widowControl/>
              <w:jc w:val="center"/>
              <w:rPr>
                <w:rFonts w:ascii="宋体" w:hAnsi="宋体" w:eastAsia="宋体" w:cs="宋体"/>
                <w:kern w:val="0"/>
                <w:sz w:val="20"/>
                <w:szCs w:val="20"/>
              </w:rPr>
            </w:pPr>
            <w:r>
              <w:rPr>
                <w:rFonts w:hint="eastAsia" w:ascii="宋体" w:hAnsi="宋体" w:eastAsia="宋体" w:cs="宋体"/>
                <w:kern w:val="0"/>
                <w:sz w:val="20"/>
                <w:szCs w:val="20"/>
              </w:rPr>
              <w:t>礼貌用语恰当，态度真诚友好，表情生动丰富，服务主动热情，身体语言应用适当。一般情况下不得使用方言等非普及化语言。有问必答，用语规范有理，多以敬语打头；遇到特殊情况不确定或无法处理时，不能生硬应对，应婉转地解答或请示上级领导，妥善处理现场各类情况。</w:t>
            </w:r>
          </w:p>
        </w:tc>
        <w:tc>
          <w:tcPr>
            <w:tcW w:w="1713" w:type="pct"/>
            <w:tcBorders>
              <w:top w:val="nil"/>
              <w:left w:val="nil"/>
              <w:bottom w:val="single" w:color="auto" w:sz="4" w:space="0"/>
              <w:right w:val="single" w:color="auto" w:sz="4" w:space="0"/>
            </w:tcBorders>
            <w:shd w:val="clear" w:color="000000" w:fill="FFFFFF"/>
            <w:vAlign w:val="center"/>
          </w:tcPr>
          <w:p w14:paraId="31C4DB9F">
            <w:pPr>
              <w:widowControl/>
              <w:jc w:val="center"/>
              <w:rPr>
                <w:rFonts w:ascii="宋体" w:hAnsi="宋体" w:eastAsia="宋体" w:cs="宋体"/>
                <w:kern w:val="0"/>
                <w:sz w:val="20"/>
                <w:szCs w:val="20"/>
              </w:rPr>
            </w:pPr>
            <w:r>
              <w:rPr>
                <w:rFonts w:hint="eastAsia" w:ascii="宋体" w:hAnsi="宋体" w:eastAsia="宋体" w:cs="宋体"/>
                <w:kern w:val="0"/>
                <w:sz w:val="20"/>
                <w:szCs w:val="20"/>
              </w:rPr>
              <w:t>1.服务态度冷漠或不耐烦，用语欠规范，对观众、馆方提问置之不理或搪塞而过，每发现一例扣1-10分</w:t>
            </w:r>
          </w:p>
        </w:tc>
        <w:tc>
          <w:tcPr>
            <w:tcW w:w="574" w:type="pct"/>
            <w:tcBorders>
              <w:top w:val="nil"/>
              <w:left w:val="nil"/>
              <w:bottom w:val="single" w:color="auto" w:sz="4" w:space="0"/>
              <w:right w:val="single" w:color="auto" w:sz="4" w:space="0"/>
            </w:tcBorders>
            <w:shd w:val="clear" w:color="000000" w:fill="FFFFFF"/>
            <w:noWrap/>
            <w:vAlign w:val="center"/>
          </w:tcPr>
          <w:p w14:paraId="42A6182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0A9EF0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vMerge w:val="continue"/>
            <w:tcBorders>
              <w:top w:val="nil"/>
              <w:left w:val="single" w:color="auto" w:sz="4" w:space="0"/>
              <w:bottom w:val="single" w:color="000000" w:sz="4" w:space="0"/>
              <w:right w:val="single" w:color="auto" w:sz="4" w:space="0"/>
            </w:tcBorders>
            <w:vAlign w:val="center"/>
          </w:tcPr>
          <w:p w14:paraId="71FEC306">
            <w:pPr>
              <w:widowControl/>
              <w:jc w:val="left"/>
              <w:rPr>
                <w:rFonts w:ascii="宋体" w:hAnsi="宋体" w:eastAsia="宋体" w:cs="宋体"/>
                <w:color w:val="FF0000"/>
                <w:kern w:val="0"/>
                <w:sz w:val="22"/>
              </w:rPr>
            </w:pPr>
          </w:p>
        </w:tc>
      </w:tr>
      <w:tr w14:paraId="23AA38A9">
        <w:tblPrEx>
          <w:tblCellMar>
            <w:top w:w="0" w:type="dxa"/>
            <w:left w:w="108" w:type="dxa"/>
            <w:bottom w:w="0" w:type="dxa"/>
            <w:right w:w="108" w:type="dxa"/>
          </w:tblCellMar>
        </w:tblPrEx>
        <w:trPr>
          <w:trHeight w:val="630" w:hRule="atLeast"/>
        </w:trPr>
        <w:tc>
          <w:tcPr>
            <w:tcW w:w="238" w:type="pct"/>
            <w:vMerge w:val="continue"/>
            <w:tcBorders>
              <w:top w:val="nil"/>
              <w:left w:val="single" w:color="auto" w:sz="4" w:space="0"/>
              <w:bottom w:val="single" w:color="auto" w:sz="4" w:space="0"/>
              <w:right w:val="single" w:color="auto" w:sz="4" w:space="0"/>
            </w:tcBorders>
            <w:vAlign w:val="center"/>
          </w:tcPr>
          <w:p w14:paraId="59B44091">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16BCC9B0">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6AC4AAC3">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69A13170">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51C95D4A">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0C02F4A1">
            <w:pPr>
              <w:widowControl/>
              <w:jc w:val="center"/>
              <w:rPr>
                <w:rFonts w:ascii="宋体" w:hAnsi="宋体" w:eastAsia="宋体" w:cs="宋体"/>
                <w:kern w:val="0"/>
                <w:sz w:val="20"/>
                <w:szCs w:val="20"/>
              </w:rPr>
            </w:pPr>
            <w:r>
              <w:rPr>
                <w:rFonts w:hint="eastAsia" w:ascii="宋体" w:hAnsi="宋体" w:eastAsia="宋体" w:cs="宋体"/>
                <w:kern w:val="0"/>
                <w:sz w:val="20"/>
                <w:szCs w:val="20"/>
              </w:rPr>
              <w:t>2.不服从工作安排，没有完成交办事务，或借故推诿，每出现一例扣1-10分。</w:t>
            </w:r>
          </w:p>
        </w:tc>
        <w:tc>
          <w:tcPr>
            <w:tcW w:w="574" w:type="pct"/>
            <w:tcBorders>
              <w:top w:val="nil"/>
              <w:left w:val="nil"/>
              <w:bottom w:val="single" w:color="auto" w:sz="4" w:space="0"/>
              <w:right w:val="single" w:color="auto" w:sz="4" w:space="0"/>
            </w:tcBorders>
            <w:shd w:val="clear" w:color="000000" w:fill="FFFFFF"/>
            <w:noWrap/>
            <w:vAlign w:val="center"/>
          </w:tcPr>
          <w:p w14:paraId="2742F96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6134CAF">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E5049E3">
            <w:pPr>
              <w:widowControl/>
              <w:jc w:val="left"/>
              <w:rPr>
                <w:rFonts w:ascii="宋体" w:hAnsi="宋体" w:eastAsia="宋体" w:cs="宋体"/>
                <w:kern w:val="0"/>
                <w:sz w:val="22"/>
              </w:rPr>
            </w:pPr>
            <w:r>
              <w:rPr>
                <w:rFonts w:hint="eastAsia" w:ascii="宋体" w:hAnsi="宋体" w:eastAsia="宋体" w:cs="宋体"/>
                <w:kern w:val="0"/>
                <w:sz w:val="22"/>
              </w:rPr>
              <w:t>　</w:t>
            </w:r>
          </w:p>
        </w:tc>
      </w:tr>
      <w:tr w14:paraId="4FBCC73D">
        <w:tblPrEx>
          <w:tblCellMar>
            <w:top w:w="0" w:type="dxa"/>
            <w:left w:w="108" w:type="dxa"/>
            <w:bottom w:w="0" w:type="dxa"/>
            <w:right w:w="108" w:type="dxa"/>
          </w:tblCellMar>
        </w:tblPrEx>
        <w:trPr>
          <w:trHeight w:val="330" w:hRule="atLeast"/>
        </w:trPr>
        <w:tc>
          <w:tcPr>
            <w:tcW w:w="238" w:type="pct"/>
            <w:vMerge w:val="continue"/>
            <w:tcBorders>
              <w:top w:val="nil"/>
              <w:left w:val="single" w:color="auto" w:sz="4" w:space="0"/>
              <w:bottom w:val="single" w:color="auto" w:sz="4" w:space="0"/>
              <w:right w:val="single" w:color="auto" w:sz="4" w:space="0"/>
            </w:tcBorders>
            <w:vAlign w:val="center"/>
          </w:tcPr>
          <w:p w14:paraId="62970A59">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273C627D">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739E0540">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02E7BE0A">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414799ED">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097E6646">
            <w:pPr>
              <w:widowControl/>
              <w:jc w:val="center"/>
              <w:rPr>
                <w:rFonts w:ascii="宋体" w:hAnsi="宋体" w:eastAsia="宋体" w:cs="宋体"/>
                <w:kern w:val="0"/>
                <w:sz w:val="20"/>
                <w:szCs w:val="20"/>
              </w:rPr>
            </w:pPr>
            <w:r>
              <w:rPr>
                <w:rFonts w:hint="eastAsia" w:ascii="宋体" w:hAnsi="宋体" w:eastAsia="宋体" w:cs="宋体"/>
                <w:kern w:val="0"/>
                <w:sz w:val="20"/>
                <w:szCs w:val="20"/>
              </w:rPr>
              <w:t>3.对岗位所发生事未主动及时地作出处理，每出现一例扣1-10分</w:t>
            </w:r>
          </w:p>
        </w:tc>
        <w:tc>
          <w:tcPr>
            <w:tcW w:w="574" w:type="pct"/>
            <w:tcBorders>
              <w:top w:val="nil"/>
              <w:left w:val="nil"/>
              <w:bottom w:val="single" w:color="auto" w:sz="4" w:space="0"/>
              <w:right w:val="single" w:color="auto" w:sz="4" w:space="0"/>
            </w:tcBorders>
            <w:shd w:val="clear" w:color="000000" w:fill="FFFFFF"/>
            <w:noWrap/>
            <w:vAlign w:val="center"/>
          </w:tcPr>
          <w:p w14:paraId="1E4B0EE9">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480801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D90A54C">
            <w:pPr>
              <w:widowControl/>
              <w:jc w:val="left"/>
              <w:rPr>
                <w:rFonts w:ascii="宋体" w:hAnsi="宋体" w:eastAsia="宋体" w:cs="宋体"/>
                <w:kern w:val="0"/>
                <w:sz w:val="22"/>
              </w:rPr>
            </w:pPr>
            <w:r>
              <w:rPr>
                <w:rFonts w:hint="eastAsia" w:ascii="宋体" w:hAnsi="宋体" w:eastAsia="宋体" w:cs="宋体"/>
                <w:kern w:val="0"/>
                <w:sz w:val="22"/>
              </w:rPr>
              <w:t>　</w:t>
            </w:r>
          </w:p>
        </w:tc>
      </w:tr>
      <w:tr w14:paraId="566C717D">
        <w:tblPrEx>
          <w:tblCellMar>
            <w:top w:w="0" w:type="dxa"/>
            <w:left w:w="108" w:type="dxa"/>
            <w:bottom w:w="0" w:type="dxa"/>
            <w:right w:w="108" w:type="dxa"/>
          </w:tblCellMar>
        </w:tblPrEx>
        <w:trPr>
          <w:trHeight w:val="330" w:hRule="atLeast"/>
        </w:trPr>
        <w:tc>
          <w:tcPr>
            <w:tcW w:w="238" w:type="pct"/>
            <w:vMerge w:val="continue"/>
            <w:tcBorders>
              <w:top w:val="nil"/>
              <w:left w:val="single" w:color="auto" w:sz="4" w:space="0"/>
              <w:bottom w:val="single" w:color="auto" w:sz="4" w:space="0"/>
              <w:right w:val="single" w:color="auto" w:sz="4" w:space="0"/>
            </w:tcBorders>
            <w:vAlign w:val="center"/>
          </w:tcPr>
          <w:p w14:paraId="4D93E931">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ED8109D">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20AE20AB">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65DF63ED">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28F32E89">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37183322">
            <w:pPr>
              <w:widowControl/>
              <w:jc w:val="center"/>
              <w:rPr>
                <w:rFonts w:ascii="宋体" w:hAnsi="宋体" w:eastAsia="宋体" w:cs="宋体"/>
                <w:kern w:val="0"/>
                <w:sz w:val="20"/>
                <w:szCs w:val="20"/>
              </w:rPr>
            </w:pPr>
            <w:r>
              <w:rPr>
                <w:rFonts w:hint="eastAsia" w:ascii="宋体" w:hAnsi="宋体" w:eastAsia="宋体" w:cs="宋体"/>
                <w:kern w:val="0"/>
                <w:sz w:val="20"/>
                <w:szCs w:val="20"/>
              </w:rPr>
              <w:t>4.业务培训无故缺席的，每出现一例扣1-10分。</w:t>
            </w:r>
          </w:p>
        </w:tc>
        <w:tc>
          <w:tcPr>
            <w:tcW w:w="574" w:type="pct"/>
            <w:tcBorders>
              <w:top w:val="nil"/>
              <w:left w:val="nil"/>
              <w:bottom w:val="single" w:color="auto" w:sz="4" w:space="0"/>
              <w:right w:val="single" w:color="auto" w:sz="4" w:space="0"/>
            </w:tcBorders>
            <w:shd w:val="clear" w:color="000000" w:fill="FFFFFF"/>
            <w:noWrap/>
            <w:vAlign w:val="center"/>
          </w:tcPr>
          <w:p w14:paraId="2FBD0BC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D9277A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D8F12D1">
            <w:pPr>
              <w:widowControl/>
              <w:jc w:val="left"/>
              <w:rPr>
                <w:rFonts w:ascii="宋体" w:hAnsi="宋体" w:eastAsia="宋体" w:cs="宋体"/>
                <w:kern w:val="0"/>
                <w:sz w:val="22"/>
              </w:rPr>
            </w:pPr>
            <w:r>
              <w:rPr>
                <w:rFonts w:hint="eastAsia" w:ascii="宋体" w:hAnsi="宋体" w:eastAsia="宋体" w:cs="宋体"/>
                <w:kern w:val="0"/>
                <w:sz w:val="22"/>
              </w:rPr>
              <w:t>　</w:t>
            </w:r>
          </w:p>
        </w:tc>
      </w:tr>
      <w:tr w14:paraId="2153DDF1">
        <w:tblPrEx>
          <w:tblCellMar>
            <w:top w:w="0" w:type="dxa"/>
            <w:left w:w="108" w:type="dxa"/>
            <w:bottom w:w="0" w:type="dxa"/>
            <w:right w:w="108" w:type="dxa"/>
          </w:tblCellMar>
        </w:tblPrEx>
        <w:trPr>
          <w:trHeight w:val="660" w:hRule="atLeast"/>
        </w:trPr>
        <w:tc>
          <w:tcPr>
            <w:tcW w:w="238" w:type="pct"/>
            <w:vMerge w:val="restart"/>
            <w:tcBorders>
              <w:top w:val="nil"/>
              <w:left w:val="single" w:color="auto" w:sz="4" w:space="0"/>
              <w:bottom w:val="single" w:color="auto" w:sz="4" w:space="0"/>
              <w:right w:val="single" w:color="auto" w:sz="4" w:space="0"/>
            </w:tcBorders>
            <w:shd w:val="clear" w:color="000000" w:fill="FFFFFF"/>
            <w:vAlign w:val="center"/>
          </w:tcPr>
          <w:p w14:paraId="5BF735BF">
            <w:pPr>
              <w:widowControl/>
              <w:jc w:val="center"/>
              <w:rPr>
                <w:rFonts w:ascii="宋体" w:hAnsi="宋体" w:eastAsia="宋体" w:cs="宋体"/>
                <w:kern w:val="0"/>
                <w:sz w:val="22"/>
              </w:rPr>
            </w:pPr>
            <w:r>
              <w:rPr>
                <w:rFonts w:hint="eastAsia" w:ascii="宋体" w:hAnsi="宋体" w:eastAsia="宋体" w:cs="宋体"/>
                <w:kern w:val="0"/>
                <w:sz w:val="22"/>
              </w:rPr>
              <w:t>3</w:t>
            </w:r>
          </w:p>
        </w:tc>
        <w:tc>
          <w:tcPr>
            <w:tcW w:w="234" w:type="pct"/>
            <w:vMerge w:val="continue"/>
            <w:tcBorders>
              <w:top w:val="nil"/>
              <w:left w:val="single" w:color="auto" w:sz="4" w:space="0"/>
              <w:bottom w:val="single" w:color="000000" w:sz="4" w:space="0"/>
              <w:right w:val="single" w:color="auto" w:sz="4" w:space="0"/>
            </w:tcBorders>
            <w:vAlign w:val="center"/>
          </w:tcPr>
          <w:p w14:paraId="285A6B35">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6A8A3063">
            <w:pPr>
              <w:widowControl/>
              <w:jc w:val="left"/>
              <w:rPr>
                <w:rFonts w:ascii="宋体" w:hAnsi="宋体" w:eastAsia="宋体" w:cs="宋体"/>
                <w:kern w:val="0"/>
                <w:sz w:val="22"/>
              </w:rPr>
            </w:pP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2501FD8E">
            <w:pPr>
              <w:widowControl/>
              <w:jc w:val="center"/>
              <w:rPr>
                <w:rFonts w:ascii="宋体" w:hAnsi="宋体" w:eastAsia="宋体" w:cs="宋体"/>
                <w:kern w:val="0"/>
                <w:sz w:val="20"/>
                <w:szCs w:val="20"/>
              </w:rPr>
            </w:pPr>
            <w:r>
              <w:rPr>
                <w:rFonts w:hint="eastAsia" w:ascii="宋体" w:hAnsi="宋体" w:eastAsia="宋体" w:cs="宋体"/>
                <w:kern w:val="0"/>
                <w:sz w:val="20"/>
                <w:szCs w:val="20"/>
              </w:rPr>
              <w:t>规章制度、劳动纪律</w:t>
            </w:r>
          </w:p>
        </w:tc>
        <w:tc>
          <w:tcPr>
            <w:tcW w:w="943" w:type="pct"/>
            <w:vMerge w:val="restart"/>
            <w:tcBorders>
              <w:top w:val="nil"/>
              <w:left w:val="single" w:color="auto" w:sz="4" w:space="0"/>
              <w:bottom w:val="single" w:color="auto" w:sz="4" w:space="0"/>
              <w:right w:val="single" w:color="auto" w:sz="4" w:space="0"/>
            </w:tcBorders>
            <w:shd w:val="clear" w:color="000000" w:fill="FFFFFF"/>
            <w:vAlign w:val="center"/>
          </w:tcPr>
          <w:p w14:paraId="41F1DA37">
            <w:pPr>
              <w:widowControl/>
              <w:jc w:val="center"/>
              <w:rPr>
                <w:rFonts w:ascii="宋体" w:hAnsi="宋体" w:eastAsia="宋体" w:cs="宋体"/>
                <w:kern w:val="0"/>
                <w:sz w:val="20"/>
                <w:szCs w:val="20"/>
              </w:rPr>
            </w:pPr>
            <w:r>
              <w:rPr>
                <w:rFonts w:hint="eastAsia" w:ascii="宋体" w:hAnsi="宋体" w:eastAsia="宋体" w:cs="宋体"/>
                <w:kern w:val="0"/>
                <w:sz w:val="20"/>
                <w:szCs w:val="20"/>
              </w:rPr>
              <w:t>遵守劳动纪律，不迟到早退；9：00值班人员到岗，其余岗于开馆前五分钟到岗，闭馆清场、待游客离去后，待收尾工作全部结束后方能撤岗；在岗期间不得擅自离岗脱岗；不得在岗上随意集聚或谈笑聊天（包括手机等电话聊天）</w:t>
            </w:r>
          </w:p>
        </w:tc>
        <w:tc>
          <w:tcPr>
            <w:tcW w:w="1713" w:type="pct"/>
            <w:tcBorders>
              <w:top w:val="nil"/>
              <w:left w:val="nil"/>
              <w:bottom w:val="single" w:color="auto" w:sz="4" w:space="0"/>
              <w:right w:val="single" w:color="auto" w:sz="4" w:space="0"/>
            </w:tcBorders>
            <w:shd w:val="clear" w:color="000000" w:fill="FFFFFF"/>
            <w:vAlign w:val="center"/>
          </w:tcPr>
          <w:p w14:paraId="6FAE8B8C">
            <w:pPr>
              <w:widowControl/>
              <w:jc w:val="center"/>
              <w:rPr>
                <w:rFonts w:ascii="宋体" w:hAnsi="宋体" w:eastAsia="宋体" w:cs="宋体"/>
                <w:kern w:val="0"/>
                <w:sz w:val="20"/>
                <w:szCs w:val="20"/>
              </w:rPr>
            </w:pPr>
            <w:r>
              <w:rPr>
                <w:rFonts w:hint="eastAsia" w:ascii="宋体" w:hAnsi="宋体" w:eastAsia="宋体" w:cs="宋体"/>
                <w:kern w:val="0"/>
                <w:sz w:val="20"/>
                <w:szCs w:val="20"/>
              </w:rPr>
              <w:t>1.迟到或早退，业务培训无故缺席；工作不主动，态度不积极，学习不认真，工作懈怠、责任心不强的，每发现一例扣1-10分。</w:t>
            </w:r>
          </w:p>
        </w:tc>
        <w:tc>
          <w:tcPr>
            <w:tcW w:w="574" w:type="pct"/>
            <w:tcBorders>
              <w:top w:val="nil"/>
              <w:left w:val="nil"/>
              <w:bottom w:val="single" w:color="auto" w:sz="4" w:space="0"/>
              <w:right w:val="single" w:color="auto" w:sz="4" w:space="0"/>
            </w:tcBorders>
            <w:shd w:val="clear" w:color="000000" w:fill="FFFFFF"/>
            <w:noWrap/>
            <w:vAlign w:val="center"/>
          </w:tcPr>
          <w:p w14:paraId="6F751661">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45D2034">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65D6BD0">
            <w:pPr>
              <w:widowControl/>
              <w:jc w:val="left"/>
              <w:rPr>
                <w:rFonts w:ascii="宋体" w:hAnsi="宋体" w:eastAsia="宋体" w:cs="宋体"/>
                <w:kern w:val="0"/>
                <w:sz w:val="22"/>
              </w:rPr>
            </w:pPr>
            <w:r>
              <w:rPr>
                <w:rFonts w:hint="eastAsia" w:ascii="宋体" w:hAnsi="宋体" w:eastAsia="宋体" w:cs="宋体"/>
                <w:kern w:val="0"/>
                <w:sz w:val="22"/>
              </w:rPr>
              <w:t>　</w:t>
            </w:r>
          </w:p>
        </w:tc>
      </w:tr>
      <w:tr w14:paraId="04865BCA">
        <w:tblPrEx>
          <w:tblCellMar>
            <w:top w:w="0" w:type="dxa"/>
            <w:left w:w="108" w:type="dxa"/>
            <w:bottom w:w="0" w:type="dxa"/>
            <w:right w:w="108" w:type="dxa"/>
          </w:tblCellMar>
        </w:tblPrEx>
        <w:trPr>
          <w:trHeight w:val="330" w:hRule="atLeast"/>
        </w:trPr>
        <w:tc>
          <w:tcPr>
            <w:tcW w:w="238" w:type="pct"/>
            <w:vMerge w:val="continue"/>
            <w:tcBorders>
              <w:top w:val="nil"/>
              <w:left w:val="single" w:color="auto" w:sz="4" w:space="0"/>
              <w:bottom w:val="single" w:color="auto" w:sz="4" w:space="0"/>
              <w:right w:val="single" w:color="auto" w:sz="4" w:space="0"/>
            </w:tcBorders>
            <w:vAlign w:val="center"/>
          </w:tcPr>
          <w:p w14:paraId="74F3715E">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26F4AFEC">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3DECB0C1">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371145F7">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270EE38F">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40ADD0FA">
            <w:pPr>
              <w:widowControl/>
              <w:jc w:val="center"/>
              <w:rPr>
                <w:rFonts w:ascii="宋体" w:hAnsi="宋体" w:eastAsia="宋体" w:cs="宋体"/>
                <w:kern w:val="0"/>
                <w:sz w:val="20"/>
                <w:szCs w:val="20"/>
              </w:rPr>
            </w:pPr>
            <w:r>
              <w:rPr>
                <w:rFonts w:hint="eastAsia" w:ascii="宋体" w:hAnsi="宋体" w:eastAsia="宋体" w:cs="宋体"/>
                <w:kern w:val="0"/>
                <w:sz w:val="20"/>
                <w:szCs w:val="20"/>
              </w:rPr>
              <w:t>2.未按要求到岗或提前撤岗，每出现一例扣0.5-5分。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1ED7215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BAF829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B0F94B1">
            <w:pPr>
              <w:widowControl/>
              <w:jc w:val="left"/>
              <w:rPr>
                <w:rFonts w:ascii="宋体" w:hAnsi="宋体" w:eastAsia="宋体" w:cs="宋体"/>
                <w:kern w:val="0"/>
                <w:sz w:val="22"/>
              </w:rPr>
            </w:pPr>
            <w:r>
              <w:rPr>
                <w:rFonts w:hint="eastAsia" w:ascii="宋体" w:hAnsi="宋体" w:eastAsia="宋体" w:cs="宋体"/>
                <w:kern w:val="0"/>
                <w:sz w:val="22"/>
              </w:rPr>
              <w:t>　</w:t>
            </w:r>
          </w:p>
        </w:tc>
      </w:tr>
      <w:tr w14:paraId="50EB1D80">
        <w:tblPrEx>
          <w:tblCellMar>
            <w:top w:w="0" w:type="dxa"/>
            <w:left w:w="108" w:type="dxa"/>
            <w:bottom w:w="0" w:type="dxa"/>
            <w:right w:w="108" w:type="dxa"/>
          </w:tblCellMar>
        </w:tblPrEx>
        <w:trPr>
          <w:trHeight w:val="480" w:hRule="atLeast"/>
        </w:trPr>
        <w:tc>
          <w:tcPr>
            <w:tcW w:w="238" w:type="pct"/>
            <w:vMerge w:val="continue"/>
            <w:tcBorders>
              <w:top w:val="nil"/>
              <w:left w:val="single" w:color="auto" w:sz="4" w:space="0"/>
              <w:bottom w:val="single" w:color="auto" w:sz="4" w:space="0"/>
              <w:right w:val="single" w:color="auto" w:sz="4" w:space="0"/>
            </w:tcBorders>
            <w:vAlign w:val="center"/>
          </w:tcPr>
          <w:p w14:paraId="4F73912E">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F35EA7B">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25C2131B">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62D940C1">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5945270C">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0136FDC2">
            <w:pPr>
              <w:widowControl/>
              <w:jc w:val="center"/>
              <w:rPr>
                <w:rFonts w:ascii="宋体" w:hAnsi="宋体" w:eastAsia="宋体" w:cs="宋体"/>
                <w:kern w:val="0"/>
                <w:sz w:val="20"/>
                <w:szCs w:val="20"/>
              </w:rPr>
            </w:pPr>
            <w:r>
              <w:rPr>
                <w:rFonts w:hint="eastAsia" w:ascii="宋体" w:hAnsi="宋体" w:eastAsia="宋体" w:cs="宋体"/>
                <w:kern w:val="0"/>
                <w:sz w:val="20"/>
                <w:szCs w:val="20"/>
              </w:rPr>
              <w:t>3.在岗期间有离岗脱岗现象，虽未发生不良后果，每出现一例扣0.5-5分。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30DCF17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F8F43D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B5CBC9C">
            <w:pPr>
              <w:widowControl/>
              <w:jc w:val="left"/>
              <w:rPr>
                <w:rFonts w:ascii="宋体" w:hAnsi="宋体" w:eastAsia="宋体" w:cs="宋体"/>
                <w:kern w:val="0"/>
                <w:sz w:val="22"/>
              </w:rPr>
            </w:pPr>
            <w:r>
              <w:rPr>
                <w:rFonts w:hint="eastAsia" w:ascii="宋体" w:hAnsi="宋体" w:eastAsia="宋体" w:cs="宋体"/>
                <w:kern w:val="0"/>
                <w:sz w:val="22"/>
              </w:rPr>
              <w:t>　</w:t>
            </w:r>
          </w:p>
        </w:tc>
      </w:tr>
      <w:tr w14:paraId="6F434B7E">
        <w:tblPrEx>
          <w:tblCellMar>
            <w:top w:w="0" w:type="dxa"/>
            <w:left w:w="108" w:type="dxa"/>
            <w:bottom w:w="0" w:type="dxa"/>
            <w:right w:w="108" w:type="dxa"/>
          </w:tblCellMar>
        </w:tblPrEx>
        <w:trPr>
          <w:trHeight w:val="540" w:hRule="atLeast"/>
        </w:trPr>
        <w:tc>
          <w:tcPr>
            <w:tcW w:w="238" w:type="pct"/>
            <w:vMerge w:val="continue"/>
            <w:tcBorders>
              <w:top w:val="nil"/>
              <w:left w:val="single" w:color="auto" w:sz="4" w:space="0"/>
              <w:bottom w:val="single" w:color="auto" w:sz="4" w:space="0"/>
              <w:right w:val="single" w:color="auto" w:sz="4" w:space="0"/>
            </w:tcBorders>
            <w:vAlign w:val="center"/>
          </w:tcPr>
          <w:p w14:paraId="731A0BA4">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08DE0D84">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171B5EA6">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46A9F2E7">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4A64F5DC">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AEB5BFE">
            <w:pPr>
              <w:widowControl/>
              <w:jc w:val="center"/>
              <w:rPr>
                <w:rFonts w:ascii="宋体" w:hAnsi="宋体" w:eastAsia="宋体" w:cs="宋体"/>
                <w:kern w:val="0"/>
                <w:sz w:val="20"/>
                <w:szCs w:val="20"/>
              </w:rPr>
            </w:pPr>
            <w:r>
              <w:rPr>
                <w:rFonts w:hint="eastAsia" w:ascii="宋体" w:hAnsi="宋体" w:eastAsia="宋体" w:cs="宋体"/>
                <w:kern w:val="0"/>
                <w:sz w:val="20"/>
                <w:szCs w:val="20"/>
              </w:rPr>
              <w:t>4.在岗上发生谈笑或集聚聊天，包括手机聊天，每出现一例扣0.5-5分。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5D273A6D">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D4FBD2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D38D41E">
            <w:pPr>
              <w:widowControl/>
              <w:jc w:val="left"/>
              <w:rPr>
                <w:rFonts w:ascii="宋体" w:hAnsi="宋体" w:eastAsia="宋体" w:cs="宋体"/>
                <w:kern w:val="0"/>
                <w:sz w:val="22"/>
              </w:rPr>
            </w:pPr>
            <w:r>
              <w:rPr>
                <w:rFonts w:hint="eastAsia" w:ascii="宋体" w:hAnsi="宋体" w:eastAsia="宋体" w:cs="宋体"/>
                <w:kern w:val="0"/>
                <w:sz w:val="22"/>
              </w:rPr>
              <w:t>　</w:t>
            </w:r>
          </w:p>
        </w:tc>
      </w:tr>
      <w:tr w14:paraId="336FFECC">
        <w:tblPrEx>
          <w:tblCellMar>
            <w:top w:w="0" w:type="dxa"/>
            <w:left w:w="108" w:type="dxa"/>
            <w:bottom w:w="0" w:type="dxa"/>
            <w:right w:w="108" w:type="dxa"/>
          </w:tblCellMar>
        </w:tblPrEx>
        <w:trPr>
          <w:trHeight w:val="435" w:hRule="atLeast"/>
        </w:trPr>
        <w:tc>
          <w:tcPr>
            <w:tcW w:w="238" w:type="pct"/>
            <w:vMerge w:val="restart"/>
            <w:tcBorders>
              <w:top w:val="nil"/>
              <w:left w:val="single" w:color="auto" w:sz="4" w:space="0"/>
              <w:bottom w:val="single" w:color="auto" w:sz="4" w:space="0"/>
              <w:right w:val="single" w:color="auto" w:sz="4" w:space="0"/>
            </w:tcBorders>
            <w:shd w:val="clear" w:color="000000" w:fill="FFFFFF"/>
            <w:vAlign w:val="center"/>
          </w:tcPr>
          <w:p w14:paraId="0DB2C16B">
            <w:pPr>
              <w:widowControl/>
              <w:jc w:val="center"/>
              <w:rPr>
                <w:rFonts w:ascii="宋体" w:hAnsi="宋体" w:eastAsia="宋体" w:cs="宋体"/>
                <w:kern w:val="0"/>
                <w:sz w:val="22"/>
              </w:rPr>
            </w:pPr>
            <w:r>
              <w:rPr>
                <w:rFonts w:hint="eastAsia" w:ascii="宋体" w:hAnsi="宋体" w:eastAsia="宋体" w:cs="宋体"/>
                <w:kern w:val="0"/>
                <w:sz w:val="22"/>
              </w:rPr>
              <w:t>4</w:t>
            </w:r>
          </w:p>
        </w:tc>
        <w:tc>
          <w:tcPr>
            <w:tcW w:w="234" w:type="pct"/>
            <w:vMerge w:val="continue"/>
            <w:tcBorders>
              <w:top w:val="nil"/>
              <w:left w:val="single" w:color="auto" w:sz="4" w:space="0"/>
              <w:bottom w:val="single" w:color="000000" w:sz="4" w:space="0"/>
              <w:right w:val="single" w:color="auto" w:sz="4" w:space="0"/>
            </w:tcBorders>
            <w:vAlign w:val="center"/>
          </w:tcPr>
          <w:p w14:paraId="59A84609">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744F2BFB">
            <w:pPr>
              <w:widowControl/>
              <w:jc w:val="left"/>
              <w:rPr>
                <w:rFonts w:ascii="宋体" w:hAnsi="宋体" w:eastAsia="宋体" w:cs="宋体"/>
                <w:kern w:val="0"/>
                <w:sz w:val="22"/>
              </w:rPr>
            </w:pP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67A849F9">
            <w:pPr>
              <w:widowControl/>
              <w:jc w:val="center"/>
              <w:rPr>
                <w:rFonts w:ascii="宋体" w:hAnsi="宋体" w:eastAsia="宋体" w:cs="宋体"/>
                <w:kern w:val="0"/>
                <w:sz w:val="20"/>
                <w:szCs w:val="20"/>
              </w:rPr>
            </w:pPr>
            <w:r>
              <w:rPr>
                <w:rFonts w:hint="eastAsia" w:ascii="宋体" w:hAnsi="宋体" w:eastAsia="宋体" w:cs="宋体"/>
                <w:kern w:val="0"/>
                <w:sz w:val="20"/>
                <w:szCs w:val="20"/>
              </w:rPr>
              <w:t>应知应会</w:t>
            </w:r>
          </w:p>
        </w:tc>
        <w:tc>
          <w:tcPr>
            <w:tcW w:w="943" w:type="pct"/>
            <w:vMerge w:val="restart"/>
            <w:tcBorders>
              <w:top w:val="nil"/>
              <w:left w:val="single" w:color="auto" w:sz="4" w:space="0"/>
              <w:bottom w:val="single" w:color="auto" w:sz="4" w:space="0"/>
              <w:right w:val="single" w:color="auto" w:sz="4" w:space="0"/>
            </w:tcBorders>
            <w:shd w:val="clear" w:color="000000" w:fill="FFFFFF"/>
            <w:vAlign w:val="center"/>
          </w:tcPr>
          <w:p w14:paraId="3C02DC35">
            <w:pPr>
              <w:widowControl/>
              <w:jc w:val="center"/>
              <w:rPr>
                <w:rFonts w:ascii="宋体" w:hAnsi="宋体" w:eastAsia="宋体" w:cs="宋体"/>
                <w:kern w:val="0"/>
                <w:sz w:val="20"/>
                <w:szCs w:val="20"/>
              </w:rPr>
            </w:pPr>
            <w:r>
              <w:rPr>
                <w:rFonts w:hint="eastAsia" w:ascii="宋体" w:hAnsi="宋体" w:eastAsia="宋体" w:cs="宋体"/>
                <w:kern w:val="0"/>
                <w:sz w:val="20"/>
                <w:szCs w:val="20"/>
              </w:rPr>
              <w:t>上岗人员须了解岗位的性质、熟悉岗位职责、内容与关系等；熟练操作相关设施设备与工具，操作用具定位、有序、完好、清洁；能独立处理岗位日常事务；对岗位突发事件能作出恰当的处理。</w:t>
            </w:r>
          </w:p>
        </w:tc>
        <w:tc>
          <w:tcPr>
            <w:tcW w:w="1713" w:type="pct"/>
            <w:tcBorders>
              <w:top w:val="nil"/>
              <w:left w:val="nil"/>
              <w:bottom w:val="single" w:color="auto" w:sz="4" w:space="0"/>
              <w:right w:val="single" w:color="auto" w:sz="4" w:space="0"/>
            </w:tcBorders>
            <w:shd w:val="clear" w:color="000000" w:fill="FFFFFF"/>
            <w:vAlign w:val="center"/>
          </w:tcPr>
          <w:p w14:paraId="58E71352">
            <w:pPr>
              <w:widowControl/>
              <w:jc w:val="center"/>
              <w:rPr>
                <w:rFonts w:ascii="宋体" w:hAnsi="宋体" w:eastAsia="宋体" w:cs="宋体"/>
                <w:kern w:val="0"/>
                <w:sz w:val="20"/>
                <w:szCs w:val="20"/>
              </w:rPr>
            </w:pPr>
            <w:r>
              <w:rPr>
                <w:rFonts w:hint="eastAsia" w:ascii="宋体" w:hAnsi="宋体" w:eastAsia="宋体" w:cs="宋体"/>
                <w:kern w:val="0"/>
                <w:sz w:val="20"/>
                <w:szCs w:val="20"/>
              </w:rPr>
              <w:t>1.对所在班或所在岗的工作未能全面完成，每发现一例扣0.5-5分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79C3A026">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31E7B76">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8370293">
            <w:pPr>
              <w:widowControl/>
              <w:jc w:val="left"/>
              <w:rPr>
                <w:rFonts w:ascii="宋体" w:hAnsi="宋体" w:eastAsia="宋体" w:cs="宋体"/>
                <w:kern w:val="0"/>
                <w:sz w:val="22"/>
              </w:rPr>
            </w:pPr>
            <w:r>
              <w:rPr>
                <w:rFonts w:hint="eastAsia" w:ascii="宋体" w:hAnsi="宋体" w:eastAsia="宋体" w:cs="宋体"/>
                <w:kern w:val="0"/>
                <w:sz w:val="22"/>
              </w:rPr>
              <w:t>　</w:t>
            </w:r>
          </w:p>
        </w:tc>
      </w:tr>
      <w:tr w14:paraId="53839F18">
        <w:tblPrEx>
          <w:tblCellMar>
            <w:top w:w="0" w:type="dxa"/>
            <w:left w:w="108" w:type="dxa"/>
            <w:bottom w:w="0" w:type="dxa"/>
            <w:right w:w="108" w:type="dxa"/>
          </w:tblCellMar>
        </w:tblPrEx>
        <w:trPr>
          <w:trHeight w:val="375" w:hRule="atLeast"/>
        </w:trPr>
        <w:tc>
          <w:tcPr>
            <w:tcW w:w="238" w:type="pct"/>
            <w:vMerge w:val="continue"/>
            <w:tcBorders>
              <w:top w:val="nil"/>
              <w:left w:val="single" w:color="auto" w:sz="4" w:space="0"/>
              <w:bottom w:val="single" w:color="auto" w:sz="4" w:space="0"/>
              <w:right w:val="single" w:color="auto" w:sz="4" w:space="0"/>
            </w:tcBorders>
            <w:vAlign w:val="center"/>
          </w:tcPr>
          <w:p w14:paraId="4BBD7766">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26E0C6E2">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72FCE95D">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4F35FCF8">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7FE714CD">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6CBB70A4">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2.不能独立操作设备与工具的，每发现一例扣0.5-5分。 </w:t>
            </w:r>
          </w:p>
        </w:tc>
        <w:tc>
          <w:tcPr>
            <w:tcW w:w="574" w:type="pct"/>
            <w:tcBorders>
              <w:top w:val="nil"/>
              <w:left w:val="nil"/>
              <w:bottom w:val="single" w:color="auto" w:sz="4" w:space="0"/>
              <w:right w:val="single" w:color="auto" w:sz="4" w:space="0"/>
            </w:tcBorders>
            <w:shd w:val="clear" w:color="000000" w:fill="FFFFFF"/>
            <w:noWrap/>
            <w:vAlign w:val="center"/>
          </w:tcPr>
          <w:p w14:paraId="644E3849">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666A045">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9A061F5">
            <w:pPr>
              <w:widowControl/>
              <w:jc w:val="left"/>
              <w:rPr>
                <w:rFonts w:ascii="宋体" w:hAnsi="宋体" w:eastAsia="宋体" w:cs="宋体"/>
                <w:kern w:val="0"/>
                <w:sz w:val="22"/>
              </w:rPr>
            </w:pPr>
            <w:r>
              <w:rPr>
                <w:rFonts w:hint="eastAsia" w:ascii="宋体" w:hAnsi="宋体" w:eastAsia="宋体" w:cs="宋体"/>
                <w:kern w:val="0"/>
                <w:sz w:val="22"/>
              </w:rPr>
              <w:t>　</w:t>
            </w:r>
          </w:p>
        </w:tc>
      </w:tr>
      <w:tr w14:paraId="314D29A5">
        <w:tblPrEx>
          <w:tblCellMar>
            <w:top w:w="0" w:type="dxa"/>
            <w:left w:w="108" w:type="dxa"/>
            <w:bottom w:w="0" w:type="dxa"/>
            <w:right w:w="108" w:type="dxa"/>
          </w:tblCellMar>
        </w:tblPrEx>
        <w:trPr>
          <w:trHeight w:val="285" w:hRule="atLeast"/>
        </w:trPr>
        <w:tc>
          <w:tcPr>
            <w:tcW w:w="238" w:type="pct"/>
            <w:vMerge w:val="continue"/>
            <w:tcBorders>
              <w:top w:val="nil"/>
              <w:left w:val="single" w:color="auto" w:sz="4" w:space="0"/>
              <w:bottom w:val="single" w:color="auto" w:sz="4" w:space="0"/>
              <w:right w:val="single" w:color="auto" w:sz="4" w:space="0"/>
            </w:tcBorders>
            <w:vAlign w:val="center"/>
          </w:tcPr>
          <w:p w14:paraId="4D4BE0AF">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5387EA9C">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41E130AC">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73AE7AF4">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6B2A53BE">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0CBE54B0">
            <w:pPr>
              <w:widowControl/>
              <w:jc w:val="center"/>
              <w:rPr>
                <w:rFonts w:ascii="宋体" w:hAnsi="宋体" w:eastAsia="宋体" w:cs="宋体"/>
                <w:kern w:val="0"/>
                <w:sz w:val="20"/>
                <w:szCs w:val="20"/>
              </w:rPr>
            </w:pPr>
            <w:r>
              <w:rPr>
                <w:rFonts w:hint="eastAsia" w:ascii="宋体" w:hAnsi="宋体" w:eastAsia="宋体" w:cs="宋体"/>
                <w:kern w:val="0"/>
                <w:sz w:val="20"/>
                <w:szCs w:val="20"/>
              </w:rPr>
              <w:t>3.操作用具损坏或报修不及时等，每出现一例扣0.5-5分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3B1918B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53675E3">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38271E2">
            <w:pPr>
              <w:widowControl/>
              <w:jc w:val="left"/>
              <w:rPr>
                <w:rFonts w:ascii="宋体" w:hAnsi="宋体" w:eastAsia="宋体" w:cs="宋体"/>
                <w:kern w:val="0"/>
                <w:sz w:val="22"/>
              </w:rPr>
            </w:pPr>
            <w:r>
              <w:rPr>
                <w:rFonts w:hint="eastAsia" w:ascii="宋体" w:hAnsi="宋体" w:eastAsia="宋体" w:cs="宋体"/>
                <w:kern w:val="0"/>
                <w:sz w:val="22"/>
              </w:rPr>
              <w:t>　</w:t>
            </w:r>
          </w:p>
        </w:tc>
      </w:tr>
      <w:tr w14:paraId="477E1868">
        <w:tblPrEx>
          <w:tblCellMar>
            <w:top w:w="0" w:type="dxa"/>
            <w:left w:w="108" w:type="dxa"/>
            <w:bottom w:w="0" w:type="dxa"/>
            <w:right w:w="108" w:type="dxa"/>
          </w:tblCellMar>
        </w:tblPrEx>
        <w:trPr>
          <w:trHeight w:val="630" w:hRule="atLeast"/>
        </w:trPr>
        <w:tc>
          <w:tcPr>
            <w:tcW w:w="238" w:type="pct"/>
            <w:vMerge w:val="continue"/>
            <w:tcBorders>
              <w:top w:val="nil"/>
              <w:left w:val="single" w:color="auto" w:sz="4" w:space="0"/>
              <w:bottom w:val="single" w:color="auto" w:sz="4" w:space="0"/>
              <w:right w:val="single" w:color="auto" w:sz="4" w:space="0"/>
            </w:tcBorders>
            <w:vAlign w:val="center"/>
          </w:tcPr>
          <w:p w14:paraId="7CD27E7C">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183E5C9">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15846297">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08E54155">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4D77CCD0">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BF2948B">
            <w:pPr>
              <w:widowControl/>
              <w:jc w:val="center"/>
              <w:rPr>
                <w:rFonts w:ascii="宋体" w:hAnsi="宋体" w:eastAsia="宋体" w:cs="宋体"/>
                <w:kern w:val="0"/>
                <w:sz w:val="20"/>
                <w:szCs w:val="20"/>
              </w:rPr>
            </w:pPr>
            <w:r>
              <w:rPr>
                <w:rFonts w:hint="eastAsia" w:ascii="宋体" w:hAnsi="宋体" w:eastAsia="宋体" w:cs="宋体"/>
                <w:kern w:val="0"/>
                <w:sz w:val="20"/>
                <w:szCs w:val="20"/>
              </w:rPr>
              <w:t>4.对所在岗的日常事务不能独立作出处理的，每发现一例扣0.5-5分。</w:t>
            </w:r>
          </w:p>
        </w:tc>
        <w:tc>
          <w:tcPr>
            <w:tcW w:w="574" w:type="pct"/>
            <w:tcBorders>
              <w:top w:val="nil"/>
              <w:left w:val="nil"/>
              <w:bottom w:val="single" w:color="auto" w:sz="4" w:space="0"/>
              <w:right w:val="single" w:color="auto" w:sz="4" w:space="0"/>
            </w:tcBorders>
            <w:shd w:val="clear" w:color="000000" w:fill="FFFFFF"/>
            <w:noWrap/>
            <w:vAlign w:val="center"/>
          </w:tcPr>
          <w:p w14:paraId="3345B1F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72B623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925A855">
            <w:pPr>
              <w:widowControl/>
              <w:jc w:val="left"/>
              <w:rPr>
                <w:rFonts w:ascii="宋体" w:hAnsi="宋体" w:eastAsia="宋体" w:cs="宋体"/>
                <w:kern w:val="0"/>
                <w:sz w:val="22"/>
              </w:rPr>
            </w:pPr>
            <w:r>
              <w:rPr>
                <w:rFonts w:hint="eastAsia" w:ascii="宋体" w:hAnsi="宋体" w:eastAsia="宋体" w:cs="宋体"/>
                <w:kern w:val="0"/>
                <w:sz w:val="22"/>
              </w:rPr>
              <w:t>　</w:t>
            </w:r>
          </w:p>
        </w:tc>
      </w:tr>
      <w:tr w14:paraId="70C58BB1">
        <w:tblPrEx>
          <w:tblCellMar>
            <w:top w:w="0" w:type="dxa"/>
            <w:left w:w="108" w:type="dxa"/>
            <w:bottom w:w="0" w:type="dxa"/>
            <w:right w:w="108" w:type="dxa"/>
          </w:tblCellMar>
        </w:tblPrEx>
        <w:trPr>
          <w:trHeight w:val="720" w:hRule="atLeast"/>
        </w:trPr>
        <w:tc>
          <w:tcPr>
            <w:tcW w:w="238" w:type="pct"/>
            <w:vMerge w:val="continue"/>
            <w:tcBorders>
              <w:top w:val="nil"/>
              <w:left w:val="single" w:color="auto" w:sz="4" w:space="0"/>
              <w:bottom w:val="single" w:color="auto" w:sz="4" w:space="0"/>
              <w:right w:val="single" w:color="auto" w:sz="4" w:space="0"/>
            </w:tcBorders>
            <w:vAlign w:val="center"/>
          </w:tcPr>
          <w:p w14:paraId="6B092D8E">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78145F58">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7A1A92AB">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06CB66DC">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6EA8DE70">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CB97590">
            <w:pPr>
              <w:widowControl/>
              <w:jc w:val="center"/>
              <w:rPr>
                <w:rFonts w:ascii="宋体" w:hAnsi="宋体" w:eastAsia="宋体" w:cs="宋体"/>
                <w:kern w:val="0"/>
                <w:sz w:val="20"/>
                <w:szCs w:val="20"/>
              </w:rPr>
            </w:pPr>
            <w:r>
              <w:rPr>
                <w:rFonts w:hint="eastAsia" w:ascii="宋体" w:hAnsi="宋体" w:eastAsia="宋体" w:cs="宋体"/>
                <w:kern w:val="0"/>
                <w:sz w:val="20"/>
                <w:szCs w:val="20"/>
              </w:rPr>
              <w:t>5.对岗位突发事件未能作出一般应急处理，处理各类问题欠妥当欠考虑，特殊情况不及时请示汇报，未能妥善处理现场情况，每发现一例扣1-5分。</w:t>
            </w:r>
          </w:p>
        </w:tc>
        <w:tc>
          <w:tcPr>
            <w:tcW w:w="574" w:type="pct"/>
            <w:tcBorders>
              <w:top w:val="nil"/>
              <w:left w:val="nil"/>
              <w:bottom w:val="single" w:color="auto" w:sz="4" w:space="0"/>
              <w:right w:val="single" w:color="auto" w:sz="4" w:space="0"/>
            </w:tcBorders>
            <w:shd w:val="clear" w:color="000000" w:fill="FFFFFF"/>
            <w:vAlign w:val="center"/>
          </w:tcPr>
          <w:p w14:paraId="5F6C1831">
            <w:pPr>
              <w:widowControl/>
              <w:jc w:val="center"/>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9B5022C">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3AE7E32">
            <w:pPr>
              <w:widowControl/>
              <w:jc w:val="left"/>
              <w:rPr>
                <w:rFonts w:ascii="宋体" w:hAnsi="宋体" w:eastAsia="宋体" w:cs="宋体"/>
                <w:kern w:val="0"/>
                <w:sz w:val="22"/>
              </w:rPr>
            </w:pPr>
            <w:r>
              <w:rPr>
                <w:rFonts w:hint="eastAsia" w:ascii="宋体" w:hAnsi="宋体" w:eastAsia="宋体" w:cs="宋体"/>
                <w:kern w:val="0"/>
                <w:sz w:val="22"/>
              </w:rPr>
              <w:t>　</w:t>
            </w:r>
          </w:p>
        </w:tc>
      </w:tr>
      <w:tr w14:paraId="6244D1C3">
        <w:tblPrEx>
          <w:tblCellMar>
            <w:top w:w="0" w:type="dxa"/>
            <w:left w:w="108" w:type="dxa"/>
            <w:bottom w:w="0" w:type="dxa"/>
            <w:right w:w="108" w:type="dxa"/>
          </w:tblCellMar>
        </w:tblPrEx>
        <w:trPr>
          <w:trHeight w:val="435" w:hRule="atLeast"/>
        </w:trPr>
        <w:tc>
          <w:tcPr>
            <w:tcW w:w="238" w:type="pct"/>
            <w:vMerge w:val="restart"/>
            <w:tcBorders>
              <w:top w:val="nil"/>
              <w:left w:val="single" w:color="auto" w:sz="4" w:space="0"/>
              <w:bottom w:val="single" w:color="auto" w:sz="4" w:space="0"/>
              <w:right w:val="single" w:color="auto" w:sz="4" w:space="0"/>
            </w:tcBorders>
            <w:shd w:val="clear" w:color="000000" w:fill="FFFFFF"/>
            <w:vAlign w:val="center"/>
          </w:tcPr>
          <w:p w14:paraId="2826D2CC">
            <w:pPr>
              <w:widowControl/>
              <w:jc w:val="center"/>
              <w:rPr>
                <w:rFonts w:ascii="宋体" w:hAnsi="宋体" w:eastAsia="宋体" w:cs="宋体"/>
                <w:kern w:val="0"/>
                <w:sz w:val="22"/>
              </w:rPr>
            </w:pPr>
            <w:r>
              <w:rPr>
                <w:rFonts w:hint="eastAsia" w:ascii="宋体" w:hAnsi="宋体" w:eastAsia="宋体" w:cs="宋体"/>
                <w:kern w:val="0"/>
                <w:sz w:val="22"/>
              </w:rPr>
              <w:t>5</w:t>
            </w:r>
          </w:p>
        </w:tc>
        <w:tc>
          <w:tcPr>
            <w:tcW w:w="234" w:type="pct"/>
            <w:vMerge w:val="continue"/>
            <w:tcBorders>
              <w:top w:val="nil"/>
              <w:left w:val="single" w:color="auto" w:sz="4" w:space="0"/>
              <w:bottom w:val="single" w:color="000000" w:sz="4" w:space="0"/>
              <w:right w:val="single" w:color="auto" w:sz="4" w:space="0"/>
            </w:tcBorders>
            <w:vAlign w:val="center"/>
          </w:tcPr>
          <w:p w14:paraId="71E210A0">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1994E869">
            <w:pPr>
              <w:widowControl/>
              <w:jc w:val="left"/>
              <w:rPr>
                <w:rFonts w:ascii="宋体" w:hAnsi="宋体" w:eastAsia="宋体" w:cs="宋体"/>
                <w:kern w:val="0"/>
                <w:sz w:val="22"/>
              </w:rPr>
            </w:pP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6CC2F7E3">
            <w:pPr>
              <w:widowControl/>
              <w:jc w:val="center"/>
              <w:rPr>
                <w:rFonts w:ascii="宋体" w:hAnsi="宋体" w:eastAsia="宋体" w:cs="宋体"/>
                <w:kern w:val="0"/>
                <w:sz w:val="20"/>
                <w:szCs w:val="20"/>
              </w:rPr>
            </w:pPr>
            <w:r>
              <w:rPr>
                <w:rFonts w:hint="eastAsia" w:ascii="宋体" w:hAnsi="宋体" w:eastAsia="宋体" w:cs="宋体"/>
                <w:kern w:val="0"/>
                <w:sz w:val="20"/>
                <w:szCs w:val="20"/>
              </w:rPr>
              <w:t>统计与日报</w:t>
            </w:r>
          </w:p>
        </w:tc>
        <w:tc>
          <w:tcPr>
            <w:tcW w:w="943" w:type="pct"/>
            <w:vMerge w:val="restart"/>
            <w:tcBorders>
              <w:top w:val="nil"/>
              <w:left w:val="single" w:color="auto" w:sz="4" w:space="0"/>
              <w:bottom w:val="single" w:color="auto" w:sz="4" w:space="0"/>
              <w:right w:val="single" w:color="auto" w:sz="4" w:space="0"/>
            </w:tcBorders>
            <w:shd w:val="clear" w:color="000000" w:fill="FFFFFF"/>
            <w:vAlign w:val="center"/>
          </w:tcPr>
          <w:p w14:paraId="7629BA0F">
            <w:pPr>
              <w:widowControl/>
              <w:jc w:val="center"/>
              <w:rPr>
                <w:rFonts w:ascii="宋体" w:hAnsi="宋体" w:eastAsia="宋体" w:cs="宋体"/>
                <w:kern w:val="0"/>
                <w:sz w:val="20"/>
                <w:szCs w:val="20"/>
              </w:rPr>
            </w:pPr>
            <w:r>
              <w:rPr>
                <w:rFonts w:hint="eastAsia" w:ascii="宋体" w:hAnsi="宋体" w:eastAsia="宋体" w:cs="宋体"/>
                <w:kern w:val="0"/>
                <w:sz w:val="20"/>
                <w:szCs w:val="20"/>
              </w:rPr>
              <w:t>每天做好相关记录，并按规定程序上报各主管部门。每周和每月的总结必须按规定的流程汇总上报</w:t>
            </w:r>
          </w:p>
        </w:tc>
        <w:tc>
          <w:tcPr>
            <w:tcW w:w="1713" w:type="pct"/>
            <w:tcBorders>
              <w:top w:val="nil"/>
              <w:left w:val="nil"/>
              <w:bottom w:val="single" w:color="auto" w:sz="4" w:space="0"/>
              <w:right w:val="single" w:color="auto" w:sz="4" w:space="0"/>
            </w:tcBorders>
            <w:shd w:val="clear" w:color="000000" w:fill="FFFFFF"/>
            <w:vAlign w:val="center"/>
          </w:tcPr>
          <w:p w14:paraId="3F7997B1">
            <w:pPr>
              <w:widowControl/>
              <w:jc w:val="center"/>
              <w:rPr>
                <w:rFonts w:ascii="宋体" w:hAnsi="宋体" w:eastAsia="宋体" w:cs="宋体"/>
                <w:kern w:val="0"/>
                <w:sz w:val="20"/>
                <w:szCs w:val="20"/>
              </w:rPr>
            </w:pPr>
            <w:r>
              <w:rPr>
                <w:rFonts w:hint="eastAsia" w:ascii="宋体" w:hAnsi="宋体" w:eastAsia="宋体" w:cs="宋体"/>
                <w:kern w:val="0"/>
                <w:sz w:val="20"/>
                <w:szCs w:val="20"/>
              </w:rPr>
              <w:t>1.按规定时间节点提交各类汇总，延迟1天扣0.5分，以此类推。</w:t>
            </w:r>
          </w:p>
        </w:tc>
        <w:tc>
          <w:tcPr>
            <w:tcW w:w="574" w:type="pct"/>
            <w:tcBorders>
              <w:top w:val="nil"/>
              <w:left w:val="nil"/>
              <w:bottom w:val="single" w:color="auto" w:sz="4" w:space="0"/>
              <w:right w:val="single" w:color="auto" w:sz="4" w:space="0"/>
            </w:tcBorders>
            <w:shd w:val="clear" w:color="000000" w:fill="FFFFFF"/>
            <w:noWrap/>
            <w:vAlign w:val="center"/>
          </w:tcPr>
          <w:p w14:paraId="086025E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8D52D90">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FDB93C7">
            <w:pPr>
              <w:widowControl/>
              <w:jc w:val="left"/>
              <w:rPr>
                <w:rFonts w:ascii="宋体" w:hAnsi="宋体" w:eastAsia="宋体" w:cs="宋体"/>
                <w:kern w:val="0"/>
                <w:sz w:val="22"/>
              </w:rPr>
            </w:pPr>
            <w:r>
              <w:rPr>
                <w:rFonts w:hint="eastAsia" w:ascii="宋体" w:hAnsi="宋体" w:eastAsia="宋体" w:cs="宋体"/>
                <w:kern w:val="0"/>
                <w:sz w:val="22"/>
              </w:rPr>
              <w:t>　</w:t>
            </w:r>
          </w:p>
        </w:tc>
      </w:tr>
      <w:tr w14:paraId="20DFC3F7">
        <w:tblPrEx>
          <w:tblCellMar>
            <w:top w:w="0" w:type="dxa"/>
            <w:left w:w="108" w:type="dxa"/>
            <w:bottom w:w="0" w:type="dxa"/>
            <w:right w:w="108" w:type="dxa"/>
          </w:tblCellMar>
        </w:tblPrEx>
        <w:trPr>
          <w:trHeight w:val="720" w:hRule="atLeast"/>
        </w:trPr>
        <w:tc>
          <w:tcPr>
            <w:tcW w:w="238" w:type="pct"/>
            <w:vMerge w:val="continue"/>
            <w:tcBorders>
              <w:top w:val="nil"/>
              <w:left w:val="single" w:color="auto" w:sz="4" w:space="0"/>
              <w:bottom w:val="single" w:color="auto" w:sz="4" w:space="0"/>
              <w:right w:val="single" w:color="auto" w:sz="4" w:space="0"/>
            </w:tcBorders>
            <w:vAlign w:val="center"/>
          </w:tcPr>
          <w:p w14:paraId="2F08655F">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F131CE2">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6C357945">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4A66491B">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1CC91F3B">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4804F4F6">
            <w:pPr>
              <w:widowControl/>
              <w:jc w:val="center"/>
              <w:rPr>
                <w:rFonts w:ascii="宋体" w:hAnsi="宋体" w:eastAsia="宋体" w:cs="宋体"/>
                <w:kern w:val="0"/>
                <w:sz w:val="20"/>
                <w:szCs w:val="20"/>
              </w:rPr>
            </w:pPr>
            <w:r>
              <w:rPr>
                <w:rFonts w:hint="eastAsia" w:ascii="宋体" w:hAnsi="宋体" w:eastAsia="宋体" w:cs="宋体"/>
                <w:kern w:val="0"/>
                <w:sz w:val="20"/>
                <w:szCs w:val="20"/>
              </w:rPr>
              <w:t>2.若有各种投诉，需在次月5日前提交投诉汇总表，延迟1天扣1分，以此类推。</w:t>
            </w:r>
          </w:p>
        </w:tc>
        <w:tc>
          <w:tcPr>
            <w:tcW w:w="574" w:type="pct"/>
            <w:tcBorders>
              <w:top w:val="nil"/>
              <w:left w:val="nil"/>
              <w:bottom w:val="single" w:color="auto" w:sz="4" w:space="0"/>
              <w:right w:val="single" w:color="auto" w:sz="4" w:space="0"/>
            </w:tcBorders>
            <w:shd w:val="clear" w:color="000000" w:fill="FFFFFF"/>
            <w:noWrap/>
            <w:vAlign w:val="center"/>
          </w:tcPr>
          <w:p w14:paraId="5DE1D608">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6CDF2C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6364C7C">
            <w:pPr>
              <w:widowControl/>
              <w:jc w:val="left"/>
              <w:rPr>
                <w:rFonts w:ascii="宋体" w:hAnsi="宋体" w:eastAsia="宋体" w:cs="宋体"/>
                <w:kern w:val="0"/>
                <w:sz w:val="22"/>
              </w:rPr>
            </w:pPr>
            <w:r>
              <w:rPr>
                <w:rFonts w:hint="eastAsia" w:ascii="宋体" w:hAnsi="宋体" w:eastAsia="宋体" w:cs="宋体"/>
                <w:kern w:val="0"/>
                <w:sz w:val="22"/>
              </w:rPr>
              <w:t>　</w:t>
            </w:r>
          </w:p>
        </w:tc>
      </w:tr>
      <w:tr w14:paraId="1B453E9D">
        <w:tblPrEx>
          <w:tblCellMar>
            <w:top w:w="0" w:type="dxa"/>
            <w:left w:w="108" w:type="dxa"/>
            <w:bottom w:w="0" w:type="dxa"/>
            <w:right w:w="108" w:type="dxa"/>
          </w:tblCellMar>
        </w:tblPrEx>
        <w:trPr>
          <w:trHeight w:val="480" w:hRule="atLeast"/>
        </w:trPr>
        <w:tc>
          <w:tcPr>
            <w:tcW w:w="238" w:type="pct"/>
            <w:vMerge w:val="continue"/>
            <w:tcBorders>
              <w:top w:val="nil"/>
              <w:left w:val="single" w:color="auto" w:sz="4" w:space="0"/>
              <w:bottom w:val="single" w:color="auto" w:sz="4" w:space="0"/>
              <w:right w:val="single" w:color="auto" w:sz="4" w:space="0"/>
            </w:tcBorders>
            <w:vAlign w:val="center"/>
          </w:tcPr>
          <w:p w14:paraId="74736E01">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D8EABB3">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4F3CC1F8">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4F06E254">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3CEF2C9F">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78FEF9B6">
            <w:pPr>
              <w:widowControl/>
              <w:jc w:val="center"/>
              <w:rPr>
                <w:rFonts w:ascii="宋体" w:hAnsi="宋体" w:eastAsia="宋体" w:cs="宋体"/>
                <w:kern w:val="0"/>
                <w:sz w:val="20"/>
                <w:szCs w:val="20"/>
              </w:rPr>
            </w:pPr>
            <w:r>
              <w:rPr>
                <w:rFonts w:hint="eastAsia" w:ascii="宋体" w:hAnsi="宋体" w:eastAsia="宋体" w:cs="宋体"/>
                <w:kern w:val="0"/>
                <w:sz w:val="20"/>
                <w:szCs w:val="20"/>
              </w:rPr>
              <w:t>3.相关记录中有数据错误或错字超过2个或以上的，每出现一处扣0.5分。</w:t>
            </w:r>
          </w:p>
        </w:tc>
        <w:tc>
          <w:tcPr>
            <w:tcW w:w="574" w:type="pct"/>
            <w:tcBorders>
              <w:top w:val="nil"/>
              <w:left w:val="nil"/>
              <w:bottom w:val="single" w:color="auto" w:sz="4" w:space="0"/>
              <w:right w:val="single" w:color="auto" w:sz="4" w:space="0"/>
            </w:tcBorders>
            <w:shd w:val="clear" w:color="000000" w:fill="FFFFFF"/>
            <w:vAlign w:val="center"/>
          </w:tcPr>
          <w:p w14:paraId="2D8BFCB4">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F6B84F2">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F2E3DC5">
            <w:pPr>
              <w:widowControl/>
              <w:jc w:val="left"/>
              <w:rPr>
                <w:rFonts w:ascii="宋体" w:hAnsi="宋体" w:eastAsia="宋体" w:cs="宋体"/>
                <w:kern w:val="0"/>
                <w:sz w:val="22"/>
              </w:rPr>
            </w:pPr>
            <w:r>
              <w:rPr>
                <w:rFonts w:hint="eastAsia" w:ascii="宋体" w:hAnsi="宋体" w:eastAsia="宋体" w:cs="宋体"/>
                <w:kern w:val="0"/>
                <w:sz w:val="22"/>
              </w:rPr>
              <w:t>　</w:t>
            </w:r>
          </w:p>
        </w:tc>
      </w:tr>
      <w:tr w14:paraId="6EDEBFA5">
        <w:tblPrEx>
          <w:tblCellMar>
            <w:top w:w="0" w:type="dxa"/>
            <w:left w:w="108" w:type="dxa"/>
            <w:bottom w:w="0" w:type="dxa"/>
            <w:right w:w="108" w:type="dxa"/>
          </w:tblCellMar>
        </w:tblPrEx>
        <w:trPr>
          <w:trHeight w:val="615" w:hRule="atLeast"/>
        </w:trPr>
        <w:tc>
          <w:tcPr>
            <w:tcW w:w="238" w:type="pct"/>
            <w:vMerge w:val="continue"/>
            <w:tcBorders>
              <w:top w:val="nil"/>
              <w:left w:val="single" w:color="auto" w:sz="4" w:space="0"/>
              <w:bottom w:val="single" w:color="auto" w:sz="4" w:space="0"/>
              <w:right w:val="single" w:color="auto" w:sz="4" w:space="0"/>
            </w:tcBorders>
            <w:vAlign w:val="center"/>
          </w:tcPr>
          <w:p w14:paraId="0C6D8C9F">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4729A9F">
            <w:pPr>
              <w:widowControl/>
              <w:jc w:val="left"/>
              <w:rPr>
                <w:rFonts w:ascii="宋体" w:hAnsi="宋体" w:eastAsia="宋体" w:cs="宋体"/>
                <w:b/>
                <w:bCs/>
                <w:kern w:val="0"/>
                <w:sz w:val="22"/>
              </w:rPr>
            </w:pPr>
          </w:p>
        </w:tc>
        <w:tc>
          <w:tcPr>
            <w:tcW w:w="275" w:type="pct"/>
            <w:vMerge w:val="continue"/>
            <w:tcBorders>
              <w:top w:val="nil"/>
              <w:left w:val="single" w:color="auto" w:sz="4" w:space="0"/>
              <w:bottom w:val="nil"/>
              <w:right w:val="single" w:color="auto" w:sz="4" w:space="0"/>
            </w:tcBorders>
            <w:vAlign w:val="center"/>
          </w:tcPr>
          <w:p w14:paraId="199463C6">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7EE34BAC">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78537E6B">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0A6D5351">
            <w:pPr>
              <w:widowControl/>
              <w:jc w:val="center"/>
              <w:rPr>
                <w:rFonts w:ascii="宋体" w:hAnsi="宋体" w:eastAsia="宋体" w:cs="宋体"/>
                <w:kern w:val="0"/>
                <w:sz w:val="20"/>
                <w:szCs w:val="20"/>
              </w:rPr>
            </w:pPr>
            <w:r>
              <w:rPr>
                <w:rFonts w:hint="eastAsia" w:ascii="宋体" w:hAnsi="宋体" w:eastAsia="宋体" w:cs="宋体"/>
                <w:kern w:val="0"/>
                <w:sz w:val="20"/>
                <w:szCs w:val="20"/>
              </w:rPr>
              <w:t>4.服从馆方制作统计及报表。每月、季、年销售数据完成报表。不能及时完成每次扣2分。</w:t>
            </w:r>
          </w:p>
        </w:tc>
        <w:tc>
          <w:tcPr>
            <w:tcW w:w="574" w:type="pct"/>
            <w:tcBorders>
              <w:top w:val="nil"/>
              <w:left w:val="nil"/>
              <w:bottom w:val="single" w:color="auto" w:sz="4" w:space="0"/>
              <w:right w:val="single" w:color="auto" w:sz="4" w:space="0"/>
            </w:tcBorders>
            <w:shd w:val="clear" w:color="000000" w:fill="FFFFFF"/>
            <w:noWrap/>
            <w:vAlign w:val="center"/>
          </w:tcPr>
          <w:p w14:paraId="342A4FB9">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15F4813">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9317359">
            <w:pPr>
              <w:widowControl/>
              <w:jc w:val="left"/>
              <w:rPr>
                <w:rFonts w:ascii="宋体" w:hAnsi="宋体" w:eastAsia="宋体" w:cs="宋体"/>
                <w:kern w:val="0"/>
                <w:sz w:val="22"/>
              </w:rPr>
            </w:pPr>
            <w:r>
              <w:rPr>
                <w:rFonts w:hint="eastAsia" w:ascii="宋体" w:hAnsi="宋体" w:eastAsia="宋体" w:cs="宋体"/>
                <w:kern w:val="0"/>
                <w:sz w:val="22"/>
              </w:rPr>
              <w:t>　</w:t>
            </w:r>
          </w:p>
        </w:tc>
      </w:tr>
      <w:tr w14:paraId="2A44E465">
        <w:tblPrEx>
          <w:tblCellMar>
            <w:top w:w="0" w:type="dxa"/>
            <w:left w:w="108" w:type="dxa"/>
            <w:bottom w:w="0" w:type="dxa"/>
            <w:right w:w="108" w:type="dxa"/>
          </w:tblCellMar>
        </w:tblPrEx>
        <w:trPr>
          <w:trHeight w:val="615" w:hRule="atLeast"/>
        </w:trPr>
        <w:tc>
          <w:tcPr>
            <w:tcW w:w="238" w:type="pct"/>
            <w:vMerge w:val="restart"/>
            <w:tcBorders>
              <w:top w:val="nil"/>
              <w:left w:val="single" w:color="auto" w:sz="4" w:space="0"/>
              <w:bottom w:val="single" w:color="auto" w:sz="4" w:space="0"/>
              <w:right w:val="nil"/>
            </w:tcBorders>
            <w:shd w:val="clear" w:color="000000" w:fill="FFFFFF"/>
            <w:vAlign w:val="center"/>
          </w:tcPr>
          <w:p w14:paraId="2F90E2CD">
            <w:pPr>
              <w:widowControl/>
              <w:jc w:val="center"/>
              <w:rPr>
                <w:rFonts w:ascii="宋体" w:hAnsi="宋体" w:eastAsia="宋体" w:cs="宋体"/>
                <w:kern w:val="0"/>
                <w:sz w:val="22"/>
              </w:rPr>
            </w:pPr>
            <w:r>
              <w:rPr>
                <w:rFonts w:hint="eastAsia" w:ascii="宋体" w:hAnsi="宋体" w:eastAsia="宋体" w:cs="宋体"/>
                <w:kern w:val="0"/>
                <w:sz w:val="22"/>
              </w:rPr>
              <w:t>6</w:t>
            </w:r>
          </w:p>
        </w:tc>
        <w:tc>
          <w:tcPr>
            <w:tcW w:w="234" w:type="pct"/>
            <w:vMerge w:val="restart"/>
            <w:tcBorders>
              <w:top w:val="nil"/>
              <w:left w:val="single" w:color="auto" w:sz="4" w:space="0"/>
              <w:bottom w:val="single" w:color="000000" w:sz="4" w:space="0"/>
              <w:right w:val="single" w:color="auto" w:sz="4" w:space="0"/>
            </w:tcBorders>
            <w:shd w:val="clear" w:color="000000" w:fill="FFFFFF"/>
            <w:textDirection w:val="tbRlV"/>
            <w:vAlign w:val="center"/>
          </w:tcPr>
          <w:p w14:paraId="63AC63B0">
            <w:pPr>
              <w:widowControl/>
              <w:jc w:val="center"/>
              <w:rPr>
                <w:rFonts w:ascii="宋体" w:hAnsi="宋体" w:eastAsia="宋体" w:cs="宋体"/>
                <w:b/>
                <w:bCs/>
                <w:kern w:val="0"/>
                <w:sz w:val="22"/>
              </w:rPr>
            </w:pPr>
            <w:r>
              <w:rPr>
                <w:rFonts w:hint="eastAsia" w:ascii="宋体" w:hAnsi="宋体" w:eastAsia="宋体" w:cs="宋体"/>
                <w:b/>
                <w:bCs/>
                <w:kern w:val="0"/>
                <w:sz w:val="22"/>
              </w:rPr>
              <w:t>公众服务板块</w:t>
            </w:r>
          </w:p>
        </w:tc>
        <w:tc>
          <w:tcPr>
            <w:tcW w:w="275" w:type="pct"/>
            <w:vMerge w:val="restart"/>
            <w:tcBorders>
              <w:top w:val="single" w:color="auto" w:sz="4" w:space="0"/>
              <w:left w:val="single" w:color="auto" w:sz="4" w:space="0"/>
              <w:bottom w:val="nil"/>
              <w:right w:val="single" w:color="auto" w:sz="4" w:space="0"/>
            </w:tcBorders>
            <w:shd w:val="clear" w:color="000000" w:fill="FFFFFF"/>
            <w:noWrap/>
            <w:textDirection w:val="tbRlV"/>
            <w:vAlign w:val="center"/>
          </w:tcPr>
          <w:p w14:paraId="2C781524">
            <w:pPr>
              <w:widowControl/>
              <w:jc w:val="center"/>
              <w:rPr>
                <w:rFonts w:ascii="宋体" w:hAnsi="宋体" w:eastAsia="宋体" w:cs="宋体"/>
                <w:kern w:val="0"/>
                <w:sz w:val="22"/>
              </w:rPr>
            </w:pPr>
            <w:r>
              <w:rPr>
                <w:rFonts w:hint="eastAsia" w:ascii="宋体" w:hAnsi="宋体" w:eastAsia="宋体" w:cs="宋体"/>
                <w:kern w:val="0"/>
                <w:sz w:val="22"/>
              </w:rPr>
              <w:t>社会教育部</w:t>
            </w: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0978E3BD">
            <w:pPr>
              <w:widowControl/>
              <w:jc w:val="center"/>
              <w:rPr>
                <w:rFonts w:ascii="宋体" w:hAnsi="宋体" w:eastAsia="宋体" w:cs="宋体"/>
                <w:kern w:val="0"/>
                <w:sz w:val="20"/>
                <w:szCs w:val="20"/>
              </w:rPr>
            </w:pPr>
            <w:r>
              <w:rPr>
                <w:rFonts w:hint="eastAsia" w:ascii="宋体" w:hAnsi="宋体" w:eastAsia="宋体" w:cs="宋体"/>
                <w:kern w:val="0"/>
                <w:sz w:val="20"/>
                <w:szCs w:val="20"/>
              </w:rPr>
              <w:t>讲解咨询  （前台服务）</w:t>
            </w:r>
          </w:p>
        </w:tc>
        <w:tc>
          <w:tcPr>
            <w:tcW w:w="943" w:type="pct"/>
            <w:vMerge w:val="restart"/>
            <w:tcBorders>
              <w:top w:val="nil"/>
              <w:left w:val="single" w:color="auto" w:sz="4" w:space="0"/>
              <w:bottom w:val="single" w:color="auto" w:sz="4" w:space="0"/>
              <w:right w:val="single" w:color="auto" w:sz="4" w:space="0"/>
            </w:tcBorders>
            <w:shd w:val="clear" w:color="000000" w:fill="FFFFFF"/>
          </w:tcPr>
          <w:p w14:paraId="526F99E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 讲解员须在9:15~15:30期间在前台轮岗，在开馆前完成相关准备工作，确保讲解设备和讲解公告栏处于正常使用状态。开馆期间需为观众耐心认真提供咨询服务，安排讲解等；协助发放子母机并做好相应记录；正常情况下，前台须至少有一人站岗；有散客要求提供讲解服务时，在保证预约团队接待及前台服务的情况下必须提供，不得无故拒接散客团；前台岗位负有监督、记录讲解员动向的任务，如确因特殊情况无人站岗时，需委托游客中心服务人员辅助管理，待讲解任务结束后及时补上。前台人员负责指导观众填写会员申请表、拍照及登记。</w:t>
            </w:r>
          </w:p>
        </w:tc>
        <w:tc>
          <w:tcPr>
            <w:tcW w:w="1713" w:type="pct"/>
            <w:tcBorders>
              <w:top w:val="nil"/>
              <w:left w:val="nil"/>
              <w:bottom w:val="single" w:color="auto" w:sz="4" w:space="0"/>
              <w:right w:val="single" w:color="auto" w:sz="4" w:space="0"/>
            </w:tcBorders>
            <w:shd w:val="clear" w:color="000000" w:fill="FFFFFF"/>
            <w:vAlign w:val="center"/>
          </w:tcPr>
          <w:p w14:paraId="1E93B8F2">
            <w:pPr>
              <w:widowControl/>
              <w:jc w:val="center"/>
              <w:rPr>
                <w:rFonts w:ascii="宋体" w:hAnsi="宋体" w:eastAsia="宋体" w:cs="宋体"/>
                <w:kern w:val="0"/>
                <w:sz w:val="20"/>
                <w:szCs w:val="20"/>
              </w:rPr>
            </w:pPr>
            <w:r>
              <w:rPr>
                <w:rFonts w:hint="eastAsia" w:ascii="宋体" w:hAnsi="宋体" w:eastAsia="宋体" w:cs="宋体"/>
                <w:kern w:val="0"/>
                <w:sz w:val="20"/>
                <w:szCs w:val="20"/>
              </w:rPr>
              <w:t>1.开馆前未能做好讲解设备和讲解公告栏等准备工作，设备回收、保护等未尽责，每发现一例扣1-5分</w:t>
            </w:r>
          </w:p>
        </w:tc>
        <w:tc>
          <w:tcPr>
            <w:tcW w:w="574" w:type="pct"/>
            <w:tcBorders>
              <w:top w:val="nil"/>
              <w:left w:val="nil"/>
              <w:bottom w:val="single" w:color="auto" w:sz="4" w:space="0"/>
              <w:right w:val="single" w:color="auto" w:sz="4" w:space="0"/>
            </w:tcBorders>
            <w:shd w:val="clear" w:color="000000" w:fill="FFFFFF"/>
            <w:noWrap/>
            <w:vAlign w:val="center"/>
          </w:tcPr>
          <w:p w14:paraId="29292947">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ABBABE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4CF8E0E">
            <w:pPr>
              <w:widowControl/>
              <w:jc w:val="left"/>
              <w:rPr>
                <w:rFonts w:ascii="宋体" w:hAnsi="宋体" w:eastAsia="宋体" w:cs="宋体"/>
                <w:kern w:val="0"/>
                <w:sz w:val="22"/>
              </w:rPr>
            </w:pPr>
            <w:r>
              <w:rPr>
                <w:rFonts w:hint="eastAsia" w:ascii="宋体" w:hAnsi="宋体" w:eastAsia="宋体" w:cs="宋体"/>
                <w:kern w:val="0"/>
                <w:sz w:val="22"/>
              </w:rPr>
              <w:t>　</w:t>
            </w:r>
          </w:p>
        </w:tc>
      </w:tr>
      <w:tr w14:paraId="7B61A116">
        <w:tblPrEx>
          <w:tblCellMar>
            <w:top w:w="0" w:type="dxa"/>
            <w:left w:w="108" w:type="dxa"/>
            <w:bottom w:w="0" w:type="dxa"/>
            <w:right w:w="108" w:type="dxa"/>
          </w:tblCellMar>
        </w:tblPrEx>
        <w:trPr>
          <w:trHeight w:val="585" w:hRule="atLeast"/>
        </w:trPr>
        <w:tc>
          <w:tcPr>
            <w:tcW w:w="238" w:type="pct"/>
            <w:vMerge w:val="continue"/>
            <w:tcBorders>
              <w:top w:val="nil"/>
              <w:left w:val="single" w:color="auto" w:sz="4" w:space="0"/>
              <w:bottom w:val="single" w:color="auto" w:sz="4" w:space="0"/>
              <w:right w:val="nil"/>
            </w:tcBorders>
            <w:vAlign w:val="center"/>
          </w:tcPr>
          <w:p w14:paraId="1C3781D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F535A0D">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6FF03596">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681333B2">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7BC6F103">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472210A7">
            <w:pPr>
              <w:widowControl/>
              <w:jc w:val="center"/>
              <w:rPr>
                <w:rFonts w:ascii="宋体" w:hAnsi="宋体" w:eastAsia="宋体" w:cs="宋体"/>
                <w:kern w:val="0"/>
                <w:sz w:val="20"/>
                <w:szCs w:val="20"/>
              </w:rPr>
            </w:pPr>
            <w:r>
              <w:rPr>
                <w:rFonts w:hint="eastAsia" w:ascii="宋体" w:hAnsi="宋体" w:eastAsia="宋体" w:cs="宋体"/>
                <w:kern w:val="0"/>
                <w:sz w:val="20"/>
                <w:szCs w:val="20"/>
              </w:rPr>
              <w:t>2.正常情况下，前台服务出现缺人情况(包括早退和迟到)，每发现一例扣1-5分</w:t>
            </w:r>
          </w:p>
        </w:tc>
        <w:tc>
          <w:tcPr>
            <w:tcW w:w="574" w:type="pct"/>
            <w:tcBorders>
              <w:top w:val="nil"/>
              <w:left w:val="nil"/>
              <w:bottom w:val="single" w:color="auto" w:sz="4" w:space="0"/>
              <w:right w:val="single" w:color="auto" w:sz="4" w:space="0"/>
            </w:tcBorders>
            <w:shd w:val="clear" w:color="000000" w:fill="FFFFFF"/>
            <w:noWrap/>
            <w:vAlign w:val="center"/>
          </w:tcPr>
          <w:p w14:paraId="11FB1C4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8EA9796">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2B89B58">
            <w:pPr>
              <w:widowControl/>
              <w:jc w:val="left"/>
              <w:rPr>
                <w:rFonts w:ascii="宋体" w:hAnsi="宋体" w:eastAsia="宋体" w:cs="宋体"/>
                <w:kern w:val="0"/>
                <w:sz w:val="22"/>
              </w:rPr>
            </w:pPr>
            <w:r>
              <w:rPr>
                <w:rFonts w:hint="eastAsia" w:ascii="宋体" w:hAnsi="宋体" w:eastAsia="宋体" w:cs="宋体"/>
                <w:kern w:val="0"/>
                <w:sz w:val="22"/>
              </w:rPr>
              <w:t>　</w:t>
            </w:r>
          </w:p>
        </w:tc>
      </w:tr>
      <w:tr w14:paraId="6AAAEDA5">
        <w:tblPrEx>
          <w:tblCellMar>
            <w:top w:w="0" w:type="dxa"/>
            <w:left w:w="108" w:type="dxa"/>
            <w:bottom w:w="0" w:type="dxa"/>
            <w:right w:w="108" w:type="dxa"/>
          </w:tblCellMar>
        </w:tblPrEx>
        <w:trPr>
          <w:trHeight w:val="720" w:hRule="atLeast"/>
        </w:trPr>
        <w:tc>
          <w:tcPr>
            <w:tcW w:w="238" w:type="pct"/>
            <w:vMerge w:val="continue"/>
            <w:tcBorders>
              <w:top w:val="nil"/>
              <w:left w:val="single" w:color="auto" w:sz="4" w:space="0"/>
              <w:bottom w:val="single" w:color="auto" w:sz="4" w:space="0"/>
              <w:right w:val="nil"/>
            </w:tcBorders>
            <w:vAlign w:val="center"/>
          </w:tcPr>
          <w:p w14:paraId="7F65B82A">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57E75B0">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505CD40F">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13F3418F">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41AD0AEA">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23D1E6BE">
            <w:pPr>
              <w:widowControl/>
              <w:jc w:val="center"/>
              <w:rPr>
                <w:rFonts w:ascii="宋体" w:hAnsi="宋体" w:eastAsia="宋体" w:cs="宋体"/>
                <w:kern w:val="0"/>
                <w:sz w:val="20"/>
                <w:szCs w:val="20"/>
              </w:rPr>
            </w:pPr>
            <w:r>
              <w:rPr>
                <w:rFonts w:hint="eastAsia" w:ascii="宋体" w:hAnsi="宋体" w:eastAsia="宋体" w:cs="宋体"/>
                <w:kern w:val="0"/>
                <w:sz w:val="20"/>
                <w:szCs w:val="20"/>
              </w:rPr>
              <w:t>3.面对观众咨询，不闻不问或者态度冷淡的，每发现一例扣1-5分</w:t>
            </w:r>
          </w:p>
        </w:tc>
        <w:tc>
          <w:tcPr>
            <w:tcW w:w="574" w:type="pct"/>
            <w:tcBorders>
              <w:top w:val="nil"/>
              <w:left w:val="nil"/>
              <w:bottom w:val="single" w:color="auto" w:sz="4" w:space="0"/>
              <w:right w:val="single" w:color="auto" w:sz="4" w:space="0"/>
            </w:tcBorders>
            <w:shd w:val="clear" w:color="000000" w:fill="FFFFFF"/>
            <w:noWrap/>
            <w:vAlign w:val="center"/>
          </w:tcPr>
          <w:p w14:paraId="7B2FC58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D3813D4">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0F10A9C">
            <w:pPr>
              <w:widowControl/>
              <w:jc w:val="left"/>
              <w:rPr>
                <w:rFonts w:ascii="宋体" w:hAnsi="宋体" w:eastAsia="宋体" w:cs="宋体"/>
                <w:kern w:val="0"/>
                <w:sz w:val="22"/>
              </w:rPr>
            </w:pPr>
            <w:r>
              <w:rPr>
                <w:rFonts w:hint="eastAsia" w:ascii="宋体" w:hAnsi="宋体" w:eastAsia="宋体" w:cs="宋体"/>
                <w:kern w:val="0"/>
                <w:sz w:val="22"/>
              </w:rPr>
              <w:t>　</w:t>
            </w:r>
          </w:p>
        </w:tc>
      </w:tr>
      <w:tr w14:paraId="0F2566B3">
        <w:tblPrEx>
          <w:tblCellMar>
            <w:top w:w="0" w:type="dxa"/>
            <w:left w:w="108" w:type="dxa"/>
            <w:bottom w:w="0" w:type="dxa"/>
            <w:right w:w="108" w:type="dxa"/>
          </w:tblCellMar>
        </w:tblPrEx>
        <w:trPr>
          <w:trHeight w:val="885" w:hRule="atLeast"/>
        </w:trPr>
        <w:tc>
          <w:tcPr>
            <w:tcW w:w="238" w:type="pct"/>
            <w:vMerge w:val="continue"/>
            <w:tcBorders>
              <w:top w:val="nil"/>
              <w:left w:val="single" w:color="auto" w:sz="4" w:space="0"/>
              <w:bottom w:val="single" w:color="auto" w:sz="4" w:space="0"/>
              <w:right w:val="nil"/>
            </w:tcBorders>
            <w:vAlign w:val="center"/>
          </w:tcPr>
          <w:p w14:paraId="386268DC">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2211B89B">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75D09137">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736E9226">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70E701D9">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1E43B81B">
            <w:pPr>
              <w:widowControl/>
              <w:jc w:val="center"/>
              <w:rPr>
                <w:rFonts w:ascii="宋体" w:hAnsi="宋体" w:eastAsia="宋体" w:cs="宋体"/>
                <w:kern w:val="0"/>
                <w:sz w:val="20"/>
                <w:szCs w:val="20"/>
              </w:rPr>
            </w:pPr>
            <w:r>
              <w:rPr>
                <w:rFonts w:hint="eastAsia" w:ascii="宋体" w:hAnsi="宋体" w:eastAsia="宋体" w:cs="宋体"/>
                <w:kern w:val="0"/>
                <w:sz w:val="20"/>
                <w:szCs w:val="20"/>
              </w:rPr>
              <w:t>4.《讲解员岗位动向表》、《每日讲解记录表》和《岗位交接本》出现漏记、错记每次扣2分</w:t>
            </w:r>
          </w:p>
        </w:tc>
        <w:tc>
          <w:tcPr>
            <w:tcW w:w="574" w:type="pct"/>
            <w:tcBorders>
              <w:top w:val="nil"/>
              <w:left w:val="nil"/>
              <w:bottom w:val="single" w:color="auto" w:sz="4" w:space="0"/>
              <w:right w:val="single" w:color="auto" w:sz="4" w:space="0"/>
            </w:tcBorders>
            <w:shd w:val="clear" w:color="000000" w:fill="FFFFFF"/>
            <w:noWrap/>
            <w:vAlign w:val="center"/>
          </w:tcPr>
          <w:p w14:paraId="58AD6459">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D14254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5055E09">
            <w:pPr>
              <w:widowControl/>
              <w:jc w:val="left"/>
              <w:rPr>
                <w:rFonts w:ascii="宋体" w:hAnsi="宋体" w:eastAsia="宋体" w:cs="宋体"/>
                <w:kern w:val="0"/>
                <w:sz w:val="22"/>
              </w:rPr>
            </w:pPr>
            <w:r>
              <w:rPr>
                <w:rFonts w:hint="eastAsia" w:ascii="宋体" w:hAnsi="宋体" w:eastAsia="宋体" w:cs="宋体"/>
                <w:kern w:val="0"/>
                <w:sz w:val="22"/>
              </w:rPr>
              <w:t>　</w:t>
            </w:r>
          </w:p>
        </w:tc>
      </w:tr>
      <w:tr w14:paraId="733285B4">
        <w:tblPrEx>
          <w:tblCellMar>
            <w:top w:w="0" w:type="dxa"/>
            <w:left w:w="108" w:type="dxa"/>
            <w:bottom w:w="0" w:type="dxa"/>
            <w:right w:w="108" w:type="dxa"/>
          </w:tblCellMar>
        </w:tblPrEx>
        <w:trPr>
          <w:trHeight w:val="540" w:hRule="atLeast"/>
        </w:trPr>
        <w:tc>
          <w:tcPr>
            <w:tcW w:w="238" w:type="pct"/>
            <w:vMerge w:val="restart"/>
            <w:tcBorders>
              <w:top w:val="nil"/>
              <w:left w:val="single" w:color="auto" w:sz="4" w:space="0"/>
              <w:bottom w:val="single" w:color="auto" w:sz="4" w:space="0"/>
              <w:right w:val="nil"/>
            </w:tcBorders>
            <w:shd w:val="clear" w:color="000000" w:fill="FFFFFF"/>
            <w:vAlign w:val="center"/>
          </w:tcPr>
          <w:p w14:paraId="3867F630">
            <w:pPr>
              <w:widowControl/>
              <w:jc w:val="center"/>
              <w:rPr>
                <w:rFonts w:ascii="宋体" w:hAnsi="宋体" w:eastAsia="宋体" w:cs="宋体"/>
                <w:kern w:val="0"/>
                <w:sz w:val="22"/>
              </w:rPr>
            </w:pPr>
            <w:r>
              <w:rPr>
                <w:rFonts w:hint="eastAsia" w:ascii="宋体" w:hAnsi="宋体" w:eastAsia="宋体" w:cs="宋体"/>
                <w:kern w:val="0"/>
                <w:sz w:val="22"/>
              </w:rPr>
              <w:t>7</w:t>
            </w:r>
          </w:p>
        </w:tc>
        <w:tc>
          <w:tcPr>
            <w:tcW w:w="234" w:type="pct"/>
            <w:vMerge w:val="continue"/>
            <w:tcBorders>
              <w:top w:val="nil"/>
              <w:left w:val="single" w:color="auto" w:sz="4" w:space="0"/>
              <w:bottom w:val="single" w:color="000000" w:sz="4" w:space="0"/>
              <w:right w:val="single" w:color="auto" w:sz="4" w:space="0"/>
            </w:tcBorders>
            <w:vAlign w:val="center"/>
          </w:tcPr>
          <w:p w14:paraId="5B834C62">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3C1F58F7">
            <w:pPr>
              <w:widowControl/>
              <w:jc w:val="left"/>
              <w:rPr>
                <w:rFonts w:ascii="宋体" w:hAnsi="宋体" w:eastAsia="宋体" w:cs="宋体"/>
                <w:kern w:val="0"/>
                <w:sz w:val="22"/>
              </w:rPr>
            </w:pP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18EFB0F4">
            <w:pPr>
              <w:widowControl/>
              <w:jc w:val="center"/>
              <w:rPr>
                <w:rFonts w:ascii="宋体" w:hAnsi="宋体" w:eastAsia="宋体" w:cs="宋体"/>
                <w:kern w:val="0"/>
                <w:sz w:val="20"/>
                <w:szCs w:val="20"/>
              </w:rPr>
            </w:pPr>
            <w:r>
              <w:rPr>
                <w:rFonts w:hint="eastAsia" w:ascii="宋体" w:hAnsi="宋体" w:eastAsia="宋体" w:cs="宋体"/>
                <w:kern w:val="0"/>
                <w:sz w:val="20"/>
                <w:szCs w:val="20"/>
              </w:rPr>
              <w:t>讲解接待</w:t>
            </w:r>
          </w:p>
        </w:tc>
        <w:tc>
          <w:tcPr>
            <w:tcW w:w="943" w:type="pct"/>
            <w:vMerge w:val="restart"/>
            <w:tcBorders>
              <w:top w:val="nil"/>
              <w:left w:val="single" w:color="auto" w:sz="4" w:space="0"/>
              <w:bottom w:val="single" w:color="auto" w:sz="4" w:space="0"/>
              <w:right w:val="single" w:color="auto" w:sz="4" w:space="0"/>
            </w:tcBorders>
            <w:shd w:val="clear" w:color="000000" w:fill="FFFFFF"/>
            <w:vAlign w:val="center"/>
          </w:tcPr>
          <w:p w14:paraId="525AB36A">
            <w:pPr>
              <w:widowControl/>
              <w:jc w:val="center"/>
              <w:rPr>
                <w:rFonts w:ascii="宋体" w:hAnsi="宋体" w:eastAsia="宋体" w:cs="宋体"/>
                <w:kern w:val="0"/>
                <w:sz w:val="20"/>
                <w:szCs w:val="20"/>
              </w:rPr>
            </w:pPr>
            <w:r>
              <w:rPr>
                <w:rFonts w:hint="eastAsia" w:ascii="宋体" w:hAnsi="宋体" w:eastAsia="宋体" w:cs="宋体"/>
                <w:kern w:val="0"/>
                <w:sz w:val="20"/>
                <w:szCs w:val="20"/>
              </w:rPr>
              <w:t>讲解员在讲解前需了解团队参观的全部相关信息和需求，确定讲解路线、时间和内容；需至少提前5分钟到岗等候，准备充分所需讲解设备；组织并指导使用子母机，做好讲解设备管理；工作要有轻重缓急，正常情况下应首先保证各类讲解工作预约团队讲解（包括家庭日等其它特殊讲解）、区域讲解、前台咨询，临时接待须第一时间处理好。讲解内容准确无误、要点明确，整体流畅；层次分明、逻辑性强、详略把握得当；语音语调准确、语音清晰、语速适中；能针对不同游客使用恰当的讲解技巧，讲解通俗易懂，富有感染力。不能因个人原因对讲解接待有所推脱，定期提升自身讲解水平，具有较强的学习能力和学习的主动性，及时掌握下发的各类学习资料，并融入到讲解中去。</w:t>
            </w:r>
          </w:p>
        </w:tc>
        <w:tc>
          <w:tcPr>
            <w:tcW w:w="1713" w:type="pct"/>
            <w:tcBorders>
              <w:top w:val="nil"/>
              <w:left w:val="nil"/>
              <w:bottom w:val="single" w:color="auto" w:sz="4" w:space="0"/>
              <w:right w:val="single" w:color="auto" w:sz="4" w:space="0"/>
            </w:tcBorders>
            <w:shd w:val="clear" w:color="000000" w:fill="FFFFFF"/>
            <w:vAlign w:val="center"/>
          </w:tcPr>
          <w:p w14:paraId="53BBB7A7">
            <w:pPr>
              <w:widowControl/>
              <w:jc w:val="center"/>
              <w:rPr>
                <w:rFonts w:ascii="宋体" w:hAnsi="宋体" w:eastAsia="宋体" w:cs="宋体"/>
                <w:kern w:val="0"/>
                <w:sz w:val="20"/>
                <w:szCs w:val="20"/>
              </w:rPr>
            </w:pPr>
            <w:r>
              <w:rPr>
                <w:rFonts w:hint="eastAsia" w:ascii="宋体" w:hAnsi="宋体" w:eastAsia="宋体" w:cs="宋体"/>
                <w:kern w:val="0"/>
                <w:sz w:val="20"/>
                <w:szCs w:val="20"/>
              </w:rPr>
              <w:t>1.讲解员未能提前到岗接团，给观众造成影响的，每例扣2-5分</w:t>
            </w:r>
          </w:p>
        </w:tc>
        <w:tc>
          <w:tcPr>
            <w:tcW w:w="574" w:type="pct"/>
            <w:tcBorders>
              <w:top w:val="nil"/>
              <w:left w:val="nil"/>
              <w:bottom w:val="single" w:color="auto" w:sz="4" w:space="0"/>
              <w:right w:val="single" w:color="auto" w:sz="4" w:space="0"/>
            </w:tcBorders>
            <w:shd w:val="clear" w:color="000000" w:fill="FFFFFF"/>
            <w:noWrap/>
            <w:vAlign w:val="center"/>
          </w:tcPr>
          <w:p w14:paraId="654CD758">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479FAE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BFECF15">
            <w:pPr>
              <w:widowControl/>
              <w:jc w:val="left"/>
              <w:rPr>
                <w:rFonts w:ascii="宋体" w:hAnsi="宋体" w:eastAsia="宋体" w:cs="宋体"/>
                <w:kern w:val="0"/>
                <w:sz w:val="22"/>
              </w:rPr>
            </w:pPr>
            <w:r>
              <w:rPr>
                <w:rFonts w:hint="eastAsia" w:ascii="宋体" w:hAnsi="宋体" w:eastAsia="宋体" w:cs="宋体"/>
                <w:kern w:val="0"/>
                <w:sz w:val="22"/>
              </w:rPr>
              <w:t>　</w:t>
            </w:r>
          </w:p>
        </w:tc>
      </w:tr>
      <w:tr w14:paraId="609CE5C1">
        <w:tblPrEx>
          <w:tblCellMar>
            <w:top w:w="0" w:type="dxa"/>
            <w:left w:w="108" w:type="dxa"/>
            <w:bottom w:w="0" w:type="dxa"/>
            <w:right w:w="108" w:type="dxa"/>
          </w:tblCellMar>
        </w:tblPrEx>
        <w:trPr>
          <w:trHeight w:val="780" w:hRule="atLeast"/>
        </w:trPr>
        <w:tc>
          <w:tcPr>
            <w:tcW w:w="238" w:type="pct"/>
            <w:vMerge w:val="continue"/>
            <w:tcBorders>
              <w:top w:val="nil"/>
              <w:left w:val="single" w:color="auto" w:sz="4" w:space="0"/>
              <w:bottom w:val="single" w:color="auto" w:sz="4" w:space="0"/>
              <w:right w:val="nil"/>
            </w:tcBorders>
            <w:vAlign w:val="center"/>
          </w:tcPr>
          <w:p w14:paraId="5F61ACB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017E353">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30A4CC23">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535D76DE">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759BFE91">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5FABA360">
            <w:pPr>
              <w:widowControl/>
              <w:jc w:val="center"/>
              <w:rPr>
                <w:rFonts w:ascii="宋体" w:hAnsi="宋体" w:eastAsia="宋体" w:cs="宋体"/>
                <w:kern w:val="0"/>
                <w:sz w:val="20"/>
                <w:szCs w:val="20"/>
              </w:rPr>
            </w:pPr>
            <w:r>
              <w:rPr>
                <w:rFonts w:hint="eastAsia" w:ascii="宋体" w:hAnsi="宋体" w:eastAsia="宋体" w:cs="宋体"/>
                <w:kern w:val="0"/>
                <w:sz w:val="20"/>
                <w:szCs w:val="20"/>
              </w:rPr>
              <w:t>2.讲解员未事先了解团队讲解需求，未做好充分准备和人员安排的，每发现一例扣2-5分</w:t>
            </w:r>
          </w:p>
        </w:tc>
        <w:tc>
          <w:tcPr>
            <w:tcW w:w="574" w:type="pct"/>
            <w:tcBorders>
              <w:top w:val="nil"/>
              <w:left w:val="nil"/>
              <w:bottom w:val="single" w:color="auto" w:sz="4" w:space="0"/>
              <w:right w:val="single" w:color="auto" w:sz="4" w:space="0"/>
            </w:tcBorders>
            <w:shd w:val="clear" w:color="000000" w:fill="FFFFFF"/>
            <w:noWrap/>
            <w:vAlign w:val="center"/>
          </w:tcPr>
          <w:p w14:paraId="598BD4AB">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2C817DF">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0ACA0E1">
            <w:pPr>
              <w:widowControl/>
              <w:jc w:val="left"/>
              <w:rPr>
                <w:rFonts w:ascii="宋体" w:hAnsi="宋体" w:eastAsia="宋体" w:cs="宋体"/>
                <w:kern w:val="0"/>
                <w:sz w:val="22"/>
              </w:rPr>
            </w:pPr>
            <w:r>
              <w:rPr>
                <w:rFonts w:hint="eastAsia" w:ascii="宋体" w:hAnsi="宋体" w:eastAsia="宋体" w:cs="宋体"/>
                <w:kern w:val="0"/>
                <w:sz w:val="22"/>
              </w:rPr>
              <w:t>　</w:t>
            </w:r>
          </w:p>
        </w:tc>
      </w:tr>
      <w:tr w14:paraId="2D8E842F">
        <w:tblPrEx>
          <w:tblCellMar>
            <w:top w:w="0" w:type="dxa"/>
            <w:left w:w="108" w:type="dxa"/>
            <w:bottom w:w="0" w:type="dxa"/>
            <w:right w:w="108" w:type="dxa"/>
          </w:tblCellMar>
        </w:tblPrEx>
        <w:trPr>
          <w:trHeight w:val="630" w:hRule="atLeast"/>
        </w:trPr>
        <w:tc>
          <w:tcPr>
            <w:tcW w:w="238" w:type="pct"/>
            <w:vMerge w:val="continue"/>
            <w:tcBorders>
              <w:top w:val="nil"/>
              <w:left w:val="single" w:color="auto" w:sz="4" w:space="0"/>
              <w:bottom w:val="single" w:color="auto" w:sz="4" w:space="0"/>
              <w:right w:val="nil"/>
            </w:tcBorders>
            <w:vAlign w:val="center"/>
          </w:tcPr>
          <w:p w14:paraId="61847E45">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7F1CABE">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46A20B97">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3F2B6747">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53117FB7">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0304603">
            <w:pPr>
              <w:widowControl/>
              <w:jc w:val="center"/>
              <w:rPr>
                <w:rFonts w:ascii="宋体" w:hAnsi="宋体" w:eastAsia="宋体" w:cs="宋体"/>
                <w:kern w:val="0"/>
                <w:sz w:val="20"/>
                <w:szCs w:val="20"/>
              </w:rPr>
            </w:pPr>
            <w:r>
              <w:rPr>
                <w:rFonts w:hint="eastAsia" w:ascii="宋体" w:hAnsi="宋体" w:eastAsia="宋体" w:cs="宋体"/>
                <w:kern w:val="0"/>
                <w:sz w:val="20"/>
                <w:szCs w:val="20"/>
              </w:rPr>
              <w:t>3.讲解线路单一，内容有误，礼仪不规范，因人施讲能力较差，视整体情况扣2-5分</w:t>
            </w:r>
          </w:p>
        </w:tc>
        <w:tc>
          <w:tcPr>
            <w:tcW w:w="574" w:type="pct"/>
            <w:tcBorders>
              <w:top w:val="nil"/>
              <w:left w:val="nil"/>
              <w:bottom w:val="single" w:color="auto" w:sz="4" w:space="0"/>
              <w:right w:val="single" w:color="auto" w:sz="4" w:space="0"/>
            </w:tcBorders>
            <w:shd w:val="clear" w:color="000000" w:fill="FFFFFF"/>
            <w:noWrap/>
            <w:vAlign w:val="center"/>
          </w:tcPr>
          <w:p w14:paraId="146C17C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F80D64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F0CBF3F">
            <w:pPr>
              <w:widowControl/>
              <w:jc w:val="left"/>
              <w:rPr>
                <w:rFonts w:ascii="宋体" w:hAnsi="宋体" w:eastAsia="宋体" w:cs="宋体"/>
                <w:kern w:val="0"/>
                <w:sz w:val="22"/>
              </w:rPr>
            </w:pPr>
            <w:r>
              <w:rPr>
                <w:rFonts w:hint="eastAsia" w:ascii="宋体" w:hAnsi="宋体" w:eastAsia="宋体" w:cs="宋体"/>
                <w:kern w:val="0"/>
                <w:sz w:val="22"/>
              </w:rPr>
              <w:t>　</w:t>
            </w:r>
          </w:p>
        </w:tc>
      </w:tr>
      <w:tr w14:paraId="2A5D283B">
        <w:tblPrEx>
          <w:tblCellMar>
            <w:top w:w="0" w:type="dxa"/>
            <w:left w:w="108" w:type="dxa"/>
            <w:bottom w:w="0" w:type="dxa"/>
            <w:right w:w="108" w:type="dxa"/>
          </w:tblCellMar>
        </w:tblPrEx>
        <w:trPr>
          <w:trHeight w:val="615" w:hRule="atLeast"/>
        </w:trPr>
        <w:tc>
          <w:tcPr>
            <w:tcW w:w="238" w:type="pct"/>
            <w:vMerge w:val="continue"/>
            <w:tcBorders>
              <w:top w:val="nil"/>
              <w:left w:val="single" w:color="auto" w:sz="4" w:space="0"/>
              <w:bottom w:val="single" w:color="auto" w:sz="4" w:space="0"/>
              <w:right w:val="nil"/>
            </w:tcBorders>
            <w:vAlign w:val="center"/>
          </w:tcPr>
          <w:p w14:paraId="63334333">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1D1DA6B9">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6C50B3C4">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767731B3">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64ECF8E2">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DDB6B4B">
            <w:pPr>
              <w:widowControl/>
              <w:jc w:val="center"/>
              <w:rPr>
                <w:rFonts w:ascii="宋体" w:hAnsi="宋体" w:eastAsia="宋体" w:cs="宋体"/>
                <w:kern w:val="0"/>
                <w:sz w:val="20"/>
                <w:szCs w:val="20"/>
              </w:rPr>
            </w:pPr>
            <w:r>
              <w:rPr>
                <w:rFonts w:hint="eastAsia" w:ascii="宋体" w:hAnsi="宋体" w:eastAsia="宋体" w:cs="宋体"/>
                <w:kern w:val="0"/>
                <w:sz w:val="20"/>
                <w:szCs w:val="20"/>
              </w:rPr>
              <w:t>4.讲解接待水平停滞不前，自我学习主动性和能力较差，视整体情况扣2-5分</w:t>
            </w:r>
          </w:p>
        </w:tc>
        <w:tc>
          <w:tcPr>
            <w:tcW w:w="574" w:type="pct"/>
            <w:tcBorders>
              <w:top w:val="nil"/>
              <w:left w:val="nil"/>
              <w:bottom w:val="single" w:color="auto" w:sz="4" w:space="0"/>
              <w:right w:val="single" w:color="auto" w:sz="4" w:space="0"/>
            </w:tcBorders>
            <w:shd w:val="clear" w:color="000000" w:fill="FFFFFF"/>
            <w:noWrap/>
            <w:vAlign w:val="center"/>
          </w:tcPr>
          <w:p w14:paraId="366C076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B14B0E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DE74CD5">
            <w:pPr>
              <w:widowControl/>
              <w:jc w:val="left"/>
              <w:rPr>
                <w:rFonts w:ascii="宋体" w:hAnsi="宋体" w:eastAsia="宋体" w:cs="宋体"/>
                <w:kern w:val="0"/>
                <w:sz w:val="22"/>
              </w:rPr>
            </w:pPr>
            <w:r>
              <w:rPr>
                <w:rFonts w:hint="eastAsia" w:ascii="宋体" w:hAnsi="宋体" w:eastAsia="宋体" w:cs="宋体"/>
                <w:kern w:val="0"/>
                <w:sz w:val="22"/>
              </w:rPr>
              <w:t>　</w:t>
            </w:r>
          </w:p>
        </w:tc>
      </w:tr>
      <w:tr w14:paraId="67D09CEF">
        <w:tblPrEx>
          <w:tblCellMar>
            <w:top w:w="0" w:type="dxa"/>
            <w:left w:w="108" w:type="dxa"/>
            <w:bottom w:w="0" w:type="dxa"/>
            <w:right w:w="108" w:type="dxa"/>
          </w:tblCellMar>
        </w:tblPrEx>
        <w:trPr>
          <w:trHeight w:val="825" w:hRule="atLeast"/>
        </w:trPr>
        <w:tc>
          <w:tcPr>
            <w:tcW w:w="238" w:type="pct"/>
            <w:vMerge w:val="continue"/>
            <w:tcBorders>
              <w:top w:val="nil"/>
              <w:left w:val="single" w:color="auto" w:sz="4" w:space="0"/>
              <w:bottom w:val="single" w:color="auto" w:sz="4" w:space="0"/>
              <w:right w:val="nil"/>
            </w:tcBorders>
            <w:vAlign w:val="center"/>
          </w:tcPr>
          <w:p w14:paraId="1C5CF9E6">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7A51D567">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7D34BDBE">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3C65D7EA">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092761DB">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1EA1FFF2">
            <w:pPr>
              <w:widowControl/>
              <w:jc w:val="center"/>
              <w:rPr>
                <w:rFonts w:ascii="宋体" w:hAnsi="宋体" w:eastAsia="宋体" w:cs="宋体"/>
                <w:kern w:val="0"/>
                <w:sz w:val="20"/>
                <w:szCs w:val="20"/>
              </w:rPr>
            </w:pPr>
            <w:r>
              <w:rPr>
                <w:rFonts w:hint="eastAsia" w:ascii="宋体" w:hAnsi="宋体" w:eastAsia="宋体" w:cs="宋体"/>
                <w:kern w:val="0"/>
                <w:sz w:val="20"/>
                <w:szCs w:val="20"/>
              </w:rPr>
              <w:t>5.针对特展、巡展等特殊展览的讲解，未能及时胜任确保接待工作的，每发现一例扣5分</w:t>
            </w:r>
          </w:p>
        </w:tc>
        <w:tc>
          <w:tcPr>
            <w:tcW w:w="574" w:type="pct"/>
            <w:tcBorders>
              <w:top w:val="nil"/>
              <w:left w:val="nil"/>
              <w:bottom w:val="single" w:color="auto" w:sz="4" w:space="0"/>
              <w:right w:val="single" w:color="auto" w:sz="4" w:space="0"/>
            </w:tcBorders>
            <w:shd w:val="clear" w:color="000000" w:fill="FFFFFF"/>
            <w:noWrap/>
            <w:vAlign w:val="center"/>
          </w:tcPr>
          <w:p w14:paraId="0408FC28">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46F4533">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78B1B11">
            <w:pPr>
              <w:widowControl/>
              <w:jc w:val="left"/>
              <w:rPr>
                <w:rFonts w:ascii="宋体" w:hAnsi="宋体" w:eastAsia="宋体" w:cs="宋体"/>
                <w:kern w:val="0"/>
                <w:sz w:val="22"/>
              </w:rPr>
            </w:pPr>
            <w:r>
              <w:rPr>
                <w:rFonts w:hint="eastAsia" w:ascii="宋体" w:hAnsi="宋体" w:eastAsia="宋体" w:cs="宋体"/>
                <w:kern w:val="0"/>
                <w:sz w:val="22"/>
              </w:rPr>
              <w:t>　</w:t>
            </w:r>
          </w:p>
        </w:tc>
      </w:tr>
      <w:tr w14:paraId="28C19B20">
        <w:tblPrEx>
          <w:tblCellMar>
            <w:top w:w="0" w:type="dxa"/>
            <w:left w:w="108" w:type="dxa"/>
            <w:bottom w:w="0" w:type="dxa"/>
            <w:right w:w="108" w:type="dxa"/>
          </w:tblCellMar>
        </w:tblPrEx>
        <w:trPr>
          <w:trHeight w:val="585" w:hRule="atLeast"/>
        </w:trPr>
        <w:tc>
          <w:tcPr>
            <w:tcW w:w="238" w:type="pct"/>
            <w:vMerge w:val="continue"/>
            <w:tcBorders>
              <w:top w:val="nil"/>
              <w:left w:val="single" w:color="auto" w:sz="4" w:space="0"/>
              <w:bottom w:val="single" w:color="auto" w:sz="4" w:space="0"/>
              <w:right w:val="nil"/>
            </w:tcBorders>
            <w:vAlign w:val="center"/>
          </w:tcPr>
          <w:p w14:paraId="0287C4CB">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5DD14E7A">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3187BF51">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4762D61E">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24CE3665">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1431E0ED">
            <w:pPr>
              <w:widowControl/>
              <w:jc w:val="center"/>
              <w:rPr>
                <w:rFonts w:ascii="宋体" w:hAnsi="宋体" w:eastAsia="宋体" w:cs="宋体"/>
                <w:kern w:val="0"/>
                <w:sz w:val="20"/>
                <w:szCs w:val="20"/>
              </w:rPr>
            </w:pPr>
            <w:r>
              <w:rPr>
                <w:rFonts w:hint="eastAsia" w:ascii="宋体" w:hAnsi="宋体" w:eastAsia="宋体" w:cs="宋体"/>
                <w:kern w:val="0"/>
                <w:sz w:val="20"/>
                <w:szCs w:val="20"/>
              </w:rPr>
              <w:t>6.针对各类讲解比赛，未能积极参加备赛的，视整体情况扣2-5分</w:t>
            </w:r>
          </w:p>
        </w:tc>
        <w:tc>
          <w:tcPr>
            <w:tcW w:w="574" w:type="pct"/>
            <w:tcBorders>
              <w:top w:val="nil"/>
              <w:left w:val="nil"/>
              <w:bottom w:val="single" w:color="auto" w:sz="4" w:space="0"/>
              <w:right w:val="single" w:color="auto" w:sz="4" w:space="0"/>
            </w:tcBorders>
            <w:shd w:val="clear" w:color="000000" w:fill="FFFFFF"/>
            <w:noWrap/>
            <w:vAlign w:val="center"/>
          </w:tcPr>
          <w:p w14:paraId="75B39611">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83D50C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B98B212">
            <w:pPr>
              <w:widowControl/>
              <w:jc w:val="left"/>
              <w:rPr>
                <w:rFonts w:ascii="宋体" w:hAnsi="宋体" w:eastAsia="宋体" w:cs="宋体"/>
                <w:kern w:val="0"/>
                <w:sz w:val="22"/>
              </w:rPr>
            </w:pPr>
            <w:r>
              <w:rPr>
                <w:rFonts w:hint="eastAsia" w:ascii="宋体" w:hAnsi="宋体" w:eastAsia="宋体" w:cs="宋体"/>
                <w:kern w:val="0"/>
                <w:sz w:val="22"/>
              </w:rPr>
              <w:t>　</w:t>
            </w:r>
          </w:p>
        </w:tc>
      </w:tr>
      <w:tr w14:paraId="6F5E639E">
        <w:tblPrEx>
          <w:tblCellMar>
            <w:top w:w="0" w:type="dxa"/>
            <w:left w:w="108" w:type="dxa"/>
            <w:bottom w:w="0" w:type="dxa"/>
            <w:right w:w="108" w:type="dxa"/>
          </w:tblCellMar>
        </w:tblPrEx>
        <w:trPr>
          <w:trHeight w:val="645" w:hRule="atLeast"/>
        </w:trPr>
        <w:tc>
          <w:tcPr>
            <w:tcW w:w="238" w:type="pct"/>
            <w:vMerge w:val="restart"/>
            <w:tcBorders>
              <w:top w:val="nil"/>
              <w:left w:val="single" w:color="auto" w:sz="4" w:space="0"/>
              <w:bottom w:val="single" w:color="auto" w:sz="4" w:space="0"/>
              <w:right w:val="nil"/>
            </w:tcBorders>
            <w:shd w:val="clear" w:color="000000" w:fill="FFFFFF"/>
            <w:vAlign w:val="center"/>
          </w:tcPr>
          <w:p w14:paraId="16067B59">
            <w:pPr>
              <w:widowControl/>
              <w:jc w:val="center"/>
              <w:rPr>
                <w:rFonts w:ascii="宋体" w:hAnsi="宋体" w:eastAsia="宋体" w:cs="宋体"/>
                <w:kern w:val="0"/>
                <w:sz w:val="22"/>
              </w:rPr>
            </w:pPr>
            <w:r>
              <w:rPr>
                <w:rFonts w:hint="eastAsia" w:ascii="宋体" w:hAnsi="宋体" w:eastAsia="宋体" w:cs="宋体"/>
                <w:kern w:val="0"/>
                <w:sz w:val="22"/>
              </w:rPr>
              <w:t>8</w:t>
            </w:r>
          </w:p>
        </w:tc>
        <w:tc>
          <w:tcPr>
            <w:tcW w:w="234" w:type="pct"/>
            <w:vMerge w:val="continue"/>
            <w:tcBorders>
              <w:top w:val="nil"/>
              <w:left w:val="single" w:color="auto" w:sz="4" w:space="0"/>
              <w:bottom w:val="single" w:color="000000" w:sz="4" w:space="0"/>
              <w:right w:val="single" w:color="auto" w:sz="4" w:space="0"/>
            </w:tcBorders>
            <w:vAlign w:val="center"/>
          </w:tcPr>
          <w:p w14:paraId="77BD861F">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6B9D5333">
            <w:pPr>
              <w:widowControl/>
              <w:jc w:val="left"/>
              <w:rPr>
                <w:rFonts w:ascii="宋体" w:hAnsi="宋体" w:eastAsia="宋体" w:cs="宋体"/>
                <w:kern w:val="0"/>
                <w:sz w:val="22"/>
              </w:rPr>
            </w:pP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41CAA637">
            <w:pPr>
              <w:widowControl/>
              <w:jc w:val="center"/>
              <w:rPr>
                <w:rFonts w:ascii="宋体" w:hAnsi="宋体" w:eastAsia="宋体" w:cs="宋体"/>
                <w:kern w:val="0"/>
                <w:sz w:val="20"/>
                <w:szCs w:val="20"/>
              </w:rPr>
            </w:pPr>
            <w:r>
              <w:rPr>
                <w:rFonts w:hint="eastAsia" w:ascii="宋体" w:hAnsi="宋体" w:eastAsia="宋体" w:cs="宋体"/>
                <w:kern w:val="0"/>
                <w:sz w:val="20"/>
                <w:szCs w:val="20"/>
              </w:rPr>
              <w:t>活动开展</w:t>
            </w:r>
          </w:p>
        </w:tc>
        <w:tc>
          <w:tcPr>
            <w:tcW w:w="943" w:type="pct"/>
            <w:vMerge w:val="restart"/>
            <w:tcBorders>
              <w:top w:val="nil"/>
              <w:left w:val="single" w:color="auto" w:sz="4" w:space="0"/>
              <w:bottom w:val="single" w:color="auto" w:sz="4" w:space="0"/>
              <w:right w:val="single" w:color="auto" w:sz="4" w:space="0"/>
            </w:tcBorders>
            <w:shd w:val="clear" w:color="000000" w:fill="FFFFFF"/>
            <w:vAlign w:val="center"/>
          </w:tcPr>
          <w:p w14:paraId="3E13A870">
            <w:pPr>
              <w:widowControl/>
              <w:jc w:val="center"/>
              <w:rPr>
                <w:rFonts w:ascii="宋体" w:hAnsi="宋体" w:eastAsia="宋体" w:cs="宋体"/>
                <w:kern w:val="0"/>
                <w:sz w:val="20"/>
                <w:szCs w:val="20"/>
              </w:rPr>
            </w:pPr>
            <w:r>
              <w:rPr>
                <w:rFonts w:hint="eastAsia" w:ascii="宋体" w:hAnsi="宋体" w:eastAsia="宋体" w:cs="宋体"/>
                <w:kern w:val="0"/>
                <w:sz w:val="20"/>
                <w:szCs w:val="20"/>
              </w:rPr>
              <w:t>根据讲解员星级评定，1~2星级讲解员能按时保质保量完成常规教育活动的具体实施；3星及以上星级讲解员能按时保质保量完成新的教育活动的策划。态度认真积极，工作责任心强；活动开展和科普课程授课方式生动活泼，符合观众需求，且传递的信息准确严谨。讲解词整理编写能依据权威的资料、参考文献进行，内容充实严谨、结构合理。</w:t>
            </w:r>
          </w:p>
        </w:tc>
        <w:tc>
          <w:tcPr>
            <w:tcW w:w="1713" w:type="pct"/>
            <w:tcBorders>
              <w:top w:val="nil"/>
              <w:left w:val="nil"/>
              <w:bottom w:val="single" w:color="auto" w:sz="4" w:space="0"/>
              <w:right w:val="single" w:color="auto" w:sz="4" w:space="0"/>
            </w:tcBorders>
            <w:shd w:val="clear" w:color="000000" w:fill="FFFFFF"/>
            <w:vAlign w:val="center"/>
          </w:tcPr>
          <w:p w14:paraId="2D3DDD23">
            <w:pPr>
              <w:widowControl/>
              <w:jc w:val="center"/>
              <w:rPr>
                <w:rFonts w:ascii="宋体" w:hAnsi="宋体" w:eastAsia="宋体" w:cs="宋体"/>
                <w:kern w:val="0"/>
                <w:sz w:val="20"/>
                <w:szCs w:val="20"/>
              </w:rPr>
            </w:pPr>
            <w:r>
              <w:rPr>
                <w:rFonts w:hint="eastAsia" w:ascii="宋体" w:hAnsi="宋体" w:eastAsia="宋体" w:cs="宋体"/>
                <w:kern w:val="0"/>
                <w:sz w:val="20"/>
                <w:szCs w:val="20"/>
              </w:rPr>
              <w:t>1.未能及时保质保量地完成教育活动的策划和实施，影响到相关工作质量和进度，每发现一例扣2-5分。</w:t>
            </w:r>
          </w:p>
        </w:tc>
        <w:tc>
          <w:tcPr>
            <w:tcW w:w="574" w:type="pct"/>
            <w:tcBorders>
              <w:top w:val="nil"/>
              <w:left w:val="nil"/>
              <w:bottom w:val="single" w:color="auto" w:sz="4" w:space="0"/>
              <w:right w:val="single" w:color="auto" w:sz="4" w:space="0"/>
            </w:tcBorders>
            <w:shd w:val="clear" w:color="000000" w:fill="FFFFFF"/>
            <w:noWrap/>
            <w:vAlign w:val="center"/>
          </w:tcPr>
          <w:p w14:paraId="03C82F4B">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2751132">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46BF3F0">
            <w:pPr>
              <w:widowControl/>
              <w:jc w:val="left"/>
              <w:rPr>
                <w:rFonts w:ascii="宋体" w:hAnsi="宋体" w:eastAsia="宋体" w:cs="宋体"/>
                <w:kern w:val="0"/>
                <w:sz w:val="22"/>
              </w:rPr>
            </w:pPr>
            <w:r>
              <w:rPr>
                <w:rFonts w:hint="eastAsia" w:ascii="宋体" w:hAnsi="宋体" w:eastAsia="宋体" w:cs="宋体"/>
                <w:kern w:val="0"/>
                <w:sz w:val="22"/>
              </w:rPr>
              <w:t>　</w:t>
            </w:r>
          </w:p>
        </w:tc>
      </w:tr>
      <w:tr w14:paraId="1E33873E">
        <w:tblPrEx>
          <w:tblCellMar>
            <w:top w:w="0" w:type="dxa"/>
            <w:left w:w="108" w:type="dxa"/>
            <w:bottom w:w="0" w:type="dxa"/>
            <w:right w:w="108" w:type="dxa"/>
          </w:tblCellMar>
        </w:tblPrEx>
        <w:trPr>
          <w:trHeight w:val="645" w:hRule="atLeast"/>
        </w:trPr>
        <w:tc>
          <w:tcPr>
            <w:tcW w:w="238" w:type="pct"/>
            <w:vMerge w:val="continue"/>
            <w:tcBorders>
              <w:top w:val="nil"/>
              <w:left w:val="single" w:color="auto" w:sz="4" w:space="0"/>
              <w:bottom w:val="single" w:color="auto" w:sz="4" w:space="0"/>
              <w:right w:val="nil"/>
            </w:tcBorders>
            <w:vAlign w:val="center"/>
          </w:tcPr>
          <w:p w14:paraId="68F3DDA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03CE3F6">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2B0914D6">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7447C271">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1ACC6A2A">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2CB78778">
            <w:pPr>
              <w:widowControl/>
              <w:jc w:val="center"/>
              <w:rPr>
                <w:rFonts w:ascii="宋体" w:hAnsi="宋体" w:eastAsia="宋体" w:cs="宋体"/>
                <w:kern w:val="0"/>
                <w:sz w:val="20"/>
                <w:szCs w:val="20"/>
              </w:rPr>
            </w:pPr>
            <w:r>
              <w:rPr>
                <w:rFonts w:hint="eastAsia" w:ascii="宋体" w:hAnsi="宋体" w:eastAsia="宋体" w:cs="宋体"/>
                <w:kern w:val="0"/>
                <w:sz w:val="20"/>
                <w:szCs w:val="20"/>
              </w:rPr>
              <w:t>2.课程编写内容粗糙有误，科普授课及学生指导等质量不符合要求，每发现一例扣2-5分。</w:t>
            </w:r>
          </w:p>
        </w:tc>
        <w:tc>
          <w:tcPr>
            <w:tcW w:w="574" w:type="pct"/>
            <w:tcBorders>
              <w:top w:val="nil"/>
              <w:left w:val="nil"/>
              <w:bottom w:val="single" w:color="auto" w:sz="4" w:space="0"/>
              <w:right w:val="single" w:color="auto" w:sz="4" w:space="0"/>
            </w:tcBorders>
            <w:shd w:val="clear" w:color="000000" w:fill="FFFFFF"/>
            <w:noWrap/>
            <w:vAlign w:val="center"/>
          </w:tcPr>
          <w:p w14:paraId="09840E91">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8DB929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30BBB75">
            <w:pPr>
              <w:widowControl/>
              <w:jc w:val="left"/>
              <w:rPr>
                <w:rFonts w:ascii="宋体" w:hAnsi="宋体" w:eastAsia="宋体" w:cs="宋体"/>
                <w:kern w:val="0"/>
                <w:sz w:val="22"/>
              </w:rPr>
            </w:pPr>
            <w:r>
              <w:rPr>
                <w:rFonts w:hint="eastAsia" w:ascii="宋体" w:hAnsi="宋体" w:eastAsia="宋体" w:cs="宋体"/>
                <w:kern w:val="0"/>
                <w:sz w:val="22"/>
              </w:rPr>
              <w:t>　</w:t>
            </w:r>
          </w:p>
        </w:tc>
      </w:tr>
      <w:tr w14:paraId="2C872CF4">
        <w:tblPrEx>
          <w:tblCellMar>
            <w:top w:w="0" w:type="dxa"/>
            <w:left w:w="108" w:type="dxa"/>
            <w:bottom w:w="0" w:type="dxa"/>
            <w:right w:w="108" w:type="dxa"/>
          </w:tblCellMar>
        </w:tblPrEx>
        <w:trPr>
          <w:trHeight w:val="780" w:hRule="atLeast"/>
        </w:trPr>
        <w:tc>
          <w:tcPr>
            <w:tcW w:w="238" w:type="pct"/>
            <w:vMerge w:val="continue"/>
            <w:tcBorders>
              <w:top w:val="nil"/>
              <w:left w:val="single" w:color="auto" w:sz="4" w:space="0"/>
              <w:bottom w:val="single" w:color="auto" w:sz="4" w:space="0"/>
              <w:right w:val="nil"/>
            </w:tcBorders>
            <w:vAlign w:val="center"/>
          </w:tcPr>
          <w:p w14:paraId="2BA12BD5">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302598D">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5BCFA734">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4C7087C2">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auto" w:sz="4" w:space="0"/>
              <w:right w:val="single" w:color="auto" w:sz="4" w:space="0"/>
            </w:tcBorders>
            <w:vAlign w:val="center"/>
          </w:tcPr>
          <w:p w14:paraId="028A5EED">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6F7D3779">
            <w:pPr>
              <w:widowControl/>
              <w:jc w:val="center"/>
              <w:rPr>
                <w:rFonts w:ascii="宋体" w:hAnsi="宋体" w:eastAsia="宋体" w:cs="宋体"/>
                <w:kern w:val="0"/>
                <w:sz w:val="20"/>
                <w:szCs w:val="20"/>
              </w:rPr>
            </w:pPr>
            <w:r>
              <w:rPr>
                <w:rFonts w:hint="eastAsia" w:ascii="宋体" w:hAnsi="宋体" w:eastAsia="宋体" w:cs="宋体"/>
                <w:kern w:val="0"/>
                <w:sz w:val="20"/>
                <w:szCs w:val="20"/>
              </w:rPr>
              <w:t>3.讲解词编写结构混乱，内容不详实，存在较多抄袭，不认真对待，质量较差，视整体情况扣2-5分</w:t>
            </w:r>
          </w:p>
        </w:tc>
        <w:tc>
          <w:tcPr>
            <w:tcW w:w="574" w:type="pct"/>
            <w:tcBorders>
              <w:top w:val="nil"/>
              <w:left w:val="nil"/>
              <w:bottom w:val="single" w:color="auto" w:sz="4" w:space="0"/>
              <w:right w:val="single" w:color="auto" w:sz="4" w:space="0"/>
            </w:tcBorders>
            <w:shd w:val="clear" w:color="000000" w:fill="FFFFFF"/>
            <w:noWrap/>
            <w:vAlign w:val="center"/>
          </w:tcPr>
          <w:p w14:paraId="334E5F06">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466401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B61B426">
            <w:pPr>
              <w:widowControl/>
              <w:jc w:val="left"/>
              <w:rPr>
                <w:rFonts w:ascii="宋体" w:hAnsi="宋体" w:eastAsia="宋体" w:cs="宋体"/>
                <w:kern w:val="0"/>
                <w:sz w:val="22"/>
              </w:rPr>
            </w:pPr>
            <w:r>
              <w:rPr>
                <w:rFonts w:hint="eastAsia" w:ascii="宋体" w:hAnsi="宋体" w:eastAsia="宋体" w:cs="宋体"/>
                <w:kern w:val="0"/>
                <w:sz w:val="22"/>
              </w:rPr>
              <w:t>　</w:t>
            </w:r>
          </w:p>
        </w:tc>
      </w:tr>
      <w:tr w14:paraId="6A864371">
        <w:tblPrEx>
          <w:tblCellMar>
            <w:top w:w="0" w:type="dxa"/>
            <w:left w:w="108" w:type="dxa"/>
            <w:bottom w:w="0" w:type="dxa"/>
            <w:right w:w="108" w:type="dxa"/>
          </w:tblCellMar>
        </w:tblPrEx>
        <w:trPr>
          <w:trHeight w:val="675" w:hRule="atLeast"/>
        </w:trPr>
        <w:tc>
          <w:tcPr>
            <w:tcW w:w="238" w:type="pct"/>
            <w:vMerge w:val="restart"/>
            <w:tcBorders>
              <w:top w:val="nil"/>
              <w:left w:val="single" w:color="auto" w:sz="4" w:space="0"/>
              <w:bottom w:val="single" w:color="auto" w:sz="4" w:space="0"/>
              <w:right w:val="nil"/>
            </w:tcBorders>
            <w:shd w:val="clear" w:color="000000" w:fill="FFFFFF"/>
            <w:vAlign w:val="center"/>
          </w:tcPr>
          <w:p w14:paraId="49C3C2DE">
            <w:pPr>
              <w:widowControl/>
              <w:jc w:val="center"/>
              <w:rPr>
                <w:rFonts w:ascii="宋体" w:hAnsi="宋体" w:eastAsia="宋体" w:cs="宋体"/>
                <w:kern w:val="0"/>
                <w:sz w:val="22"/>
              </w:rPr>
            </w:pPr>
            <w:r>
              <w:rPr>
                <w:rFonts w:hint="eastAsia" w:ascii="宋体" w:hAnsi="宋体" w:eastAsia="宋体" w:cs="宋体"/>
                <w:kern w:val="0"/>
                <w:sz w:val="22"/>
              </w:rPr>
              <w:t>9</w:t>
            </w:r>
          </w:p>
        </w:tc>
        <w:tc>
          <w:tcPr>
            <w:tcW w:w="234" w:type="pct"/>
            <w:vMerge w:val="continue"/>
            <w:tcBorders>
              <w:top w:val="nil"/>
              <w:left w:val="single" w:color="auto" w:sz="4" w:space="0"/>
              <w:bottom w:val="single" w:color="000000" w:sz="4" w:space="0"/>
              <w:right w:val="single" w:color="auto" w:sz="4" w:space="0"/>
            </w:tcBorders>
            <w:vAlign w:val="center"/>
          </w:tcPr>
          <w:p w14:paraId="7AEFE7E5">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605163BC">
            <w:pPr>
              <w:widowControl/>
              <w:jc w:val="left"/>
              <w:rPr>
                <w:rFonts w:ascii="宋体" w:hAnsi="宋体" w:eastAsia="宋体" w:cs="宋体"/>
                <w:kern w:val="0"/>
                <w:sz w:val="22"/>
              </w:rPr>
            </w:pP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4DACFD4A">
            <w:pPr>
              <w:widowControl/>
              <w:jc w:val="center"/>
              <w:rPr>
                <w:rFonts w:ascii="宋体" w:hAnsi="宋体" w:eastAsia="宋体" w:cs="宋体"/>
                <w:kern w:val="0"/>
                <w:sz w:val="20"/>
                <w:szCs w:val="20"/>
              </w:rPr>
            </w:pPr>
            <w:r>
              <w:rPr>
                <w:rFonts w:hint="eastAsia" w:ascii="宋体" w:hAnsi="宋体" w:eastAsia="宋体" w:cs="宋体"/>
                <w:kern w:val="0"/>
                <w:sz w:val="20"/>
                <w:szCs w:val="20"/>
              </w:rPr>
              <w:t>领班职责</w:t>
            </w:r>
          </w:p>
        </w:tc>
        <w:tc>
          <w:tcPr>
            <w:tcW w:w="943" w:type="pct"/>
            <w:vMerge w:val="restart"/>
            <w:tcBorders>
              <w:top w:val="nil"/>
              <w:left w:val="single" w:color="auto" w:sz="4" w:space="0"/>
              <w:bottom w:val="single" w:color="000000" w:sz="4" w:space="0"/>
              <w:right w:val="single" w:color="auto" w:sz="4" w:space="0"/>
            </w:tcBorders>
            <w:shd w:val="clear" w:color="000000" w:fill="FFFFFF"/>
            <w:vAlign w:val="center"/>
          </w:tcPr>
          <w:p w14:paraId="47DD65C4">
            <w:pPr>
              <w:widowControl/>
              <w:jc w:val="center"/>
              <w:rPr>
                <w:rFonts w:ascii="宋体" w:hAnsi="宋体" w:eastAsia="宋体" w:cs="宋体"/>
                <w:kern w:val="0"/>
                <w:sz w:val="20"/>
                <w:szCs w:val="20"/>
              </w:rPr>
            </w:pPr>
            <w:r>
              <w:rPr>
                <w:rFonts w:hint="eastAsia" w:ascii="宋体" w:hAnsi="宋体" w:eastAsia="宋体" w:cs="宋体"/>
                <w:kern w:val="0"/>
                <w:sz w:val="20"/>
                <w:szCs w:val="20"/>
              </w:rPr>
              <w:t>对新进讲解员和科教人员负有指导及培训的职责，合理安排好每日讲解员和科教的出勤以确保正常的讲解工作的接待和教育活动的开展。根据团队讲解的具体需求合理安排讲解员，同时兼顾到讲解员工作量的均衡。根据科教岗位和馆内外社教工作的的实际情况，合理安排上岗人数和机动处理。加强对日常岗位的巡视，严格要求岗位纪律，掌握讲解员岗位和科教岗位动向，检查《讲解员岗位动向表》和《科教岗位动向表》内容填写完整、准确。处理好讲解班组和科教班组的内部事务。</w:t>
            </w:r>
          </w:p>
        </w:tc>
        <w:tc>
          <w:tcPr>
            <w:tcW w:w="1713" w:type="pct"/>
            <w:tcBorders>
              <w:top w:val="nil"/>
              <w:left w:val="nil"/>
              <w:bottom w:val="single" w:color="auto" w:sz="4" w:space="0"/>
              <w:right w:val="single" w:color="auto" w:sz="4" w:space="0"/>
            </w:tcBorders>
            <w:shd w:val="clear" w:color="000000" w:fill="FFFFFF"/>
            <w:vAlign w:val="center"/>
          </w:tcPr>
          <w:p w14:paraId="63FB7A1E">
            <w:pPr>
              <w:widowControl/>
              <w:jc w:val="center"/>
              <w:rPr>
                <w:rFonts w:ascii="宋体" w:hAnsi="宋体" w:eastAsia="宋体" w:cs="宋体"/>
                <w:kern w:val="0"/>
                <w:sz w:val="20"/>
                <w:szCs w:val="20"/>
              </w:rPr>
            </w:pPr>
            <w:r>
              <w:rPr>
                <w:rFonts w:hint="eastAsia" w:ascii="宋体" w:hAnsi="宋体" w:eastAsia="宋体" w:cs="宋体"/>
                <w:kern w:val="0"/>
                <w:sz w:val="20"/>
                <w:szCs w:val="20"/>
              </w:rPr>
              <w:t>1.未能合理安排讲解员出勤，影响讲解接待工作安排的，每发现一例扣2-5分。</w:t>
            </w:r>
          </w:p>
        </w:tc>
        <w:tc>
          <w:tcPr>
            <w:tcW w:w="574" w:type="pct"/>
            <w:tcBorders>
              <w:top w:val="nil"/>
              <w:left w:val="nil"/>
              <w:bottom w:val="single" w:color="auto" w:sz="4" w:space="0"/>
              <w:right w:val="single" w:color="auto" w:sz="4" w:space="0"/>
            </w:tcBorders>
            <w:shd w:val="clear" w:color="000000" w:fill="FFFFFF"/>
            <w:noWrap/>
            <w:vAlign w:val="center"/>
          </w:tcPr>
          <w:p w14:paraId="5C5355E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74DDD3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3D86FE2">
            <w:pPr>
              <w:widowControl/>
              <w:jc w:val="left"/>
              <w:rPr>
                <w:rFonts w:ascii="宋体" w:hAnsi="宋体" w:eastAsia="宋体" w:cs="宋体"/>
                <w:kern w:val="0"/>
                <w:sz w:val="22"/>
              </w:rPr>
            </w:pPr>
            <w:r>
              <w:rPr>
                <w:rFonts w:hint="eastAsia" w:ascii="宋体" w:hAnsi="宋体" w:eastAsia="宋体" w:cs="宋体"/>
                <w:kern w:val="0"/>
                <w:sz w:val="22"/>
              </w:rPr>
              <w:t>　</w:t>
            </w:r>
          </w:p>
        </w:tc>
      </w:tr>
      <w:tr w14:paraId="3CE05A6D">
        <w:tblPrEx>
          <w:tblCellMar>
            <w:top w:w="0" w:type="dxa"/>
            <w:left w:w="108" w:type="dxa"/>
            <w:bottom w:w="0" w:type="dxa"/>
            <w:right w:w="108" w:type="dxa"/>
          </w:tblCellMar>
        </w:tblPrEx>
        <w:trPr>
          <w:trHeight w:val="690" w:hRule="atLeast"/>
        </w:trPr>
        <w:tc>
          <w:tcPr>
            <w:tcW w:w="238" w:type="pct"/>
            <w:vMerge w:val="continue"/>
            <w:tcBorders>
              <w:top w:val="nil"/>
              <w:left w:val="single" w:color="auto" w:sz="4" w:space="0"/>
              <w:bottom w:val="single" w:color="auto" w:sz="4" w:space="0"/>
              <w:right w:val="nil"/>
            </w:tcBorders>
            <w:vAlign w:val="center"/>
          </w:tcPr>
          <w:p w14:paraId="02B706D9">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00B73E9">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0B4D6DC2">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0E481E1B">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497BA811">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9078C3A">
            <w:pPr>
              <w:widowControl/>
              <w:jc w:val="center"/>
              <w:rPr>
                <w:rFonts w:ascii="宋体" w:hAnsi="宋体" w:eastAsia="宋体" w:cs="宋体"/>
                <w:kern w:val="0"/>
                <w:sz w:val="20"/>
                <w:szCs w:val="20"/>
              </w:rPr>
            </w:pPr>
            <w:r>
              <w:rPr>
                <w:rFonts w:hint="eastAsia" w:ascii="宋体" w:hAnsi="宋体" w:eastAsia="宋体" w:cs="宋体"/>
                <w:kern w:val="0"/>
                <w:sz w:val="20"/>
                <w:szCs w:val="20"/>
              </w:rPr>
              <w:t>2.安排讲解工作不妥当，造成观众投诉或是讲解员工作量差异过大，每发现一例扣2-5分。</w:t>
            </w:r>
          </w:p>
        </w:tc>
        <w:tc>
          <w:tcPr>
            <w:tcW w:w="574" w:type="pct"/>
            <w:tcBorders>
              <w:top w:val="nil"/>
              <w:left w:val="nil"/>
              <w:bottom w:val="single" w:color="auto" w:sz="4" w:space="0"/>
              <w:right w:val="single" w:color="auto" w:sz="4" w:space="0"/>
            </w:tcBorders>
            <w:shd w:val="clear" w:color="000000" w:fill="FFFFFF"/>
            <w:noWrap/>
            <w:vAlign w:val="center"/>
          </w:tcPr>
          <w:p w14:paraId="5462DE3C">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754DBA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6C9A246">
            <w:pPr>
              <w:widowControl/>
              <w:jc w:val="left"/>
              <w:rPr>
                <w:rFonts w:ascii="宋体" w:hAnsi="宋体" w:eastAsia="宋体" w:cs="宋体"/>
                <w:kern w:val="0"/>
                <w:sz w:val="22"/>
              </w:rPr>
            </w:pPr>
            <w:r>
              <w:rPr>
                <w:rFonts w:hint="eastAsia" w:ascii="宋体" w:hAnsi="宋体" w:eastAsia="宋体" w:cs="宋体"/>
                <w:kern w:val="0"/>
                <w:sz w:val="22"/>
              </w:rPr>
              <w:t>　</w:t>
            </w:r>
          </w:p>
        </w:tc>
      </w:tr>
      <w:tr w14:paraId="5F3B17E8">
        <w:tblPrEx>
          <w:tblCellMar>
            <w:top w:w="0" w:type="dxa"/>
            <w:left w:w="108" w:type="dxa"/>
            <w:bottom w:w="0" w:type="dxa"/>
            <w:right w:w="108" w:type="dxa"/>
          </w:tblCellMar>
        </w:tblPrEx>
        <w:trPr>
          <w:trHeight w:val="1050" w:hRule="atLeast"/>
        </w:trPr>
        <w:tc>
          <w:tcPr>
            <w:tcW w:w="238" w:type="pct"/>
            <w:vMerge w:val="continue"/>
            <w:tcBorders>
              <w:top w:val="nil"/>
              <w:left w:val="single" w:color="auto" w:sz="4" w:space="0"/>
              <w:bottom w:val="single" w:color="auto" w:sz="4" w:space="0"/>
              <w:right w:val="nil"/>
            </w:tcBorders>
            <w:vAlign w:val="center"/>
          </w:tcPr>
          <w:p w14:paraId="019D53F1">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26E9A0D3">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3A1E891F">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2CA2C182">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5071136A">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0EBFBAE9">
            <w:pPr>
              <w:widowControl/>
              <w:jc w:val="center"/>
              <w:rPr>
                <w:rFonts w:ascii="宋体" w:hAnsi="宋体" w:eastAsia="宋体" w:cs="宋体"/>
                <w:kern w:val="0"/>
                <w:sz w:val="20"/>
                <w:szCs w:val="20"/>
              </w:rPr>
            </w:pPr>
            <w:r>
              <w:rPr>
                <w:rFonts w:hint="eastAsia" w:ascii="宋体" w:hAnsi="宋体" w:eastAsia="宋体" w:cs="宋体"/>
                <w:kern w:val="0"/>
                <w:sz w:val="20"/>
                <w:szCs w:val="20"/>
              </w:rPr>
              <w:t>3.未能及时妥善处理班组内部事务，影响班组团结的，视整体情况扣2-5分。</w:t>
            </w:r>
          </w:p>
        </w:tc>
        <w:tc>
          <w:tcPr>
            <w:tcW w:w="574" w:type="pct"/>
            <w:tcBorders>
              <w:top w:val="nil"/>
              <w:left w:val="nil"/>
              <w:bottom w:val="single" w:color="auto" w:sz="4" w:space="0"/>
              <w:right w:val="single" w:color="auto" w:sz="4" w:space="0"/>
            </w:tcBorders>
            <w:shd w:val="clear" w:color="000000" w:fill="FFFFFF"/>
            <w:noWrap/>
            <w:vAlign w:val="center"/>
          </w:tcPr>
          <w:p w14:paraId="5D1A30B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F53F362">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18E7734">
            <w:pPr>
              <w:widowControl/>
              <w:jc w:val="left"/>
              <w:rPr>
                <w:rFonts w:ascii="宋体" w:hAnsi="宋体" w:eastAsia="宋体" w:cs="宋体"/>
                <w:kern w:val="0"/>
                <w:sz w:val="22"/>
              </w:rPr>
            </w:pPr>
            <w:r>
              <w:rPr>
                <w:rFonts w:hint="eastAsia" w:ascii="宋体" w:hAnsi="宋体" w:eastAsia="宋体" w:cs="宋体"/>
                <w:kern w:val="0"/>
                <w:sz w:val="22"/>
              </w:rPr>
              <w:t>　</w:t>
            </w:r>
          </w:p>
        </w:tc>
      </w:tr>
      <w:tr w14:paraId="7CB0BBAE">
        <w:tblPrEx>
          <w:tblCellMar>
            <w:top w:w="0" w:type="dxa"/>
            <w:left w:w="108" w:type="dxa"/>
            <w:bottom w:w="0" w:type="dxa"/>
            <w:right w:w="108" w:type="dxa"/>
          </w:tblCellMar>
        </w:tblPrEx>
        <w:trPr>
          <w:trHeight w:val="810" w:hRule="atLeast"/>
        </w:trPr>
        <w:tc>
          <w:tcPr>
            <w:tcW w:w="238" w:type="pct"/>
            <w:vMerge w:val="restart"/>
            <w:tcBorders>
              <w:top w:val="nil"/>
              <w:left w:val="single" w:color="auto" w:sz="4" w:space="0"/>
              <w:bottom w:val="single" w:color="auto" w:sz="4" w:space="0"/>
              <w:right w:val="nil"/>
            </w:tcBorders>
            <w:shd w:val="clear" w:color="000000" w:fill="FFFFFF"/>
            <w:vAlign w:val="center"/>
          </w:tcPr>
          <w:p w14:paraId="5453C0F9">
            <w:pPr>
              <w:widowControl/>
              <w:jc w:val="center"/>
              <w:rPr>
                <w:rFonts w:ascii="宋体" w:hAnsi="宋体" w:eastAsia="宋体" w:cs="宋体"/>
                <w:kern w:val="0"/>
                <w:sz w:val="22"/>
              </w:rPr>
            </w:pPr>
            <w:r>
              <w:rPr>
                <w:rFonts w:hint="eastAsia" w:ascii="宋体" w:hAnsi="宋体" w:eastAsia="宋体" w:cs="宋体"/>
                <w:kern w:val="0"/>
                <w:sz w:val="22"/>
              </w:rPr>
              <w:t>10</w:t>
            </w:r>
          </w:p>
        </w:tc>
        <w:tc>
          <w:tcPr>
            <w:tcW w:w="234" w:type="pct"/>
            <w:vMerge w:val="continue"/>
            <w:tcBorders>
              <w:top w:val="nil"/>
              <w:left w:val="single" w:color="auto" w:sz="4" w:space="0"/>
              <w:bottom w:val="single" w:color="000000" w:sz="4" w:space="0"/>
              <w:right w:val="single" w:color="auto" w:sz="4" w:space="0"/>
            </w:tcBorders>
            <w:vAlign w:val="center"/>
          </w:tcPr>
          <w:p w14:paraId="7943E512">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5180C652">
            <w:pPr>
              <w:widowControl/>
              <w:jc w:val="left"/>
              <w:rPr>
                <w:rFonts w:ascii="宋体" w:hAnsi="宋体" w:eastAsia="宋体" w:cs="宋体"/>
                <w:kern w:val="0"/>
                <w:sz w:val="22"/>
              </w:rPr>
            </w:pP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7A52C4CD">
            <w:pPr>
              <w:widowControl/>
              <w:jc w:val="center"/>
              <w:rPr>
                <w:rFonts w:ascii="宋体" w:hAnsi="宋体" w:eastAsia="宋体" w:cs="宋体"/>
                <w:kern w:val="0"/>
                <w:sz w:val="20"/>
                <w:szCs w:val="20"/>
              </w:rPr>
            </w:pPr>
            <w:r>
              <w:rPr>
                <w:rFonts w:hint="eastAsia" w:ascii="宋体" w:hAnsi="宋体" w:eastAsia="宋体" w:cs="宋体"/>
                <w:kern w:val="0"/>
                <w:sz w:val="20"/>
                <w:szCs w:val="20"/>
              </w:rPr>
              <w:t>队伍管理</w:t>
            </w:r>
          </w:p>
        </w:tc>
        <w:tc>
          <w:tcPr>
            <w:tcW w:w="943" w:type="pct"/>
            <w:vMerge w:val="restart"/>
            <w:tcBorders>
              <w:top w:val="nil"/>
              <w:left w:val="single" w:color="auto" w:sz="4" w:space="0"/>
              <w:bottom w:val="single" w:color="000000" w:sz="4" w:space="0"/>
              <w:right w:val="single" w:color="auto" w:sz="4" w:space="0"/>
            </w:tcBorders>
            <w:shd w:val="clear" w:color="000000" w:fill="FFFFFF"/>
            <w:vAlign w:val="center"/>
          </w:tcPr>
          <w:p w14:paraId="3B5F8EF1">
            <w:pPr>
              <w:widowControl/>
              <w:jc w:val="center"/>
              <w:rPr>
                <w:rFonts w:ascii="宋体" w:hAnsi="宋体" w:eastAsia="宋体" w:cs="宋体"/>
                <w:kern w:val="0"/>
                <w:sz w:val="20"/>
                <w:szCs w:val="20"/>
              </w:rPr>
            </w:pPr>
            <w:r>
              <w:rPr>
                <w:rFonts w:hint="eastAsia" w:ascii="宋体" w:hAnsi="宋体" w:eastAsia="宋体" w:cs="宋体"/>
                <w:kern w:val="0"/>
                <w:sz w:val="20"/>
                <w:szCs w:val="20"/>
              </w:rPr>
              <w:t>物业公司对于物业讲解员队伍、科教队伍的在岗人数、学历、岗位纪律、业务培训和技能水平等方面需严格按照博物馆要求执行。</w:t>
            </w:r>
          </w:p>
        </w:tc>
        <w:tc>
          <w:tcPr>
            <w:tcW w:w="1713" w:type="pct"/>
            <w:tcBorders>
              <w:top w:val="nil"/>
              <w:left w:val="nil"/>
              <w:bottom w:val="single" w:color="auto" w:sz="4" w:space="0"/>
              <w:right w:val="single" w:color="auto" w:sz="4" w:space="0"/>
            </w:tcBorders>
            <w:shd w:val="clear" w:color="000000" w:fill="FFFFFF"/>
            <w:vAlign w:val="center"/>
          </w:tcPr>
          <w:p w14:paraId="74BD2F06">
            <w:pPr>
              <w:widowControl/>
              <w:jc w:val="center"/>
              <w:rPr>
                <w:rFonts w:ascii="宋体" w:hAnsi="宋体" w:eastAsia="宋体" w:cs="宋体"/>
                <w:kern w:val="0"/>
                <w:sz w:val="20"/>
                <w:szCs w:val="20"/>
              </w:rPr>
            </w:pPr>
            <w:r>
              <w:rPr>
                <w:rFonts w:hint="eastAsia" w:ascii="宋体" w:hAnsi="宋体" w:eastAsia="宋体" w:cs="宋体"/>
                <w:kern w:val="0"/>
                <w:sz w:val="20"/>
                <w:szCs w:val="20"/>
              </w:rPr>
              <w:t>1.物业公司在物业讲解员、科教队伍学历、岗位纪律、业务水平和岗前培训等方面监督执行不力，不符合博物馆要求的，每发现一例扣5分。</w:t>
            </w:r>
          </w:p>
        </w:tc>
        <w:tc>
          <w:tcPr>
            <w:tcW w:w="574" w:type="pct"/>
            <w:tcBorders>
              <w:top w:val="nil"/>
              <w:left w:val="nil"/>
              <w:bottom w:val="single" w:color="auto" w:sz="4" w:space="0"/>
              <w:right w:val="single" w:color="auto" w:sz="4" w:space="0"/>
            </w:tcBorders>
            <w:shd w:val="clear" w:color="000000" w:fill="FFFFFF"/>
            <w:noWrap/>
            <w:vAlign w:val="center"/>
          </w:tcPr>
          <w:p w14:paraId="5116D36D">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0F786D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566F4B8">
            <w:pPr>
              <w:widowControl/>
              <w:jc w:val="left"/>
              <w:rPr>
                <w:rFonts w:ascii="宋体" w:hAnsi="宋体" w:eastAsia="宋体" w:cs="宋体"/>
                <w:kern w:val="0"/>
                <w:sz w:val="22"/>
              </w:rPr>
            </w:pPr>
            <w:r>
              <w:rPr>
                <w:rFonts w:hint="eastAsia" w:ascii="宋体" w:hAnsi="宋体" w:eastAsia="宋体" w:cs="宋体"/>
                <w:kern w:val="0"/>
                <w:sz w:val="22"/>
              </w:rPr>
              <w:t>　</w:t>
            </w:r>
          </w:p>
        </w:tc>
      </w:tr>
      <w:tr w14:paraId="67E094FF">
        <w:tblPrEx>
          <w:tblCellMar>
            <w:top w:w="0" w:type="dxa"/>
            <w:left w:w="108" w:type="dxa"/>
            <w:bottom w:w="0" w:type="dxa"/>
            <w:right w:w="108" w:type="dxa"/>
          </w:tblCellMar>
        </w:tblPrEx>
        <w:trPr>
          <w:trHeight w:val="480" w:hRule="atLeast"/>
        </w:trPr>
        <w:tc>
          <w:tcPr>
            <w:tcW w:w="238" w:type="pct"/>
            <w:vMerge w:val="continue"/>
            <w:tcBorders>
              <w:top w:val="nil"/>
              <w:left w:val="single" w:color="auto" w:sz="4" w:space="0"/>
              <w:bottom w:val="single" w:color="auto" w:sz="4" w:space="0"/>
              <w:right w:val="nil"/>
            </w:tcBorders>
            <w:vAlign w:val="center"/>
          </w:tcPr>
          <w:p w14:paraId="257B4920">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28C56292">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70866972">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4F92ADD1">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52277097">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261D64FF">
            <w:pPr>
              <w:widowControl/>
              <w:jc w:val="center"/>
              <w:rPr>
                <w:rFonts w:ascii="宋体" w:hAnsi="宋体" w:eastAsia="宋体" w:cs="宋体"/>
                <w:kern w:val="0"/>
                <w:sz w:val="20"/>
                <w:szCs w:val="20"/>
              </w:rPr>
            </w:pPr>
            <w:r>
              <w:rPr>
                <w:rFonts w:hint="eastAsia" w:ascii="宋体" w:hAnsi="宋体" w:eastAsia="宋体" w:cs="宋体"/>
                <w:kern w:val="0"/>
                <w:sz w:val="20"/>
                <w:szCs w:val="20"/>
              </w:rPr>
              <w:t>2.物业公司应根据要求确保讲解员星级梯队，满足中英文讲解需求，未能执行每次扣5分。</w:t>
            </w:r>
          </w:p>
        </w:tc>
        <w:tc>
          <w:tcPr>
            <w:tcW w:w="574" w:type="pct"/>
            <w:tcBorders>
              <w:top w:val="nil"/>
              <w:left w:val="nil"/>
              <w:bottom w:val="single" w:color="auto" w:sz="4" w:space="0"/>
              <w:right w:val="single" w:color="auto" w:sz="4" w:space="0"/>
            </w:tcBorders>
            <w:shd w:val="clear" w:color="000000" w:fill="FFFFFF"/>
            <w:noWrap/>
            <w:vAlign w:val="center"/>
          </w:tcPr>
          <w:p w14:paraId="4021B30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BC6E1A4">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2323A87">
            <w:pPr>
              <w:widowControl/>
              <w:jc w:val="left"/>
              <w:rPr>
                <w:rFonts w:ascii="宋体" w:hAnsi="宋体" w:eastAsia="宋体" w:cs="宋体"/>
                <w:kern w:val="0"/>
                <w:sz w:val="22"/>
              </w:rPr>
            </w:pPr>
            <w:r>
              <w:rPr>
                <w:rFonts w:hint="eastAsia" w:ascii="宋体" w:hAnsi="宋体" w:eastAsia="宋体" w:cs="宋体"/>
                <w:kern w:val="0"/>
                <w:sz w:val="22"/>
              </w:rPr>
              <w:t>　</w:t>
            </w:r>
          </w:p>
        </w:tc>
      </w:tr>
      <w:tr w14:paraId="54B8B31C">
        <w:tblPrEx>
          <w:tblCellMar>
            <w:top w:w="0" w:type="dxa"/>
            <w:left w:w="108" w:type="dxa"/>
            <w:bottom w:w="0" w:type="dxa"/>
            <w:right w:w="108" w:type="dxa"/>
          </w:tblCellMar>
        </w:tblPrEx>
        <w:trPr>
          <w:trHeight w:val="630" w:hRule="atLeast"/>
        </w:trPr>
        <w:tc>
          <w:tcPr>
            <w:tcW w:w="238" w:type="pct"/>
            <w:vMerge w:val="continue"/>
            <w:tcBorders>
              <w:top w:val="nil"/>
              <w:left w:val="single" w:color="auto" w:sz="4" w:space="0"/>
              <w:bottom w:val="single" w:color="auto" w:sz="4" w:space="0"/>
              <w:right w:val="nil"/>
            </w:tcBorders>
            <w:vAlign w:val="center"/>
          </w:tcPr>
          <w:p w14:paraId="6429EEC0">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18FA6769">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55CA6A43">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5835FB00">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6F57E31A">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7C8F8BE3">
            <w:pPr>
              <w:widowControl/>
              <w:jc w:val="center"/>
              <w:rPr>
                <w:rFonts w:ascii="宋体" w:hAnsi="宋体" w:eastAsia="宋体" w:cs="宋体"/>
                <w:kern w:val="0"/>
                <w:sz w:val="20"/>
                <w:szCs w:val="20"/>
              </w:rPr>
            </w:pPr>
            <w:r>
              <w:rPr>
                <w:rFonts w:hint="eastAsia" w:ascii="宋体" w:hAnsi="宋体" w:eastAsia="宋体" w:cs="宋体"/>
                <w:kern w:val="0"/>
                <w:sz w:val="20"/>
                <w:szCs w:val="20"/>
              </w:rPr>
              <w:t>3.物业公司应确保讲解到岗人数，不得因讲解员产假或长病假等原因导致讲解岗位空缺，每发现一例扣10分。</w:t>
            </w:r>
          </w:p>
        </w:tc>
        <w:tc>
          <w:tcPr>
            <w:tcW w:w="574" w:type="pct"/>
            <w:tcBorders>
              <w:top w:val="nil"/>
              <w:left w:val="nil"/>
              <w:bottom w:val="single" w:color="auto" w:sz="4" w:space="0"/>
              <w:right w:val="single" w:color="auto" w:sz="4" w:space="0"/>
            </w:tcBorders>
            <w:shd w:val="clear" w:color="000000" w:fill="FFFFFF"/>
            <w:noWrap/>
            <w:vAlign w:val="center"/>
          </w:tcPr>
          <w:p w14:paraId="53E02D4B">
            <w:pPr>
              <w:widowControl/>
              <w:jc w:val="center"/>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181C9A7">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DED5AEB">
            <w:pPr>
              <w:widowControl/>
              <w:jc w:val="left"/>
              <w:rPr>
                <w:rFonts w:ascii="宋体" w:hAnsi="宋体" w:eastAsia="宋体" w:cs="宋体"/>
                <w:kern w:val="0"/>
                <w:sz w:val="22"/>
              </w:rPr>
            </w:pPr>
            <w:r>
              <w:rPr>
                <w:rFonts w:hint="eastAsia" w:ascii="宋体" w:hAnsi="宋体" w:eastAsia="宋体" w:cs="宋体"/>
                <w:kern w:val="0"/>
                <w:sz w:val="22"/>
              </w:rPr>
              <w:t>　</w:t>
            </w:r>
          </w:p>
        </w:tc>
      </w:tr>
      <w:tr w14:paraId="2BFAC6EA">
        <w:tblPrEx>
          <w:tblCellMar>
            <w:top w:w="0" w:type="dxa"/>
            <w:left w:w="108" w:type="dxa"/>
            <w:bottom w:w="0" w:type="dxa"/>
            <w:right w:w="108" w:type="dxa"/>
          </w:tblCellMar>
        </w:tblPrEx>
        <w:trPr>
          <w:trHeight w:val="480" w:hRule="atLeast"/>
        </w:trPr>
        <w:tc>
          <w:tcPr>
            <w:tcW w:w="238" w:type="pct"/>
            <w:vMerge w:val="continue"/>
            <w:tcBorders>
              <w:top w:val="nil"/>
              <w:left w:val="single" w:color="auto" w:sz="4" w:space="0"/>
              <w:bottom w:val="single" w:color="auto" w:sz="4" w:space="0"/>
              <w:right w:val="nil"/>
            </w:tcBorders>
            <w:vAlign w:val="center"/>
          </w:tcPr>
          <w:p w14:paraId="4F22CA92">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197F9C4E">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5FC1653A">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431632C9">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507697FB">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0DE4DD68">
            <w:pPr>
              <w:widowControl/>
              <w:jc w:val="center"/>
              <w:rPr>
                <w:rFonts w:ascii="宋体" w:hAnsi="宋体" w:eastAsia="宋体" w:cs="宋体"/>
                <w:kern w:val="0"/>
                <w:sz w:val="20"/>
                <w:szCs w:val="20"/>
              </w:rPr>
            </w:pPr>
            <w:r>
              <w:rPr>
                <w:rFonts w:hint="eastAsia" w:ascii="宋体" w:hAnsi="宋体" w:eastAsia="宋体" w:cs="宋体"/>
                <w:kern w:val="0"/>
                <w:sz w:val="20"/>
                <w:szCs w:val="20"/>
              </w:rPr>
              <w:t>4.新进讲解员非自身原因，未能在规定时间内胜任一般团队的常规讲解，每发现一例扣1-10分。</w:t>
            </w:r>
          </w:p>
        </w:tc>
        <w:tc>
          <w:tcPr>
            <w:tcW w:w="574" w:type="pct"/>
            <w:tcBorders>
              <w:top w:val="nil"/>
              <w:left w:val="nil"/>
              <w:bottom w:val="single" w:color="auto" w:sz="4" w:space="0"/>
              <w:right w:val="single" w:color="auto" w:sz="4" w:space="0"/>
            </w:tcBorders>
            <w:shd w:val="clear" w:color="000000" w:fill="FFFFFF"/>
            <w:noWrap/>
            <w:vAlign w:val="center"/>
          </w:tcPr>
          <w:p w14:paraId="58E39A3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5937FD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595CAE9">
            <w:pPr>
              <w:widowControl/>
              <w:jc w:val="left"/>
              <w:rPr>
                <w:rFonts w:ascii="宋体" w:hAnsi="宋体" w:eastAsia="宋体" w:cs="宋体"/>
                <w:kern w:val="0"/>
                <w:sz w:val="22"/>
              </w:rPr>
            </w:pPr>
            <w:r>
              <w:rPr>
                <w:rFonts w:hint="eastAsia" w:ascii="宋体" w:hAnsi="宋体" w:eastAsia="宋体" w:cs="宋体"/>
                <w:kern w:val="0"/>
                <w:sz w:val="22"/>
              </w:rPr>
              <w:t>　</w:t>
            </w:r>
          </w:p>
        </w:tc>
      </w:tr>
      <w:tr w14:paraId="213FCE39">
        <w:tblPrEx>
          <w:tblCellMar>
            <w:top w:w="0" w:type="dxa"/>
            <w:left w:w="108" w:type="dxa"/>
            <w:bottom w:w="0" w:type="dxa"/>
            <w:right w:w="108" w:type="dxa"/>
          </w:tblCellMar>
        </w:tblPrEx>
        <w:trPr>
          <w:trHeight w:val="480" w:hRule="atLeast"/>
        </w:trPr>
        <w:tc>
          <w:tcPr>
            <w:tcW w:w="238" w:type="pct"/>
            <w:vMerge w:val="continue"/>
            <w:tcBorders>
              <w:top w:val="nil"/>
              <w:left w:val="single" w:color="auto" w:sz="4" w:space="0"/>
              <w:bottom w:val="single" w:color="auto" w:sz="4" w:space="0"/>
              <w:right w:val="nil"/>
            </w:tcBorders>
            <w:vAlign w:val="center"/>
          </w:tcPr>
          <w:p w14:paraId="1E8FBB9A">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090A0EAB">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6C92E058">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18819C9E">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554391D6">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55E8A08D">
            <w:pPr>
              <w:widowControl/>
              <w:jc w:val="center"/>
              <w:rPr>
                <w:rFonts w:ascii="宋体" w:hAnsi="宋体" w:eastAsia="宋体" w:cs="宋体"/>
                <w:kern w:val="0"/>
                <w:sz w:val="20"/>
                <w:szCs w:val="20"/>
              </w:rPr>
            </w:pPr>
            <w:r>
              <w:rPr>
                <w:rFonts w:hint="eastAsia" w:ascii="宋体" w:hAnsi="宋体" w:eastAsia="宋体" w:cs="宋体"/>
                <w:kern w:val="0"/>
                <w:sz w:val="20"/>
                <w:szCs w:val="20"/>
              </w:rPr>
              <w:t>5.对科教操作人员因管理不到位，造成科教设备损坏或者观众安全事故，每发现一例扣1-10分。</w:t>
            </w:r>
          </w:p>
        </w:tc>
        <w:tc>
          <w:tcPr>
            <w:tcW w:w="574" w:type="pct"/>
            <w:tcBorders>
              <w:top w:val="nil"/>
              <w:left w:val="nil"/>
              <w:bottom w:val="single" w:color="auto" w:sz="4" w:space="0"/>
              <w:right w:val="single" w:color="auto" w:sz="4" w:space="0"/>
            </w:tcBorders>
            <w:shd w:val="clear" w:color="000000" w:fill="FFFFFF"/>
            <w:noWrap/>
            <w:vAlign w:val="center"/>
          </w:tcPr>
          <w:p w14:paraId="0433B6C9">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83C208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F2F05E4">
            <w:pPr>
              <w:widowControl/>
              <w:jc w:val="left"/>
              <w:rPr>
                <w:rFonts w:ascii="宋体" w:hAnsi="宋体" w:eastAsia="宋体" w:cs="宋体"/>
                <w:kern w:val="0"/>
                <w:sz w:val="22"/>
              </w:rPr>
            </w:pPr>
            <w:r>
              <w:rPr>
                <w:rFonts w:hint="eastAsia" w:ascii="宋体" w:hAnsi="宋体" w:eastAsia="宋体" w:cs="宋体"/>
                <w:kern w:val="0"/>
                <w:sz w:val="22"/>
              </w:rPr>
              <w:t>　</w:t>
            </w:r>
          </w:p>
        </w:tc>
      </w:tr>
      <w:tr w14:paraId="1FE4DA52">
        <w:tblPrEx>
          <w:tblCellMar>
            <w:top w:w="0" w:type="dxa"/>
            <w:left w:w="108" w:type="dxa"/>
            <w:bottom w:w="0" w:type="dxa"/>
            <w:right w:w="108" w:type="dxa"/>
          </w:tblCellMar>
        </w:tblPrEx>
        <w:trPr>
          <w:trHeight w:val="1155" w:hRule="atLeast"/>
        </w:trPr>
        <w:tc>
          <w:tcPr>
            <w:tcW w:w="238" w:type="pct"/>
            <w:vMerge w:val="continue"/>
            <w:tcBorders>
              <w:top w:val="nil"/>
              <w:left w:val="single" w:color="auto" w:sz="4" w:space="0"/>
              <w:bottom w:val="single" w:color="auto" w:sz="4" w:space="0"/>
              <w:right w:val="nil"/>
            </w:tcBorders>
            <w:vAlign w:val="center"/>
          </w:tcPr>
          <w:p w14:paraId="33C2FFDF">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523506D1">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284C6786">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6A4D17EA">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517D072D">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29B5EADF">
            <w:pPr>
              <w:widowControl/>
              <w:jc w:val="center"/>
              <w:rPr>
                <w:rFonts w:ascii="宋体" w:hAnsi="宋体" w:eastAsia="宋体" w:cs="宋体"/>
                <w:kern w:val="0"/>
                <w:sz w:val="20"/>
                <w:szCs w:val="20"/>
              </w:rPr>
            </w:pPr>
            <w:r>
              <w:rPr>
                <w:rFonts w:hint="eastAsia" w:ascii="宋体" w:hAnsi="宋体" w:eastAsia="宋体" w:cs="宋体"/>
                <w:kern w:val="0"/>
                <w:sz w:val="20"/>
                <w:szCs w:val="20"/>
              </w:rPr>
              <w:t>6.物业公司须确保讲解员、科教在编人数，有离职者须在1个月内招齐，一个月未及时补充人员的，或物业公司未根据岗位要求做好讲解员、科教操作人员上岗前业务培训或培训不符合岗位要求的，每发现一例扣1-10分。</w:t>
            </w:r>
          </w:p>
        </w:tc>
        <w:tc>
          <w:tcPr>
            <w:tcW w:w="574" w:type="pct"/>
            <w:tcBorders>
              <w:top w:val="nil"/>
              <w:left w:val="nil"/>
              <w:bottom w:val="single" w:color="auto" w:sz="4" w:space="0"/>
              <w:right w:val="single" w:color="auto" w:sz="4" w:space="0"/>
            </w:tcBorders>
            <w:shd w:val="clear" w:color="000000" w:fill="FFFFFF"/>
            <w:noWrap/>
            <w:vAlign w:val="center"/>
          </w:tcPr>
          <w:p w14:paraId="57F804C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12C04C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87438FE">
            <w:pPr>
              <w:widowControl/>
              <w:jc w:val="left"/>
              <w:rPr>
                <w:rFonts w:ascii="宋体" w:hAnsi="宋体" w:eastAsia="宋体" w:cs="宋体"/>
                <w:kern w:val="0"/>
                <w:sz w:val="22"/>
              </w:rPr>
            </w:pPr>
            <w:r>
              <w:rPr>
                <w:rFonts w:hint="eastAsia" w:ascii="宋体" w:hAnsi="宋体" w:eastAsia="宋体" w:cs="宋体"/>
                <w:kern w:val="0"/>
                <w:sz w:val="22"/>
              </w:rPr>
              <w:t>　</w:t>
            </w:r>
          </w:p>
        </w:tc>
      </w:tr>
      <w:tr w14:paraId="6715BDE2">
        <w:tblPrEx>
          <w:tblCellMar>
            <w:top w:w="0" w:type="dxa"/>
            <w:left w:w="108" w:type="dxa"/>
            <w:bottom w:w="0" w:type="dxa"/>
            <w:right w:w="108" w:type="dxa"/>
          </w:tblCellMar>
        </w:tblPrEx>
        <w:trPr>
          <w:trHeight w:val="660" w:hRule="atLeast"/>
        </w:trPr>
        <w:tc>
          <w:tcPr>
            <w:tcW w:w="238" w:type="pct"/>
            <w:vMerge w:val="restart"/>
            <w:tcBorders>
              <w:top w:val="nil"/>
              <w:left w:val="single" w:color="auto" w:sz="4" w:space="0"/>
              <w:bottom w:val="single" w:color="auto" w:sz="4" w:space="0"/>
              <w:right w:val="nil"/>
            </w:tcBorders>
            <w:shd w:val="clear" w:color="000000" w:fill="FFFFFF"/>
            <w:vAlign w:val="center"/>
          </w:tcPr>
          <w:p w14:paraId="27AC7536">
            <w:pPr>
              <w:widowControl/>
              <w:jc w:val="center"/>
              <w:rPr>
                <w:rFonts w:ascii="宋体" w:hAnsi="宋体" w:eastAsia="宋体" w:cs="宋体"/>
                <w:kern w:val="0"/>
                <w:sz w:val="22"/>
              </w:rPr>
            </w:pPr>
            <w:r>
              <w:rPr>
                <w:rFonts w:hint="eastAsia" w:ascii="宋体" w:hAnsi="宋体" w:eastAsia="宋体" w:cs="宋体"/>
                <w:kern w:val="0"/>
                <w:sz w:val="22"/>
              </w:rPr>
              <w:t>11</w:t>
            </w:r>
          </w:p>
        </w:tc>
        <w:tc>
          <w:tcPr>
            <w:tcW w:w="234" w:type="pct"/>
            <w:vMerge w:val="continue"/>
            <w:tcBorders>
              <w:top w:val="nil"/>
              <w:left w:val="single" w:color="auto" w:sz="4" w:space="0"/>
              <w:bottom w:val="single" w:color="000000" w:sz="4" w:space="0"/>
              <w:right w:val="single" w:color="auto" w:sz="4" w:space="0"/>
            </w:tcBorders>
            <w:vAlign w:val="center"/>
          </w:tcPr>
          <w:p w14:paraId="7583980B">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6C842EAF">
            <w:pPr>
              <w:widowControl/>
              <w:jc w:val="left"/>
              <w:rPr>
                <w:rFonts w:ascii="宋体" w:hAnsi="宋体" w:eastAsia="宋体" w:cs="宋体"/>
                <w:kern w:val="0"/>
                <w:sz w:val="22"/>
              </w:rPr>
            </w:pPr>
          </w:p>
        </w:tc>
        <w:tc>
          <w:tcPr>
            <w:tcW w:w="397" w:type="pct"/>
            <w:vMerge w:val="restart"/>
            <w:tcBorders>
              <w:top w:val="nil"/>
              <w:left w:val="single" w:color="auto" w:sz="4" w:space="0"/>
              <w:bottom w:val="single" w:color="000000" w:sz="4" w:space="0"/>
              <w:right w:val="single" w:color="auto" w:sz="4" w:space="0"/>
            </w:tcBorders>
            <w:shd w:val="clear" w:color="000000" w:fill="FFFFFF"/>
            <w:vAlign w:val="center"/>
          </w:tcPr>
          <w:p w14:paraId="71A809B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岗位职责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（科教操作）</w:t>
            </w:r>
          </w:p>
        </w:tc>
        <w:tc>
          <w:tcPr>
            <w:tcW w:w="943" w:type="pct"/>
            <w:vMerge w:val="restart"/>
            <w:tcBorders>
              <w:top w:val="nil"/>
              <w:left w:val="single" w:color="auto" w:sz="4" w:space="0"/>
              <w:bottom w:val="nil"/>
              <w:right w:val="single" w:color="auto" w:sz="4" w:space="0"/>
            </w:tcBorders>
            <w:shd w:val="clear" w:color="000000" w:fill="FFFFFF"/>
            <w:vAlign w:val="center"/>
          </w:tcPr>
          <w:p w14:paraId="76757182">
            <w:pPr>
              <w:widowControl/>
              <w:jc w:val="center"/>
              <w:rPr>
                <w:rFonts w:ascii="宋体" w:hAnsi="宋体" w:eastAsia="宋体" w:cs="宋体"/>
                <w:kern w:val="0"/>
                <w:sz w:val="20"/>
                <w:szCs w:val="20"/>
              </w:rPr>
            </w:pPr>
            <w:r>
              <w:rPr>
                <w:rFonts w:hint="eastAsia" w:ascii="宋体" w:hAnsi="宋体" w:eastAsia="宋体" w:cs="宋体"/>
                <w:kern w:val="0"/>
                <w:sz w:val="20"/>
                <w:szCs w:val="20"/>
              </w:rPr>
              <w:t>维持、疏导和控制现场观众秩序；解答观众疑问；上岗前须了解岗位的性质、熟悉岗位职责；熟练科教设施设备与工具，做好相应准备工作。正确演示并指导观众操作科教设施设备；做好所辖区域、科教设备的检查工作，发现故障及时修理或报修；能独立处理岗位日常事件，合理妥善及时处理岗位突发事件；负责所在科教或区域科教的正确和安全使用。做好志愿者的管理辅助及物料周转点物料出入库的管理。</w:t>
            </w:r>
          </w:p>
        </w:tc>
        <w:tc>
          <w:tcPr>
            <w:tcW w:w="1713" w:type="pct"/>
            <w:tcBorders>
              <w:top w:val="nil"/>
              <w:left w:val="nil"/>
              <w:bottom w:val="single" w:color="auto" w:sz="4" w:space="0"/>
              <w:right w:val="single" w:color="auto" w:sz="4" w:space="0"/>
            </w:tcBorders>
            <w:shd w:val="clear" w:color="000000" w:fill="FFFFFF"/>
            <w:vAlign w:val="center"/>
          </w:tcPr>
          <w:p w14:paraId="0C2C7BC0">
            <w:pPr>
              <w:widowControl/>
              <w:jc w:val="center"/>
              <w:rPr>
                <w:rFonts w:ascii="宋体" w:hAnsi="宋体" w:eastAsia="宋体" w:cs="宋体"/>
                <w:kern w:val="0"/>
                <w:sz w:val="20"/>
                <w:szCs w:val="20"/>
              </w:rPr>
            </w:pPr>
            <w:r>
              <w:rPr>
                <w:rFonts w:hint="eastAsia" w:ascii="宋体" w:hAnsi="宋体" w:eastAsia="宋体" w:cs="宋体"/>
                <w:kern w:val="0"/>
                <w:sz w:val="20"/>
                <w:szCs w:val="20"/>
              </w:rPr>
              <w:t>1.岗位职责不清，岗位技能掌握欠缺，相关准备工作不到位，影响服务质量，每发现一例扣1-2分。</w:t>
            </w:r>
          </w:p>
        </w:tc>
        <w:tc>
          <w:tcPr>
            <w:tcW w:w="574" w:type="pct"/>
            <w:tcBorders>
              <w:top w:val="nil"/>
              <w:left w:val="nil"/>
              <w:bottom w:val="single" w:color="auto" w:sz="4" w:space="0"/>
              <w:right w:val="single" w:color="auto" w:sz="4" w:space="0"/>
            </w:tcBorders>
            <w:shd w:val="clear" w:color="000000" w:fill="FFFFFF"/>
            <w:noWrap/>
            <w:vAlign w:val="center"/>
          </w:tcPr>
          <w:p w14:paraId="07EFD57F">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79C092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19D31A1">
            <w:pPr>
              <w:widowControl/>
              <w:jc w:val="left"/>
              <w:rPr>
                <w:rFonts w:ascii="宋体" w:hAnsi="宋体" w:eastAsia="宋体" w:cs="宋体"/>
                <w:kern w:val="0"/>
                <w:sz w:val="22"/>
              </w:rPr>
            </w:pPr>
            <w:r>
              <w:rPr>
                <w:rFonts w:hint="eastAsia" w:ascii="宋体" w:hAnsi="宋体" w:eastAsia="宋体" w:cs="宋体"/>
                <w:kern w:val="0"/>
                <w:sz w:val="22"/>
              </w:rPr>
              <w:t>　</w:t>
            </w:r>
          </w:p>
        </w:tc>
      </w:tr>
      <w:tr w14:paraId="390ED928">
        <w:tblPrEx>
          <w:tblCellMar>
            <w:top w:w="0" w:type="dxa"/>
            <w:left w:w="108" w:type="dxa"/>
            <w:bottom w:w="0" w:type="dxa"/>
            <w:right w:w="108" w:type="dxa"/>
          </w:tblCellMar>
        </w:tblPrEx>
        <w:trPr>
          <w:trHeight w:val="975" w:hRule="atLeast"/>
        </w:trPr>
        <w:tc>
          <w:tcPr>
            <w:tcW w:w="238" w:type="pct"/>
            <w:vMerge w:val="continue"/>
            <w:tcBorders>
              <w:top w:val="nil"/>
              <w:left w:val="single" w:color="auto" w:sz="4" w:space="0"/>
              <w:bottom w:val="single" w:color="auto" w:sz="4" w:space="0"/>
              <w:right w:val="nil"/>
            </w:tcBorders>
            <w:vAlign w:val="center"/>
          </w:tcPr>
          <w:p w14:paraId="475C3A3E">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E40003A">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01D99F8B">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69BED903">
            <w:pPr>
              <w:widowControl/>
              <w:jc w:val="left"/>
              <w:rPr>
                <w:rFonts w:ascii="宋体" w:hAnsi="宋体" w:eastAsia="宋体" w:cs="宋体"/>
                <w:kern w:val="0"/>
                <w:sz w:val="20"/>
                <w:szCs w:val="20"/>
              </w:rPr>
            </w:pPr>
          </w:p>
        </w:tc>
        <w:tc>
          <w:tcPr>
            <w:tcW w:w="943" w:type="pct"/>
            <w:vMerge w:val="continue"/>
            <w:tcBorders>
              <w:top w:val="nil"/>
              <w:left w:val="single" w:color="auto" w:sz="4" w:space="0"/>
              <w:bottom w:val="nil"/>
              <w:right w:val="single" w:color="auto" w:sz="4" w:space="0"/>
            </w:tcBorders>
            <w:vAlign w:val="center"/>
          </w:tcPr>
          <w:p w14:paraId="598295C6">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59D5E448">
            <w:pPr>
              <w:widowControl/>
              <w:jc w:val="center"/>
              <w:rPr>
                <w:rFonts w:ascii="宋体" w:hAnsi="宋体" w:eastAsia="宋体" w:cs="宋体"/>
                <w:kern w:val="0"/>
                <w:sz w:val="20"/>
                <w:szCs w:val="20"/>
              </w:rPr>
            </w:pPr>
            <w:r>
              <w:rPr>
                <w:rFonts w:hint="eastAsia" w:ascii="宋体" w:hAnsi="宋体" w:eastAsia="宋体" w:cs="宋体"/>
                <w:kern w:val="0"/>
                <w:sz w:val="20"/>
                <w:szCs w:val="20"/>
              </w:rPr>
              <w:t>2.科教操作演示.解答和指导过程存在不清楚不到位不尽责或不能独立操作的，每发现一例扣1-5分。未按公布的场次定时开放，出现严重失实，造成不良影响的，每发现一例扣1-5分。</w:t>
            </w:r>
          </w:p>
        </w:tc>
        <w:tc>
          <w:tcPr>
            <w:tcW w:w="574" w:type="pct"/>
            <w:tcBorders>
              <w:top w:val="nil"/>
              <w:left w:val="nil"/>
              <w:bottom w:val="single" w:color="auto" w:sz="4" w:space="0"/>
              <w:right w:val="single" w:color="auto" w:sz="4" w:space="0"/>
            </w:tcBorders>
            <w:shd w:val="clear" w:color="000000" w:fill="FFFFFF"/>
            <w:noWrap/>
            <w:vAlign w:val="center"/>
          </w:tcPr>
          <w:p w14:paraId="748547B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35FB43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39D439D">
            <w:pPr>
              <w:widowControl/>
              <w:jc w:val="left"/>
              <w:rPr>
                <w:rFonts w:ascii="宋体" w:hAnsi="宋体" w:eastAsia="宋体" w:cs="宋体"/>
                <w:kern w:val="0"/>
                <w:sz w:val="22"/>
              </w:rPr>
            </w:pPr>
            <w:r>
              <w:rPr>
                <w:rFonts w:hint="eastAsia" w:ascii="宋体" w:hAnsi="宋体" w:eastAsia="宋体" w:cs="宋体"/>
                <w:kern w:val="0"/>
                <w:sz w:val="22"/>
              </w:rPr>
              <w:t>　</w:t>
            </w:r>
          </w:p>
        </w:tc>
      </w:tr>
      <w:tr w14:paraId="30FE8FED">
        <w:tblPrEx>
          <w:tblCellMar>
            <w:top w:w="0" w:type="dxa"/>
            <w:left w:w="108" w:type="dxa"/>
            <w:bottom w:w="0" w:type="dxa"/>
            <w:right w:w="108" w:type="dxa"/>
          </w:tblCellMar>
        </w:tblPrEx>
        <w:trPr>
          <w:trHeight w:val="765" w:hRule="atLeast"/>
        </w:trPr>
        <w:tc>
          <w:tcPr>
            <w:tcW w:w="238" w:type="pct"/>
            <w:vMerge w:val="continue"/>
            <w:tcBorders>
              <w:top w:val="nil"/>
              <w:left w:val="single" w:color="auto" w:sz="4" w:space="0"/>
              <w:bottom w:val="single" w:color="auto" w:sz="4" w:space="0"/>
              <w:right w:val="nil"/>
            </w:tcBorders>
            <w:vAlign w:val="center"/>
          </w:tcPr>
          <w:p w14:paraId="171CA4D4">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0042ED6B">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0B02FBCA">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21A2E3E0">
            <w:pPr>
              <w:widowControl/>
              <w:jc w:val="left"/>
              <w:rPr>
                <w:rFonts w:ascii="宋体" w:hAnsi="宋体" w:eastAsia="宋体" w:cs="宋体"/>
                <w:kern w:val="0"/>
                <w:sz w:val="20"/>
                <w:szCs w:val="20"/>
              </w:rPr>
            </w:pPr>
          </w:p>
        </w:tc>
        <w:tc>
          <w:tcPr>
            <w:tcW w:w="943" w:type="pct"/>
            <w:vMerge w:val="continue"/>
            <w:tcBorders>
              <w:top w:val="nil"/>
              <w:left w:val="single" w:color="auto" w:sz="4" w:space="0"/>
              <w:bottom w:val="nil"/>
              <w:right w:val="single" w:color="auto" w:sz="4" w:space="0"/>
            </w:tcBorders>
            <w:vAlign w:val="center"/>
          </w:tcPr>
          <w:p w14:paraId="20926D75">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0BA1814A">
            <w:pPr>
              <w:widowControl/>
              <w:jc w:val="center"/>
              <w:rPr>
                <w:rFonts w:ascii="宋体" w:hAnsi="宋体" w:eastAsia="宋体" w:cs="宋体"/>
                <w:kern w:val="0"/>
                <w:sz w:val="20"/>
                <w:szCs w:val="20"/>
              </w:rPr>
            </w:pPr>
            <w:r>
              <w:rPr>
                <w:rFonts w:hint="eastAsia" w:ascii="宋体" w:hAnsi="宋体" w:eastAsia="宋体" w:cs="宋体"/>
                <w:kern w:val="0"/>
                <w:sz w:val="20"/>
                <w:szCs w:val="20"/>
              </w:rPr>
              <w:t>3.对于可自行修理的科教事故，未在15分钟内修理完毕；对于需报修科教事故，未在15分钟内报修并挂出标示；因工作疏忽，出现眼镜.绳子等物品丢失情况的，每发现一例扣1-2分。</w:t>
            </w:r>
          </w:p>
        </w:tc>
        <w:tc>
          <w:tcPr>
            <w:tcW w:w="574" w:type="pct"/>
            <w:tcBorders>
              <w:top w:val="nil"/>
              <w:left w:val="nil"/>
              <w:bottom w:val="single" w:color="auto" w:sz="4" w:space="0"/>
              <w:right w:val="single" w:color="auto" w:sz="4" w:space="0"/>
            </w:tcBorders>
            <w:shd w:val="clear" w:color="000000" w:fill="FFFFFF"/>
            <w:noWrap/>
            <w:vAlign w:val="center"/>
          </w:tcPr>
          <w:p w14:paraId="2748447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ABB979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9951C4D">
            <w:pPr>
              <w:widowControl/>
              <w:jc w:val="left"/>
              <w:rPr>
                <w:rFonts w:ascii="宋体" w:hAnsi="宋体" w:eastAsia="宋体" w:cs="宋体"/>
                <w:kern w:val="0"/>
                <w:sz w:val="22"/>
              </w:rPr>
            </w:pPr>
            <w:r>
              <w:rPr>
                <w:rFonts w:hint="eastAsia" w:ascii="宋体" w:hAnsi="宋体" w:eastAsia="宋体" w:cs="宋体"/>
                <w:kern w:val="0"/>
                <w:sz w:val="22"/>
              </w:rPr>
              <w:t>　</w:t>
            </w:r>
          </w:p>
        </w:tc>
      </w:tr>
      <w:tr w14:paraId="65C32DE4">
        <w:tblPrEx>
          <w:tblCellMar>
            <w:top w:w="0" w:type="dxa"/>
            <w:left w:w="108" w:type="dxa"/>
            <w:bottom w:w="0" w:type="dxa"/>
            <w:right w:w="108" w:type="dxa"/>
          </w:tblCellMar>
        </w:tblPrEx>
        <w:trPr>
          <w:trHeight w:val="675" w:hRule="atLeast"/>
        </w:trPr>
        <w:tc>
          <w:tcPr>
            <w:tcW w:w="238" w:type="pct"/>
            <w:vMerge w:val="continue"/>
            <w:tcBorders>
              <w:top w:val="nil"/>
              <w:left w:val="single" w:color="auto" w:sz="4" w:space="0"/>
              <w:bottom w:val="single" w:color="auto" w:sz="4" w:space="0"/>
              <w:right w:val="nil"/>
            </w:tcBorders>
            <w:vAlign w:val="center"/>
          </w:tcPr>
          <w:p w14:paraId="49558C84">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584D5B35">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66FC7EAA">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1F8EB35C">
            <w:pPr>
              <w:widowControl/>
              <w:jc w:val="left"/>
              <w:rPr>
                <w:rFonts w:ascii="宋体" w:hAnsi="宋体" w:eastAsia="宋体" w:cs="宋体"/>
                <w:kern w:val="0"/>
                <w:sz w:val="20"/>
                <w:szCs w:val="20"/>
              </w:rPr>
            </w:pPr>
          </w:p>
        </w:tc>
        <w:tc>
          <w:tcPr>
            <w:tcW w:w="943" w:type="pct"/>
            <w:vMerge w:val="continue"/>
            <w:tcBorders>
              <w:top w:val="nil"/>
              <w:left w:val="single" w:color="auto" w:sz="4" w:space="0"/>
              <w:bottom w:val="nil"/>
              <w:right w:val="single" w:color="auto" w:sz="4" w:space="0"/>
            </w:tcBorders>
            <w:vAlign w:val="center"/>
          </w:tcPr>
          <w:p w14:paraId="1EEDFEFB">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7C63630A">
            <w:pPr>
              <w:widowControl/>
              <w:jc w:val="center"/>
              <w:rPr>
                <w:rFonts w:ascii="宋体" w:hAnsi="宋体" w:eastAsia="宋体" w:cs="宋体"/>
                <w:kern w:val="0"/>
                <w:sz w:val="20"/>
                <w:szCs w:val="20"/>
              </w:rPr>
            </w:pPr>
            <w:r>
              <w:rPr>
                <w:rFonts w:hint="eastAsia" w:ascii="宋体" w:hAnsi="宋体" w:eastAsia="宋体" w:cs="宋体"/>
                <w:kern w:val="0"/>
                <w:sz w:val="20"/>
                <w:szCs w:val="20"/>
              </w:rPr>
              <w:t>4.志愿者工作分配不合理，造成志愿者不满或者影响馆内服务的，每发现一例扣1-2分。</w:t>
            </w:r>
          </w:p>
        </w:tc>
        <w:tc>
          <w:tcPr>
            <w:tcW w:w="574" w:type="pct"/>
            <w:tcBorders>
              <w:top w:val="nil"/>
              <w:left w:val="nil"/>
              <w:bottom w:val="single" w:color="auto" w:sz="4" w:space="0"/>
              <w:right w:val="single" w:color="auto" w:sz="4" w:space="0"/>
            </w:tcBorders>
            <w:shd w:val="clear" w:color="000000" w:fill="FFFFFF"/>
            <w:noWrap/>
            <w:vAlign w:val="center"/>
          </w:tcPr>
          <w:p w14:paraId="6E9F71C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978F550">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3A58485">
            <w:pPr>
              <w:widowControl/>
              <w:jc w:val="left"/>
              <w:rPr>
                <w:rFonts w:ascii="宋体" w:hAnsi="宋体" w:eastAsia="宋体" w:cs="宋体"/>
                <w:kern w:val="0"/>
                <w:sz w:val="22"/>
              </w:rPr>
            </w:pPr>
            <w:r>
              <w:rPr>
                <w:rFonts w:hint="eastAsia" w:ascii="宋体" w:hAnsi="宋体" w:eastAsia="宋体" w:cs="宋体"/>
                <w:kern w:val="0"/>
                <w:sz w:val="22"/>
              </w:rPr>
              <w:t>　</w:t>
            </w:r>
          </w:p>
        </w:tc>
      </w:tr>
      <w:tr w14:paraId="1E11E5D4">
        <w:tblPrEx>
          <w:tblCellMar>
            <w:top w:w="0" w:type="dxa"/>
            <w:left w:w="108" w:type="dxa"/>
            <w:bottom w:w="0" w:type="dxa"/>
            <w:right w:w="108" w:type="dxa"/>
          </w:tblCellMar>
        </w:tblPrEx>
        <w:trPr>
          <w:trHeight w:val="675" w:hRule="atLeast"/>
        </w:trPr>
        <w:tc>
          <w:tcPr>
            <w:tcW w:w="238" w:type="pct"/>
            <w:vMerge w:val="continue"/>
            <w:tcBorders>
              <w:top w:val="nil"/>
              <w:left w:val="single" w:color="auto" w:sz="4" w:space="0"/>
              <w:bottom w:val="single" w:color="auto" w:sz="4" w:space="0"/>
              <w:right w:val="nil"/>
            </w:tcBorders>
            <w:vAlign w:val="center"/>
          </w:tcPr>
          <w:p w14:paraId="110E12C8">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9C98C67">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36085C13">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0C13C507">
            <w:pPr>
              <w:widowControl/>
              <w:jc w:val="left"/>
              <w:rPr>
                <w:rFonts w:ascii="宋体" w:hAnsi="宋体" w:eastAsia="宋体" w:cs="宋体"/>
                <w:kern w:val="0"/>
                <w:sz w:val="20"/>
                <w:szCs w:val="20"/>
              </w:rPr>
            </w:pPr>
          </w:p>
        </w:tc>
        <w:tc>
          <w:tcPr>
            <w:tcW w:w="943" w:type="pct"/>
            <w:vMerge w:val="continue"/>
            <w:tcBorders>
              <w:top w:val="nil"/>
              <w:left w:val="single" w:color="auto" w:sz="4" w:space="0"/>
              <w:bottom w:val="nil"/>
              <w:right w:val="single" w:color="auto" w:sz="4" w:space="0"/>
            </w:tcBorders>
            <w:vAlign w:val="center"/>
          </w:tcPr>
          <w:p w14:paraId="19FB9C4C">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C3D6877">
            <w:pPr>
              <w:widowControl/>
              <w:jc w:val="center"/>
              <w:rPr>
                <w:rFonts w:ascii="宋体" w:hAnsi="宋体" w:eastAsia="宋体" w:cs="宋体"/>
                <w:kern w:val="0"/>
                <w:sz w:val="20"/>
                <w:szCs w:val="20"/>
              </w:rPr>
            </w:pPr>
            <w:r>
              <w:rPr>
                <w:rFonts w:hint="eastAsia" w:ascii="宋体" w:hAnsi="宋体" w:eastAsia="宋体" w:cs="宋体"/>
                <w:kern w:val="0"/>
                <w:sz w:val="20"/>
                <w:szCs w:val="20"/>
              </w:rPr>
              <w:t>5.物料周转点物料出入库管理混乱，需要使用时物料找不到或丢失，每发现一例扣1-2分。</w:t>
            </w:r>
          </w:p>
        </w:tc>
        <w:tc>
          <w:tcPr>
            <w:tcW w:w="574" w:type="pct"/>
            <w:tcBorders>
              <w:top w:val="nil"/>
              <w:left w:val="nil"/>
              <w:bottom w:val="single" w:color="auto" w:sz="4" w:space="0"/>
              <w:right w:val="single" w:color="auto" w:sz="4" w:space="0"/>
            </w:tcBorders>
            <w:shd w:val="clear" w:color="000000" w:fill="FFFFFF"/>
            <w:noWrap/>
            <w:vAlign w:val="center"/>
          </w:tcPr>
          <w:p w14:paraId="349547D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17F1B5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BC0A416">
            <w:pPr>
              <w:widowControl/>
              <w:jc w:val="left"/>
              <w:rPr>
                <w:rFonts w:ascii="宋体" w:hAnsi="宋体" w:eastAsia="宋体" w:cs="宋体"/>
                <w:kern w:val="0"/>
                <w:sz w:val="22"/>
              </w:rPr>
            </w:pPr>
            <w:r>
              <w:rPr>
                <w:rFonts w:hint="eastAsia" w:ascii="宋体" w:hAnsi="宋体" w:eastAsia="宋体" w:cs="宋体"/>
                <w:kern w:val="0"/>
                <w:sz w:val="22"/>
              </w:rPr>
              <w:t>　</w:t>
            </w:r>
          </w:p>
        </w:tc>
      </w:tr>
      <w:tr w14:paraId="3DC49DB5">
        <w:tblPrEx>
          <w:tblCellMar>
            <w:top w:w="0" w:type="dxa"/>
            <w:left w:w="108" w:type="dxa"/>
            <w:bottom w:w="0" w:type="dxa"/>
            <w:right w:w="108" w:type="dxa"/>
          </w:tblCellMar>
        </w:tblPrEx>
        <w:trPr>
          <w:trHeight w:val="825" w:hRule="atLeast"/>
        </w:trPr>
        <w:tc>
          <w:tcPr>
            <w:tcW w:w="238" w:type="pct"/>
            <w:vMerge w:val="restart"/>
            <w:tcBorders>
              <w:top w:val="nil"/>
              <w:left w:val="single" w:color="auto" w:sz="4" w:space="0"/>
              <w:bottom w:val="single" w:color="auto" w:sz="4" w:space="0"/>
              <w:right w:val="nil"/>
            </w:tcBorders>
            <w:shd w:val="clear" w:color="000000" w:fill="FFFFFF"/>
            <w:vAlign w:val="center"/>
          </w:tcPr>
          <w:p w14:paraId="310247C7">
            <w:pPr>
              <w:widowControl/>
              <w:jc w:val="center"/>
              <w:rPr>
                <w:rFonts w:ascii="宋体" w:hAnsi="宋体" w:eastAsia="宋体" w:cs="宋体"/>
                <w:kern w:val="0"/>
                <w:sz w:val="22"/>
              </w:rPr>
            </w:pPr>
            <w:r>
              <w:rPr>
                <w:rFonts w:hint="eastAsia" w:ascii="宋体" w:hAnsi="宋体" w:eastAsia="宋体" w:cs="宋体"/>
                <w:kern w:val="0"/>
                <w:sz w:val="22"/>
              </w:rPr>
              <w:t>12</w:t>
            </w:r>
          </w:p>
        </w:tc>
        <w:tc>
          <w:tcPr>
            <w:tcW w:w="234" w:type="pct"/>
            <w:vMerge w:val="continue"/>
            <w:tcBorders>
              <w:top w:val="nil"/>
              <w:left w:val="single" w:color="auto" w:sz="4" w:space="0"/>
              <w:bottom w:val="single" w:color="000000" w:sz="4" w:space="0"/>
              <w:right w:val="single" w:color="auto" w:sz="4" w:space="0"/>
            </w:tcBorders>
            <w:vAlign w:val="center"/>
          </w:tcPr>
          <w:p w14:paraId="69656ADD">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26712B6E">
            <w:pPr>
              <w:widowControl/>
              <w:jc w:val="left"/>
              <w:rPr>
                <w:rFonts w:ascii="宋体" w:hAnsi="宋体" w:eastAsia="宋体" w:cs="宋体"/>
                <w:kern w:val="0"/>
                <w:sz w:val="22"/>
              </w:rPr>
            </w:pPr>
          </w:p>
        </w:tc>
        <w:tc>
          <w:tcPr>
            <w:tcW w:w="397" w:type="pct"/>
            <w:vMerge w:val="restart"/>
            <w:tcBorders>
              <w:top w:val="nil"/>
              <w:left w:val="single" w:color="auto" w:sz="4" w:space="0"/>
              <w:bottom w:val="single" w:color="000000" w:sz="4" w:space="0"/>
              <w:right w:val="single" w:color="auto" w:sz="4" w:space="0"/>
            </w:tcBorders>
            <w:shd w:val="clear" w:color="000000" w:fill="FFFFFF"/>
            <w:vAlign w:val="center"/>
          </w:tcPr>
          <w:p w14:paraId="2006822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岗位职责        </w:t>
            </w:r>
            <w:r>
              <w:rPr>
                <w:rFonts w:hint="eastAsia" w:ascii="宋体" w:hAnsi="宋体" w:eastAsia="宋体" w:cs="宋体"/>
                <w:kern w:val="0"/>
                <w:sz w:val="20"/>
                <w:szCs w:val="20"/>
              </w:rPr>
              <w:br w:type="textWrapping"/>
            </w:r>
            <w:r>
              <w:rPr>
                <w:rFonts w:hint="eastAsia" w:ascii="宋体" w:hAnsi="宋体" w:eastAsia="宋体" w:cs="宋体"/>
                <w:kern w:val="0"/>
                <w:sz w:val="20"/>
                <w:szCs w:val="20"/>
              </w:rPr>
              <w:t>（航海大舞台、航海梦工坊、航海集装箱）</w:t>
            </w:r>
          </w:p>
        </w:tc>
        <w:tc>
          <w:tcPr>
            <w:tcW w:w="943" w:type="pct"/>
            <w:vMerge w:val="restart"/>
            <w:tcBorders>
              <w:top w:val="single" w:color="auto" w:sz="4" w:space="0"/>
              <w:left w:val="single" w:color="auto" w:sz="4" w:space="0"/>
              <w:bottom w:val="nil"/>
              <w:right w:val="single" w:color="auto" w:sz="4" w:space="0"/>
            </w:tcBorders>
            <w:shd w:val="clear" w:color="000000" w:fill="FFFFFF"/>
            <w:vAlign w:val="center"/>
          </w:tcPr>
          <w:p w14:paraId="63EA1777">
            <w:pPr>
              <w:widowControl/>
              <w:jc w:val="center"/>
              <w:rPr>
                <w:rFonts w:ascii="宋体" w:hAnsi="宋体" w:eastAsia="宋体" w:cs="宋体"/>
                <w:kern w:val="0"/>
                <w:sz w:val="20"/>
                <w:szCs w:val="20"/>
              </w:rPr>
            </w:pPr>
            <w:r>
              <w:rPr>
                <w:rFonts w:hint="eastAsia" w:ascii="宋体" w:hAnsi="宋体" w:eastAsia="宋体" w:cs="宋体"/>
                <w:kern w:val="0"/>
                <w:sz w:val="20"/>
                <w:szCs w:val="20"/>
              </w:rPr>
              <w:t>做好3块区域的日常管理工作，确保区域井然有序；提前准备好电脑、音响、投影、多媒体教学机等设施设备的启动调试，遇故障需及时报修；按照要求落实好活动教具准备、物料准备等相关工作；常规教育活动需做好报名核销等工作；做好活动时必要的场次、人数、影像等基本信息采集归纳工作并及时存入电脑；活动涉及物料要做好物料保管及归类整理，领用需登记规范；平时要保证桌面的清洁，每日撤岗前视清洁度联系保洁做好地面清洁工作；遇馆外老师授课，需辅助授课老师完成活动授课；遇基本的手工授课，需按要求学习并能教授手工活动。</w:t>
            </w:r>
          </w:p>
        </w:tc>
        <w:tc>
          <w:tcPr>
            <w:tcW w:w="1713" w:type="pct"/>
            <w:tcBorders>
              <w:top w:val="nil"/>
              <w:left w:val="nil"/>
              <w:bottom w:val="single" w:color="auto" w:sz="4" w:space="0"/>
              <w:right w:val="single" w:color="auto" w:sz="4" w:space="0"/>
            </w:tcBorders>
            <w:shd w:val="clear" w:color="000000" w:fill="FFFFFF"/>
            <w:vAlign w:val="center"/>
          </w:tcPr>
          <w:p w14:paraId="20AFD323">
            <w:pPr>
              <w:widowControl/>
              <w:jc w:val="center"/>
              <w:rPr>
                <w:rFonts w:ascii="宋体" w:hAnsi="宋体" w:eastAsia="宋体" w:cs="宋体"/>
                <w:kern w:val="0"/>
                <w:sz w:val="20"/>
                <w:szCs w:val="20"/>
              </w:rPr>
            </w:pPr>
            <w:r>
              <w:rPr>
                <w:rFonts w:hint="eastAsia" w:ascii="宋体" w:hAnsi="宋体" w:eastAsia="宋体" w:cs="宋体"/>
                <w:kern w:val="0"/>
                <w:sz w:val="20"/>
                <w:szCs w:val="20"/>
              </w:rPr>
              <w:t>1.由于管理不当造成设施设备损坏、物料缺失；未及时清理桌面，造成桌面脏乱差的，未做好手工材料登记的，每发现一例扣1-5分。</w:t>
            </w:r>
          </w:p>
        </w:tc>
        <w:tc>
          <w:tcPr>
            <w:tcW w:w="574" w:type="pct"/>
            <w:tcBorders>
              <w:top w:val="nil"/>
              <w:left w:val="nil"/>
              <w:bottom w:val="single" w:color="auto" w:sz="4" w:space="0"/>
              <w:right w:val="single" w:color="auto" w:sz="4" w:space="0"/>
            </w:tcBorders>
            <w:shd w:val="clear" w:color="000000" w:fill="FFFFFF"/>
            <w:noWrap/>
            <w:vAlign w:val="center"/>
          </w:tcPr>
          <w:p w14:paraId="5A06AE1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49ABBD2">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D027845">
            <w:pPr>
              <w:widowControl/>
              <w:jc w:val="left"/>
              <w:rPr>
                <w:rFonts w:ascii="宋体" w:hAnsi="宋体" w:eastAsia="宋体" w:cs="宋体"/>
                <w:kern w:val="0"/>
                <w:sz w:val="22"/>
              </w:rPr>
            </w:pPr>
            <w:r>
              <w:rPr>
                <w:rFonts w:hint="eastAsia" w:ascii="宋体" w:hAnsi="宋体" w:eastAsia="宋体" w:cs="宋体"/>
                <w:kern w:val="0"/>
                <w:sz w:val="22"/>
              </w:rPr>
              <w:t>　</w:t>
            </w:r>
          </w:p>
        </w:tc>
      </w:tr>
      <w:tr w14:paraId="23888D0B">
        <w:tblPrEx>
          <w:tblCellMar>
            <w:top w:w="0" w:type="dxa"/>
            <w:left w:w="108" w:type="dxa"/>
            <w:bottom w:w="0" w:type="dxa"/>
            <w:right w:w="108" w:type="dxa"/>
          </w:tblCellMar>
        </w:tblPrEx>
        <w:trPr>
          <w:trHeight w:val="900" w:hRule="atLeast"/>
        </w:trPr>
        <w:tc>
          <w:tcPr>
            <w:tcW w:w="238" w:type="pct"/>
            <w:vMerge w:val="continue"/>
            <w:tcBorders>
              <w:top w:val="nil"/>
              <w:left w:val="single" w:color="auto" w:sz="4" w:space="0"/>
              <w:bottom w:val="single" w:color="auto" w:sz="4" w:space="0"/>
              <w:right w:val="nil"/>
            </w:tcBorders>
            <w:vAlign w:val="center"/>
          </w:tcPr>
          <w:p w14:paraId="6649738E">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86098BC">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40F4F176">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78C59364">
            <w:pPr>
              <w:widowControl/>
              <w:jc w:val="left"/>
              <w:rPr>
                <w:rFonts w:ascii="宋体" w:hAnsi="宋体" w:eastAsia="宋体" w:cs="宋体"/>
                <w:kern w:val="0"/>
                <w:sz w:val="20"/>
                <w:szCs w:val="20"/>
              </w:rPr>
            </w:pPr>
          </w:p>
        </w:tc>
        <w:tc>
          <w:tcPr>
            <w:tcW w:w="943" w:type="pct"/>
            <w:vMerge w:val="continue"/>
            <w:tcBorders>
              <w:top w:val="single" w:color="auto" w:sz="4" w:space="0"/>
              <w:left w:val="single" w:color="auto" w:sz="4" w:space="0"/>
              <w:bottom w:val="nil"/>
              <w:right w:val="single" w:color="auto" w:sz="4" w:space="0"/>
            </w:tcBorders>
            <w:vAlign w:val="center"/>
          </w:tcPr>
          <w:p w14:paraId="3013721D">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79175A42">
            <w:pPr>
              <w:widowControl/>
              <w:jc w:val="center"/>
              <w:rPr>
                <w:rFonts w:ascii="宋体" w:hAnsi="宋体" w:eastAsia="宋体" w:cs="宋体"/>
                <w:kern w:val="0"/>
                <w:sz w:val="20"/>
                <w:szCs w:val="20"/>
              </w:rPr>
            </w:pPr>
            <w:r>
              <w:rPr>
                <w:rFonts w:hint="eastAsia" w:ascii="宋体" w:hAnsi="宋体" w:eastAsia="宋体" w:cs="宋体"/>
                <w:kern w:val="0"/>
                <w:sz w:val="20"/>
                <w:szCs w:val="20"/>
              </w:rPr>
              <w:t>2.活动开展前设施设备及物料准备不充分，影响活动开展；活动过程中管理及服务不到位，造成现场混乱的；相关业务技能不符合要求的，每发现一例扣1-4分。</w:t>
            </w:r>
          </w:p>
        </w:tc>
        <w:tc>
          <w:tcPr>
            <w:tcW w:w="574" w:type="pct"/>
            <w:tcBorders>
              <w:top w:val="nil"/>
              <w:left w:val="nil"/>
              <w:bottom w:val="single" w:color="auto" w:sz="4" w:space="0"/>
              <w:right w:val="single" w:color="auto" w:sz="4" w:space="0"/>
            </w:tcBorders>
            <w:shd w:val="clear" w:color="000000" w:fill="FFFFFF"/>
            <w:noWrap/>
            <w:vAlign w:val="center"/>
          </w:tcPr>
          <w:p w14:paraId="78835B9C">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1265235">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29969C2">
            <w:pPr>
              <w:widowControl/>
              <w:jc w:val="left"/>
              <w:rPr>
                <w:rFonts w:ascii="宋体" w:hAnsi="宋体" w:eastAsia="宋体" w:cs="宋体"/>
                <w:kern w:val="0"/>
                <w:sz w:val="22"/>
              </w:rPr>
            </w:pPr>
            <w:r>
              <w:rPr>
                <w:rFonts w:hint="eastAsia" w:ascii="宋体" w:hAnsi="宋体" w:eastAsia="宋体" w:cs="宋体"/>
                <w:kern w:val="0"/>
                <w:sz w:val="22"/>
              </w:rPr>
              <w:t>　</w:t>
            </w:r>
          </w:p>
        </w:tc>
      </w:tr>
      <w:tr w14:paraId="5CD1EE57">
        <w:tblPrEx>
          <w:tblCellMar>
            <w:top w:w="0" w:type="dxa"/>
            <w:left w:w="108" w:type="dxa"/>
            <w:bottom w:w="0" w:type="dxa"/>
            <w:right w:w="108" w:type="dxa"/>
          </w:tblCellMar>
        </w:tblPrEx>
        <w:trPr>
          <w:trHeight w:val="900" w:hRule="atLeast"/>
        </w:trPr>
        <w:tc>
          <w:tcPr>
            <w:tcW w:w="238" w:type="pct"/>
            <w:vMerge w:val="continue"/>
            <w:tcBorders>
              <w:top w:val="nil"/>
              <w:left w:val="single" w:color="auto" w:sz="4" w:space="0"/>
              <w:bottom w:val="single" w:color="auto" w:sz="4" w:space="0"/>
              <w:right w:val="nil"/>
            </w:tcBorders>
            <w:vAlign w:val="center"/>
          </w:tcPr>
          <w:p w14:paraId="5A32D9B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57A25AF8">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6D2EF93F">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2D44A1DD">
            <w:pPr>
              <w:widowControl/>
              <w:jc w:val="left"/>
              <w:rPr>
                <w:rFonts w:ascii="宋体" w:hAnsi="宋体" w:eastAsia="宋体" w:cs="宋体"/>
                <w:kern w:val="0"/>
                <w:sz w:val="20"/>
                <w:szCs w:val="20"/>
              </w:rPr>
            </w:pPr>
          </w:p>
        </w:tc>
        <w:tc>
          <w:tcPr>
            <w:tcW w:w="943" w:type="pct"/>
            <w:vMerge w:val="continue"/>
            <w:tcBorders>
              <w:top w:val="single" w:color="auto" w:sz="4" w:space="0"/>
              <w:left w:val="single" w:color="auto" w:sz="4" w:space="0"/>
              <w:bottom w:val="nil"/>
              <w:right w:val="single" w:color="auto" w:sz="4" w:space="0"/>
            </w:tcBorders>
            <w:vAlign w:val="center"/>
          </w:tcPr>
          <w:p w14:paraId="134AFCF0">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9970E08">
            <w:pPr>
              <w:widowControl/>
              <w:jc w:val="center"/>
              <w:rPr>
                <w:rFonts w:ascii="宋体" w:hAnsi="宋体" w:eastAsia="宋体" w:cs="宋体"/>
                <w:kern w:val="0"/>
                <w:sz w:val="20"/>
                <w:szCs w:val="20"/>
              </w:rPr>
            </w:pPr>
            <w:r>
              <w:rPr>
                <w:rFonts w:hint="eastAsia" w:ascii="宋体" w:hAnsi="宋体" w:eastAsia="宋体" w:cs="宋体"/>
                <w:kern w:val="0"/>
                <w:sz w:val="20"/>
                <w:szCs w:val="20"/>
              </w:rPr>
              <w:t>3.由专人或领班定期做好手工活动物料的整理和清点工作，因非客观原因造成的物料浪费或重复性采购，每发现一例扣1-5分。</w:t>
            </w:r>
          </w:p>
        </w:tc>
        <w:tc>
          <w:tcPr>
            <w:tcW w:w="574" w:type="pct"/>
            <w:tcBorders>
              <w:top w:val="nil"/>
              <w:left w:val="nil"/>
              <w:bottom w:val="single" w:color="auto" w:sz="4" w:space="0"/>
              <w:right w:val="single" w:color="auto" w:sz="4" w:space="0"/>
            </w:tcBorders>
            <w:shd w:val="clear" w:color="000000" w:fill="FFFFFF"/>
            <w:noWrap/>
            <w:vAlign w:val="center"/>
          </w:tcPr>
          <w:p w14:paraId="6E8B74D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B95C97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E787E5E">
            <w:pPr>
              <w:widowControl/>
              <w:jc w:val="left"/>
              <w:rPr>
                <w:rFonts w:ascii="宋体" w:hAnsi="宋体" w:eastAsia="宋体" w:cs="宋体"/>
                <w:kern w:val="0"/>
                <w:sz w:val="22"/>
              </w:rPr>
            </w:pPr>
            <w:r>
              <w:rPr>
                <w:rFonts w:hint="eastAsia" w:ascii="宋体" w:hAnsi="宋体" w:eastAsia="宋体" w:cs="宋体"/>
                <w:kern w:val="0"/>
                <w:sz w:val="22"/>
              </w:rPr>
              <w:t>　</w:t>
            </w:r>
          </w:p>
        </w:tc>
      </w:tr>
      <w:tr w14:paraId="47DA090A">
        <w:tblPrEx>
          <w:tblCellMar>
            <w:top w:w="0" w:type="dxa"/>
            <w:left w:w="108" w:type="dxa"/>
            <w:bottom w:w="0" w:type="dxa"/>
            <w:right w:w="108" w:type="dxa"/>
          </w:tblCellMar>
        </w:tblPrEx>
        <w:trPr>
          <w:trHeight w:val="675" w:hRule="atLeast"/>
        </w:trPr>
        <w:tc>
          <w:tcPr>
            <w:tcW w:w="238" w:type="pct"/>
            <w:vMerge w:val="continue"/>
            <w:tcBorders>
              <w:top w:val="nil"/>
              <w:left w:val="single" w:color="auto" w:sz="4" w:space="0"/>
              <w:bottom w:val="single" w:color="auto" w:sz="4" w:space="0"/>
              <w:right w:val="nil"/>
            </w:tcBorders>
            <w:vAlign w:val="center"/>
          </w:tcPr>
          <w:p w14:paraId="1A8D4F54">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1745DEE6">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769D7C4C">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6C092E37">
            <w:pPr>
              <w:widowControl/>
              <w:jc w:val="left"/>
              <w:rPr>
                <w:rFonts w:ascii="宋体" w:hAnsi="宋体" w:eastAsia="宋体" w:cs="宋体"/>
                <w:kern w:val="0"/>
                <w:sz w:val="20"/>
                <w:szCs w:val="20"/>
              </w:rPr>
            </w:pPr>
          </w:p>
        </w:tc>
        <w:tc>
          <w:tcPr>
            <w:tcW w:w="943" w:type="pct"/>
            <w:vMerge w:val="continue"/>
            <w:tcBorders>
              <w:top w:val="single" w:color="auto" w:sz="4" w:space="0"/>
              <w:left w:val="single" w:color="auto" w:sz="4" w:space="0"/>
              <w:bottom w:val="nil"/>
              <w:right w:val="single" w:color="auto" w:sz="4" w:space="0"/>
            </w:tcBorders>
            <w:vAlign w:val="center"/>
          </w:tcPr>
          <w:p w14:paraId="4D4E6C17">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D00924C">
            <w:pPr>
              <w:widowControl/>
              <w:jc w:val="center"/>
              <w:rPr>
                <w:rFonts w:ascii="宋体" w:hAnsi="宋体" w:eastAsia="宋体" w:cs="宋体"/>
                <w:kern w:val="0"/>
                <w:sz w:val="20"/>
                <w:szCs w:val="20"/>
              </w:rPr>
            </w:pPr>
            <w:r>
              <w:rPr>
                <w:rFonts w:hint="eastAsia" w:ascii="宋体" w:hAnsi="宋体" w:eastAsia="宋体" w:cs="宋体"/>
                <w:kern w:val="0"/>
                <w:sz w:val="20"/>
                <w:szCs w:val="20"/>
              </w:rPr>
              <w:t>4.未作好活动开展后，信息采集和登记工作的，每发现一例扣1-5分。</w:t>
            </w:r>
          </w:p>
        </w:tc>
        <w:tc>
          <w:tcPr>
            <w:tcW w:w="574" w:type="pct"/>
            <w:tcBorders>
              <w:top w:val="nil"/>
              <w:left w:val="nil"/>
              <w:bottom w:val="single" w:color="auto" w:sz="4" w:space="0"/>
              <w:right w:val="single" w:color="auto" w:sz="4" w:space="0"/>
            </w:tcBorders>
            <w:shd w:val="clear" w:color="000000" w:fill="FFFFFF"/>
            <w:noWrap/>
            <w:vAlign w:val="center"/>
          </w:tcPr>
          <w:p w14:paraId="73FB293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C5774A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0B259C1">
            <w:pPr>
              <w:widowControl/>
              <w:jc w:val="left"/>
              <w:rPr>
                <w:rFonts w:ascii="宋体" w:hAnsi="宋体" w:eastAsia="宋体" w:cs="宋体"/>
                <w:kern w:val="0"/>
                <w:sz w:val="22"/>
              </w:rPr>
            </w:pPr>
            <w:r>
              <w:rPr>
                <w:rFonts w:hint="eastAsia" w:ascii="宋体" w:hAnsi="宋体" w:eastAsia="宋体" w:cs="宋体"/>
                <w:kern w:val="0"/>
                <w:sz w:val="22"/>
              </w:rPr>
              <w:t>　</w:t>
            </w:r>
          </w:p>
        </w:tc>
      </w:tr>
      <w:tr w14:paraId="5F233385">
        <w:tblPrEx>
          <w:tblCellMar>
            <w:top w:w="0" w:type="dxa"/>
            <w:left w:w="108" w:type="dxa"/>
            <w:bottom w:w="0" w:type="dxa"/>
            <w:right w:w="108" w:type="dxa"/>
          </w:tblCellMar>
        </w:tblPrEx>
        <w:trPr>
          <w:trHeight w:val="705" w:hRule="atLeast"/>
        </w:trPr>
        <w:tc>
          <w:tcPr>
            <w:tcW w:w="238" w:type="pct"/>
            <w:vMerge w:val="restart"/>
            <w:tcBorders>
              <w:top w:val="nil"/>
              <w:left w:val="single" w:color="auto" w:sz="4" w:space="0"/>
              <w:bottom w:val="single" w:color="auto" w:sz="4" w:space="0"/>
              <w:right w:val="nil"/>
            </w:tcBorders>
            <w:shd w:val="clear" w:color="000000" w:fill="FFFFFF"/>
            <w:vAlign w:val="center"/>
          </w:tcPr>
          <w:p w14:paraId="76497F71">
            <w:pPr>
              <w:widowControl/>
              <w:jc w:val="center"/>
              <w:rPr>
                <w:rFonts w:ascii="宋体" w:hAnsi="宋体" w:eastAsia="宋体" w:cs="宋体"/>
                <w:kern w:val="0"/>
                <w:sz w:val="22"/>
              </w:rPr>
            </w:pPr>
            <w:r>
              <w:rPr>
                <w:rFonts w:hint="eastAsia" w:ascii="宋体" w:hAnsi="宋体" w:eastAsia="宋体" w:cs="宋体"/>
                <w:kern w:val="0"/>
                <w:sz w:val="22"/>
              </w:rPr>
              <w:t>13</w:t>
            </w:r>
          </w:p>
        </w:tc>
        <w:tc>
          <w:tcPr>
            <w:tcW w:w="234" w:type="pct"/>
            <w:vMerge w:val="continue"/>
            <w:tcBorders>
              <w:top w:val="nil"/>
              <w:left w:val="single" w:color="auto" w:sz="4" w:space="0"/>
              <w:bottom w:val="single" w:color="000000" w:sz="4" w:space="0"/>
              <w:right w:val="single" w:color="auto" w:sz="4" w:space="0"/>
            </w:tcBorders>
            <w:vAlign w:val="center"/>
          </w:tcPr>
          <w:p w14:paraId="2CCD4E5C">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4C28AEC0">
            <w:pPr>
              <w:widowControl/>
              <w:jc w:val="left"/>
              <w:rPr>
                <w:rFonts w:ascii="宋体" w:hAnsi="宋体" w:eastAsia="宋体" w:cs="宋体"/>
                <w:kern w:val="0"/>
                <w:sz w:val="22"/>
              </w:rPr>
            </w:pPr>
          </w:p>
        </w:tc>
        <w:tc>
          <w:tcPr>
            <w:tcW w:w="397" w:type="pct"/>
            <w:vMerge w:val="restart"/>
            <w:tcBorders>
              <w:top w:val="nil"/>
              <w:left w:val="single" w:color="auto" w:sz="4" w:space="0"/>
              <w:bottom w:val="single" w:color="000000" w:sz="4" w:space="0"/>
              <w:right w:val="single" w:color="auto" w:sz="4" w:space="0"/>
            </w:tcBorders>
            <w:shd w:val="clear" w:color="000000" w:fill="FFFFFF"/>
            <w:vAlign w:val="center"/>
          </w:tcPr>
          <w:p w14:paraId="67F3BEBD">
            <w:pPr>
              <w:widowControl/>
              <w:jc w:val="center"/>
              <w:rPr>
                <w:rFonts w:ascii="宋体" w:hAnsi="宋体" w:eastAsia="宋体" w:cs="宋体"/>
                <w:kern w:val="0"/>
                <w:sz w:val="20"/>
                <w:szCs w:val="20"/>
              </w:rPr>
            </w:pPr>
            <w:r>
              <w:rPr>
                <w:rFonts w:hint="eastAsia" w:ascii="宋体" w:hAnsi="宋体" w:eastAsia="宋体" w:cs="宋体"/>
                <w:kern w:val="0"/>
                <w:sz w:val="20"/>
                <w:szCs w:val="20"/>
              </w:rPr>
              <w:t>岗位职责（疫情下的区域巡检）</w:t>
            </w:r>
          </w:p>
        </w:tc>
        <w:tc>
          <w:tcPr>
            <w:tcW w:w="943" w:type="pct"/>
            <w:vMerge w:val="restart"/>
            <w:tcBorders>
              <w:top w:val="single" w:color="auto" w:sz="4" w:space="0"/>
              <w:left w:val="single" w:color="auto" w:sz="4" w:space="0"/>
              <w:bottom w:val="nil"/>
              <w:right w:val="single" w:color="auto" w:sz="4" w:space="0"/>
            </w:tcBorders>
            <w:shd w:val="clear" w:color="000000" w:fill="FFFFFF"/>
            <w:vAlign w:val="center"/>
          </w:tcPr>
          <w:p w14:paraId="49DB3255">
            <w:pPr>
              <w:widowControl/>
              <w:jc w:val="center"/>
              <w:rPr>
                <w:rFonts w:ascii="宋体" w:hAnsi="宋体" w:eastAsia="宋体" w:cs="宋体"/>
                <w:kern w:val="0"/>
                <w:sz w:val="20"/>
                <w:szCs w:val="20"/>
              </w:rPr>
            </w:pPr>
            <w:r>
              <w:rPr>
                <w:rFonts w:hint="eastAsia" w:ascii="宋体" w:hAnsi="宋体" w:eastAsia="宋体" w:cs="宋体"/>
                <w:kern w:val="0"/>
                <w:sz w:val="20"/>
                <w:szCs w:val="20"/>
              </w:rPr>
              <w:t>做好辖区日常管理工作，确保区域井然有序；确保区域整洁干净；确保设施设备及展品完整；具备主动服务区域内观众的责任心，包括但不限于重点展品讲解、参观路线指引、各服务需求指引等。</w:t>
            </w:r>
          </w:p>
        </w:tc>
        <w:tc>
          <w:tcPr>
            <w:tcW w:w="1713" w:type="pct"/>
            <w:tcBorders>
              <w:top w:val="nil"/>
              <w:left w:val="nil"/>
              <w:bottom w:val="single" w:color="auto" w:sz="4" w:space="0"/>
              <w:right w:val="single" w:color="auto" w:sz="4" w:space="0"/>
            </w:tcBorders>
            <w:shd w:val="clear" w:color="000000" w:fill="FFFFFF"/>
            <w:vAlign w:val="center"/>
          </w:tcPr>
          <w:p w14:paraId="516E5726">
            <w:pPr>
              <w:widowControl/>
              <w:jc w:val="center"/>
              <w:rPr>
                <w:rFonts w:ascii="宋体" w:hAnsi="宋体" w:eastAsia="宋体" w:cs="宋体"/>
                <w:kern w:val="0"/>
                <w:sz w:val="20"/>
                <w:szCs w:val="20"/>
              </w:rPr>
            </w:pPr>
            <w:r>
              <w:rPr>
                <w:rFonts w:hint="eastAsia" w:ascii="宋体" w:hAnsi="宋体" w:eastAsia="宋体" w:cs="宋体"/>
                <w:kern w:val="0"/>
                <w:sz w:val="20"/>
                <w:szCs w:val="20"/>
              </w:rPr>
              <w:t>1.长时间滞留某地而无实质性的服务行为，未尽到巡检职责每发现一例扣1-2分。</w:t>
            </w:r>
          </w:p>
        </w:tc>
        <w:tc>
          <w:tcPr>
            <w:tcW w:w="574" w:type="pct"/>
            <w:tcBorders>
              <w:top w:val="nil"/>
              <w:left w:val="nil"/>
              <w:bottom w:val="single" w:color="auto" w:sz="4" w:space="0"/>
              <w:right w:val="single" w:color="auto" w:sz="4" w:space="0"/>
            </w:tcBorders>
            <w:shd w:val="clear" w:color="000000" w:fill="FFFFFF"/>
            <w:noWrap/>
            <w:vAlign w:val="center"/>
          </w:tcPr>
          <w:p w14:paraId="1CC5E69C">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CA35FC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542A2C7">
            <w:pPr>
              <w:widowControl/>
              <w:jc w:val="left"/>
              <w:rPr>
                <w:rFonts w:ascii="宋体" w:hAnsi="宋体" w:eastAsia="宋体" w:cs="宋体"/>
                <w:kern w:val="0"/>
                <w:sz w:val="22"/>
              </w:rPr>
            </w:pPr>
            <w:r>
              <w:rPr>
                <w:rFonts w:hint="eastAsia" w:ascii="宋体" w:hAnsi="宋体" w:eastAsia="宋体" w:cs="宋体"/>
                <w:kern w:val="0"/>
                <w:sz w:val="22"/>
              </w:rPr>
              <w:t>　</w:t>
            </w:r>
          </w:p>
        </w:tc>
      </w:tr>
      <w:tr w14:paraId="2F4D0E95">
        <w:tblPrEx>
          <w:tblCellMar>
            <w:top w:w="0" w:type="dxa"/>
            <w:left w:w="108" w:type="dxa"/>
            <w:bottom w:w="0" w:type="dxa"/>
            <w:right w:w="108" w:type="dxa"/>
          </w:tblCellMar>
        </w:tblPrEx>
        <w:trPr>
          <w:trHeight w:val="660" w:hRule="atLeast"/>
        </w:trPr>
        <w:tc>
          <w:tcPr>
            <w:tcW w:w="238" w:type="pct"/>
            <w:vMerge w:val="continue"/>
            <w:tcBorders>
              <w:top w:val="nil"/>
              <w:left w:val="single" w:color="auto" w:sz="4" w:space="0"/>
              <w:bottom w:val="single" w:color="auto" w:sz="4" w:space="0"/>
              <w:right w:val="nil"/>
            </w:tcBorders>
            <w:vAlign w:val="center"/>
          </w:tcPr>
          <w:p w14:paraId="5F963EEB">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0EDF0633">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nil"/>
              <w:right w:val="single" w:color="auto" w:sz="4" w:space="0"/>
            </w:tcBorders>
            <w:vAlign w:val="center"/>
          </w:tcPr>
          <w:p w14:paraId="2F217348">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6B64BC20">
            <w:pPr>
              <w:widowControl/>
              <w:jc w:val="left"/>
              <w:rPr>
                <w:rFonts w:ascii="宋体" w:hAnsi="宋体" w:eastAsia="宋体" w:cs="宋体"/>
                <w:kern w:val="0"/>
                <w:sz w:val="20"/>
                <w:szCs w:val="20"/>
              </w:rPr>
            </w:pPr>
          </w:p>
        </w:tc>
        <w:tc>
          <w:tcPr>
            <w:tcW w:w="943" w:type="pct"/>
            <w:vMerge w:val="continue"/>
            <w:tcBorders>
              <w:top w:val="single" w:color="auto" w:sz="4" w:space="0"/>
              <w:left w:val="single" w:color="auto" w:sz="4" w:space="0"/>
              <w:bottom w:val="nil"/>
              <w:right w:val="single" w:color="auto" w:sz="4" w:space="0"/>
            </w:tcBorders>
            <w:vAlign w:val="center"/>
          </w:tcPr>
          <w:p w14:paraId="6575E92B">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6BB16741">
            <w:pPr>
              <w:widowControl/>
              <w:jc w:val="center"/>
              <w:rPr>
                <w:rFonts w:ascii="宋体" w:hAnsi="宋体" w:eastAsia="宋体" w:cs="宋体"/>
                <w:kern w:val="0"/>
                <w:sz w:val="20"/>
                <w:szCs w:val="20"/>
              </w:rPr>
            </w:pPr>
            <w:r>
              <w:rPr>
                <w:rFonts w:hint="eastAsia" w:ascii="宋体" w:hAnsi="宋体" w:eastAsia="宋体" w:cs="宋体"/>
                <w:kern w:val="0"/>
                <w:sz w:val="20"/>
                <w:szCs w:val="20"/>
              </w:rPr>
              <w:t>2.对于有明显设施设备故障、展品丢失、地面污渍而未及时处理或上报的，每发现一例扣1-5分。</w:t>
            </w:r>
          </w:p>
        </w:tc>
        <w:tc>
          <w:tcPr>
            <w:tcW w:w="574" w:type="pct"/>
            <w:tcBorders>
              <w:top w:val="nil"/>
              <w:left w:val="nil"/>
              <w:bottom w:val="single" w:color="auto" w:sz="4" w:space="0"/>
              <w:right w:val="single" w:color="auto" w:sz="4" w:space="0"/>
            </w:tcBorders>
            <w:shd w:val="clear" w:color="000000" w:fill="FFFFFF"/>
            <w:noWrap/>
            <w:vAlign w:val="center"/>
          </w:tcPr>
          <w:p w14:paraId="5287B02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DD3FDDE">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2B69DDC">
            <w:pPr>
              <w:widowControl/>
              <w:jc w:val="left"/>
              <w:rPr>
                <w:rFonts w:ascii="宋体" w:hAnsi="宋体" w:eastAsia="宋体" w:cs="宋体"/>
                <w:kern w:val="0"/>
                <w:sz w:val="22"/>
              </w:rPr>
            </w:pPr>
            <w:r>
              <w:rPr>
                <w:rFonts w:hint="eastAsia" w:ascii="宋体" w:hAnsi="宋体" w:eastAsia="宋体" w:cs="宋体"/>
                <w:kern w:val="0"/>
                <w:sz w:val="22"/>
              </w:rPr>
              <w:t>　</w:t>
            </w:r>
          </w:p>
        </w:tc>
      </w:tr>
      <w:tr w14:paraId="7441EED6">
        <w:tblPrEx>
          <w:tblCellMar>
            <w:top w:w="0" w:type="dxa"/>
            <w:left w:w="108" w:type="dxa"/>
            <w:bottom w:w="0" w:type="dxa"/>
            <w:right w:w="108" w:type="dxa"/>
          </w:tblCellMar>
        </w:tblPrEx>
        <w:trPr>
          <w:trHeight w:val="315" w:hRule="atLeast"/>
        </w:trPr>
        <w:tc>
          <w:tcPr>
            <w:tcW w:w="238" w:type="pct"/>
            <w:vMerge w:val="restart"/>
            <w:tcBorders>
              <w:top w:val="nil"/>
              <w:left w:val="nil"/>
              <w:bottom w:val="nil"/>
              <w:right w:val="single" w:color="auto" w:sz="4" w:space="0"/>
            </w:tcBorders>
            <w:shd w:val="clear" w:color="000000" w:fill="FFFFFF"/>
            <w:vAlign w:val="center"/>
          </w:tcPr>
          <w:p w14:paraId="168E4366">
            <w:pPr>
              <w:widowControl/>
              <w:jc w:val="center"/>
              <w:rPr>
                <w:rFonts w:ascii="宋体" w:hAnsi="宋体" w:eastAsia="宋体" w:cs="宋体"/>
                <w:kern w:val="0"/>
                <w:sz w:val="22"/>
              </w:rPr>
            </w:pPr>
            <w:r>
              <w:rPr>
                <w:rFonts w:hint="eastAsia" w:ascii="宋体" w:hAnsi="宋体" w:eastAsia="宋体" w:cs="宋体"/>
                <w:kern w:val="0"/>
                <w:sz w:val="22"/>
              </w:rPr>
              <w:t>14</w:t>
            </w:r>
          </w:p>
        </w:tc>
        <w:tc>
          <w:tcPr>
            <w:tcW w:w="234" w:type="pct"/>
            <w:vMerge w:val="continue"/>
            <w:tcBorders>
              <w:top w:val="nil"/>
              <w:left w:val="single" w:color="auto" w:sz="4" w:space="0"/>
              <w:bottom w:val="single" w:color="000000" w:sz="4" w:space="0"/>
              <w:right w:val="single" w:color="auto" w:sz="4" w:space="0"/>
            </w:tcBorders>
            <w:vAlign w:val="center"/>
          </w:tcPr>
          <w:p w14:paraId="1EA542FF">
            <w:pPr>
              <w:widowControl/>
              <w:jc w:val="left"/>
              <w:rPr>
                <w:rFonts w:ascii="宋体" w:hAnsi="宋体" w:eastAsia="宋体" w:cs="宋体"/>
                <w:b/>
                <w:bCs/>
                <w:kern w:val="0"/>
                <w:sz w:val="22"/>
              </w:rPr>
            </w:pPr>
          </w:p>
        </w:tc>
        <w:tc>
          <w:tcPr>
            <w:tcW w:w="275" w:type="pct"/>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14:paraId="216A9969">
            <w:pPr>
              <w:widowControl/>
              <w:jc w:val="center"/>
              <w:rPr>
                <w:rFonts w:ascii="宋体" w:hAnsi="宋体" w:eastAsia="宋体" w:cs="宋体"/>
                <w:kern w:val="0"/>
                <w:sz w:val="22"/>
              </w:rPr>
            </w:pPr>
            <w:r>
              <w:rPr>
                <w:rFonts w:hint="eastAsia" w:ascii="宋体" w:hAnsi="宋体" w:eastAsia="宋体" w:cs="宋体"/>
                <w:kern w:val="0"/>
                <w:sz w:val="22"/>
              </w:rPr>
              <w:t>开放管理部纪念品条线</w:t>
            </w:r>
          </w:p>
        </w:tc>
        <w:tc>
          <w:tcPr>
            <w:tcW w:w="397" w:type="pct"/>
            <w:vMerge w:val="restart"/>
            <w:tcBorders>
              <w:top w:val="nil"/>
              <w:left w:val="single" w:color="auto" w:sz="4" w:space="0"/>
              <w:bottom w:val="single" w:color="auto" w:sz="4" w:space="0"/>
              <w:right w:val="single" w:color="auto" w:sz="4" w:space="0"/>
            </w:tcBorders>
            <w:shd w:val="clear" w:color="000000" w:fill="FFFFFF"/>
            <w:noWrap/>
            <w:vAlign w:val="center"/>
          </w:tcPr>
          <w:p w14:paraId="59B0DAAB">
            <w:pPr>
              <w:widowControl/>
              <w:jc w:val="center"/>
              <w:rPr>
                <w:rFonts w:ascii="宋体" w:hAnsi="宋体" w:eastAsia="宋体" w:cs="宋体"/>
                <w:kern w:val="0"/>
                <w:sz w:val="20"/>
                <w:szCs w:val="20"/>
              </w:rPr>
            </w:pPr>
            <w:r>
              <w:rPr>
                <w:rFonts w:hint="eastAsia" w:ascii="宋体" w:hAnsi="宋体" w:eastAsia="宋体" w:cs="宋体"/>
                <w:kern w:val="0"/>
                <w:sz w:val="20"/>
                <w:szCs w:val="20"/>
              </w:rPr>
              <w:t>陈列</w:t>
            </w:r>
          </w:p>
        </w:tc>
        <w:tc>
          <w:tcPr>
            <w:tcW w:w="943"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2BAFF729">
            <w:pPr>
              <w:widowControl/>
              <w:jc w:val="center"/>
              <w:rPr>
                <w:rFonts w:ascii="宋体" w:hAnsi="宋体" w:eastAsia="宋体" w:cs="宋体"/>
                <w:kern w:val="0"/>
                <w:sz w:val="20"/>
                <w:szCs w:val="20"/>
              </w:rPr>
            </w:pPr>
            <w:r>
              <w:rPr>
                <w:rFonts w:hint="eastAsia" w:ascii="宋体" w:hAnsi="宋体" w:eastAsia="宋体" w:cs="宋体"/>
                <w:kern w:val="0"/>
                <w:sz w:val="20"/>
                <w:szCs w:val="20"/>
              </w:rPr>
              <w:t>完成销售的同时，及时补货及商品摆放调整，达到美观而充足。</w:t>
            </w:r>
          </w:p>
        </w:tc>
        <w:tc>
          <w:tcPr>
            <w:tcW w:w="1713" w:type="pct"/>
            <w:tcBorders>
              <w:top w:val="nil"/>
              <w:left w:val="nil"/>
              <w:bottom w:val="single" w:color="auto" w:sz="4" w:space="0"/>
              <w:right w:val="single" w:color="auto" w:sz="4" w:space="0"/>
            </w:tcBorders>
            <w:shd w:val="clear" w:color="000000" w:fill="FFFFFF"/>
          </w:tcPr>
          <w:p w14:paraId="0F0D2F7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陈列摆放是否系统，美观，合理。每发现一次扣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05019F78">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5070977">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13050F9">
            <w:pPr>
              <w:widowControl/>
              <w:jc w:val="left"/>
              <w:rPr>
                <w:rFonts w:ascii="宋体" w:hAnsi="宋体" w:eastAsia="宋体" w:cs="宋体"/>
                <w:kern w:val="0"/>
                <w:sz w:val="22"/>
              </w:rPr>
            </w:pPr>
            <w:r>
              <w:rPr>
                <w:rFonts w:hint="eastAsia" w:ascii="宋体" w:hAnsi="宋体" w:eastAsia="宋体" w:cs="宋体"/>
                <w:kern w:val="0"/>
                <w:sz w:val="22"/>
              </w:rPr>
              <w:t>　</w:t>
            </w:r>
          </w:p>
        </w:tc>
      </w:tr>
      <w:tr w14:paraId="1608AF82">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0C902822">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74BFE281">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6294CA04">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376DBDEC">
            <w:pPr>
              <w:widowControl/>
              <w:jc w:val="left"/>
              <w:rPr>
                <w:rFonts w:ascii="宋体" w:hAnsi="宋体" w:eastAsia="宋体" w:cs="宋体"/>
                <w:kern w:val="0"/>
                <w:sz w:val="20"/>
                <w:szCs w:val="20"/>
              </w:rPr>
            </w:pPr>
          </w:p>
        </w:tc>
        <w:tc>
          <w:tcPr>
            <w:tcW w:w="943" w:type="pct"/>
            <w:vMerge w:val="continue"/>
            <w:tcBorders>
              <w:top w:val="single" w:color="auto" w:sz="4" w:space="0"/>
              <w:left w:val="single" w:color="auto" w:sz="4" w:space="0"/>
              <w:bottom w:val="single" w:color="auto" w:sz="4" w:space="0"/>
              <w:right w:val="single" w:color="auto" w:sz="4" w:space="0"/>
            </w:tcBorders>
            <w:vAlign w:val="center"/>
          </w:tcPr>
          <w:p w14:paraId="366216B2">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1E64355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w:t>
            </w:r>
            <w:r>
              <w:rPr>
                <w:rFonts w:hint="eastAsia" w:ascii="宋体" w:hAnsi="宋体" w:eastAsia="宋体" w:cs="Times New Roman"/>
                <w:kern w:val="0"/>
                <w:sz w:val="20"/>
                <w:szCs w:val="20"/>
              </w:rPr>
              <w:t>现场调整及时，美观。每发现一次扣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2558FFB2">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0E8DDA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92AE5EF">
            <w:pPr>
              <w:widowControl/>
              <w:jc w:val="left"/>
              <w:rPr>
                <w:rFonts w:ascii="宋体" w:hAnsi="宋体" w:eastAsia="宋体" w:cs="宋体"/>
                <w:kern w:val="0"/>
                <w:sz w:val="22"/>
              </w:rPr>
            </w:pPr>
            <w:r>
              <w:rPr>
                <w:rFonts w:hint="eastAsia" w:ascii="宋体" w:hAnsi="宋体" w:eastAsia="宋体" w:cs="宋体"/>
                <w:kern w:val="0"/>
                <w:sz w:val="22"/>
              </w:rPr>
              <w:t>　</w:t>
            </w:r>
          </w:p>
        </w:tc>
      </w:tr>
      <w:tr w14:paraId="03D02518">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70BCFBBE">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1AB54B1D">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2A6099EA">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58E6ED77">
            <w:pPr>
              <w:widowControl/>
              <w:jc w:val="left"/>
              <w:rPr>
                <w:rFonts w:ascii="宋体" w:hAnsi="宋体" w:eastAsia="宋体" w:cs="宋体"/>
                <w:kern w:val="0"/>
                <w:sz w:val="20"/>
                <w:szCs w:val="20"/>
              </w:rPr>
            </w:pPr>
          </w:p>
        </w:tc>
        <w:tc>
          <w:tcPr>
            <w:tcW w:w="943" w:type="pct"/>
            <w:vMerge w:val="continue"/>
            <w:tcBorders>
              <w:top w:val="single" w:color="auto" w:sz="4" w:space="0"/>
              <w:left w:val="single" w:color="auto" w:sz="4" w:space="0"/>
              <w:bottom w:val="single" w:color="auto" w:sz="4" w:space="0"/>
              <w:right w:val="single" w:color="auto" w:sz="4" w:space="0"/>
            </w:tcBorders>
            <w:vAlign w:val="center"/>
          </w:tcPr>
          <w:p w14:paraId="548DA34A">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2D401A6E">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w:t>
            </w:r>
            <w:r>
              <w:rPr>
                <w:rFonts w:hint="eastAsia" w:ascii="宋体" w:hAnsi="宋体" w:eastAsia="宋体" w:cs="Times New Roman"/>
                <w:kern w:val="0"/>
                <w:sz w:val="20"/>
                <w:szCs w:val="20"/>
              </w:rPr>
              <w:t>及时补足货架。每发现一次扣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43A0E23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28296F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255E3C9">
            <w:pPr>
              <w:widowControl/>
              <w:jc w:val="left"/>
              <w:rPr>
                <w:rFonts w:ascii="宋体" w:hAnsi="宋体" w:eastAsia="宋体" w:cs="宋体"/>
                <w:kern w:val="0"/>
                <w:sz w:val="22"/>
              </w:rPr>
            </w:pPr>
            <w:r>
              <w:rPr>
                <w:rFonts w:hint="eastAsia" w:ascii="宋体" w:hAnsi="宋体" w:eastAsia="宋体" w:cs="宋体"/>
                <w:kern w:val="0"/>
                <w:sz w:val="22"/>
              </w:rPr>
              <w:t>　</w:t>
            </w:r>
          </w:p>
        </w:tc>
      </w:tr>
      <w:tr w14:paraId="3CE1D20C">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4BBEE771">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71AE940">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055728B1">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7434398F">
            <w:pPr>
              <w:widowControl/>
              <w:jc w:val="left"/>
              <w:rPr>
                <w:rFonts w:ascii="宋体" w:hAnsi="宋体" w:eastAsia="宋体" w:cs="宋体"/>
                <w:kern w:val="0"/>
                <w:sz w:val="20"/>
                <w:szCs w:val="20"/>
              </w:rPr>
            </w:pPr>
          </w:p>
        </w:tc>
        <w:tc>
          <w:tcPr>
            <w:tcW w:w="943" w:type="pct"/>
            <w:vMerge w:val="continue"/>
            <w:tcBorders>
              <w:top w:val="single" w:color="auto" w:sz="4" w:space="0"/>
              <w:left w:val="single" w:color="auto" w:sz="4" w:space="0"/>
              <w:bottom w:val="single" w:color="auto" w:sz="4" w:space="0"/>
              <w:right w:val="single" w:color="auto" w:sz="4" w:space="0"/>
            </w:tcBorders>
            <w:vAlign w:val="center"/>
          </w:tcPr>
          <w:p w14:paraId="5828F0E3">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46DA2FA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w:t>
            </w:r>
            <w:r>
              <w:rPr>
                <w:rFonts w:hint="eastAsia" w:ascii="宋体" w:hAnsi="宋体" w:eastAsia="宋体" w:cs="Times New Roman"/>
                <w:kern w:val="0"/>
                <w:sz w:val="20"/>
                <w:szCs w:val="20"/>
              </w:rPr>
              <w:t>商品陈列信息完整（条形码</w:t>
            </w:r>
            <w:r>
              <w:rPr>
                <w:rFonts w:ascii="Times New Roman" w:hAnsi="Times New Roman" w:eastAsia="宋体" w:cs="Times New Roman"/>
                <w:kern w:val="0"/>
                <w:sz w:val="20"/>
                <w:szCs w:val="20"/>
              </w:rPr>
              <w:t>.</w:t>
            </w:r>
            <w:r>
              <w:rPr>
                <w:rFonts w:hint="eastAsia" w:ascii="宋体" w:hAnsi="宋体" w:eastAsia="宋体" w:cs="Times New Roman"/>
                <w:kern w:val="0"/>
                <w:sz w:val="20"/>
                <w:szCs w:val="20"/>
              </w:rPr>
              <w:t>价格</w:t>
            </w:r>
            <w:r>
              <w:rPr>
                <w:rFonts w:ascii="Times New Roman" w:hAnsi="Times New Roman" w:eastAsia="宋体" w:cs="Times New Roman"/>
                <w:kern w:val="0"/>
                <w:sz w:val="20"/>
                <w:szCs w:val="20"/>
              </w:rPr>
              <w:t>.</w:t>
            </w:r>
            <w:r>
              <w:rPr>
                <w:rFonts w:hint="eastAsia" w:ascii="宋体" w:hAnsi="宋体" w:eastAsia="宋体" w:cs="Times New Roman"/>
                <w:kern w:val="0"/>
                <w:sz w:val="20"/>
                <w:szCs w:val="20"/>
              </w:rPr>
              <w:t>品名）。每发现一次扣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7929861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817A91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E6124E5">
            <w:pPr>
              <w:widowControl/>
              <w:jc w:val="left"/>
              <w:rPr>
                <w:rFonts w:ascii="宋体" w:hAnsi="宋体" w:eastAsia="宋体" w:cs="宋体"/>
                <w:kern w:val="0"/>
                <w:sz w:val="22"/>
              </w:rPr>
            </w:pPr>
            <w:r>
              <w:rPr>
                <w:rFonts w:hint="eastAsia" w:ascii="宋体" w:hAnsi="宋体" w:eastAsia="宋体" w:cs="宋体"/>
                <w:kern w:val="0"/>
                <w:sz w:val="22"/>
              </w:rPr>
              <w:t>　</w:t>
            </w:r>
          </w:p>
        </w:tc>
      </w:tr>
      <w:tr w14:paraId="63B6493A">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0CF48FB8">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4467C4E">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7FD5643D">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138392CB">
            <w:pPr>
              <w:widowControl/>
              <w:jc w:val="left"/>
              <w:rPr>
                <w:rFonts w:ascii="宋体" w:hAnsi="宋体" w:eastAsia="宋体" w:cs="宋体"/>
                <w:kern w:val="0"/>
                <w:sz w:val="20"/>
                <w:szCs w:val="20"/>
              </w:rPr>
            </w:pPr>
          </w:p>
        </w:tc>
        <w:tc>
          <w:tcPr>
            <w:tcW w:w="943" w:type="pct"/>
            <w:vMerge w:val="continue"/>
            <w:tcBorders>
              <w:top w:val="single" w:color="auto" w:sz="4" w:space="0"/>
              <w:left w:val="single" w:color="auto" w:sz="4" w:space="0"/>
              <w:bottom w:val="single" w:color="auto" w:sz="4" w:space="0"/>
              <w:right w:val="single" w:color="auto" w:sz="4" w:space="0"/>
            </w:tcBorders>
            <w:vAlign w:val="center"/>
          </w:tcPr>
          <w:p w14:paraId="013BA049">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3FB3D25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w:t>
            </w:r>
            <w:r>
              <w:rPr>
                <w:rFonts w:hint="eastAsia" w:ascii="宋体" w:hAnsi="宋体" w:eastAsia="宋体" w:cs="Times New Roman"/>
                <w:kern w:val="0"/>
                <w:sz w:val="20"/>
                <w:szCs w:val="20"/>
              </w:rPr>
              <w:t>服从馆方商品陈列调整。每发现一次扣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244BB48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FD0B81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D4C0BAC">
            <w:pPr>
              <w:widowControl/>
              <w:jc w:val="left"/>
              <w:rPr>
                <w:rFonts w:ascii="宋体" w:hAnsi="宋体" w:eastAsia="宋体" w:cs="宋体"/>
                <w:kern w:val="0"/>
                <w:sz w:val="22"/>
              </w:rPr>
            </w:pPr>
            <w:r>
              <w:rPr>
                <w:rFonts w:hint="eastAsia" w:ascii="宋体" w:hAnsi="宋体" w:eastAsia="宋体" w:cs="宋体"/>
                <w:kern w:val="0"/>
                <w:sz w:val="22"/>
              </w:rPr>
              <w:t>　</w:t>
            </w:r>
          </w:p>
        </w:tc>
      </w:tr>
      <w:tr w14:paraId="3CECBB80">
        <w:tblPrEx>
          <w:tblCellMar>
            <w:top w:w="0" w:type="dxa"/>
            <w:left w:w="108" w:type="dxa"/>
            <w:bottom w:w="0" w:type="dxa"/>
            <w:right w:w="108" w:type="dxa"/>
          </w:tblCellMar>
        </w:tblPrEx>
        <w:trPr>
          <w:trHeight w:val="270" w:hRule="atLeast"/>
        </w:trPr>
        <w:tc>
          <w:tcPr>
            <w:tcW w:w="238" w:type="pct"/>
            <w:vMerge w:val="restart"/>
            <w:tcBorders>
              <w:top w:val="nil"/>
              <w:left w:val="nil"/>
              <w:bottom w:val="nil"/>
              <w:right w:val="single" w:color="auto" w:sz="4" w:space="0"/>
            </w:tcBorders>
            <w:shd w:val="clear" w:color="000000" w:fill="FFFFFF"/>
            <w:vAlign w:val="center"/>
          </w:tcPr>
          <w:p w14:paraId="3154A197">
            <w:pPr>
              <w:widowControl/>
              <w:jc w:val="center"/>
              <w:rPr>
                <w:rFonts w:ascii="宋体" w:hAnsi="宋体" w:eastAsia="宋体" w:cs="宋体"/>
                <w:kern w:val="0"/>
                <w:sz w:val="22"/>
              </w:rPr>
            </w:pPr>
            <w:r>
              <w:rPr>
                <w:rFonts w:hint="eastAsia" w:ascii="宋体" w:hAnsi="宋体" w:eastAsia="宋体" w:cs="宋体"/>
                <w:kern w:val="0"/>
                <w:sz w:val="22"/>
              </w:rPr>
              <w:t>15</w:t>
            </w:r>
          </w:p>
        </w:tc>
        <w:tc>
          <w:tcPr>
            <w:tcW w:w="234" w:type="pct"/>
            <w:vMerge w:val="continue"/>
            <w:tcBorders>
              <w:top w:val="nil"/>
              <w:left w:val="single" w:color="auto" w:sz="4" w:space="0"/>
              <w:bottom w:val="single" w:color="000000" w:sz="4" w:space="0"/>
              <w:right w:val="single" w:color="auto" w:sz="4" w:space="0"/>
            </w:tcBorders>
            <w:vAlign w:val="center"/>
          </w:tcPr>
          <w:p w14:paraId="0EA17452">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55EF3B50">
            <w:pPr>
              <w:widowControl/>
              <w:jc w:val="left"/>
              <w:rPr>
                <w:rFonts w:ascii="宋体" w:hAnsi="宋体" w:eastAsia="宋体" w:cs="宋体"/>
                <w:kern w:val="0"/>
                <w:sz w:val="22"/>
              </w:rPr>
            </w:pPr>
          </w:p>
        </w:tc>
        <w:tc>
          <w:tcPr>
            <w:tcW w:w="397" w:type="pct"/>
            <w:vMerge w:val="restart"/>
            <w:tcBorders>
              <w:top w:val="nil"/>
              <w:left w:val="single" w:color="auto" w:sz="4" w:space="0"/>
              <w:bottom w:val="single" w:color="000000" w:sz="4" w:space="0"/>
              <w:right w:val="single" w:color="auto" w:sz="4" w:space="0"/>
            </w:tcBorders>
            <w:shd w:val="clear" w:color="000000" w:fill="FFFFFF"/>
            <w:vAlign w:val="center"/>
          </w:tcPr>
          <w:p w14:paraId="7E330967">
            <w:pPr>
              <w:widowControl/>
              <w:jc w:val="center"/>
              <w:rPr>
                <w:rFonts w:ascii="宋体" w:hAnsi="宋体" w:eastAsia="宋体" w:cs="宋体"/>
                <w:kern w:val="0"/>
                <w:sz w:val="20"/>
                <w:szCs w:val="20"/>
              </w:rPr>
            </w:pPr>
            <w:r>
              <w:rPr>
                <w:rFonts w:hint="eastAsia" w:ascii="宋体" w:hAnsi="宋体" w:eastAsia="宋体" w:cs="宋体"/>
                <w:kern w:val="0"/>
                <w:sz w:val="20"/>
                <w:szCs w:val="20"/>
              </w:rPr>
              <w:t>纪念品销售操作技能</w:t>
            </w:r>
          </w:p>
        </w:tc>
        <w:tc>
          <w:tcPr>
            <w:tcW w:w="943" w:type="pct"/>
            <w:vMerge w:val="restart"/>
            <w:tcBorders>
              <w:top w:val="nil"/>
              <w:left w:val="single" w:color="auto" w:sz="4" w:space="0"/>
              <w:bottom w:val="single" w:color="000000" w:sz="4" w:space="0"/>
              <w:right w:val="single" w:color="auto" w:sz="4" w:space="0"/>
            </w:tcBorders>
            <w:shd w:val="clear" w:color="000000" w:fill="FFFFFF"/>
            <w:vAlign w:val="center"/>
          </w:tcPr>
          <w:p w14:paraId="16924093">
            <w:pPr>
              <w:widowControl/>
              <w:jc w:val="center"/>
              <w:rPr>
                <w:rFonts w:ascii="宋体" w:hAnsi="宋体" w:eastAsia="宋体" w:cs="宋体"/>
                <w:kern w:val="0"/>
                <w:sz w:val="20"/>
                <w:szCs w:val="20"/>
              </w:rPr>
            </w:pPr>
            <w:r>
              <w:rPr>
                <w:rFonts w:hint="eastAsia" w:ascii="宋体" w:hAnsi="宋体" w:eastAsia="宋体" w:cs="宋体"/>
                <w:kern w:val="0"/>
                <w:sz w:val="20"/>
                <w:szCs w:val="20"/>
              </w:rPr>
              <w:t>能准确熟练操作收银设备，及时完成各项维护；售品时能准确快速依据观众需求严格按要求打印票据；准确识别假币；特殊票种按要求完成证件登记事宜；及时按要求完成结账总结等事宜，并做好第二日设备维护工作；对博物馆文创商品有较好的了解并能做观众介绍。</w:t>
            </w:r>
          </w:p>
        </w:tc>
        <w:tc>
          <w:tcPr>
            <w:tcW w:w="1713" w:type="pct"/>
            <w:tcBorders>
              <w:top w:val="nil"/>
              <w:left w:val="nil"/>
              <w:bottom w:val="single" w:color="auto" w:sz="4" w:space="0"/>
              <w:right w:val="single" w:color="auto" w:sz="4" w:space="0"/>
            </w:tcBorders>
            <w:shd w:val="clear" w:color="000000" w:fill="FFFFFF"/>
          </w:tcPr>
          <w:p w14:paraId="37C41AC3">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不能正确使用收银设备的，每发现一次扣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2751809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2957AE0">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D46726D">
            <w:pPr>
              <w:widowControl/>
              <w:jc w:val="left"/>
              <w:rPr>
                <w:rFonts w:ascii="宋体" w:hAnsi="宋体" w:eastAsia="宋体" w:cs="宋体"/>
                <w:kern w:val="0"/>
                <w:sz w:val="22"/>
              </w:rPr>
            </w:pPr>
            <w:r>
              <w:rPr>
                <w:rFonts w:hint="eastAsia" w:ascii="宋体" w:hAnsi="宋体" w:eastAsia="宋体" w:cs="宋体"/>
                <w:kern w:val="0"/>
                <w:sz w:val="22"/>
              </w:rPr>
              <w:t>　</w:t>
            </w:r>
          </w:p>
        </w:tc>
      </w:tr>
      <w:tr w14:paraId="684F3ED3">
        <w:tblPrEx>
          <w:tblCellMar>
            <w:top w:w="0" w:type="dxa"/>
            <w:left w:w="108" w:type="dxa"/>
            <w:bottom w:w="0" w:type="dxa"/>
            <w:right w:w="108" w:type="dxa"/>
          </w:tblCellMar>
        </w:tblPrEx>
        <w:trPr>
          <w:trHeight w:val="510" w:hRule="atLeast"/>
        </w:trPr>
        <w:tc>
          <w:tcPr>
            <w:tcW w:w="238" w:type="pct"/>
            <w:vMerge w:val="continue"/>
            <w:tcBorders>
              <w:top w:val="nil"/>
              <w:left w:val="nil"/>
              <w:bottom w:val="nil"/>
              <w:right w:val="single" w:color="auto" w:sz="4" w:space="0"/>
            </w:tcBorders>
            <w:vAlign w:val="center"/>
          </w:tcPr>
          <w:p w14:paraId="6AE061E0">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DEE1711">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756B4287">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18A3A30E">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372BCD0E">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49EDBAE7">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2.不能辨识假币，若交账后由财务发现，则每收取一张假币，扣1分，并按原价赔偿；若交账前发现，则由物业公司赔偿。</w:t>
            </w:r>
          </w:p>
        </w:tc>
        <w:tc>
          <w:tcPr>
            <w:tcW w:w="574" w:type="pct"/>
            <w:tcBorders>
              <w:top w:val="nil"/>
              <w:left w:val="nil"/>
              <w:bottom w:val="single" w:color="auto" w:sz="4" w:space="0"/>
              <w:right w:val="single" w:color="auto" w:sz="4" w:space="0"/>
            </w:tcBorders>
            <w:shd w:val="clear" w:color="000000" w:fill="FFFFFF"/>
            <w:noWrap/>
            <w:vAlign w:val="center"/>
          </w:tcPr>
          <w:p w14:paraId="733B710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793F6B7">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99B271D">
            <w:pPr>
              <w:widowControl/>
              <w:jc w:val="left"/>
              <w:rPr>
                <w:rFonts w:ascii="宋体" w:hAnsi="宋体" w:eastAsia="宋体" w:cs="宋体"/>
                <w:kern w:val="0"/>
                <w:sz w:val="22"/>
              </w:rPr>
            </w:pPr>
            <w:r>
              <w:rPr>
                <w:rFonts w:hint="eastAsia" w:ascii="宋体" w:hAnsi="宋体" w:eastAsia="宋体" w:cs="宋体"/>
                <w:kern w:val="0"/>
                <w:sz w:val="22"/>
              </w:rPr>
              <w:t>　</w:t>
            </w:r>
          </w:p>
        </w:tc>
      </w:tr>
      <w:tr w14:paraId="436FCECD">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69DCF94F">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30E26AF">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521F0A9C">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003BEBAA">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3C484906">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1908DA9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3.不按要求对非常规销售进行登记的，每遗漏一例扣1分。</w:t>
            </w:r>
          </w:p>
        </w:tc>
        <w:tc>
          <w:tcPr>
            <w:tcW w:w="574" w:type="pct"/>
            <w:tcBorders>
              <w:top w:val="nil"/>
              <w:left w:val="nil"/>
              <w:bottom w:val="single" w:color="auto" w:sz="4" w:space="0"/>
              <w:right w:val="single" w:color="auto" w:sz="4" w:space="0"/>
            </w:tcBorders>
            <w:shd w:val="clear" w:color="000000" w:fill="FFFFFF"/>
            <w:noWrap/>
            <w:vAlign w:val="center"/>
          </w:tcPr>
          <w:p w14:paraId="1F73B377">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03244E4">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814D844">
            <w:pPr>
              <w:widowControl/>
              <w:jc w:val="left"/>
              <w:rPr>
                <w:rFonts w:ascii="宋体" w:hAnsi="宋体" w:eastAsia="宋体" w:cs="宋体"/>
                <w:kern w:val="0"/>
                <w:sz w:val="22"/>
              </w:rPr>
            </w:pPr>
            <w:r>
              <w:rPr>
                <w:rFonts w:hint="eastAsia" w:ascii="宋体" w:hAnsi="宋体" w:eastAsia="宋体" w:cs="宋体"/>
                <w:kern w:val="0"/>
                <w:sz w:val="22"/>
              </w:rPr>
              <w:t>　</w:t>
            </w:r>
          </w:p>
        </w:tc>
      </w:tr>
      <w:tr w14:paraId="452EC608">
        <w:tblPrEx>
          <w:tblCellMar>
            <w:top w:w="0" w:type="dxa"/>
            <w:left w:w="108" w:type="dxa"/>
            <w:bottom w:w="0" w:type="dxa"/>
            <w:right w:w="108" w:type="dxa"/>
          </w:tblCellMar>
        </w:tblPrEx>
        <w:trPr>
          <w:trHeight w:val="510" w:hRule="atLeast"/>
        </w:trPr>
        <w:tc>
          <w:tcPr>
            <w:tcW w:w="238" w:type="pct"/>
            <w:vMerge w:val="continue"/>
            <w:tcBorders>
              <w:top w:val="nil"/>
              <w:left w:val="nil"/>
              <w:bottom w:val="nil"/>
              <w:right w:val="single" w:color="auto" w:sz="4" w:space="0"/>
            </w:tcBorders>
            <w:vAlign w:val="center"/>
          </w:tcPr>
          <w:p w14:paraId="22D79793">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04E94A8">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4C112F22">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2BBDF0CB">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2D4AE664">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6C06A77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w:t>
            </w:r>
            <w:r>
              <w:rPr>
                <w:rFonts w:hint="eastAsia" w:ascii="宋体" w:hAnsi="宋体" w:eastAsia="宋体" w:cs="Times New Roman"/>
                <w:kern w:val="0"/>
                <w:sz w:val="20"/>
                <w:szCs w:val="20"/>
              </w:rPr>
              <w:t>熟悉运用商店线上支付系统并确认顾客付款信息。若出现线上收款与记录不合，每发现一例扣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7E41A4AB">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719D9F2">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4E458B7">
            <w:pPr>
              <w:widowControl/>
              <w:jc w:val="left"/>
              <w:rPr>
                <w:rFonts w:ascii="宋体" w:hAnsi="宋体" w:eastAsia="宋体" w:cs="宋体"/>
                <w:kern w:val="0"/>
                <w:sz w:val="22"/>
              </w:rPr>
            </w:pPr>
            <w:r>
              <w:rPr>
                <w:rFonts w:hint="eastAsia" w:ascii="宋体" w:hAnsi="宋体" w:eastAsia="宋体" w:cs="宋体"/>
                <w:kern w:val="0"/>
                <w:sz w:val="22"/>
              </w:rPr>
              <w:t>　</w:t>
            </w:r>
          </w:p>
        </w:tc>
      </w:tr>
      <w:tr w14:paraId="31C1DDFA">
        <w:tblPrEx>
          <w:tblCellMar>
            <w:top w:w="0" w:type="dxa"/>
            <w:left w:w="108" w:type="dxa"/>
            <w:bottom w:w="0" w:type="dxa"/>
            <w:right w:w="108" w:type="dxa"/>
          </w:tblCellMar>
        </w:tblPrEx>
        <w:trPr>
          <w:trHeight w:val="495" w:hRule="atLeast"/>
        </w:trPr>
        <w:tc>
          <w:tcPr>
            <w:tcW w:w="238" w:type="pct"/>
            <w:vMerge w:val="continue"/>
            <w:tcBorders>
              <w:top w:val="nil"/>
              <w:left w:val="nil"/>
              <w:bottom w:val="nil"/>
              <w:right w:val="single" w:color="auto" w:sz="4" w:space="0"/>
            </w:tcBorders>
            <w:vAlign w:val="center"/>
          </w:tcPr>
          <w:p w14:paraId="7208A88E">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1EFBBC38">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5A18A5A2">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1742E7D2">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1E929963">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0BF03BBE">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w:t>
            </w:r>
            <w:r>
              <w:rPr>
                <w:rFonts w:hint="eastAsia" w:ascii="宋体" w:hAnsi="宋体" w:eastAsia="宋体" w:cs="Times New Roman"/>
                <w:kern w:val="0"/>
                <w:sz w:val="20"/>
                <w:szCs w:val="20"/>
              </w:rPr>
              <w:t>交账后，若出现账款与记录不合，每出现一例扣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分，并由物业公司补足差额。</w:t>
            </w:r>
          </w:p>
        </w:tc>
        <w:tc>
          <w:tcPr>
            <w:tcW w:w="574" w:type="pct"/>
            <w:tcBorders>
              <w:top w:val="nil"/>
              <w:left w:val="nil"/>
              <w:bottom w:val="single" w:color="auto" w:sz="4" w:space="0"/>
              <w:right w:val="single" w:color="auto" w:sz="4" w:space="0"/>
            </w:tcBorders>
            <w:shd w:val="clear" w:color="000000" w:fill="FFFFFF"/>
            <w:noWrap/>
            <w:vAlign w:val="center"/>
          </w:tcPr>
          <w:p w14:paraId="22D82572">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8B4A83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E363DC1">
            <w:pPr>
              <w:widowControl/>
              <w:jc w:val="left"/>
              <w:rPr>
                <w:rFonts w:ascii="宋体" w:hAnsi="宋体" w:eastAsia="宋体" w:cs="宋体"/>
                <w:kern w:val="0"/>
                <w:sz w:val="22"/>
              </w:rPr>
            </w:pPr>
            <w:r>
              <w:rPr>
                <w:rFonts w:hint="eastAsia" w:ascii="宋体" w:hAnsi="宋体" w:eastAsia="宋体" w:cs="宋体"/>
                <w:kern w:val="0"/>
                <w:sz w:val="22"/>
              </w:rPr>
              <w:t>　</w:t>
            </w:r>
          </w:p>
        </w:tc>
      </w:tr>
      <w:tr w14:paraId="219EE5CB">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7FA11169">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257A498A">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44A4F24F">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26337B93">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7BAC5906">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415282D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6.不能及时处理纪念品商店应急事宜的，每发现一例扣1分。</w:t>
            </w:r>
          </w:p>
        </w:tc>
        <w:tc>
          <w:tcPr>
            <w:tcW w:w="574" w:type="pct"/>
            <w:tcBorders>
              <w:top w:val="nil"/>
              <w:left w:val="nil"/>
              <w:bottom w:val="single" w:color="auto" w:sz="4" w:space="0"/>
              <w:right w:val="single" w:color="auto" w:sz="4" w:space="0"/>
            </w:tcBorders>
            <w:shd w:val="clear" w:color="000000" w:fill="FFFFFF"/>
            <w:noWrap/>
            <w:vAlign w:val="center"/>
          </w:tcPr>
          <w:p w14:paraId="07B1B037">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5103FF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5B9CEB1">
            <w:pPr>
              <w:widowControl/>
              <w:jc w:val="left"/>
              <w:rPr>
                <w:rFonts w:ascii="宋体" w:hAnsi="宋体" w:eastAsia="宋体" w:cs="宋体"/>
                <w:kern w:val="0"/>
                <w:sz w:val="22"/>
              </w:rPr>
            </w:pPr>
            <w:r>
              <w:rPr>
                <w:rFonts w:hint="eastAsia" w:ascii="宋体" w:hAnsi="宋体" w:eastAsia="宋体" w:cs="宋体"/>
                <w:kern w:val="0"/>
                <w:sz w:val="22"/>
              </w:rPr>
              <w:t>　</w:t>
            </w:r>
          </w:p>
        </w:tc>
      </w:tr>
      <w:tr w14:paraId="1B40ED7A">
        <w:tblPrEx>
          <w:tblCellMar>
            <w:top w:w="0" w:type="dxa"/>
            <w:left w:w="108" w:type="dxa"/>
            <w:bottom w:w="0" w:type="dxa"/>
            <w:right w:w="108" w:type="dxa"/>
          </w:tblCellMar>
        </w:tblPrEx>
        <w:trPr>
          <w:trHeight w:val="510" w:hRule="atLeast"/>
        </w:trPr>
        <w:tc>
          <w:tcPr>
            <w:tcW w:w="238" w:type="pct"/>
            <w:vMerge w:val="continue"/>
            <w:tcBorders>
              <w:top w:val="nil"/>
              <w:left w:val="nil"/>
              <w:bottom w:val="nil"/>
              <w:right w:val="single" w:color="auto" w:sz="4" w:space="0"/>
            </w:tcBorders>
            <w:vAlign w:val="center"/>
          </w:tcPr>
          <w:p w14:paraId="57CF8404">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691F2BC">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5A0ACDB5">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0AD7152C">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1FE28E03">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735C1DE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7.熟悉各类文创新品，做到顾客询问产品信息，可以应答如流。若发现无法回答顾客针对商品的提问，每出现一次扣1分。</w:t>
            </w:r>
          </w:p>
        </w:tc>
        <w:tc>
          <w:tcPr>
            <w:tcW w:w="574" w:type="pct"/>
            <w:tcBorders>
              <w:top w:val="nil"/>
              <w:left w:val="nil"/>
              <w:bottom w:val="single" w:color="auto" w:sz="4" w:space="0"/>
              <w:right w:val="single" w:color="auto" w:sz="4" w:space="0"/>
            </w:tcBorders>
            <w:shd w:val="clear" w:color="000000" w:fill="FFFFFF"/>
            <w:noWrap/>
            <w:vAlign w:val="center"/>
          </w:tcPr>
          <w:p w14:paraId="2F67A786">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C1AF533">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904C84E">
            <w:pPr>
              <w:widowControl/>
              <w:jc w:val="left"/>
              <w:rPr>
                <w:rFonts w:ascii="宋体" w:hAnsi="宋体" w:eastAsia="宋体" w:cs="宋体"/>
                <w:kern w:val="0"/>
                <w:sz w:val="22"/>
              </w:rPr>
            </w:pPr>
            <w:r>
              <w:rPr>
                <w:rFonts w:hint="eastAsia" w:ascii="宋体" w:hAnsi="宋体" w:eastAsia="宋体" w:cs="宋体"/>
                <w:kern w:val="0"/>
                <w:sz w:val="22"/>
              </w:rPr>
              <w:t>　</w:t>
            </w:r>
          </w:p>
        </w:tc>
      </w:tr>
      <w:tr w14:paraId="30CAAED6">
        <w:tblPrEx>
          <w:tblCellMar>
            <w:top w:w="0" w:type="dxa"/>
            <w:left w:w="108" w:type="dxa"/>
            <w:bottom w:w="0" w:type="dxa"/>
            <w:right w:w="108" w:type="dxa"/>
          </w:tblCellMar>
        </w:tblPrEx>
        <w:trPr>
          <w:trHeight w:val="570" w:hRule="atLeast"/>
        </w:trPr>
        <w:tc>
          <w:tcPr>
            <w:tcW w:w="238" w:type="pct"/>
            <w:vMerge w:val="restart"/>
            <w:tcBorders>
              <w:top w:val="nil"/>
              <w:left w:val="nil"/>
              <w:bottom w:val="nil"/>
              <w:right w:val="single" w:color="auto" w:sz="4" w:space="0"/>
            </w:tcBorders>
            <w:shd w:val="clear" w:color="000000" w:fill="FFFFFF"/>
            <w:vAlign w:val="center"/>
          </w:tcPr>
          <w:p w14:paraId="7EEAE557">
            <w:pPr>
              <w:widowControl/>
              <w:jc w:val="center"/>
              <w:rPr>
                <w:rFonts w:ascii="宋体" w:hAnsi="宋体" w:eastAsia="宋体" w:cs="宋体"/>
                <w:kern w:val="0"/>
                <w:sz w:val="22"/>
              </w:rPr>
            </w:pPr>
            <w:r>
              <w:rPr>
                <w:rFonts w:hint="eastAsia" w:ascii="宋体" w:hAnsi="宋体" w:eastAsia="宋体" w:cs="宋体"/>
                <w:kern w:val="0"/>
                <w:sz w:val="22"/>
              </w:rPr>
              <w:t>16</w:t>
            </w:r>
          </w:p>
        </w:tc>
        <w:tc>
          <w:tcPr>
            <w:tcW w:w="234" w:type="pct"/>
            <w:vMerge w:val="continue"/>
            <w:tcBorders>
              <w:top w:val="nil"/>
              <w:left w:val="single" w:color="auto" w:sz="4" w:space="0"/>
              <w:bottom w:val="single" w:color="000000" w:sz="4" w:space="0"/>
              <w:right w:val="single" w:color="auto" w:sz="4" w:space="0"/>
            </w:tcBorders>
            <w:vAlign w:val="center"/>
          </w:tcPr>
          <w:p w14:paraId="7900FDE5">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0CDBC676">
            <w:pPr>
              <w:widowControl/>
              <w:jc w:val="left"/>
              <w:rPr>
                <w:rFonts w:ascii="宋体" w:hAnsi="宋体" w:eastAsia="宋体" w:cs="宋体"/>
                <w:kern w:val="0"/>
                <w:sz w:val="22"/>
              </w:rPr>
            </w:pP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37523980">
            <w:pPr>
              <w:widowControl/>
              <w:jc w:val="center"/>
              <w:rPr>
                <w:rFonts w:ascii="宋体" w:hAnsi="宋体" w:eastAsia="宋体" w:cs="宋体"/>
                <w:kern w:val="0"/>
                <w:sz w:val="20"/>
                <w:szCs w:val="20"/>
              </w:rPr>
            </w:pPr>
            <w:r>
              <w:rPr>
                <w:rFonts w:hint="eastAsia" w:ascii="宋体" w:hAnsi="宋体" w:eastAsia="宋体" w:cs="宋体"/>
                <w:kern w:val="0"/>
                <w:sz w:val="20"/>
                <w:szCs w:val="20"/>
              </w:rPr>
              <w:t>闭馆准备工作</w:t>
            </w:r>
          </w:p>
        </w:tc>
        <w:tc>
          <w:tcPr>
            <w:tcW w:w="943" w:type="pct"/>
            <w:vMerge w:val="restart"/>
            <w:tcBorders>
              <w:top w:val="nil"/>
              <w:left w:val="single" w:color="auto" w:sz="4" w:space="0"/>
              <w:bottom w:val="nil"/>
              <w:right w:val="single" w:color="auto" w:sz="4" w:space="0"/>
            </w:tcBorders>
            <w:shd w:val="clear" w:color="000000" w:fill="FFFFFF"/>
            <w:vAlign w:val="center"/>
          </w:tcPr>
          <w:p w14:paraId="4E97A974">
            <w:pPr>
              <w:widowControl/>
              <w:jc w:val="center"/>
              <w:rPr>
                <w:rFonts w:ascii="宋体" w:hAnsi="宋体" w:eastAsia="宋体" w:cs="宋体"/>
                <w:kern w:val="0"/>
                <w:sz w:val="20"/>
                <w:szCs w:val="20"/>
              </w:rPr>
            </w:pPr>
            <w:r>
              <w:rPr>
                <w:rFonts w:hint="eastAsia" w:ascii="宋体" w:hAnsi="宋体" w:eastAsia="宋体" w:cs="宋体"/>
                <w:kern w:val="0"/>
                <w:sz w:val="20"/>
                <w:szCs w:val="20"/>
              </w:rPr>
              <w:t>闭馆前30分钟结束售票，闭馆前10分钟放提示音乐提醒观众离开博物馆，闭馆后各岗关闭所有设备、并做好所辖区域设备的清洁和检查工作，发现故障，及时保修；完成当天的工作日志或相关统计表并上交有关对口部门。</w:t>
            </w:r>
          </w:p>
        </w:tc>
        <w:tc>
          <w:tcPr>
            <w:tcW w:w="1713" w:type="pct"/>
            <w:tcBorders>
              <w:top w:val="nil"/>
              <w:left w:val="nil"/>
              <w:bottom w:val="single" w:color="auto" w:sz="4" w:space="0"/>
              <w:right w:val="single" w:color="auto" w:sz="4" w:space="0"/>
            </w:tcBorders>
            <w:shd w:val="clear" w:color="000000" w:fill="FFFFFF"/>
          </w:tcPr>
          <w:p w14:paraId="4F1274A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1.在无任何特殊情况下，擅自提前关闭售品窗口的，发现一次扣2分。</w:t>
            </w:r>
          </w:p>
        </w:tc>
        <w:tc>
          <w:tcPr>
            <w:tcW w:w="574" w:type="pct"/>
            <w:tcBorders>
              <w:top w:val="nil"/>
              <w:left w:val="nil"/>
              <w:bottom w:val="single" w:color="auto" w:sz="4" w:space="0"/>
              <w:right w:val="single" w:color="auto" w:sz="4" w:space="0"/>
            </w:tcBorders>
            <w:shd w:val="clear" w:color="000000" w:fill="FFFFFF"/>
            <w:noWrap/>
            <w:vAlign w:val="center"/>
          </w:tcPr>
          <w:p w14:paraId="1A3920F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1FB659E">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FAB5EDA">
            <w:pPr>
              <w:widowControl/>
              <w:jc w:val="left"/>
              <w:rPr>
                <w:rFonts w:ascii="宋体" w:hAnsi="宋体" w:eastAsia="宋体" w:cs="宋体"/>
                <w:kern w:val="0"/>
                <w:sz w:val="22"/>
              </w:rPr>
            </w:pPr>
            <w:r>
              <w:rPr>
                <w:rFonts w:hint="eastAsia" w:ascii="宋体" w:hAnsi="宋体" w:eastAsia="宋体" w:cs="宋体"/>
                <w:kern w:val="0"/>
                <w:sz w:val="22"/>
              </w:rPr>
              <w:t>　</w:t>
            </w:r>
          </w:p>
        </w:tc>
      </w:tr>
      <w:tr w14:paraId="409BDED8">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4689E9F0">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034262E9">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3283CAF2">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2CDACC05">
            <w:pPr>
              <w:widowControl/>
              <w:jc w:val="left"/>
              <w:rPr>
                <w:rFonts w:ascii="宋体" w:hAnsi="宋体" w:eastAsia="宋体" w:cs="宋体"/>
                <w:kern w:val="0"/>
                <w:sz w:val="20"/>
                <w:szCs w:val="20"/>
              </w:rPr>
            </w:pPr>
          </w:p>
        </w:tc>
        <w:tc>
          <w:tcPr>
            <w:tcW w:w="943" w:type="pct"/>
            <w:vMerge w:val="continue"/>
            <w:tcBorders>
              <w:top w:val="nil"/>
              <w:left w:val="single" w:color="auto" w:sz="4" w:space="0"/>
              <w:bottom w:val="nil"/>
              <w:right w:val="single" w:color="auto" w:sz="4" w:space="0"/>
            </w:tcBorders>
            <w:vAlign w:val="center"/>
          </w:tcPr>
          <w:p w14:paraId="53E4DD9C">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298AD96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2.按规定时间关闭相关通道和设备的，每出现一例扣1分。</w:t>
            </w:r>
          </w:p>
        </w:tc>
        <w:tc>
          <w:tcPr>
            <w:tcW w:w="574" w:type="pct"/>
            <w:tcBorders>
              <w:top w:val="nil"/>
              <w:left w:val="nil"/>
              <w:bottom w:val="single" w:color="auto" w:sz="4" w:space="0"/>
              <w:right w:val="single" w:color="auto" w:sz="4" w:space="0"/>
            </w:tcBorders>
            <w:shd w:val="clear" w:color="000000" w:fill="FFFFFF"/>
            <w:noWrap/>
            <w:vAlign w:val="center"/>
          </w:tcPr>
          <w:p w14:paraId="3DE0D98D">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398E42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8512D6E">
            <w:pPr>
              <w:widowControl/>
              <w:jc w:val="left"/>
              <w:rPr>
                <w:rFonts w:ascii="宋体" w:hAnsi="宋体" w:eastAsia="宋体" w:cs="宋体"/>
                <w:kern w:val="0"/>
                <w:sz w:val="22"/>
              </w:rPr>
            </w:pPr>
            <w:r>
              <w:rPr>
                <w:rFonts w:hint="eastAsia" w:ascii="宋体" w:hAnsi="宋体" w:eastAsia="宋体" w:cs="宋体"/>
                <w:kern w:val="0"/>
                <w:sz w:val="22"/>
              </w:rPr>
              <w:t>　</w:t>
            </w:r>
          </w:p>
        </w:tc>
      </w:tr>
      <w:tr w14:paraId="1987D333">
        <w:tblPrEx>
          <w:tblCellMar>
            <w:top w:w="0" w:type="dxa"/>
            <w:left w:w="108" w:type="dxa"/>
            <w:bottom w:w="0" w:type="dxa"/>
            <w:right w:w="108" w:type="dxa"/>
          </w:tblCellMar>
        </w:tblPrEx>
        <w:trPr>
          <w:trHeight w:val="285" w:hRule="atLeast"/>
        </w:trPr>
        <w:tc>
          <w:tcPr>
            <w:tcW w:w="238" w:type="pct"/>
            <w:vMerge w:val="continue"/>
            <w:tcBorders>
              <w:top w:val="nil"/>
              <w:left w:val="nil"/>
              <w:bottom w:val="nil"/>
              <w:right w:val="single" w:color="auto" w:sz="4" w:space="0"/>
            </w:tcBorders>
            <w:vAlign w:val="center"/>
          </w:tcPr>
          <w:p w14:paraId="22394A0A">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505D2E86">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39BFFB2C">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223420F2">
            <w:pPr>
              <w:widowControl/>
              <w:jc w:val="left"/>
              <w:rPr>
                <w:rFonts w:ascii="宋体" w:hAnsi="宋体" w:eastAsia="宋体" w:cs="宋体"/>
                <w:kern w:val="0"/>
                <w:sz w:val="20"/>
                <w:szCs w:val="20"/>
              </w:rPr>
            </w:pPr>
          </w:p>
        </w:tc>
        <w:tc>
          <w:tcPr>
            <w:tcW w:w="943" w:type="pct"/>
            <w:vMerge w:val="continue"/>
            <w:tcBorders>
              <w:top w:val="nil"/>
              <w:left w:val="single" w:color="auto" w:sz="4" w:space="0"/>
              <w:bottom w:val="nil"/>
              <w:right w:val="single" w:color="auto" w:sz="4" w:space="0"/>
            </w:tcBorders>
            <w:vAlign w:val="center"/>
          </w:tcPr>
          <w:p w14:paraId="5391E5C9">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704C63FF">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w:t>
            </w:r>
            <w:r>
              <w:rPr>
                <w:rFonts w:hint="eastAsia" w:ascii="宋体" w:hAnsi="宋体" w:eastAsia="宋体" w:cs="Times New Roman"/>
                <w:kern w:val="0"/>
                <w:sz w:val="20"/>
                <w:szCs w:val="20"/>
              </w:rPr>
              <w:t>岗位区域环境清洁和设备清洁，不符合要求的每发现一处扣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2ADB316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A27EFB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575552D">
            <w:pPr>
              <w:widowControl/>
              <w:jc w:val="left"/>
              <w:rPr>
                <w:rFonts w:ascii="宋体" w:hAnsi="宋体" w:eastAsia="宋体" w:cs="宋体"/>
                <w:kern w:val="0"/>
                <w:sz w:val="22"/>
              </w:rPr>
            </w:pPr>
            <w:r>
              <w:rPr>
                <w:rFonts w:hint="eastAsia" w:ascii="宋体" w:hAnsi="宋体" w:eastAsia="宋体" w:cs="宋体"/>
                <w:kern w:val="0"/>
                <w:sz w:val="22"/>
              </w:rPr>
              <w:t>　</w:t>
            </w:r>
          </w:p>
        </w:tc>
      </w:tr>
      <w:tr w14:paraId="47FEBE5C">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2448AD36">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1615BEB">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77B38799">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406ABC90">
            <w:pPr>
              <w:widowControl/>
              <w:jc w:val="left"/>
              <w:rPr>
                <w:rFonts w:ascii="宋体" w:hAnsi="宋体" w:eastAsia="宋体" w:cs="宋体"/>
                <w:kern w:val="0"/>
                <w:sz w:val="20"/>
                <w:szCs w:val="20"/>
              </w:rPr>
            </w:pPr>
          </w:p>
        </w:tc>
        <w:tc>
          <w:tcPr>
            <w:tcW w:w="943" w:type="pct"/>
            <w:vMerge w:val="continue"/>
            <w:tcBorders>
              <w:top w:val="nil"/>
              <w:left w:val="single" w:color="auto" w:sz="4" w:space="0"/>
              <w:bottom w:val="nil"/>
              <w:right w:val="single" w:color="auto" w:sz="4" w:space="0"/>
            </w:tcBorders>
            <w:vAlign w:val="center"/>
          </w:tcPr>
          <w:p w14:paraId="731C3CD6">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3D20617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w:t>
            </w:r>
            <w:r>
              <w:rPr>
                <w:rFonts w:hint="eastAsia" w:ascii="宋体" w:hAnsi="宋体" w:eastAsia="宋体" w:cs="Times New Roman"/>
                <w:kern w:val="0"/>
                <w:sz w:val="20"/>
                <w:szCs w:val="20"/>
              </w:rPr>
              <w:t>设备故障报修不及时，每次扣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3797F86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932FDE0">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2B19D46">
            <w:pPr>
              <w:widowControl/>
              <w:jc w:val="left"/>
              <w:rPr>
                <w:rFonts w:ascii="宋体" w:hAnsi="宋体" w:eastAsia="宋体" w:cs="宋体"/>
                <w:kern w:val="0"/>
                <w:sz w:val="22"/>
              </w:rPr>
            </w:pPr>
            <w:r>
              <w:rPr>
                <w:rFonts w:hint="eastAsia" w:ascii="宋体" w:hAnsi="宋体" w:eastAsia="宋体" w:cs="宋体"/>
                <w:kern w:val="0"/>
                <w:sz w:val="22"/>
              </w:rPr>
              <w:t>　</w:t>
            </w:r>
          </w:p>
        </w:tc>
      </w:tr>
      <w:tr w14:paraId="463AF080">
        <w:tblPrEx>
          <w:tblCellMar>
            <w:top w:w="0" w:type="dxa"/>
            <w:left w:w="108" w:type="dxa"/>
            <w:bottom w:w="0" w:type="dxa"/>
            <w:right w:w="108" w:type="dxa"/>
          </w:tblCellMar>
        </w:tblPrEx>
        <w:trPr>
          <w:trHeight w:val="375" w:hRule="atLeast"/>
        </w:trPr>
        <w:tc>
          <w:tcPr>
            <w:tcW w:w="238" w:type="pct"/>
            <w:vMerge w:val="continue"/>
            <w:tcBorders>
              <w:top w:val="nil"/>
              <w:left w:val="nil"/>
              <w:bottom w:val="nil"/>
              <w:right w:val="single" w:color="auto" w:sz="4" w:space="0"/>
            </w:tcBorders>
            <w:vAlign w:val="center"/>
          </w:tcPr>
          <w:p w14:paraId="052E0467">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3751BD9">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13CBAB5B">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53065169">
            <w:pPr>
              <w:widowControl/>
              <w:jc w:val="left"/>
              <w:rPr>
                <w:rFonts w:ascii="宋体" w:hAnsi="宋体" w:eastAsia="宋体" w:cs="宋体"/>
                <w:kern w:val="0"/>
                <w:sz w:val="20"/>
                <w:szCs w:val="20"/>
              </w:rPr>
            </w:pPr>
          </w:p>
        </w:tc>
        <w:tc>
          <w:tcPr>
            <w:tcW w:w="943" w:type="pct"/>
            <w:vMerge w:val="continue"/>
            <w:tcBorders>
              <w:top w:val="nil"/>
              <w:left w:val="single" w:color="auto" w:sz="4" w:space="0"/>
              <w:bottom w:val="nil"/>
              <w:right w:val="single" w:color="auto" w:sz="4" w:space="0"/>
            </w:tcBorders>
            <w:vAlign w:val="center"/>
          </w:tcPr>
          <w:p w14:paraId="42FE9036">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tcPr>
          <w:p w14:paraId="3885BA2B">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w:t>
            </w:r>
            <w:r>
              <w:rPr>
                <w:rFonts w:hint="eastAsia" w:ascii="宋体" w:hAnsi="宋体" w:eastAsia="宋体" w:cs="Times New Roman"/>
                <w:kern w:val="0"/>
                <w:sz w:val="20"/>
                <w:szCs w:val="20"/>
              </w:rPr>
              <w:t>各项记录不齐，记录不完整或出现错误，每项扣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4048A13F">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DAC9574">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44FFF58">
            <w:pPr>
              <w:widowControl/>
              <w:jc w:val="left"/>
              <w:rPr>
                <w:rFonts w:ascii="宋体" w:hAnsi="宋体" w:eastAsia="宋体" w:cs="宋体"/>
                <w:kern w:val="0"/>
                <w:sz w:val="22"/>
              </w:rPr>
            </w:pPr>
            <w:r>
              <w:rPr>
                <w:rFonts w:hint="eastAsia" w:ascii="宋体" w:hAnsi="宋体" w:eastAsia="宋体" w:cs="宋体"/>
                <w:kern w:val="0"/>
                <w:sz w:val="22"/>
              </w:rPr>
              <w:t>　</w:t>
            </w:r>
          </w:p>
        </w:tc>
      </w:tr>
      <w:tr w14:paraId="7D456C45">
        <w:tblPrEx>
          <w:tblCellMar>
            <w:top w:w="0" w:type="dxa"/>
            <w:left w:w="108" w:type="dxa"/>
            <w:bottom w:w="0" w:type="dxa"/>
            <w:right w:w="108" w:type="dxa"/>
          </w:tblCellMar>
        </w:tblPrEx>
        <w:trPr>
          <w:trHeight w:val="585" w:hRule="atLeast"/>
        </w:trPr>
        <w:tc>
          <w:tcPr>
            <w:tcW w:w="238" w:type="pct"/>
            <w:tcBorders>
              <w:top w:val="nil"/>
              <w:left w:val="nil"/>
              <w:bottom w:val="nil"/>
              <w:right w:val="nil"/>
            </w:tcBorders>
            <w:shd w:val="clear" w:color="000000" w:fill="FFFFFF"/>
            <w:vAlign w:val="center"/>
          </w:tcPr>
          <w:p w14:paraId="4A31CD41">
            <w:pPr>
              <w:widowControl/>
              <w:jc w:val="center"/>
              <w:rPr>
                <w:rFonts w:ascii="宋体" w:hAnsi="宋体" w:eastAsia="宋体" w:cs="宋体"/>
                <w:kern w:val="0"/>
                <w:sz w:val="22"/>
              </w:rPr>
            </w:pPr>
            <w:r>
              <w:rPr>
                <w:rFonts w:hint="eastAsia" w:ascii="宋体" w:hAnsi="宋体" w:eastAsia="宋体" w:cs="宋体"/>
                <w:kern w:val="0"/>
                <w:sz w:val="22"/>
              </w:rPr>
              <w:t>17</w:t>
            </w:r>
          </w:p>
        </w:tc>
        <w:tc>
          <w:tcPr>
            <w:tcW w:w="234" w:type="pct"/>
            <w:vMerge w:val="continue"/>
            <w:tcBorders>
              <w:top w:val="nil"/>
              <w:left w:val="single" w:color="auto" w:sz="4" w:space="0"/>
              <w:bottom w:val="single" w:color="000000" w:sz="4" w:space="0"/>
              <w:right w:val="single" w:color="auto" w:sz="4" w:space="0"/>
            </w:tcBorders>
            <w:vAlign w:val="center"/>
          </w:tcPr>
          <w:p w14:paraId="43A6FEF2">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17FC8999">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6CCA2DD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严重违规情况 </w:t>
            </w:r>
          </w:p>
        </w:tc>
        <w:tc>
          <w:tcPr>
            <w:tcW w:w="943" w:type="pct"/>
            <w:tcBorders>
              <w:top w:val="single" w:color="auto" w:sz="4" w:space="0"/>
              <w:left w:val="nil"/>
              <w:bottom w:val="single" w:color="auto" w:sz="4" w:space="0"/>
              <w:right w:val="single" w:color="auto" w:sz="4" w:space="0"/>
            </w:tcBorders>
            <w:shd w:val="clear" w:color="000000" w:fill="FFFFFF"/>
            <w:vAlign w:val="center"/>
          </w:tcPr>
          <w:p w14:paraId="445708A9">
            <w:pPr>
              <w:widowControl/>
              <w:jc w:val="center"/>
              <w:rPr>
                <w:rFonts w:ascii="宋体" w:hAnsi="宋体" w:eastAsia="宋体" w:cs="宋体"/>
                <w:kern w:val="0"/>
                <w:sz w:val="20"/>
                <w:szCs w:val="20"/>
              </w:rPr>
            </w:pPr>
            <w:r>
              <w:rPr>
                <w:rFonts w:hint="eastAsia" w:ascii="宋体" w:hAnsi="宋体" w:eastAsia="宋体" w:cs="宋体"/>
                <w:kern w:val="0"/>
                <w:sz w:val="20"/>
                <w:szCs w:val="20"/>
              </w:rPr>
              <w:t>无论何种原因、何种场合、何种矛盾都不允许与观众的冲突，确保游客有效投诉为0。</w:t>
            </w:r>
          </w:p>
        </w:tc>
        <w:tc>
          <w:tcPr>
            <w:tcW w:w="1713" w:type="pct"/>
            <w:tcBorders>
              <w:top w:val="nil"/>
              <w:left w:val="nil"/>
              <w:bottom w:val="single" w:color="auto" w:sz="4" w:space="0"/>
              <w:right w:val="single" w:color="auto" w:sz="4" w:space="0"/>
            </w:tcBorders>
            <w:shd w:val="clear" w:color="000000" w:fill="FFFFFF"/>
            <w:vAlign w:val="center"/>
          </w:tcPr>
          <w:p w14:paraId="2414893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发现任何与观众发生纠纷的，每查实一例，扣</w:t>
            </w:r>
            <w:r>
              <w:rPr>
                <w:rFonts w:ascii="Times New Roman" w:hAnsi="Times New Roman" w:eastAsia="宋体" w:cs="Times New Roman"/>
                <w:kern w:val="0"/>
                <w:sz w:val="20"/>
                <w:szCs w:val="20"/>
              </w:rPr>
              <w:t>10</w:t>
            </w:r>
            <w:r>
              <w:rPr>
                <w:rFonts w:hint="eastAsia" w:ascii="宋体" w:hAnsi="宋体" w:eastAsia="宋体" w:cs="Times New Roman"/>
                <w:kern w:val="0"/>
                <w:sz w:val="20"/>
                <w:szCs w:val="20"/>
              </w:rPr>
              <w:t>分。</w:t>
            </w:r>
            <w:r>
              <w:rPr>
                <w:rFonts w:ascii="Times New Roman" w:hAnsi="Times New Roman" w:eastAsia="宋体" w:cs="Times New Roman"/>
                <w:kern w:val="0"/>
                <w:sz w:val="20"/>
                <w:szCs w:val="20"/>
              </w:rPr>
              <w:t xml:space="preserve"> 2.</w:t>
            </w:r>
            <w:r>
              <w:rPr>
                <w:rFonts w:hint="eastAsia" w:ascii="宋体" w:hAnsi="宋体" w:eastAsia="宋体" w:cs="Times New Roman"/>
                <w:kern w:val="0"/>
                <w:sz w:val="20"/>
                <w:szCs w:val="20"/>
              </w:rPr>
              <w:t>发生游客投诉事件，经核查后定性为有效投诉的，每发生一起扣</w:t>
            </w:r>
            <w:r>
              <w:rPr>
                <w:rFonts w:ascii="Times New Roman" w:hAnsi="Times New Roman" w:eastAsia="宋体" w:cs="Times New Roman"/>
                <w:kern w:val="0"/>
                <w:sz w:val="20"/>
                <w:szCs w:val="20"/>
              </w:rPr>
              <w:t>10</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5E8309A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647095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4904682">
            <w:pPr>
              <w:widowControl/>
              <w:jc w:val="left"/>
              <w:rPr>
                <w:rFonts w:ascii="宋体" w:hAnsi="宋体" w:eastAsia="宋体" w:cs="宋体"/>
                <w:kern w:val="0"/>
                <w:sz w:val="22"/>
              </w:rPr>
            </w:pPr>
            <w:r>
              <w:rPr>
                <w:rFonts w:hint="eastAsia" w:ascii="宋体" w:hAnsi="宋体" w:eastAsia="宋体" w:cs="宋体"/>
                <w:kern w:val="0"/>
                <w:sz w:val="22"/>
              </w:rPr>
              <w:t>　</w:t>
            </w:r>
          </w:p>
        </w:tc>
      </w:tr>
      <w:tr w14:paraId="4F46CEF6">
        <w:tblPrEx>
          <w:tblCellMar>
            <w:top w:w="0" w:type="dxa"/>
            <w:left w:w="108" w:type="dxa"/>
            <w:bottom w:w="0" w:type="dxa"/>
            <w:right w:w="108" w:type="dxa"/>
          </w:tblCellMar>
        </w:tblPrEx>
        <w:trPr>
          <w:trHeight w:val="1275" w:hRule="atLeast"/>
        </w:trPr>
        <w:tc>
          <w:tcPr>
            <w:tcW w:w="238" w:type="pct"/>
            <w:tcBorders>
              <w:top w:val="nil"/>
              <w:left w:val="nil"/>
              <w:bottom w:val="nil"/>
              <w:right w:val="nil"/>
            </w:tcBorders>
            <w:shd w:val="clear" w:color="000000" w:fill="FFFFFF"/>
            <w:vAlign w:val="center"/>
          </w:tcPr>
          <w:p w14:paraId="0E041043">
            <w:pPr>
              <w:widowControl/>
              <w:jc w:val="center"/>
              <w:rPr>
                <w:rFonts w:ascii="宋体" w:hAnsi="宋体" w:eastAsia="宋体" w:cs="宋体"/>
                <w:kern w:val="0"/>
                <w:sz w:val="22"/>
              </w:rPr>
            </w:pPr>
            <w:r>
              <w:rPr>
                <w:rFonts w:hint="eastAsia" w:ascii="宋体" w:hAnsi="宋体" w:eastAsia="宋体" w:cs="宋体"/>
                <w:kern w:val="0"/>
                <w:sz w:val="22"/>
              </w:rPr>
              <w:t>18</w:t>
            </w:r>
          </w:p>
        </w:tc>
        <w:tc>
          <w:tcPr>
            <w:tcW w:w="234" w:type="pct"/>
            <w:vMerge w:val="continue"/>
            <w:tcBorders>
              <w:top w:val="nil"/>
              <w:left w:val="single" w:color="auto" w:sz="4" w:space="0"/>
              <w:bottom w:val="single" w:color="000000" w:sz="4" w:space="0"/>
              <w:right w:val="single" w:color="auto" w:sz="4" w:space="0"/>
            </w:tcBorders>
            <w:vAlign w:val="center"/>
          </w:tcPr>
          <w:p w14:paraId="456C9455">
            <w:pPr>
              <w:widowControl/>
              <w:jc w:val="left"/>
              <w:rPr>
                <w:rFonts w:ascii="宋体" w:hAnsi="宋体" w:eastAsia="宋体" w:cs="宋体"/>
                <w:b/>
                <w:bCs/>
                <w:kern w:val="0"/>
                <w:sz w:val="22"/>
              </w:rPr>
            </w:pPr>
          </w:p>
        </w:tc>
        <w:tc>
          <w:tcPr>
            <w:tcW w:w="275" w:type="pct"/>
            <w:vMerge w:val="continue"/>
            <w:tcBorders>
              <w:top w:val="single" w:color="auto" w:sz="4" w:space="0"/>
              <w:left w:val="single" w:color="auto" w:sz="4" w:space="0"/>
              <w:bottom w:val="single" w:color="000000" w:sz="4" w:space="0"/>
              <w:right w:val="single" w:color="auto" w:sz="4" w:space="0"/>
            </w:tcBorders>
            <w:vAlign w:val="center"/>
          </w:tcPr>
          <w:p w14:paraId="4775E449">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5C066900">
            <w:pPr>
              <w:widowControl/>
              <w:jc w:val="center"/>
              <w:rPr>
                <w:rFonts w:ascii="宋体" w:hAnsi="宋体" w:eastAsia="宋体" w:cs="宋体"/>
                <w:kern w:val="0"/>
                <w:sz w:val="22"/>
              </w:rPr>
            </w:pPr>
            <w:r>
              <w:rPr>
                <w:rFonts w:hint="eastAsia" w:ascii="宋体" w:hAnsi="宋体" w:eastAsia="宋体" w:cs="宋体"/>
                <w:kern w:val="0"/>
                <w:sz w:val="22"/>
              </w:rPr>
              <w:t>人员配置管理</w:t>
            </w:r>
          </w:p>
        </w:tc>
        <w:tc>
          <w:tcPr>
            <w:tcW w:w="943" w:type="pct"/>
            <w:tcBorders>
              <w:top w:val="nil"/>
              <w:left w:val="nil"/>
              <w:bottom w:val="single" w:color="auto" w:sz="4" w:space="0"/>
              <w:right w:val="single" w:color="auto" w:sz="4" w:space="0"/>
            </w:tcBorders>
            <w:shd w:val="clear" w:color="000000" w:fill="FFFFFF"/>
            <w:vAlign w:val="center"/>
          </w:tcPr>
          <w:p w14:paraId="1A7E2519">
            <w:pPr>
              <w:widowControl/>
              <w:jc w:val="left"/>
              <w:rPr>
                <w:rFonts w:ascii="宋体" w:hAnsi="宋体" w:eastAsia="宋体" w:cs="宋体"/>
                <w:kern w:val="0"/>
                <w:sz w:val="20"/>
                <w:szCs w:val="20"/>
              </w:rPr>
            </w:pPr>
            <w:r>
              <w:rPr>
                <w:rFonts w:hint="eastAsia" w:ascii="宋体" w:hAnsi="宋体" w:eastAsia="宋体" w:cs="宋体"/>
                <w:kern w:val="0"/>
                <w:sz w:val="20"/>
                <w:szCs w:val="20"/>
              </w:rPr>
              <w:t>物业公司按文创商店日常运营及客流情况合理安排班组人员，保障好文创商店日常运营及节假日等大客流的应对</w:t>
            </w:r>
          </w:p>
        </w:tc>
        <w:tc>
          <w:tcPr>
            <w:tcW w:w="1713" w:type="pct"/>
            <w:tcBorders>
              <w:top w:val="nil"/>
              <w:left w:val="nil"/>
              <w:bottom w:val="single" w:color="auto" w:sz="4" w:space="0"/>
              <w:right w:val="single" w:color="auto" w:sz="4" w:space="0"/>
            </w:tcBorders>
            <w:shd w:val="clear" w:color="000000" w:fill="FFFFFF"/>
            <w:vAlign w:val="center"/>
          </w:tcPr>
          <w:p w14:paraId="58711E23">
            <w:pPr>
              <w:widowControl/>
              <w:jc w:val="left"/>
              <w:rPr>
                <w:rFonts w:ascii="宋体" w:hAnsi="宋体" w:eastAsia="宋体" w:cs="宋体"/>
                <w:kern w:val="0"/>
                <w:sz w:val="20"/>
                <w:szCs w:val="20"/>
              </w:rPr>
            </w:pPr>
            <w:r>
              <w:rPr>
                <w:rFonts w:hint="eastAsia" w:ascii="宋体" w:hAnsi="宋体" w:eastAsia="宋体" w:cs="宋体"/>
                <w:kern w:val="0"/>
                <w:sz w:val="20"/>
                <w:szCs w:val="20"/>
              </w:rPr>
              <w:t>1.物业公司须确保商务班组在编人数，有离职者须在1个月内招齐，一个月未及时补充人员的，物业公司根据岗位要求做好商务班组人员保障，由于人员配置不齐影响文创商店正常运营，每发现一例扣1-10分</w:t>
            </w:r>
          </w:p>
        </w:tc>
        <w:tc>
          <w:tcPr>
            <w:tcW w:w="574" w:type="pct"/>
            <w:tcBorders>
              <w:top w:val="nil"/>
              <w:left w:val="nil"/>
              <w:bottom w:val="single" w:color="auto" w:sz="4" w:space="0"/>
              <w:right w:val="single" w:color="auto" w:sz="4" w:space="0"/>
            </w:tcBorders>
            <w:shd w:val="clear" w:color="000000" w:fill="FFFFFF"/>
            <w:vAlign w:val="center"/>
          </w:tcPr>
          <w:p w14:paraId="69D1DCE2">
            <w:pPr>
              <w:widowControl/>
              <w:jc w:val="center"/>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0F5FCE9">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89FF456">
            <w:pPr>
              <w:widowControl/>
              <w:jc w:val="left"/>
              <w:rPr>
                <w:rFonts w:ascii="宋体" w:hAnsi="宋体" w:eastAsia="宋体" w:cs="宋体"/>
                <w:kern w:val="0"/>
                <w:sz w:val="22"/>
              </w:rPr>
            </w:pPr>
            <w:r>
              <w:rPr>
                <w:rFonts w:hint="eastAsia" w:ascii="宋体" w:hAnsi="宋体" w:eastAsia="宋体" w:cs="宋体"/>
                <w:kern w:val="0"/>
                <w:sz w:val="22"/>
              </w:rPr>
              <w:t>　</w:t>
            </w:r>
          </w:p>
        </w:tc>
      </w:tr>
      <w:tr w14:paraId="4C1B409F">
        <w:tblPrEx>
          <w:tblCellMar>
            <w:top w:w="0" w:type="dxa"/>
            <w:left w:w="108" w:type="dxa"/>
            <w:bottom w:w="0" w:type="dxa"/>
            <w:right w:w="108" w:type="dxa"/>
          </w:tblCellMar>
        </w:tblPrEx>
        <w:trPr>
          <w:trHeight w:val="1275" w:hRule="atLeast"/>
        </w:trPr>
        <w:tc>
          <w:tcPr>
            <w:tcW w:w="238" w:type="pct"/>
            <w:vMerge w:val="restart"/>
            <w:tcBorders>
              <w:top w:val="nil"/>
              <w:left w:val="nil"/>
              <w:bottom w:val="nil"/>
              <w:right w:val="single" w:color="auto" w:sz="4" w:space="0"/>
            </w:tcBorders>
            <w:shd w:val="clear" w:color="000000" w:fill="FFFFFF"/>
            <w:vAlign w:val="center"/>
          </w:tcPr>
          <w:p w14:paraId="37E93043">
            <w:pPr>
              <w:widowControl/>
              <w:jc w:val="center"/>
              <w:rPr>
                <w:rFonts w:ascii="宋体" w:hAnsi="宋体" w:eastAsia="宋体" w:cs="宋体"/>
                <w:kern w:val="0"/>
                <w:sz w:val="22"/>
              </w:rPr>
            </w:pPr>
            <w:r>
              <w:rPr>
                <w:rFonts w:hint="eastAsia" w:ascii="宋体" w:hAnsi="宋体" w:eastAsia="宋体" w:cs="宋体"/>
                <w:kern w:val="0"/>
                <w:sz w:val="22"/>
              </w:rPr>
              <w:t>19</w:t>
            </w:r>
          </w:p>
        </w:tc>
        <w:tc>
          <w:tcPr>
            <w:tcW w:w="234" w:type="pct"/>
            <w:vMerge w:val="continue"/>
            <w:tcBorders>
              <w:top w:val="nil"/>
              <w:left w:val="single" w:color="auto" w:sz="4" w:space="0"/>
              <w:bottom w:val="single" w:color="000000" w:sz="4" w:space="0"/>
              <w:right w:val="single" w:color="auto" w:sz="4" w:space="0"/>
            </w:tcBorders>
            <w:vAlign w:val="center"/>
          </w:tcPr>
          <w:p w14:paraId="606EE210">
            <w:pPr>
              <w:widowControl/>
              <w:jc w:val="left"/>
              <w:rPr>
                <w:rFonts w:ascii="宋体" w:hAnsi="宋体" w:eastAsia="宋体" w:cs="宋体"/>
                <w:b/>
                <w:bCs/>
                <w:kern w:val="0"/>
                <w:sz w:val="22"/>
              </w:rPr>
            </w:pPr>
          </w:p>
        </w:tc>
        <w:tc>
          <w:tcPr>
            <w:tcW w:w="275" w:type="pct"/>
            <w:vMerge w:val="restart"/>
            <w:tcBorders>
              <w:top w:val="nil"/>
              <w:left w:val="single" w:color="auto" w:sz="4" w:space="0"/>
              <w:bottom w:val="single" w:color="000000" w:sz="4" w:space="0"/>
              <w:right w:val="single" w:color="auto" w:sz="4" w:space="0"/>
            </w:tcBorders>
            <w:shd w:val="clear" w:color="000000" w:fill="FFFFFF"/>
            <w:vAlign w:val="center"/>
          </w:tcPr>
          <w:p w14:paraId="70FFC733">
            <w:pPr>
              <w:widowControl/>
              <w:jc w:val="center"/>
              <w:rPr>
                <w:rFonts w:ascii="宋体" w:hAnsi="宋体" w:eastAsia="宋体" w:cs="宋体"/>
                <w:kern w:val="0"/>
                <w:sz w:val="22"/>
              </w:rPr>
            </w:pPr>
            <w:r>
              <w:rPr>
                <w:rFonts w:hint="eastAsia" w:ascii="宋体" w:hAnsi="宋体" w:eastAsia="宋体" w:cs="宋体"/>
                <w:kern w:val="0"/>
                <w:sz w:val="22"/>
              </w:rPr>
              <w:t>开放管理部咨询条线、售检票条线</w:t>
            </w:r>
          </w:p>
        </w:tc>
        <w:tc>
          <w:tcPr>
            <w:tcW w:w="397" w:type="pct"/>
            <w:vMerge w:val="restart"/>
            <w:tcBorders>
              <w:top w:val="nil"/>
              <w:left w:val="single" w:color="auto" w:sz="4" w:space="0"/>
              <w:bottom w:val="single" w:color="000000" w:sz="4" w:space="0"/>
              <w:right w:val="single" w:color="auto" w:sz="4" w:space="0"/>
            </w:tcBorders>
            <w:shd w:val="clear" w:color="000000" w:fill="FFFFFF"/>
            <w:vAlign w:val="center"/>
          </w:tcPr>
          <w:p w14:paraId="2DF41A16">
            <w:pPr>
              <w:widowControl/>
              <w:jc w:val="center"/>
              <w:rPr>
                <w:rFonts w:ascii="宋体" w:hAnsi="宋体" w:eastAsia="宋体" w:cs="宋体"/>
                <w:kern w:val="0"/>
                <w:sz w:val="20"/>
                <w:szCs w:val="20"/>
              </w:rPr>
            </w:pPr>
            <w:r>
              <w:rPr>
                <w:rFonts w:hint="eastAsia" w:ascii="宋体" w:hAnsi="宋体" w:eastAsia="宋体" w:cs="宋体"/>
                <w:kern w:val="0"/>
                <w:sz w:val="20"/>
                <w:szCs w:val="20"/>
              </w:rPr>
              <w:t>咨询服务、寄存、导览、售检票</w:t>
            </w:r>
          </w:p>
        </w:tc>
        <w:tc>
          <w:tcPr>
            <w:tcW w:w="943" w:type="pct"/>
            <w:vMerge w:val="restart"/>
            <w:tcBorders>
              <w:top w:val="nil"/>
              <w:left w:val="single" w:color="auto" w:sz="4" w:space="0"/>
              <w:bottom w:val="single" w:color="000000" w:sz="4" w:space="0"/>
              <w:right w:val="single" w:color="auto" w:sz="4" w:space="0"/>
            </w:tcBorders>
            <w:shd w:val="clear" w:color="000000" w:fill="FFFFFF"/>
            <w:vAlign w:val="center"/>
          </w:tcPr>
          <w:p w14:paraId="0CC2CE83">
            <w:pPr>
              <w:widowControl/>
              <w:jc w:val="center"/>
              <w:rPr>
                <w:rFonts w:ascii="宋体" w:hAnsi="宋体" w:eastAsia="宋体" w:cs="宋体"/>
                <w:kern w:val="0"/>
                <w:sz w:val="20"/>
                <w:szCs w:val="20"/>
              </w:rPr>
            </w:pPr>
            <w:r>
              <w:rPr>
                <w:rFonts w:hint="eastAsia" w:ascii="宋体" w:hAnsi="宋体" w:eastAsia="宋体" w:cs="宋体"/>
                <w:kern w:val="0"/>
                <w:sz w:val="20"/>
                <w:szCs w:val="20"/>
              </w:rPr>
              <w:t>面对观众咨询做到仔细、耐心、亲切；语言规范，能迅速、正确地解答观众的提问，解决观众困难，能迅速反映和处置突发事件，不与观众起冲突.能协助检票对观众进行正确性的方向指引和疏导，寄存物品时能用规范的语言作相关提示，并态度亲切、操作规范。</w:t>
            </w:r>
          </w:p>
        </w:tc>
        <w:tc>
          <w:tcPr>
            <w:tcW w:w="1713" w:type="pct"/>
            <w:tcBorders>
              <w:top w:val="nil"/>
              <w:left w:val="nil"/>
              <w:bottom w:val="single" w:color="auto" w:sz="4" w:space="0"/>
              <w:right w:val="single" w:color="auto" w:sz="4" w:space="0"/>
            </w:tcBorders>
            <w:shd w:val="clear" w:color="000000" w:fill="FFFFFF"/>
            <w:vAlign w:val="center"/>
          </w:tcPr>
          <w:p w14:paraId="15BBD2F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1.不能及时正确回答观众提出的问题，并且也没有通过其他渠道进行事后回复的，每出现一例扣2分。</w:t>
            </w:r>
          </w:p>
        </w:tc>
        <w:tc>
          <w:tcPr>
            <w:tcW w:w="574" w:type="pct"/>
            <w:tcBorders>
              <w:top w:val="nil"/>
              <w:left w:val="nil"/>
              <w:bottom w:val="single" w:color="auto" w:sz="4" w:space="0"/>
              <w:right w:val="single" w:color="auto" w:sz="4" w:space="0"/>
            </w:tcBorders>
            <w:shd w:val="clear" w:color="000000" w:fill="FFFFFF"/>
            <w:vAlign w:val="center"/>
          </w:tcPr>
          <w:p w14:paraId="16764B4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F17F86F">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4F8C8FE">
            <w:pPr>
              <w:widowControl/>
              <w:jc w:val="left"/>
              <w:rPr>
                <w:rFonts w:ascii="宋体" w:hAnsi="宋体" w:eastAsia="宋体" w:cs="宋体"/>
                <w:kern w:val="0"/>
                <w:sz w:val="22"/>
              </w:rPr>
            </w:pPr>
            <w:r>
              <w:rPr>
                <w:rFonts w:hint="eastAsia" w:ascii="宋体" w:hAnsi="宋体" w:eastAsia="宋体" w:cs="宋体"/>
                <w:kern w:val="0"/>
                <w:sz w:val="22"/>
              </w:rPr>
              <w:t>　</w:t>
            </w:r>
          </w:p>
        </w:tc>
      </w:tr>
      <w:tr w14:paraId="64A0AB23">
        <w:tblPrEx>
          <w:tblCellMar>
            <w:top w:w="0" w:type="dxa"/>
            <w:left w:w="108" w:type="dxa"/>
            <w:bottom w:w="0" w:type="dxa"/>
            <w:right w:w="108" w:type="dxa"/>
          </w:tblCellMar>
        </w:tblPrEx>
        <w:trPr>
          <w:trHeight w:val="510" w:hRule="atLeast"/>
        </w:trPr>
        <w:tc>
          <w:tcPr>
            <w:tcW w:w="238" w:type="pct"/>
            <w:vMerge w:val="continue"/>
            <w:tcBorders>
              <w:top w:val="nil"/>
              <w:left w:val="nil"/>
              <w:bottom w:val="nil"/>
              <w:right w:val="single" w:color="auto" w:sz="4" w:space="0"/>
            </w:tcBorders>
            <w:vAlign w:val="center"/>
          </w:tcPr>
          <w:p w14:paraId="55FA7ACE">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074541DC">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6FD2F142">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003DFAFF">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09D1CB17">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7F08F26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2.面对大客流没有进行场内和场外有效疏导，造成场面混乱和失控。每出现一次扣5分。</w:t>
            </w:r>
          </w:p>
        </w:tc>
        <w:tc>
          <w:tcPr>
            <w:tcW w:w="574" w:type="pct"/>
            <w:tcBorders>
              <w:top w:val="nil"/>
              <w:left w:val="nil"/>
              <w:bottom w:val="single" w:color="auto" w:sz="4" w:space="0"/>
              <w:right w:val="single" w:color="auto" w:sz="4" w:space="0"/>
            </w:tcBorders>
            <w:shd w:val="clear" w:color="000000" w:fill="FFFFFF"/>
            <w:noWrap/>
            <w:vAlign w:val="center"/>
          </w:tcPr>
          <w:p w14:paraId="2FEA705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02E310F">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EB497FF">
            <w:pPr>
              <w:widowControl/>
              <w:jc w:val="left"/>
              <w:rPr>
                <w:rFonts w:ascii="宋体" w:hAnsi="宋体" w:eastAsia="宋体" w:cs="宋体"/>
                <w:kern w:val="0"/>
                <w:sz w:val="22"/>
              </w:rPr>
            </w:pPr>
            <w:r>
              <w:rPr>
                <w:rFonts w:hint="eastAsia" w:ascii="宋体" w:hAnsi="宋体" w:eastAsia="宋体" w:cs="宋体"/>
                <w:kern w:val="0"/>
                <w:sz w:val="22"/>
              </w:rPr>
              <w:t>　</w:t>
            </w:r>
          </w:p>
        </w:tc>
      </w:tr>
      <w:tr w14:paraId="3B4D5AE5">
        <w:tblPrEx>
          <w:tblCellMar>
            <w:top w:w="0" w:type="dxa"/>
            <w:left w:w="108" w:type="dxa"/>
            <w:bottom w:w="0" w:type="dxa"/>
            <w:right w:w="108" w:type="dxa"/>
          </w:tblCellMar>
        </w:tblPrEx>
        <w:trPr>
          <w:trHeight w:val="510" w:hRule="atLeast"/>
        </w:trPr>
        <w:tc>
          <w:tcPr>
            <w:tcW w:w="238" w:type="pct"/>
            <w:vMerge w:val="continue"/>
            <w:tcBorders>
              <w:top w:val="nil"/>
              <w:left w:val="nil"/>
              <w:bottom w:val="nil"/>
              <w:right w:val="single" w:color="auto" w:sz="4" w:space="0"/>
            </w:tcBorders>
            <w:vAlign w:val="center"/>
          </w:tcPr>
          <w:p w14:paraId="4CB223B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64C457A">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331CF41D">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46BC51EB">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1F1D4640">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27EA19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3. </w:t>
            </w:r>
            <w:r>
              <w:rPr>
                <w:rFonts w:hint="eastAsia" w:ascii="宋体" w:hAnsi="宋体" w:eastAsia="宋体" w:cs="Times New Roman"/>
                <w:kern w:val="0"/>
                <w:sz w:val="20"/>
                <w:szCs w:val="20"/>
              </w:rPr>
              <w:t>投诉处理接报人应第一时间按照投诉处置流程，认真、规范开展各项程序，未按要求执行的每发现一例扣</w:t>
            </w:r>
            <w:r>
              <w:rPr>
                <w:rFonts w:ascii="Times New Roman" w:hAnsi="Times New Roman" w:eastAsia="宋体" w:cs="Times New Roman"/>
                <w:kern w:val="0"/>
                <w:sz w:val="20"/>
                <w:szCs w:val="20"/>
              </w:rPr>
              <w:t>2</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2A7BE0E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481AFC7">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1E5617F">
            <w:pPr>
              <w:widowControl/>
              <w:jc w:val="left"/>
              <w:rPr>
                <w:rFonts w:ascii="宋体" w:hAnsi="宋体" w:eastAsia="宋体" w:cs="宋体"/>
                <w:kern w:val="0"/>
                <w:sz w:val="22"/>
              </w:rPr>
            </w:pPr>
            <w:r>
              <w:rPr>
                <w:rFonts w:hint="eastAsia" w:ascii="宋体" w:hAnsi="宋体" w:eastAsia="宋体" w:cs="宋体"/>
                <w:kern w:val="0"/>
                <w:sz w:val="22"/>
              </w:rPr>
              <w:t>　</w:t>
            </w:r>
          </w:p>
        </w:tc>
      </w:tr>
      <w:tr w14:paraId="720C8A4D">
        <w:tblPrEx>
          <w:tblCellMar>
            <w:top w:w="0" w:type="dxa"/>
            <w:left w:w="108" w:type="dxa"/>
            <w:bottom w:w="0" w:type="dxa"/>
            <w:right w:w="108" w:type="dxa"/>
          </w:tblCellMar>
        </w:tblPrEx>
        <w:trPr>
          <w:trHeight w:val="510" w:hRule="atLeast"/>
        </w:trPr>
        <w:tc>
          <w:tcPr>
            <w:tcW w:w="238" w:type="pct"/>
            <w:vMerge w:val="continue"/>
            <w:tcBorders>
              <w:top w:val="nil"/>
              <w:left w:val="nil"/>
              <w:bottom w:val="nil"/>
              <w:right w:val="single" w:color="auto" w:sz="4" w:space="0"/>
            </w:tcBorders>
            <w:vAlign w:val="center"/>
          </w:tcPr>
          <w:p w14:paraId="11E9CAC8">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5CC2E90">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44069E2B">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268A579D">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174265D0">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579A4BC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4.未对观众所寄存的物件进行有效提示和妥善保管而造成物品遗失或损坏的发现一次扣5分，并承担相应的赔偿责任。</w:t>
            </w:r>
          </w:p>
        </w:tc>
        <w:tc>
          <w:tcPr>
            <w:tcW w:w="574" w:type="pct"/>
            <w:tcBorders>
              <w:top w:val="nil"/>
              <w:left w:val="nil"/>
              <w:bottom w:val="single" w:color="auto" w:sz="4" w:space="0"/>
              <w:right w:val="single" w:color="auto" w:sz="4" w:space="0"/>
            </w:tcBorders>
            <w:shd w:val="clear" w:color="000000" w:fill="FFFFFF"/>
            <w:noWrap/>
            <w:vAlign w:val="center"/>
          </w:tcPr>
          <w:p w14:paraId="190BDE0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F2463AF">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67C5C96">
            <w:pPr>
              <w:widowControl/>
              <w:jc w:val="left"/>
              <w:rPr>
                <w:rFonts w:ascii="宋体" w:hAnsi="宋体" w:eastAsia="宋体" w:cs="宋体"/>
                <w:kern w:val="0"/>
                <w:sz w:val="22"/>
              </w:rPr>
            </w:pPr>
            <w:r>
              <w:rPr>
                <w:rFonts w:hint="eastAsia" w:ascii="宋体" w:hAnsi="宋体" w:eastAsia="宋体" w:cs="宋体"/>
                <w:kern w:val="0"/>
                <w:sz w:val="22"/>
              </w:rPr>
              <w:t>　</w:t>
            </w:r>
          </w:p>
        </w:tc>
      </w:tr>
      <w:tr w14:paraId="02B2B3BA">
        <w:tblPrEx>
          <w:tblCellMar>
            <w:top w:w="0" w:type="dxa"/>
            <w:left w:w="108" w:type="dxa"/>
            <w:bottom w:w="0" w:type="dxa"/>
            <w:right w:w="108" w:type="dxa"/>
          </w:tblCellMar>
        </w:tblPrEx>
        <w:trPr>
          <w:trHeight w:val="510" w:hRule="atLeast"/>
        </w:trPr>
        <w:tc>
          <w:tcPr>
            <w:tcW w:w="238" w:type="pct"/>
            <w:vMerge w:val="continue"/>
            <w:tcBorders>
              <w:top w:val="nil"/>
              <w:left w:val="nil"/>
              <w:bottom w:val="nil"/>
              <w:right w:val="single" w:color="auto" w:sz="4" w:space="0"/>
            </w:tcBorders>
            <w:vAlign w:val="center"/>
          </w:tcPr>
          <w:p w14:paraId="5BC99FB4">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70430FF8">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2B48A87D">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000175D1">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5EFCF37B">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5146B21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5.寄存物品时因操作不当而造成寄存物品损坏的，发现一次扣5分，并承担相应的赔偿责任。</w:t>
            </w:r>
          </w:p>
        </w:tc>
        <w:tc>
          <w:tcPr>
            <w:tcW w:w="574" w:type="pct"/>
            <w:tcBorders>
              <w:top w:val="nil"/>
              <w:left w:val="nil"/>
              <w:bottom w:val="single" w:color="auto" w:sz="4" w:space="0"/>
              <w:right w:val="single" w:color="auto" w:sz="4" w:space="0"/>
            </w:tcBorders>
            <w:shd w:val="clear" w:color="000000" w:fill="FFFFFF"/>
            <w:noWrap/>
            <w:vAlign w:val="center"/>
          </w:tcPr>
          <w:p w14:paraId="675F885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ABED403">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A69D397">
            <w:pPr>
              <w:widowControl/>
              <w:jc w:val="left"/>
              <w:rPr>
                <w:rFonts w:ascii="宋体" w:hAnsi="宋体" w:eastAsia="宋体" w:cs="宋体"/>
                <w:kern w:val="0"/>
                <w:sz w:val="22"/>
              </w:rPr>
            </w:pPr>
            <w:r>
              <w:rPr>
                <w:rFonts w:hint="eastAsia" w:ascii="宋体" w:hAnsi="宋体" w:eastAsia="宋体" w:cs="宋体"/>
                <w:kern w:val="0"/>
                <w:sz w:val="22"/>
              </w:rPr>
              <w:t>　</w:t>
            </w:r>
          </w:p>
        </w:tc>
      </w:tr>
      <w:tr w14:paraId="362F91D3">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7FCBC365">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586BB44C">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6D3621AA">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268C4F5F">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13DE82B2">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585CC93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6.相关记录不完整的，发现一次扣2分。</w:t>
            </w:r>
          </w:p>
        </w:tc>
        <w:tc>
          <w:tcPr>
            <w:tcW w:w="574" w:type="pct"/>
            <w:tcBorders>
              <w:top w:val="nil"/>
              <w:left w:val="nil"/>
              <w:bottom w:val="single" w:color="auto" w:sz="4" w:space="0"/>
              <w:right w:val="single" w:color="auto" w:sz="4" w:space="0"/>
            </w:tcBorders>
            <w:shd w:val="clear" w:color="000000" w:fill="FFFFFF"/>
            <w:noWrap/>
            <w:vAlign w:val="center"/>
          </w:tcPr>
          <w:p w14:paraId="1E3A34E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CB7839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EE7D779">
            <w:pPr>
              <w:widowControl/>
              <w:jc w:val="left"/>
              <w:rPr>
                <w:rFonts w:ascii="宋体" w:hAnsi="宋体" w:eastAsia="宋体" w:cs="宋体"/>
                <w:kern w:val="0"/>
                <w:sz w:val="22"/>
              </w:rPr>
            </w:pPr>
            <w:r>
              <w:rPr>
                <w:rFonts w:hint="eastAsia" w:ascii="宋体" w:hAnsi="宋体" w:eastAsia="宋体" w:cs="宋体"/>
                <w:kern w:val="0"/>
                <w:sz w:val="22"/>
              </w:rPr>
              <w:t>　</w:t>
            </w:r>
          </w:p>
        </w:tc>
      </w:tr>
      <w:tr w14:paraId="0ED6A1B3">
        <w:tblPrEx>
          <w:tblCellMar>
            <w:top w:w="0" w:type="dxa"/>
            <w:left w:w="108" w:type="dxa"/>
            <w:bottom w:w="0" w:type="dxa"/>
            <w:right w:w="108" w:type="dxa"/>
          </w:tblCellMar>
        </w:tblPrEx>
        <w:trPr>
          <w:trHeight w:val="570" w:hRule="atLeast"/>
        </w:trPr>
        <w:tc>
          <w:tcPr>
            <w:tcW w:w="238" w:type="pct"/>
            <w:vMerge w:val="restart"/>
            <w:tcBorders>
              <w:top w:val="nil"/>
              <w:left w:val="nil"/>
              <w:bottom w:val="nil"/>
              <w:right w:val="single" w:color="auto" w:sz="4" w:space="0"/>
            </w:tcBorders>
            <w:shd w:val="clear" w:color="000000" w:fill="FFFFFF"/>
            <w:vAlign w:val="center"/>
          </w:tcPr>
          <w:p w14:paraId="630E034A">
            <w:pPr>
              <w:widowControl/>
              <w:jc w:val="center"/>
              <w:rPr>
                <w:rFonts w:ascii="宋体" w:hAnsi="宋体" w:eastAsia="宋体" w:cs="宋体"/>
                <w:kern w:val="0"/>
                <w:sz w:val="22"/>
              </w:rPr>
            </w:pPr>
            <w:r>
              <w:rPr>
                <w:rFonts w:hint="eastAsia" w:ascii="宋体" w:hAnsi="宋体" w:eastAsia="宋体" w:cs="宋体"/>
                <w:kern w:val="0"/>
                <w:sz w:val="22"/>
              </w:rPr>
              <w:t>20</w:t>
            </w:r>
          </w:p>
        </w:tc>
        <w:tc>
          <w:tcPr>
            <w:tcW w:w="234" w:type="pct"/>
            <w:vMerge w:val="continue"/>
            <w:tcBorders>
              <w:top w:val="nil"/>
              <w:left w:val="single" w:color="auto" w:sz="4" w:space="0"/>
              <w:bottom w:val="single" w:color="000000" w:sz="4" w:space="0"/>
              <w:right w:val="single" w:color="auto" w:sz="4" w:space="0"/>
            </w:tcBorders>
            <w:vAlign w:val="center"/>
          </w:tcPr>
          <w:p w14:paraId="027382A1">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470B3864">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722F0551">
            <w:pPr>
              <w:widowControl/>
              <w:jc w:val="left"/>
              <w:rPr>
                <w:rFonts w:ascii="宋体" w:hAnsi="宋体" w:eastAsia="宋体" w:cs="宋体"/>
                <w:kern w:val="0"/>
                <w:sz w:val="20"/>
                <w:szCs w:val="20"/>
              </w:rPr>
            </w:pPr>
          </w:p>
        </w:tc>
        <w:tc>
          <w:tcPr>
            <w:tcW w:w="943" w:type="pct"/>
            <w:vMerge w:val="restart"/>
            <w:tcBorders>
              <w:top w:val="nil"/>
              <w:left w:val="single" w:color="auto" w:sz="4" w:space="0"/>
              <w:bottom w:val="single" w:color="000000" w:sz="4" w:space="0"/>
              <w:right w:val="single" w:color="auto" w:sz="4" w:space="0"/>
            </w:tcBorders>
            <w:shd w:val="clear" w:color="000000" w:fill="FFFFFF"/>
            <w:vAlign w:val="center"/>
          </w:tcPr>
          <w:p w14:paraId="6607CDED">
            <w:pPr>
              <w:widowControl/>
              <w:jc w:val="center"/>
              <w:rPr>
                <w:rFonts w:ascii="宋体" w:hAnsi="宋体" w:eastAsia="宋体" w:cs="宋体"/>
                <w:kern w:val="0"/>
                <w:sz w:val="20"/>
                <w:szCs w:val="20"/>
              </w:rPr>
            </w:pPr>
            <w:r>
              <w:rPr>
                <w:rFonts w:hint="eastAsia" w:ascii="宋体" w:hAnsi="宋体" w:eastAsia="宋体" w:cs="宋体"/>
                <w:kern w:val="0"/>
                <w:sz w:val="20"/>
                <w:szCs w:val="20"/>
              </w:rPr>
              <w:t>检票时能快速识别票或卡与持有人及其相关证件的是否一致性、有效性；留印操作前主动向游客说明印记的有关注意事项；能正确而熟练地操作验印机，严格遵守“凭印进入”的原则；接待团体时认真做好说明工作，并快速取得领队的配合；团队入场时，能快速分类计数，分类记录确认单的人数请领队确认签名；熟练团体票的退票操作；各岗做好15:00后检票入场游客的闭馆时间的提示工作；不得借工作之便违规带他人入馆。</w:t>
            </w:r>
          </w:p>
        </w:tc>
        <w:tc>
          <w:tcPr>
            <w:tcW w:w="1713" w:type="pct"/>
            <w:tcBorders>
              <w:top w:val="nil"/>
              <w:left w:val="nil"/>
              <w:bottom w:val="single" w:color="auto" w:sz="4" w:space="0"/>
              <w:right w:val="single" w:color="auto" w:sz="4" w:space="0"/>
            </w:tcBorders>
            <w:shd w:val="clear" w:color="000000" w:fill="FFFFFF"/>
            <w:vAlign w:val="center"/>
          </w:tcPr>
          <w:p w14:paraId="6C904008">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1.不能迅速识别票、卡与持有人及证件的一致性、有效性的，每出现一例扣2分。</w:t>
            </w:r>
          </w:p>
        </w:tc>
        <w:tc>
          <w:tcPr>
            <w:tcW w:w="574" w:type="pct"/>
            <w:tcBorders>
              <w:top w:val="nil"/>
              <w:left w:val="nil"/>
              <w:bottom w:val="single" w:color="auto" w:sz="4" w:space="0"/>
              <w:right w:val="single" w:color="auto" w:sz="4" w:space="0"/>
            </w:tcBorders>
            <w:shd w:val="clear" w:color="000000" w:fill="FFFFFF"/>
            <w:noWrap/>
            <w:vAlign w:val="center"/>
          </w:tcPr>
          <w:p w14:paraId="187DAE1D">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3F91AB6">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C3CC4C4">
            <w:pPr>
              <w:widowControl/>
              <w:jc w:val="left"/>
              <w:rPr>
                <w:rFonts w:ascii="宋体" w:hAnsi="宋体" w:eastAsia="宋体" w:cs="宋体"/>
                <w:kern w:val="0"/>
                <w:sz w:val="22"/>
              </w:rPr>
            </w:pPr>
            <w:r>
              <w:rPr>
                <w:rFonts w:hint="eastAsia" w:ascii="宋体" w:hAnsi="宋体" w:eastAsia="宋体" w:cs="宋体"/>
                <w:kern w:val="0"/>
                <w:sz w:val="22"/>
              </w:rPr>
              <w:t>　</w:t>
            </w:r>
          </w:p>
        </w:tc>
      </w:tr>
      <w:tr w14:paraId="5544CDB7">
        <w:tblPrEx>
          <w:tblCellMar>
            <w:top w:w="0" w:type="dxa"/>
            <w:left w:w="108" w:type="dxa"/>
            <w:bottom w:w="0" w:type="dxa"/>
            <w:right w:w="108" w:type="dxa"/>
          </w:tblCellMar>
        </w:tblPrEx>
        <w:trPr>
          <w:trHeight w:val="825" w:hRule="atLeast"/>
        </w:trPr>
        <w:tc>
          <w:tcPr>
            <w:tcW w:w="238" w:type="pct"/>
            <w:vMerge w:val="continue"/>
            <w:tcBorders>
              <w:top w:val="nil"/>
              <w:left w:val="nil"/>
              <w:bottom w:val="nil"/>
              <w:right w:val="single" w:color="auto" w:sz="4" w:space="0"/>
            </w:tcBorders>
            <w:vAlign w:val="center"/>
          </w:tcPr>
          <w:p w14:paraId="7AB59E3B">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2958F63F">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1DAE8BF4">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6967B0DE">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1C5290F3">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6A0FDB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w:t>
            </w:r>
            <w:r>
              <w:rPr>
                <w:rFonts w:hint="eastAsia" w:ascii="宋体" w:hAnsi="宋体" w:eastAsia="宋体" w:cs="Times New Roman"/>
                <w:kern w:val="0"/>
                <w:sz w:val="20"/>
                <w:szCs w:val="20"/>
              </w:rPr>
              <w:t>如遇游客咨询离馆后再次入馆参观的，要向游客说明印记相关注意事项，</w:t>
            </w:r>
            <w:r>
              <w:rPr>
                <w:rFonts w:ascii="Times New Roman" w:hAnsi="Times New Roman" w:eastAsia="宋体" w:cs="Times New Roman"/>
                <w:kern w:val="0"/>
                <w:sz w:val="20"/>
                <w:szCs w:val="20"/>
              </w:rPr>
              <w:t xml:space="preserve"> </w:t>
            </w:r>
            <w:r>
              <w:rPr>
                <w:rFonts w:hint="eastAsia" w:ascii="宋体" w:hAnsi="宋体" w:eastAsia="宋体" w:cs="Times New Roman"/>
                <w:kern w:val="0"/>
                <w:sz w:val="20"/>
                <w:szCs w:val="20"/>
              </w:rPr>
              <w:t>验印时未查到手背印记，也未作其他任何处理而将观众自行放入的，经查实发现一例扣</w:t>
            </w:r>
            <w:r>
              <w:rPr>
                <w:rFonts w:ascii="Times New Roman" w:hAnsi="Times New Roman" w:eastAsia="宋体" w:cs="Times New Roman"/>
                <w:kern w:val="0"/>
                <w:sz w:val="20"/>
                <w:szCs w:val="20"/>
              </w:rPr>
              <w:t>2</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3D0C372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67CB7F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9E09217">
            <w:pPr>
              <w:widowControl/>
              <w:jc w:val="left"/>
              <w:rPr>
                <w:rFonts w:ascii="宋体" w:hAnsi="宋体" w:eastAsia="宋体" w:cs="宋体"/>
                <w:kern w:val="0"/>
                <w:sz w:val="22"/>
              </w:rPr>
            </w:pPr>
            <w:r>
              <w:rPr>
                <w:rFonts w:hint="eastAsia" w:ascii="宋体" w:hAnsi="宋体" w:eastAsia="宋体" w:cs="宋体"/>
                <w:kern w:val="0"/>
                <w:sz w:val="22"/>
              </w:rPr>
              <w:t>　</w:t>
            </w:r>
          </w:p>
        </w:tc>
      </w:tr>
      <w:tr w14:paraId="32AB62E6">
        <w:tblPrEx>
          <w:tblCellMar>
            <w:top w:w="0" w:type="dxa"/>
            <w:left w:w="108" w:type="dxa"/>
            <w:bottom w:w="0" w:type="dxa"/>
            <w:right w:w="108" w:type="dxa"/>
          </w:tblCellMar>
        </w:tblPrEx>
        <w:trPr>
          <w:trHeight w:val="435" w:hRule="atLeast"/>
        </w:trPr>
        <w:tc>
          <w:tcPr>
            <w:tcW w:w="238" w:type="pct"/>
            <w:vMerge w:val="continue"/>
            <w:tcBorders>
              <w:top w:val="nil"/>
              <w:left w:val="nil"/>
              <w:bottom w:val="nil"/>
              <w:right w:val="single" w:color="auto" w:sz="4" w:space="0"/>
            </w:tcBorders>
            <w:vAlign w:val="center"/>
          </w:tcPr>
          <w:p w14:paraId="4D6CCA6A">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C8F639D">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04274FC8">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79657182">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3E616B7B">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5C4BA92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w:t>
            </w:r>
            <w:r>
              <w:rPr>
                <w:rFonts w:hint="eastAsia" w:ascii="宋体" w:hAnsi="宋体" w:eastAsia="宋体" w:cs="Times New Roman"/>
                <w:kern w:val="0"/>
                <w:sz w:val="20"/>
                <w:szCs w:val="20"/>
              </w:rPr>
              <w:t>杜绝人情票（无票进入）、失效票等，经查实发现一例扣</w:t>
            </w:r>
            <w:r>
              <w:rPr>
                <w:rFonts w:ascii="Times New Roman" w:hAnsi="Times New Roman" w:eastAsia="宋体" w:cs="Times New Roman"/>
                <w:kern w:val="0"/>
                <w:sz w:val="20"/>
                <w:szCs w:val="20"/>
              </w:rPr>
              <w:t>5</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3A82ED7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27ED09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D25854A">
            <w:pPr>
              <w:widowControl/>
              <w:jc w:val="left"/>
              <w:rPr>
                <w:rFonts w:ascii="宋体" w:hAnsi="宋体" w:eastAsia="宋体" w:cs="宋体"/>
                <w:kern w:val="0"/>
                <w:sz w:val="22"/>
              </w:rPr>
            </w:pPr>
            <w:r>
              <w:rPr>
                <w:rFonts w:hint="eastAsia" w:ascii="宋体" w:hAnsi="宋体" w:eastAsia="宋体" w:cs="宋体"/>
                <w:kern w:val="0"/>
                <w:sz w:val="22"/>
              </w:rPr>
              <w:t>　</w:t>
            </w:r>
          </w:p>
        </w:tc>
      </w:tr>
      <w:tr w14:paraId="30B6FA5B">
        <w:tblPrEx>
          <w:tblCellMar>
            <w:top w:w="0" w:type="dxa"/>
            <w:left w:w="108" w:type="dxa"/>
            <w:bottom w:w="0" w:type="dxa"/>
            <w:right w:w="108" w:type="dxa"/>
          </w:tblCellMar>
        </w:tblPrEx>
        <w:trPr>
          <w:trHeight w:val="675" w:hRule="atLeast"/>
        </w:trPr>
        <w:tc>
          <w:tcPr>
            <w:tcW w:w="238" w:type="pct"/>
            <w:vMerge w:val="continue"/>
            <w:tcBorders>
              <w:top w:val="nil"/>
              <w:left w:val="nil"/>
              <w:bottom w:val="nil"/>
              <w:right w:val="single" w:color="auto" w:sz="4" w:space="0"/>
            </w:tcBorders>
            <w:vAlign w:val="center"/>
          </w:tcPr>
          <w:p w14:paraId="6DE77F7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778E6410">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10F5633D">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0CF69650">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01A51ADF">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0EFDAC97">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4.团队或散客滞留检票口，而工作人员没有进行有效疏导，并产生严重后果的，每出现一例扣5分。</w:t>
            </w:r>
          </w:p>
        </w:tc>
        <w:tc>
          <w:tcPr>
            <w:tcW w:w="574" w:type="pct"/>
            <w:tcBorders>
              <w:top w:val="nil"/>
              <w:left w:val="nil"/>
              <w:bottom w:val="single" w:color="auto" w:sz="4" w:space="0"/>
              <w:right w:val="single" w:color="auto" w:sz="4" w:space="0"/>
            </w:tcBorders>
            <w:shd w:val="clear" w:color="000000" w:fill="FFFFFF"/>
            <w:noWrap/>
            <w:vAlign w:val="center"/>
          </w:tcPr>
          <w:p w14:paraId="73B6C367">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AD180B2">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2D98A8C">
            <w:pPr>
              <w:widowControl/>
              <w:jc w:val="left"/>
              <w:rPr>
                <w:rFonts w:ascii="宋体" w:hAnsi="宋体" w:eastAsia="宋体" w:cs="宋体"/>
                <w:kern w:val="0"/>
                <w:sz w:val="22"/>
              </w:rPr>
            </w:pPr>
            <w:r>
              <w:rPr>
                <w:rFonts w:hint="eastAsia" w:ascii="宋体" w:hAnsi="宋体" w:eastAsia="宋体" w:cs="宋体"/>
                <w:kern w:val="0"/>
                <w:sz w:val="22"/>
              </w:rPr>
              <w:t>　</w:t>
            </w:r>
          </w:p>
        </w:tc>
      </w:tr>
      <w:tr w14:paraId="52C214A9">
        <w:tblPrEx>
          <w:tblCellMar>
            <w:top w:w="0" w:type="dxa"/>
            <w:left w:w="108" w:type="dxa"/>
            <w:bottom w:w="0" w:type="dxa"/>
            <w:right w:w="108" w:type="dxa"/>
          </w:tblCellMar>
        </w:tblPrEx>
        <w:trPr>
          <w:trHeight w:val="390" w:hRule="atLeast"/>
        </w:trPr>
        <w:tc>
          <w:tcPr>
            <w:tcW w:w="238" w:type="pct"/>
            <w:vMerge w:val="continue"/>
            <w:tcBorders>
              <w:top w:val="nil"/>
              <w:left w:val="nil"/>
              <w:bottom w:val="nil"/>
              <w:right w:val="single" w:color="auto" w:sz="4" w:space="0"/>
            </w:tcBorders>
            <w:vAlign w:val="center"/>
          </w:tcPr>
          <w:p w14:paraId="2B5E4D2A">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5ED02BA">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63612D33">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51B953F5">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2C4FBD5D">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71DCCB4F">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5.不能对观众进行快速分类计数的，每发现一例扣2分。</w:t>
            </w:r>
          </w:p>
        </w:tc>
        <w:tc>
          <w:tcPr>
            <w:tcW w:w="574" w:type="pct"/>
            <w:tcBorders>
              <w:top w:val="nil"/>
              <w:left w:val="nil"/>
              <w:bottom w:val="single" w:color="auto" w:sz="4" w:space="0"/>
              <w:right w:val="single" w:color="auto" w:sz="4" w:space="0"/>
            </w:tcBorders>
            <w:shd w:val="clear" w:color="000000" w:fill="FFFFFF"/>
            <w:noWrap/>
            <w:vAlign w:val="center"/>
          </w:tcPr>
          <w:p w14:paraId="150D3566">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D0E23B7">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414A1F8">
            <w:pPr>
              <w:widowControl/>
              <w:jc w:val="left"/>
              <w:rPr>
                <w:rFonts w:ascii="宋体" w:hAnsi="宋体" w:eastAsia="宋体" w:cs="宋体"/>
                <w:kern w:val="0"/>
                <w:sz w:val="22"/>
              </w:rPr>
            </w:pPr>
            <w:r>
              <w:rPr>
                <w:rFonts w:hint="eastAsia" w:ascii="宋体" w:hAnsi="宋体" w:eastAsia="宋体" w:cs="宋体"/>
                <w:kern w:val="0"/>
                <w:sz w:val="22"/>
              </w:rPr>
              <w:t>　</w:t>
            </w:r>
          </w:p>
        </w:tc>
      </w:tr>
      <w:tr w14:paraId="6A4E1636">
        <w:tblPrEx>
          <w:tblCellMar>
            <w:top w:w="0" w:type="dxa"/>
            <w:left w:w="108" w:type="dxa"/>
            <w:bottom w:w="0" w:type="dxa"/>
            <w:right w:w="108" w:type="dxa"/>
          </w:tblCellMar>
        </w:tblPrEx>
        <w:trPr>
          <w:trHeight w:val="600" w:hRule="atLeast"/>
        </w:trPr>
        <w:tc>
          <w:tcPr>
            <w:tcW w:w="238" w:type="pct"/>
            <w:vMerge w:val="continue"/>
            <w:tcBorders>
              <w:top w:val="nil"/>
              <w:left w:val="nil"/>
              <w:bottom w:val="nil"/>
              <w:right w:val="single" w:color="auto" w:sz="4" w:space="0"/>
            </w:tcBorders>
            <w:vAlign w:val="center"/>
          </w:tcPr>
          <w:p w14:paraId="4EE0DBA3">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79FDFFA2">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73ED18F0">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0779DF2A">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2819B246">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20C658E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6.不得借工作之便，将游客放入场；不得擅自离岗脱岗，避免游客径直入场。</w:t>
            </w:r>
            <w:r>
              <w:rPr>
                <w:rFonts w:hint="eastAsia" w:ascii="宋体" w:hAnsi="宋体" w:eastAsia="宋体" w:cs="Times New Roman"/>
                <w:kern w:val="0"/>
                <w:sz w:val="20"/>
                <w:szCs w:val="20"/>
              </w:rPr>
              <w:t>发现一次扣10分。</w:t>
            </w:r>
          </w:p>
        </w:tc>
        <w:tc>
          <w:tcPr>
            <w:tcW w:w="574" w:type="pct"/>
            <w:tcBorders>
              <w:top w:val="nil"/>
              <w:left w:val="nil"/>
              <w:bottom w:val="single" w:color="auto" w:sz="4" w:space="0"/>
              <w:right w:val="single" w:color="auto" w:sz="4" w:space="0"/>
            </w:tcBorders>
            <w:shd w:val="clear" w:color="000000" w:fill="FFFFFF"/>
            <w:noWrap/>
            <w:vAlign w:val="center"/>
          </w:tcPr>
          <w:p w14:paraId="667B881F">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C8858F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EBD5965">
            <w:pPr>
              <w:widowControl/>
              <w:jc w:val="left"/>
              <w:rPr>
                <w:rFonts w:ascii="宋体" w:hAnsi="宋体" w:eastAsia="宋体" w:cs="宋体"/>
                <w:kern w:val="0"/>
                <w:sz w:val="22"/>
              </w:rPr>
            </w:pPr>
            <w:r>
              <w:rPr>
                <w:rFonts w:hint="eastAsia" w:ascii="宋体" w:hAnsi="宋体" w:eastAsia="宋体" w:cs="宋体"/>
                <w:kern w:val="0"/>
                <w:sz w:val="22"/>
              </w:rPr>
              <w:t>　</w:t>
            </w:r>
          </w:p>
        </w:tc>
      </w:tr>
      <w:tr w14:paraId="2227AC8E">
        <w:tblPrEx>
          <w:tblCellMar>
            <w:top w:w="0" w:type="dxa"/>
            <w:left w:w="108" w:type="dxa"/>
            <w:bottom w:w="0" w:type="dxa"/>
            <w:right w:w="108" w:type="dxa"/>
          </w:tblCellMar>
        </w:tblPrEx>
        <w:trPr>
          <w:trHeight w:val="600" w:hRule="atLeast"/>
        </w:trPr>
        <w:tc>
          <w:tcPr>
            <w:tcW w:w="238" w:type="pct"/>
            <w:vMerge w:val="continue"/>
            <w:tcBorders>
              <w:top w:val="nil"/>
              <w:left w:val="nil"/>
              <w:bottom w:val="nil"/>
              <w:right w:val="single" w:color="auto" w:sz="4" w:space="0"/>
            </w:tcBorders>
            <w:vAlign w:val="center"/>
          </w:tcPr>
          <w:p w14:paraId="491DC815">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DAA5372">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69CD14D2">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094EF9B6">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539F33EF">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541102E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7.确认单上无领队签名确认的，每发现一例扣2分。</w:t>
            </w:r>
          </w:p>
        </w:tc>
        <w:tc>
          <w:tcPr>
            <w:tcW w:w="574" w:type="pct"/>
            <w:tcBorders>
              <w:top w:val="nil"/>
              <w:left w:val="nil"/>
              <w:bottom w:val="single" w:color="auto" w:sz="4" w:space="0"/>
              <w:right w:val="single" w:color="auto" w:sz="4" w:space="0"/>
            </w:tcBorders>
            <w:shd w:val="clear" w:color="000000" w:fill="FFFFFF"/>
            <w:noWrap/>
            <w:vAlign w:val="center"/>
          </w:tcPr>
          <w:p w14:paraId="26F75B22">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AC0B08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9E7315B">
            <w:pPr>
              <w:widowControl/>
              <w:jc w:val="left"/>
              <w:rPr>
                <w:rFonts w:ascii="宋体" w:hAnsi="宋体" w:eastAsia="宋体" w:cs="宋体"/>
                <w:kern w:val="0"/>
                <w:sz w:val="22"/>
              </w:rPr>
            </w:pPr>
            <w:r>
              <w:rPr>
                <w:rFonts w:hint="eastAsia" w:ascii="宋体" w:hAnsi="宋体" w:eastAsia="宋体" w:cs="宋体"/>
                <w:kern w:val="0"/>
                <w:sz w:val="22"/>
              </w:rPr>
              <w:t>　</w:t>
            </w:r>
          </w:p>
        </w:tc>
      </w:tr>
      <w:tr w14:paraId="32B63A35">
        <w:tblPrEx>
          <w:tblCellMar>
            <w:top w:w="0" w:type="dxa"/>
            <w:left w:w="108" w:type="dxa"/>
            <w:bottom w:w="0" w:type="dxa"/>
            <w:right w:w="108" w:type="dxa"/>
          </w:tblCellMar>
        </w:tblPrEx>
        <w:trPr>
          <w:trHeight w:val="900" w:hRule="atLeast"/>
        </w:trPr>
        <w:tc>
          <w:tcPr>
            <w:tcW w:w="238" w:type="pct"/>
            <w:vMerge w:val="continue"/>
            <w:tcBorders>
              <w:top w:val="nil"/>
              <w:left w:val="nil"/>
              <w:bottom w:val="nil"/>
              <w:right w:val="single" w:color="auto" w:sz="4" w:space="0"/>
            </w:tcBorders>
            <w:vAlign w:val="center"/>
          </w:tcPr>
          <w:p w14:paraId="272C24AE">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0E704AF7">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171C9CE6">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5A4AB998">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13951861">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7EF6786C">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8.人员配置齐全，每发现一例扣1分</w:t>
            </w:r>
          </w:p>
        </w:tc>
        <w:tc>
          <w:tcPr>
            <w:tcW w:w="574" w:type="pct"/>
            <w:tcBorders>
              <w:top w:val="nil"/>
              <w:left w:val="nil"/>
              <w:bottom w:val="single" w:color="auto" w:sz="4" w:space="0"/>
              <w:right w:val="single" w:color="auto" w:sz="4" w:space="0"/>
            </w:tcBorders>
            <w:shd w:val="clear" w:color="000000" w:fill="FFFFFF"/>
            <w:vAlign w:val="center"/>
          </w:tcPr>
          <w:p w14:paraId="36AC7363">
            <w:pPr>
              <w:widowControl/>
              <w:jc w:val="center"/>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5D60F06">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E9BC52C">
            <w:pPr>
              <w:widowControl/>
              <w:jc w:val="left"/>
              <w:rPr>
                <w:rFonts w:ascii="宋体" w:hAnsi="宋体" w:eastAsia="宋体" w:cs="宋体"/>
                <w:kern w:val="0"/>
                <w:sz w:val="22"/>
              </w:rPr>
            </w:pPr>
            <w:r>
              <w:rPr>
                <w:rFonts w:hint="eastAsia" w:ascii="宋体" w:hAnsi="宋体" w:eastAsia="宋体" w:cs="宋体"/>
                <w:kern w:val="0"/>
                <w:sz w:val="22"/>
              </w:rPr>
              <w:t>　</w:t>
            </w:r>
          </w:p>
        </w:tc>
      </w:tr>
      <w:tr w14:paraId="2E2D662B">
        <w:tblPrEx>
          <w:tblCellMar>
            <w:top w:w="0" w:type="dxa"/>
            <w:left w:w="108" w:type="dxa"/>
            <w:bottom w:w="0" w:type="dxa"/>
            <w:right w:w="108" w:type="dxa"/>
          </w:tblCellMar>
        </w:tblPrEx>
        <w:trPr>
          <w:trHeight w:val="540" w:hRule="atLeast"/>
        </w:trPr>
        <w:tc>
          <w:tcPr>
            <w:tcW w:w="238" w:type="pct"/>
            <w:vMerge w:val="restart"/>
            <w:tcBorders>
              <w:top w:val="nil"/>
              <w:left w:val="nil"/>
              <w:bottom w:val="nil"/>
              <w:right w:val="single" w:color="auto" w:sz="4" w:space="0"/>
            </w:tcBorders>
            <w:shd w:val="clear" w:color="000000" w:fill="FFFFFF"/>
            <w:vAlign w:val="center"/>
          </w:tcPr>
          <w:p w14:paraId="31FFF57C">
            <w:pPr>
              <w:widowControl/>
              <w:jc w:val="center"/>
              <w:rPr>
                <w:rFonts w:ascii="宋体" w:hAnsi="宋体" w:eastAsia="宋体" w:cs="宋体"/>
                <w:kern w:val="0"/>
                <w:sz w:val="22"/>
              </w:rPr>
            </w:pPr>
            <w:r>
              <w:rPr>
                <w:rFonts w:hint="eastAsia" w:ascii="宋体" w:hAnsi="宋体" w:eastAsia="宋体" w:cs="宋体"/>
                <w:kern w:val="0"/>
                <w:sz w:val="22"/>
              </w:rPr>
              <w:t>21</w:t>
            </w:r>
          </w:p>
        </w:tc>
        <w:tc>
          <w:tcPr>
            <w:tcW w:w="234" w:type="pct"/>
            <w:vMerge w:val="continue"/>
            <w:tcBorders>
              <w:top w:val="nil"/>
              <w:left w:val="single" w:color="auto" w:sz="4" w:space="0"/>
              <w:bottom w:val="single" w:color="000000" w:sz="4" w:space="0"/>
              <w:right w:val="single" w:color="auto" w:sz="4" w:space="0"/>
            </w:tcBorders>
            <w:vAlign w:val="center"/>
          </w:tcPr>
          <w:p w14:paraId="0F40E937">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2EF5F080">
            <w:pPr>
              <w:widowControl/>
              <w:jc w:val="left"/>
              <w:rPr>
                <w:rFonts w:ascii="宋体" w:hAnsi="宋体" w:eastAsia="宋体" w:cs="宋体"/>
                <w:kern w:val="0"/>
                <w:sz w:val="22"/>
              </w:rPr>
            </w:pPr>
          </w:p>
        </w:tc>
        <w:tc>
          <w:tcPr>
            <w:tcW w:w="397" w:type="pct"/>
            <w:vMerge w:val="restart"/>
            <w:tcBorders>
              <w:top w:val="nil"/>
              <w:left w:val="single" w:color="auto" w:sz="4" w:space="0"/>
              <w:bottom w:val="nil"/>
              <w:right w:val="single" w:color="auto" w:sz="4" w:space="0"/>
            </w:tcBorders>
            <w:shd w:val="clear" w:color="000000" w:fill="FFFFFF"/>
            <w:vAlign w:val="center"/>
          </w:tcPr>
          <w:p w14:paraId="2A01C5B0">
            <w:pPr>
              <w:widowControl/>
              <w:jc w:val="center"/>
              <w:rPr>
                <w:rFonts w:ascii="宋体" w:hAnsi="宋体" w:eastAsia="宋体" w:cs="宋体"/>
                <w:kern w:val="0"/>
                <w:sz w:val="20"/>
                <w:szCs w:val="20"/>
              </w:rPr>
            </w:pPr>
            <w:r>
              <w:rPr>
                <w:rFonts w:hint="eastAsia" w:ascii="宋体" w:hAnsi="宋体" w:eastAsia="宋体" w:cs="宋体"/>
                <w:kern w:val="0"/>
                <w:sz w:val="20"/>
                <w:szCs w:val="20"/>
              </w:rPr>
              <w:t>闭馆准备工作</w:t>
            </w:r>
          </w:p>
        </w:tc>
        <w:tc>
          <w:tcPr>
            <w:tcW w:w="943" w:type="pct"/>
            <w:vMerge w:val="restart"/>
            <w:tcBorders>
              <w:top w:val="nil"/>
              <w:left w:val="single" w:color="auto" w:sz="4" w:space="0"/>
              <w:bottom w:val="single" w:color="000000" w:sz="4" w:space="0"/>
              <w:right w:val="single" w:color="auto" w:sz="4" w:space="0"/>
            </w:tcBorders>
            <w:shd w:val="clear" w:color="000000" w:fill="FFFFFF"/>
            <w:vAlign w:val="center"/>
          </w:tcPr>
          <w:p w14:paraId="36878294">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闭馆前30分钟结束售票，闭馆后各岗关闭所有设备、并做好所辖区域设备的清洁和检查工作，发现故障，及时报修；完成当天的工作日志或相关统计表并上交有关对口部门。</w:t>
            </w:r>
          </w:p>
        </w:tc>
        <w:tc>
          <w:tcPr>
            <w:tcW w:w="1713" w:type="pct"/>
            <w:tcBorders>
              <w:top w:val="nil"/>
              <w:left w:val="nil"/>
              <w:bottom w:val="single" w:color="auto" w:sz="4" w:space="0"/>
              <w:right w:val="single" w:color="auto" w:sz="4" w:space="0"/>
            </w:tcBorders>
            <w:shd w:val="clear" w:color="000000" w:fill="FFFFFF"/>
            <w:vAlign w:val="center"/>
          </w:tcPr>
          <w:p w14:paraId="2CB2213A">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1.在无任何特殊情况下，擅自提前离岗的，发现一次扣5分。</w:t>
            </w:r>
          </w:p>
        </w:tc>
        <w:tc>
          <w:tcPr>
            <w:tcW w:w="574" w:type="pct"/>
            <w:tcBorders>
              <w:top w:val="nil"/>
              <w:left w:val="nil"/>
              <w:bottom w:val="single" w:color="auto" w:sz="4" w:space="0"/>
              <w:right w:val="single" w:color="auto" w:sz="4" w:space="0"/>
            </w:tcBorders>
            <w:shd w:val="clear" w:color="000000" w:fill="FFFFFF"/>
            <w:noWrap/>
            <w:vAlign w:val="center"/>
          </w:tcPr>
          <w:p w14:paraId="16D9140C">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535B087">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AFEC6C4">
            <w:pPr>
              <w:widowControl/>
              <w:jc w:val="left"/>
              <w:rPr>
                <w:rFonts w:ascii="宋体" w:hAnsi="宋体" w:eastAsia="宋体" w:cs="宋体"/>
                <w:kern w:val="0"/>
                <w:sz w:val="22"/>
              </w:rPr>
            </w:pPr>
            <w:r>
              <w:rPr>
                <w:rFonts w:hint="eastAsia" w:ascii="宋体" w:hAnsi="宋体" w:eastAsia="宋体" w:cs="宋体"/>
                <w:kern w:val="0"/>
                <w:sz w:val="22"/>
              </w:rPr>
              <w:t>　</w:t>
            </w:r>
          </w:p>
        </w:tc>
      </w:tr>
      <w:tr w14:paraId="11029CF3">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70EAC8E4">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18ABBD2">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2E34C8A2">
            <w:pPr>
              <w:widowControl/>
              <w:jc w:val="left"/>
              <w:rPr>
                <w:rFonts w:ascii="宋体" w:hAnsi="宋体" w:eastAsia="宋体" w:cs="宋体"/>
                <w:kern w:val="0"/>
                <w:sz w:val="22"/>
              </w:rPr>
            </w:pPr>
          </w:p>
        </w:tc>
        <w:tc>
          <w:tcPr>
            <w:tcW w:w="397" w:type="pct"/>
            <w:vMerge w:val="continue"/>
            <w:tcBorders>
              <w:top w:val="nil"/>
              <w:left w:val="single" w:color="auto" w:sz="4" w:space="0"/>
              <w:bottom w:val="nil"/>
              <w:right w:val="single" w:color="auto" w:sz="4" w:space="0"/>
            </w:tcBorders>
            <w:vAlign w:val="center"/>
          </w:tcPr>
          <w:p w14:paraId="7A2B5CC3">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3AD37573">
            <w:pPr>
              <w:widowControl/>
              <w:jc w:val="left"/>
              <w:rPr>
                <w:rFonts w:ascii="Times New Roman" w:hAnsi="Times New Roman" w:eastAsia="宋体" w:cs="Times New Roman"/>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A3CEB12">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2. </w:t>
            </w:r>
            <w:r>
              <w:rPr>
                <w:rFonts w:hint="eastAsia" w:ascii="宋体" w:hAnsi="宋体" w:eastAsia="宋体" w:cs="Times New Roman"/>
                <w:kern w:val="0"/>
                <w:sz w:val="20"/>
                <w:szCs w:val="20"/>
              </w:rPr>
              <w:t>未按规定时间关闭相关通道和设备的，每出现一例扣</w:t>
            </w:r>
            <w:r>
              <w:rPr>
                <w:rFonts w:ascii="Times New Roman" w:hAnsi="Times New Roman" w:eastAsia="宋体" w:cs="Times New Roman"/>
                <w:kern w:val="0"/>
                <w:sz w:val="20"/>
                <w:szCs w:val="20"/>
              </w:rPr>
              <w:t>2</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7C4149C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C8FB04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15E1386">
            <w:pPr>
              <w:widowControl/>
              <w:jc w:val="left"/>
              <w:rPr>
                <w:rFonts w:ascii="宋体" w:hAnsi="宋体" w:eastAsia="宋体" w:cs="宋体"/>
                <w:kern w:val="0"/>
                <w:sz w:val="22"/>
              </w:rPr>
            </w:pPr>
            <w:r>
              <w:rPr>
                <w:rFonts w:hint="eastAsia" w:ascii="宋体" w:hAnsi="宋体" w:eastAsia="宋体" w:cs="宋体"/>
                <w:kern w:val="0"/>
                <w:sz w:val="22"/>
              </w:rPr>
              <w:t>　</w:t>
            </w:r>
          </w:p>
        </w:tc>
      </w:tr>
      <w:tr w14:paraId="1015BB17">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605ACA40">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52CE686">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1D248B27">
            <w:pPr>
              <w:widowControl/>
              <w:jc w:val="left"/>
              <w:rPr>
                <w:rFonts w:ascii="宋体" w:hAnsi="宋体" w:eastAsia="宋体" w:cs="宋体"/>
                <w:kern w:val="0"/>
                <w:sz w:val="22"/>
              </w:rPr>
            </w:pPr>
          </w:p>
        </w:tc>
        <w:tc>
          <w:tcPr>
            <w:tcW w:w="397" w:type="pct"/>
            <w:vMerge w:val="continue"/>
            <w:tcBorders>
              <w:top w:val="nil"/>
              <w:left w:val="single" w:color="auto" w:sz="4" w:space="0"/>
              <w:bottom w:val="nil"/>
              <w:right w:val="single" w:color="auto" w:sz="4" w:space="0"/>
            </w:tcBorders>
            <w:vAlign w:val="center"/>
          </w:tcPr>
          <w:p w14:paraId="4E3F9DAA">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7549FDF7">
            <w:pPr>
              <w:widowControl/>
              <w:jc w:val="left"/>
              <w:rPr>
                <w:rFonts w:ascii="Times New Roman" w:hAnsi="Times New Roman" w:eastAsia="宋体" w:cs="Times New Roman"/>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7B8EF677">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3. </w:t>
            </w:r>
            <w:r>
              <w:rPr>
                <w:rFonts w:hint="eastAsia" w:ascii="宋体" w:hAnsi="宋体" w:eastAsia="宋体" w:cs="Times New Roman"/>
                <w:kern w:val="0"/>
                <w:sz w:val="20"/>
                <w:szCs w:val="20"/>
              </w:rPr>
              <w:t>岗位区域环境清洁和设备清洁，不符合要求的每发现一处扣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70F7A2D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98F183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361661B">
            <w:pPr>
              <w:widowControl/>
              <w:jc w:val="left"/>
              <w:rPr>
                <w:rFonts w:ascii="宋体" w:hAnsi="宋体" w:eastAsia="宋体" w:cs="宋体"/>
                <w:kern w:val="0"/>
                <w:sz w:val="22"/>
              </w:rPr>
            </w:pPr>
            <w:r>
              <w:rPr>
                <w:rFonts w:hint="eastAsia" w:ascii="宋体" w:hAnsi="宋体" w:eastAsia="宋体" w:cs="宋体"/>
                <w:kern w:val="0"/>
                <w:sz w:val="22"/>
              </w:rPr>
              <w:t>　</w:t>
            </w:r>
          </w:p>
        </w:tc>
      </w:tr>
      <w:tr w14:paraId="1F018D40">
        <w:tblPrEx>
          <w:tblCellMar>
            <w:top w:w="0" w:type="dxa"/>
            <w:left w:w="108" w:type="dxa"/>
            <w:bottom w:w="0" w:type="dxa"/>
            <w:right w:w="108" w:type="dxa"/>
          </w:tblCellMar>
        </w:tblPrEx>
        <w:trPr>
          <w:trHeight w:val="270" w:hRule="atLeast"/>
        </w:trPr>
        <w:tc>
          <w:tcPr>
            <w:tcW w:w="238" w:type="pct"/>
            <w:vMerge w:val="continue"/>
            <w:tcBorders>
              <w:top w:val="nil"/>
              <w:left w:val="nil"/>
              <w:bottom w:val="nil"/>
              <w:right w:val="single" w:color="auto" w:sz="4" w:space="0"/>
            </w:tcBorders>
            <w:vAlign w:val="center"/>
          </w:tcPr>
          <w:p w14:paraId="7C11EBF2">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03A16A0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71F8638B">
            <w:pPr>
              <w:widowControl/>
              <w:jc w:val="left"/>
              <w:rPr>
                <w:rFonts w:ascii="宋体" w:hAnsi="宋体" w:eastAsia="宋体" w:cs="宋体"/>
                <w:kern w:val="0"/>
                <w:sz w:val="22"/>
              </w:rPr>
            </w:pPr>
          </w:p>
        </w:tc>
        <w:tc>
          <w:tcPr>
            <w:tcW w:w="397" w:type="pct"/>
            <w:vMerge w:val="continue"/>
            <w:tcBorders>
              <w:top w:val="nil"/>
              <w:left w:val="single" w:color="auto" w:sz="4" w:space="0"/>
              <w:bottom w:val="nil"/>
              <w:right w:val="single" w:color="auto" w:sz="4" w:space="0"/>
            </w:tcBorders>
            <w:vAlign w:val="center"/>
          </w:tcPr>
          <w:p w14:paraId="7AC5952E">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05E45DE2">
            <w:pPr>
              <w:widowControl/>
              <w:jc w:val="left"/>
              <w:rPr>
                <w:rFonts w:ascii="Times New Roman" w:hAnsi="Times New Roman" w:eastAsia="宋体" w:cs="Times New Roman"/>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3E56FE9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4. </w:t>
            </w:r>
            <w:r>
              <w:rPr>
                <w:rFonts w:hint="eastAsia" w:ascii="宋体" w:hAnsi="宋体" w:eastAsia="宋体" w:cs="Times New Roman"/>
                <w:kern w:val="0"/>
                <w:sz w:val="20"/>
                <w:szCs w:val="20"/>
              </w:rPr>
              <w:t>设备故障报修不及时，每次扣</w:t>
            </w:r>
            <w:r>
              <w:rPr>
                <w:rFonts w:ascii="Times New Roman" w:hAnsi="Times New Roman" w:eastAsia="宋体" w:cs="Times New Roman"/>
                <w:kern w:val="0"/>
                <w:sz w:val="20"/>
                <w:szCs w:val="20"/>
              </w:rPr>
              <w:t>2</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59DA60DF">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24509F6">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3EF12CB">
            <w:pPr>
              <w:widowControl/>
              <w:jc w:val="left"/>
              <w:rPr>
                <w:rFonts w:ascii="宋体" w:hAnsi="宋体" w:eastAsia="宋体" w:cs="宋体"/>
                <w:kern w:val="0"/>
                <w:sz w:val="22"/>
              </w:rPr>
            </w:pPr>
            <w:r>
              <w:rPr>
                <w:rFonts w:hint="eastAsia" w:ascii="宋体" w:hAnsi="宋体" w:eastAsia="宋体" w:cs="宋体"/>
                <w:kern w:val="0"/>
                <w:sz w:val="22"/>
              </w:rPr>
              <w:t>　</w:t>
            </w:r>
          </w:p>
        </w:tc>
      </w:tr>
      <w:tr w14:paraId="456C54EB">
        <w:tblPrEx>
          <w:tblCellMar>
            <w:top w:w="0" w:type="dxa"/>
            <w:left w:w="108" w:type="dxa"/>
            <w:bottom w:w="0" w:type="dxa"/>
            <w:right w:w="108" w:type="dxa"/>
          </w:tblCellMar>
        </w:tblPrEx>
        <w:trPr>
          <w:trHeight w:val="465" w:hRule="atLeast"/>
        </w:trPr>
        <w:tc>
          <w:tcPr>
            <w:tcW w:w="238" w:type="pct"/>
            <w:vMerge w:val="continue"/>
            <w:tcBorders>
              <w:top w:val="nil"/>
              <w:left w:val="nil"/>
              <w:bottom w:val="nil"/>
              <w:right w:val="single" w:color="auto" w:sz="4" w:space="0"/>
            </w:tcBorders>
            <w:vAlign w:val="center"/>
          </w:tcPr>
          <w:p w14:paraId="37621E82">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2152922D">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725F3EC7">
            <w:pPr>
              <w:widowControl/>
              <w:jc w:val="left"/>
              <w:rPr>
                <w:rFonts w:ascii="宋体" w:hAnsi="宋体" w:eastAsia="宋体" w:cs="宋体"/>
                <w:kern w:val="0"/>
                <w:sz w:val="22"/>
              </w:rPr>
            </w:pPr>
          </w:p>
        </w:tc>
        <w:tc>
          <w:tcPr>
            <w:tcW w:w="397" w:type="pct"/>
            <w:vMerge w:val="continue"/>
            <w:tcBorders>
              <w:top w:val="nil"/>
              <w:left w:val="single" w:color="auto" w:sz="4" w:space="0"/>
              <w:bottom w:val="nil"/>
              <w:right w:val="single" w:color="auto" w:sz="4" w:space="0"/>
            </w:tcBorders>
            <w:vAlign w:val="center"/>
          </w:tcPr>
          <w:p w14:paraId="183C9562">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08034900">
            <w:pPr>
              <w:widowControl/>
              <w:jc w:val="left"/>
              <w:rPr>
                <w:rFonts w:ascii="Times New Roman" w:hAnsi="Times New Roman" w:eastAsia="宋体" w:cs="Times New Roman"/>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5301169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5. </w:t>
            </w:r>
            <w:r>
              <w:rPr>
                <w:rFonts w:hint="eastAsia" w:ascii="宋体" w:hAnsi="宋体" w:eastAsia="宋体" w:cs="Times New Roman"/>
                <w:kern w:val="0"/>
                <w:sz w:val="20"/>
                <w:szCs w:val="20"/>
              </w:rPr>
              <w:t>各项记录不齐，记录不完整或出现错误，每项扣</w:t>
            </w: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575D2C0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14F861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769D2A8">
            <w:pPr>
              <w:widowControl/>
              <w:jc w:val="left"/>
              <w:rPr>
                <w:rFonts w:ascii="宋体" w:hAnsi="宋体" w:eastAsia="宋体" w:cs="宋体"/>
                <w:kern w:val="0"/>
                <w:sz w:val="22"/>
              </w:rPr>
            </w:pPr>
            <w:r>
              <w:rPr>
                <w:rFonts w:hint="eastAsia" w:ascii="宋体" w:hAnsi="宋体" w:eastAsia="宋体" w:cs="宋体"/>
                <w:kern w:val="0"/>
                <w:sz w:val="22"/>
              </w:rPr>
              <w:t>　</w:t>
            </w:r>
          </w:p>
        </w:tc>
      </w:tr>
      <w:tr w14:paraId="39867EF7">
        <w:tblPrEx>
          <w:tblCellMar>
            <w:top w:w="0" w:type="dxa"/>
            <w:left w:w="108" w:type="dxa"/>
            <w:bottom w:w="0" w:type="dxa"/>
            <w:right w:w="108" w:type="dxa"/>
          </w:tblCellMar>
        </w:tblPrEx>
        <w:trPr>
          <w:trHeight w:val="960" w:hRule="atLeast"/>
        </w:trPr>
        <w:tc>
          <w:tcPr>
            <w:tcW w:w="238" w:type="pct"/>
            <w:tcBorders>
              <w:top w:val="nil"/>
              <w:left w:val="nil"/>
              <w:bottom w:val="nil"/>
              <w:right w:val="nil"/>
            </w:tcBorders>
            <w:shd w:val="clear" w:color="000000" w:fill="FFFFFF"/>
            <w:vAlign w:val="center"/>
          </w:tcPr>
          <w:p w14:paraId="25225F32">
            <w:pPr>
              <w:widowControl/>
              <w:jc w:val="center"/>
              <w:rPr>
                <w:rFonts w:ascii="宋体" w:hAnsi="宋体" w:eastAsia="宋体" w:cs="宋体"/>
                <w:kern w:val="0"/>
                <w:sz w:val="22"/>
              </w:rPr>
            </w:pPr>
            <w:r>
              <w:rPr>
                <w:rFonts w:hint="eastAsia" w:ascii="宋体" w:hAnsi="宋体" w:eastAsia="宋体" w:cs="宋体"/>
                <w:kern w:val="0"/>
                <w:sz w:val="22"/>
              </w:rPr>
              <w:t>22</w:t>
            </w:r>
          </w:p>
        </w:tc>
        <w:tc>
          <w:tcPr>
            <w:tcW w:w="234" w:type="pct"/>
            <w:vMerge w:val="continue"/>
            <w:tcBorders>
              <w:top w:val="nil"/>
              <w:left w:val="single" w:color="auto" w:sz="4" w:space="0"/>
              <w:bottom w:val="single" w:color="000000" w:sz="4" w:space="0"/>
              <w:right w:val="single" w:color="auto" w:sz="4" w:space="0"/>
            </w:tcBorders>
            <w:vAlign w:val="center"/>
          </w:tcPr>
          <w:p w14:paraId="130B960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1C86B890">
            <w:pPr>
              <w:widowControl/>
              <w:jc w:val="left"/>
              <w:rPr>
                <w:rFonts w:ascii="宋体" w:hAnsi="宋体" w:eastAsia="宋体" w:cs="宋体"/>
                <w:kern w:val="0"/>
                <w:sz w:val="22"/>
              </w:rPr>
            </w:pPr>
          </w:p>
        </w:tc>
        <w:tc>
          <w:tcPr>
            <w:tcW w:w="397" w:type="pct"/>
            <w:tcBorders>
              <w:top w:val="single" w:color="auto" w:sz="4" w:space="0"/>
              <w:left w:val="nil"/>
              <w:bottom w:val="single" w:color="auto" w:sz="4" w:space="0"/>
              <w:right w:val="single" w:color="auto" w:sz="4" w:space="0"/>
            </w:tcBorders>
            <w:shd w:val="clear" w:color="000000" w:fill="FFFFFF"/>
            <w:vAlign w:val="center"/>
          </w:tcPr>
          <w:p w14:paraId="74A6D96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严重违规情况 </w:t>
            </w:r>
          </w:p>
        </w:tc>
        <w:tc>
          <w:tcPr>
            <w:tcW w:w="943" w:type="pct"/>
            <w:tcBorders>
              <w:top w:val="nil"/>
              <w:left w:val="nil"/>
              <w:bottom w:val="single" w:color="auto" w:sz="4" w:space="0"/>
              <w:right w:val="single" w:color="auto" w:sz="4" w:space="0"/>
            </w:tcBorders>
            <w:shd w:val="clear" w:color="000000" w:fill="FFFFFF"/>
            <w:vAlign w:val="center"/>
          </w:tcPr>
          <w:p w14:paraId="25441D63">
            <w:pPr>
              <w:widowControl/>
              <w:jc w:val="center"/>
              <w:rPr>
                <w:rFonts w:ascii="宋体" w:hAnsi="宋体" w:eastAsia="宋体" w:cs="宋体"/>
                <w:kern w:val="0"/>
                <w:sz w:val="20"/>
                <w:szCs w:val="20"/>
              </w:rPr>
            </w:pPr>
            <w:r>
              <w:rPr>
                <w:rFonts w:hint="eastAsia" w:ascii="宋体" w:hAnsi="宋体" w:eastAsia="宋体" w:cs="宋体"/>
                <w:kern w:val="0"/>
                <w:sz w:val="20"/>
                <w:szCs w:val="20"/>
              </w:rPr>
              <w:t>在博物馆内，无论何种原因、何种矛盾，不允许与观众发生口角和肢体冲突，有问题按照正常途径解决。</w:t>
            </w:r>
          </w:p>
        </w:tc>
        <w:tc>
          <w:tcPr>
            <w:tcW w:w="1713" w:type="pct"/>
            <w:tcBorders>
              <w:top w:val="nil"/>
              <w:left w:val="nil"/>
              <w:bottom w:val="single" w:color="auto" w:sz="4" w:space="0"/>
              <w:right w:val="single" w:color="auto" w:sz="4" w:space="0"/>
            </w:tcBorders>
            <w:shd w:val="clear" w:color="000000" w:fill="FFFFFF"/>
            <w:vAlign w:val="center"/>
          </w:tcPr>
          <w:p w14:paraId="46F935A1">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发现任何与观众发生纠纷的，每查实一例，扣</w:t>
            </w:r>
            <w:r>
              <w:rPr>
                <w:rFonts w:ascii="Times New Roman" w:hAnsi="Times New Roman" w:eastAsia="宋体" w:cs="Times New Roman"/>
                <w:kern w:val="0"/>
                <w:sz w:val="20"/>
                <w:szCs w:val="20"/>
              </w:rPr>
              <w:t>10</w:t>
            </w:r>
            <w:r>
              <w:rPr>
                <w:rFonts w:hint="eastAsia" w:ascii="宋体" w:hAnsi="宋体" w:eastAsia="宋体" w:cs="Times New Roman"/>
                <w:kern w:val="0"/>
                <w:sz w:val="20"/>
                <w:szCs w:val="20"/>
              </w:rPr>
              <w:t>分。</w:t>
            </w:r>
            <w:r>
              <w:rPr>
                <w:rFonts w:hint="eastAsia" w:ascii="宋体" w:hAnsi="宋体" w:eastAsia="宋体" w:cs="Times New Roman"/>
                <w:kern w:val="0"/>
                <w:sz w:val="20"/>
                <w:szCs w:val="20"/>
              </w:rPr>
              <w:br w:type="textWrapping"/>
            </w:r>
            <w:r>
              <w:rPr>
                <w:rFonts w:ascii="Times New Roman" w:hAnsi="Times New Roman" w:eastAsia="宋体" w:cs="Times New Roman"/>
                <w:kern w:val="0"/>
                <w:sz w:val="20"/>
                <w:szCs w:val="20"/>
              </w:rPr>
              <w:t>2.</w:t>
            </w:r>
            <w:r>
              <w:rPr>
                <w:rFonts w:hint="eastAsia" w:ascii="宋体" w:hAnsi="宋体" w:eastAsia="宋体" w:cs="Times New Roman"/>
                <w:kern w:val="0"/>
                <w:sz w:val="20"/>
                <w:szCs w:val="20"/>
              </w:rPr>
              <w:t>发生游客投诉事件，经核查后定性为有效投诉的，每发生一起扣</w:t>
            </w:r>
            <w:r>
              <w:rPr>
                <w:rFonts w:ascii="Times New Roman" w:hAnsi="Times New Roman" w:eastAsia="宋体" w:cs="Times New Roman"/>
                <w:kern w:val="0"/>
                <w:sz w:val="20"/>
                <w:szCs w:val="20"/>
              </w:rPr>
              <w:t>10</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270EFFDD">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BA64D7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C2B2796">
            <w:pPr>
              <w:widowControl/>
              <w:jc w:val="left"/>
              <w:rPr>
                <w:rFonts w:ascii="宋体" w:hAnsi="宋体" w:eastAsia="宋体" w:cs="宋体"/>
                <w:kern w:val="0"/>
                <w:sz w:val="22"/>
              </w:rPr>
            </w:pPr>
            <w:r>
              <w:rPr>
                <w:rFonts w:hint="eastAsia" w:ascii="宋体" w:hAnsi="宋体" w:eastAsia="宋体" w:cs="宋体"/>
                <w:kern w:val="0"/>
                <w:sz w:val="22"/>
              </w:rPr>
              <w:t>　</w:t>
            </w:r>
          </w:p>
        </w:tc>
      </w:tr>
      <w:tr w14:paraId="7B74D9B8">
        <w:tblPrEx>
          <w:tblCellMar>
            <w:top w:w="0" w:type="dxa"/>
            <w:left w:w="108" w:type="dxa"/>
            <w:bottom w:w="0" w:type="dxa"/>
            <w:right w:w="108" w:type="dxa"/>
          </w:tblCellMar>
        </w:tblPrEx>
        <w:trPr>
          <w:trHeight w:val="600" w:hRule="atLeast"/>
        </w:trPr>
        <w:tc>
          <w:tcPr>
            <w:tcW w:w="238" w:type="pct"/>
            <w:vMerge w:val="restart"/>
            <w:tcBorders>
              <w:top w:val="nil"/>
              <w:left w:val="nil"/>
              <w:bottom w:val="nil"/>
              <w:right w:val="single" w:color="auto" w:sz="4" w:space="0"/>
            </w:tcBorders>
            <w:shd w:val="clear" w:color="000000" w:fill="FFFFFF"/>
            <w:vAlign w:val="center"/>
          </w:tcPr>
          <w:p w14:paraId="2AB90C80">
            <w:pPr>
              <w:widowControl/>
              <w:jc w:val="center"/>
              <w:rPr>
                <w:rFonts w:ascii="宋体" w:hAnsi="宋体" w:eastAsia="宋体" w:cs="宋体"/>
                <w:kern w:val="0"/>
                <w:sz w:val="22"/>
              </w:rPr>
            </w:pPr>
            <w:r>
              <w:rPr>
                <w:rFonts w:hint="eastAsia" w:ascii="宋体" w:hAnsi="宋体" w:eastAsia="宋体" w:cs="宋体"/>
                <w:kern w:val="0"/>
                <w:sz w:val="22"/>
              </w:rPr>
              <w:t>23</w:t>
            </w:r>
          </w:p>
        </w:tc>
        <w:tc>
          <w:tcPr>
            <w:tcW w:w="234" w:type="pct"/>
            <w:vMerge w:val="continue"/>
            <w:tcBorders>
              <w:top w:val="nil"/>
              <w:left w:val="single" w:color="auto" w:sz="4" w:space="0"/>
              <w:bottom w:val="single" w:color="000000" w:sz="4" w:space="0"/>
              <w:right w:val="single" w:color="auto" w:sz="4" w:space="0"/>
            </w:tcBorders>
            <w:vAlign w:val="center"/>
          </w:tcPr>
          <w:p w14:paraId="1BE67BAC">
            <w:pPr>
              <w:widowControl/>
              <w:jc w:val="left"/>
              <w:rPr>
                <w:rFonts w:ascii="宋体" w:hAnsi="宋体" w:eastAsia="宋体" w:cs="宋体"/>
                <w:b/>
                <w:bCs/>
                <w:kern w:val="0"/>
                <w:sz w:val="22"/>
              </w:rPr>
            </w:pPr>
          </w:p>
        </w:tc>
        <w:tc>
          <w:tcPr>
            <w:tcW w:w="275" w:type="pct"/>
            <w:vMerge w:val="restart"/>
            <w:tcBorders>
              <w:top w:val="nil"/>
              <w:left w:val="single" w:color="auto" w:sz="4" w:space="0"/>
              <w:bottom w:val="single" w:color="000000" w:sz="4" w:space="0"/>
              <w:right w:val="single" w:color="auto" w:sz="4" w:space="0"/>
            </w:tcBorders>
            <w:shd w:val="clear" w:color="000000" w:fill="FFFFFF"/>
            <w:vAlign w:val="center"/>
          </w:tcPr>
          <w:p w14:paraId="752F18C1">
            <w:pPr>
              <w:widowControl/>
              <w:jc w:val="center"/>
              <w:rPr>
                <w:rFonts w:ascii="宋体" w:hAnsi="宋体" w:eastAsia="宋体" w:cs="宋体"/>
                <w:kern w:val="0"/>
                <w:sz w:val="22"/>
              </w:rPr>
            </w:pPr>
            <w:r>
              <w:rPr>
                <w:rFonts w:hint="eastAsia" w:ascii="宋体" w:hAnsi="宋体" w:eastAsia="宋体" w:cs="宋体"/>
                <w:kern w:val="0"/>
                <w:sz w:val="22"/>
              </w:rPr>
              <w:t>开放管理部影院条线</w:t>
            </w:r>
          </w:p>
        </w:tc>
        <w:tc>
          <w:tcPr>
            <w:tcW w:w="397" w:type="pct"/>
            <w:vMerge w:val="restart"/>
            <w:tcBorders>
              <w:top w:val="nil"/>
              <w:left w:val="single" w:color="auto" w:sz="4" w:space="0"/>
              <w:bottom w:val="single" w:color="000000" w:sz="4" w:space="0"/>
              <w:right w:val="single" w:color="auto" w:sz="4" w:space="0"/>
            </w:tcBorders>
            <w:shd w:val="clear" w:color="000000" w:fill="FFFFFF"/>
            <w:vAlign w:val="center"/>
          </w:tcPr>
          <w:p w14:paraId="12E96F7B">
            <w:pPr>
              <w:widowControl/>
              <w:jc w:val="center"/>
              <w:rPr>
                <w:rFonts w:ascii="宋体" w:hAnsi="宋体" w:eastAsia="宋体" w:cs="宋体"/>
                <w:kern w:val="0"/>
                <w:sz w:val="20"/>
                <w:szCs w:val="20"/>
              </w:rPr>
            </w:pPr>
            <w:r>
              <w:rPr>
                <w:rFonts w:hint="eastAsia" w:ascii="宋体" w:hAnsi="宋体" w:eastAsia="宋体" w:cs="宋体"/>
                <w:kern w:val="0"/>
                <w:sz w:val="20"/>
                <w:szCs w:val="20"/>
              </w:rPr>
              <w:t>操作技能</w:t>
            </w:r>
          </w:p>
        </w:tc>
        <w:tc>
          <w:tcPr>
            <w:tcW w:w="943" w:type="pct"/>
            <w:vMerge w:val="restart"/>
            <w:tcBorders>
              <w:top w:val="nil"/>
              <w:left w:val="single" w:color="auto" w:sz="4" w:space="0"/>
              <w:bottom w:val="single" w:color="000000" w:sz="4" w:space="0"/>
              <w:right w:val="single" w:color="auto" w:sz="4" w:space="0"/>
            </w:tcBorders>
            <w:shd w:val="clear" w:color="000000" w:fill="FFFFFF"/>
            <w:vAlign w:val="center"/>
          </w:tcPr>
          <w:p w14:paraId="5044BECE">
            <w:pPr>
              <w:widowControl/>
              <w:jc w:val="center"/>
              <w:rPr>
                <w:rFonts w:ascii="宋体" w:hAnsi="宋体" w:eastAsia="宋体" w:cs="宋体"/>
                <w:kern w:val="0"/>
                <w:sz w:val="20"/>
                <w:szCs w:val="20"/>
              </w:rPr>
            </w:pPr>
            <w:r>
              <w:rPr>
                <w:rFonts w:hint="eastAsia" w:ascii="宋体" w:hAnsi="宋体" w:eastAsia="宋体" w:cs="宋体"/>
                <w:kern w:val="0"/>
                <w:sz w:val="20"/>
                <w:szCs w:val="20"/>
              </w:rPr>
              <w:t>按照《影视中心岗位职责》等相关文件操作；如果放映时发生设备故障，及时按应急预案处理；放映结束后及时做好保洁工作；每天检查剧场照明设施、座椅、踏步灯、通道门等是否完好，发现问题及时报修。</w:t>
            </w:r>
          </w:p>
        </w:tc>
        <w:tc>
          <w:tcPr>
            <w:tcW w:w="1713" w:type="pct"/>
            <w:tcBorders>
              <w:top w:val="nil"/>
              <w:left w:val="nil"/>
              <w:bottom w:val="single" w:color="auto" w:sz="4" w:space="0"/>
              <w:right w:val="single" w:color="auto" w:sz="4" w:space="0"/>
            </w:tcBorders>
            <w:shd w:val="clear" w:color="000000" w:fill="FFFFFF"/>
            <w:vAlign w:val="center"/>
          </w:tcPr>
          <w:p w14:paraId="179B473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发生放映设备故障时，不能及时按应急预案处理的，按情况扣</w:t>
            </w:r>
            <w:r>
              <w:rPr>
                <w:rFonts w:ascii="Times New Roman" w:hAnsi="Times New Roman" w:eastAsia="宋体" w:cs="Times New Roman"/>
                <w:kern w:val="0"/>
                <w:sz w:val="20"/>
                <w:szCs w:val="20"/>
              </w:rPr>
              <w:t>2-6</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354E062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D32092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EEAEB9C">
            <w:pPr>
              <w:widowControl/>
              <w:jc w:val="left"/>
              <w:rPr>
                <w:rFonts w:ascii="宋体" w:hAnsi="宋体" w:eastAsia="宋体" w:cs="宋体"/>
                <w:kern w:val="0"/>
                <w:sz w:val="22"/>
              </w:rPr>
            </w:pPr>
            <w:r>
              <w:rPr>
                <w:rFonts w:hint="eastAsia" w:ascii="宋体" w:hAnsi="宋体" w:eastAsia="宋体" w:cs="宋体"/>
                <w:kern w:val="0"/>
                <w:sz w:val="22"/>
              </w:rPr>
              <w:t>　</w:t>
            </w:r>
          </w:p>
        </w:tc>
      </w:tr>
      <w:tr w14:paraId="3E04CA1C">
        <w:tblPrEx>
          <w:tblCellMar>
            <w:top w:w="0" w:type="dxa"/>
            <w:left w:w="108" w:type="dxa"/>
            <w:bottom w:w="0" w:type="dxa"/>
            <w:right w:w="108" w:type="dxa"/>
          </w:tblCellMar>
        </w:tblPrEx>
        <w:trPr>
          <w:trHeight w:val="720" w:hRule="atLeast"/>
        </w:trPr>
        <w:tc>
          <w:tcPr>
            <w:tcW w:w="238" w:type="pct"/>
            <w:vMerge w:val="continue"/>
            <w:tcBorders>
              <w:top w:val="nil"/>
              <w:left w:val="nil"/>
              <w:bottom w:val="nil"/>
              <w:right w:val="single" w:color="auto" w:sz="4" w:space="0"/>
            </w:tcBorders>
            <w:vAlign w:val="center"/>
          </w:tcPr>
          <w:p w14:paraId="32909A13">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D3CED70">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36C79584">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46A03BEF">
            <w:pPr>
              <w:widowControl/>
              <w:jc w:val="left"/>
              <w:rPr>
                <w:rFonts w:ascii="宋体" w:hAnsi="宋体" w:eastAsia="宋体" w:cs="宋体"/>
                <w:kern w:val="0"/>
                <w:sz w:val="20"/>
                <w:szCs w:val="20"/>
              </w:rPr>
            </w:pPr>
          </w:p>
        </w:tc>
        <w:tc>
          <w:tcPr>
            <w:tcW w:w="943" w:type="pct"/>
            <w:vMerge w:val="continue"/>
            <w:tcBorders>
              <w:top w:val="nil"/>
              <w:left w:val="single" w:color="auto" w:sz="4" w:space="0"/>
              <w:bottom w:val="single" w:color="000000" w:sz="4" w:space="0"/>
              <w:right w:val="single" w:color="auto" w:sz="4" w:space="0"/>
            </w:tcBorders>
            <w:vAlign w:val="center"/>
          </w:tcPr>
          <w:p w14:paraId="5A0C6D19">
            <w:pPr>
              <w:widowControl/>
              <w:jc w:val="left"/>
              <w:rPr>
                <w:rFonts w:ascii="宋体" w:hAnsi="宋体" w:eastAsia="宋体" w:cs="宋体"/>
                <w:kern w:val="0"/>
                <w:sz w:val="20"/>
                <w:szCs w:val="20"/>
              </w:rPr>
            </w:pPr>
          </w:p>
        </w:tc>
        <w:tc>
          <w:tcPr>
            <w:tcW w:w="1713" w:type="pct"/>
            <w:tcBorders>
              <w:top w:val="nil"/>
              <w:left w:val="nil"/>
              <w:bottom w:val="single" w:color="auto" w:sz="4" w:space="0"/>
              <w:right w:val="single" w:color="auto" w:sz="4" w:space="0"/>
            </w:tcBorders>
            <w:shd w:val="clear" w:color="000000" w:fill="FFFFFF"/>
            <w:vAlign w:val="center"/>
          </w:tcPr>
          <w:p w14:paraId="29DCCDF5">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w:t>
            </w:r>
            <w:r>
              <w:rPr>
                <w:rFonts w:hint="eastAsia" w:ascii="宋体" w:hAnsi="宋体" w:eastAsia="宋体" w:cs="Times New Roman"/>
                <w:kern w:val="0"/>
                <w:sz w:val="20"/>
                <w:szCs w:val="20"/>
              </w:rPr>
              <w:t>发现影院问题（照明设施、座椅、踏步灯、通道门等）不及时报修的，按情况扣</w:t>
            </w:r>
            <w:r>
              <w:rPr>
                <w:rFonts w:ascii="Times New Roman" w:hAnsi="Times New Roman" w:eastAsia="宋体" w:cs="Times New Roman"/>
                <w:kern w:val="0"/>
                <w:sz w:val="20"/>
                <w:szCs w:val="20"/>
              </w:rPr>
              <w:t>1-4</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5D27AAF7">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9657B1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9382041">
            <w:pPr>
              <w:widowControl/>
              <w:jc w:val="left"/>
              <w:rPr>
                <w:rFonts w:ascii="宋体" w:hAnsi="宋体" w:eastAsia="宋体" w:cs="宋体"/>
                <w:kern w:val="0"/>
                <w:sz w:val="22"/>
              </w:rPr>
            </w:pPr>
            <w:r>
              <w:rPr>
                <w:rFonts w:hint="eastAsia" w:ascii="宋体" w:hAnsi="宋体" w:eastAsia="宋体" w:cs="宋体"/>
                <w:kern w:val="0"/>
                <w:sz w:val="22"/>
              </w:rPr>
              <w:t>　</w:t>
            </w:r>
          </w:p>
        </w:tc>
      </w:tr>
      <w:tr w14:paraId="432758F7">
        <w:tblPrEx>
          <w:tblCellMar>
            <w:top w:w="0" w:type="dxa"/>
            <w:left w:w="108" w:type="dxa"/>
            <w:bottom w:w="0" w:type="dxa"/>
            <w:right w:w="108" w:type="dxa"/>
          </w:tblCellMar>
        </w:tblPrEx>
        <w:trPr>
          <w:trHeight w:val="570" w:hRule="atLeast"/>
        </w:trPr>
        <w:tc>
          <w:tcPr>
            <w:tcW w:w="238" w:type="pct"/>
            <w:vMerge w:val="restart"/>
            <w:tcBorders>
              <w:top w:val="nil"/>
              <w:left w:val="nil"/>
              <w:bottom w:val="nil"/>
              <w:right w:val="single" w:color="auto" w:sz="4" w:space="0"/>
            </w:tcBorders>
            <w:shd w:val="clear" w:color="000000" w:fill="FFFFFF"/>
            <w:vAlign w:val="center"/>
          </w:tcPr>
          <w:p w14:paraId="3F15785B">
            <w:pPr>
              <w:widowControl/>
              <w:jc w:val="center"/>
              <w:rPr>
                <w:rFonts w:ascii="宋体" w:hAnsi="宋体" w:eastAsia="宋体" w:cs="宋体"/>
                <w:kern w:val="0"/>
                <w:sz w:val="22"/>
              </w:rPr>
            </w:pPr>
            <w:r>
              <w:rPr>
                <w:rFonts w:hint="eastAsia" w:ascii="宋体" w:hAnsi="宋体" w:eastAsia="宋体" w:cs="宋体"/>
                <w:kern w:val="0"/>
                <w:sz w:val="22"/>
              </w:rPr>
              <w:t>24</w:t>
            </w:r>
          </w:p>
        </w:tc>
        <w:tc>
          <w:tcPr>
            <w:tcW w:w="234" w:type="pct"/>
            <w:vMerge w:val="continue"/>
            <w:tcBorders>
              <w:top w:val="nil"/>
              <w:left w:val="single" w:color="auto" w:sz="4" w:space="0"/>
              <w:bottom w:val="single" w:color="000000" w:sz="4" w:space="0"/>
              <w:right w:val="single" w:color="auto" w:sz="4" w:space="0"/>
            </w:tcBorders>
            <w:vAlign w:val="center"/>
          </w:tcPr>
          <w:p w14:paraId="622F9C27">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27951D7C">
            <w:pPr>
              <w:widowControl/>
              <w:jc w:val="left"/>
              <w:rPr>
                <w:rFonts w:ascii="宋体" w:hAnsi="宋体" w:eastAsia="宋体" w:cs="宋体"/>
                <w:kern w:val="0"/>
                <w:sz w:val="22"/>
              </w:rPr>
            </w:pPr>
          </w:p>
        </w:tc>
        <w:tc>
          <w:tcPr>
            <w:tcW w:w="397" w:type="pct"/>
            <w:vMerge w:val="restart"/>
            <w:tcBorders>
              <w:top w:val="nil"/>
              <w:left w:val="single" w:color="auto" w:sz="4" w:space="0"/>
              <w:bottom w:val="single" w:color="000000" w:sz="4" w:space="0"/>
              <w:right w:val="single" w:color="auto" w:sz="4" w:space="0"/>
            </w:tcBorders>
            <w:shd w:val="clear" w:color="000000" w:fill="FFFFFF"/>
            <w:vAlign w:val="center"/>
          </w:tcPr>
          <w:p w14:paraId="20275BA9">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                工作失职</w:t>
            </w:r>
          </w:p>
        </w:tc>
        <w:tc>
          <w:tcPr>
            <w:tcW w:w="943" w:type="pct"/>
            <w:tcBorders>
              <w:top w:val="nil"/>
              <w:left w:val="nil"/>
              <w:bottom w:val="single" w:color="auto" w:sz="4" w:space="0"/>
              <w:right w:val="single" w:color="auto" w:sz="4" w:space="0"/>
            </w:tcBorders>
            <w:shd w:val="clear" w:color="000000" w:fill="FFFFFF"/>
            <w:vAlign w:val="center"/>
          </w:tcPr>
          <w:p w14:paraId="6C82740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因工作失职，造成严重事故。</w:t>
            </w:r>
          </w:p>
        </w:tc>
        <w:tc>
          <w:tcPr>
            <w:tcW w:w="1713" w:type="pct"/>
            <w:vMerge w:val="restart"/>
            <w:tcBorders>
              <w:top w:val="nil"/>
              <w:left w:val="single" w:color="auto" w:sz="4" w:space="0"/>
              <w:bottom w:val="single" w:color="000000" w:sz="4" w:space="0"/>
              <w:right w:val="single" w:color="auto" w:sz="4" w:space="0"/>
            </w:tcBorders>
            <w:shd w:val="clear" w:color="000000" w:fill="FFFFFF"/>
            <w:vAlign w:val="center"/>
          </w:tcPr>
          <w:p w14:paraId="2FCBD5D3">
            <w:pPr>
              <w:widowControl/>
              <w:jc w:val="center"/>
              <w:rPr>
                <w:rFonts w:ascii="宋体" w:hAnsi="宋体" w:eastAsia="宋体" w:cs="宋体"/>
                <w:kern w:val="0"/>
                <w:sz w:val="20"/>
                <w:szCs w:val="20"/>
              </w:rPr>
            </w:pPr>
            <w:r>
              <w:rPr>
                <w:rFonts w:ascii="Times New Roman" w:hAnsi="Times New Roman" w:eastAsia="宋体" w:cs="Times New Roman"/>
                <w:kern w:val="0"/>
                <w:sz w:val="20"/>
                <w:szCs w:val="20"/>
              </w:rPr>
              <w:t>1.</w:t>
            </w:r>
            <w:r>
              <w:rPr>
                <w:rFonts w:hint="eastAsia" w:ascii="宋体" w:hAnsi="宋体" w:eastAsia="宋体" w:cs="宋体"/>
                <w:kern w:val="0"/>
                <w:sz w:val="20"/>
                <w:szCs w:val="20"/>
              </w:rPr>
              <w:t>未检票入场扣</w:t>
            </w:r>
            <w:r>
              <w:rPr>
                <w:rFonts w:ascii="Times New Roman" w:hAnsi="Times New Roman" w:eastAsia="宋体" w:cs="Times New Roman"/>
                <w:kern w:val="0"/>
                <w:sz w:val="20"/>
                <w:szCs w:val="20"/>
              </w:rPr>
              <w:t>2-6</w:t>
            </w:r>
            <w:r>
              <w:rPr>
                <w:rFonts w:hint="eastAsia" w:ascii="宋体" w:hAnsi="宋体" w:eastAsia="宋体" w:cs="宋体"/>
                <w:kern w:val="0"/>
                <w:sz w:val="20"/>
                <w:szCs w:val="20"/>
              </w:rPr>
              <w:t>分。因检票差错引起剧场混乱，扣</w:t>
            </w:r>
            <w:r>
              <w:rPr>
                <w:rFonts w:ascii="Times New Roman" w:hAnsi="Times New Roman" w:eastAsia="宋体" w:cs="Times New Roman"/>
                <w:kern w:val="0"/>
                <w:sz w:val="20"/>
                <w:szCs w:val="20"/>
              </w:rPr>
              <w:t>2-6</w:t>
            </w:r>
            <w:r>
              <w:rPr>
                <w:rFonts w:hint="eastAsia" w:ascii="宋体" w:hAnsi="宋体" w:eastAsia="宋体" w:cs="宋体"/>
                <w:kern w:val="0"/>
                <w:sz w:val="20"/>
                <w:szCs w:val="20"/>
              </w:rPr>
              <w:t>分。因工作失职，造成严重事故扣</w:t>
            </w:r>
            <w:r>
              <w:rPr>
                <w:rFonts w:ascii="Times New Roman" w:hAnsi="Times New Roman" w:eastAsia="宋体" w:cs="Times New Roman"/>
                <w:kern w:val="0"/>
                <w:sz w:val="20"/>
                <w:szCs w:val="20"/>
              </w:rPr>
              <w:t>5-10</w:t>
            </w:r>
            <w:r>
              <w:rPr>
                <w:rFonts w:hint="eastAsia" w:ascii="宋体" w:hAnsi="宋体" w:eastAsia="宋体" w:cs="宋体"/>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3CE9E07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399AA6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3BA0711">
            <w:pPr>
              <w:widowControl/>
              <w:jc w:val="left"/>
              <w:rPr>
                <w:rFonts w:ascii="宋体" w:hAnsi="宋体" w:eastAsia="宋体" w:cs="宋体"/>
                <w:kern w:val="0"/>
                <w:sz w:val="22"/>
              </w:rPr>
            </w:pPr>
            <w:r>
              <w:rPr>
                <w:rFonts w:hint="eastAsia" w:ascii="宋体" w:hAnsi="宋体" w:eastAsia="宋体" w:cs="宋体"/>
                <w:kern w:val="0"/>
                <w:sz w:val="22"/>
              </w:rPr>
              <w:t>　</w:t>
            </w:r>
          </w:p>
        </w:tc>
      </w:tr>
      <w:tr w14:paraId="730D00DA">
        <w:tblPrEx>
          <w:tblCellMar>
            <w:top w:w="0" w:type="dxa"/>
            <w:left w:w="108" w:type="dxa"/>
            <w:bottom w:w="0" w:type="dxa"/>
            <w:right w:w="108" w:type="dxa"/>
          </w:tblCellMar>
        </w:tblPrEx>
        <w:trPr>
          <w:trHeight w:val="1035" w:hRule="atLeast"/>
        </w:trPr>
        <w:tc>
          <w:tcPr>
            <w:tcW w:w="238" w:type="pct"/>
            <w:vMerge w:val="continue"/>
            <w:tcBorders>
              <w:top w:val="nil"/>
              <w:left w:val="nil"/>
              <w:bottom w:val="nil"/>
              <w:right w:val="single" w:color="auto" w:sz="4" w:space="0"/>
            </w:tcBorders>
            <w:vAlign w:val="center"/>
          </w:tcPr>
          <w:p w14:paraId="5556CAC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20CD63F6">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28E9DA60">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28C29BE0">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0CFA864D">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未检票入场或因检票差错引起剧场混乱。未按正常途经报告，擅自抽人或报告内容与事实不符，造成较大质量事故。</w:t>
            </w:r>
          </w:p>
        </w:tc>
        <w:tc>
          <w:tcPr>
            <w:tcW w:w="1713" w:type="pct"/>
            <w:vMerge w:val="continue"/>
            <w:tcBorders>
              <w:top w:val="nil"/>
              <w:left w:val="single" w:color="auto" w:sz="4" w:space="0"/>
              <w:bottom w:val="single" w:color="000000" w:sz="4" w:space="0"/>
              <w:right w:val="single" w:color="auto" w:sz="4" w:space="0"/>
            </w:tcBorders>
            <w:vAlign w:val="center"/>
          </w:tcPr>
          <w:p w14:paraId="1F51A941">
            <w:pPr>
              <w:widowControl/>
              <w:jc w:val="left"/>
              <w:rPr>
                <w:rFonts w:ascii="宋体" w:hAnsi="宋体" w:eastAsia="宋体" w:cs="宋体"/>
                <w:kern w:val="0"/>
                <w:sz w:val="20"/>
                <w:szCs w:val="20"/>
              </w:rPr>
            </w:pPr>
          </w:p>
        </w:tc>
        <w:tc>
          <w:tcPr>
            <w:tcW w:w="574" w:type="pct"/>
            <w:tcBorders>
              <w:top w:val="nil"/>
              <w:left w:val="nil"/>
              <w:bottom w:val="single" w:color="auto" w:sz="4" w:space="0"/>
              <w:right w:val="single" w:color="auto" w:sz="4" w:space="0"/>
            </w:tcBorders>
            <w:shd w:val="clear" w:color="000000" w:fill="FFFFFF"/>
            <w:noWrap/>
            <w:vAlign w:val="center"/>
          </w:tcPr>
          <w:p w14:paraId="7DCC1C5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10BDE50">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D55BCE1">
            <w:pPr>
              <w:widowControl/>
              <w:jc w:val="left"/>
              <w:rPr>
                <w:rFonts w:ascii="宋体" w:hAnsi="宋体" w:eastAsia="宋体" w:cs="宋体"/>
                <w:kern w:val="0"/>
                <w:sz w:val="22"/>
              </w:rPr>
            </w:pPr>
            <w:r>
              <w:rPr>
                <w:rFonts w:hint="eastAsia" w:ascii="宋体" w:hAnsi="宋体" w:eastAsia="宋体" w:cs="宋体"/>
                <w:kern w:val="0"/>
                <w:sz w:val="22"/>
              </w:rPr>
              <w:t>　</w:t>
            </w:r>
          </w:p>
        </w:tc>
      </w:tr>
      <w:tr w14:paraId="60427D78">
        <w:tblPrEx>
          <w:tblCellMar>
            <w:top w:w="0" w:type="dxa"/>
            <w:left w:w="108" w:type="dxa"/>
            <w:bottom w:w="0" w:type="dxa"/>
            <w:right w:w="108" w:type="dxa"/>
          </w:tblCellMar>
        </w:tblPrEx>
        <w:trPr>
          <w:trHeight w:val="1020" w:hRule="atLeast"/>
        </w:trPr>
        <w:tc>
          <w:tcPr>
            <w:tcW w:w="238" w:type="pct"/>
            <w:tcBorders>
              <w:top w:val="nil"/>
              <w:left w:val="nil"/>
              <w:bottom w:val="nil"/>
              <w:right w:val="nil"/>
            </w:tcBorders>
            <w:shd w:val="clear" w:color="000000" w:fill="FFFFFF"/>
            <w:vAlign w:val="center"/>
          </w:tcPr>
          <w:p w14:paraId="55F65CDF">
            <w:pPr>
              <w:widowControl/>
              <w:jc w:val="center"/>
              <w:rPr>
                <w:rFonts w:ascii="宋体" w:hAnsi="宋体" w:eastAsia="宋体" w:cs="宋体"/>
                <w:kern w:val="0"/>
                <w:sz w:val="22"/>
              </w:rPr>
            </w:pPr>
            <w:r>
              <w:rPr>
                <w:rFonts w:hint="eastAsia" w:ascii="宋体" w:hAnsi="宋体" w:eastAsia="宋体" w:cs="宋体"/>
                <w:kern w:val="0"/>
                <w:sz w:val="22"/>
              </w:rPr>
              <w:t>25</w:t>
            </w:r>
          </w:p>
        </w:tc>
        <w:tc>
          <w:tcPr>
            <w:tcW w:w="234" w:type="pct"/>
            <w:vMerge w:val="continue"/>
            <w:tcBorders>
              <w:top w:val="nil"/>
              <w:left w:val="single" w:color="auto" w:sz="4" w:space="0"/>
              <w:bottom w:val="single" w:color="000000" w:sz="4" w:space="0"/>
              <w:right w:val="single" w:color="auto" w:sz="4" w:space="0"/>
            </w:tcBorders>
            <w:vAlign w:val="center"/>
          </w:tcPr>
          <w:p w14:paraId="36DA334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3EB466FF">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58757A43">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严重违规情况 </w:t>
            </w:r>
          </w:p>
        </w:tc>
        <w:tc>
          <w:tcPr>
            <w:tcW w:w="943" w:type="pct"/>
            <w:tcBorders>
              <w:top w:val="nil"/>
              <w:left w:val="nil"/>
              <w:bottom w:val="single" w:color="auto" w:sz="4" w:space="0"/>
              <w:right w:val="single" w:color="auto" w:sz="4" w:space="0"/>
            </w:tcBorders>
            <w:shd w:val="clear" w:color="000000" w:fill="FFFFFF"/>
            <w:vAlign w:val="center"/>
          </w:tcPr>
          <w:p w14:paraId="75C7A039">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在博物馆内，无论何种原因、何种矛盾，不允许与观众发生口角和肢体冲突，有问题按照正常途径解决。</w:t>
            </w:r>
          </w:p>
        </w:tc>
        <w:tc>
          <w:tcPr>
            <w:tcW w:w="1713" w:type="pct"/>
            <w:tcBorders>
              <w:top w:val="nil"/>
              <w:left w:val="nil"/>
              <w:bottom w:val="single" w:color="auto" w:sz="4" w:space="0"/>
              <w:right w:val="single" w:color="auto" w:sz="4" w:space="0"/>
            </w:tcBorders>
            <w:shd w:val="clear" w:color="000000" w:fill="FFFFFF"/>
            <w:vAlign w:val="center"/>
          </w:tcPr>
          <w:p w14:paraId="4C98C010">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w:t>
            </w:r>
            <w:r>
              <w:rPr>
                <w:rFonts w:hint="eastAsia" w:ascii="宋体" w:hAnsi="宋体" w:eastAsia="宋体" w:cs="Times New Roman"/>
                <w:kern w:val="0"/>
                <w:sz w:val="20"/>
                <w:szCs w:val="20"/>
              </w:rPr>
              <w:t>发现任何与观众发生纠纷的，每查实一例，扣</w:t>
            </w:r>
            <w:r>
              <w:rPr>
                <w:rFonts w:ascii="Times New Roman" w:hAnsi="Times New Roman" w:eastAsia="宋体" w:cs="Times New Roman"/>
                <w:kern w:val="0"/>
                <w:sz w:val="20"/>
                <w:szCs w:val="20"/>
              </w:rPr>
              <w:t>10</w:t>
            </w:r>
            <w:r>
              <w:rPr>
                <w:rFonts w:hint="eastAsia" w:ascii="宋体" w:hAnsi="宋体" w:eastAsia="宋体" w:cs="Times New Roman"/>
                <w:kern w:val="0"/>
                <w:sz w:val="20"/>
                <w:szCs w:val="20"/>
              </w:rPr>
              <w:t>分。</w:t>
            </w:r>
            <w:r>
              <w:rPr>
                <w:rFonts w:hint="eastAsia" w:ascii="宋体" w:hAnsi="宋体" w:eastAsia="宋体" w:cs="Times New Roman"/>
                <w:kern w:val="0"/>
                <w:sz w:val="20"/>
                <w:szCs w:val="20"/>
              </w:rPr>
              <w:br w:type="textWrapping"/>
            </w:r>
            <w:r>
              <w:rPr>
                <w:rFonts w:ascii="Times New Roman" w:hAnsi="Times New Roman" w:eastAsia="宋体" w:cs="Times New Roman"/>
                <w:kern w:val="0"/>
                <w:sz w:val="20"/>
                <w:szCs w:val="20"/>
              </w:rPr>
              <w:t>2.</w:t>
            </w:r>
            <w:r>
              <w:rPr>
                <w:rFonts w:hint="eastAsia" w:ascii="宋体" w:hAnsi="宋体" w:eastAsia="宋体" w:cs="Times New Roman"/>
                <w:kern w:val="0"/>
                <w:sz w:val="20"/>
                <w:szCs w:val="20"/>
              </w:rPr>
              <w:t>发生游客投诉事件，经核查后定性为有效投诉的，每发生一起扣</w:t>
            </w:r>
            <w:r>
              <w:rPr>
                <w:rFonts w:ascii="Times New Roman" w:hAnsi="Times New Roman" w:eastAsia="宋体" w:cs="Times New Roman"/>
                <w:kern w:val="0"/>
                <w:sz w:val="20"/>
                <w:szCs w:val="20"/>
              </w:rPr>
              <w:t>10</w:t>
            </w:r>
            <w:r>
              <w:rPr>
                <w:rFonts w:hint="eastAsia" w:ascii="宋体" w:hAnsi="宋体" w:eastAsia="宋体" w:cs="Times New Roman"/>
                <w:kern w:val="0"/>
                <w:sz w:val="20"/>
                <w:szCs w:val="20"/>
              </w:rPr>
              <w:t>分。</w:t>
            </w:r>
          </w:p>
        </w:tc>
        <w:tc>
          <w:tcPr>
            <w:tcW w:w="574" w:type="pct"/>
            <w:tcBorders>
              <w:top w:val="nil"/>
              <w:left w:val="nil"/>
              <w:bottom w:val="single" w:color="auto" w:sz="4" w:space="0"/>
              <w:right w:val="single" w:color="auto" w:sz="4" w:space="0"/>
            </w:tcBorders>
            <w:shd w:val="clear" w:color="000000" w:fill="FFFFFF"/>
            <w:noWrap/>
            <w:vAlign w:val="center"/>
          </w:tcPr>
          <w:p w14:paraId="091582C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BC5229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14C1DEE">
            <w:pPr>
              <w:widowControl/>
              <w:jc w:val="left"/>
              <w:rPr>
                <w:rFonts w:ascii="宋体" w:hAnsi="宋体" w:eastAsia="宋体" w:cs="宋体"/>
                <w:kern w:val="0"/>
                <w:sz w:val="22"/>
              </w:rPr>
            </w:pPr>
            <w:r>
              <w:rPr>
                <w:rFonts w:hint="eastAsia" w:ascii="宋体" w:hAnsi="宋体" w:eastAsia="宋体" w:cs="宋体"/>
                <w:kern w:val="0"/>
                <w:sz w:val="22"/>
              </w:rPr>
              <w:t>　</w:t>
            </w:r>
          </w:p>
        </w:tc>
      </w:tr>
      <w:tr w14:paraId="20AF50CB">
        <w:tblPrEx>
          <w:tblCellMar>
            <w:top w:w="0" w:type="dxa"/>
            <w:left w:w="108" w:type="dxa"/>
            <w:bottom w:w="0" w:type="dxa"/>
            <w:right w:w="108" w:type="dxa"/>
          </w:tblCellMar>
        </w:tblPrEx>
        <w:trPr>
          <w:trHeight w:val="1695" w:hRule="atLeast"/>
        </w:trPr>
        <w:tc>
          <w:tcPr>
            <w:tcW w:w="238" w:type="pct"/>
            <w:tcBorders>
              <w:top w:val="single" w:color="auto" w:sz="4" w:space="0"/>
              <w:left w:val="single" w:color="auto" w:sz="4" w:space="0"/>
              <w:bottom w:val="single" w:color="auto" w:sz="4" w:space="0"/>
              <w:right w:val="single" w:color="auto" w:sz="4" w:space="0"/>
            </w:tcBorders>
            <w:shd w:val="clear" w:color="000000" w:fill="FFFFFF"/>
            <w:vAlign w:val="center"/>
          </w:tcPr>
          <w:p w14:paraId="010609AB">
            <w:pPr>
              <w:widowControl/>
              <w:jc w:val="center"/>
              <w:rPr>
                <w:rFonts w:ascii="宋体" w:hAnsi="宋体" w:eastAsia="宋体" w:cs="宋体"/>
                <w:kern w:val="0"/>
                <w:sz w:val="22"/>
              </w:rPr>
            </w:pPr>
            <w:r>
              <w:rPr>
                <w:rFonts w:hint="eastAsia" w:ascii="宋体" w:hAnsi="宋体" w:eastAsia="宋体" w:cs="宋体"/>
                <w:kern w:val="0"/>
                <w:sz w:val="22"/>
              </w:rPr>
              <w:t>26</w:t>
            </w:r>
          </w:p>
        </w:tc>
        <w:tc>
          <w:tcPr>
            <w:tcW w:w="234" w:type="pct"/>
            <w:vMerge w:val="restart"/>
            <w:tcBorders>
              <w:top w:val="nil"/>
              <w:left w:val="single" w:color="auto" w:sz="4" w:space="0"/>
              <w:bottom w:val="single" w:color="000000" w:sz="4" w:space="0"/>
              <w:right w:val="single" w:color="auto" w:sz="4" w:space="0"/>
            </w:tcBorders>
            <w:shd w:val="clear" w:color="000000" w:fill="FFFFFF"/>
            <w:noWrap/>
            <w:textDirection w:val="tbRlV"/>
            <w:vAlign w:val="center"/>
          </w:tcPr>
          <w:p w14:paraId="454B7644">
            <w:pPr>
              <w:widowControl/>
              <w:jc w:val="center"/>
              <w:rPr>
                <w:rFonts w:ascii="宋体" w:hAnsi="宋体" w:eastAsia="宋体" w:cs="宋体"/>
                <w:b/>
                <w:bCs/>
                <w:kern w:val="0"/>
                <w:sz w:val="22"/>
              </w:rPr>
            </w:pPr>
            <w:r>
              <w:rPr>
                <w:rFonts w:hint="eastAsia" w:ascii="宋体" w:hAnsi="宋体" w:eastAsia="宋体" w:cs="宋体"/>
                <w:b/>
                <w:bCs/>
                <w:kern w:val="0"/>
                <w:sz w:val="22"/>
              </w:rPr>
              <w:t>设备设施管理板块</w:t>
            </w:r>
          </w:p>
        </w:tc>
        <w:tc>
          <w:tcPr>
            <w:tcW w:w="275" w:type="pct"/>
            <w:vMerge w:val="restart"/>
            <w:tcBorders>
              <w:top w:val="nil"/>
              <w:left w:val="single" w:color="auto" w:sz="4" w:space="0"/>
              <w:bottom w:val="single" w:color="000000" w:sz="4" w:space="0"/>
              <w:right w:val="single" w:color="auto" w:sz="4" w:space="0"/>
            </w:tcBorders>
            <w:shd w:val="clear" w:color="000000" w:fill="FFFFFF"/>
            <w:vAlign w:val="center"/>
          </w:tcPr>
          <w:p w14:paraId="177B6DE3">
            <w:pPr>
              <w:widowControl/>
              <w:jc w:val="center"/>
              <w:rPr>
                <w:rFonts w:ascii="宋体" w:hAnsi="宋体" w:eastAsia="宋体" w:cs="宋体"/>
                <w:kern w:val="0"/>
                <w:sz w:val="22"/>
              </w:rPr>
            </w:pPr>
            <w:r>
              <w:rPr>
                <w:rFonts w:hint="eastAsia" w:ascii="宋体" w:hAnsi="宋体" w:eastAsia="宋体" w:cs="宋体"/>
                <w:kern w:val="0"/>
                <w:sz w:val="22"/>
              </w:rPr>
              <w:t>物业管理部暖通条线</w:t>
            </w:r>
          </w:p>
        </w:tc>
        <w:tc>
          <w:tcPr>
            <w:tcW w:w="397" w:type="pct"/>
            <w:tcBorders>
              <w:top w:val="nil"/>
              <w:left w:val="nil"/>
              <w:bottom w:val="single" w:color="auto" w:sz="4" w:space="0"/>
              <w:right w:val="single" w:color="auto" w:sz="4" w:space="0"/>
            </w:tcBorders>
            <w:shd w:val="clear" w:color="000000" w:fill="FFFFFF"/>
            <w:vAlign w:val="center"/>
          </w:tcPr>
          <w:p w14:paraId="0A217789">
            <w:pPr>
              <w:widowControl/>
              <w:jc w:val="center"/>
              <w:rPr>
                <w:rFonts w:ascii="宋体" w:hAnsi="宋体" w:eastAsia="宋体" w:cs="宋体"/>
                <w:kern w:val="0"/>
                <w:sz w:val="20"/>
                <w:szCs w:val="20"/>
              </w:rPr>
            </w:pPr>
            <w:r>
              <w:rPr>
                <w:rFonts w:hint="eastAsia" w:ascii="宋体" w:hAnsi="宋体" w:eastAsia="宋体" w:cs="宋体"/>
                <w:kern w:val="0"/>
                <w:sz w:val="20"/>
                <w:szCs w:val="20"/>
              </w:rPr>
              <w:t>冷冻机房</w:t>
            </w:r>
          </w:p>
        </w:tc>
        <w:tc>
          <w:tcPr>
            <w:tcW w:w="943" w:type="pct"/>
            <w:tcBorders>
              <w:top w:val="nil"/>
              <w:left w:val="nil"/>
              <w:bottom w:val="single" w:color="auto" w:sz="4" w:space="0"/>
              <w:right w:val="single" w:color="auto" w:sz="4" w:space="0"/>
            </w:tcBorders>
            <w:shd w:val="clear" w:color="000000" w:fill="FFFFFF"/>
            <w:vAlign w:val="center"/>
          </w:tcPr>
          <w:p w14:paraId="1E9C94FE">
            <w:pPr>
              <w:widowControl/>
              <w:jc w:val="center"/>
              <w:rPr>
                <w:rFonts w:ascii="宋体" w:hAnsi="宋体" w:eastAsia="宋体" w:cs="宋体"/>
                <w:kern w:val="0"/>
                <w:sz w:val="20"/>
                <w:szCs w:val="20"/>
              </w:rPr>
            </w:pPr>
            <w:r>
              <w:rPr>
                <w:rFonts w:hint="eastAsia" w:ascii="宋体" w:hAnsi="宋体" w:eastAsia="宋体" w:cs="宋体"/>
                <w:kern w:val="0"/>
                <w:sz w:val="20"/>
                <w:szCs w:val="20"/>
              </w:rPr>
              <w:t>冷冻机外观清洁、无漏油、阀门开关灵活、传动无异常、保温无破损、表具无损坏、运行记录清楚、机房、设备无积灰、对专业维保单位维保工作进行监管</w:t>
            </w:r>
          </w:p>
        </w:tc>
        <w:tc>
          <w:tcPr>
            <w:tcW w:w="1713" w:type="pct"/>
            <w:tcBorders>
              <w:top w:val="nil"/>
              <w:left w:val="nil"/>
              <w:bottom w:val="single" w:color="auto" w:sz="4" w:space="0"/>
              <w:right w:val="single" w:color="auto" w:sz="4" w:space="0"/>
            </w:tcBorders>
            <w:shd w:val="clear" w:color="000000" w:fill="FFFFFF"/>
            <w:vAlign w:val="center"/>
          </w:tcPr>
          <w:p w14:paraId="54A44D5A">
            <w:pPr>
              <w:widowControl/>
              <w:jc w:val="left"/>
              <w:rPr>
                <w:rFonts w:ascii="宋体" w:hAnsi="宋体" w:eastAsia="宋体" w:cs="宋体"/>
                <w:kern w:val="0"/>
                <w:sz w:val="20"/>
                <w:szCs w:val="20"/>
              </w:rPr>
            </w:pPr>
            <w:r>
              <w:rPr>
                <w:rFonts w:hint="eastAsia" w:ascii="宋体" w:hAnsi="宋体" w:eastAsia="宋体" w:cs="宋体"/>
                <w:kern w:val="0"/>
                <w:sz w:val="20"/>
                <w:szCs w:val="20"/>
              </w:rPr>
              <w:t>1.冷冻机异常        每次扣2分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2.阀门开关不灵活    每只扣0.5分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3.表具有损坏        每只扣0.5分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4.运行记录不完善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5.机房设备积灰      每处扣0.5分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6.保温破损          每处扣1分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7.监管不尽职        每次扣2分</w:t>
            </w:r>
          </w:p>
        </w:tc>
        <w:tc>
          <w:tcPr>
            <w:tcW w:w="574" w:type="pct"/>
            <w:tcBorders>
              <w:top w:val="nil"/>
              <w:left w:val="nil"/>
              <w:bottom w:val="single" w:color="auto" w:sz="4" w:space="0"/>
              <w:right w:val="single" w:color="auto" w:sz="4" w:space="0"/>
            </w:tcBorders>
            <w:shd w:val="clear" w:color="000000" w:fill="FFFFFF"/>
            <w:vAlign w:val="center"/>
          </w:tcPr>
          <w:p w14:paraId="64CBAEA8">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A3C3AC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ADC93C1">
            <w:pPr>
              <w:widowControl/>
              <w:jc w:val="left"/>
              <w:rPr>
                <w:rFonts w:ascii="宋体" w:hAnsi="宋体" w:eastAsia="宋体" w:cs="宋体"/>
                <w:kern w:val="0"/>
                <w:sz w:val="22"/>
              </w:rPr>
            </w:pPr>
            <w:r>
              <w:rPr>
                <w:rFonts w:hint="eastAsia" w:ascii="宋体" w:hAnsi="宋体" w:eastAsia="宋体" w:cs="宋体"/>
                <w:kern w:val="0"/>
                <w:sz w:val="22"/>
              </w:rPr>
              <w:t>　</w:t>
            </w:r>
          </w:p>
        </w:tc>
      </w:tr>
      <w:tr w14:paraId="211EADA7">
        <w:tblPrEx>
          <w:tblCellMar>
            <w:top w:w="0" w:type="dxa"/>
            <w:left w:w="108" w:type="dxa"/>
            <w:bottom w:w="0" w:type="dxa"/>
            <w:right w:w="108" w:type="dxa"/>
          </w:tblCellMar>
        </w:tblPrEx>
        <w:trPr>
          <w:trHeight w:val="16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0AAF12B7">
            <w:pPr>
              <w:widowControl/>
              <w:jc w:val="center"/>
              <w:rPr>
                <w:rFonts w:ascii="宋体" w:hAnsi="宋体" w:eastAsia="宋体" w:cs="宋体"/>
                <w:kern w:val="0"/>
                <w:sz w:val="22"/>
              </w:rPr>
            </w:pPr>
            <w:r>
              <w:rPr>
                <w:rFonts w:hint="eastAsia" w:ascii="宋体" w:hAnsi="宋体" w:eastAsia="宋体" w:cs="宋体"/>
                <w:kern w:val="0"/>
                <w:sz w:val="22"/>
              </w:rPr>
              <w:t>27</w:t>
            </w:r>
          </w:p>
        </w:tc>
        <w:tc>
          <w:tcPr>
            <w:tcW w:w="234" w:type="pct"/>
            <w:vMerge w:val="continue"/>
            <w:tcBorders>
              <w:top w:val="nil"/>
              <w:left w:val="single" w:color="auto" w:sz="4" w:space="0"/>
              <w:bottom w:val="single" w:color="000000" w:sz="4" w:space="0"/>
              <w:right w:val="single" w:color="auto" w:sz="4" w:space="0"/>
            </w:tcBorders>
            <w:vAlign w:val="center"/>
          </w:tcPr>
          <w:p w14:paraId="7ACEA997">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60489E60">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68379E61">
            <w:pPr>
              <w:widowControl/>
              <w:jc w:val="center"/>
              <w:rPr>
                <w:rFonts w:ascii="宋体" w:hAnsi="宋体" w:eastAsia="宋体" w:cs="宋体"/>
                <w:kern w:val="0"/>
                <w:sz w:val="20"/>
                <w:szCs w:val="20"/>
              </w:rPr>
            </w:pPr>
            <w:r>
              <w:rPr>
                <w:rFonts w:hint="eastAsia" w:ascii="宋体" w:hAnsi="宋体" w:eastAsia="宋体" w:cs="宋体"/>
                <w:kern w:val="0"/>
                <w:sz w:val="20"/>
                <w:szCs w:val="20"/>
              </w:rPr>
              <w:t>泵类</w:t>
            </w:r>
          </w:p>
        </w:tc>
        <w:tc>
          <w:tcPr>
            <w:tcW w:w="943" w:type="pct"/>
            <w:tcBorders>
              <w:top w:val="nil"/>
              <w:left w:val="nil"/>
              <w:bottom w:val="single" w:color="auto" w:sz="4" w:space="0"/>
              <w:right w:val="single" w:color="auto" w:sz="4" w:space="0"/>
            </w:tcBorders>
            <w:shd w:val="clear" w:color="000000" w:fill="FFFFFF"/>
            <w:vAlign w:val="center"/>
          </w:tcPr>
          <w:p w14:paraId="46ADA20F">
            <w:pPr>
              <w:widowControl/>
              <w:jc w:val="center"/>
              <w:rPr>
                <w:rFonts w:ascii="宋体" w:hAnsi="宋体" w:eastAsia="宋体" w:cs="宋体"/>
                <w:kern w:val="0"/>
                <w:sz w:val="20"/>
                <w:szCs w:val="20"/>
              </w:rPr>
            </w:pPr>
            <w:r>
              <w:rPr>
                <w:rFonts w:hint="eastAsia" w:ascii="宋体" w:hAnsi="宋体" w:eastAsia="宋体" w:cs="宋体"/>
                <w:kern w:val="0"/>
                <w:sz w:val="20"/>
                <w:szCs w:val="20"/>
              </w:rPr>
              <w:t>外观清洁、无异常振动、无异常声响、联轴器工作正常、润滑良好、紧固件无松动、平衡管无阻塞、排污阀无滴漏、过滤器无堵塞</w:t>
            </w:r>
          </w:p>
        </w:tc>
        <w:tc>
          <w:tcPr>
            <w:tcW w:w="1713" w:type="pct"/>
            <w:tcBorders>
              <w:top w:val="nil"/>
              <w:left w:val="nil"/>
              <w:bottom w:val="single" w:color="auto" w:sz="4" w:space="0"/>
              <w:right w:val="single" w:color="auto" w:sz="4" w:space="0"/>
            </w:tcBorders>
            <w:shd w:val="clear" w:color="000000" w:fill="FFFFFF"/>
            <w:vAlign w:val="center"/>
          </w:tcPr>
          <w:p w14:paraId="787BA464">
            <w:pPr>
              <w:widowControl/>
              <w:jc w:val="left"/>
              <w:rPr>
                <w:rFonts w:ascii="宋体" w:hAnsi="宋体" w:eastAsia="宋体" w:cs="宋体"/>
                <w:kern w:val="0"/>
                <w:sz w:val="20"/>
                <w:szCs w:val="20"/>
              </w:rPr>
            </w:pPr>
            <w:r>
              <w:rPr>
                <w:rFonts w:hint="eastAsia" w:ascii="宋体" w:hAnsi="宋体" w:eastAsia="宋体" w:cs="宋体"/>
                <w:kern w:val="0"/>
                <w:sz w:val="20"/>
                <w:szCs w:val="20"/>
              </w:rPr>
              <w:t>1.异常声响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2.联轴器松动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3.润滑不良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4.过滤器堵塞        每处扣1分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5.紧固件松动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6.排污阀滴漏        每处扣0.5分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7.设备积灰          每次扣0.5分</w:t>
            </w:r>
          </w:p>
        </w:tc>
        <w:tc>
          <w:tcPr>
            <w:tcW w:w="574" w:type="pct"/>
            <w:tcBorders>
              <w:top w:val="nil"/>
              <w:left w:val="nil"/>
              <w:bottom w:val="single" w:color="auto" w:sz="4" w:space="0"/>
              <w:right w:val="single" w:color="auto" w:sz="4" w:space="0"/>
            </w:tcBorders>
            <w:shd w:val="clear" w:color="000000" w:fill="FFFFFF"/>
            <w:noWrap/>
            <w:vAlign w:val="center"/>
          </w:tcPr>
          <w:p w14:paraId="2052520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B971BA5">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8ABD1E6">
            <w:pPr>
              <w:widowControl/>
              <w:jc w:val="left"/>
              <w:rPr>
                <w:rFonts w:ascii="宋体" w:hAnsi="宋体" w:eastAsia="宋体" w:cs="宋体"/>
                <w:kern w:val="0"/>
                <w:sz w:val="22"/>
              </w:rPr>
            </w:pPr>
            <w:r>
              <w:rPr>
                <w:rFonts w:hint="eastAsia" w:ascii="宋体" w:hAnsi="宋体" w:eastAsia="宋体" w:cs="宋体"/>
                <w:kern w:val="0"/>
                <w:sz w:val="22"/>
              </w:rPr>
              <w:t>　</w:t>
            </w:r>
          </w:p>
        </w:tc>
      </w:tr>
      <w:tr w14:paraId="69AFD315">
        <w:tblPrEx>
          <w:tblCellMar>
            <w:top w:w="0" w:type="dxa"/>
            <w:left w:w="108" w:type="dxa"/>
            <w:bottom w:w="0" w:type="dxa"/>
            <w:right w:w="108" w:type="dxa"/>
          </w:tblCellMar>
        </w:tblPrEx>
        <w:trPr>
          <w:trHeight w:val="16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7FB5F661">
            <w:pPr>
              <w:widowControl/>
              <w:jc w:val="center"/>
              <w:rPr>
                <w:rFonts w:ascii="宋体" w:hAnsi="宋体" w:eastAsia="宋体" w:cs="宋体"/>
                <w:kern w:val="0"/>
                <w:sz w:val="22"/>
              </w:rPr>
            </w:pPr>
            <w:r>
              <w:rPr>
                <w:rFonts w:hint="eastAsia" w:ascii="宋体" w:hAnsi="宋体" w:eastAsia="宋体" w:cs="宋体"/>
                <w:kern w:val="0"/>
                <w:sz w:val="22"/>
              </w:rPr>
              <w:t>28</w:t>
            </w:r>
          </w:p>
        </w:tc>
        <w:tc>
          <w:tcPr>
            <w:tcW w:w="234" w:type="pct"/>
            <w:vMerge w:val="continue"/>
            <w:tcBorders>
              <w:top w:val="nil"/>
              <w:left w:val="single" w:color="auto" w:sz="4" w:space="0"/>
              <w:bottom w:val="single" w:color="000000" w:sz="4" w:space="0"/>
              <w:right w:val="single" w:color="auto" w:sz="4" w:space="0"/>
            </w:tcBorders>
            <w:vAlign w:val="center"/>
          </w:tcPr>
          <w:p w14:paraId="1363105F">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4BE94D42">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6FD89E75">
            <w:pPr>
              <w:widowControl/>
              <w:jc w:val="center"/>
              <w:rPr>
                <w:rFonts w:ascii="宋体" w:hAnsi="宋体" w:eastAsia="宋体" w:cs="宋体"/>
                <w:kern w:val="0"/>
                <w:sz w:val="20"/>
                <w:szCs w:val="20"/>
              </w:rPr>
            </w:pPr>
            <w:r>
              <w:rPr>
                <w:rFonts w:hint="eastAsia" w:ascii="宋体" w:hAnsi="宋体" w:eastAsia="宋体" w:cs="宋体"/>
                <w:kern w:val="0"/>
                <w:sz w:val="20"/>
                <w:szCs w:val="20"/>
              </w:rPr>
              <w:t>冷（热）媒水系统</w:t>
            </w:r>
          </w:p>
        </w:tc>
        <w:tc>
          <w:tcPr>
            <w:tcW w:w="943" w:type="pct"/>
            <w:tcBorders>
              <w:top w:val="nil"/>
              <w:left w:val="nil"/>
              <w:bottom w:val="single" w:color="auto" w:sz="4" w:space="0"/>
              <w:right w:val="single" w:color="auto" w:sz="4" w:space="0"/>
            </w:tcBorders>
            <w:shd w:val="clear" w:color="000000" w:fill="FFFFFF"/>
            <w:vAlign w:val="center"/>
          </w:tcPr>
          <w:p w14:paraId="19BE2FA0">
            <w:pPr>
              <w:widowControl/>
              <w:jc w:val="center"/>
              <w:rPr>
                <w:rFonts w:ascii="宋体" w:hAnsi="宋体" w:eastAsia="宋体" w:cs="宋体"/>
                <w:kern w:val="0"/>
                <w:sz w:val="20"/>
                <w:szCs w:val="20"/>
              </w:rPr>
            </w:pPr>
            <w:r>
              <w:rPr>
                <w:rFonts w:hint="eastAsia" w:ascii="宋体" w:hAnsi="宋体" w:eastAsia="宋体" w:cs="宋体"/>
                <w:kern w:val="0"/>
                <w:sz w:val="20"/>
                <w:szCs w:val="20"/>
              </w:rPr>
              <w:t>保温无破损、调节阀门开关灵活、补水装置正常、管路无气堵、无滴漏、自动放气阀工作正常</w:t>
            </w:r>
          </w:p>
        </w:tc>
        <w:tc>
          <w:tcPr>
            <w:tcW w:w="1713" w:type="pct"/>
            <w:tcBorders>
              <w:top w:val="nil"/>
              <w:left w:val="nil"/>
              <w:bottom w:val="single" w:color="auto" w:sz="4" w:space="0"/>
              <w:right w:val="single" w:color="auto" w:sz="4" w:space="0"/>
            </w:tcBorders>
            <w:shd w:val="clear" w:color="000000" w:fill="FFFFFF"/>
            <w:vAlign w:val="center"/>
          </w:tcPr>
          <w:p w14:paraId="212A3A24">
            <w:pPr>
              <w:widowControl/>
              <w:jc w:val="left"/>
              <w:rPr>
                <w:rFonts w:ascii="宋体" w:hAnsi="宋体" w:eastAsia="宋体" w:cs="宋体"/>
                <w:kern w:val="0"/>
                <w:sz w:val="20"/>
                <w:szCs w:val="20"/>
              </w:rPr>
            </w:pPr>
            <w:r>
              <w:rPr>
                <w:rFonts w:hint="eastAsia" w:ascii="宋体" w:hAnsi="宋体" w:eastAsia="宋体" w:cs="宋体"/>
                <w:kern w:val="0"/>
                <w:sz w:val="20"/>
                <w:szCs w:val="20"/>
              </w:rPr>
              <w:t>1.保温破损          每处扣1分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2.调节阀门失灵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3.补水装置异常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4.管路有气堵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5.管路有滴漏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6.管路工作压力异常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7.冷媒水滴漏至展品  每次扣5分</w:t>
            </w:r>
          </w:p>
        </w:tc>
        <w:tc>
          <w:tcPr>
            <w:tcW w:w="574" w:type="pct"/>
            <w:tcBorders>
              <w:top w:val="nil"/>
              <w:left w:val="nil"/>
              <w:bottom w:val="single" w:color="auto" w:sz="4" w:space="0"/>
              <w:right w:val="single" w:color="auto" w:sz="4" w:space="0"/>
            </w:tcBorders>
            <w:shd w:val="clear" w:color="000000" w:fill="FFFFFF"/>
            <w:vAlign w:val="center"/>
          </w:tcPr>
          <w:p w14:paraId="64E19949">
            <w:pPr>
              <w:widowControl/>
              <w:jc w:val="center"/>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DC9D813">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6A7ECB4">
            <w:pPr>
              <w:widowControl/>
              <w:jc w:val="left"/>
              <w:rPr>
                <w:rFonts w:ascii="宋体" w:hAnsi="宋体" w:eastAsia="宋体" w:cs="宋体"/>
                <w:kern w:val="0"/>
                <w:sz w:val="22"/>
              </w:rPr>
            </w:pPr>
            <w:r>
              <w:rPr>
                <w:rFonts w:hint="eastAsia" w:ascii="宋体" w:hAnsi="宋体" w:eastAsia="宋体" w:cs="宋体"/>
                <w:kern w:val="0"/>
                <w:sz w:val="22"/>
              </w:rPr>
              <w:t>　</w:t>
            </w:r>
          </w:p>
        </w:tc>
      </w:tr>
      <w:tr w14:paraId="50755B44">
        <w:tblPrEx>
          <w:tblCellMar>
            <w:top w:w="0" w:type="dxa"/>
            <w:left w:w="108" w:type="dxa"/>
            <w:bottom w:w="0" w:type="dxa"/>
            <w:right w:w="108" w:type="dxa"/>
          </w:tblCellMar>
        </w:tblPrEx>
        <w:trPr>
          <w:trHeight w:val="120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180BE772">
            <w:pPr>
              <w:widowControl/>
              <w:jc w:val="center"/>
              <w:rPr>
                <w:rFonts w:ascii="宋体" w:hAnsi="宋体" w:eastAsia="宋体" w:cs="宋体"/>
                <w:kern w:val="0"/>
                <w:sz w:val="22"/>
              </w:rPr>
            </w:pPr>
            <w:r>
              <w:rPr>
                <w:rFonts w:hint="eastAsia" w:ascii="宋体" w:hAnsi="宋体" w:eastAsia="宋体" w:cs="宋体"/>
                <w:kern w:val="0"/>
                <w:sz w:val="22"/>
              </w:rPr>
              <w:t>29</w:t>
            </w:r>
          </w:p>
        </w:tc>
        <w:tc>
          <w:tcPr>
            <w:tcW w:w="234" w:type="pct"/>
            <w:vMerge w:val="continue"/>
            <w:tcBorders>
              <w:top w:val="nil"/>
              <w:left w:val="single" w:color="auto" w:sz="4" w:space="0"/>
              <w:bottom w:val="single" w:color="000000" w:sz="4" w:space="0"/>
              <w:right w:val="single" w:color="auto" w:sz="4" w:space="0"/>
            </w:tcBorders>
            <w:vAlign w:val="center"/>
          </w:tcPr>
          <w:p w14:paraId="49BBC114">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63456CA4">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7DB62916">
            <w:pPr>
              <w:widowControl/>
              <w:jc w:val="center"/>
              <w:rPr>
                <w:rFonts w:ascii="宋体" w:hAnsi="宋体" w:eastAsia="宋体" w:cs="宋体"/>
                <w:kern w:val="0"/>
                <w:sz w:val="20"/>
                <w:szCs w:val="20"/>
              </w:rPr>
            </w:pPr>
            <w:r>
              <w:rPr>
                <w:rFonts w:hint="eastAsia" w:ascii="宋体" w:hAnsi="宋体" w:eastAsia="宋体" w:cs="宋体"/>
                <w:kern w:val="0"/>
                <w:sz w:val="20"/>
                <w:szCs w:val="20"/>
              </w:rPr>
              <w:t>冷（热）媒水系统</w:t>
            </w:r>
          </w:p>
        </w:tc>
        <w:tc>
          <w:tcPr>
            <w:tcW w:w="943" w:type="pct"/>
            <w:tcBorders>
              <w:top w:val="nil"/>
              <w:left w:val="nil"/>
              <w:bottom w:val="single" w:color="auto" w:sz="4" w:space="0"/>
              <w:right w:val="single" w:color="auto" w:sz="4" w:space="0"/>
            </w:tcBorders>
            <w:shd w:val="clear" w:color="000000" w:fill="FFFFFF"/>
            <w:vAlign w:val="center"/>
          </w:tcPr>
          <w:p w14:paraId="11D3D470">
            <w:pPr>
              <w:widowControl/>
              <w:jc w:val="center"/>
              <w:rPr>
                <w:rFonts w:ascii="宋体" w:hAnsi="宋体" w:eastAsia="宋体" w:cs="宋体"/>
                <w:kern w:val="0"/>
                <w:sz w:val="20"/>
                <w:szCs w:val="20"/>
              </w:rPr>
            </w:pPr>
            <w:r>
              <w:rPr>
                <w:rFonts w:hint="eastAsia" w:ascii="宋体" w:hAnsi="宋体" w:eastAsia="宋体" w:cs="宋体"/>
                <w:kern w:val="0"/>
                <w:sz w:val="20"/>
                <w:szCs w:val="20"/>
              </w:rPr>
              <w:t>设备外观完整、风机运转正常、皮带松紧度适宜、无异常声响、阀门开关灵活、阀门无滴漏、系统调整符合要求、积水盘无漏水、布水器无堵塞、填料干净</w:t>
            </w:r>
          </w:p>
        </w:tc>
        <w:tc>
          <w:tcPr>
            <w:tcW w:w="1713" w:type="pct"/>
            <w:tcBorders>
              <w:top w:val="nil"/>
              <w:left w:val="nil"/>
              <w:bottom w:val="single" w:color="auto" w:sz="4" w:space="0"/>
              <w:right w:val="single" w:color="auto" w:sz="4" w:space="0"/>
            </w:tcBorders>
            <w:shd w:val="clear" w:color="000000" w:fill="FFFFFF"/>
            <w:vAlign w:val="center"/>
          </w:tcPr>
          <w:p w14:paraId="2E564C3B">
            <w:pPr>
              <w:widowControl/>
              <w:jc w:val="left"/>
              <w:rPr>
                <w:rFonts w:ascii="宋体" w:hAnsi="宋体" w:eastAsia="宋体" w:cs="宋体"/>
                <w:kern w:val="0"/>
                <w:sz w:val="20"/>
                <w:szCs w:val="20"/>
              </w:rPr>
            </w:pPr>
            <w:r>
              <w:rPr>
                <w:rFonts w:hint="eastAsia" w:ascii="宋体" w:hAnsi="宋体" w:eastAsia="宋体" w:cs="宋体"/>
                <w:kern w:val="0"/>
                <w:sz w:val="20"/>
                <w:szCs w:val="20"/>
              </w:rPr>
              <w:t>1.设备外观破损       每处扣0.5分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2.风机运转润滑不良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3.皮带松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4.积水盘漏水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5.布水器堵塞        每次扣1分</w:t>
            </w:r>
          </w:p>
        </w:tc>
        <w:tc>
          <w:tcPr>
            <w:tcW w:w="574" w:type="pct"/>
            <w:tcBorders>
              <w:top w:val="nil"/>
              <w:left w:val="nil"/>
              <w:bottom w:val="single" w:color="auto" w:sz="4" w:space="0"/>
              <w:right w:val="single" w:color="auto" w:sz="4" w:space="0"/>
            </w:tcBorders>
            <w:shd w:val="clear" w:color="000000" w:fill="FFFFFF"/>
            <w:noWrap/>
            <w:vAlign w:val="center"/>
          </w:tcPr>
          <w:p w14:paraId="0DBD036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3BCFEE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135EA73">
            <w:pPr>
              <w:widowControl/>
              <w:jc w:val="left"/>
              <w:rPr>
                <w:rFonts w:ascii="宋体" w:hAnsi="宋体" w:eastAsia="宋体" w:cs="宋体"/>
                <w:kern w:val="0"/>
                <w:sz w:val="22"/>
              </w:rPr>
            </w:pPr>
            <w:r>
              <w:rPr>
                <w:rFonts w:hint="eastAsia" w:ascii="宋体" w:hAnsi="宋体" w:eastAsia="宋体" w:cs="宋体"/>
                <w:kern w:val="0"/>
                <w:sz w:val="22"/>
              </w:rPr>
              <w:t>　</w:t>
            </w:r>
          </w:p>
        </w:tc>
      </w:tr>
      <w:tr w14:paraId="3538E4D9">
        <w:tblPrEx>
          <w:tblCellMar>
            <w:top w:w="0" w:type="dxa"/>
            <w:left w:w="108" w:type="dxa"/>
            <w:bottom w:w="0" w:type="dxa"/>
            <w:right w:w="108" w:type="dxa"/>
          </w:tblCellMar>
        </w:tblPrEx>
        <w:trPr>
          <w:trHeight w:val="21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8F8D9E8">
            <w:pPr>
              <w:widowControl/>
              <w:jc w:val="center"/>
              <w:rPr>
                <w:rFonts w:ascii="宋体" w:hAnsi="宋体" w:eastAsia="宋体" w:cs="宋体"/>
                <w:kern w:val="0"/>
                <w:sz w:val="22"/>
              </w:rPr>
            </w:pPr>
            <w:r>
              <w:rPr>
                <w:rFonts w:hint="eastAsia" w:ascii="宋体" w:hAnsi="宋体" w:eastAsia="宋体" w:cs="宋体"/>
                <w:kern w:val="0"/>
                <w:sz w:val="22"/>
              </w:rPr>
              <w:t>30</w:t>
            </w:r>
          </w:p>
        </w:tc>
        <w:tc>
          <w:tcPr>
            <w:tcW w:w="234" w:type="pct"/>
            <w:vMerge w:val="continue"/>
            <w:tcBorders>
              <w:top w:val="nil"/>
              <w:left w:val="single" w:color="auto" w:sz="4" w:space="0"/>
              <w:bottom w:val="single" w:color="000000" w:sz="4" w:space="0"/>
              <w:right w:val="single" w:color="auto" w:sz="4" w:space="0"/>
            </w:tcBorders>
            <w:vAlign w:val="center"/>
          </w:tcPr>
          <w:p w14:paraId="4E40D2D6">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2A022ED2">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3795DB87">
            <w:pPr>
              <w:widowControl/>
              <w:jc w:val="center"/>
              <w:rPr>
                <w:rFonts w:ascii="宋体" w:hAnsi="宋体" w:eastAsia="宋体" w:cs="宋体"/>
                <w:kern w:val="0"/>
                <w:sz w:val="20"/>
                <w:szCs w:val="20"/>
              </w:rPr>
            </w:pPr>
            <w:r>
              <w:rPr>
                <w:rFonts w:hint="eastAsia" w:ascii="宋体" w:hAnsi="宋体" w:eastAsia="宋体" w:cs="宋体"/>
                <w:kern w:val="0"/>
                <w:sz w:val="20"/>
                <w:szCs w:val="20"/>
              </w:rPr>
              <w:t>冷（热）媒水系统</w:t>
            </w:r>
          </w:p>
        </w:tc>
        <w:tc>
          <w:tcPr>
            <w:tcW w:w="943" w:type="pct"/>
            <w:tcBorders>
              <w:top w:val="nil"/>
              <w:left w:val="nil"/>
              <w:bottom w:val="single" w:color="auto" w:sz="4" w:space="0"/>
              <w:right w:val="single" w:color="auto" w:sz="4" w:space="0"/>
            </w:tcBorders>
            <w:shd w:val="clear" w:color="000000" w:fill="FFFFFF"/>
            <w:vAlign w:val="center"/>
          </w:tcPr>
          <w:p w14:paraId="4F116849">
            <w:pPr>
              <w:widowControl/>
              <w:jc w:val="center"/>
              <w:rPr>
                <w:rFonts w:ascii="宋体" w:hAnsi="宋体" w:eastAsia="宋体" w:cs="宋体"/>
                <w:kern w:val="0"/>
                <w:sz w:val="20"/>
                <w:szCs w:val="20"/>
              </w:rPr>
            </w:pPr>
            <w:r>
              <w:rPr>
                <w:rFonts w:hint="eastAsia" w:ascii="宋体" w:hAnsi="宋体" w:eastAsia="宋体" w:cs="宋体"/>
                <w:kern w:val="0"/>
                <w:sz w:val="20"/>
                <w:szCs w:val="20"/>
              </w:rPr>
              <w:t>机组紧固件齐全、末端设备外观完整、机组运转正常、设备无异常声响和振动、阀开关灵活、保温无破损、风管系统无开裂、机组及管道表面无积灰、无油腻、润滑良好、皮带松紧度适宜、滤网无破损、冷凝水无滴落</w:t>
            </w:r>
          </w:p>
        </w:tc>
        <w:tc>
          <w:tcPr>
            <w:tcW w:w="1713" w:type="pct"/>
            <w:tcBorders>
              <w:top w:val="nil"/>
              <w:left w:val="nil"/>
              <w:bottom w:val="single" w:color="auto" w:sz="4" w:space="0"/>
              <w:right w:val="single" w:color="auto" w:sz="4" w:space="0"/>
            </w:tcBorders>
            <w:shd w:val="clear" w:color="000000" w:fill="FFFFFF"/>
            <w:vAlign w:val="center"/>
          </w:tcPr>
          <w:p w14:paraId="5D02F15B">
            <w:pPr>
              <w:widowControl/>
              <w:jc w:val="left"/>
              <w:rPr>
                <w:rFonts w:ascii="宋体" w:hAnsi="宋体" w:eastAsia="宋体" w:cs="宋体"/>
                <w:kern w:val="0"/>
                <w:sz w:val="20"/>
                <w:szCs w:val="20"/>
              </w:rPr>
            </w:pPr>
            <w:r>
              <w:rPr>
                <w:rFonts w:hint="eastAsia" w:ascii="宋体" w:hAnsi="宋体" w:eastAsia="宋体" w:cs="宋体"/>
                <w:kern w:val="0"/>
                <w:sz w:val="20"/>
                <w:szCs w:val="20"/>
              </w:rPr>
              <w:t>1.设备异常声响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2.阀开关不灵活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3.保温破损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4.润滑不良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5.皮带松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6.机房、设备积灰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7.风管开裂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8.冷凝水滴漏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9.冷凝水滴漏至展品  每次扣5分</w:t>
            </w:r>
          </w:p>
        </w:tc>
        <w:tc>
          <w:tcPr>
            <w:tcW w:w="574" w:type="pct"/>
            <w:tcBorders>
              <w:top w:val="nil"/>
              <w:left w:val="nil"/>
              <w:bottom w:val="single" w:color="auto" w:sz="4" w:space="0"/>
              <w:right w:val="single" w:color="auto" w:sz="4" w:space="0"/>
            </w:tcBorders>
            <w:shd w:val="clear" w:color="000000" w:fill="FFFFFF"/>
            <w:noWrap/>
            <w:vAlign w:val="center"/>
          </w:tcPr>
          <w:p w14:paraId="761AB3CB">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59A2062">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36DED6E">
            <w:pPr>
              <w:widowControl/>
              <w:jc w:val="left"/>
              <w:rPr>
                <w:rFonts w:ascii="宋体" w:hAnsi="宋体" w:eastAsia="宋体" w:cs="宋体"/>
                <w:kern w:val="0"/>
                <w:sz w:val="22"/>
              </w:rPr>
            </w:pPr>
            <w:r>
              <w:rPr>
                <w:rFonts w:hint="eastAsia" w:ascii="宋体" w:hAnsi="宋体" w:eastAsia="宋体" w:cs="宋体"/>
                <w:kern w:val="0"/>
                <w:sz w:val="22"/>
              </w:rPr>
              <w:t>　</w:t>
            </w:r>
          </w:p>
        </w:tc>
      </w:tr>
      <w:tr w14:paraId="6B3CDD5F">
        <w:tblPrEx>
          <w:tblCellMar>
            <w:top w:w="0" w:type="dxa"/>
            <w:left w:w="108" w:type="dxa"/>
            <w:bottom w:w="0" w:type="dxa"/>
            <w:right w:w="108" w:type="dxa"/>
          </w:tblCellMar>
        </w:tblPrEx>
        <w:trPr>
          <w:trHeight w:val="240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9C482E1">
            <w:pPr>
              <w:widowControl/>
              <w:jc w:val="center"/>
              <w:rPr>
                <w:rFonts w:ascii="宋体" w:hAnsi="宋体" w:eastAsia="宋体" w:cs="宋体"/>
                <w:kern w:val="0"/>
                <w:sz w:val="22"/>
              </w:rPr>
            </w:pPr>
            <w:r>
              <w:rPr>
                <w:rFonts w:hint="eastAsia" w:ascii="宋体" w:hAnsi="宋体" w:eastAsia="宋体" w:cs="宋体"/>
                <w:kern w:val="0"/>
                <w:sz w:val="22"/>
              </w:rPr>
              <w:t>31</w:t>
            </w:r>
          </w:p>
        </w:tc>
        <w:tc>
          <w:tcPr>
            <w:tcW w:w="234" w:type="pct"/>
            <w:vMerge w:val="continue"/>
            <w:tcBorders>
              <w:top w:val="nil"/>
              <w:left w:val="single" w:color="auto" w:sz="4" w:space="0"/>
              <w:bottom w:val="single" w:color="000000" w:sz="4" w:space="0"/>
              <w:right w:val="single" w:color="auto" w:sz="4" w:space="0"/>
            </w:tcBorders>
            <w:vAlign w:val="center"/>
          </w:tcPr>
          <w:p w14:paraId="1500A8E5">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201CD0C6">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2D825C44">
            <w:pPr>
              <w:widowControl/>
              <w:jc w:val="center"/>
              <w:rPr>
                <w:rFonts w:ascii="宋体" w:hAnsi="宋体" w:eastAsia="宋体" w:cs="宋体"/>
                <w:kern w:val="0"/>
                <w:sz w:val="20"/>
                <w:szCs w:val="20"/>
              </w:rPr>
            </w:pPr>
            <w:r>
              <w:rPr>
                <w:rFonts w:hint="eastAsia" w:ascii="宋体" w:hAnsi="宋体" w:eastAsia="宋体" w:cs="宋体"/>
                <w:kern w:val="0"/>
                <w:sz w:val="20"/>
                <w:szCs w:val="20"/>
              </w:rPr>
              <w:t>冷（热）媒水系统</w:t>
            </w:r>
          </w:p>
        </w:tc>
        <w:tc>
          <w:tcPr>
            <w:tcW w:w="943" w:type="pct"/>
            <w:tcBorders>
              <w:top w:val="nil"/>
              <w:left w:val="nil"/>
              <w:bottom w:val="single" w:color="auto" w:sz="4" w:space="0"/>
              <w:right w:val="single" w:color="auto" w:sz="4" w:space="0"/>
            </w:tcBorders>
            <w:shd w:val="clear" w:color="000000" w:fill="FFFFFF"/>
            <w:vAlign w:val="center"/>
          </w:tcPr>
          <w:p w14:paraId="7FDFD592">
            <w:pPr>
              <w:widowControl/>
              <w:jc w:val="center"/>
              <w:rPr>
                <w:rFonts w:ascii="宋体" w:hAnsi="宋体" w:eastAsia="宋体" w:cs="宋体"/>
                <w:kern w:val="0"/>
                <w:sz w:val="20"/>
                <w:szCs w:val="20"/>
              </w:rPr>
            </w:pPr>
            <w:r>
              <w:rPr>
                <w:rFonts w:hint="eastAsia" w:ascii="宋体" w:hAnsi="宋体" w:eastAsia="宋体" w:cs="宋体"/>
                <w:kern w:val="0"/>
                <w:sz w:val="20"/>
                <w:szCs w:val="20"/>
              </w:rPr>
              <w:t>设备外观清洁、完好、机组运转性能良好、设备无异常声响和振动、排风系统正常、制冷剂充注正常、指示灯正常完好、盛水桶、电极棒及时除垢、滤网清洁、紧固件无松动、补水装置正常、保温无破损、对专业维保单位维保工作进行监管</w:t>
            </w:r>
          </w:p>
        </w:tc>
        <w:tc>
          <w:tcPr>
            <w:tcW w:w="1713" w:type="pct"/>
            <w:tcBorders>
              <w:top w:val="nil"/>
              <w:left w:val="nil"/>
              <w:bottom w:val="single" w:color="auto" w:sz="4" w:space="0"/>
              <w:right w:val="single" w:color="auto" w:sz="4" w:space="0"/>
            </w:tcBorders>
            <w:shd w:val="clear" w:color="000000" w:fill="FFFFFF"/>
            <w:vAlign w:val="center"/>
          </w:tcPr>
          <w:p w14:paraId="0B12E787">
            <w:pPr>
              <w:widowControl/>
              <w:jc w:val="left"/>
              <w:rPr>
                <w:rFonts w:ascii="宋体" w:hAnsi="宋体" w:eastAsia="宋体" w:cs="宋体"/>
                <w:kern w:val="0"/>
                <w:sz w:val="20"/>
                <w:szCs w:val="20"/>
              </w:rPr>
            </w:pPr>
            <w:r>
              <w:rPr>
                <w:rFonts w:hint="eastAsia" w:ascii="宋体" w:hAnsi="宋体" w:eastAsia="宋体" w:cs="宋体"/>
                <w:kern w:val="0"/>
                <w:sz w:val="20"/>
                <w:szCs w:val="20"/>
              </w:rPr>
              <w:t>1.机组运行性能不良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2.设备异常声响和振动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3.制冷剂异常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4.盛水桶、电极棒异常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5.紧固件松动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6.补水装置异常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7.保温破损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8.设备积灰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9.滤网不清洁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10.温湿度控制超范围 每次扣0.5分</w:t>
            </w:r>
          </w:p>
        </w:tc>
        <w:tc>
          <w:tcPr>
            <w:tcW w:w="574" w:type="pct"/>
            <w:tcBorders>
              <w:top w:val="nil"/>
              <w:left w:val="nil"/>
              <w:bottom w:val="single" w:color="auto" w:sz="4" w:space="0"/>
              <w:right w:val="single" w:color="auto" w:sz="4" w:space="0"/>
            </w:tcBorders>
            <w:shd w:val="clear" w:color="000000" w:fill="FFFFFF"/>
            <w:vAlign w:val="center"/>
          </w:tcPr>
          <w:p w14:paraId="7C3C65E5">
            <w:pPr>
              <w:widowControl/>
              <w:jc w:val="left"/>
              <w:rPr>
                <w:rFonts w:ascii="宋体" w:hAnsi="宋体" w:eastAsia="宋体" w:cs="宋体"/>
                <w:color w:val="FF0000"/>
                <w:kern w:val="0"/>
                <w:sz w:val="22"/>
              </w:rPr>
            </w:pPr>
            <w:r>
              <w:rPr>
                <w:rFonts w:hint="eastAsia" w:ascii="宋体" w:hAnsi="宋体" w:eastAsia="宋体" w:cs="宋体"/>
                <w:color w:val="FF0000"/>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7278B5F">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8FD55E3">
            <w:pPr>
              <w:widowControl/>
              <w:jc w:val="left"/>
              <w:rPr>
                <w:rFonts w:ascii="宋体" w:hAnsi="宋体" w:eastAsia="宋体" w:cs="宋体"/>
                <w:kern w:val="0"/>
                <w:sz w:val="22"/>
              </w:rPr>
            </w:pPr>
            <w:r>
              <w:rPr>
                <w:rFonts w:hint="eastAsia" w:ascii="宋体" w:hAnsi="宋体" w:eastAsia="宋体" w:cs="宋体"/>
                <w:kern w:val="0"/>
                <w:sz w:val="22"/>
              </w:rPr>
              <w:t>　</w:t>
            </w:r>
          </w:p>
        </w:tc>
      </w:tr>
      <w:tr w14:paraId="1A1E46D9">
        <w:tblPrEx>
          <w:tblCellMar>
            <w:top w:w="0" w:type="dxa"/>
            <w:left w:w="108" w:type="dxa"/>
            <w:bottom w:w="0" w:type="dxa"/>
            <w:right w:w="108" w:type="dxa"/>
          </w:tblCellMar>
        </w:tblPrEx>
        <w:trPr>
          <w:trHeight w:val="16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268BB419">
            <w:pPr>
              <w:widowControl/>
              <w:jc w:val="center"/>
              <w:rPr>
                <w:rFonts w:ascii="宋体" w:hAnsi="宋体" w:eastAsia="宋体" w:cs="宋体"/>
                <w:kern w:val="0"/>
                <w:sz w:val="22"/>
              </w:rPr>
            </w:pPr>
            <w:r>
              <w:rPr>
                <w:rFonts w:hint="eastAsia" w:ascii="宋体" w:hAnsi="宋体" w:eastAsia="宋体" w:cs="宋体"/>
                <w:kern w:val="0"/>
                <w:sz w:val="22"/>
              </w:rPr>
              <w:t>32</w:t>
            </w:r>
          </w:p>
        </w:tc>
        <w:tc>
          <w:tcPr>
            <w:tcW w:w="234" w:type="pct"/>
            <w:vMerge w:val="continue"/>
            <w:tcBorders>
              <w:top w:val="nil"/>
              <w:left w:val="single" w:color="auto" w:sz="4" w:space="0"/>
              <w:bottom w:val="single" w:color="000000" w:sz="4" w:space="0"/>
              <w:right w:val="single" w:color="auto" w:sz="4" w:space="0"/>
            </w:tcBorders>
            <w:vAlign w:val="center"/>
          </w:tcPr>
          <w:p w14:paraId="4DB10112">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1BBC7512">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0C4775CC">
            <w:pPr>
              <w:widowControl/>
              <w:jc w:val="center"/>
              <w:rPr>
                <w:rFonts w:ascii="宋体" w:hAnsi="宋体" w:eastAsia="宋体" w:cs="宋体"/>
                <w:kern w:val="0"/>
                <w:sz w:val="20"/>
                <w:szCs w:val="20"/>
              </w:rPr>
            </w:pPr>
            <w:r>
              <w:rPr>
                <w:rFonts w:hint="eastAsia" w:ascii="宋体" w:hAnsi="宋体" w:eastAsia="宋体" w:cs="宋体"/>
                <w:kern w:val="0"/>
                <w:sz w:val="20"/>
                <w:szCs w:val="20"/>
              </w:rPr>
              <w:t>空调箱</w:t>
            </w:r>
          </w:p>
        </w:tc>
        <w:tc>
          <w:tcPr>
            <w:tcW w:w="943" w:type="pct"/>
            <w:tcBorders>
              <w:top w:val="nil"/>
              <w:left w:val="nil"/>
              <w:bottom w:val="single" w:color="auto" w:sz="4" w:space="0"/>
              <w:right w:val="single" w:color="auto" w:sz="4" w:space="0"/>
            </w:tcBorders>
            <w:shd w:val="clear" w:color="000000" w:fill="FFFFFF"/>
            <w:vAlign w:val="center"/>
          </w:tcPr>
          <w:p w14:paraId="5B7C2F24">
            <w:pPr>
              <w:widowControl/>
              <w:jc w:val="center"/>
              <w:rPr>
                <w:rFonts w:ascii="宋体" w:hAnsi="宋体" w:eastAsia="宋体" w:cs="宋体"/>
                <w:kern w:val="0"/>
                <w:sz w:val="20"/>
                <w:szCs w:val="20"/>
              </w:rPr>
            </w:pPr>
            <w:r>
              <w:rPr>
                <w:rFonts w:hint="eastAsia" w:ascii="宋体" w:hAnsi="宋体" w:eastAsia="宋体" w:cs="宋体"/>
                <w:kern w:val="0"/>
                <w:sz w:val="20"/>
                <w:szCs w:val="20"/>
              </w:rPr>
              <w:t>设备外观完整、马达运转正常、皮带松紧度适宜、无异常声响、阀门开关灵活、系统调整符合要求、定时巡检，有巡检记录</w:t>
            </w:r>
          </w:p>
        </w:tc>
        <w:tc>
          <w:tcPr>
            <w:tcW w:w="1713" w:type="pct"/>
            <w:tcBorders>
              <w:top w:val="nil"/>
              <w:left w:val="nil"/>
              <w:bottom w:val="single" w:color="auto" w:sz="4" w:space="0"/>
              <w:right w:val="single" w:color="auto" w:sz="4" w:space="0"/>
            </w:tcBorders>
            <w:shd w:val="clear" w:color="000000" w:fill="FFFFFF"/>
            <w:vAlign w:val="center"/>
          </w:tcPr>
          <w:p w14:paraId="47AB9187">
            <w:pPr>
              <w:widowControl/>
              <w:jc w:val="left"/>
              <w:rPr>
                <w:rFonts w:ascii="宋体" w:hAnsi="宋体" w:eastAsia="宋体" w:cs="宋体"/>
                <w:kern w:val="0"/>
                <w:sz w:val="20"/>
                <w:szCs w:val="20"/>
              </w:rPr>
            </w:pPr>
            <w:r>
              <w:rPr>
                <w:rFonts w:hint="eastAsia" w:ascii="宋体" w:hAnsi="宋体" w:eastAsia="宋体" w:cs="宋体"/>
                <w:kern w:val="0"/>
                <w:sz w:val="20"/>
                <w:szCs w:val="20"/>
              </w:rPr>
              <w:t>1.设备异常声响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2.轴承损坏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3.润滑不良          每次扣1分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4.皮带松            每处扣1分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5.马达运转不正常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6.无巡检记录        每处扣0.5分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7.设备积灰          每次扣0.5分</w:t>
            </w:r>
          </w:p>
        </w:tc>
        <w:tc>
          <w:tcPr>
            <w:tcW w:w="574" w:type="pct"/>
            <w:tcBorders>
              <w:top w:val="nil"/>
              <w:left w:val="nil"/>
              <w:bottom w:val="single" w:color="auto" w:sz="4" w:space="0"/>
              <w:right w:val="single" w:color="auto" w:sz="4" w:space="0"/>
            </w:tcBorders>
            <w:shd w:val="clear" w:color="000000" w:fill="FFFFFF"/>
            <w:noWrap/>
            <w:vAlign w:val="center"/>
          </w:tcPr>
          <w:p w14:paraId="5698AC0C">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C9FF6F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6B81899">
            <w:pPr>
              <w:widowControl/>
              <w:jc w:val="left"/>
              <w:rPr>
                <w:rFonts w:ascii="宋体" w:hAnsi="宋体" w:eastAsia="宋体" w:cs="宋体"/>
                <w:kern w:val="0"/>
                <w:sz w:val="22"/>
              </w:rPr>
            </w:pPr>
            <w:r>
              <w:rPr>
                <w:rFonts w:hint="eastAsia" w:ascii="宋体" w:hAnsi="宋体" w:eastAsia="宋体" w:cs="宋体"/>
                <w:kern w:val="0"/>
                <w:sz w:val="22"/>
              </w:rPr>
              <w:t>　</w:t>
            </w:r>
          </w:p>
        </w:tc>
      </w:tr>
      <w:tr w14:paraId="622C5780">
        <w:tblPrEx>
          <w:tblCellMar>
            <w:top w:w="0" w:type="dxa"/>
            <w:left w:w="108" w:type="dxa"/>
            <w:bottom w:w="0" w:type="dxa"/>
            <w:right w:w="108" w:type="dxa"/>
          </w:tblCellMar>
        </w:tblPrEx>
        <w:trPr>
          <w:trHeight w:val="72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8B09A27">
            <w:pPr>
              <w:widowControl/>
              <w:jc w:val="center"/>
              <w:rPr>
                <w:rFonts w:ascii="宋体" w:hAnsi="宋体" w:eastAsia="宋体" w:cs="宋体"/>
                <w:kern w:val="0"/>
                <w:sz w:val="22"/>
              </w:rPr>
            </w:pPr>
            <w:r>
              <w:rPr>
                <w:rFonts w:hint="eastAsia" w:ascii="宋体" w:hAnsi="宋体" w:eastAsia="宋体" w:cs="宋体"/>
                <w:kern w:val="0"/>
                <w:sz w:val="22"/>
              </w:rPr>
              <w:t>33</w:t>
            </w:r>
          </w:p>
        </w:tc>
        <w:tc>
          <w:tcPr>
            <w:tcW w:w="234" w:type="pct"/>
            <w:vMerge w:val="continue"/>
            <w:tcBorders>
              <w:top w:val="nil"/>
              <w:left w:val="single" w:color="auto" w:sz="4" w:space="0"/>
              <w:bottom w:val="single" w:color="000000" w:sz="4" w:space="0"/>
              <w:right w:val="single" w:color="auto" w:sz="4" w:space="0"/>
            </w:tcBorders>
            <w:vAlign w:val="center"/>
          </w:tcPr>
          <w:p w14:paraId="71094728">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4CAF36C7">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1D221F94">
            <w:pPr>
              <w:widowControl/>
              <w:jc w:val="center"/>
              <w:rPr>
                <w:rFonts w:ascii="宋体" w:hAnsi="宋体" w:eastAsia="宋体" w:cs="宋体"/>
                <w:kern w:val="0"/>
                <w:sz w:val="20"/>
                <w:szCs w:val="20"/>
              </w:rPr>
            </w:pPr>
            <w:r>
              <w:rPr>
                <w:rFonts w:hint="eastAsia" w:ascii="宋体" w:hAnsi="宋体" w:eastAsia="宋体" w:cs="宋体"/>
                <w:kern w:val="0"/>
                <w:sz w:val="20"/>
                <w:szCs w:val="20"/>
              </w:rPr>
              <w:t>设备机房</w:t>
            </w:r>
          </w:p>
        </w:tc>
        <w:tc>
          <w:tcPr>
            <w:tcW w:w="943" w:type="pct"/>
            <w:tcBorders>
              <w:top w:val="nil"/>
              <w:left w:val="nil"/>
              <w:bottom w:val="single" w:color="auto" w:sz="4" w:space="0"/>
              <w:right w:val="single" w:color="auto" w:sz="4" w:space="0"/>
            </w:tcBorders>
            <w:shd w:val="clear" w:color="000000" w:fill="FFFFFF"/>
            <w:vAlign w:val="center"/>
          </w:tcPr>
          <w:p w14:paraId="6486278F">
            <w:pPr>
              <w:widowControl/>
              <w:jc w:val="center"/>
              <w:rPr>
                <w:rFonts w:ascii="宋体" w:hAnsi="宋体" w:eastAsia="宋体" w:cs="宋体"/>
                <w:kern w:val="0"/>
                <w:sz w:val="20"/>
                <w:szCs w:val="20"/>
              </w:rPr>
            </w:pPr>
            <w:r>
              <w:rPr>
                <w:rFonts w:hint="eastAsia" w:ascii="宋体" w:hAnsi="宋体" w:eastAsia="宋体" w:cs="宋体"/>
                <w:kern w:val="0"/>
                <w:sz w:val="20"/>
                <w:szCs w:val="20"/>
              </w:rPr>
              <w:t>设备机房定期清洁、无堆物、设备维护检修空间保持通畅</w:t>
            </w:r>
          </w:p>
        </w:tc>
        <w:tc>
          <w:tcPr>
            <w:tcW w:w="1713" w:type="pct"/>
            <w:tcBorders>
              <w:top w:val="nil"/>
              <w:left w:val="nil"/>
              <w:bottom w:val="single" w:color="auto" w:sz="4" w:space="0"/>
              <w:right w:val="single" w:color="auto" w:sz="4" w:space="0"/>
            </w:tcBorders>
            <w:shd w:val="clear" w:color="000000" w:fill="FFFFFF"/>
            <w:vAlign w:val="center"/>
          </w:tcPr>
          <w:p w14:paraId="55E4B90F">
            <w:pPr>
              <w:widowControl/>
              <w:jc w:val="left"/>
              <w:rPr>
                <w:rFonts w:ascii="宋体" w:hAnsi="宋体" w:eastAsia="宋体" w:cs="宋体"/>
                <w:kern w:val="0"/>
                <w:sz w:val="20"/>
                <w:szCs w:val="20"/>
              </w:rPr>
            </w:pPr>
            <w:r>
              <w:rPr>
                <w:rFonts w:hint="eastAsia" w:ascii="宋体" w:hAnsi="宋体" w:eastAsia="宋体" w:cs="宋体"/>
                <w:kern w:val="0"/>
                <w:sz w:val="20"/>
                <w:szCs w:val="20"/>
              </w:rPr>
              <w:t>1.设备机房未清洁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2.机房存在堆物      每次扣0.5分</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3.设备检修空间堵塞  每次扣0.5分</w:t>
            </w:r>
          </w:p>
        </w:tc>
        <w:tc>
          <w:tcPr>
            <w:tcW w:w="574" w:type="pct"/>
            <w:tcBorders>
              <w:top w:val="nil"/>
              <w:left w:val="nil"/>
              <w:bottom w:val="single" w:color="auto" w:sz="4" w:space="0"/>
              <w:right w:val="single" w:color="auto" w:sz="4" w:space="0"/>
            </w:tcBorders>
            <w:shd w:val="clear" w:color="000000" w:fill="FFFFFF"/>
            <w:noWrap/>
            <w:vAlign w:val="center"/>
          </w:tcPr>
          <w:p w14:paraId="3779E817">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B4C2EB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4B2BA5A">
            <w:pPr>
              <w:widowControl/>
              <w:jc w:val="left"/>
              <w:rPr>
                <w:rFonts w:ascii="宋体" w:hAnsi="宋体" w:eastAsia="宋体" w:cs="宋体"/>
                <w:kern w:val="0"/>
                <w:sz w:val="22"/>
              </w:rPr>
            </w:pPr>
            <w:r>
              <w:rPr>
                <w:rFonts w:hint="eastAsia" w:ascii="宋体" w:hAnsi="宋体" w:eastAsia="宋体" w:cs="宋体"/>
                <w:kern w:val="0"/>
                <w:sz w:val="22"/>
              </w:rPr>
              <w:t>　</w:t>
            </w:r>
          </w:p>
        </w:tc>
      </w:tr>
      <w:tr w14:paraId="0B9F7D5E">
        <w:tblPrEx>
          <w:tblCellMar>
            <w:top w:w="0" w:type="dxa"/>
            <w:left w:w="108" w:type="dxa"/>
            <w:bottom w:w="0" w:type="dxa"/>
            <w:right w:w="108" w:type="dxa"/>
          </w:tblCellMar>
        </w:tblPrEx>
        <w:trPr>
          <w:trHeight w:val="27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126CFA2">
            <w:pPr>
              <w:widowControl/>
              <w:jc w:val="center"/>
              <w:rPr>
                <w:rFonts w:ascii="宋体" w:hAnsi="宋体" w:eastAsia="宋体" w:cs="宋体"/>
                <w:kern w:val="0"/>
                <w:sz w:val="22"/>
              </w:rPr>
            </w:pPr>
            <w:r>
              <w:rPr>
                <w:rFonts w:hint="eastAsia" w:ascii="宋体" w:hAnsi="宋体" w:eastAsia="宋体" w:cs="宋体"/>
                <w:kern w:val="0"/>
                <w:sz w:val="22"/>
              </w:rPr>
              <w:t>34</w:t>
            </w:r>
          </w:p>
        </w:tc>
        <w:tc>
          <w:tcPr>
            <w:tcW w:w="234" w:type="pct"/>
            <w:vMerge w:val="continue"/>
            <w:tcBorders>
              <w:top w:val="nil"/>
              <w:left w:val="single" w:color="auto" w:sz="4" w:space="0"/>
              <w:bottom w:val="single" w:color="000000" w:sz="4" w:space="0"/>
              <w:right w:val="single" w:color="auto" w:sz="4" w:space="0"/>
            </w:tcBorders>
            <w:vAlign w:val="center"/>
          </w:tcPr>
          <w:p w14:paraId="16FB8F67">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3D6E4F2F">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12147341">
            <w:pPr>
              <w:widowControl/>
              <w:jc w:val="center"/>
              <w:rPr>
                <w:rFonts w:ascii="宋体" w:hAnsi="宋体" w:eastAsia="宋体" w:cs="宋体"/>
                <w:kern w:val="0"/>
                <w:sz w:val="20"/>
                <w:szCs w:val="20"/>
              </w:rPr>
            </w:pPr>
            <w:r>
              <w:rPr>
                <w:rFonts w:hint="eastAsia" w:ascii="宋体" w:hAnsi="宋体" w:eastAsia="宋体" w:cs="宋体"/>
                <w:kern w:val="0"/>
                <w:sz w:val="20"/>
                <w:szCs w:val="20"/>
              </w:rPr>
              <w:t>空气质量</w:t>
            </w:r>
          </w:p>
        </w:tc>
        <w:tc>
          <w:tcPr>
            <w:tcW w:w="943" w:type="pct"/>
            <w:tcBorders>
              <w:top w:val="nil"/>
              <w:left w:val="nil"/>
              <w:bottom w:val="single" w:color="auto" w:sz="4" w:space="0"/>
              <w:right w:val="single" w:color="auto" w:sz="4" w:space="0"/>
            </w:tcBorders>
            <w:shd w:val="clear" w:color="000000" w:fill="FFFFFF"/>
            <w:vAlign w:val="center"/>
          </w:tcPr>
          <w:p w14:paraId="7624BB1E">
            <w:pPr>
              <w:widowControl/>
              <w:jc w:val="center"/>
              <w:rPr>
                <w:rFonts w:ascii="宋体" w:hAnsi="宋体" w:eastAsia="宋体" w:cs="宋体"/>
                <w:kern w:val="0"/>
                <w:sz w:val="20"/>
                <w:szCs w:val="20"/>
              </w:rPr>
            </w:pPr>
            <w:r>
              <w:rPr>
                <w:rFonts w:hint="eastAsia" w:ascii="宋体" w:hAnsi="宋体" w:eastAsia="宋体" w:cs="宋体"/>
                <w:kern w:val="0"/>
                <w:sz w:val="20"/>
                <w:szCs w:val="20"/>
              </w:rPr>
              <w:t>温度和湿度控制适宜、清晰、无异味、滤网干净</w:t>
            </w:r>
          </w:p>
        </w:tc>
        <w:tc>
          <w:tcPr>
            <w:tcW w:w="1713" w:type="pct"/>
            <w:tcBorders>
              <w:top w:val="nil"/>
              <w:left w:val="nil"/>
              <w:bottom w:val="single" w:color="auto" w:sz="4" w:space="0"/>
              <w:right w:val="single" w:color="auto" w:sz="4" w:space="0"/>
            </w:tcBorders>
            <w:shd w:val="clear" w:color="000000" w:fill="FFFFFF"/>
            <w:vAlign w:val="center"/>
          </w:tcPr>
          <w:p w14:paraId="39949565">
            <w:pPr>
              <w:widowControl/>
              <w:jc w:val="center"/>
              <w:rPr>
                <w:rFonts w:ascii="宋体" w:hAnsi="宋体" w:eastAsia="宋体" w:cs="宋体"/>
                <w:kern w:val="0"/>
                <w:sz w:val="20"/>
                <w:szCs w:val="20"/>
              </w:rPr>
            </w:pPr>
            <w:r>
              <w:rPr>
                <w:rFonts w:hint="eastAsia" w:ascii="宋体" w:hAnsi="宋体" w:eastAsia="宋体" w:cs="宋体"/>
                <w:kern w:val="0"/>
                <w:sz w:val="20"/>
                <w:szCs w:val="20"/>
              </w:rPr>
              <w:t>1.不符合要求        每次扣1分</w:t>
            </w:r>
          </w:p>
        </w:tc>
        <w:tc>
          <w:tcPr>
            <w:tcW w:w="574" w:type="pct"/>
            <w:tcBorders>
              <w:top w:val="nil"/>
              <w:left w:val="nil"/>
              <w:bottom w:val="single" w:color="auto" w:sz="4" w:space="0"/>
              <w:right w:val="single" w:color="auto" w:sz="4" w:space="0"/>
            </w:tcBorders>
            <w:shd w:val="clear" w:color="000000" w:fill="FFFFFF"/>
            <w:noWrap/>
            <w:vAlign w:val="center"/>
          </w:tcPr>
          <w:p w14:paraId="55E0B51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5C9E127">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F635D9C">
            <w:pPr>
              <w:widowControl/>
              <w:jc w:val="left"/>
              <w:rPr>
                <w:rFonts w:ascii="宋体" w:hAnsi="宋体" w:eastAsia="宋体" w:cs="宋体"/>
                <w:kern w:val="0"/>
                <w:sz w:val="22"/>
              </w:rPr>
            </w:pPr>
            <w:r>
              <w:rPr>
                <w:rFonts w:hint="eastAsia" w:ascii="宋体" w:hAnsi="宋体" w:eastAsia="宋体" w:cs="宋体"/>
                <w:kern w:val="0"/>
                <w:sz w:val="22"/>
              </w:rPr>
              <w:t>　</w:t>
            </w:r>
          </w:p>
        </w:tc>
      </w:tr>
      <w:tr w14:paraId="303523FC">
        <w:tblPrEx>
          <w:tblCellMar>
            <w:top w:w="0" w:type="dxa"/>
            <w:left w:w="108" w:type="dxa"/>
            <w:bottom w:w="0" w:type="dxa"/>
            <w:right w:w="108" w:type="dxa"/>
          </w:tblCellMar>
        </w:tblPrEx>
        <w:trPr>
          <w:trHeight w:val="27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7618FAC3">
            <w:pPr>
              <w:widowControl/>
              <w:jc w:val="center"/>
              <w:rPr>
                <w:rFonts w:ascii="宋体" w:hAnsi="宋体" w:eastAsia="宋体" w:cs="宋体"/>
                <w:kern w:val="0"/>
                <w:sz w:val="22"/>
              </w:rPr>
            </w:pPr>
            <w:r>
              <w:rPr>
                <w:rFonts w:hint="eastAsia" w:ascii="宋体" w:hAnsi="宋体" w:eastAsia="宋体" w:cs="宋体"/>
                <w:kern w:val="0"/>
                <w:sz w:val="22"/>
              </w:rPr>
              <w:t>35</w:t>
            </w:r>
          </w:p>
        </w:tc>
        <w:tc>
          <w:tcPr>
            <w:tcW w:w="234" w:type="pct"/>
            <w:vMerge w:val="continue"/>
            <w:tcBorders>
              <w:top w:val="nil"/>
              <w:left w:val="single" w:color="auto" w:sz="4" w:space="0"/>
              <w:bottom w:val="single" w:color="000000" w:sz="4" w:space="0"/>
              <w:right w:val="single" w:color="auto" w:sz="4" w:space="0"/>
            </w:tcBorders>
            <w:vAlign w:val="center"/>
          </w:tcPr>
          <w:p w14:paraId="7049ECA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14040C17">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noWrap/>
            <w:vAlign w:val="center"/>
          </w:tcPr>
          <w:p w14:paraId="6085D6C0">
            <w:pPr>
              <w:widowControl/>
              <w:jc w:val="center"/>
              <w:rPr>
                <w:rFonts w:ascii="宋体" w:hAnsi="宋体" w:eastAsia="宋体" w:cs="宋体"/>
                <w:kern w:val="0"/>
                <w:sz w:val="22"/>
              </w:rPr>
            </w:pPr>
            <w:r>
              <w:rPr>
                <w:rFonts w:hint="eastAsia" w:ascii="宋体" w:hAnsi="宋体" w:eastAsia="宋体" w:cs="宋体"/>
                <w:kern w:val="0"/>
                <w:sz w:val="22"/>
              </w:rPr>
              <w:t>其他</w:t>
            </w:r>
          </w:p>
        </w:tc>
        <w:tc>
          <w:tcPr>
            <w:tcW w:w="943" w:type="pct"/>
            <w:tcBorders>
              <w:top w:val="nil"/>
              <w:left w:val="nil"/>
              <w:bottom w:val="single" w:color="auto" w:sz="4" w:space="0"/>
              <w:right w:val="single" w:color="auto" w:sz="4" w:space="0"/>
            </w:tcBorders>
            <w:shd w:val="clear" w:color="000000" w:fill="FFFFFF"/>
            <w:noWrap/>
            <w:vAlign w:val="center"/>
          </w:tcPr>
          <w:p w14:paraId="285C2DEC">
            <w:pPr>
              <w:widowControl/>
              <w:jc w:val="center"/>
              <w:rPr>
                <w:rFonts w:ascii="宋体" w:hAnsi="宋体" w:eastAsia="宋体" w:cs="宋体"/>
                <w:kern w:val="0"/>
                <w:sz w:val="22"/>
              </w:rPr>
            </w:pPr>
            <w:r>
              <w:rPr>
                <w:rFonts w:hint="eastAsia" w:ascii="宋体" w:hAnsi="宋体" w:eastAsia="宋体" w:cs="宋体"/>
                <w:kern w:val="0"/>
                <w:sz w:val="22"/>
              </w:rPr>
              <w:t>设备台账按要求规范填写</w:t>
            </w:r>
          </w:p>
        </w:tc>
        <w:tc>
          <w:tcPr>
            <w:tcW w:w="1713" w:type="pct"/>
            <w:tcBorders>
              <w:top w:val="nil"/>
              <w:left w:val="nil"/>
              <w:bottom w:val="single" w:color="auto" w:sz="4" w:space="0"/>
              <w:right w:val="single" w:color="auto" w:sz="4" w:space="0"/>
            </w:tcBorders>
            <w:shd w:val="clear" w:color="000000" w:fill="FFFFFF"/>
            <w:noWrap/>
            <w:vAlign w:val="center"/>
          </w:tcPr>
          <w:p w14:paraId="590661DF">
            <w:pPr>
              <w:widowControl/>
              <w:jc w:val="center"/>
              <w:rPr>
                <w:rFonts w:ascii="宋体" w:hAnsi="宋体" w:eastAsia="宋体" w:cs="宋体"/>
                <w:kern w:val="0"/>
                <w:sz w:val="22"/>
              </w:rPr>
            </w:pPr>
            <w:r>
              <w:rPr>
                <w:rFonts w:hint="eastAsia" w:ascii="宋体" w:hAnsi="宋体" w:eastAsia="宋体" w:cs="宋体"/>
                <w:kern w:val="0"/>
                <w:sz w:val="22"/>
              </w:rPr>
              <w:t>1.不符合要求        每次扣1分</w:t>
            </w:r>
          </w:p>
        </w:tc>
        <w:tc>
          <w:tcPr>
            <w:tcW w:w="574" w:type="pct"/>
            <w:tcBorders>
              <w:top w:val="nil"/>
              <w:left w:val="nil"/>
              <w:bottom w:val="single" w:color="auto" w:sz="4" w:space="0"/>
              <w:right w:val="single" w:color="auto" w:sz="4" w:space="0"/>
            </w:tcBorders>
            <w:shd w:val="clear" w:color="000000" w:fill="FFFFFF"/>
            <w:vAlign w:val="center"/>
          </w:tcPr>
          <w:p w14:paraId="19649AB5">
            <w:pPr>
              <w:widowControl/>
              <w:jc w:val="center"/>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D83C475">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D354999">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r>
      <w:tr w14:paraId="7D91CB4B">
        <w:tblPrEx>
          <w:tblCellMar>
            <w:top w:w="0" w:type="dxa"/>
            <w:left w:w="108" w:type="dxa"/>
            <w:bottom w:w="0" w:type="dxa"/>
            <w:right w:w="108" w:type="dxa"/>
          </w:tblCellMar>
        </w:tblPrEx>
        <w:trPr>
          <w:trHeight w:val="120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1E6EFCAF">
            <w:pPr>
              <w:widowControl/>
              <w:jc w:val="center"/>
              <w:rPr>
                <w:rFonts w:ascii="宋体" w:hAnsi="宋体" w:eastAsia="宋体" w:cs="宋体"/>
                <w:kern w:val="0"/>
                <w:sz w:val="22"/>
              </w:rPr>
            </w:pPr>
            <w:r>
              <w:rPr>
                <w:rFonts w:hint="eastAsia" w:ascii="宋体" w:hAnsi="宋体" w:eastAsia="宋体" w:cs="宋体"/>
                <w:kern w:val="0"/>
                <w:sz w:val="22"/>
              </w:rPr>
              <w:t>36</w:t>
            </w:r>
          </w:p>
        </w:tc>
        <w:tc>
          <w:tcPr>
            <w:tcW w:w="234" w:type="pct"/>
            <w:vMerge w:val="continue"/>
            <w:tcBorders>
              <w:top w:val="nil"/>
              <w:left w:val="single" w:color="auto" w:sz="4" w:space="0"/>
              <w:bottom w:val="single" w:color="000000" w:sz="4" w:space="0"/>
              <w:right w:val="single" w:color="auto" w:sz="4" w:space="0"/>
            </w:tcBorders>
            <w:vAlign w:val="center"/>
          </w:tcPr>
          <w:p w14:paraId="1927489E">
            <w:pPr>
              <w:widowControl/>
              <w:jc w:val="left"/>
              <w:rPr>
                <w:rFonts w:ascii="宋体" w:hAnsi="宋体" w:eastAsia="宋体" w:cs="宋体"/>
                <w:b/>
                <w:bCs/>
                <w:kern w:val="0"/>
                <w:sz w:val="22"/>
              </w:rPr>
            </w:pPr>
          </w:p>
        </w:tc>
        <w:tc>
          <w:tcPr>
            <w:tcW w:w="275" w:type="pct"/>
            <w:vMerge w:val="restart"/>
            <w:tcBorders>
              <w:top w:val="nil"/>
              <w:left w:val="single" w:color="auto" w:sz="4" w:space="0"/>
              <w:bottom w:val="single" w:color="auto" w:sz="4" w:space="0"/>
              <w:right w:val="single" w:color="auto" w:sz="4" w:space="0"/>
            </w:tcBorders>
            <w:shd w:val="clear" w:color="000000" w:fill="FFFFFF"/>
            <w:vAlign w:val="center"/>
          </w:tcPr>
          <w:p w14:paraId="06B582F6">
            <w:pPr>
              <w:widowControl/>
              <w:jc w:val="center"/>
              <w:rPr>
                <w:rFonts w:ascii="宋体" w:hAnsi="宋体" w:eastAsia="宋体" w:cs="宋体"/>
                <w:kern w:val="0"/>
                <w:sz w:val="22"/>
              </w:rPr>
            </w:pPr>
            <w:r>
              <w:rPr>
                <w:rFonts w:hint="eastAsia" w:ascii="宋体" w:hAnsi="宋体" w:eastAsia="宋体" w:cs="宋体"/>
                <w:kern w:val="0"/>
                <w:sz w:val="22"/>
              </w:rPr>
              <w:t>物业管理部强电条线</w:t>
            </w:r>
          </w:p>
        </w:tc>
        <w:tc>
          <w:tcPr>
            <w:tcW w:w="397" w:type="pct"/>
            <w:tcBorders>
              <w:top w:val="nil"/>
              <w:left w:val="nil"/>
              <w:bottom w:val="single" w:color="auto" w:sz="4" w:space="0"/>
              <w:right w:val="single" w:color="auto" w:sz="4" w:space="0"/>
            </w:tcBorders>
            <w:shd w:val="clear" w:color="000000" w:fill="FFFFFF"/>
            <w:vAlign w:val="center"/>
          </w:tcPr>
          <w:p w14:paraId="25CC2267">
            <w:pPr>
              <w:widowControl/>
              <w:jc w:val="center"/>
              <w:rPr>
                <w:rFonts w:ascii="宋体" w:hAnsi="宋体" w:eastAsia="宋体" w:cs="宋体"/>
                <w:kern w:val="0"/>
                <w:sz w:val="20"/>
                <w:szCs w:val="20"/>
              </w:rPr>
            </w:pPr>
            <w:r>
              <w:rPr>
                <w:rFonts w:hint="eastAsia" w:ascii="宋体" w:hAnsi="宋体" w:eastAsia="宋体" w:cs="宋体"/>
                <w:kern w:val="0"/>
                <w:sz w:val="20"/>
                <w:szCs w:val="20"/>
              </w:rPr>
              <w:t>变压器</w:t>
            </w:r>
          </w:p>
        </w:tc>
        <w:tc>
          <w:tcPr>
            <w:tcW w:w="943" w:type="pct"/>
            <w:tcBorders>
              <w:top w:val="nil"/>
              <w:left w:val="nil"/>
              <w:bottom w:val="single" w:color="auto" w:sz="4" w:space="0"/>
              <w:right w:val="single" w:color="auto" w:sz="4" w:space="0"/>
            </w:tcBorders>
            <w:shd w:val="clear" w:color="000000" w:fill="FFFFFF"/>
            <w:vAlign w:val="center"/>
          </w:tcPr>
          <w:p w14:paraId="5822BD07">
            <w:pPr>
              <w:widowControl/>
              <w:jc w:val="center"/>
              <w:rPr>
                <w:rFonts w:ascii="宋体" w:hAnsi="宋体" w:eastAsia="宋体" w:cs="宋体"/>
                <w:kern w:val="0"/>
                <w:sz w:val="20"/>
                <w:szCs w:val="20"/>
              </w:rPr>
            </w:pPr>
            <w:r>
              <w:rPr>
                <w:rFonts w:hint="eastAsia" w:ascii="宋体" w:hAnsi="宋体" w:eastAsia="宋体" w:cs="宋体"/>
                <w:kern w:val="0"/>
                <w:sz w:val="20"/>
                <w:szCs w:val="20"/>
              </w:rPr>
              <w:t>1、变压器运行可靠。                         2、控制器功能齐全并显示正常。                3、冷却风机运行正常。                       4、进、出线端无热损现象。                   5、箱体外壳无缺陷。</w:t>
            </w:r>
          </w:p>
        </w:tc>
        <w:tc>
          <w:tcPr>
            <w:tcW w:w="1713" w:type="pct"/>
            <w:tcBorders>
              <w:top w:val="nil"/>
              <w:left w:val="nil"/>
              <w:bottom w:val="single" w:color="auto" w:sz="4" w:space="0"/>
              <w:right w:val="single" w:color="auto" w:sz="4" w:space="0"/>
            </w:tcBorders>
            <w:shd w:val="clear" w:color="000000" w:fill="FFFFFF"/>
            <w:vAlign w:val="center"/>
          </w:tcPr>
          <w:p w14:paraId="363559C4">
            <w:pPr>
              <w:widowControl/>
              <w:jc w:val="center"/>
              <w:rPr>
                <w:rFonts w:ascii="宋体" w:hAnsi="宋体" w:eastAsia="宋体" w:cs="宋体"/>
                <w:kern w:val="0"/>
                <w:sz w:val="20"/>
                <w:szCs w:val="20"/>
              </w:rPr>
            </w:pPr>
            <w:r>
              <w:rPr>
                <w:rFonts w:hint="eastAsia" w:ascii="宋体" w:hAnsi="宋体" w:eastAsia="宋体" w:cs="宋体"/>
                <w:kern w:val="0"/>
                <w:sz w:val="20"/>
                <w:szCs w:val="20"/>
              </w:rPr>
              <w:t>每台变压器有一项不合格的，扣除3分，但造成系统停电的，最高可扣除50分。</w:t>
            </w:r>
          </w:p>
        </w:tc>
        <w:tc>
          <w:tcPr>
            <w:tcW w:w="574" w:type="pct"/>
            <w:tcBorders>
              <w:top w:val="nil"/>
              <w:left w:val="nil"/>
              <w:bottom w:val="single" w:color="auto" w:sz="4" w:space="0"/>
              <w:right w:val="single" w:color="auto" w:sz="4" w:space="0"/>
            </w:tcBorders>
            <w:shd w:val="clear" w:color="000000" w:fill="FFFFFF"/>
            <w:noWrap/>
            <w:vAlign w:val="center"/>
          </w:tcPr>
          <w:p w14:paraId="7A8FE7DF">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D1F8C30">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884495F">
            <w:pPr>
              <w:widowControl/>
              <w:jc w:val="left"/>
              <w:rPr>
                <w:rFonts w:ascii="宋体" w:hAnsi="宋体" w:eastAsia="宋体" w:cs="宋体"/>
                <w:kern w:val="0"/>
                <w:sz w:val="22"/>
              </w:rPr>
            </w:pPr>
            <w:r>
              <w:rPr>
                <w:rFonts w:hint="eastAsia" w:ascii="宋体" w:hAnsi="宋体" w:eastAsia="宋体" w:cs="宋体"/>
                <w:kern w:val="0"/>
                <w:sz w:val="22"/>
              </w:rPr>
              <w:t>　</w:t>
            </w:r>
          </w:p>
        </w:tc>
      </w:tr>
      <w:tr w14:paraId="18A9E7E5">
        <w:tblPrEx>
          <w:tblCellMar>
            <w:top w:w="0" w:type="dxa"/>
            <w:left w:w="108" w:type="dxa"/>
            <w:bottom w:w="0" w:type="dxa"/>
            <w:right w:w="108" w:type="dxa"/>
          </w:tblCellMar>
        </w:tblPrEx>
        <w:trPr>
          <w:trHeight w:val="16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EC43A46">
            <w:pPr>
              <w:widowControl/>
              <w:jc w:val="center"/>
              <w:rPr>
                <w:rFonts w:ascii="宋体" w:hAnsi="宋体" w:eastAsia="宋体" w:cs="宋体"/>
                <w:kern w:val="0"/>
                <w:sz w:val="22"/>
              </w:rPr>
            </w:pPr>
            <w:r>
              <w:rPr>
                <w:rFonts w:hint="eastAsia" w:ascii="宋体" w:hAnsi="宋体" w:eastAsia="宋体" w:cs="宋体"/>
                <w:kern w:val="0"/>
                <w:sz w:val="22"/>
              </w:rPr>
              <w:t>37</w:t>
            </w:r>
          </w:p>
        </w:tc>
        <w:tc>
          <w:tcPr>
            <w:tcW w:w="234" w:type="pct"/>
            <w:vMerge w:val="continue"/>
            <w:tcBorders>
              <w:top w:val="nil"/>
              <w:left w:val="single" w:color="auto" w:sz="4" w:space="0"/>
              <w:bottom w:val="single" w:color="000000" w:sz="4" w:space="0"/>
              <w:right w:val="single" w:color="auto" w:sz="4" w:space="0"/>
            </w:tcBorders>
            <w:vAlign w:val="center"/>
          </w:tcPr>
          <w:p w14:paraId="68F73718">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69BB2C6A">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6994C725">
            <w:pPr>
              <w:widowControl/>
              <w:jc w:val="center"/>
              <w:rPr>
                <w:rFonts w:ascii="宋体" w:hAnsi="宋体" w:eastAsia="宋体" w:cs="宋体"/>
                <w:kern w:val="0"/>
                <w:sz w:val="20"/>
                <w:szCs w:val="20"/>
              </w:rPr>
            </w:pPr>
            <w:r>
              <w:rPr>
                <w:rFonts w:hint="eastAsia" w:ascii="宋体" w:hAnsi="宋体" w:eastAsia="宋体" w:cs="宋体"/>
                <w:kern w:val="0"/>
                <w:sz w:val="20"/>
                <w:szCs w:val="20"/>
              </w:rPr>
              <w:t>高低压配电柜（10KV、0.4KV)</w:t>
            </w:r>
          </w:p>
        </w:tc>
        <w:tc>
          <w:tcPr>
            <w:tcW w:w="943" w:type="pct"/>
            <w:tcBorders>
              <w:top w:val="nil"/>
              <w:left w:val="nil"/>
              <w:bottom w:val="single" w:color="auto" w:sz="4" w:space="0"/>
              <w:right w:val="single" w:color="auto" w:sz="4" w:space="0"/>
            </w:tcBorders>
            <w:shd w:val="clear" w:color="000000" w:fill="FFFFFF"/>
            <w:vAlign w:val="center"/>
          </w:tcPr>
          <w:p w14:paraId="0D469A07">
            <w:pPr>
              <w:widowControl/>
              <w:jc w:val="center"/>
              <w:rPr>
                <w:rFonts w:ascii="宋体" w:hAnsi="宋体" w:eastAsia="宋体" w:cs="宋体"/>
                <w:kern w:val="0"/>
                <w:sz w:val="20"/>
                <w:szCs w:val="20"/>
              </w:rPr>
            </w:pPr>
            <w:r>
              <w:rPr>
                <w:rFonts w:hint="eastAsia" w:ascii="宋体" w:hAnsi="宋体" w:eastAsia="宋体" w:cs="宋体"/>
                <w:kern w:val="0"/>
                <w:sz w:val="20"/>
                <w:szCs w:val="20"/>
              </w:rPr>
              <w:t>1、配电柜外表完好，系统运行正常。            2、操作机构功能齐全、指示灯、计量表等显示正常                                        3、断路器操作可靠、自切功能正常有效          4、进、出现端无热损现象。                   5、各类高压用具齐全，合格有效。各类操作票及规章制度齐全。                               6、环境整洁。</w:t>
            </w:r>
          </w:p>
        </w:tc>
        <w:tc>
          <w:tcPr>
            <w:tcW w:w="1713" w:type="pct"/>
            <w:tcBorders>
              <w:top w:val="nil"/>
              <w:left w:val="nil"/>
              <w:bottom w:val="single" w:color="auto" w:sz="4" w:space="0"/>
              <w:right w:val="single" w:color="auto" w:sz="4" w:space="0"/>
            </w:tcBorders>
            <w:shd w:val="clear" w:color="000000" w:fill="FFFFFF"/>
            <w:vAlign w:val="center"/>
          </w:tcPr>
          <w:p w14:paraId="6D3C0407">
            <w:pPr>
              <w:widowControl/>
              <w:jc w:val="center"/>
              <w:rPr>
                <w:rFonts w:ascii="宋体" w:hAnsi="宋体" w:eastAsia="宋体" w:cs="宋体"/>
                <w:kern w:val="0"/>
                <w:sz w:val="20"/>
                <w:szCs w:val="20"/>
              </w:rPr>
            </w:pPr>
            <w:r>
              <w:rPr>
                <w:rFonts w:hint="eastAsia" w:ascii="宋体" w:hAnsi="宋体" w:eastAsia="宋体" w:cs="宋体"/>
                <w:kern w:val="0"/>
                <w:sz w:val="20"/>
                <w:szCs w:val="20"/>
              </w:rPr>
              <w:t>每台配电柜有一项不合格的，扣除1分，但造成系统停电的，最高可扣除50分。</w:t>
            </w:r>
          </w:p>
        </w:tc>
        <w:tc>
          <w:tcPr>
            <w:tcW w:w="574" w:type="pct"/>
            <w:tcBorders>
              <w:top w:val="nil"/>
              <w:left w:val="nil"/>
              <w:bottom w:val="single" w:color="auto" w:sz="4" w:space="0"/>
              <w:right w:val="single" w:color="auto" w:sz="4" w:space="0"/>
            </w:tcBorders>
            <w:shd w:val="clear" w:color="000000" w:fill="FFFFFF"/>
            <w:noWrap/>
            <w:vAlign w:val="center"/>
          </w:tcPr>
          <w:p w14:paraId="21D57D82">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94829C7">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DA80FD8">
            <w:pPr>
              <w:widowControl/>
              <w:jc w:val="left"/>
              <w:rPr>
                <w:rFonts w:ascii="宋体" w:hAnsi="宋体" w:eastAsia="宋体" w:cs="宋体"/>
                <w:kern w:val="0"/>
                <w:sz w:val="22"/>
              </w:rPr>
            </w:pPr>
            <w:r>
              <w:rPr>
                <w:rFonts w:hint="eastAsia" w:ascii="宋体" w:hAnsi="宋体" w:eastAsia="宋体" w:cs="宋体"/>
                <w:kern w:val="0"/>
                <w:sz w:val="22"/>
              </w:rPr>
              <w:t>　</w:t>
            </w:r>
          </w:p>
        </w:tc>
      </w:tr>
      <w:tr w14:paraId="24B8F19B">
        <w:tblPrEx>
          <w:tblCellMar>
            <w:top w:w="0" w:type="dxa"/>
            <w:left w:w="108" w:type="dxa"/>
            <w:bottom w:w="0" w:type="dxa"/>
            <w:right w:w="108" w:type="dxa"/>
          </w:tblCellMar>
        </w:tblPrEx>
        <w:trPr>
          <w:trHeight w:val="72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171C5450">
            <w:pPr>
              <w:widowControl/>
              <w:jc w:val="center"/>
              <w:rPr>
                <w:rFonts w:ascii="宋体" w:hAnsi="宋体" w:eastAsia="宋体" w:cs="宋体"/>
                <w:kern w:val="0"/>
                <w:sz w:val="22"/>
              </w:rPr>
            </w:pPr>
            <w:r>
              <w:rPr>
                <w:rFonts w:hint="eastAsia" w:ascii="宋体" w:hAnsi="宋体" w:eastAsia="宋体" w:cs="宋体"/>
                <w:kern w:val="0"/>
                <w:sz w:val="22"/>
              </w:rPr>
              <w:t>38</w:t>
            </w:r>
          </w:p>
        </w:tc>
        <w:tc>
          <w:tcPr>
            <w:tcW w:w="234" w:type="pct"/>
            <w:vMerge w:val="continue"/>
            <w:tcBorders>
              <w:top w:val="nil"/>
              <w:left w:val="single" w:color="auto" w:sz="4" w:space="0"/>
              <w:bottom w:val="single" w:color="000000" w:sz="4" w:space="0"/>
              <w:right w:val="single" w:color="auto" w:sz="4" w:space="0"/>
            </w:tcBorders>
            <w:vAlign w:val="center"/>
          </w:tcPr>
          <w:p w14:paraId="7E1D8BF2">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080832B2">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7B24E233">
            <w:pPr>
              <w:widowControl/>
              <w:jc w:val="center"/>
              <w:rPr>
                <w:rFonts w:ascii="宋体" w:hAnsi="宋体" w:eastAsia="宋体" w:cs="宋体"/>
                <w:kern w:val="0"/>
                <w:sz w:val="20"/>
                <w:szCs w:val="20"/>
              </w:rPr>
            </w:pPr>
            <w:r>
              <w:rPr>
                <w:rFonts w:hint="eastAsia" w:ascii="宋体" w:hAnsi="宋体" w:eastAsia="宋体" w:cs="宋体"/>
                <w:kern w:val="0"/>
                <w:sz w:val="20"/>
                <w:szCs w:val="20"/>
              </w:rPr>
              <w:t>直流屏</w:t>
            </w:r>
          </w:p>
        </w:tc>
        <w:tc>
          <w:tcPr>
            <w:tcW w:w="943" w:type="pct"/>
            <w:tcBorders>
              <w:top w:val="nil"/>
              <w:left w:val="nil"/>
              <w:bottom w:val="single" w:color="auto" w:sz="4" w:space="0"/>
              <w:right w:val="single" w:color="auto" w:sz="4" w:space="0"/>
            </w:tcBorders>
            <w:shd w:val="clear" w:color="000000" w:fill="FFFFFF"/>
            <w:vAlign w:val="center"/>
          </w:tcPr>
          <w:p w14:paraId="7CE89EC3">
            <w:pPr>
              <w:widowControl/>
              <w:jc w:val="center"/>
              <w:rPr>
                <w:rFonts w:ascii="宋体" w:hAnsi="宋体" w:eastAsia="宋体" w:cs="宋体"/>
                <w:kern w:val="0"/>
                <w:sz w:val="20"/>
                <w:szCs w:val="20"/>
              </w:rPr>
            </w:pPr>
            <w:r>
              <w:rPr>
                <w:rFonts w:hint="eastAsia" w:ascii="宋体" w:hAnsi="宋体" w:eastAsia="宋体" w:cs="宋体"/>
                <w:kern w:val="0"/>
                <w:sz w:val="20"/>
                <w:szCs w:val="20"/>
              </w:rPr>
              <w:t>1、直流电源柜能正常输出操作电源。            2、指示灯、触摸屏等功能完善。                3、蓄电池组无异常。</w:t>
            </w:r>
          </w:p>
        </w:tc>
        <w:tc>
          <w:tcPr>
            <w:tcW w:w="1713" w:type="pct"/>
            <w:tcBorders>
              <w:top w:val="nil"/>
              <w:left w:val="nil"/>
              <w:bottom w:val="single" w:color="auto" w:sz="4" w:space="0"/>
              <w:right w:val="single" w:color="auto" w:sz="4" w:space="0"/>
            </w:tcBorders>
            <w:shd w:val="clear" w:color="000000" w:fill="FFFFFF"/>
            <w:vAlign w:val="center"/>
          </w:tcPr>
          <w:p w14:paraId="5B455AEE">
            <w:pPr>
              <w:widowControl/>
              <w:jc w:val="center"/>
              <w:rPr>
                <w:rFonts w:ascii="宋体" w:hAnsi="宋体" w:eastAsia="宋体" w:cs="宋体"/>
                <w:kern w:val="0"/>
                <w:sz w:val="20"/>
                <w:szCs w:val="20"/>
              </w:rPr>
            </w:pPr>
            <w:r>
              <w:rPr>
                <w:rFonts w:hint="eastAsia" w:ascii="宋体" w:hAnsi="宋体" w:eastAsia="宋体" w:cs="宋体"/>
                <w:kern w:val="0"/>
                <w:sz w:val="20"/>
                <w:szCs w:val="20"/>
              </w:rPr>
              <w:t>每台直流屏有一项不合格的，扣除1分，造成高压设备无法正常运行的，扣除3分</w:t>
            </w:r>
          </w:p>
        </w:tc>
        <w:tc>
          <w:tcPr>
            <w:tcW w:w="574" w:type="pct"/>
            <w:tcBorders>
              <w:top w:val="nil"/>
              <w:left w:val="nil"/>
              <w:bottom w:val="single" w:color="auto" w:sz="4" w:space="0"/>
              <w:right w:val="single" w:color="auto" w:sz="4" w:space="0"/>
            </w:tcBorders>
            <w:shd w:val="clear" w:color="000000" w:fill="FFFFFF"/>
            <w:noWrap/>
            <w:vAlign w:val="center"/>
          </w:tcPr>
          <w:p w14:paraId="5D5B07C6">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DEDBCE2">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3424E61">
            <w:pPr>
              <w:widowControl/>
              <w:jc w:val="left"/>
              <w:rPr>
                <w:rFonts w:ascii="宋体" w:hAnsi="宋体" w:eastAsia="宋体" w:cs="宋体"/>
                <w:kern w:val="0"/>
                <w:sz w:val="22"/>
              </w:rPr>
            </w:pPr>
            <w:r>
              <w:rPr>
                <w:rFonts w:hint="eastAsia" w:ascii="宋体" w:hAnsi="宋体" w:eastAsia="宋体" w:cs="宋体"/>
                <w:kern w:val="0"/>
                <w:sz w:val="22"/>
              </w:rPr>
              <w:t>　</w:t>
            </w:r>
          </w:p>
        </w:tc>
      </w:tr>
      <w:tr w14:paraId="59AE10A3">
        <w:tblPrEx>
          <w:tblCellMar>
            <w:top w:w="0" w:type="dxa"/>
            <w:left w:w="108" w:type="dxa"/>
            <w:bottom w:w="0" w:type="dxa"/>
            <w:right w:w="108" w:type="dxa"/>
          </w:tblCellMar>
        </w:tblPrEx>
        <w:trPr>
          <w:trHeight w:val="72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F128CEC">
            <w:pPr>
              <w:widowControl/>
              <w:jc w:val="center"/>
              <w:rPr>
                <w:rFonts w:ascii="宋体" w:hAnsi="宋体" w:eastAsia="宋体" w:cs="宋体"/>
                <w:kern w:val="0"/>
                <w:sz w:val="22"/>
              </w:rPr>
            </w:pPr>
            <w:r>
              <w:rPr>
                <w:rFonts w:hint="eastAsia" w:ascii="宋体" w:hAnsi="宋体" w:eastAsia="宋体" w:cs="宋体"/>
                <w:kern w:val="0"/>
                <w:sz w:val="22"/>
              </w:rPr>
              <w:t>39</w:t>
            </w:r>
          </w:p>
        </w:tc>
        <w:tc>
          <w:tcPr>
            <w:tcW w:w="234" w:type="pct"/>
            <w:vMerge w:val="continue"/>
            <w:tcBorders>
              <w:top w:val="nil"/>
              <w:left w:val="single" w:color="auto" w:sz="4" w:space="0"/>
              <w:bottom w:val="single" w:color="000000" w:sz="4" w:space="0"/>
              <w:right w:val="single" w:color="auto" w:sz="4" w:space="0"/>
            </w:tcBorders>
            <w:vAlign w:val="center"/>
          </w:tcPr>
          <w:p w14:paraId="6716CA60">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7ADE1B42">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2ECE597D">
            <w:pPr>
              <w:widowControl/>
              <w:jc w:val="center"/>
              <w:rPr>
                <w:rFonts w:ascii="宋体" w:hAnsi="宋体" w:eastAsia="宋体" w:cs="宋体"/>
                <w:kern w:val="0"/>
                <w:sz w:val="20"/>
                <w:szCs w:val="20"/>
              </w:rPr>
            </w:pPr>
            <w:r>
              <w:rPr>
                <w:rFonts w:hint="eastAsia" w:ascii="宋体" w:hAnsi="宋体" w:eastAsia="宋体" w:cs="宋体"/>
                <w:kern w:val="0"/>
                <w:sz w:val="20"/>
                <w:szCs w:val="20"/>
              </w:rPr>
              <w:t>总变计量柜</w:t>
            </w:r>
          </w:p>
        </w:tc>
        <w:tc>
          <w:tcPr>
            <w:tcW w:w="943" w:type="pct"/>
            <w:tcBorders>
              <w:top w:val="nil"/>
              <w:left w:val="nil"/>
              <w:bottom w:val="single" w:color="auto" w:sz="4" w:space="0"/>
              <w:right w:val="single" w:color="auto" w:sz="4" w:space="0"/>
            </w:tcBorders>
            <w:shd w:val="clear" w:color="000000" w:fill="FFFFFF"/>
            <w:vAlign w:val="center"/>
          </w:tcPr>
          <w:p w14:paraId="286DD81F">
            <w:pPr>
              <w:widowControl/>
              <w:jc w:val="center"/>
              <w:rPr>
                <w:rFonts w:ascii="宋体" w:hAnsi="宋体" w:eastAsia="宋体" w:cs="宋体"/>
                <w:kern w:val="0"/>
                <w:sz w:val="20"/>
                <w:szCs w:val="20"/>
              </w:rPr>
            </w:pPr>
            <w:r>
              <w:rPr>
                <w:rFonts w:hint="eastAsia" w:ascii="宋体" w:hAnsi="宋体" w:eastAsia="宋体" w:cs="宋体"/>
                <w:kern w:val="0"/>
                <w:sz w:val="20"/>
                <w:szCs w:val="20"/>
              </w:rPr>
              <w:t>1、计量数据显示正常。                       2、表具各类功能操作可靠。                   3、发现异常须立即与供电部门联系。</w:t>
            </w:r>
          </w:p>
        </w:tc>
        <w:tc>
          <w:tcPr>
            <w:tcW w:w="1713" w:type="pct"/>
            <w:tcBorders>
              <w:top w:val="nil"/>
              <w:left w:val="nil"/>
              <w:bottom w:val="single" w:color="auto" w:sz="4" w:space="0"/>
              <w:right w:val="single" w:color="auto" w:sz="4" w:space="0"/>
            </w:tcBorders>
            <w:shd w:val="clear" w:color="000000" w:fill="FFFFFF"/>
            <w:vAlign w:val="center"/>
          </w:tcPr>
          <w:p w14:paraId="763F4A51">
            <w:pPr>
              <w:widowControl/>
              <w:jc w:val="center"/>
              <w:rPr>
                <w:rFonts w:ascii="宋体" w:hAnsi="宋体" w:eastAsia="宋体" w:cs="宋体"/>
                <w:kern w:val="0"/>
                <w:sz w:val="20"/>
                <w:szCs w:val="20"/>
              </w:rPr>
            </w:pPr>
            <w:r>
              <w:rPr>
                <w:rFonts w:hint="eastAsia" w:ascii="宋体" w:hAnsi="宋体" w:eastAsia="宋体" w:cs="宋体"/>
                <w:kern w:val="0"/>
                <w:sz w:val="20"/>
                <w:szCs w:val="20"/>
              </w:rPr>
              <w:t>每台计量柜有一项不合格的，扣除1分</w:t>
            </w:r>
          </w:p>
        </w:tc>
        <w:tc>
          <w:tcPr>
            <w:tcW w:w="574" w:type="pct"/>
            <w:tcBorders>
              <w:top w:val="nil"/>
              <w:left w:val="nil"/>
              <w:bottom w:val="single" w:color="auto" w:sz="4" w:space="0"/>
              <w:right w:val="single" w:color="auto" w:sz="4" w:space="0"/>
            </w:tcBorders>
            <w:shd w:val="clear" w:color="000000" w:fill="FFFFFF"/>
            <w:noWrap/>
            <w:vAlign w:val="center"/>
          </w:tcPr>
          <w:p w14:paraId="08F923D8">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0B17CF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83B053A">
            <w:pPr>
              <w:widowControl/>
              <w:jc w:val="left"/>
              <w:rPr>
                <w:rFonts w:ascii="宋体" w:hAnsi="宋体" w:eastAsia="宋体" w:cs="宋体"/>
                <w:kern w:val="0"/>
                <w:sz w:val="22"/>
              </w:rPr>
            </w:pPr>
            <w:r>
              <w:rPr>
                <w:rFonts w:hint="eastAsia" w:ascii="宋体" w:hAnsi="宋体" w:eastAsia="宋体" w:cs="宋体"/>
                <w:kern w:val="0"/>
                <w:sz w:val="22"/>
              </w:rPr>
              <w:t>　</w:t>
            </w:r>
          </w:p>
        </w:tc>
      </w:tr>
      <w:tr w14:paraId="0792AEAE">
        <w:tblPrEx>
          <w:tblCellMar>
            <w:top w:w="0" w:type="dxa"/>
            <w:left w:w="108" w:type="dxa"/>
            <w:bottom w:w="0" w:type="dxa"/>
            <w:right w:w="108" w:type="dxa"/>
          </w:tblCellMar>
        </w:tblPrEx>
        <w:trPr>
          <w:trHeight w:val="144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0041194B">
            <w:pPr>
              <w:widowControl/>
              <w:jc w:val="center"/>
              <w:rPr>
                <w:rFonts w:ascii="宋体" w:hAnsi="宋体" w:eastAsia="宋体" w:cs="宋体"/>
                <w:kern w:val="0"/>
                <w:sz w:val="22"/>
              </w:rPr>
            </w:pPr>
            <w:r>
              <w:rPr>
                <w:rFonts w:hint="eastAsia" w:ascii="宋体" w:hAnsi="宋体" w:eastAsia="宋体" w:cs="宋体"/>
                <w:kern w:val="0"/>
                <w:sz w:val="22"/>
              </w:rPr>
              <w:t>40</w:t>
            </w:r>
          </w:p>
        </w:tc>
        <w:tc>
          <w:tcPr>
            <w:tcW w:w="234" w:type="pct"/>
            <w:vMerge w:val="continue"/>
            <w:tcBorders>
              <w:top w:val="nil"/>
              <w:left w:val="single" w:color="auto" w:sz="4" w:space="0"/>
              <w:bottom w:val="single" w:color="000000" w:sz="4" w:space="0"/>
              <w:right w:val="single" w:color="auto" w:sz="4" w:space="0"/>
            </w:tcBorders>
            <w:vAlign w:val="center"/>
          </w:tcPr>
          <w:p w14:paraId="2D993A39">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474D3981">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2199ACE7">
            <w:pPr>
              <w:widowControl/>
              <w:jc w:val="center"/>
              <w:rPr>
                <w:rFonts w:ascii="宋体" w:hAnsi="宋体" w:eastAsia="宋体" w:cs="宋体"/>
                <w:kern w:val="0"/>
                <w:sz w:val="20"/>
                <w:szCs w:val="20"/>
              </w:rPr>
            </w:pPr>
            <w:r>
              <w:rPr>
                <w:rFonts w:hint="eastAsia" w:ascii="宋体" w:hAnsi="宋体" w:eastAsia="宋体" w:cs="宋体"/>
                <w:kern w:val="0"/>
                <w:sz w:val="20"/>
                <w:szCs w:val="20"/>
              </w:rPr>
              <w:t>配电箱系统（函照明、空调、母线插接箱、电缆、母线等）</w:t>
            </w:r>
          </w:p>
        </w:tc>
        <w:tc>
          <w:tcPr>
            <w:tcW w:w="943" w:type="pct"/>
            <w:tcBorders>
              <w:top w:val="nil"/>
              <w:left w:val="nil"/>
              <w:bottom w:val="single" w:color="auto" w:sz="4" w:space="0"/>
              <w:right w:val="single" w:color="auto" w:sz="4" w:space="0"/>
            </w:tcBorders>
            <w:shd w:val="clear" w:color="000000" w:fill="FFFFFF"/>
            <w:vAlign w:val="center"/>
          </w:tcPr>
          <w:p w14:paraId="2093DD9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1、运行正常、外表完好、各类标志正确  有效。                               2、各类按钮、指示灯、电压表、电流表等显示正常有效。                                     3、各类元器件无缺陷，配置合理。                4、箱体内部无积灰，无杂物，内部走线整洁规范，各类线号完整有效。  </w:t>
            </w:r>
          </w:p>
        </w:tc>
        <w:tc>
          <w:tcPr>
            <w:tcW w:w="1713" w:type="pct"/>
            <w:tcBorders>
              <w:top w:val="nil"/>
              <w:left w:val="nil"/>
              <w:bottom w:val="single" w:color="auto" w:sz="4" w:space="0"/>
              <w:right w:val="single" w:color="auto" w:sz="4" w:space="0"/>
            </w:tcBorders>
            <w:shd w:val="clear" w:color="000000" w:fill="FFFFFF"/>
            <w:vAlign w:val="center"/>
          </w:tcPr>
          <w:p w14:paraId="1BDCA9A6">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每台配电箱有一项不合格的，扣除1分。由于配电箱故障造成区域停电的，每次配电箱故障扣除2分，最高累计口16分。                        </w:t>
            </w:r>
          </w:p>
        </w:tc>
        <w:tc>
          <w:tcPr>
            <w:tcW w:w="574" w:type="pct"/>
            <w:tcBorders>
              <w:top w:val="nil"/>
              <w:left w:val="nil"/>
              <w:bottom w:val="single" w:color="auto" w:sz="4" w:space="0"/>
              <w:right w:val="single" w:color="auto" w:sz="4" w:space="0"/>
            </w:tcBorders>
            <w:shd w:val="clear" w:color="000000" w:fill="FFFFFF"/>
            <w:vAlign w:val="center"/>
          </w:tcPr>
          <w:p w14:paraId="2603EC0D">
            <w:pPr>
              <w:widowControl/>
              <w:jc w:val="left"/>
              <w:rPr>
                <w:rFonts w:ascii="宋体" w:hAnsi="宋体" w:eastAsia="宋体" w:cs="宋体"/>
                <w:color w:val="FF0000"/>
                <w:kern w:val="0"/>
                <w:sz w:val="22"/>
              </w:rPr>
            </w:pPr>
            <w:r>
              <w:rPr>
                <w:rFonts w:hint="eastAsia" w:ascii="宋体" w:hAnsi="宋体" w:eastAsia="宋体" w:cs="宋体"/>
                <w:color w:val="FF0000"/>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E501E92">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D0D1281">
            <w:pPr>
              <w:widowControl/>
              <w:jc w:val="left"/>
              <w:rPr>
                <w:rFonts w:ascii="宋体" w:hAnsi="宋体" w:eastAsia="宋体" w:cs="宋体"/>
                <w:kern w:val="0"/>
                <w:sz w:val="22"/>
              </w:rPr>
            </w:pPr>
            <w:r>
              <w:rPr>
                <w:rFonts w:hint="eastAsia" w:ascii="宋体" w:hAnsi="宋体" w:eastAsia="宋体" w:cs="宋体"/>
                <w:kern w:val="0"/>
                <w:sz w:val="22"/>
              </w:rPr>
              <w:t>　</w:t>
            </w:r>
          </w:p>
        </w:tc>
      </w:tr>
      <w:tr w14:paraId="238F172F">
        <w:tblPrEx>
          <w:tblCellMar>
            <w:top w:w="0" w:type="dxa"/>
            <w:left w:w="108" w:type="dxa"/>
            <w:bottom w:w="0" w:type="dxa"/>
            <w:right w:w="108" w:type="dxa"/>
          </w:tblCellMar>
        </w:tblPrEx>
        <w:trPr>
          <w:trHeight w:val="120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74B30277">
            <w:pPr>
              <w:widowControl/>
              <w:jc w:val="center"/>
              <w:rPr>
                <w:rFonts w:ascii="宋体" w:hAnsi="宋体" w:eastAsia="宋体" w:cs="宋体"/>
                <w:kern w:val="0"/>
                <w:sz w:val="22"/>
              </w:rPr>
            </w:pPr>
            <w:r>
              <w:rPr>
                <w:rFonts w:hint="eastAsia" w:ascii="宋体" w:hAnsi="宋体" w:eastAsia="宋体" w:cs="宋体"/>
                <w:kern w:val="0"/>
                <w:sz w:val="22"/>
              </w:rPr>
              <w:t>41</w:t>
            </w:r>
          </w:p>
        </w:tc>
        <w:tc>
          <w:tcPr>
            <w:tcW w:w="234" w:type="pct"/>
            <w:vMerge w:val="continue"/>
            <w:tcBorders>
              <w:top w:val="nil"/>
              <w:left w:val="single" w:color="auto" w:sz="4" w:space="0"/>
              <w:bottom w:val="single" w:color="000000" w:sz="4" w:space="0"/>
              <w:right w:val="single" w:color="auto" w:sz="4" w:space="0"/>
            </w:tcBorders>
            <w:vAlign w:val="center"/>
          </w:tcPr>
          <w:p w14:paraId="541CC059">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2304EC81">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49958626">
            <w:pPr>
              <w:widowControl/>
              <w:jc w:val="center"/>
              <w:rPr>
                <w:rFonts w:ascii="宋体" w:hAnsi="宋体" w:eastAsia="宋体" w:cs="宋体"/>
                <w:kern w:val="0"/>
                <w:sz w:val="20"/>
                <w:szCs w:val="20"/>
              </w:rPr>
            </w:pPr>
            <w:r>
              <w:rPr>
                <w:rFonts w:hint="eastAsia" w:ascii="宋体" w:hAnsi="宋体" w:eastAsia="宋体" w:cs="宋体"/>
                <w:kern w:val="0"/>
                <w:sz w:val="20"/>
                <w:szCs w:val="20"/>
              </w:rPr>
              <w:t>各类设备控制柜</w:t>
            </w:r>
          </w:p>
        </w:tc>
        <w:tc>
          <w:tcPr>
            <w:tcW w:w="943" w:type="pct"/>
            <w:tcBorders>
              <w:top w:val="nil"/>
              <w:left w:val="nil"/>
              <w:bottom w:val="single" w:color="auto" w:sz="4" w:space="0"/>
              <w:right w:val="single" w:color="auto" w:sz="4" w:space="0"/>
            </w:tcBorders>
            <w:shd w:val="clear" w:color="000000" w:fill="FFFFFF"/>
            <w:vAlign w:val="center"/>
          </w:tcPr>
          <w:p w14:paraId="1C13465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1、运行正常、外表完好、各类标志正确有效。                                 2、控制功能完善，无缺陷。                   3、各类元器件无缺陷，配置合理 。             4、箱体内部无积灰，无杂物，内部走线整洁规范，各类线号完整有效。  </w:t>
            </w:r>
          </w:p>
        </w:tc>
        <w:tc>
          <w:tcPr>
            <w:tcW w:w="1713" w:type="pct"/>
            <w:tcBorders>
              <w:top w:val="nil"/>
              <w:left w:val="nil"/>
              <w:bottom w:val="single" w:color="auto" w:sz="4" w:space="0"/>
              <w:right w:val="single" w:color="auto" w:sz="4" w:space="0"/>
            </w:tcBorders>
            <w:shd w:val="clear" w:color="000000" w:fill="FFFFFF"/>
            <w:vAlign w:val="center"/>
          </w:tcPr>
          <w:p w14:paraId="7C70084F">
            <w:pPr>
              <w:widowControl/>
              <w:jc w:val="center"/>
              <w:rPr>
                <w:rFonts w:ascii="宋体" w:hAnsi="宋体" w:eastAsia="宋体" w:cs="宋体"/>
                <w:kern w:val="0"/>
                <w:sz w:val="20"/>
                <w:szCs w:val="20"/>
              </w:rPr>
            </w:pPr>
            <w:r>
              <w:rPr>
                <w:rFonts w:hint="eastAsia" w:ascii="宋体" w:hAnsi="宋体" w:eastAsia="宋体" w:cs="宋体"/>
                <w:kern w:val="0"/>
                <w:sz w:val="20"/>
                <w:szCs w:val="20"/>
              </w:rPr>
              <w:t>每台设备控制柜有一项不合格的,扣除2分。造成相关设备停运的，扣除2分，累计最高扣分4分。</w:t>
            </w:r>
          </w:p>
        </w:tc>
        <w:tc>
          <w:tcPr>
            <w:tcW w:w="574" w:type="pct"/>
            <w:tcBorders>
              <w:top w:val="nil"/>
              <w:left w:val="nil"/>
              <w:bottom w:val="single" w:color="auto" w:sz="4" w:space="0"/>
              <w:right w:val="single" w:color="auto" w:sz="4" w:space="0"/>
            </w:tcBorders>
            <w:shd w:val="clear" w:color="000000" w:fill="FFFFFF"/>
            <w:noWrap/>
            <w:vAlign w:val="center"/>
          </w:tcPr>
          <w:p w14:paraId="3CA2EB4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BCE83A5">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F708384">
            <w:pPr>
              <w:widowControl/>
              <w:jc w:val="left"/>
              <w:rPr>
                <w:rFonts w:ascii="宋体" w:hAnsi="宋体" w:eastAsia="宋体" w:cs="宋体"/>
                <w:kern w:val="0"/>
                <w:sz w:val="22"/>
              </w:rPr>
            </w:pPr>
            <w:r>
              <w:rPr>
                <w:rFonts w:hint="eastAsia" w:ascii="宋体" w:hAnsi="宋体" w:eastAsia="宋体" w:cs="宋体"/>
                <w:kern w:val="0"/>
                <w:sz w:val="22"/>
              </w:rPr>
              <w:t>　</w:t>
            </w:r>
          </w:p>
        </w:tc>
      </w:tr>
      <w:tr w14:paraId="1843A021">
        <w:tblPrEx>
          <w:tblCellMar>
            <w:top w:w="0" w:type="dxa"/>
            <w:left w:w="108" w:type="dxa"/>
            <w:bottom w:w="0" w:type="dxa"/>
            <w:right w:w="108" w:type="dxa"/>
          </w:tblCellMar>
        </w:tblPrEx>
        <w:trPr>
          <w:trHeight w:val="144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19D25DCC">
            <w:pPr>
              <w:widowControl/>
              <w:jc w:val="center"/>
              <w:rPr>
                <w:rFonts w:ascii="宋体" w:hAnsi="宋体" w:eastAsia="宋体" w:cs="宋体"/>
                <w:kern w:val="0"/>
                <w:sz w:val="22"/>
              </w:rPr>
            </w:pPr>
            <w:r>
              <w:rPr>
                <w:rFonts w:hint="eastAsia" w:ascii="宋体" w:hAnsi="宋体" w:eastAsia="宋体" w:cs="宋体"/>
                <w:kern w:val="0"/>
                <w:sz w:val="22"/>
              </w:rPr>
              <w:t>42</w:t>
            </w:r>
          </w:p>
        </w:tc>
        <w:tc>
          <w:tcPr>
            <w:tcW w:w="234" w:type="pct"/>
            <w:vMerge w:val="continue"/>
            <w:tcBorders>
              <w:top w:val="nil"/>
              <w:left w:val="single" w:color="auto" w:sz="4" w:space="0"/>
              <w:bottom w:val="single" w:color="000000" w:sz="4" w:space="0"/>
              <w:right w:val="single" w:color="auto" w:sz="4" w:space="0"/>
            </w:tcBorders>
            <w:vAlign w:val="center"/>
          </w:tcPr>
          <w:p w14:paraId="6164D720">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51A044E6">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3820A06D">
            <w:pPr>
              <w:widowControl/>
              <w:jc w:val="center"/>
              <w:rPr>
                <w:rFonts w:ascii="宋体" w:hAnsi="宋体" w:eastAsia="宋体" w:cs="宋体"/>
                <w:kern w:val="0"/>
                <w:sz w:val="20"/>
                <w:szCs w:val="20"/>
              </w:rPr>
            </w:pPr>
            <w:r>
              <w:rPr>
                <w:rFonts w:hint="eastAsia" w:ascii="宋体" w:hAnsi="宋体" w:eastAsia="宋体" w:cs="宋体"/>
                <w:kern w:val="0"/>
                <w:sz w:val="20"/>
                <w:szCs w:val="20"/>
              </w:rPr>
              <w:t>影院配电柜</w:t>
            </w:r>
          </w:p>
        </w:tc>
        <w:tc>
          <w:tcPr>
            <w:tcW w:w="943" w:type="pct"/>
            <w:tcBorders>
              <w:top w:val="nil"/>
              <w:left w:val="nil"/>
              <w:bottom w:val="single" w:color="auto" w:sz="4" w:space="0"/>
              <w:right w:val="single" w:color="auto" w:sz="4" w:space="0"/>
            </w:tcBorders>
            <w:shd w:val="clear" w:color="000000" w:fill="FFFFFF"/>
            <w:vAlign w:val="center"/>
          </w:tcPr>
          <w:p w14:paraId="2908D6E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1、运行正常、外表完好、各类标志正确有效。                                 2、各类按钮、指示灯、电压表、电流表等显示正常有效。                                     3、各类元器件无缺陷，配置合理。                  4、箱体内部无积灰，无杂物，内部走线整洁规范，各类线号完整有效。  </w:t>
            </w:r>
          </w:p>
        </w:tc>
        <w:tc>
          <w:tcPr>
            <w:tcW w:w="1713" w:type="pct"/>
            <w:tcBorders>
              <w:top w:val="nil"/>
              <w:left w:val="nil"/>
              <w:bottom w:val="single" w:color="auto" w:sz="4" w:space="0"/>
              <w:right w:val="single" w:color="auto" w:sz="4" w:space="0"/>
            </w:tcBorders>
            <w:shd w:val="clear" w:color="000000" w:fill="FFFFFF"/>
            <w:vAlign w:val="center"/>
          </w:tcPr>
          <w:p w14:paraId="7E64AADE">
            <w:pPr>
              <w:widowControl/>
              <w:jc w:val="center"/>
              <w:rPr>
                <w:rFonts w:ascii="宋体" w:hAnsi="宋体" w:eastAsia="宋体" w:cs="宋体"/>
                <w:kern w:val="0"/>
                <w:sz w:val="20"/>
                <w:szCs w:val="20"/>
              </w:rPr>
            </w:pPr>
            <w:r>
              <w:rPr>
                <w:rFonts w:hint="eastAsia" w:ascii="宋体" w:hAnsi="宋体" w:eastAsia="宋体" w:cs="宋体"/>
                <w:kern w:val="0"/>
                <w:sz w:val="20"/>
                <w:szCs w:val="20"/>
              </w:rPr>
              <w:t>每台配电柜有一项不合格的，扣除1分。造成影院停映的，扣除2分，累计最高扣分4分。</w:t>
            </w:r>
          </w:p>
        </w:tc>
        <w:tc>
          <w:tcPr>
            <w:tcW w:w="574" w:type="pct"/>
            <w:tcBorders>
              <w:top w:val="nil"/>
              <w:left w:val="nil"/>
              <w:bottom w:val="single" w:color="auto" w:sz="4" w:space="0"/>
              <w:right w:val="single" w:color="auto" w:sz="4" w:space="0"/>
            </w:tcBorders>
            <w:shd w:val="clear" w:color="000000" w:fill="FFFFFF"/>
            <w:noWrap/>
            <w:vAlign w:val="center"/>
          </w:tcPr>
          <w:p w14:paraId="39A93E36">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6A963C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3248AA6">
            <w:pPr>
              <w:widowControl/>
              <w:jc w:val="left"/>
              <w:rPr>
                <w:rFonts w:ascii="宋体" w:hAnsi="宋体" w:eastAsia="宋体" w:cs="宋体"/>
                <w:kern w:val="0"/>
                <w:sz w:val="22"/>
              </w:rPr>
            </w:pPr>
            <w:r>
              <w:rPr>
                <w:rFonts w:hint="eastAsia" w:ascii="宋体" w:hAnsi="宋体" w:eastAsia="宋体" w:cs="宋体"/>
                <w:kern w:val="0"/>
                <w:sz w:val="22"/>
              </w:rPr>
              <w:t>　</w:t>
            </w:r>
          </w:p>
        </w:tc>
      </w:tr>
      <w:tr w14:paraId="607E13B8">
        <w:tblPrEx>
          <w:tblCellMar>
            <w:top w:w="0" w:type="dxa"/>
            <w:left w:w="108" w:type="dxa"/>
            <w:bottom w:w="0" w:type="dxa"/>
            <w:right w:w="108" w:type="dxa"/>
          </w:tblCellMar>
        </w:tblPrEx>
        <w:trPr>
          <w:trHeight w:val="4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52B90DA8">
            <w:pPr>
              <w:widowControl/>
              <w:jc w:val="center"/>
              <w:rPr>
                <w:rFonts w:ascii="宋体" w:hAnsi="宋体" w:eastAsia="宋体" w:cs="宋体"/>
                <w:kern w:val="0"/>
                <w:sz w:val="22"/>
              </w:rPr>
            </w:pPr>
            <w:r>
              <w:rPr>
                <w:rFonts w:hint="eastAsia" w:ascii="宋体" w:hAnsi="宋体" w:eastAsia="宋体" w:cs="宋体"/>
                <w:kern w:val="0"/>
                <w:sz w:val="22"/>
              </w:rPr>
              <w:t>43</w:t>
            </w:r>
          </w:p>
        </w:tc>
        <w:tc>
          <w:tcPr>
            <w:tcW w:w="234" w:type="pct"/>
            <w:vMerge w:val="continue"/>
            <w:tcBorders>
              <w:top w:val="nil"/>
              <w:left w:val="single" w:color="auto" w:sz="4" w:space="0"/>
              <w:bottom w:val="single" w:color="000000" w:sz="4" w:space="0"/>
              <w:right w:val="single" w:color="auto" w:sz="4" w:space="0"/>
            </w:tcBorders>
            <w:vAlign w:val="center"/>
          </w:tcPr>
          <w:p w14:paraId="5F570C2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07B9995C">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29893DD3">
            <w:pPr>
              <w:widowControl/>
              <w:jc w:val="center"/>
              <w:rPr>
                <w:rFonts w:ascii="宋体" w:hAnsi="宋体" w:eastAsia="宋体" w:cs="宋体"/>
                <w:kern w:val="0"/>
                <w:sz w:val="20"/>
                <w:szCs w:val="20"/>
              </w:rPr>
            </w:pPr>
            <w:r>
              <w:rPr>
                <w:rFonts w:hint="eastAsia" w:ascii="宋体" w:hAnsi="宋体" w:eastAsia="宋体" w:cs="宋体"/>
                <w:kern w:val="0"/>
                <w:sz w:val="20"/>
                <w:szCs w:val="20"/>
              </w:rPr>
              <w:t>柴油发电机组 （含控制柜）</w:t>
            </w:r>
          </w:p>
        </w:tc>
        <w:tc>
          <w:tcPr>
            <w:tcW w:w="943" w:type="pct"/>
            <w:tcBorders>
              <w:top w:val="nil"/>
              <w:left w:val="nil"/>
              <w:bottom w:val="single" w:color="auto" w:sz="4" w:space="0"/>
              <w:right w:val="single" w:color="auto" w:sz="4" w:space="0"/>
            </w:tcBorders>
            <w:shd w:val="clear" w:color="000000" w:fill="FFFFFF"/>
            <w:vAlign w:val="center"/>
          </w:tcPr>
          <w:p w14:paraId="71FA126A">
            <w:pPr>
              <w:widowControl/>
              <w:jc w:val="center"/>
              <w:rPr>
                <w:rFonts w:ascii="宋体" w:hAnsi="宋体" w:eastAsia="宋体" w:cs="宋体"/>
                <w:kern w:val="0"/>
                <w:sz w:val="20"/>
                <w:szCs w:val="20"/>
              </w:rPr>
            </w:pPr>
            <w:r>
              <w:rPr>
                <w:rFonts w:hint="eastAsia" w:ascii="宋体" w:hAnsi="宋体" w:eastAsia="宋体" w:cs="宋体"/>
                <w:kern w:val="0"/>
                <w:sz w:val="20"/>
                <w:szCs w:val="20"/>
              </w:rPr>
              <w:t>保持冷备用状态，机组无异常，随时能启动运行。</w:t>
            </w:r>
          </w:p>
        </w:tc>
        <w:tc>
          <w:tcPr>
            <w:tcW w:w="1713" w:type="pct"/>
            <w:tcBorders>
              <w:top w:val="nil"/>
              <w:left w:val="nil"/>
              <w:bottom w:val="single" w:color="auto" w:sz="4" w:space="0"/>
              <w:right w:val="single" w:color="auto" w:sz="4" w:space="0"/>
            </w:tcBorders>
            <w:shd w:val="clear" w:color="000000" w:fill="FFFFFF"/>
            <w:vAlign w:val="center"/>
          </w:tcPr>
          <w:p w14:paraId="485AE4E6">
            <w:pPr>
              <w:widowControl/>
              <w:jc w:val="center"/>
              <w:rPr>
                <w:rFonts w:ascii="宋体" w:hAnsi="宋体" w:eastAsia="宋体" w:cs="宋体"/>
                <w:kern w:val="0"/>
                <w:sz w:val="20"/>
                <w:szCs w:val="20"/>
              </w:rPr>
            </w:pPr>
            <w:r>
              <w:rPr>
                <w:rFonts w:hint="eastAsia" w:ascii="宋体" w:hAnsi="宋体" w:eastAsia="宋体" w:cs="宋体"/>
                <w:kern w:val="0"/>
                <w:sz w:val="20"/>
                <w:szCs w:val="20"/>
              </w:rPr>
              <w:t>每一项不合格的，扣除1分，最高累计口2分，但在应急时无法正常供电，并产生严重后果的，最高可扣除50分</w:t>
            </w:r>
          </w:p>
        </w:tc>
        <w:tc>
          <w:tcPr>
            <w:tcW w:w="574" w:type="pct"/>
            <w:tcBorders>
              <w:top w:val="nil"/>
              <w:left w:val="nil"/>
              <w:bottom w:val="single" w:color="auto" w:sz="4" w:space="0"/>
              <w:right w:val="single" w:color="auto" w:sz="4" w:space="0"/>
            </w:tcBorders>
            <w:shd w:val="clear" w:color="000000" w:fill="FFFFFF"/>
            <w:noWrap/>
            <w:vAlign w:val="center"/>
          </w:tcPr>
          <w:p w14:paraId="04824BF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A4CCAB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5F283A3">
            <w:pPr>
              <w:widowControl/>
              <w:jc w:val="left"/>
              <w:rPr>
                <w:rFonts w:ascii="宋体" w:hAnsi="宋体" w:eastAsia="宋体" w:cs="宋体"/>
                <w:kern w:val="0"/>
                <w:sz w:val="22"/>
              </w:rPr>
            </w:pPr>
            <w:r>
              <w:rPr>
                <w:rFonts w:hint="eastAsia" w:ascii="宋体" w:hAnsi="宋体" w:eastAsia="宋体" w:cs="宋体"/>
                <w:kern w:val="0"/>
                <w:sz w:val="22"/>
              </w:rPr>
              <w:t>　</w:t>
            </w:r>
          </w:p>
        </w:tc>
      </w:tr>
      <w:tr w14:paraId="384BCB8C">
        <w:tblPrEx>
          <w:tblCellMar>
            <w:top w:w="0" w:type="dxa"/>
            <w:left w:w="108" w:type="dxa"/>
            <w:bottom w:w="0" w:type="dxa"/>
            <w:right w:w="108" w:type="dxa"/>
          </w:tblCellMar>
        </w:tblPrEx>
        <w:trPr>
          <w:trHeight w:val="123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4F0FD3C">
            <w:pPr>
              <w:widowControl/>
              <w:jc w:val="center"/>
              <w:rPr>
                <w:rFonts w:ascii="宋体" w:hAnsi="宋体" w:eastAsia="宋体" w:cs="宋体"/>
                <w:kern w:val="0"/>
                <w:sz w:val="22"/>
              </w:rPr>
            </w:pPr>
            <w:r>
              <w:rPr>
                <w:rFonts w:hint="eastAsia" w:ascii="宋体" w:hAnsi="宋体" w:eastAsia="宋体" w:cs="宋体"/>
                <w:kern w:val="0"/>
                <w:sz w:val="22"/>
              </w:rPr>
              <w:t>44</w:t>
            </w:r>
          </w:p>
        </w:tc>
        <w:tc>
          <w:tcPr>
            <w:tcW w:w="234" w:type="pct"/>
            <w:vMerge w:val="continue"/>
            <w:tcBorders>
              <w:top w:val="nil"/>
              <w:left w:val="single" w:color="auto" w:sz="4" w:space="0"/>
              <w:bottom w:val="single" w:color="000000" w:sz="4" w:space="0"/>
              <w:right w:val="single" w:color="auto" w:sz="4" w:space="0"/>
            </w:tcBorders>
            <w:vAlign w:val="center"/>
          </w:tcPr>
          <w:p w14:paraId="6AA6A0AA">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6909E7D9">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0D410920">
            <w:pPr>
              <w:widowControl/>
              <w:jc w:val="center"/>
              <w:rPr>
                <w:rFonts w:ascii="宋体" w:hAnsi="宋体" w:eastAsia="宋体" w:cs="宋体"/>
                <w:kern w:val="0"/>
                <w:sz w:val="20"/>
                <w:szCs w:val="20"/>
              </w:rPr>
            </w:pPr>
            <w:r>
              <w:rPr>
                <w:rFonts w:hint="eastAsia" w:ascii="宋体" w:hAnsi="宋体" w:eastAsia="宋体" w:cs="宋体"/>
                <w:kern w:val="0"/>
                <w:sz w:val="20"/>
                <w:szCs w:val="20"/>
              </w:rPr>
              <w:t>室内照明 （展区效果照明除外）</w:t>
            </w:r>
          </w:p>
        </w:tc>
        <w:tc>
          <w:tcPr>
            <w:tcW w:w="943" w:type="pct"/>
            <w:tcBorders>
              <w:top w:val="nil"/>
              <w:left w:val="nil"/>
              <w:bottom w:val="single" w:color="auto" w:sz="4" w:space="0"/>
              <w:right w:val="single" w:color="auto" w:sz="4" w:space="0"/>
            </w:tcBorders>
            <w:shd w:val="clear" w:color="000000" w:fill="FFFFFF"/>
            <w:vAlign w:val="center"/>
          </w:tcPr>
          <w:p w14:paraId="6228FF28">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1、照明灯具整体完整，无缺陷，发光正常                                  2、灯具安装规范，管线牢固，无松动现象                                     3、对应的控制开关完好，控制有效。 </w:t>
            </w:r>
          </w:p>
        </w:tc>
        <w:tc>
          <w:tcPr>
            <w:tcW w:w="1713" w:type="pct"/>
            <w:tcBorders>
              <w:top w:val="nil"/>
              <w:left w:val="nil"/>
              <w:bottom w:val="single" w:color="auto" w:sz="4" w:space="0"/>
              <w:right w:val="single" w:color="auto" w:sz="4" w:space="0"/>
            </w:tcBorders>
            <w:shd w:val="clear" w:color="000000" w:fill="FFFFFF"/>
            <w:vAlign w:val="center"/>
          </w:tcPr>
          <w:p w14:paraId="28B0DDA9">
            <w:pPr>
              <w:widowControl/>
              <w:jc w:val="center"/>
              <w:rPr>
                <w:rFonts w:ascii="宋体" w:hAnsi="宋体" w:eastAsia="宋体" w:cs="宋体"/>
                <w:kern w:val="0"/>
                <w:sz w:val="20"/>
                <w:szCs w:val="20"/>
              </w:rPr>
            </w:pPr>
            <w:r>
              <w:rPr>
                <w:rFonts w:hint="eastAsia" w:ascii="宋体" w:hAnsi="宋体" w:eastAsia="宋体" w:cs="宋体"/>
                <w:kern w:val="0"/>
                <w:sz w:val="20"/>
                <w:szCs w:val="20"/>
              </w:rPr>
              <w:t>每套灯具有一项不合格的，扣除0.5分，影响全部室内照明系统正常运行的，最高可扣除4分</w:t>
            </w:r>
          </w:p>
        </w:tc>
        <w:tc>
          <w:tcPr>
            <w:tcW w:w="574" w:type="pct"/>
            <w:tcBorders>
              <w:top w:val="nil"/>
              <w:left w:val="nil"/>
              <w:bottom w:val="single" w:color="auto" w:sz="4" w:space="0"/>
              <w:right w:val="single" w:color="auto" w:sz="4" w:space="0"/>
            </w:tcBorders>
            <w:shd w:val="clear" w:color="000000" w:fill="FFFFFF"/>
            <w:vAlign w:val="center"/>
          </w:tcPr>
          <w:p w14:paraId="74E730FE">
            <w:pPr>
              <w:widowControl/>
              <w:jc w:val="left"/>
              <w:rPr>
                <w:rFonts w:ascii="宋体" w:hAnsi="宋体" w:eastAsia="宋体" w:cs="宋体"/>
                <w:color w:val="FF0000"/>
                <w:kern w:val="0"/>
                <w:sz w:val="22"/>
              </w:rPr>
            </w:pPr>
            <w:r>
              <w:rPr>
                <w:rFonts w:hint="eastAsia" w:ascii="宋体" w:hAnsi="宋体" w:eastAsia="宋体" w:cs="宋体"/>
                <w:color w:val="FF0000"/>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C8FB74D">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9FF08C6">
            <w:pPr>
              <w:widowControl/>
              <w:jc w:val="left"/>
              <w:rPr>
                <w:rFonts w:ascii="宋体" w:hAnsi="宋体" w:eastAsia="宋体" w:cs="宋体"/>
                <w:kern w:val="0"/>
                <w:sz w:val="22"/>
              </w:rPr>
            </w:pPr>
            <w:r>
              <w:rPr>
                <w:rFonts w:hint="eastAsia" w:ascii="宋体" w:hAnsi="宋体" w:eastAsia="宋体" w:cs="宋体"/>
                <w:kern w:val="0"/>
                <w:sz w:val="22"/>
              </w:rPr>
              <w:t>　</w:t>
            </w:r>
          </w:p>
        </w:tc>
      </w:tr>
      <w:tr w14:paraId="36EA9D58">
        <w:tblPrEx>
          <w:tblCellMar>
            <w:top w:w="0" w:type="dxa"/>
            <w:left w:w="108" w:type="dxa"/>
            <w:bottom w:w="0" w:type="dxa"/>
            <w:right w:w="108" w:type="dxa"/>
          </w:tblCellMar>
        </w:tblPrEx>
        <w:trPr>
          <w:trHeight w:val="1155"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741B676E">
            <w:pPr>
              <w:widowControl/>
              <w:jc w:val="center"/>
              <w:rPr>
                <w:rFonts w:ascii="宋体" w:hAnsi="宋体" w:eastAsia="宋体" w:cs="宋体"/>
                <w:kern w:val="0"/>
                <w:sz w:val="22"/>
              </w:rPr>
            </w:pPr>
            <w:r>
              <w:rPr>
                <w:rFonts w:hint="eastAsia" w:ascii="宋体" w:hAnsi="宋体" w:eastAsia="宋体" w:cs="宋体"/>
                <w:kern w:val="0"/>
                <w:sz w:val="22"/>
              </w:rPr>
              <w:t>45</w:t>
            </w:r>
          </w:p>
        </w:tc>
        <w:tc>
          <w:tcPr>
            <w:tcW w:w="234" w:type="pct"/>
            <w:vMerge w:val="continue"/>
            <w:tcBorders>
              <w:top w:val="nil"/>
              <w:left w:val="single" w:color="auto" w:sz="4" w:space="0"/>
              <w:bottom w:val="single" w:color="000000" w:sz="4" w:space="0"/>
              <w:right w:val="single" w:color="auto" w:sz="4" w:space="0"/>
            </w:tcBorders>
            <w:vAlign w:val="center"/>
          </w:tcPr>
          <w:p w14:paraId="1E414BD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3259A4EF">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12D396D8">
            <w:pPr>
              <w:widowControl/>
              <w:jc w:val="center"/>
              <w:rPr>
                <w:rFonts w:ascii="宋体" w:hAnsi="宋体" w:eastAsia="宋体" w:cs="宋体"/>
                <w:kern w:val="0"/>
                <w:sz w:val="20"/>
                <w:szCs w:val="20"/>
              </w:rPr>
            </w:pPr>
            <w:r>
              <w:rPr>
                <w:rFonts w:hint="eastAsia" w:ascii="宋体" w:hAnsi="宋体" w:eastAsia="宋体" w:cs="宋体"/>
                <w:kern w:val="0"/>
                <w:sz w:val="20"/>
                <w:szCs w:val="20"/>
              </w:rPr>
              <w:t>泛光照明（含庭院灯、地理灯）</w:t>
            </w:r>
          </w:p>
        </w:tc>
        <w:tc>
          <w:tcPr>
            <w:tcW w:w="943" w:type="pct"/>
            <w:tcBorders>
              <w:top w:val="nil"/>
              <w:left w:val="nil"/>
              <w:bottom w:val="single" w:color="auto" w:sz="4" w:space="0"/>
              <w:right w:val="single" w:color="auto" w:sz="4" w:space="0"/>
            </w:tcBorders>
            <w:shd w:val="clear" w:color="000000" w:fill="FFFFFF"/>
            <w:vAlign w:val="center"/>
          </w:tcPr>
          <w:p w14:paraId="37460911">
            <w:pPr>
              <w:widowControl/>
              <w:jc w:val="center"/>
              <w:rPr>
                <w:rFonts w:ascii="宋体" w:hAnsi="宋体" w:eastAsia="宋体" w:cs="宋体"/>
                <w:kern w:val="0"/>
                <w:sz w:val="20"/>
                <w:szCs w:val="20"/>
              </w:rPr>
            </w:pPr>
            <w:r>
              <w:rPr>
                <w:rFonts w:hint="eastAsia" w:ascii="宋体" w:hAnsi="宋体" w:eastAsia="宋体" w:cs="宋体"/>
                <w:kern w:val="0"/>
                <w:sz w:val="20"/>
                <w:szCs w:val="20"/>
              </w:rPr>
              <w:t>1、灯具整体完整，无缺陷，发光正常，照射范围合理。                                       2、灯具安装牢固，无松动现象。                  3、对应的控制开关完好，控制有效。</w:t>
            </w:r>
          </w:p>
        </w:tc>
        <w:tc>
          <w:tcPr>
            <w:tcW w:w="1713" w:type="pct"/>
            <w:tcBorders>
              <w:top w:val="nil"/>
              <w:left w:val="nil"/>
              <w:bottom w:val="single" w:color="auto" w:sz="4" w:space="0"/>
              <w:right w:val="single" w:color="auto" w:sz="4" w:space="0"/>
            </w:tcBorders>
            <w:shd w:val="clear" w:color="000000" w:fill="FFFFFF"/>
            <w:vAlign w:val="center"/>
          </w:tcPr>
          <w:p w14:paraId="50D9EC1A">
            <w:pPr>
              <w:widowControl/>
              <w:jc w:val="center"/>
              <w:rPr>
                <w:rFonts w:ascii="宋体" w:hAnsi="宋体" w:eastAsia="宋体" w:cs="宋体"/>
                <w:kern w:val="0"/>
                <w:sz w:val="20"/>
                <w:szCs w:val="20"/>
              </w:rPr>
            </w:pPr>
            <w:r>
              <w:rPr>
                <w:rFonts w:hint="eastAsia" w:ascii="宋体" w:hAnsi="宋体" w:eastAsia="宋体" w:cs="宋体"/>
                <w:kern w:val="0"/>
                <w:sz w:val="20"/>
                <w:szCs w:val="20"/>
              </w:rPr>
              <w:t>每套灯具有一项不合格的，扣除0.5分，影响全部泛光照明系统正常运行的，最高可扣除2分</w:t>
            </w:r>
          </w:p>
        </w:tc>
        <w:tc>
          <w:tcPr>
            <w:tcW w:w="574" w:type="pct"/>
            <w:tcBorders>
              <w:top w:val="nil"/>
              <w:left w:val="nil"/>
              <w:bottom w:val="single" w:color="auto" w:sz="4" w:space="0"/>
              <w:right w:val="single" w:color="auto" w:sz="4" w:space="0"/>
            </w:tcBorders>
            <w:shd w:val="clear" w:color="000000" w:fill="FFFFFF"/>
            <w:vAlign w:val="center"/>
          </w:tcPr>
          <w:p w14:paraId="4D7302ED">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25A0E9B">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EF7DF48">
            <w:pPr>
              <w:widowControl/>
              <w:jc w:val="left"/>
              <w:rPr>
                <w:rFonts w:ascii="宋体" w:hAnsi="宋体" w:eastAsia="宋体" w:cs="宋体"/>
                <w:kern w:val="0"/>
                <w:sz w:val="22"/>
              </w:rPr>
            </w:pPr>
            <w:r>
              <w:rPr>
                <w:rFonts w:hint="eastAsia" w:ascii="宋体" w:hAnsi="宋体" w:eastAsia="宋体" w:cs="宋体"/>
                <w:kern w:val="0"/>
                <w:sz w:val="22"/>
              </w:rPr>
              <w:t>　</w:t>
            </w:r>
          </w:p>
        </w:tc>
      </w:tr>
      <w:tr w14:paraId="5F55DFDC">
        <w:tblPrEx>
          <w:tblCellMar>
            <w:top w:w="0" w:type="dxa"/>
            <w:left w:w="108" w:type="dxa"/>
            <w:bottom w:w="0" w:type="dxa"/>
            <w:right w:w="108" w:type="dxa"/>
          </w:tblCellMar>
        </w:tblPrEx>
        <w:trPr>
          <w:trHeight w:val="9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5085A188">
            <w:pPr>
              <w:widowControl/>
              <w:jc w:val="center"/>
              <w:rPr>
                <w:rFonts w:ascii="宋体" w:hAnsi="宋体" w:eastAsia="宋体" w:cs="宋体"/>
                <w:kern w:val="0"/>
                <w:sz w:val="22"/>
              </w:rPr>
            </w:pPr>
            <w:r>
              <w:rPr>
                <w:rFonts w:hint="eastAsia" w:ascii="宋体" w:hAnsi="宋体" w:eastAsia="宋体" w:cs="宋体"/>
                <w:kern w:val="0"/>
                <w:sz w:val="22"/>
              </w:rPr>
              <w:t>46</w:t>
            </w:r>
          </w:p>
        </w:tc>
        <w:tc>
          <w:tcPr>
            <w:tcW w:w="234" w:type="pct"/>
            <w:vMerge w:val="continue"/>
            <w:tcBorders>
              <w:top w:val="nil"/>
              <w:left w:val="single" w:color="auto" w:sz="4" w:space="0"/>
              <w:bottom w:val="single" w:color="000000" w:sz="4" w:space="0"/>
              <w:right w:val="single" w:color="auto" w:sz="4" w:space="0"/>
            </w:tcBorders>
            <w:vAlign w:val="center"/>
          </w:tcPr>
          <w:p w14:paraId="7D100DCA">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0E564AD0">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5A80A930">
            <w:pPr>
              <w:widowControl/>
              <w:jc w:val="center"/>
              <w:rPr>
                <w:rFonts w:ascii="宋体" w:hAnsi="宋体" w:eastAsia="宋体" w:cs="宋体"/>
                <w:kern w:val="0"/>
                <w:sz w:val="20"/>
                <w:szCs w:val="20"/>
              </w:rPr>
            </w:pPr>
            <w:r>
              <w:rPr>
                <w:rFonts w:hint="eastAsia" w:ascii="宋体" w:hAnsi="宋体" w:eastAsia="宋体" w:cs="宋体"/>
                <w:kern w:val="0"/>
                <w:sz w:val="20"/>
                <w:szCs w:val="20"/>
              </w:rPr>
              <w:t>各类消防应急灯</w:t>
            </w:r>
          </w:p>
        </w:tc>
        <w:tc>
          <w:tcPr>
            <w:tcW w:w="943" w:type="pct"/>
            <w:tcBorders>
              <w:top w:val="nil"/>
              <w:left w:val="nil"/>
              <w:bottom w:val="single" w:color="auto" w:sz="4" w:space="0"/>
              <w:right w:val="single" w:color="auto" w:sz="4" w:space="0"/>
            </w:tcBorders>
            <w:shd w:val="clear" w:color="000000" w:fill="FFFFFF"/>
            <w:vAlign w:val="center"/>
          </w:tcPr>
          <w:p w14:paraId="5C9F2D35">
            <w:pPr>
              <w:widowControl/>
              <w:jc w:val="center"/>
              <w:rPr>
                <w:rFonts w:ascii="宋体" w:hAnsi="宋体" w:eastAsia="宋体" w:cs="宋体"/>
                <w:kern w:val="0"/>
                <w:sz w:val="20"/>
                <w:szCs w:val="20"/>
              </w:rPr>
            </w:pPr>
            <w:r>
              <w:rPr>
                <w:rFonts w:hint="eastAsia" w:ascii="宋体" w:hAnsi="宋体" w:eastAsia="宋体" w:cs="宋体"/>
                <w:kern w:val="0"/>
                <w:sz w:val="20"/>
                <w:szCs w:val="20"/>
              </w:rPr>
              <w:t>1、灯具整体完整，无缺陷，发光正常。          2、停电时，电池放电发光功能完善。            3、灯具安装牢固，无松动现象。                4、对应的控制开关完好，控制有效。</w:t>
            </w:r>
          </w:p>
        </w:tc>
        <w:tc>
          <w:tcPr>
            <w:tcW w:w="1713" w:type="pct"/>
            <w:tcBorders>
              <w:top w:val="nil"/>
              <w:left w:val="nil"/>
              <w:bottom w:val="single" w:color="auto" w:sz="4" w:space="0"/>
              <w:right w:val="single" w:color="auto" w:sz="4" w:space="0"/>
            </w:tcBorders>
            <w:shd w:val="clear" w:color="000000" w:fill="FFFFFF"/>
            <w:vAlign w:val="center"/>
          </w:tcPr>
          <w:p w14:paraId="2A3BFEE7">
            <w:pPr>
              <w:widowControl/>
              <w:jc w:val="center"/>
              <w:rPr>
                <w:rFonts w:ascii="宋体" w:hAnsi="宋体" w:eastAsia="宋体" w:cs="宋体"/>
                <w:kern w:val="0"/>
                <w:sz w:val="20"/>
                <w:szCs w:val="20"/>
              </w:rPr>
            </w:pPr>
            <w:r>
              <w:rPr>
                <w:rFonts w:hint="eastAsia" w:ascii="宋体" w:hAnsi="宋体" w:eastAsia="宋体" w:cs="宋体"/>
                <w:kern w:val="0"/>
                <w:sz w:val="20"/>
                <w:szCs w:val="20"/>
              </w:rPr>
              <w:t>每套灯具有一项不合格的，扣除0.5分，影响全部应急照明系统正常运行的，最高可扣4分</w:t>
            </w:r>
          </w:p>
        </w:tc>
        <w:tc>
          <w:tcPr>
            <w:tcW w:w="574" w:type="pct"/>
            <w:tcBorders>
              <w:top w:val="nil"/>
              <w:left w:val="nil"/>
              <w:bottom w:val="single" w:color="auto" w:sz="4" w:space="0"/>
              <w:right w:val="single" w:color="auto" w:sz="4" w:space="0"/>
            </w:tcBorders>
            <w:shd w:val="clear" w:color="000000" w:fill="FFFFFF"/>
            <w:noWrap/>
            <w:vAlign w:val="center"/>
          </w:tcPr>
          <w:p w14:paraId="6373ED61">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482F513">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28B64AE">
            <w:pPr>
              <w:widowControl/>
              <w:jc w:val="left"/>
              <w:rPr>
                <w:rFonts w:ascii="宋体" w:hAnsi="宋体" w:eastAsia="宋体" w:cs="宋体"/>
                <w:kern w:val="0"/>
                <w:sz w:val="22"/>
              </w:rPr>
            </w:pPr>
            <w:r>
              <w:rPr>
                <w:rFonts w:hint="eastAsia" w:ascii="宋体" w:hAnsi="宋体" w:eastAsia="宋体" w:cs="宋体"/>
                <w:kern w:val="0"/>
                <w:sz w:val="22"/>
              </w:rPr>
              <w:t>　</w:t>
            </w:r>
          </w:p>
        </w:tc>
      </w:tr>
      <w:tr w14:paraId="232F97C2">
        <w:tblPrEx>
          <w:tblCellMar>
            <w:top w:w="0" w:type="dxa"/>
            <w:left w:w="108" w:type="dxa"/>
            <w:bottom w:w="0" w:type="dxa"/>
            <w:right w:w="108" w:type="dxa"/>
          </w:tblCellMar>
        </w:tblPrEx>
        <w:trPr>
          <w:trHeight w:val="9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02C6D1A1">
            <w:pPr>
              <w:widowControl/>
              <w:jc w:val="center"/>
              <w:rPr>
                <w:rFonts w:ascii="宋体" w:hAnsi="宋体" w:eastAsia="宋体" w:cs="宋体"/>
                <w:kern w:val="0"/>
                <w:sz w:val="22"/>
              </w:rPr>
            </w:pPr>
            <w:r>
              <w:rPr>
                <w:rFonts w:hint="eastAsia" w:ascii="宋体" w:hAnsi="宋体" w:eastAsia="宋体" w:cs="宋体"/>
                <w:kern w:val="0"/>
                <w:sz w:val="22"/>
              </w:rPr>
              <w:t>47</w:t>
            </w:r>
          </w:p>
        </w:tc>
        <w:tc>
          <w:tcPr>
            <w:tcW w:w="234" w:type="pct"/>
            <w:vMerge w:val="continue"/>
            <w:tcBorders>
              <w:top w:val="nil"/>
              <w:left w:val="single" w:color="auto" w:sz="4" w:space="0"/>
              <w:bottom w:val="single" w:color="000000" w:sz="4" w:space="0"/>
              <w:right w:val="single" w:color="auto" w:sz="4" w:space="0"/>
            </w:tcBorders>
            <w:vAlign w:val="center"/>
          </w:tcPr>
          <w:p w14:paraId="2C0212C9">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4111F5C1">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4E773B50">
            <w:pPr>
              <w:widowControl/>
              <w:jc w:val="center"/>
              <w:rPr>
                <w:rFonts w:ascii="宋体" w:hAnsi="宋体" w:eastAsia="宋体" w:cs="宋体"/>
                <w:kern w:val="0"/>
                <w:sz w:val="20"/>
                <w:szCs w:val="20"/>
              </w:rPr>
            </w:pPr>
            <w:r>
              <w:rPr>
                <w:rFonts w:hint="eastAsia" w:ascii="宋体" w:hAnsi="宋体" w:eastAsia="宋体" w:cs="宋体"/>
                <w:kern w:val="0"/>
                <w:sz w:val="20"/>
                <w:szCs w:val="20"/>
              </w:rPr>
              <w:t>86型开关、插座面板（含地面插座）</w:t>
            </w:r>
          </w:p>
        </w:tc>
        <w:tc>
          <w:tcPr>
            <w:tcW w:w="943" w:type="pct"/>
            <w:tcBorders>
              <w:top w:val="nil"/>
              <w:left w:val="nil"/>
              <w:bottom w:val="single" w:color="auto" w:sz="4" w:space="0"/>
              <w:right w:val="single" w:color="auto" w:sz="4" w:space="0"/>
            </w:tcBorders>
            <w:shd w:val="clear" w:color="000000" w:fill="FFFFFF"/>
            <w:vAlign w:val="center"/>
          </w:tcPr>
          <w:p w14:paraId="2016C397">
            <w:pPr>
              <w:widowControl/>
              <w:jc w:val="center"/>
              <w:rPr>
                <w:rFonts w:ascii="宋体" w:hAnsi="宋体" w:eastAsia="宋体" w:cs="宋体"/>
                <w:kern w:val="0"/>
                <w:sz w:val="20"/>
                <w:szCs w:val="20"/>
              </w:rPr>
            </w:pPr>
            <w:r>
              <w:rPr>
                <w:rFonts w:hint="eastAsia" w:ascii="宋体" w:hAnsi="宋体" w:eastAsia="宋体" w:cs="宋体"/>
                <w:kern w:val="0"/>
                <w:sz w:val="20"/>
                <w:szCs w:val="20"/>
              </w:rPr>
              <w:t>1、开关面板、插座整体完整，无缺陷，功能完善。                             2、安装规范、管线牢固、无松动现象，采用隐蔽方式安装。                                   3、插座漏电保护功能可靠。</w:t>
            </w:r>
          </w:p>
        </w:tc>
        <w:tc>
          <w:tcPr>
            <w:tcW w:w="1713" w:type="pct"/>
            <w:tcBorders>
              <w:top w:val="nil"/>
              <w:left w:val="nil"/>
              <w:bottom w:val="single" w:color="auto" w:sz="4" w:space="0"/>
              <w:right w:val="single" w:color="auto" w:sz="4" w:space="0"/>
            </w:tcBorders>
            <w:shd w:val="clear" w:color="000000" w:fill="FFFFFF"/>
            <w:vAlign w:val="center"/>
          </w:tcPr>
          <w:p w14:paraId="2C7CA80C">
            <w:pPr>
              <w:widowControl/>
              <w:jc w:val="center"/>
              <w:rPr>
                <w:rFonts w:ascii="宋体" w:hAnsi="宋体" w:eastAsia="宋体" w:cs="宋体"/>
                <w:kern w:val="0"/>
                <w:sz w:val="20"/>
                <w:szCs w:val="20"/>
              </w:rPr>
            </w:pPr>
            <w:r>
              <w:rPr>
                <w:rFonts w:hint="eastAsia" w:ascii="宋体" w:hAnsi="宋体" w:eastAsia="宋体" w:cs="宋体"/>
                <w:kern w:val="0"/>
                <w:sz w:val="20"/>
                <w:szCs w:val="20"/>
              </w:rPr>
              <w:t>每套开关、插座有一项不合格的，扣0.5分，造成使用部门无法正常工作的，扣除2分，最高可扣除？分</w:t>
            </w:r>
          </w:p>
        </w:tc>
        <w:tc>
          <w:tcPr>
            <w:tcW w:w="574" w:type="pct"/>
            <w:tcBorders>
              <w:top w:val="nil"/>
              <w:left w:val="nil"/>
              <w:bottom w:val="single" w:color="auto" w:sz="4" w:space="0"/>
              <w:right w:val="single" w:color="auto" w:sz="4" w:space="0"/>
            </w:tcBorders>
            <w:shd w:val="clear" w:color="000000" w:fill="FFFFFF"/>
            <w:vAlign w:val="center"/>
          </w:tcPr>
          <w:p w14:paraId="48A8F7FC">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940A768">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6CA1157">
            <w:pPr>
              <w:widowControl/>
              <w:jc w:val="left"/>
              <w:rPr>
                <w:rFonts w:ascii="宋体" w:hAnsi="宋体" w:eastAsia="宋体" w:cs="宋体"/>
                <w:kern w:val="0"/>
                <w:sz w:val="22"/>
              </w:rPr>
            </w:pPr>
            <w:r>
              <w:rPr>
                <w:rFonts w:hint="eastAsia" w:ascii="宋体" w:hAnsi="宋体" w:eastAsia="宋体" w:cs="宋体"/>
                <w:kern w:val="0"/>
                <w:sz w:val="22"/>
              </w:rPr>
              <w:t>　</w:t>
            </w:r>
          </w:p>
        </w:tc>
      </w:tr>
      <w:tr w14:paraId="3A8C25A3">
        <w:tblPrEx>
          <w:tblCellMar>
            <w:top w:w="0" w:type="dxa"/>
            <w:left w:w="108" w:type="dxa"/>
            <w:bottom w:w="0" w:type="dxa"/>
            <w:right w:w="108" w:type="dxa"/>
          </w:tblCellMar>
        </w:tblPrEx>
        <w:trPr>
          <w:trHeight w:val="9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8E0C12F">
            <w:pPr>
              <w:widowControl/>
              <w:jc w:val="center"/>
              <w:rPr>
                <w:rFonts w:ascii="宋体" w:hAnsi="宋体" w:eastAsia="宋体" w:cs="宋体"/>
                <w:kern w:val="0"/>
                <w:sz w:val="22"/>
              </w:rPr>
            </w:pPr>
            <w:r>
              <w:rPr>
                <w:rFonts w:hint="eastAsia" w:ascii="宋体" w:hAnsi="宋体" w:eastAsia="宋体" w:cs="宋体"/>
                <w:kern w:val="0"/>
                <w:sz w:val="22"/>
              </w:rPr>
              <w:t>48</w:t>
            </w:r>
          </w:p>
        </w:tc>
        <w:tc>
          <w:tcPr>
            <w:tcW w:w="234" w:type="pct"/>
            <w:vMerge w:val="continue"/>
            <w:tcBorders>
              <w:top w:val="nil"/>
              <w:left w:val="single" w:color="auto" w:sz="4" w:space="0"/>
              <w:bottom w:val="single" w:color="000000" w:sz="4" w:space="0"/>
              <w:right w:val="single" w:color="auto" w:sz="4" w:space="0"/>
            </w:tcBorders>
            <w:vAlign w:val="center"/>
          </w:tcPr>
          <w:p w14:paraId="26FFA34E">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3603F144">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3FEC7874">
            <w:pPr>
              <w:widowControl/>
              <w:jc w:val="center"/>
              <w:rPr>
                <w:rFonts w:ascii="宋体" w:hAnsi="宋体" w:eastAsia="宋体" w:cs="宋体"/>
                <w:kern w:val="0"/>
                <w:sz w:val="20"/>
                <w:szCs w:val="20"/>
              </w:rPr>
            </w:pPr>
            <w:r>
              <w:rPr>
                <w:rFonts w:hint="eastAsia" w:ascii="宋体" w:hAnsi="宋体" w:eastAsia="宋体" w:cs="宋体"/>
                <w:kern w:val="0"/>
                <w:sz w:val="20"/>
                <w:szCs w:val="20"/>
              </w:rPr>
              <w:t>各类机械设备（含升降机、电瓶车、保洁设备等）</w:t>
            </w:r>
          </w:p>
        </w:tc>
        <w:tc>
          <w:tcPr>
            <w:tcW w:w="943" w:type="pct"/>
            <w:tcBorders>
              <w:top w:val="nil"/>
              <w:left w:val="nil"/>
              <w:bottom w:val="single" w:color="auto" w:sz="4" w:space="0"/>
              <w:right w:val="single" w:color="auto" w:sz="4" w:space="0"/>
            </w:tcBorders>
            <w:shd w:val="clear" w:color="000000" w:fill="FFFFFF"/>
            <w:vAlign w:val="center"/>
          </w:tcPr>
          <w:p w14:paraId="1732F992">
            <w:pPr>
              <w:widowControl/>
              <w:jc w:val="center"/>
              <w:rPr>
                <w:rFonts w:ascii="宋体" w:hAnsi="宋体" w:eastAsia="宋体" w:cs="宋体"/>
                <w:kern w:val="0"/>
                <w:sz w:val="20"/>
                <w:szCs w:val="20"/>
              </w:rPr>
            </w:pPr>
            <w:r>
              <w:rPr>
                <w:rFonts w:hint="eastAsia" w:ascii="宋体" w:hAnsi="宋体" w:eastAsia="宋体" w:cs="宋体"/>
                <w:kern w:val="0"/>
                <w:sz w:val="20"/>
                <w:szCs w:val="20"/>
              </w:rPr>
              <w:t>1、各类设备完好无损，无缺陷，使用功能完善。                               2、部分设备专人持证操作                      3、维保制度齐全</w:t>
            </w:r>
          </w:p>
        </w:tc>
        <w:tc>
          <w:tcPr>
            <w:tcW w:w="1713" w:type="pct"/>
            <w:tcBorders>
              <w:top w:val="nil"/>
              <w:left w:val="nil"/>
              <w:bottom w:val="single" w:color="auto" w:sz="4" w:space="0"/>
              <w:right w:val="single" w:color="auto" w:sz="4" w:space="0"/>
            </w:tcBorders>
            <w:shd w:val="clear" w:color="000000" w:fill="FFFFFF"/>
            <w:vAlign w:val="center"/>
          </w:tcPr>
          <w:p w14:paraId="0603C109">
            <w:pPr>
              <w:widowControl/>
              <w:jc w:val="center"/>
              <w:rPr>
                <w:rFonts w:ascii="宋体" w:hAnsi="宋体" w:eastAsia="宋体" w:cs="宋体"/>
                <w:kern w:val="0"/>
                <w:sz w:val="20"/>
                <w:szCs w:val="20"/>
              </w:rPr>
            </w:pPr>
            <w:r>
              <w:rPr>
                <w:rFonts w:hint="eastAsia" w:ascii="宋体" w:hAnsi="宋体" w:eastAsia="宋体" w:cs="宋体"/>
                <w:kern w:val="0"/>
                <w:sz w:val="20"/>
                <w:szCs w:val="20"/>
              </w:rPr>
              <w:t>每台设备有一项个不合格的，扣除1分，最高累计口6分。违规操作造成安全事故的，最高可扣除50分。</w:t>
            </w:r>
          </w:p>
        </w:tc>
        <w:tc>
          <w:tcPr>
            <w:tcW w:w="574" w:type="pct"/>
            <w:tcBorders>
              <w:top w:val="nil"/>
              <w:left w:val="nil"/>
              <w:bottom w:val="single" w:color="auto" w:sz="4" w:space="0"/>
              <w:right w:val="single" w:color="auto" w:sz="4" w:space="0"/>
            </w:tcBorders>
            <w:shd w:val="clear" w:color="000000" w:fill="FFFFFF"/>
            <w:noWrap/>
            <w:vAlign w:val="center"/>
          </w:tcPr>
          <w:p w14:paraId="4865F71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C60A4D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80A4DFB">
            <w:pPr>
              <w:widowControl/>
              <w:jc w:val="left"/>
              <w:rPr>
                <w:rFonts w:ascii="宋体" w:hAnsi="宋体" w:eastAsia="宋体" w:cs="宋体"/>
                <w:kern w:val="0"/>
                <w:sz w:val="22"/>
              </w:rPr>
            </w:pPr>
            <w:r>
              <w:rPr>
                <w:rFonts w:hint="eastAsia" w:ascii="宋体" w:hAnsi="宋体" w:eastAsia="宋体" w:cs="宋体"/>
                <w:kern w:val="0"/>
                <w:sz w:val="22"/>
              </w:rPr>
              <w:t>　</w:t>
            </w:r>
          </w:p>
        </w:tc>
      </w:tr>
      <w:tr w14:paraId="335B7F22">
        <w:tblPrEx>
          <w:tblCellMar>
            <w:top w:w="0" w:type="dxa"/>
            <w:left w:w="108" w:type="dxa"/>
            <w:bottom w:w="0" w:type="dxa"/>
            <w:right w:w="108" w:type="dxa"/>
          </w:tblCellMar>
        </w:tblPrEx>
        <w:trPr>
          <w:trHeight w:val="4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CEA8D6B">
            <w:pPr>
              <w:widowControl/>
              <w:jc w:val="center"/>
              <w:rPr>
                <w:rFonts w:ascii="宋体" w:hAnsi="宋体" w:eastAsia="宋体" w:cs="宋体"/>
                <w:kern w:val="0"/>
                <w:sz w:val="22"/>
              </w:rPr>
            </w:pPr>
            <w:r>
              <w:rPr>
                <w:rFonts w:hint="eastAsia" w:ascii="宋体" w:hAnsi="宋体" w:eastAsia="宋体" w:cs="宋体"/>
                <w:kern w:val="0"/>
                <w:sz w:val="22"/>
              </w:rPr>
              <w:t>49</w:t>
            </w:r>
          </w:p>
        </w:tc>
        <w:tc>
          <w:tcPr>
            <w:tcW w:w="234" w:type="pct"/>
            <w:vMerge w:val="continue"/>
            <w:tcBorders>
              <w:top w:val="nil"/>
              <w:left w:val="single" w:color="auto" w:sz="4" w:space="0"/>
              <w:bottom w:val="single" w:color="000000" w:sz="4" w:space="0"/>
              <w:right w:val="single" w:color="auto" w:sz="4" w:space="0"/>
            </w:tcBorders>
            <w:vAlign w:val="center"/>
          </w:tcPr>
          <w:p w14:paraId="0E050997">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6DDE7C74">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66142A11">
            <w:pPr>
              <w:widowControl/>
              <w:jc w:val="center"/>
              <w:rPr>
                <w:rFonts w:ascii="宋体" w:hAnsi="宋体" w:eastAsia="宋体" w:cs="宋体"/>
                <w:kern w:val="0"/>
                <w:sz w:val="20"/>
                <w:szCs w:val="20"/>
              </w:rPr>
            </w:pPr>
            <w:r>
              <w:rPr>
                <w:rFonts w:hint="eastAsia" w:ascii="宋体" w:hAnsi="宋体" w:eastAsia="宋体" w:cs="宋体"/>
                <w:kern w:val="0"/>
                <w:sz w:val="20"/>
                <w:szCs w:val="20"/>
              </w:rPr>
              <w:t>各类电机</w:t>
            </w:r>
          </w:p>
        </w:tc>
        <w:tc>
          <w:tcPr>
            <w:tcW w:w="943" w:type="pct"/>
            <w:tcBorders>
              <w:top w:val="nil"/>
              <w:left w:val="nil"/>
              <w:bottom w:val="single" w:color="auto" w:sz="4" w:space="0"/>
              <w:right w:val="single" w:color="auto" w:sz="4" w:space="0"/>
            </w:tcBorders>
            <w:shd w:val="clear" w:color="000000" w:fill="FFFFFF"/>
            <w:vAlign w:val="center"/>
          </w:tcPr>
          <w:p w14:paraId="292C7F5C">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1、电动机运行正常，各类参数无异常。           2、维修及时，不影响相关设备正常运行  </w:t>
            </w:r>
          </w:p>
        </w:tc>
        <w:tc>
          <w:tcPr>
            <w:tcW w:w="1713" w:type="pct"/>
            <w:tcBorders>
              <w:top w:val="nil"/>
              <w:left w:val="nil"/>
              <w:bottom w:val="single" w:color="auto" w:sz="4" w:space="0"/>
              <w:right w:val="single" w:color="auto" w:sz="4" w:space="0"/>
            </w:tcBorders>
            <w:shd w:val="clear" w:color="000000" w:fill="FFFFFF"/>
            <w:vAlign w:val="center"/>
          </w:tcPr>
          <w:p w14:paraId="276D3244">
            <w:pPr>
              <w:widowControl/>
              <w:jc w:val="center"/>
              <w:rPr>
                <w:rFonts w:ascii="宋体" w:hAnsi="宋体" w:eastAsia="宋体" w:cs="宋体"/>
                <w:kern w:val="0"/>
                <w:sz w:val="20"/>
                <w:szCs w:val="20"/>
              </w:rPr>
            </w:pPr>
            <w:r>
              <w:rPr>
                <w:rFonts w:hint="eastAsia" w:ascii="宋体" w:hAnsi="宋体" w:eastAsia="宋体" w:cs="宋体"/>
                <w:kern w:val="0"/>
                <w:sz w:val="20"/>
                <w:szCs w:val="20"/>
              </w:rPr>
              <w:t>每台电机不合格，扣除0.5分，最高累计口4分</w:t>
            </w:r>
          </w:p>
        </w:tc>
        <w:tc>
          <w:tcPr>
            <w:tcW w:w="574" w:type="pct"/>
            <w:tcBorders>
              <w:top w:val="nil"/>
              <w:left w:val="nil"/>
              <w:bottom w:val="single" w:color="auto" w:sz="4" w:space="0"/>
              <w:right w:val="single" w:color="auto" w:sz="4" w:space="0"/>
            </w:tcBorders>
            <w:shd w:val="clear" w:color="000000" w:fill="FFFFFF"/>
            <w:noWrap/>
            <w:vAlign w:val="center"/>
          </w:tcPr>
          <w:p w14:paraId="00E0445F">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DCB66E7">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3B043BE">
            <w:pPr>
              <w:widowControl/>
              <w:jc w:val="left"/>
              <w:rPr>
                <w:rFonts w:ascii="宋体" w:hAnsi="宋体" w:eastAsia="宋体" w:cs="宋体"/>
                <w:kern w:val="0"/>
                <w:sz w:val="22"/>
              </w:rPr>
            </w:pPr>
            <w:r>
              <w:rPr>
                <w:rFonts w:hint="eastAsia" w:ascii="宋体" w:hAnsi="宋体" w:eastAsia="宋体" w:cs="宋体"/>
                <w:kern w:val="0"/>
                <w:sz w:val="22"/>
              </w:rPr>
              <w:t>　</w:t>
            </w:r>
          </w:p>
        </w:tc>
      </w:tr>
      <w:tr w14:paraId="6A846FF4">
        <w:tblPrEx>
          <w:tblCellMar>
            <w:top w:w="0" w:type="dxa"/>
            <w:left w:w="108" w:type="dxa"/>
            <w:bottom w:w="0" w:type="dxa"/>
            <w:right w:w="108" w:type="dxa"/>
          </w:tblCellMar>
        </w:tblPrEx>
        <w:trPr>
          <w:trHeight w:val="4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0971E330">
            <w:pPr>
              <w:widowControl/>
              <w:jc w:val="center"/>
              <w:rPr>
                <w:rFonts w:ascii="宋体" w:hAnsi="宋体" w:eastAsia="宋体" w:cs="宋体"/>
                <w:kern w:val="0"/>
                <w:sz w:val="22"/>
              </w:rPr>
            </w:pPr>
            <w:r>
              <w:rPr>
                <w:rFonts w:hint="eastAsia" w:ascii="宋体" w:hAnsi="宋体" w:eastAsia="宋体" w:cs="宋体"/>
                <w:kern w:val="0"/>
                <w:sz w:val="22"/>
              </w:rPr>
              <w:t>50</w:t>
            </w:r>
          </w:p>
        </w:tc>
        <w:tc>
          <w:tcPr>
            <w:tcW w:w="234" w:type="pct"/>
            <w:vMerge w:val="continue"/>
            <w:tcBorders>
              <w:top w:val="nil"/>
              <w:left w:val="single" w:color="auto" w:sz="4" w:space="0"/>
              <w:bottom w:val="single" w:color="000000" w:sz="4" w:space="0"/>
              <w:right w:val="single" w:color="auto" w:sz="4" w:space="0"/>
            </w:tcBorders>
            <w:vAlign w:val="center"/>
          </w:tcPr>
          <w:p w14:paraId="2AF3E595">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6263F658">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7EA9F19D">
            <w:pPr>
              <w:widowControl/>
              <w:jc w:val="center"/>
              <w:rPr>
                <w:rFonts w:ascii="宋体" w:hAnsi="宋体" w:eastAsia="宋体" w:cs="宋体"/>
                <w:kern w:val="0"/>
                <w:sz w:val="20"/>
                <w:szCs w:val="20"/>
              </w:rPr>
            </w:pPr>
            <w:r>
              <w:rPr>
                <w:rFonts w:hint="eastAsia" w:ascii="宋体" w:hAnsi="宋体" w:eastAsia="宋体" w:cs="宋体"/>
                <w:kern w:val="0"/>
                <w:sz w:val="20"/>
                <w:szCs w:val="20"/>
              </w:rPr>
              <w:t>电梯</w:t>
            </w:r>
          </w:p>
        </w:tc>
        <w:tc>
          <w:tcPr>
            <w:tcW w:w="943" w:type="pct"/>
            <w:tcBorders>
              <w:top w:val="nil"/>
              <w:left w:val="nil"/>
              <w:bottom w:val="single" w:color="auto" w:sz="4" w:space="0"/>
              <w:right w:val="single" w:color="auto" w:sz="4" w:space="0"/>
            </w:tcBorders>
            <w:shd w:val="clear" w:color="000000" w:fill="FFFFFF"/>
            <w:vAlign w:val="center"/>
          </w:tcPr>
          <w:p w14:paraId="2CFCFCF9">
            <w:pPr>
              <w:widowControl/>
              <w:jc w:val="center"/>
              <w:rPr>
                <w:rFonts w:ascii="宋体" w:hAnsi="宋体" w:eastAsia="宋体" w:cs="宋体"/>
                <w:kern w:val="0"/>
                <w:sz w:val="20"/>
                <w:szCs w:val="20"/>
              </w:rPr>
            </w:pPr>
            <w:r>
              <w:rPr>
                <w:rFonts w:hint="eastAsia" w:ascii="宋体" w:hAnsi="宋体" w:eastAsia="宋体" w:cs="宋体"/>
                <w:kern w:val="0"/>
                <w:sz w:val="20"/>
                <w:szCs w:val="20"/>
              </w:rPr>
              <w:t>各类电梯运行正常，辅助设施完整，并通过上海市检测单位的年检，设备完好，无缺陷。</w:t>
            </w:r>
          </w:p>
        </w:tc>
        <w:tc>
          <w:tcPr>
            <w:tcW w:w="1713" w:type="pct"/>
            <w:tcBorders>
              <w:top w:val="nil"/>
              <w:left w:val="nil"/>
              <w:bottom w:val="single" w:color="auto" w:sz="4" w:space="0"/>
              <w:right w:val="single" w:color="auto" w:sz="4" w:space="0"/>
            </w:tcBorders>
            <w:shd w:val="clear" w:color="000000" w:fill="FFFFFF"/>
            <w:vAlign w:val="center"/>
          </w:tcPr>
          <w:p w14:paraId="6AE5F6AF">
            <w:pPr>
              <w:widowControl/>
              <w:jc w:val="center"/>
              <w:rPr>
                <w:rFonts w:ascii="宋体" w:hAnsi="宋体" w:eastAsia="宋体" w:cs="宋体"/>
                <w:kern w:val="0"/>
                <w:sz w:val="20"/>
                <w:szCs w:val="20"/>
              </w:rPr>
            </w:pPr>
            <w:r>
              <w:rPr>
                <w:rFonts w:hint="eastAsia" w:ascii="宋体" w:hAnsi="宋体" w:eastAsia="宋体" w:cs="宋体"/>
                <w:kern w:val="0"/>
                <w:sz w:val="20"/>
                <w:szCs w:val="20"/>
              </w:rPr>
              <w:t>每台电梯故障停运，扣除0.5分，外观缺陷扣除0.5分，桥箱关人扣除10分，最高累计口15分。</w:t>
            </w:r>
          </w:p>
        </w:tc>
        <w:tc>
          <w:tcPr>
            <w:tcW w:w="574" w:type="pct"/>
            <w:tcBorders>
              <w:top w:val="nil"/>
              <w:left w:val="nil"/>
              <w:bottom w:val="single" w:color="auto" w:sz="4" w:space="0"/>
              <w:right w:val="single" w:color="auto" w:sz="4" w:space="0"/>
            </w:tcBorders>
            <w:shd w:val="clear" w:color="000000" w:fill="FFFFFF"/>
            <w:vAlign w:val="center"/>
          </w:tcPr>
          <w:p w14:paraId="18869FB3">
            <w:pPr>
              <w:widowControl/>
              <w:jc w:val="left"/>
              <w:rPr>
                <w:rFonts w:ascii="宋体" w:hAnsi="宋体" w:eastAsia="宋体" w:cs="宋体"/>
                <w:color w:val="FF0000"/>
                <w:kern w:val="0"/>
                <w:sz w:val="22"/>
              </w:rPr>
            </w:pPr>
            <w:r>
              <w:rPr>
                <w:rFonts w:hint="eastAsia" w:ascii="宋体" w:hAnsi="宋体" w:eastAsia="宋体" w:cs="宋体"/>
                <w:color w:val="FF0000"/>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481B4E7">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7C9D9DE">
            <w:pPr>
              <w:widowControl/>
              <w:jc w:val="left"/>
              <w:rPr>
                <w:rFonts w:ascii="宋体" w:hAnsi="宋体" w:eastAsia="宋体" w:cs="宋体"/>
                <w:kern w:val="0"/>
                <w:sz w:val="22"/>
              </w:rPr>
            </w:pPr>
            <w:r>
              <w:rPr>
                <w:rFonts w:hint="eastAsia" w:ascii="宋体" w:hAnsi="宋体" w:eastAsia="宋体" w:cs="宋体"/>
                <w:kern w:val="0"/>
                <w:sz w:val="22"/>
              </w:rPr>
              <w:t>　</w:t>
            </w:r>
          </w:p>
        </w:tc>
      </w:tr>
      <w:tr w14:paraId="73F30399">
        <w:tblPrEx>
          <w:tblCellMar>
            <w:top w:w="0" w:type="dxa"/>
            <w:left w:w="108" w:type="dxa"/>
            <w:bottom w:w="0" w:type="dxa"/>
            <w:right w:w="108" w:type="dxa"/>
          </w:tblCellMar>
        </w:tblPrEx>
        <w:trPr>
          <w:trHeight w:val="261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A2B3BF3">
            <w:pPr>
              <w:widowControl/>
              <w:jc w:val="center"/>
              <w:rPr>
                <w:rFonts w:ascii="宋体" w:hAnsi="宋体" w:eastAsia="宋体" w:cs="宋体"/>
                <w:kern w:val="0"/>
                <w:sz w:val="22"/>
              </w:rPr>
            </w:pPr>
            <w:r>
              <w:rPr>
                <w:rFonts w:hint="eastAsia" w:ascii="宋体" w:hAnsi="宋体" w:eastAsia="宋体" w:cs="宋体"/>
                <w:kern w:val="0"/>
                <w:sz w:val="22"/>
              </w:rPr>
              <w:t>51</w:t>
            </w:r>
          </w:p>
        </w:tc>
        <w:tc>
          <w:tcPr>
            <w:tcW w:w="234" w:type="pct"/>
            <w:vMerge w:val="continue"/>
            <w:tcBorders>
              <w:top w:val="nil"/>
              <w:left w:val="single" w:color="auto" w:sz="4" w:space="0"/>
              <w:bottom w:val="single" w:color="000000" w:sz="4" w:space="0"/>
              <w:right w:val="single" w:color="auto" w:sz="4" w:space="0"/>
            </w:tcBorders>
            <w:vAlign w:val="center"/>
          </w:tcPr>
          <w:p w14:paraId="7D5159E2">
            <w:pPr>
              <w:widowControl/>
              <w:jc w:val="left"/>
              <w:rPr>
                <w:rFonts w:ascii="宋体" w:hAnsi="宋体" w:eastAsia="宋体" w:cs="宋体"/>
                <w:b/>
                <w:bCs/>
                <w:kern w:val="0"/>
                <w:sz w:val="22"/>
              </w:rPr>
            </w:pPr>
          </w:p>
        </w:tc>
        <w:tc>
          <w:tcPr>
            <w:tcW w:w="275" w:type="pct"/>
            <w:vMerge w:val="restart"/>
            <w:tcBorders>
              <w:top w:val="nil"/>
              <w:left w:val="single" w:color="auto" w:sz="4" w:space="0"/>
              <w:bottom w:val="single" w:color="auto" w:sz="4" w:space="0"/>
              <w:right w:val="single" w:color="auto" w:sz="4" w:space="0"/>
            </w:tcBorders>
            <w:shd w:val="clear" w:color="000000" w:fill="FFFFFF"/>
            <w:vAlign w:val="center"/>
          </w:tcPr>
          <w:p w14:paraId="2C562CF7">
            <w:pPr>
              <w:widowControl/>
              <w:jc w:val="center"/>
              <w:rPr>
                <w:rFonts w:ascii="宋体" w:hAnsi="宋体" w:eastAsia="宋体" w:cs="宋体"/>
                <w:kern w:val="0"/>
                <w:sz w:val="22"/>
              </w:rPr>
            </w:pPr>
            <w:r>
              <w:rPr>
                <w:rFonts w:hint="eastAsia" w:ascii="宋体" w:hAnsi="宋体" w:eastAsia="宋体" w:cs="宋体"/>
                <w:kern w:val="0"/>
                <w:sz w:val="22"/>
              </w:rPr>
              <w:t>物业管理部给排水条线</w:t>
            </w:r>
          </w:p>
        </w:tc>
        <w:tc>
          <w:tcPr>
            <w:tcW w:w="397" w:type="pct"/>
            <w:tcBorders>
              <w:top w:val="nil"/>
              <w:left w:val="nil"/>
              <w:bottom w:val="single" w:color="auto" w:sz="4" w:space="0"/>
              <w:right w:val="single" w:color="auto" w:sz="4" w:space="0"/>
            </w:tcBorders>
            <w:shd w:val="clear" w:color="000000" w:fill="FFFFFF"/>
            <w:vAlign w:val="center"/>
          </w:tcPr>
          <w:p w14:paraId="2EB60D6C">
            <w:pPr>
              <w:widowControl/>
              <w:jc w:val="center"/>
              <w:rPr>
                <w:rFonts w:ascii="宋体" w:hAnsi="宋体" w:eastAsia="宋体" w:cs="宋体"/>
                <w:kern w:val="0"/>
                <w:sz w:val="20"/>
                <w:szCs w:val="20"/>
              </w:rPr>
            </w:pPr>
            <w:r>
              <w:rPr>
                <w:rFonts w:hint="eastAsia" w:ascii="宋体" w:hAnsi="宋体" w:eastAsia="宋体" w:cs="宋体"/>
                <w:kern w:val="0"/>
                <w:sz w:val="20"/>
                <w:szCs w:val="20"/>
              </w:rPr>
              <w:t>给水系统</w:t>
            </w:r>
          </w:p>
        </w:tc>
        <w:tc>
          <w:tcPr>
            <w:tcW w:w="943" w:type="pct"/>
            <w:tcBorders>
              <w:top w:val="nil"/>
              <w:left w:val="nil"/>
              <w:bottom w:val="single" w:color="auto" w:sz="4" w:space="0"/>
              <w:right w:val="single" w:color="auto" w:sz="4" w:space="0"/>
            </w:tcBorders>
            <w:shd w:val="clear" w:color="000000" w:fill="FFFFFF"/>
            <w:vAlign w:val="center"/>
          </w:tcPr>
          <w:p w14:paraId="05BE569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    变频水泵外观完好、无滴漏、润滑良好、运行无异响、稳压罐工作正常、自闭式平衡阀工作正常、水箱外表清洁、管道阀门外观完好、无滴漏、反冲洗系统工作正常、阀门开关灵活、表具无损坏、设备及其连接管道表面无积灰、无锈迹、系统正常</w:t>
            </w:r>
          </w:p>
        </w:tc>
        <w:tc>
          <w:tcPr>
            <w:tcW w:w="1713" w:type="pct"/>
            <w:tcBorders>
              <w:top w:val="nil"/>
              <w:left w:val="nil"/>
              <w:bottom w:val="single" w:color="auto" w:sz="4" w:space="0"/>
              <w:right w:val="single" w:color="auto" w:sz="4" w:space="0"/>
            </w:tcBorders>
            <w:shd w:val="clear" w:color="000000" w:fill="FFFFFF"/>
            <w:vAlign w:val="center"/>
          </w:tcPr>
          <w:p w14:paraId="27B9C867">
            <w:pPr>
              <w:widowControl/>
              <w:jc w:val="left"/>
              <w:rPr>
                <w:rFonts w:ascii="宋体" w:hAnsi="宋体" w:eastAsia="宋体" w:cs="宋体"/>
                <w:kern w:val="0"/>
                <w:sz w:val="20"/>
                <w:szCs w:val="20"/>
              </w:rPr>
            </w:pPr>
            <w:r>
              <w:rPr>
                <w:rFonts w:hint="eastAsia" w:ascii="宋体" w:hAnsi="宋体" w:eastAsia="宋体" w:cs="宋体"/>
                <w:kern w:val="0"/>
                <w:sz w:val="20"/>
                <w:szCs w:val="20"/>
              </w:rPr>
              <w:t>1.水泵外观不完好每次扣1分                             2.系统不正常每处扣2分                                 3.阀门开关不灵活每只扣0.5分                           4.表具有损坏每只扣0.5分                               5.稳压罐异常每次扣0.5分                               6.润滑不良每次扣1分                                   7.机房、设备积灰每处扣0.5分                            8.自闭式平衡阀异常每处扣1分                            9.有无滴漏每次扣0.5分                                 10.反冲洗系统异常每次扣1分</w:t>
            </w:r>
          </w:p>
        </w:tc>
        <w:tc>
          <w:tcPr>
            <w:tcW w:w="574" w:type="pct"/>
            <w:tcBorders>
              <w:top w:val="nil"/>
              <w:left w:val="nil"/>
              <w:bottom w:val="single" w:color="auto" w:sz="4" w:space="0"/>
              <w:right w:val="single" w:color="auto" w:sz="4" w:space="0"/>
            </w:tcBorders>
            <w:shd w:val="clear" w:color="000000" w:fill="FFFFFF"/>
            <w:vAlign w:val="center"/>
          </w:tcPr>
          <w:p w14:paraId="6A170CE3">
            <w:pPr>
              <w:widowControl/>
              <w:jc w:val="center"/>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0F2B150">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90F0BB2">
            <w:pPr>
              <w:widowControl/>
              <w:jc w:val="left"/>
              <w:rPr>
                <w:rFonts w:ascii="宋体" w:hAnsi="宋体" w:eastAsia="宋体" w:cs="宋体"/>
                <w:kern w:val="0"/>
                <w:sz w:val="22"/>
              </w:rPr>
            </w:pPr>
            <w:r>
              <w:rPr>
                <w:rFonts w:hint="eastAsia" w:ascii="宋体" w:hAnsi="宋体" w:eastAsia="宋体" w:cs="宋体"/>
                <w:kern w:val="0"/>
                <w:sz w:val="22"/>
              </w:rPr>
              <w:t>　</w:t>
            </w:r>
          </w:p>
        </w:tc>
      </w:tr>
      <w:tr w14:paraId="274BD526">
        <w:tblPrEx>
          <w:tblCellMar>
            <w:top w:w="0" w:type="dxa"/>
            <w:left w:w="108" w:type="dxa"/>
            <w:bottom w:w="0" w:type="dxa"/>
            <w:right w:w="108" w:type="dxa"/>
          </w:tblCellMar>
        </w:tblPrEx>
        <w:trPr>
          <w:trHeight w:val="9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7D5D6757">
            <w:pPr>
              <w:widowControl/>
              <w:jc w:val="center"/>
              <w:rPr>
                <w:rFonts w:ascii="宋体" w:hAnsi="宋体" w:eastAsia="宋体" w:cs="宋体"/>
                <w:kern w:val="0"/>
                <w:sz w:val="22"/>
              </w:rPr>
            </w:pPr>
            <w:r>
              <w:rPr>
                <w:rFonts w:hint="eastAsia" w:ascii="宋体" w:hAnsi="宋体" w:eastAsia="宋体" w:cs="宋体"/>
                <w:kern w:val="0"/>
                <w:sz w:val="22"/>
              </w:rPr>
              <w:t>52</w:t>
            </w:r>
          </w:p>
        </w:tc>
        <w:tc>
          <w:tcPr>
            <w:tcW w:w="234" w:type="pct"/>
            <w:vMerge w:val="continue"/>
            <w:tcBorders>
              <w:top w:val="nil"/>
              <w:left w:val="single" w:color="auto" w:sz="4" w:space="0"/>
              <w:bottom w:val="single" w:color="000000" w:sz="4" w:space="0"/>
              <w:right w:val="single" w:color="auto" w:sz="4" w:space="0"/>
            </w:tcBorders>
            <w:vAlign w:val="center"/>
          </w:tcPr>
          <w:p w14:paraId="5CF4D3AE">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3F5E0DB0">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2D00F6CA">
            <w:pPr>
              <w:widowControl/>
              <w:jc w:val="center"/>
              <w:rPr>
                <w:rFonts w:ascii="宋体" w:hAnsi="宋体" w:eastAsia="宋体" w:cs="宋体"/>
                <w:kern w:val="0"/>
                <w:sz w:val="20"/>
                <w:szCs w:val="20"/>
              </w:rPr>
            </w:pPr>
            <w:r>
              <w:rPr>
                <w:rFonts w:hint="eastAsia" w:ascii="宋体" w:hAnsi="宋体" w:eastAsia="宋体" w:cs="宋体"/>
                <w:kern w:val="0"/>
                <w:sz w:val="20"/>
                <w:szCs w:val="20"/>
              </w:rPr>
              <w:t>浇灌水系统</w:t>
            </w:r>
          </w:p>
        </w:tc>
        <w:tc>
          <w:tcPr>
            <w:tcW w:w="943" w:type="pct"/>
            <w:tcBorders>
              <w:top w:val="nil"/>
              <w:left w:val="nil"/>
              <w:bottom w:val="single" w:color="auto" w:sz="4" w:space="0"/>
              <w:right w:val="single" w:color="auto" w:sz="4" w:space="0"/>
            </w:tcBorders>
            <w:shd w:val="clear" w:color="000000" w:fill="FFFFFF"/>
            <w:vAlign w:val="center"/>
          </w:tcPr>
          <w:p w14:paraId="1416C1C2">
            <w:pPr>
              <w:widowControl/>
              <w:jc w:val="center"/>
              <w:rPr>
                <w:rFonts w:ascii="宋体" w:hAnsi="宋体" w:eastAsia="宋体" w:cs="宋体"/>
                <w:kern w:val="0"/>
                <w:sz w:val="20"/>
                <w:szCs w:val="20"/>
              </w:rPr>
            </w:pPr>
            <w:r>
              <w:rPr>
                <w:rFonts w:hint="eastAsia" w:ascii="宋体" w:hAnsi="宋体" w:eastAsia="宋体" w:cs="宋体"/>
                <w:kern w:val="0"/>
                <w:sz w:val="20"/>
                <w:szCs w:val="20"/>
              </w:rPr>
              <w:t>系统工作正常、无泄漏、喷头无滴漏、无损坏、阀门开关灵活</w:t>
            </w:r>
          </w:p>
        </w:tc>
        <w:tc>
          <w:tcPr>
            <w:tcW w:w="1713" w:type="pct"/>
            <w:tcBorders>
              <w:top w:val="nil"/>
              <w:left w:val="nil"/>
              <w:bottom w:val="single" w:color="auto" w:sz="4" w:space="0"/>
              <w:right w:val="single" w:color="auto" w:sz="4" w:space="0"/>
            </w:tcBorders>
            <w:shd w:val="clear" w:color="000000" w:fill="FFFFFF"/>
            <w:vAlign w:val="center"/>
          </w:tcPr>
          <w:p w14:paraId="7C0A2767">
            <w:pPr>
              <w:widowControl/>
              <w:jc w:val="left"/>
              <w:rPr>
                <w:rFonts w:ascii="宋体" w:hAnsi="宋体" w:eastAsia="宋体" w:cs="宋体"/>
                <w:kern w:val="0"/>
                <w:sz w:val="20"/>
                <w:szCs w:val="20"/>
              </w:rPr>
            </w:pPr>
            <w:r>
              <w:rPr>
                <w:rFonts w:hint="eastAsia" w:ascii="宋体" w:hAnsi="宋体" w:eastAsia="宋体" w:cs="宋体"/>
                <w:kern w:val="0"/>
                <w:sz w:val="20"/>
                <w:szCs w:val="20"/>
              </w:rPr>
              <w:t>1.管道破裂每处扣0.5分                                 2.喷头滴漏每次扣0.5分                                 3.系统工作异常每次扣0.5分                             4.阀门不灵活每次扣0.5分</w:t>
            </w:r>
          </w:p>
        </w:tc>
        <w:tc>
          <w:tcPr>
            <w:tcW w:w="574" w:type="pct"/>
            <w:tcBorders>
              <w:top w:val="nil"/>
              <w:left w:val="nil"/>
              <w:bottom w:val="single" w:color="auto" w:sz="4" w:space="0"/>
              <w:right w:val="single" w:color="auto" w:sz="4" w:space="0"/>
            </w:tcBorders>
            <w:shd w:val="clear" w:color="000000" w:fill="FFFFFF"/>
            <w:noWrap/>
            <w:vAlign w:val="center"/>
          </w:tcPr>
          <w:p w14:paraId="0BCDAE3B">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F74E7E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0328337">
            <w:pPr>
              <w:widowControl/>
              <w:jc w:val="left"/>
              <w:rPr>
                <w:rFonts w:ascii="宋体" w:hAnsi="宋体" w:eastAsia="宋体" w:cs="宋体"/>
                <w:kern w:val="0"/>
                <w:sz w:val="22"/>
              </w:rPr>
            </w:pPr>
            <w:r>
              <w:rPr>
                <w:rFonts w:hint="eastAsia" w:ascii="宋体" w:hAnsi="宋体" w:eastAsia="宋体" w:cs="宋体"/>
                <w:kern w:val="0"/>
                <w:sz w:val="22"/>
              </w:rPr>
              <w:t>　</w:t>
            </w:r>
          </w:p>
        </w:tc>
      </w:tr>
      <w:tr w14:paraId="59D508A7">
        <w:tblPrEx>
          <w:tblCellMar>
            <w:top w:w="0" w:type="dxa"/>
            <w:left w:w="108" w:type="dxa"/>
            <w:bottom w:w="0" w:type="dxa"/>
            <w:right w:w="108" w:type="dxa"/>
          </w:tblCellMar>
        </w:tblPrEx>
        <w:trPr>
          <w:trHeight w:val="21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2418F5D">
            <w:pPr>
              <w:widowControl/>
              <w:jc w:val="center"/>
              <w:rPr>
                <w:rFonts w:ascii="宋体" w:hAnsi="宋体" w:eastAsia="宋体" w:cs="宋体"/>
                <w:kern w:val="0"/>
                <w:sz w:val="22"/>
              </w:rPr>
            </w:pPr>
            <w:r>
              <w:rPr>
                <w:rFonts w:hint="eastAsia" w:ascii="宋体" w:hAnsi="宋体" w:eastAsia="宋体" w:cs="宋体"/>
                <w:kern w:val="0"/>
                <w:sz w:val="22"/>
              </w:rPr>
              <w:t>53</w:t>
            </w:r>
          </w:p>
        </w:tc>
        <w:tc>
          <w:tcPr>
            <w:tcW w:w="234" w:type="pct"/>
            <w:vMerge w:val="continue"/>
            <w:tcBorders>
              <w:top w:val="nil"/>
              <w:left w:val="single" w:color="auto" w:sz="4" w:space="0"/>
              <w:bottom w:val="single" w:color="000000" w:sz="4" w:space="0"/>
              <w:right w:val="single" w:color="auto" w:sz="4" w:space="0"/>
            </w:tcBorders>
            <w:vAlign w:val="center"/>
          </w:tcPr>
          <w:p w14:paraId="659AA009">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720757B8">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3864652C">
            <w:pPr>
              <w:widowControl/>
              <w:jc w:val="center"/>
              <w:rPr>
                <w:rFonts w:ascii="宋体" w:hAnsi="宋体" w:eastAsia="宋体" w:cs="宋体"/>
                <w:kern w:val="0"/>
                <w:sz w:val="20"/>
                <w:szCs w:val="20"/>
              </w:rPr>
            </w:pPr>
            <w:r>
              <w:rPr>
                <w:rFonts w:hint="eastAsia" w:ascii="宋体" w:hAnsi="宋体" w:eastAsia="宋体" w:cs="宋体"/>
                <w:kern w:val="0"/>
                <w:sz w:val="20"/>
                <w:szCs w:val="20"/>
              </w:rPr>
              <w:t>污水处理系统</w:t>
            </w:r>
          </w:p>
        </w:tc>
        <w:tc>
          <w:tcPr>
            <w:tcW w:w="943" w:type="pct"/>
            <w:tcBorders>
              <w:top w:val="nil"/>
              <w:left w:val="nil"/>
              <w:bottom w:val="single" w:color="auto" w:sz="4" w:space="0"/>
              <w:right w:val="single" w:color="auto" w:sz="4" w:space="0"/>
            </w:tcBorders>
            <w:shd w:val="clear" w:color="000000" w:fill="FFFFFF"/>
            <w:vAlign w:val="center"/>
          </w:tcPr>
          <w:p w14:paraId="3CCFF997">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    格栅传动部件无异常、瀑气风机齿轮箱油位和油质无异常、运行时无异响、皮带松紧度适宜、电磁阀状态正常、各类功能泵工作正常、紧固件无松动、阀门无滴漏、系统工作正常、运行记录清晰、污水达标排放，符合环保要求</w:t>
            </w:r>
          </w:p>
        </w:tc>
        <w:tc>
          <w:tcPr>
            <w:tcW w:w="1713" w:type="pct"/>
            <w:tcBorders>
              <w:top w:val="nil"/>
              <w:left w:val="nil"/>
              <w:bottom w:val="single" w:color="auto" w:sz="4" w:space="0"/>
              <w:right w:val="single" w:color="auto" w:sz="4" w:space="0"/>
            </w:tcBorders>
            <w:shd w:val="clear" w:color="000000" w:fill="FFFFFF"/>
            <w:vAlign w:val="center"/>
          </w:tcPr>
          <w:p w14:paraId="269E3ABB">
            <w:pPr>
              <w:widowControl/>
              <w:jc w:val="left"/>
              <w:rPr>
                <w:rFonts w:ascii="宋体" w:hAnsi="宋体" w:eastAsia="宋体" w:cs="宋体"/>
                <w:kern w:val="0"/>
                <w:sz w:val="20"/>
                <w:szCs w:val="20"/>
              </w:rPr>
            </w:pPr>
            <w:r>
              <w:rPr>
                <w:rFonts w:hint="eastAsia" w:ascii="宋体" w:hAnsi="宋体" w:eastAsia="宋体" w:cs="宋体"/>
                <w:kern w:val="0"/>
                <w:sz w:val="20"/>
                <w:szCs w:val="20"/>
              </w:rPr>
              <w:t>1.系统工作异常每处扣2分                               2.瀑气风机异常每次扣1分                               3.格栅传动异常每次扣1分                               4.电磁阀状态每次扣0.5分                               5.管路有气堵每次扣0.5分                                6.管路有滴漏每次扣0.5分                               7.管路工作压力异常每次扣2分                            8.各类泵工作异常每次扣1分                             9.运行记录不完善每次扣0.5分</w:t>
            </w:r>
          </w:p>
        </w:tc>
        <w:tc>
          <w:tcPr>
            <w:tcW w:w="574" w:type="pct"/>
            <w:tcBorders>
              <w:top w:val="nil"/>
              <w:left w:val="nil"/>
              <w:bottom w:val="single" w:color="auto" w:sz="4" w:space="0"/>
              <w:right w:val="single" w:color="auto" w:sz="4" w:space="0"/>
            </w:tcBorders>
            <w:shd w:val="clear" w:color="000000" w:fill="FFFFFF"/>
            <w:vAlign w:val="center"/>
          </w:tcPr>
          <w:p w14:paraId="0BF019A5">
            <w:pPr>
              <w:widowControl/>
              <w:jc w:val="center"/>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198F4DC">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7E6D986">
            <w:pPr>
              <w:widowControl/>
              <w:jc w:val="left"/>
              <w:rPr>
                <w:rFonts w:ascii="宋体" w:hAnsi="宋体" w:eastAsia="宋体" w:cs="宋体"/>
                <w:kern w:val="0"/>
                <w:sz w:val="22"/>
              </w:rPr>
            </w:pPr>
            <w:r>
              <w:rPr>
                <w:rFonts w:hint="eastAsia" w:ascii="宋体" w:hAnsi="宋体" w:eastAsia="宋体" w:cs="宋体"/>
                <w:kern w:val="0"/>
                <w:sz w:val="22"/>
              </w:rPr>
              <w:t>　</w:t>
            </w:r>
          </w:p>
        </w:tc>
      </w:tr>
      <w:tr w14:paraId="3FE0A89B">
        <w:tblPrEx>
          <w:tblCellMar>
            <w:top w:w="0" w:type="dxa"/>
            <w:left w:w="108" w:type="dxa"/>
            <w:bottom w:w="0" w:type="dxa"/>
            <w:right w:w="108" w:type="dxa"/>
          </w:tblCellMar>
        </w:tblPrEx>
        <w:trPr>
          <w:trHeight w:val="9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07BA7AB3">
            <w:pPr>
              <w:widowControl/>
              <w:jc w:val="center"/>
              <w:rPr>
                <w:rFonts w:ascii="宋体" w:hAnsi="宋体" w:eastAsia="宋体" w:cs="宋体"/>
                <w:kern w:val="0"/>
                <w:sz w:val="22"/>
              </w:rPr>
            </w:pPr>
            <w:r>
              <w:rPr>
                <w:rFonts w:hint="eastAsia" w:ascii="宋体" w:hAnsi="宋体" w:eastAsia="宋体" w:cs="宋体"/>
                <w:kern w:val="0"/>
                <w:sz w:val="22"/>
              </w:rPr>
              <w:t>54</w:t>
            </w:r>
          </w:p>
        </w:tc>
        <w:tc>
          <w:tcPr>
            <w:tcW w:w="234" w:type="pct"/>
            <w:vMerge w:val="continue"/>
            <w:tcBorders>
              <w:top w:val="nil"/>
              <w:left w:val="single" w:color="auto" w:sz="4" w:space="0"/>
              <w:bottom w:val="single" w:color="000000" w:sz="4" w:space="0"/>
              <w:right w:val="single" w:color="auto" w:sz="4" w:space="0"/>
            </w:tcBorders>
            <w:vAlign w:val="center"/>
          </w:tcPr>
          <w:p w14:paraId="761C059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1B2102F1">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42E92207">
            <w:pPr>
              <w:widowControl/>
              <w:jc w:val="center"/>
              <w:rPr>
                <w:rFonts w:ascii="宋体" w:hAnsi="宋体" w:eastAsia="宋体" w:cs="宋体"/>
                <w:kern w:val="0"/>
                <w:sz w:val="20"/>
                <w:szCs w:val="20"/>
              </w:rPr>
            </w:pPr>
            <w:r>
              <w:rPr>
                <w:rFonts w:hint="eastAsia" w:ascii="宋体" w:hAnsi="宋体" w:eastAsia="宋体" w:cs="宋体"/>
                <w:kern w:val="0"/>
                <w:sz w:val="20"/>
                <w:szCs w:val="20"/>
              </w:rPr>
              <w:t>雨水系统</w:t>
            </w:r>
          </w:p>
        </w:tc>
        <w:tc>
          <w:tcPr>
            <w:tcW w:w="943" w:type="pct"/>
            <w:tcBorders>
              <w:top w:val="nil"/>
              <w:left w:val="nil"/>
              <w:bottom w:val="single" w:color="auto" w:sz="4" w:space="0"/>
              <w:right w:val="single" w:color="auto" w:sz="4" w:space="0"/>
            </w:tcBorders>
            <w:shd w:val="clear" w:color="000000" w:fill="FFFFFF"/>
            <w:vAlign w:val="center"/>
          </w:tcPr>
          <w:p w14:paraId="542BEE4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    虹吸系统工作正常、无泄漏、雨水井无堵塞、雨水管道通畅、地漏通畅</w:t>
            </w:r>
          </w:p>
        </w:tc>
        <w:tc>
          <w:tcPr>
            <w:tcW w:w="1713" w:type="pct"/>
            <w:tcBorders>
              <w:top w:val="nil"/>
              <w:left w:val="nil"/>
              <w:bottom w:val="single" w:color="auto" w:sz="4" w:space="0"/>
              <w:right w:val="single" w:color="auto" w:sz="4" w:space="0"/>
            </w:tcBorders>
            <w:shd w:val="clear" w:color="000000" w:fill="FFFFFF"/>
            <w:vAlign w:val="center"/>
          </w:tcPr>
          <w:p w14:paraId="5A8F2B51">
            <w:pPr>
              <w:widowControl/>
              <w:jc w:val="left"/>
              <w:rPr>
                <w:rFonts w:ascii="宋体" w:hAnsi="宋体" w:eastAsia="宋体" w:cs="宋体"/>
                <w:kern w:val="0"/>
                <w:sz w:val="20"/>
                <w:szCs w:val="20"/>
              </w:rPr>
            </w:pPr>
            <w:r>
              <w:rPr>
                <w:rFonts w:hint="eastAsia" w:ascii="宋体" w:hAnsi="宋体" w:eastAsia="宋体" w:cs="宋体"/>
                <w:kern w:val="0"/>
                <w:sz w:val="20"/>
                <w:szCs w:val="20"/>
              </w:rPr>
              <w:t>1.虹吸系统异常每处扣1分                               2.雨水井堵塞每次扣1分                                 3.雨水管道堵塞每次扣1分                               4.地漏不通畅每次扣1分</w:t>
            </w:r>
          </w:p>
        </w:tc>
        <w:tc>
          <w:tcPr>
            <w:tcW w:w="574" w:type="pct"/>
            <w:tcBorders>
              <w:top w:val="nil"/>
              <w:left w:val="nil"/>
              <w:bottom w:val="single" w:color="auto" w:sz="4" w:space="0"/>
              <w:right w:val="single" w:color="auto" w:sz="4" w:space="0"/>
            </w:tcBorders>
            <w:shd w:val="clear" w:color="000000" w:fill="FFFFFF"/>
            <w:vAlign w:val="center"/>
          </w:tcPr>
          <w:p w14:paraId="71AE17AF">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BDC354F">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3773E63">
            <w:pPr>
              <w:widowControl/>
              <w:jc w:val="left"/>
              <w:rPr>
                <w:rFonts w:ascii="宋体" w:hAnsi="宋体" w:eastAsia="宋体" w:cs="宋体"/>
                <w:kern w:val="0"/>
                <w:sz w:val="22"/>
              </w:rPr>
            </w:pPr>
            <w:r>
              <w:rPr>
                <w:rFonts w:hint="eastAsia" w:ascii="宋体" w:hAnsi="宋体" w:eastAsia="宋体" w:cs="宋体"/>
                <w:kern w:val="0"/>
                <w:sz w:val="22"/>
              </w:rPr>
              <w:t>　</w:t>
            </w:r>
          </w:p>
        </w:tc>
      </w:tr>
      <w:tr w14:paraId="24A8C358">
        <w:tblPrEx>
          <w:tblCellMar>
            <w:top w:w="0" w:type="dxa"/>
            <w:left w:w="108" w:type="dxa"/>
            <w:bottom w:w="0" w:type="dxa"/>
            <w:right w:w="108" w:type="dxa"/>
          </w:tblCellMar>
        </w:tblPrEx>
        <w:trPr>
          <w:trHeight w:val="16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C836CAE">
            <w:pPr>
              <w:widowControl/>
              <w:jc w:val="center"/>
              <w:rPr>
                <w:rFonts w:ascii="宋体" w:hAnsi="宋体" w:eastAsia="宋体" w:cs="宋体"/>
                <w:kern w:val="0"/>
                <w:sz w:val="22"/>
              </w:rPr>
            </w:pPr>
            <w:r>
              <w:rPr>
                <w:rFonts w:hint="eastAsia" w:ascii="宋体" w:hAnsi="宋体" w:eastAsia="宋体" w:cs="宋体"/>
                <w:kern w:val="0"/>
                <w:sz w:val="22"/>
              </w:rPr>
              <w:t>55</w:t>
            </w:r>
          </w:p>
        </w:tc>
        <w:tc>
          <w:tcPr>
            <w:tcW w:w="234" w:type="pct"/>
            <w:vMerge w:val="continue"/>
            <w:tcBorders>
              <w:top w:val="nil"/>
              <w:left w:val="single" w:color="auto" w:sz="4" w:space="0"/>
              <w:bottom w:val="single" w:color="000000" w:sz="4" w:space="0"/>
              <w:right w:val="single" w:color="auto" w:sz="4" w:space="0"/>
            </w:tcBorders>
            <w:vAlign w:val="center"/>
          </w:tcPr>
          <w:p w14:paraId="040F91B2">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66925A26">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4FFE0294">
            <w:pPr>
              <w:widowControl/>
              <w:jc w:val="center"/>
              <w:rPr>
                <w:rFonts w:ascii="宋体" w:hAnsi="宋体" w:eastAsia="宋体" w:cs="宋体"/>
                <w:kern w:val="0"/>
                <w:sz w:val="20"/>
                <w:szCs w:val="20"/>
              </w:rPr>
            </w:pPr>
            <w:r>
              <w:rPr>
                <w:rFonts w:hint="eastAsia" w:ascii="宋体" w:hAnsi="宋体" w:eastAsia="宋体" w:cs="宋体"/>
                <w:kern w:val="0"/>
                <w:sz w:val="20"/>
                <w:szCs w:val="20"/>
              </w:rPr>
              <w:t>卫生洁具</w:t>
            </w:r>
          </w:p>
        </w:tc>
        <w:tc>
          <w:tcPr>
            <w:tcW w:w="943" w:type="pct"/>
            <w:tcBorders>
              <w:top w:val="nil"/>
              <w:left w:val="nil"/>
              <w:bottom w:val="single" w:color="auto" w:sz="4" w:space="0"/>
              <w:right w:val="single" w:color="auto" w:sz="4" w:space="0"/>
            </w:tcBorders>
            <w:shd w:val="clear" w:color="000000" w:fill="FFFFFF"/>
            <w:vAlign w:val="center"/>
          </w:tcPr>
          <w:p w14:paraId="15E46650">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    卫生洁具外观完好、无滴漏现象、手柄转动松紧度适宜；水箱水位适宜、便斗感应器冲水量适宜、龙头紧固螺栓紧固、座便器底部无渗漏、座便器/便斗无堵塞、盆塞连杆调节适宜、水箱内阀门/拍盖/链条/盖板螺丝工作正常、隔板和门完好、配件齐全</w:t>
            </w:r>
          </w:p>
        </w:tc>
        <w:tc>
          <w:tcPr>
            <w:tcW w:w="1713" w:type="pct"/>
            <w:tcBorders>
              <w:top w:val="nil"/>
              <w:left w:val="nil"/>
              <w:bottom w:val="single" w:color="auto" w:sz="4" w:space="0"/>
              <w:right w:val="single" w:color="auto" w:sz="4" w:space="0"/>
            </w:tcBorders>
            <w:shd w:val="clear" w:color="000000" w:fill="FFFFFF"/>
            <w:vAlign w:val="center"/>
          </w:tcPr>
          <w:p w14:paraId="52937171">
            <w:pPr>
              <w:widowControl/>
              <w:jc w:val="left"/>
              <w:rPr>
                <w:rFonts w:ascii="宋体" w:hAnsi="宋体" w:eastAsia="宋体" w:cs="宋体"/>
                <w:kern w:val="0"/>
                <w:sz w:val="20"/>
                <w:szCs w:val="20"/>
              </w:rPr>
            </w:pPr>
            <w:r>
              <w:rPr>
                <w:rFonts w:hint="eastAsia" w:ascii="宋体" w:hAnsi="宋体" w:eastAsia="宋体" w:cs="宋体"/>
                <w:kern w:val="0"/>
                <w:sz w:val="20"/>
                <w:szCs w:val="20"/>
              </w:rPr>
              <w:t>1.座便器堵塞每次扣1分                                 2.便斗堵塞每次扣1分                                   3.水箱漏水每只扣1分                                   4.龙头漏水每次扣0.5分                                 5.感应器工作异常每次扣0.5分                            6.水箱工作异常每次扣1分                               7.阀门漏水每次扣0.5分</w:t>
            </w:r>
          </w:p>
        </w:tc>
        <w:tc>
          <w:tcPr>
            <w:tcW w:w="574" w:type="pct"/>
            <w:tcBorders>
              <w:top w:val="nil"/>
              <w:left w:val="nil"/>
              <w:bottom w:val="single" w:color="auto" w:sz="4" w:space="0"/>
              <w:right w:val="single" w:color="auto" w:sz="4" w:space="0"/>
            </w:tcBorders>
            <w:shd w:val="clear" w:color="000000" w:fill="FFFFFF"/>
            <w:vAlign w:val="center"/>
          </w:tcPr>
          <w:p w14:paraId="10AFA31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C1639C6">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4777AFD">
            <w:pPr>
              <w:widowControl/>
              <w:jc w:val="left"/>
              <w:rPr>
                <w:rFonts w:ascii="宋体" w:hAnsi="宋体" w:eastAsia="宋体" w:cs="宋体"/>
                <w:kern w:val="0"/>
                <w:sz w:val="22"/>
              </w:rPr>
            </w:pPr>
            <w:r>
              <w:rPr>
                <w:rFonts w:hint="eastAsia" w:ascii="宋体" w:hAnsi="宋体" w:eastAsia="宋体" w:cs="宋体"/>
                <w:kern w:val="0"/>
                <w:sz w:val="22"/>
              </w:rPr>
              <w:t>　</w:t>
            </w:r>
          </w:p>
        </w:tc>
      </w:tr>
      <w:tr w14:paraId="78018A15">
        <w:tblPrEx>
          <w:tblCellMar>
            <w:top w:w="0" w:type="dxa"/>
            <w:left w:w="108" w:type="dxa"/>
            <w:bottom w:w="0" w:type="dxa"/>
            <w:right w:w="108" w:type="dxa"/>
          </w:tblCellMar>
        </w:tblPrEx>
        <w:trPr>
          <w:trHeight w:val="1425"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2B43E95">
            <w:pPr>
              <w:widowControl/>
              <w:jc w:val="center"/>
              <w:rPr>
                <w:rFonts w:ascii="宋体" w:hAnsi="宋体" w:eastAsia="宋体" w:cs="宋体"/>
                <w:kern w:val="0"/>
                <w:sz w:val="22"/>
              </w:rPr>
            </w:pPr>
            <w:r>
              <w:rPr>
                <w:rFonts w:hint="eastAsia" w:ascii="宋体" w:hAnsi="宋体" w:eastAsia="宋体" w:cs="宋体"/>
                <w:kern w:val="0"/>
                <w:sz w:val="22"/>
              </w:rPr>
              <w:t>56</w:t>
            </w:r>
          </w:p>
        </w:tc>
        <w:tc>
          <w:tcPr>
            <w:tcW w:w="234" w:type="pct"/>
            <w:vMerge w:val="continue"/>
            <w:tcBorders>
              <w:top w:val="nil"/>
              <w:left w:val="single" w:color="auto" w:sz="4" w:space="0"/>
              <w:bottom w:val="single" w:color="000000" w:sz="4" w:space="0"/>
              <w:right w:val="single" w:color="auto" w:sz="4" w:space="0"/>
            </w:tcBorders>
            <w:vAlign w:val="center"/>
          </w:tcPr>
          <w:p w14:paraId="2EC41B97">
            <w:pPr>
              <w:widowControl/>
              <w:jc w:val="left"/>
              <w:rPr>
                <w:rFonts w:ascii="宋体" w:hAnsi="宋体" w:eastAsia="宋体" w:cs="宋体"/>
                <w:b/>
                <w:bCs/>
                <w:kern w:val="0"/>
                <w:sz w:val="22"/>
              </w:rPr>
            </w:pPr>
          </w:p>
        </w:tc>
        <w:tc>
          <w:tcPr>
            <w:tcW w:w="275" w:type="pct"/>
            <w:vMerge w:val="restart"/>
            <w:tcBorders>
              <w:top w:val="nil"/>
              <w:left w:val="single" w:color="auto" w:sz="4" w:space="0"/>
              <w:bottom w:val="single" w:color="auto" w:sz="4" w:space="0"/>
              <w:right w:val="single" w:color="auto" w:sz="4" w:space="0"/>
            </w:tcBorders>
            <w:shd w:val="clear" w:color="000000" w:fill="FFFFFF"/>
            <w:vAlign w:val="center"/>
          </w:tcPr>
          <w:p w14:paraId="34D89F2D">
            <w:pPr>
              <w:widowControl/>
              <w:jc w:val="center"/>
              <w:rPr>
                <w:rFonts w:ascii="宋体" w:hAnsi="宋体" w:eastAsia="宋体" w:cs="宋体"/>
                <w:kern w:val="0"/>
                <w:sz w:val="22"/>
              </w:rPr>
            </w:pPr>
            <w:r>
              <w:rPr>
                <w:rFonts w:hint="eastAsia" w:ascii="宋体" w:hAnsi="宋体" w:eastAsia="宋体" w:cs="宋体"/>
                <w:kern w:val="0"/>
                <w:sz w:val="22"/>
              </w:rPr>
              <w:t>物业管理部建筑及装饰条线</w:t>
            </w:r>
          </w:p>
        </w:tc>
        <w:tc>
          <w:tcPr>
            <w:tcW w:w="397" w:type="pct"/>
            <w:tcBorders>
              <w:top w:val="nil"/>
              <w:left w:val="nil"/>
              <w:bottom w:val="single" w:color="auto" w:sz="4" w:space="0"/>
              <w:right w:val="single" w:color="auto" w:sz="4" w:space="0"/>
            </w:tcBorders>
            <w:shd w:val="clear" w:color="000000" w:fill="FFFFFF"/>
            <w:vAlign w:val="center"/>
          </w:tcPr>
          <w:p w14:paraId="2CEF07E9">
            <w:pPr>
              <w:widowControl/>
              <w:jc w:val="center"/>
              <w:rPr>
                <w:rFonts w:ascii="宋体" w:hAnsi="宋体" w:eastAsia="宋体" w:cs="宋体"/>
                <w:kern w:val="0"/>
                <w:sz w:val="20"/>
                <w:szCs w:val="20"/>
              </w:rPr>
            </w:pPr>
            <w:r>
              <w:rPr>
                <w:rFonts w:hint="eastAsia" w:ascii="宋体" w:hAnsi="宋体" w:eastAsia="宋体" w:cs="宋体"/>
                <w:kern w:val="0"/>
                <w:sz w:val="20"/>
                <w:szCs w:val="20"/>
              </w:rPr>
              <w:t>建筑主体结构工程</w:t>
            </w:r>
          </w:p>
        </w:tc>
        <w:tc>
          <w:tcPr>
            <w:tcW w:w="943" w:type="pct"/>
            <w:tcBorders>
              <w:top w:val="nil"/>
              <w:left w:val="nil"/>
              <w:bottom w:val="single" w:color="auto" w:sz="4" w:space="0"/>
              <w:right w:val="single" w:color="auto" w:sz="4" w:space="0"/>
            </w:tcBorders>
            <w:shd w:val="clear" w:color="000000" w:fill="FFFFFF"/>
            <w:vAlign w:val="center"/>
          </w:tcPr>
          <w:p w14:paraId="7967D12D">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建筑基础，承重墙体，柱、梁、楼板、屋顶等主要承重构部件（含建筑变形缝）的定期检查与维护，确保完好和正常使用。每周进行巡查并记录，发现问题及时报告并组织维修处理，各项检查、维修台账记录完整，月度完好率100%。                        </w:t>
            </w:r>
          </w:p>
        </w:tc>
        <w:tc>
          <w:tcPr>
            <w:tcW w:w="1713" w:type="pct"/>
            <w:tcBorders>
              <w:top w:val="nil"/>
              <w:left w:val="nil"/>
              <w:bottom w:val="single" w:color="auto" w:sz="4" w:space="0"/>
              <w:right w:val="single" w:color="auto" w:sz="4" w:space="0"/>
            </w:tcBorders>
            <w:shd w:val="clear" w:color="000000" w:fill="FFFFFF"/>
            <w:noWrap/>
            <w:vAlign w:val="center"/>
          </w:tcPr>
          <w:p w14:paraId="30670C25">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每有一处不符合标准扣1分，影响使用安全扣10分。</w:t>
            </w:r>
          </w:p>
        </w:tc>
        <w:tc>
          <w:tcPr>
            <w:tcW w:w="574" w:type="pct"/>
            <w:tcBorders>
              <w:top w:val="nil"/>
              <w:left w:val="nil"/>
              <w:bottom w:val="single" w:color="auto" w:sz="4" w:space="0"/>
              <w:right w:val="single" w:color="auto" w:sz="4" w:space="0"/>
            </w:tcBorders>
            <w:shd w:val="clear" w:color="000000" w:fill="FFFFFF"/>
            <w:noWrap/>
            <w:vAlign w:val="center"/>
          </w:tcPr>
          <w:p w14:paraId="66F0A27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5D58D1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6FA6064">
            <w:pPr>
              <w:widowControl/>
              <w:jc w:val="left"/>
              <w:rPr>
                <w:rFonts w:ascii="宋体" w:hAnsi="宋体" w:eastAsia="宋体" w:cs="宋体"/>
                <w:kern w:val="0"/>
                <w:sz w:val="22"/>
              </w:rPr>
            </w:pPr>
            <w:r>
              <w:rPr>
                <w:rFonts w:hint="eastAsia" w:ascii="宋体" w:hAnsi="宋体" w:eastAsia="宋体" w:cs="宋体"/>
                <w:kern w:val="0"/>
                <w:sz w:val="22"/>
              </w:rPr>
              <w:t>　</w:t>
            </w:r>
          </w:p>
        </w:tc>
      </w:tr>
      <w:tr w14:paraId="35C7FA32">
        <w:tblPrEx>
          <w:tblCellMar>
            <w:top w:w="0" w:type="dxa"/>
            <w:left w:w="108" w:type="dxa"/>
            <w:bottom w:w="0" w:type="dxa"/>
            <w:right w:w="108" w:type="dxa"/>
          </w:tblCellMar>
        </w:tblPrEx>
        <w:trPr>
          <w:trHeight w:val="16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BE645B0">
            <w:pPr>
              <w:widowControl/>
              <w:jc w:val="center"/>
              <w:rPr>
                <w:rFonts w:ascii="宋体" w:hAnsi="宋体" w:eastAsia="宋体" w:cs="宋体"/>
                <w:kern w:val="0"/>
                <w:sz w:val="22"/>
              </w:rPr>
            </w:pPr>
            <w:r>
              <w:rPr>
                <w:rFonts w:hint="eastAsia" w:ascii="宋体" w:hAnsi="宋体" w:eastAsia="宋体" w:cs="宋体"/>
                <w:kern w:val="0"/>
                <w:sz w:val="22"/>
              </w:rPr>
              <w:t>57</w:t>
            </w:r>
          </w:p>
        </w:tc>
        <w:tc>
          <w:tcPr>
            <w:tcW w:w="234" w:type="pct"/>
            <w:vMerge w:val="continue"/>
            <w:tcBorders>
              <w:top w:val="nil"/>
              <w:left w:val="single" w:color="auto" w:sz="4" w:space="0"/>
              <w:bottom w:val="single" w:color="000000" w:sz="4" w:space="0"/>
              <w:right w:val="single" w:color="auto" w:sz="4" w:space="0"/>
            </w:tcBorders>
            <w:vAlign w:val="center"/>
          </w:tcPr>
          <w:p w14:paraId="0A051F9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3CC1BAE6">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4A0AF311">
            <w:pPr>
              <w:widowControl/>
              <w:jc w:val="center"/>
              <w:rPr>
                <w:rFonts w:ascii="宋体" w:hAnsi="宋体" w:eastAsia="宋体" w:cs="宋体"/>
                <w:kern w:val="0"/>
                <w:sz w:val="20"/>
                <w:szCs w:val="20"/>
              </w:rPr>
            </w:pPr>
            <w:r>
              <w:rPr>
                <w:rFonts w:hint="eastAsia" w:ascii="宋体" w:hAnsi="宋体" w:eastAsia="宋体" w:cs="宋体"/>
                <w:kern w:val="0"/>
                <w:sz w:val="20"/>
                <w:szCs w:val="20"/>
              </w:rPr>
              <w:t>门窗及装修工程</w:t>
            </w:r>
          </w:p>
        </w:tc>
        <w:tc>
          <w:tcPr>
            <w:tcW w:w="943" w:type="pct"/>
            <w:tcBorders>
              <w:top w:val="nil"/>
              <w:left w:val="nil"/>
              <w:bottom w:val="single" w:color="auto" w:sz="4" w:space="0"/>
              <w:right w:val="single" w:color="auto" w:sz="4" w:space="0"/>
            </w:tcBorders>
            <w:shd w:val="clear" w:color="000000" w:fill="FFFFFF"/>
            <w:vAlign w:val="center"/>
          </w:tcPr>
          <w:p w14:paraId="70819BB1">
            <w:pPr>
              <w:widowControl/>
              <w:jc w:val="center"/>
              <w:rPr>
                <w:rFonts w:ascii="宋体" w:hAnsi="宋体" w:eastAsia="宋体" w:cs="宋体"/>
                <w:kern w:val="0"/>
                <w:sz w:val="20"/>
                <w:szCs w:val="20"/>
              </w:rPr>
            </w:pPr>
            <w:r>
              <w:rPr>
                <w:rFonts w:hint="eastAsia" w:ascii="宋体" w:hAnsi="宋体" w:eastAsia="宋体" w:cs="宋体"/>
                <w:kern w:val="0"/>
                <w:sz w:val="20"/>
                <w:szCs w:val="20"/>
              </w:rPr>
              <w:t>做好日常巡视巡查和维护保养，门窗及五金配件应完好，开关灵活、不松动，油漆不脱落，正常使用；装修应完好，牢固、平整，安全，无污渍，抹灰不开裂、不起壳、不剥落，各种油漆、涂料日常维护及定期保养。每周巡查覆盖，发现问题及时维修，各项检查、维修台账记录完整，月度完好率98%以上。</w:t>
            </w:r>
          </w:p>
        </w:tc>
        <w:tc>
          <w:tcPr>
            <w:tcW w:w="1713" w:type="pct"/>
            <w:tcBorders>
              <w:top w:val="nil"/>
              <w:left w:val="nil"/>
              <w:bottom w:val="single" w:color="auto" w:sz="4" w:space="0"/>
              <w:right w:val="single" w:color="auto" w:sz="4" w:space="0"/>
            </w:tcBorders>
            <w:shd w:val="clear" w:color="000000" w:fill="FFFFFF"/>
            <w:noWrap/>
            <w:vAlign w:val="center"/>
          </w:tcPr>
          <w:p w14:paraId="1DFBDD1E">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每有一处不符合标准扣1分。</w:t>
            </w:r>
          </w:p>
        </w:tc>
        <w:tc>
          <w:tcPr>
            <w:tcW w:w="574" w:type="pct"/>
            <w:tcBorders>
              <w:top w:val="nil"/>
              <w:left w:val="nil"/>
              <w:bottom w:val="single" w:color="auto" w:sz="4" w:space="0"/>
              <w:right w:val="single" w:color="auto" w:sz="4" w:space="0"/>
            </w:tcBorders>
            <w:shd w:val="clear" w:color="000000" w:fill="FFFFFF"/>
            <w:noWrap/>
            <w:vAlign w:val="center"/>
          </w:tcPr>
          <w:p w14:paraId="6F6D58A2">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0F7040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4B69EB5">
            <w:pPr>
              <w:widowControl/>
              <w:jc w:val="left"/>
              <w:rPr>
                <w:rFonts w:ascii="宋体" w:hAnsi="宋体" w:eastAsia="宋体" w:cs="宋体"/>
                <w:kern w:val="0"/>
                <w:sz w:val="22"/>
              </w:rPr>
            </w:pPr>
            <w:r>
              <w:rPr>
                <w:rFonts w:hint="eastAsia" w:ascii="宋体" w:hAnsi="宋体" w:eastAsia="宋体" w:cs="宋体"/>
                <w:kern w:val="0"/>
                <w:sz w:val="22"/>
              </w:rPr>
              <w:t>　</w:t>
            </w:r>
          </w:p>
        </w:tc>
      </w:tr>
      <w:tr w14:paraId="4CBF0A94">
        <w:tblPrEx>
          <w:tblCellMar>
            <w:top w:w="0" w:type="dxa"/>
            <w:left w:w="108" w:type="dxa"/>
            <w:bottom w:w="0" w:type="dxa"/>
            <w:right w:w="108" w:type="dxa"/>
          </w:tblCellMar>
        </w:tblPrEx>
        <w:trPr>
          <w:trHeight w:val="9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C818BBC">
            <w:pPr>
              <w:widowControl/>
              <w:jc w:val="center"/>
              <w:rPr>
                <w:rFonts w:ascii="宋体" w:hAnsi="宋体" w:eastAsia="宋体" w:cs="宋体"/>
                <w:kern w:val="0"/>
                <w:sz w:val="22"/>
              </w:rPr>
            </w:pPr>
            <w:r>
              <w:rPr>
                <w:rFonts w:hint="eastAsia" w:ascii="宋体" w:hAnsi="宋体" w:eastAsia="宋体" w:cs="宋体"/>
                <w:kern w:val="0"/>
                <w:sz w:val="22"/>
              </w:rPr>
              <w:t>58</w:t>
            </w:r>
          </w:p>
        </w:tc>
        <w:tc>
          <w:tcPr>
            <w:tcW w:w="234" w:type="pct"/>
            <w:vMerge w:val="continue"/>
            <w:tcBorders>
              <w:top w:val="nil"/>
              <w:left w:val="single" w:color="auto" w:sz="4" w:space="0"/>
              <w:bottom w:val="single" w:color="000000" w:sz="4" w:space="0"/>
              <w:right w:val="single" w:color="auto" w:sz="4" w:space="0"/>
            </w:tcBorders>
            <w:vAlign w:val="center"/>
          </w:tcPr>
          <w:p w14:paraId="1B358699">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787403B5">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04B43D8B">
            <w:pPr>
              <w:widowControl/>
              <w:jc w:val="center"/>
              <w:rPr>
                <w:rFonts w:ascii="宋体" w:hAnsi="宋体" w:eastAsia="宋体" w:cs="宋体"/>
                <w:kern w:val="0"/>
                <w:sz w:val="20"/>
                <w:szCs w:val="20"/>
              </w:rPr>
            </w:pPr>
            <w:r>
              <w:rPr>
                <w:rFonts w:hint="eastAsia" w:ascii="宋体" w:hAnsi="宋体" w:eastAsia="宋体" w:cs="宋体"/>
                <w:kern w:val="0"/>
                <w:sz w:val="20"/>
                <w:szCs w:val="20"/>
              </w:rPr>
              <w:t>楼地面工程</w:t>
            </w:r>
          </w:p>
        </w:tc>
        <w:tc>
          <w:tcPr>
            <w:tcW w:w="943" w:type="pct"/>
            <w:tcBorders>
              <w:top w:val="nil"/>
              <w:left w:val="nil"/>
              <w:bottom w:val="single" w:color="auto" w:sz="4" w:space="0"/>
              <w:right w:val="single" w:color="auto" w:sz="4" w:space="0"/>
            </w:tcBorders>
            <w:shd w:val="clear" w:color="000000" w:fill="FFFFFF"/>
            <w:vAlign w:val="center"/>
          </w:tcPr>
          <w:p w14:paraId="3416018E">
            <w:pPr>
              <w:widowControl/>
              <w:jc w:val="center"/>
              <w:rPr>
                <w:rFonts w:ascii="宋体" w:hAnsi="宋体" w:eastAsia="宋体" w:cs="宋体"/>
                <w:kern w:val="0"/>
                <w:sz w:val="20"/>
                <w:szCs w:val="20"/>
              </w:rPr>
            </w:pPr>
            <w:r>
              <w:rPr>
                <w:rFonts w:hint="eastAsia" w:ascii="宋体" w:hAnsi="宋体" w:eastAsia="宋体" w:cs="宋体"/>
                <w:kern w:val="0"/>
                <w:sz w:val="20"/>
                <w:szCs w:val="20"/>
              </w:rPr>
              <w:t>做好日常各类楼地面做好日常巡查与维护，确保完好、平整、牢固、安全，使用正常。定期进行检查，发现问题及时维修处理，每周覆盖一次，各项检查、维修台账记录完整，月度完好率达98%以上。</w:t>
            </w:r>
          </w:p>
        </w:tc>
        <w:tc>
          <w:tcPr>
            <w:tcW w:w="1713" w:type="pct"/>
            <w:tcBorders>
              <w:top w:val="nil"/>
              <w:left w:val="nil"/>
              <w:bottom w:val="single" w:color="auto" w:sz="4" w:space="0"/>
              <w:right w:val="single" w:color="auto" w:sz="4" w:space="0"/>
            </w:tcBorders>
            <w:shd w:val="clear" w:color="000000" w:fill="FFFFFF"/>
            <w:noWrap/>
            <w:vAlign w:val="center"/>
          </w:tcPr>
          <w:p w14:paraId="7E719780">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每有一处不符合标准扣0.5分。</w:t>
            </w:r>
          </w:p>
        </w:tc>
        <w:tc>
          <w:tcPr>
            <w:tcW w:w="574" w:type="pct"/>
            <w:tcBorders>
              <w:top w:val="nil"/>
              <w:left w:val="nil"/>
              <w:bottom w:val="single" w:color="auto" w:sz="4" w:space="0"/>
              <w:right w:val="single" w:color="auto" w:sz="4" w:space="0"/>
            </w:tcBorders>
            <w:shd w:val="clear" w:color="000000" w:fill="FFFFFF"/>
            <w:noWrap/>
            <w:vAlign w:val="center"/>
          </w:tcPr>
          <w:p w14:paraId="093B64B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9A4D133">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5D9D92E">
            <w:pPr>
              <w:widowControl/>
              <w:jc w:val="left"/>
              <w:rPr>
                <w:rFonts w:ascii="宋体" w:hAnsi="宋体" w:eastAsia="宋体" w:cs="宋体"/>
                <w:kern w:val="0"/>
                <w:sz w:val="22"/>
              </w:rPr>
            </w:pPr>
            <w:r>
              <w:rPr>
                <w:rFonts w:hint="eastAsia" w:ascii="宋体" w:hAnsi="宋体" w:eastAsia="宋体" w:cs="宋体"/>
                <w:kern w:val="0"/>
                <w:sz w:val="22"/>
              </w:rPr>
              <w:t>　</w:t>
            </w:r>
          </w:p>
        </w:tc>
      </w:tr>
      <w:tr w14:paraId="6EA14244">
        <w:tblPrEx>
          <w:tblCellMar>
            <w:top w:w="0" w:type="dxa"/>
            <w:left w:w="108" w:type="dxa"/>
            <w:bottom w:w="0" w:type="dxa"/>
            <w:right w:w="108" w:type="dxa"/>
          </w:tblCellMar>
        </w:tblPrEx>
        <w:trPr>
          <w:trHeight w:val="144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A8E844E">
            <w:pPr>
              <w:widowControl/>
              <w:jc w:val="center"/>
              <w:rPr>
                <w:rFonts w:ascii="宋体" w:hAnsi="宋体" w:eastAsia="宋体" w:cs="宋体"/>
                <w:kern w:val="0"/>
                <w:sz w:val="22"/>
              </w:rPr>
            </w:pPr>
            <w:r>
              <w:rPr>
                <w:rFonts w:hint="eastAsia" w:ascii="宋体" w:hAnsi="宋体" w:eastAsia="宋体" w:cs="宋体"/>
                <w:kern w:val="0"/>
                <w:sz w:val="22"/>
              </w:rPr>
              <w:t>59</w:t>
            </w:r>
          </w:p>
        </w:tc>
        <w:tc>
          <w:tcPr>
            <w:tcW w:w="234" w:type="pct"/>
            <w:vMerge w:val="continue"/>
            <w:tcBorders>
              <w:top w:val="nil"/>
              <w:left w:val="single" w:color="auto" w:sz="4" w:space="0"/>
              <w:bottom w:val="single" w:color="000000" w:sz="4" w:space="0"/>
              <w:right w:val="single" w:color="auto" w:sz="4" w:space="0"/>
            </w:tcBorders>
            <w:vAlign w:val="center"/>
          </w:tcPr>
          <w:p w14:paraId="1913594E">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78527756">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7865C0B6">
            <w:pPr>
              <w:widowControl/>
              <w:jc w:val="center"/>
              <w:rPr>
                <w:rFonts w:ascii="宋体" w:hAnsi="宋体" w:eastAsia="宋体" w:cs="宋体"/>
                <w:kern w:val="0"/>
                <w:sz w:val="20"/>
                <w:szCs w:val="20"/>
              </w:rPr>
            </w:pPr>
            <w:r>
              <w:rPr>
                <w:rFonts w:hint="eastAsia" w:ascii="宋体" w:hAnsi="宋体" w:eastAsia="宋体" w:cs="宋体"/>
                <w:kern w:val="0"/>
                <w:sz w:val="20"/>
                <w:szCs w:val="20"/>
              </w:rPr>
              <w:t>屋面工程</w:t>
            </w:r>
          </w:p>
        </w:tc>
        <w:tc>
          <w:tcPr>
            <w:tcW w:w="943" w:type="pct"/>
            <w:tcBorders>
              <w:top w:val="nil"/>
              <w:left w:val="nil"/>
              <w:bottom w:val="single" w:color="auto" w:sz="4" w:space="0"/>
              <w:right w:val="single" w:color="auto" w:sz="4" w:space="0"/>
            </w:tcBorders>
            <w:shd w:val="clear" w:color="000000" w:fill="FFFFFF"/>
            <w:vAlign w:val="center"/>
          </w:tcPr>
          <w:p w14:paraId="674BF034">
            <w:pPr>
              <w:widowControl/>
              <w:jc w:val="center"/>
              <w:rPr>
                <w:rFonts w:ascii="宋体" w:hAnsi="宋体" w:eastAsia="宋体" w:cs="宋体"/>
                <w:kern w:val="0"/>
                <w:sz w:val="20"/>
                <w:szCs w:val="20"/>
              </w:rPr>
            </w:pPr>
            <w:r>
              <w:rPr>
                <w:rFonts w:hint="eastAsia" w:ascii="宋体" w:hAnsi="宋体" w:eastAsia="宋体" w:cs="宋体"/>
                <w:kern w:val="0"/>
                <w:sz w:val="20"/>
                <w:szCs w:val="20"/>
              </w:rPr>
              <w:t>定期检查屋面及附属设施，及时维护、修缮，确保屋面及附属设施完好，不渗漏、排水通畅，隔热防水保温层完好。要求每月进行一次覆盖检查、清扫，确保泄水通畅。在台汛季节，每周进行一次覆盖检查清扫。各项检查、维修台账记录完整，月度完好率98%以上。</w:t>
            </w:r>
          </w:p>
        </w:tc>
        <w:tc>
          <w:tcPr>
            <w:tcW w:w="1713" w:type="pct"/>
            <w:tcBorders>
              <w:top w:val="nil"/>
              <w:left w:val="nil"/>
              <w:bottom w:val="single" w:color="auto" w:sz="4" w:space="0"/>
              <w:right w:val="single" w:color="auto" w:sz="4" w:space="0"/>
            </w:tcBorders>
            <w:shd w:val="clear" w:color="000000" w:fill="FFFFFF"/>
            <w:noWrap/>
            <w:vAlign w:val="center"/>
          </w:tcPr>
          <w:p w14:paraId="21AB1787">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每有一处不符合标准扣1分。</w:t>
            </w:r>
          </w:p>
        </w:tc>
        <w:tc>
          <w:tcPr>
            <w:tcW w:w="574" w:type="pct"/>
            <w:tcBorders>
              <w:top w:val="nil"/>
              <w:left w:val="nil"/>
              <w:bottom w:val="single" w:color="auto" w:sz="4" w:space="0"/>
              <w:right w:val="single" w:color="auto" w:sz="4" w:space="0"/>
            </w:tcBorders>
            <w:shd w:val="clear" w:color="000000" w:fill="FFFFFF"/>
            <w:noWrap/>
            <w:vAlign w:val="center"/>
          </w:tcPr>
          <w:p w14:paraId="3FF459F2">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60B4313">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0A9DF1C">
            <w:pPr>
              <w:widowControl/>
              <w:jc w:val="left"/>
              <w:rPr>
                <w:rFonts w:ascii="宋体" w:hAnsi="宋体" w:eastAsia="宋体" w:cs="宋体"/>
                <w:kern w:val="0"/>
                <w:sz w:val="22"/>
              </w:rPr>
            </w:pPr>
            <w:r>
              <w:rPr>
                <w:rFonts w:hint="eastAsia" w:ascii="宋体" w:hAnsi="宋体" w:eastAsia="宋体" w:cs="宋体"/>
                <w:kern w:val="0"/>
                <w:sz w:val="22"/>
              </w:rPr>
              <w:t>　</w:t>
            </w:r>
          </w:p>
        </w:tc>
      </w:tr>
      <w:tr w14:paraId="15998A78">
        <w:tblPrEx>
          <w:tblCellMar>
            <w:top w:w="0" w:type="dxa"/>
            <w:left w:w="108" w:type="dxa"/>
            <w:bottom w:w="0" w:type="dxa"/>
            <w:right w:w="108" w:type="dxa"/>
          </w:tblCellMar>
        </w:tblPrEx>
        <w:trPr>
          <w:trHeight w:val="144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7DD86CF7">
            <w:pPr>
              <w:widowControl/>
              <w:jc w:val="center"/>
              <w:rPr>
                <w:rFonts w:ascii="宋体" w:hAnsi="宋体" w:eastAsia="宋体" w:cs="宋体"/>
                <w:kern w:val="0"/>
                <w:sz w:val="22"/>
              </w:rPr>
            </w:pPr>
            <w:r>
              <w:rPr>
                <w:rFonts w:hint="eastAsia" w:ascii="宋体" w:hAnsi="宋体" w:eastAsia="宋体" w:cs="宋体"/>
                <w:kern w:val="0"/>
                <w:sz w:val="22"/>
              </w:rPr>
              <w:t>60</w:t>
            </w:r>
          </w:p>
        </w:tc>
        <w:tc>
          <w:tcPr>
            <w:tcW w:w="234" w:type="pct"/>
            <w:vMerge w:val="continue"/>
            <w:tcBorders>
              <w:top w:val="nil"/>
              <w:left w:val="single" w:color="auto" w:sz="4" w:space="0"/>
              <w:bottom w:val="single" w:color="000000" w:sz="4" w:space="0"/>
              <w:right w:val="single" w:color="auto" w:sz="4" w:space="0"/>
            </w:tcBorders>
            <w:vAlign w:val="center"/>
          </w:tcPr>
          <w:p w14:paraId="7A3BE2E0">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5F8AA4D1">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7480A24C">
            <w:pPr>
              <w:widowControl/>
              <w:jc w:val="center"/>
              <w:rPr>
                <w:rFonts w:ascii="宋体" w:hAnsi="宋体" w:eastAsia="宋体" w:cs="宋体"/>
                <w:kern w:val="0"/>
                <w:sz w:val="20"/>
                <w:szCs w:val="20"/>
              </w:rPr>
            </w:pPr>
            <w:r>
              <w:rPr>
                <w:rFonts w:hint="eastAsia" w:ascii="宋体" w:hAnsi="宋体" w:eastAsia="宋体" w:cs="宋体"/>
                <w:kern w:val="0"/>
                <w:sz w:val="20"/>
                <w:szCs w:val="20"/>
              </w:rPr>
              <w:t>幕墙工程</w:t>
            </w:r>
          </w:p>
        </w:tc>
        <w:tc>
          <w:tcPr>
            <w:tcW w:w="943" w:type="pct"/>
            <w:tcBorders>
              <w:top w:val="nil"/>
              <w:left w:val="nil"/>
              <w:bottom w:val="single" w:color="auto" w:sz="4" w:space="0"/>
              <w:right w:val="single" w:color="auto" w:sz="4" w:space="0"/>
            </w:tcBorders>
            <w:shd w:val="clear" w:color="000000" w:fill="FFFFFF"/>
            <w:vAlign w:val="center"/>
          </w:tcPr>
          <w:p w14:paraId="1F8945FC">
            <w:pPr>
              <w:widowControl/>
              <w:jc w:val="center"/>
              <w:rPr>
                <w:rFonts w:ascii="宋体" w:hAnsi="宋体" w:eastAsia="宋体" w:cs="宋体"/>
                <w:kern w:val="0"/>
                <w:sz w:val="20"/>
                <w:szCs w:val="20"/>
              </w:rPr>
            </w:pPr>
            <w:r>
              <w:rPr>
                <w:rFonts w:hint="eastAsia" w:ascii="宋体" w:hAnsi="宋体" w:eastAsia="宋体" w:cs="宋体"/>
                <w:kern w:val="0"/>
                <w:sz w:val="20"/>
                <w:szCs w:val="20"/>
              </w:rPr>
              <w:t>做好建筑各类玻璃幕墙、石材幕墙，铝板幕墙、索网玻璃、观光电梯井道玻璃等日常巡查与维护，外观完好，胶条完好，无渗漏，使用正常。石材、铝板幕墙无松动、脱落、破损，玻璃幕墙无破损、无渗漏。发现问题及时报告并组织维修处理，巡视检查记录及维修台账完善。月度完好率达98%以上。</w:t>
            </w:r>
          </w:p>
        </w:tc>
        <w:tc>
          <w:tcPr>
            <w:tcW w:w="1713" w:type="pct"/>
            <w:tcBorders>
              <w:top w:val="nil"/>
              <w:left w:val="nil"/>
              <w:bottom w:val="single" w:color="auto" w:sz="4" w:space="0"/>
              <w:right w:val="single" w:color="auto" w:sz="4" w:space="0"/>
            </w:tcBorders>
            <w:shd w:val="clear" w:color="000000" w:fill="FFFFFF"/>
            <w:noWrap/>
            <w:vAlign w:val="center"/>
          </w:tcPr>
          <w:p w14:paraId="4F1ECF9F">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每有一处不符合标准扣1分。</w:t>
            </w:r>
          </w:p>
        </w:tc>
        <w:tc>
          <w:tcPr>
            <w:tcW w:w="574" w:type="pct"/>
            <w:tcBorders>
              <w:top w:val="nil"/>
              <w:left w:val="nil"/>
              <w:bottom w:val="single" w:color="auto" w:sz="4" w:space="0"/>
              <w:right w:val="single" w:color="auto" w:sz="4" w:space="0"/>
            </w:tcBorders>
            <w:shd w:val="clear" w:color="000000" w:fill="FFFFFF"/>
            <w:vAlign w:val="center"/>
          </w:tcPr>
          <w:p w14:paraId="17D8632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8D5A284">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22CC6F9">
            <w:pPr>
              <w:widowControl/>
              <w:jc w:val="left"/>
              <w:rPr>
                <w:rFonts w:ascii="宋体" w:hAnsi="宋体" w:eastAsia="宋体" w:cs="宋体"/>
                <w:kern w:val="0"/>
                <w:sz w:val="22"/>
              </w:rPr>
            </w:pPr>
            <w:r>
              <w:rPr>
                <w:rFonts w:hint="eastAsia" w:ascii="宋体" w:hAnsi="宋体" w:eastAsia="宋体" w:cs="宋体"/>
                <w:kern w:val="0"/>
                <w:sz w:val="22"/>
              </w:rPr>
              <w:t>　</w:t>
            </w:r>
          </w:p>
        </w:tc>
      </w:tr>
      <w:tr w14:paraId="2BC4C745">
        <w:tblPrEx>
          <w:tblCellMar>
            <w:top w:w="0" w:type="dxa"/>
            <w:left w:w="108" w:type="dxa"/>
            <w:bottom w:w="0" w:type="dxa"/>
            <w:right w:w="108" w:type="dxa"/>
          </w:tblCellMar>
        </w:tblPrEx>
        <w:trPr>
          <w:trHeight w:val="72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265264FB">
            <w:pPr>
              <w:widowControl/>
              <w:jc w:val="center"/>
              <w:rPr>
                <w:rFonts w:ascii="宋体" w:hAnsi="宋体" w:eastAsia="宋体" w:cs="宋体"/>
                <w:kern w:val="0"/>
                <w:sz w:val="22"/>
              </w:rPr>
            </w:pPr>
            <w:r>
              <w:rPr>
                <w:rFonts w:hint="eastAsia" w:ascii="宋体" w:hAnsi="宋体" w:eastAsia="宋体" w:cs="宋体"/>
                <w:kern w:val="0"/>
                <w:sz w:val="22"/>
              </w:rPr>
              <w:t>61</w:t>
            </w:r>
          </w:p>
        </w:tc>
        <w:tc>
          <w:tcPr>
            <w:tcW w:w="234" w:type="pct"/>
            <w:vMerge w:val="continue"/>
            <w:tcBorders>
              <w:top w:val="nil"/>
              <w:left w:val="single" w:color="auto" w:sz="4" w:space="0"/>
              <w:bottom w:val="single" w:color="000000" w:sz="4" w:space="0"/>
              <w:right w:val="single" w:color="auto" w:sz="4" w:space="0"/>
            </w:tcBorders>
            <w:vAlign w:val="center"/>
          </w:tcPr>
          <w:p w14:paraId="58572D07">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36C8A106">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68F29406">
            <w:pPr>
              <w:widowControl/>
              <w:jc w:val="center"/>
              <w:rPr>
                <w:rFonts w:ascii="宋体" w:hAnsi="宋体" w:eastAsia="宋体" w:cs="宋体"/>
                <w:kern w:val="0"/>
                <w:sz w:val="20"/>
                <w:szCs w:val="20"/>
              </w:rPr>
            </w:pPr>
            <w:r>
              <w:rPr>
                <w:rFonts w:hint="eastAsia" w:ascii="宋体" w:hAnsi="宋体" w:eastAsia="宋体" w:cs="宋体"/>
                <w:kern w:val="0"/>
                <w:sz w:val="20"/>
                <w:szCs w:val="20"/>
              </w:rPr>
              <w:t>吊顶工程</w:t>
            </w:r>
          </w:p>
        </w:tc>
        <w:tc>
          <w:tcPr>
            <w:tcW w:w="943" w:type="pct"/>
            <w:tcBorders>
              <w:top w:val="nil"/>
              <w:left w:val="nil"/>
              <w:bottom w:val="single" w:color="auto" w:sz="4" w:space="0"/>
              <w:right w:val="single" w:color="auto" w:sz="4" w:space="0"/>
            </w:tcBorders>
            <w:shd w:val="clear" w:color="000000" w:fill="FFFFFF"/>
            <w:vAlign w:val="center"/>
          </w:tcPr>
          <w:p w14:paraId="66AB8DA5">
            <w:pPr>
              <w:widowControl/>
              <w:jc w:val="center"/>
              <w:rPr>
                <w:rFonts w:ascii="宋体" w:hAnsi="宋体" w:eastAsia="宋体" w:cs="宋体"/>
                <w:kern w:val="0"/>
                <w:sz w:val="20"/>
                <w:szCs w:val="20"/>
              </w:rPr>
            </w:pPr>
            <w:r>
              <w:rPr>
                <w:rFonts w:hint="eastAsia" w:ascii="宋体" w:hAnsi="宋体" w:eastAsia="宋体" w:cs="宋体"/>
                <w:kern w:val="0"/>
                <w:sz w:val="20"/>
                <w:szCs w:val="20"/>
              </w:rPr>
              <w:t>做好各类吊顶的日常巡查与维护，发现吊顶破损及时修复或调换，确保完好、安全、正常使用。检查维修台账记录完善，月度完好率达98%以上。</w:t>
            </w:r>
          </w:p>
        </w:tc>
        <w:tc>
          <w:tcPr>
            <w:tcW w:w="1713" w:type="pct"/>
            <w:tcBorders>
              <w:top w:val="nil"/>
              <w:left w:val="nil"/>
              <w:bottom w:val="single" w:color="auto" w:sz="4" w:space="0"/>
              <w:right w:val="single" w:color="auto" w:sz="4" w:space="0"/>
            </w:tcBorders>
            <w:shd w:val="clear" w:color="000000" w:fill="FFFFFF"/>
            <w:noWrap/>
            <w:vAlign w:val="center"/>
          </w:tcPr>
          <w:p w14:paraId="41A1017B">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每有一处不符合标准扣0.5分。</w:t>
            </w:r>
          </w:p>
        </w:tc>
        <w:tc>
          <w:tcPr>
            <w:tcW w:w="574" w:type="pct"/>
            <w:tcBorders>
              <w:top w:val="nil"/>
              <w:left w:val="nil"/>
              <w:bottom w:val="single" w:color="auto" w:sz="4" w:space="0"/>
              <w:right w:val="single" w:color="auto" w:sz="4" w:space="0"/>
            </w:tcBorders>
            <w:shd w:val="clear" w:color="000000" w:fill="FFFFFF"/>
            <w:vAlign w:val="center"/>
          </w:tcPr>
          <w:p w14:paraId="524B0FDC">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B8AFBB4">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D12D957">
            <w:pPr>
              <w:widowControl/>
              <w:jc w:val="left"/>
              <w:rPr>
                <w:rFonts w:ascii="宋体" w:hAnsi="宋体" w:eastAsia="宋体" w:cs="宋体"/>
                <w:kern w:val="0"/>
                <w:sz w:val="22"/>
              </w:rPr>
            </w:pPr>
            <w:r>
              <w:rPr>
                <w:rFonts w:hint="eastAsia" w:ascii="宋体" w:hAnsi="宋体" w:eastAsia="宋体" w:cs="宋体"/>
                <w:kern w:val="0"/>
                <w:sz w:val="22"/>
              </w:rPr>
              <w:t>　</w:t>
            </w:r>
          </w:p>
        </w:tc>
      </w:tr>
      <w:tr w14:paraId="62526713">
        <w:tblPrEx>
          <w:tblCellMar>
            <w:top w:w="0" w:type="dxa"/>
            <w:left w:w="108" w:type="dxa"/>
            <w:bottom w:w="0" w:type="dxa"/>
            <w:right w:w="108" w:type="dxa"/>
          </w:tblCellMar>
        </w:tblPrEx>
        <w:trPr>
          <w:trHeight w:val="9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559A8F82">
            <w:pPr>
              <w:widowControl/>
              <w:jc w:val="center"/>
              <w:rPr>
                <w:rFonts w:ascii="宋体" w:hAnsi="宋体" w:eastAsia="宋体" w:cs="宋体"/>
                <w:kern w:val="0"/>
                <w:sz w:val="22"/>
              </w:rPr>
            </w:pPr>
            <w:r>
              <w:rPr>
                <w:rFonts w:hint="eastAsia" w:ascii="宋体" w:hAnsi="宋体" w:eastAsia="宋体" w:cs="宋体"/>
                <w:kern w:val="0"/>
                <w:sz w:val="22"/>
              </w:rPr>
              <w:t>62</w:t>
            </w:r>
          </w:p>
        </w:tc>
        <w:tc>
          <w:tcPr>
            <w:tcW w:w="234" w:type="pct"/>
            <w:vMerge w:val="continue"/>
            <w:tcBorders>
              <w:top w:val="nil"/>
              <w:left w:val="single" w:color="auto" w:sz="4" w:space="0"/>
              <w:bottom w:val="single" w:color="000000" w:sz="4" w:space="0"/>
              <w:right w:val="single" w:color="auto" w:sz="4" w:space="0"/>
            </w:tcBorders>
            <w:vAlign w:val="center"/>
          </w:tcPr>
          <w:p w14:paraId="48B9F200">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3A3CDF4C">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27CCFF47">
            <w:pPr>
              <w:widowControl/>
              <w:jc w:val="center"/>
              <w:rPr>
                <w:rFonts w:ascii="宋体" w:hAnsi="宋体" w:eastAsia="宋体" w:cs="宋体"/>
                <w:kern w:val="0"/>
                <w:sz w:val="20"/>
                <w:szCs w:val="20"/>
              </w:rPr>
            </w:pPr>
            <w:r>
              <w:rPr>
                <w:rFonts w:hint="eastAsia" w:ascii="宋体" w:hAnsi="宋体" w:eastAsia="宋体" w:cs="宋体"/>
                <w:kern w:val="0"/>
                <w:sz w:val="20"/>
                <w:szCs w:val="20"/>
              </w:rPr>
              <w:t>室外上人平台、踏步</w:t>
            </w:r>
          </w:p>
        </w:tc>
        <w:tc>
          <w:tcPr>
            <w:tcW w:w="943" w:type="pct"/>
            <w:tcBorders>
              <w:top w:val="nil"/>
              <w:left w:val="nil"/>
              <w:bottom w:val="single" w:color="auto" w:sz="4" w:space="0"/>
              <w:right w:val="single" w:color="auto" w:sz="4" w:space="0"/>
            </w:tcBorders>
            <w:shd w:val="clear" w:color="000000" w:fill="FFFFFF"/>
            <w:vAlign w:val="center"/>
          </w:tcPr>
          <w:p w14:paraId="79B92D55">
            <w:pPr>
              <w:widowControl/>
              <w:jc w:val="center"/>
              <w:rPr>
                <w:rFonts w:ascii="宋体" w:hAnsi="宋体" w:eastAsia="宋体" w:cs="宋体"/>
                <w:kern w:val="0"/>
                <w:sz w:val="20"/>
                <w:szCs w:val="20"/>
              </w:rPr>
            </w:pPr>
            <w:r>
              <w:rPr>
                <w:rFonts w:hint="eastAsia" w:ascii="宋体" w:hAnsi="宋体" w:eastAsia="宋体" w:cs="宋体"/>
                <w:kern w:val="0"/>
                <w:sz w:val="20"/>
                <w:szCs w:val="20"/>
              </w:rPr>
              <w:t>做好日常巡查维护，外观完好，无缺损和碎裂、无松动，确保平台石材地面外观完好、平整、安全、正常使用。每日巡查，发现问题及时维修处理，维修台账记录完善，月度完好率达98%以上。</w:t>
            </w:r>
          </w:p>
        </w:tc>
        <w:tc>
          <w:tcPr>
            <w:tcW w:w="1713" w:type="pct"/>
            <w:tcBorders>
              <w:top w:val="nil"/>
              <w:left w:val="nil"/>
              <w:bottom w:val="single" w:color="auto" w:sz="4" w:space="0"/>
              <w:right w:val="single" w:color="auto" w:sz="4" w:space="0"/>
            </w:tcBorders>
            <w:shd w:val="clear" w:color="000000" w:fill="FFFFFF"/>
            <w:noWrap/>
            <w:vAlign w:val="center"/>
          </w:tcPr>
          <w:p w14:paraId="79C8CB60">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每有一处不符合标准扣0.5分。</w:t>
            </w:r>
          </w:p>
        </w:tc>
        <w:tc>
          <w:tcPr>
            <w:tcW w:w="574" w:type="pct"/>
            <w:tcBorders>
              <w:top w:val="nil"/>
              <w:left w:val="nil"/>
              <w:bottom w:val="single" w:color="auto" w:sz="4" w:space="0"/>
              <w:right w:val="single" w:color="auto" w:sz="4" w:space="0"/>
            </w:tcBorders>
            <w:shd w:val="clear" w:color="000000" w:fill="FFFFFF"/>
            <w:vAlign w:val="center"/>
          </w:tcPr>
          <w:p w14:paraId="06811965">
            <w:pPr>
              <w:widowControl/>
              <w:jc w:val="center"/>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F5C3D50">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BF9C0A4">
            <w:pPr>
              <w:widowControl/>
              <w:jc w:val="left"/>
              <w:rPr>
                <w:rFonts w:ascii="宋体" w:hAnsi="宋体" w:eastAsia="宋体" w:cs="宋体"/>
                <w:kern w:val="0"/>
                <w:sz w:val="22"/>
              </w:rPr>
            </w:pPr>
            <w:r>
              <w:rPr>
                <w:rFonts w:hint="eastAsia" w:ascii="宋体" w:hAnsi="宋体" w:eastAsia="宋体" w:cs="宋体"/>
                <w:kern w:val="0"/>
                <w:sz w:val="22"/>
              </w:rPr>
              <w:t>　</w:t>
            </w:r>
          </w:p>
        </w:tc>
      </w:tr>
      <w:tr w14:paraId="5E4D9C24">
        <w:tblPrEx>
          <w:tblCellMar>
            <w:top w:w="0" w:type="dxa"/>
            <w:left w:w="108" w:type="dxa"/>
            <w:bottom w:w="0" w:type="dxa"/>
            <w:right w:w="108" w:type="dxa"/>
          </w:tblCellMar>
        </w:tblPrEx>
        <w:trPr>
          <w:trHeight w:val="12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554CADA3">
            <w:pPr>
              <w:widowControl/>
              <w:jc w:val="center"/>
              <w:rPr>
                <w:rFonts w:ascii="宋体" w:hAnsi="宋体" w:eastAsia="宋体" w:cs="宋体"/>
                <w:kern w:val="0"/>
                <w:sz w:val="22"/>
              </w:rPr>
            </w:pPr>
            <w:r>
              <w:rPr>
                <w:rFonts w:hint="eastAsia" w:ascii="宋体" w:hAnsi="宋体" w:eastAsia="宋体" w:cs="宋体"/>
                <w:kern w:val="0"/>
                <w:sz w:val="22"/>
              </w:rPr>
              <w:t>63</w:t>
            </w:r>
          </w:p>
        </w:tc>
        <w:tc>
          <w:tcPr>
            <w:tcW w:w="234" w:type="pct"/>
            <w:vMerge w:val="continue"/>
            <w:tcBorders>
              <w:top w:val="nil"/>
              <w:left w:val="single" w:color="auto" w:sz="4" w:space="0"/>
              <w:bottom w:val="single" w:color="000000" w:sz="4" w:space="0"/>
              <w:right w:val="single" w:color="auto" w:sz="4" w:space="0"/>
            </w:tcBorders>
            <w:vAlign w:val="center"/>
          </w:tcPr>
          <w:p w14:paraId="78C6D214">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3EF7BC24">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6622CB29">
            <w:pPr>
              <w:widowControl/>
              <w:jc w:val="center"/>
              <w:rPr>
                <w:rFonts w:ascii="宋体" w:hAnsi="宋体" w:eastAsia="宋体" w:cs="宋体"/>
                <w:kern w:val="0"/>
                <w:sz w:val="20"/>
                <w:szCs w:val="20"/>
              </w:rPr>
            </w:pPr>
            <w:r>
              <w:rPr>
                <w:rFonts w:hint="eastAsia" w:ascii="宋体" w:hAnsi="宋体" w:eastAsia="宋体" w:cs="宋体"/>
                <w:kern w:val="0"/>
                <w:sz w:val="20"/>
                <w:szCs w:val="20"/>
              </w:rPr>
              <w:t>建筑附属设施</w:t>
            </w:r>
          </w:p>
        </w:tc>
        <w:tc>
          <w:tcPr>
            <w:tcW w:w="943" w:type="pct"/>
            <w:tcBorders>
              <w:top w:val="nil"/>
              <w:left w:val="nil"/>
              <w:bottom w:val="single" w:color="auto" w:sz="4" w:space="0"/>
              <w:right w:val="single" w:color="auto" w:sz="4" w:space="0"/>
            </w:tcBorders>
            <w:shd w:val="clear" w:color="000000" w:fill="FFFFFF"/>
            <w:vAlign w:val="center"/>
          </w:tcPr>
          <w:p w14:paraId="6375F2AE">
            <w:pPr>
              <w:widowControl/>
              <w:jc w:val="center"/>
              <w:rPr>
                <w:rFonts w:ascii="宋体" w:hAnsi="宋体" w:eastAsia="宋体" w:cs="宋体"/>
                <w:kern w:val="0"/>
                <w:sz w:val="20"/>
                <w:szCs w:val="20"/>
              </w:rPr>
            </w:pPr>
            <w:r>
              <w:rPr>
                <w:rFonts w:hint="eastAsia" w:ascii="宋体" w:hAnsi="宋体" w:eastAsia="宋体" w:cs="宋体"/>
                <w:kern w:val="0"/>
                <w:sz w:val="20"/>
                <w:szCs w:val="20"/>
              </w:rPr>
              <w:t>定期检查楼梯平台栏杆、安全玻璃挡板、安全扶手、安全平台格栅板及五金配件，室外钢构件、雨棚等附属设施，及时维护保养，确保无损坏、无脱落、无锈蚀，确保完好、安全、正常使用。月度完好率达98%以上。</w:t>
            </w:r>
          </w:p>
        </w:tc>
        <w:tc>
          <w:tcPr>
            <w:tcW w:w="1713" w:type="pct"/>
            <w:tcBorders>
              <w:top w:val="nil"/>
              <w:left w:val="nil"/>
              <w:bottom w:val="single" w:color="auto" w:sz="4" w:space="0"/>
              <w:right w:val="single" w:color="auto" w:sz="4" w:space="0"/>
            </w:tcBorders>
            <w:shd w:val="clear" w:color="000000" w:fill="FFFFFF"/>
            <w:noWrap/>
            <w:vAlign w:val="center"/>
          </w:tcPr>
          <w:p w14:paraId="4D2CB6CF">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每有一处不符合标准扣1分。</w:t>
            </w:r>
          </w:p>
        </w:tc>
        <w:tc>
          <w:tcPr>
            <w:tcW w:w="574" w:type="pct"/>
            <w:tcBorders>
              <w:top w:val="nil"/>
              <w:left w:val="nil"/>
              <w:bottom w:val="single" w:color="auto" w:sz="4" w:space="0"/>
              <w:right w:val="single" w:color="auto" w:sz="4" w:space="0"/>
            </w:tcBorders>
            <w:shd w:val="clear" w:color="000000" w:fill="FFFFFF"/>
            <w:noWrap/>
            <w:vAlign w:val="center"/>
          </w:tcPr>
          <w:p w14:paraId="6583F479">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D6BCF6F">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27DC043">
            <w:pPr>
              <w:widowControl/>
              <w:jc w:val="left"/>
              <w:rPr>
                <w:rFonts w:ascii="宋体" w:hAnsi="宋体" w:eastAsia="宋体" w:cs="宋体"/>
                <w:kern w:val="0"/>
                <w:sz w:val="22"/>
              </w:rPr>
            </w:pPr>
            <w:r>
              <w:rPr>
                <w:rFonts w:hint="eastAsia" w:ascii="宋体" w:hAnsi="宋体" w:eastAsia="宋体" w:cs="宋体"/>
                <w:kern w:val="0"/>
                <w:sz w:val="22"/>
              </w:rPr>
              <w:t>　</w:t>
            </w:r>
          </w:p>
        </w:tc>
      </w:tr>
      <w:tr w14:paraId="3F685FEC">
        <w:tblPrEx>
          <w:tblCellMar>
            <w:top w:w="0" w:type="dxa"/>
            <w:left w:w="108" w:type="dxa"/>
            <w:bottom w:w="0" w:type="dxa"/>
            <w:right w:w="108" w:type="dxa"/>
          </w:tblCellMar>
        </w:tblPrEx>
        <w:trPr>
          <w:trHeight w:val="825"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4750F447">
            <w:pPr>
              <w:widowControl/>
              <w:jc w:val="center"/>
              <w:rPr>
                <w:rFonts w:ascii="宋体" w:hAnsi="宋体" w:eastAsia="宋体" w:cs="宋体"/>
                <w:kern w:val="0"/>
                <w:sz w:val="22"/>
              </w:rPr>
            </w:pPr>
            <w:r>
              <w:rPr>
                <w:rFonts w:hint="eastAsia" w:ascii="宋体" w:hAnsi="宋体" w:eastAsia="宋体" w:cs="宋体"/>
                <w:kern w:val="0"/>
                <w:sz w:val="22"/>
              </w:rPr>
              <w:t>64</w:t>
            </w:r>
          </w:p>
        </w:tc>
        <w:tc>
          <w:tcPr>
            <w:tcW w:w="234" w:type="pct"/>
            <w:vMerge w:val="continue"/>
            <w:tcBorders>
              <w:top w:val="nil"/>
              <w:left w:val="single" w:color="auto" w:sz="4" w:space="0"/>
              <w:bottom w:val="single" w:color="000000" w:sz="4" w:space="0"/>
              <w:right w:val="single" w:color="auto" w:sz="4" w:space="0"/>
            </w:tcBorders>
            <w:vAlign w:val="center"/>
          </w:tcPr>
          <w:p w14:paraId="1CE1190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6E0082B2">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1C0E3B00">
            <w:pPr>
              <w:widowControl/>
              <w:jc w:val="center"/>
              <w:rPr>
                <w:rFonts w:ascii="宋体" w:hAnsi="宋体" w:eastAsia="宋体" w:cs="宋体"/>
                <w:kern w:val="0"/>
                <w:sz w:val="20"/>
                <w:szCs w:val="20"/>
              </w:rPr>
            </w:pPr>
            <w:r>
              <w:rPr>
                <w:rFonts w:hint="eastAsia" w:ascii="宋体" w:hAnsi="宋体" w:eastAsia="宋体" w:cs="宋体"/>
                <w:kern w:val="0"/>
                <w:sz w:val="20"/>
                <w:szCs w:val="20"/>
              </w:rPr>
              <w:t>其它</w:t>
            </w:r>
          </w:p>
        </w:tc>
        <w:tc>
          <w:tcPr>
            <w:tcW w:w="943" w:type="pct"/>
            <w:tcBorders>
              <w:top w:val="nil"/>
              <w:left w:val="nil"/>
              <w:bottom w:val="single" w:color="auto" w:sz="4" w:space="0"/>
              <w:right w:val="single" w:color="auto" w:sz="4" w:space="0"/>
            </w:tcBorders>
            <w:shd w:val="clear" w:color="000000" w:fill="FFFFFF"/>
            <w:vAlign w:val="center"/>
          </w:tcPr>
          <w:p w14:paraId="72BF7649">
            <w:pPr>
              <w:widowControl/>
              <w:jc w:val="center"/>
              <w:rPr>
                <w:rFonts w:ascii="宋体" w:hAnsi="宋体" w:eastAsia="宋体" w:cs="宋体"/>
                <w:kern w:val="0"/>
                <w:sz w:val="20"/>
                <w:szCs w:val="20"/>
              </w:rPr>
            </w:pPr>
            <w:r>
              <w:rPr>
                <w:rFonts w:hint="eastAsia" w:ascii="宋体" w:hAnsi="宋体" w:eastAsia="宋体" w:cs="宋体"/>
                <w:kern w:val="0"/>
                <w:sz w:val="20"/>
                <w:szCs w:val="20"/>
              </w:rPr>
              <w:t>落实日常检查与维护，确呆基地道路、明沟、围栏完好，排水通畅，临时停车场及附属设施完好，确保正常使用。</w:t>
            </w:r>
          </w:p>
        </w:tc>
        <w:tc>
          <w:tcPr>
            <w:tcW w:w="1713" w:type="pct"/>
            <w:tcBorders>
              <w:top w:val="nil"/>
              <w:left w:val="nil"/>
              <w:bottom w:val="single" w:color="auto" w:sz="4" w:space="0"/>
              <w:right w:val="single" w:color="auto" w:sz="4" w:space="0"/>
            </w:tcBorders>
            <w:shd w:val="clear" w:color="000000" w:fill="FFFFFF"/>
            <w:noWrap/>
            <w:vAlign w:val="center"/>
          </w:tcPr>
          <w:p w14:paraId="4D5958E9">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每有一项不符合标准扣0.5分。</w:t>
            </w:r>
          </w:p>
        </w:tc>
        <w:tc>
          <w:tcPr>
            <w:tcW w:w="574" w:type="pct"/>
            <w:tcBorders>
              <w:top w:val="nil"/>
              <w:left w:val="nil"/>
              <w:bottom w:val="single" w:color="auto" w:sz="4" w:space="0"/>
              <w:right w:val="single" w:color="auto" w:sz="4" w:space="0"/>
            </w:tcBorders>
            <w:shd w:val="clear" w:color="000000" w:fill="FFFFFF"/>
            <w:noWrap/>
            <w:vAlign w:val="center"/>
          </w:tcPr>
          <w:p w14:paraId="7DC921F2">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577DE5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C9B8868">
            <w:pPr>
              <w:widowControl/>
              <w:jc w:val="left"/>
              <w:rPr>
                <w:rFonts w:ascii="宋体" w:hAnsi="宋体" w:eastAsia="宋体" w:cs="宋体"/>
                <w:kern w:val="0"/>
                <w:sz w:val="22"/>
              </w:rPr>
            </w:pPr>
            <w:r>
              <w:rPr>
                <w:rFonts w:hint="eastAsia" w:ascii="宋体" w:hAnsi="宋体" w:eastAsia="宋体" w:cs="宋体"/>
                <w:kern w:val="0"/>
                <w:sz w:val="22"/>
              </w:rPr>
              <w:t>　</w:t>
            </w:r>
          </w:p>
        </w:tc>
      </w:tr>
      <w:tr w14:paraId="43706646">
        <w:tblPrEx>
          <w:tblCellMar>
            <w:top w:w="0" w:type="dxa"/>
            <w:left w:w="108" w:type="dxa"/>
            <w:bottom w:w="0" w:type="dxa"/>
            <w:right w:w="108" w:type="dxa"/>
          </w:tblCellMar>
        </w:tblPrEx>
        <w:trPr>
          <w:trHeight w:val="2775"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221126D2">
            <w:pPr>
              <w:widowControl/>
              <w:jc w:val="center"/>
              <w:rPr>
                <w:rFonts w:ascii="宋体" w:hAnsi="宋体" w:eastAsia="宋体" w:cs="宋体"/>
                <w:kern w:val="0"/>
                <w:sz w:val="22"/>
              </w:rPr>
            </w:pPr>
            <w:r>
              <w:rPr>
                <w:rFonts w:hint="eastAsia" w:ascii="宋体" w:hAnsi="宋体" w:eastAsia="宋体" w:cs="宋体"/>
                <w:kern w:val="0"/>
                <w:sz w:val="22"/>
              </w:rPr>
              <w:t>65</w:t>
            </w:r>
          </w:p>
        </w:tc>
        <w:tc>
          <w:tcPr>
            <w:tcW w:w="234" w:type="pct"/>
            <w:vMerge w:val="continue"/>
            <w:tcBorders>
              <w:top w:val="nil"/>
              <w:left w:val="single" w:color="auto" w:sz="4" w:space="0"/>
              <w:bottom w:val="single" w:color="000000" w:sz="4" w:space="0"/>
              <w:right w:val="single" w:color="auto" w:sz="4" w:space="0"/>
            </w:tcBorders>
            <w:vAlign w:val="center"/>
          </w:tcPr>
          <w:p w14:paraId="0C484717">
            <w:pPr>
              <w:widowControl/>
              <w:jc w:val="left"/>
              <w:rPr>
                <w:rFonts w:ascii="宋体" w:hAnsi="宋体" w:eastAsia="宋体" w:cs="宋体"/>
                <w:b/>
                <w:bCs/>
                <w:kern w:val="0"/>
                <w:sz w:val="22"/>
              </w:rPr>
            </w:pPr>
          </w:p>
        </w:tc>
        <w:tc>
          <w:tcPr>
            <w:tcW w:w="275" w:type="pct"/>
            <w:vMerge w:val="restart"/>
            <w:tcBorders>
              <w:top w:val="nil"/>
              <w:left w:val="single" w:color="auto" w:sz="4" w:space="0"/>
              <w:bottom w:val="single" w:color="000000" w:sz="4" w:space="0"/>
              <w:right w:val="single" w:color="auto" w:sz="4" w:space="0"/>
            </w:tcBorders>
            <w:shd w:val="clear" w:color="000000" w:fill="FFFFFF"/>
            <w:vAlign w:val="center"/>
          </w:tcPr>
          <w:p w14:paraId="7750B9E9">
            <w:pPr>
              <w:widowControl/>
              <w:jc w:val="center"/>
              <w:rPr>
                <w:rFonts w:ascii="宋体" w:hAnsi="宋体" w:eastAsia="宋体" w:cs="宋体"/>
                <w:kern w:val="0"/>
                <w:sz w:val="22"/>
              </w:rPr>
            </w:pPr>
            <w:r>
              <w:rPr>
                <w:rFonts w:hint="eastAsia" w:ascii="宋体" w:hAnsi="宋体" w:eastAsia="宋体" w:cs="宋体"/>
                <w:kern w:val="0"/>
                <w:sz w:val="22"/>
              </w:rPr>
              <w:t>信息技术部弱电及多媒体设备条线</w:t>
            </w:r>
          </w:p>
        </w:tc>
        <w:tc>
          <w:tcPr>
            <w:tcW w:w="397" w:type="pct"/>
            <w:tcBorders>
              <w:top w:val="nil"/>
              <w:left w:val="nil"/>
              <w:bottom w:val="single" w:color="auto" w:sz="4" w:space="0"/>
              <w:right w:val="single" w:color="auto" w:sz="4" w:space="0"/>
            </w:tcBorders>
            <w:shd w:val="clear" w:color="auto" w:fill="auto"/>
            <w:vAlign w:val="center"/>
          </w:tcPr>
          <w:p w14:paraId="2A731986">
            <w:pPr>
              <w:widowControl/>
              <w:jc w:val="center"/>
              <w:rPr>
                <w:rFonts w:ascii="宋体" w:hAnsi="宋体" w:eastAsia="宋体" w:cs="宋体"/>
                <w:kern w:val="0"/>
                <w:sz w:val="20"/>
                <w:szCs w:val="20"/>
              </w:rPr>
            </w:pPr>
            <w:r>
              <w:rPr>
                <w:rFonts w:hint="eastAsia" w:ascii="宋体" w:hAnsi="宋体" w:eastAsia="宋体" w:cs="宋体"/>
                <w:kern w:val="0"/>
                <w:sz w:val="20"/>
                <w:szCs w:val="20"/>
              </w:rPr>
              <w:t>背景公共广播系统</w:t>
            </w:r>
          </w:p>
        </w:tc>
        <w:tc>
          <w:tcPr>
            <w:tcW w:w="943" w:type="pct"/>
            <w:tcBorders>
              <w:top w:val="nil"/>
              <w:left w:val="nil"/>
              <w:bottom w:val="single" w:color="auto" w:sz="4" w:space="0"/>
              <w:right w:val="single" w:color="auto" w:sz="4" w:space="0"/>
            </w:tcBorders>
            <w:shd w:val="clear" w:color="000000" w:fill="FFFFFF"/>
            <w:vAlign w:val="center"/>
          </w:tcPr>
          <w:p w14:paraId="5ABCF867">
            <w:pPr>
              <w:widowControl/>
              <w:jc w:val="center"/>
              <w:rPr>
                <w:rFonts w:ascii="宋体" w:hAnsi="宋体" w:eastAsia="宋体" w:cs="宋体"/>
                <w:kern w:val="0"/>
                <w:sz w:val="20"/>
                <w:szCs w:val="20"/>
              </w:rPr>
            </w:pPr>
            <w:r>
              <w:rPr>
                <w:rFonts w:hint="eastAsia" w:ascii="宋体" w:hAnsi="宋体" w:eastAsia="宋体" w:cs="宋体"/>
                <w:kern w:val="0"/>
                <w:sz w:val="20"/>
                <w:szCs w:val="20"/>
              </w:rPr>
              <w:t>1、日常巡检和监控：对系统的运行状态进行巡检，巡检内容包括服务器、功放等指示灯，并做好记录。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2、常规维护：按照月度维护计划，会同第三方运维公司对系统进行维护保养，并做好记录。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3、应急处置：对巡检过程中发现的异常情况，采取有效措施进行处置，并做好记录。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4、应急演练：全年组织一次应急演练，会同第三方运维公司进行实施。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5、备品备件：会同运维公司，管理好备品备件。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6、日常清洁：完成责任区域内机房清洁工作。</w:t>
            </w:r>
          </w:p>
        </w:tc>
        <w:tc>
          <w:tcPr>
            <w:tcW w:w="1713" w:type="pct"/>
            <w:tcBorders>
              <w:top w:val="nil"/>
              <w:left w:val="nil"/>
              <w:bottom w:val="single" w:color="auto" w:sz="4" w:space="0"/>
              <w:right w:val="single" w:color="auto" w:sz="4" w:space="0"/>
            </w:tcBorders>
            <w:shd w:val="clear" w:color="000000" w:fill="FFFFFF"/>
            <w:noWrap/>
            <w:vAlign w:val="center"/>
          </w:tcPr>
          <w:p w14:paraId="7CE2E963">
            <w:pPr>
              <w:widowControl/>
              <w:jc w:val="center"/>
              <w:rPr>
                <w:rFonts w:ascii="宋体" w:hAnsi="宋体" w:eastAsia="宋体" w:cs="宋体"/>
                <w:kern w:val="0"/>
                <w:sz w:val="20"/>
                <w:szCs w:val="20"/>
              </w:rPr>
            </w:pPr>
            <w:r>
              <w:rPr>
                <w:rFonts w:hint="eastAsia" w:ascii="宋体" w:hAnsi="宋体" w:eastAsia="宋体" w:cs="宋体"/>
                <w:kern w:val="0"/>
                <w:sz w:val="20"/>
                <w:szCs w:val="20"/>
              </w:rPr>
              <w:t>经抽查，每有一处不符合标准扣0.5分</w:t>
            </w:r>
          </w:p>
        </w:tc>
        <w:tc>
          <w:tcPr>
            <w:tcW w:w="574" w:type="pct"/>
            <w:tcBorders>
              <w:top w:val="nil"/>
              <w:left w:val="nil"/>
              <w:bottom w:val="single" w:color="auto" w:sz="4" w:space="0"/>
              <w:right w:val="single" w:color="auto" w:sz="4" w:space="0"/>
            </w:tcBorders>
            <w:shd w:val="clear" w:color="000000" w:fill="FFFFFF"/>
            <w:noWrap/>
            <w:vAlign w:val="center"/>
          </w:tcPr>
          <w:p w14:paraId="6397A451">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3A88AD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B4195F2">
            <w:pPr>
              <w:widowControl/>
              <w:jc w:val="left"/>
              <w:rPr>
                <w:rFonts w:ascii="宋体" w:hAnsi="宋体" w:eastAsia="宋体" w:cs="宋体"/>
                <w:kern w:val="0"/>
                <w:sz w:val="22"/>
              </w:rPr>
            </w:pPr>
            <w:r>
              <w:rPr>
                <w:rFonts w:hint="eastAsia" w:ascii="宋体" w:hAnsi="宋体" w:eastAsia="宋体" w:cs="宋体"/>
                <w:kern w:val="0"/>
                <w:sz w:val="22"/>
              </w:rPr>
              <w:t>　</w:t>
            </w:r>
          </w:p>
        </w:tc>
      </w:tr>
      <w:tr w14:paraId="589B5EC7">
        <w:tblPrEx>
          <w:tblCellMar>
            <w:top w:w="0" w:type="dxa"/>
            <w:left w:w="108" w:type="dxa"/>
            <w:bottom w:w="0" w:type="dxa"/>
            <w:right w:w="108" w:type="dxa"/>
          </w:tblCellMar>
        </w:tblPrEx>
        <w:trPr>
          <w:trHeight w:val="255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FADA2D9">
            <w:pPr>
              <w:widowControl/>
              <w:jc w:val="center"/>
              <w:rPr>
                <w:rFonts w:ascii="宋体" w:hAnsi="宋体" w:eastAsia="宋体" w:cs="宋体"/>
                <w:kern w:val="0"/>
                <w:sz w:val="22"/>
              </w:rPr>
            </w:pPr>
            <w:r>
              <w:rPr>
                <w:rFonts w:hint="eastAsia" w:ascii="宋体" w:hAnsi="宋体" w:eastAsia="宋体" w:cs="宋体"/>
                <w:kern w:val="0"/>
                <w:sz w:val="22"/>
              </w:rPr>
              <w:t>66</w:t>
            </w:r>
          </w:p>
        </w:tc>
        <w:tc>
          <w:tcPr>
            <w:tcW w:w="234" w:type="pct"/>
            <w:vMerge w:val="continue"/>
            <w:tcBorders>
              <w:top w:val="nil"/>
              <w:left w:val="single" w:color="auto" w:sz="4" w:space="0"/>
              <w:bottom w:val="single" w:color="000000" w:sz="4" w:space="0"/>
              <w:right w:val="single" w:color="auto" w:sz="4" w:space="0"/>
            </w:tcBorders>
            <w:vAlign w:val="center"/>
          </w:tcPr>
          <w:p w14:paraId="43E10606">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010D63C4">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auto" w:fill="auto"/>
            <w:vAlign w:val="center"/>
          </w:tcPr>
          <w:p w14:paraId="1F1EA74C">
            <w:pPr>
              <w:widowControl/>
              <w:jc w:val="center"/>
              <w:rPr>
                <w:rFonts w:ascii="宋体" w:hAnsi="宋体" w:eastAsia="宋体" w:cs="宋体"/>
                <w:kern w:val="0"/>
                <w:sz w:val="20"/>
                <w:szCs w:val="20"/>
              </w:rPr>
            </w:pPr>
            <w:r>
              <w:rPr>
                <w:rFonts w:hint="eastAsia" w:ascii="宋体" w:hAnsi="宋体" w:eastAsia="宋体" w:cs="宋体"/>
                <w:kern w:val="0"/>
                <w:sz w:val="20"/>
                <w:szCs w:val="20"/>
              </w:rPr>
              <w:t>对讲机通信系统</w:t>
            </w:r>
          </w:p>
        </w:tc>
        <w:tc>
          <w:tcPr>
            <w:tcW w:w="943" w:type="pct"/>
            <w:tcBorders>
              <w:top w:val="nil"/>
              <w:left w:val="nil"/>
              <w:bottom w:val="single" w:color="auto" w:sz="4" w:space="0"/>
              <w:right w:val="single" w:color="auto" w:sz="4" w:space="0"/>
            </w:tcBorders>
            <w:shd w:val="clear" w:color="000000" w:fill="FFFFFF"/>
            <w:vAlign w:val="center"/>
          </w:tcPr>
          <w:p w14:paraId="62A7A755">
            <w:pPr>
              <w:widowControl/>
              <w:jc w:val="center"/>
              <w:rPr>
                <w:rFonts w:ascii="宋体" w:hAnsi="宋体" w:eastAsia="宋体" w:cs="宋体"/>
                <w:kern w:val="0"/>
                <w:sz w:val="20"/>
                <w:szCs w:val="20"/>
              </w:rPr>
            </w:pPr>
            <w:r>
              <w:rPr>
                <w:rFonts w:hint="eastAsia" w:ascii="宋体" w:hAnsi="宋体" w:eastAsia="宋体" w:cs="宋体"/>
                <w:kern w:val="0"/>
                <w:sz w:val="20"/>
                <w:szCs w:val="20"/>
              </w:rPr>
              <w:t>1、日常巡检和监控：对系统的运行状态进行巡检，巡检内容包括中继台等指示灯，并做好记录。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2、常规维护：按照月度维护计划，会同第三方运维公司对系统进行维护保养，并做好记录。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3、应急处置：对巡检过程中发现的异常情况，采取有效措施进行处置，并做好记录。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4、应急演练：全年组织一次应急演练，会同第三方运维公司进行实施。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5、备品备件：会同运维公司，管理好备品备件。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6、日常清洁：完成责任区域内的机房清洁工作。</w:t>
            </w:r>
          </w:p>
        </w:tc>
        <w:tc>
          <w:tcPr>
            <w:tcW w:w="1713" w:type="pct"/>
            <w:tcBorders>
              <w:top w:val="nil"/>
              <w:left w:val="nil"/>
              <w:bottom w:val="single" w:color="auto" w:sz="4" w:space="0"/>
              <w:right w:val="single" w:color="auto" w:sz="4" w:space="0"/>
            </w:tcBorders>
            <w:shd w:val="clear" w:color="000000" w:fill="FFFFFF"/>
            <w:noWrap/>
            <w:vAlign w:val="center"/>
          </w:tcPr>
          <w:p w14:paraId="5464D341">
            <w:pPr>
              <w:widowControl/>
              <w:jc w:val="center"/>
              <w:rPr>
                <w:rFonts w:ascii="宋体" w:hAnsi="宋体" w:eastAsia="宋体" w:cs="宋体"/>
                <w:kern w:val="0"/>
                <w:sz w:val="20"/>
                <w:szCs w:val="20"/>
              </w:rPr>
            </w:pPr>
            <w:r>
              <w:rPr>
                <w:rFonts w:hint="eastAsia" w:ascii="宋体" w:hAnsi="宋体" w:eastAsia="宋体" w:cs="宋体"/>
                <w:kern w:val="0"/>
                <w:sz w:val="20"/>
                <w:szCs w:val="20"/>
              </w:rPr>
              <w:t>经抽查，每有一处不符合标准扣0.5分</w:t>
            </w:r>
          </w:p>
        </w:tc>
        <w:tc>
          <w:tcPr>
            <w:tcW w:w="574" w:type="pct"/>
            <w:tcBorders>
              <w:top w:val="nil"/>
              <w:left w:val="nil"/>
              <w:bottom w:val="single" w:color="auto" w:sz="4" w:space="0"/>
              <w:right w:val="single" w:color="auto" w:sz="4" w:space="0"/>
            </w:tcBorders>
            <w:shd w:val="clear" w:color="000000" w:fill="FFFFFF"/>
            <w:noWrap/>
            <w:vAlign w:val="center"/>
          </w:tcPr>
          <w:p w14:paraId="4C1619C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7282C1F">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275E190">
            <w:pPr>
              <w:widowControl/>
              <w:jc w:val="left"/>
              <w:rPr>
                <w:rFonts w:ascii="宋体" w:hAnsi="宋体" w:eastAsia="宋体" w:cs="宋体"/>
                <w:kern w:val="0"/>
                <w:sz w:val="22"/>
              </w:rPr>
            </w:pPr>
            <w:r>
              <w:rPr>
                <w:rFonts w:hint="eastAsia" w:ascii="宋体" w:hAnsi="宋体" w:eastAsia="宋体" w:cs="宋体"/>
                <w:kern w:val="0"/>
                <w:sz w:val="22"/>
              </w:rPr>
              <w:t>　</w:t>
            </w:r>
          </w:p>
        </w:tc>
      </w:tr>
      <w:tr w14:paraId="7ED015EA">
        <w:tblPrEx>
          <w:tblCellMar>
            <w:top w:w="0" w:type="dxa"/>
            <w:left w:w="108" w:type="dxa"/>
            <w:bottom w:w="0" w:type="dxa"/>
            <w:right w:w="108" w:type="dxa"/>
          </w:tblCellMar>
        </w:tblPrEx>
        <w:trPr>
          <w:trHeight w:val="27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2BAFDD5">
            <w:pPr>
              <w:widowControl/>
              <w:jc w:val="center"/>
              <w:rPr>
                <w:rFonts w:ascii="宋体" w:hAnsi="宋体" w:eastAsia="宋体" w:cs="宋体"/>
                <w:kern w:val="0"/>
                <w:sz w:val="22"/>
              </w:rPr>
            </w:pPr>
            <w:r>
              <w:rPr>
                <w:rFonts w:hint="eastAsia" w:ascii="宋体" w:hAnsi="宋体" w:eastAsia="宋体" w:cs="宋体"/>
                <w:kern w:val="0"/>
                <w:sz w:val="22"/>
              </w:rPr>
              <w:t>67</w:t>
            </w:r>
          </w:p>
        </w:tc>
        <w:tc>
          <w:tcPr>
            <w:tcW w:w="234" w:type="pct"/>
            <w:vMerge w:val="continue"/>
            <w:tcBorders>
              <w:top w:val="nil"/>
              <w:left w:val="single" w:color="auto" w:sz="4" w:space="0"/>
              <w:bottom w:val="single" w:color="000000" w:sz="4" w:space="0"/>
              <w:right w:val="single" w:color="auto" w:sz="4" w:space="0"/>
            </w:tcBorders>
            <w:vAlign w:val="center"/>
          </w:tcPr>
          <w:p w14:paraId="14AFDD88">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232C25DE">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auto" w:fill="auto"/>
            <w:vAlign w:val="center"/>
          </w:tcPr>
          <w:p w14:paraId="6ED38A02">
            <w:pPr>
              <w:widowControl/>
              <w:jc w:val="center"/>
              <w:rPr>
                <w:rFonts w:ascii="宋体" w:hAnsi="宋体" w:eastAsia="宋体" w:cs="宋体"/>
                <w:kern w:val="0"/>
                <w:sz w:val="20"/>
                <w:szCs w:val="20"/>
              </w:rPr>
            </w:pPr>
            <w:r>
              <w:rPr>
                <w:rFonts w:hint="eastAsia" w:ascii="宋体" w:hAnsi="宋体" w:eastAsia="宋体" w:cs="宋体"/>
                <w:kern w:val="0"/>
                <w:sz w:val="20"/>
                <w:szCs w:val="20"/>
              </w:rPr>
              <w:t>程控电话交换系统</w:t>
            </w:r>
          </w:p>
        </w:tc>
        <w:tc>
          <w:tcPr>
            <w:tcW w:w="943" w:type="pct"/>
            <w:tcBorders>
              <w:top w:val="nil"/>
              <w:left w:val="nil"/>
              <w:bottom w:val="single" w:color="auto" w:sz="4" w:space="0"/>
              <w:right w:val="single" w:color="auto" w:sz="4" w:space="0"/>
            </w:tcBorders>
            <w:shd w:val="clear" w:color="000000" w:fill="FFFFFF"/>
            <w:vAlign w:val="center"/>
          </w:tcPr>
          <w:p w14:paraId="2D8B2AB6">
            <w:pPr>
              <w:widowControl/>
              <w:jc w:val="center"/>
              <w:rPr>
                <w:rFonts w:ascii="宋体" w:hAnsi="宋体" w:eastAsia="宋体" w:cs="宋体"/>
                <w:kern w:val="0"/>
                <w:sz w:val="20"/>
                <w:szCs w:val="20"/>
              </w:rPr>
            </w:pPr>
            <w:r>
              <w:rPr>
                <w:rFonts w:hint="eastAsia" w:ascii="宋体" w:hAnsi="宋体" w:eastAsia="宋体" w:cs="宋体"/>
                <w:kern w:val="0"/>
                <w:sz w:val="20"/>
                <w:szCs w:val="20"/>
              </w:rPr>
              <w:t>1、日常巡检和监控：对各系统的运行状态进行巡检，巡检内容包括服务器指示灯和内外电话是否可以拨通，并做好记录。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2、日常维护：按照月度维护计划，会同第三方运维公司对系统进行维护保养，并做好记录。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3、应急处置：对巡检过程中发现的异常情况，采取有效措施进行处置，并做好记录。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4、应急演练：全年组织一次应急演练，会同第三方运维公司进行实施。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5、备品备件：会同运维公司，管理好备品备件。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6、日常清洁：完成责任区域内的机房清洁工作。</w:t>
            </w:r>
          </w:p>
        </w:tc>
        <w:tc>
          <w:tcPr>
            <w:tcW w:w="1713" w:type="pct"/>
            <w:tcBorders>
              <w:top w:val="nil"/>
              <w:left w:val="nil"/>
              <w:bottom w:val="single" w:color="auto" w:sz="4" w:space="0"/>
              <w:right w:val="single" w:color="auto" w:sz="4" w:space="0"/>
            </w:tcBorders>
            <w:shd w:val="clear" w:color="000000" w:fill="FFFFFF"/>
            <w:noWrap/>
            <w:vAlign w:val="center"/>
          </w:tcPr>
          <w:p w14:paraId="1657ACCE">
            <w:pPr>
              <w:widowControl/>
              <w:jc w:val="center"/>
              <w:rPr>
                <w:rFonts w:ascii="宋体" w:hAnsi="宋体" w:eastAsia="宋体" w:cs="宋体"/>
                <w:kern w:val="0"/>
                <w:sz w:val="20"/>
                <w:szCs w:val="20"/>
              </w:rPr>
            </w:pPr>
            <w:r>
              <w:rPr>
                <w:rFonts w:hint="eastAsia" w:ascii="宋体" w:hAnsi="宋体" w:eastAsia="宋体" w:cs="宋体"/>
                <w:kern w:val="0"/>
                <w:sz w:val="20"/>
                <w:szCs w:val="20"/>
              </w:rPr>
              <w:t>经抽查，每有一处不符合标准扣0.5分</w:t>
            </w:r>
          </w:p>
        </w:tc>
        <w:tc>
          <w:tcPr>
            <w:tcW w:w="574" w:type="pct"/>
            <w:tcBorders>
              <w:top w:val="nil"/>
              <w:left w:val="nil"/>
              <w:bottom w:val="single" w:color="auto" w:sz="4" w:space="0"/>
              <w:right w:val="single" w:color="auto" w:sz="4" w:space="0"/>
            </w:tcBorders>
            <w:shd w:val="clear" w:color="000000" w:fill="FFFFFF"/>
            <w:noWrap/>
            <w:vAlign w:val="center"/>
          </w:tcPr>
          <w:p w14:paraId="68A2E4E8">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C42AC7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C3A89A2">
            <w:pPr>
              <w:widowControl/>
              <w:jc w:val="left"/>
              <w:rPr>
                <w:rFonts w:ascii="宋体" w:hAnsi="宋体" w:eastAsia="宋体" w:cs="宋体"/>
                <w:kern w:val="0"/>
                <w:sz w:val="22"/>
              </w:rPr>
            </w:pPr>
            <w:r>
              <w:rPr>
                <w:rFonts w:hint="eastAsia" w:ascii="宋体" w:hAnsi="宋体" w:eastAsia="宋体" w:cs="宋体"/>
                <w:kern w:val="0"/>
                <w:sz w:val="22"/>
              </w:rPr>
              <w:t>　</w:t>
            </w:r>
          </w:p>
        </w:tc>
      </w:tr>
      <w:tr w14:paraId="0DBB56F4">
        <w:tblPrEx>
          <w:tblCellMar>
            <w:top w:w="0" w:type="dxa"/>
            <w:left w:w="108" w:type="dxa"/>
            <w:bottom w:w="0" w:type="dxa"/>
            <w:right w:w="108" w:type="dxa"/>
          </w:tblCellMar>
        </w:tblPrEx>
        <w:trPr>
          <w:trHeight w:val="1785"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2A5F8D1">
            <w:pPr>
              <w:widowControl/>
              <w:jc w:val="center"/>
              <w:rPr>
                <w:rFonts w:ascii="宋体" w:hAnsi="宋体" w:eastAsia="宋体" w:cs="宋体"/>
                <w:kern w:val="0"/>
                <w:sz w:val="22"/>
              </w:rPr>
            </w:pPr>
            <w:r>
              <w:rPr>
                <w:rFonts w:hint="eastAsia" w:ascii="宋体" w:hAnsi="宋体" w:eastAsia="宋体" w:cs="宋体"/>
                <w:kern w:val="0"/>
                <w:sz w:val="22"/>
              </w:rPr>
              <w:t>68</w:t>
            </w:r>
          </w:p>
        </w:tc>
        <w:tc>
          <w:tcPr>
            <w:tcW w:w="234" w:type="pct"/>
            <w:vMerge w:val="continue"/>
            <w:tcBorders>
              <w:top w:val="nil"/>
              <w:left w:val="single" w:color="auto" w:sz="4" w:space="0"/>
              <w:bottom w:val="single" w:color="000000" w:sz="4" w:space="0"/>
              <w:right w:val="single" w:color="auto" w:sz="4" w:space="0"/>
            </w:tcBorders>
            <w:vAlign w:val="center"/>
          </w:tcPr>
          <w:p w14:paraId="180D3A64">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57E10173">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auto" w:fill="auto"/>
            <w:vAlign w:val="center"/>
          </w:tcPr>
          <w:p w14:paraId="656B5966">
            <w:pPr>
              <w:widowControl/>
              <w:jc w:val="center"/>
              <w:rPr>
                <w:rFonts w:ascii="宋体" w:hAnsi="宋体" w:eastAsia="宋体" w:cs="宋体"/>
                <w:kern w:val="0"/>
                <w:sz w:val="20"/>
                <w:szCs w:val="20"/>
              </w:rPr>
            </w:pPr>
            <w:r>
              <w:rPr>
                <w:rFonts w:hint="eastAsia" w:ascii="宋体" w:hAnsi="宋体" w:eastAsia="宋体" w:cs="宋体"/>
                <w:kern w:val="0"/>
                <w:sz w:val="20"/>
                <w:szCs w:val="20"/>
              </w:rPr>
              <w:t>展区多媒体设备</w:t>
            </w:r>
          </w:p>
        </w:tc>
        <w:tc>
          <w:tcPr>
            <w:tcW w:w="943" w:type="pct"/>
            <w:tcBorders>
              <w:top w:val="nil"/>
              <w:left w:val="nil"/>
              <w:bottom w:val="single" w:color="auto" w:sz="4" w:space="0"/>
              <w:right w:val="single" w:color="auto" w:sz="4" w:space="0"/>
            </w:tcBorders>
            <w:shd w:val="clear" w:color="000000" w:fill="FFFFFF"/>
            <w:vAlign w:val="center"/>
          </w:tcPr>
          <w:p w14:paraId="2EFF19C0">
            <w:pPr>
              <w:widowControl/>
              <w:jc w:val="center"/>
              <w:rPr>
                <w:rFonts w:ascii="宋体" w:hAnsi="宋体" w:eastAsia="宋体" w:cs="宋体"/>
                <w:kern w:val="0"/>
                <w:sz w:val="20"/>
                <w:szCs w:val="20"/>
              </w:rPr>
            </w:pPr>
            <w:r>
              <w:rPr>
                <w:rFonts w:hint="eastAsia" w:ascii="宋体" w:hAnsi="宋体" w:eastAsia="宋体" w:cs="宋体"/>
                <w:kern w:val="0"/>
                <w:sz w:val="20"/>
                <w:szCs w:val="20"/>
              </w:rPr>
              <w:t>1、日常开关机：按要求对展区多媒体设备进行开关机。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2、日常巡检和监控：对各系统的运行状态进行巡检。</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3、应急处置：对巡检过程中发现的异常情况，采取有效措施进行处置。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4、日常清洁：完成责任区域内的机房清洁工作。</w:t>
            </w:r>
          </w:p>
        </w:tc>
        <w:tc>
          <w:tcPr>
            <w:tcW w:w="1713" w:type="pct"/>
            <w:tcBorders>
              <w:top w:val="nil"/>
              <w:left w:val="nil"/>
              <w:bottom w:val="single" w:color="auto" w:sz="4" w:space="0"/>
              <w:right w:val="single" w:color="auto" w:sz="4" w:space="0"/>
            </w:tcBorders>
            <w:shd w:val="clear" w:color="000000" w:fill="FFFFFF"/>
            <w:noWrap/>
            <w:vAlign w:val="center"/>
          </w:tcPr>
          <w:p w14:paraId="4F486E5C">
            <w:pPr>
              <w:widowControl/>
              <w:jc w:val="center"/>
              <w:rPr>
                <w:rFonts w:ascii="宋体" w:hAnsi="宋体" w:eastAsia="宋体" w:cs="宋体"/>
                <w:kern w:val="0"/>
                <w:sz w:val="20"/>
                <w:szCs w:val="20"/>
              </w:rPr>
            </w:pPr>
            <w:r>
              <w:rPr>
                <w:rFonts w:hint="eastAsia" w:ascii="宋体" w:hAnsi="宋体" w:eastAsia="宋体" w:cs="宋体"/>
                <w:kern w:val="0"/>
                <w:sz w:val="20"/>
                <w:szCs w:val="20"/>
              </w:rPr>
              <w:t>经抽查，每有一处不符合标准扣0.5分</w:t>
            </w:r>
          </w:p>
        </w:tc>
        <w:tc>
          <w:tcPr>
            <w:tcW w:w="574" w:type="pct"/>
            <w:tcBorders>
              <w:top w:val="nil"/>
              <w:left w:val="nil"/>
              <w:bottom w:val="single" w:color="auto" w:sz="4" w:space="0"/>
              <w:right w:val="single" w:color="auto" w:sz="4" w:space="0"/>
            </w:tcBorders>
            <w:shd w:val="clear" w:color="000000" w:fill="FFFFFF"/>
            <w:noWrap/>
            <w:vAlign w:val="center"/>
          </w:tcPr>
          <w:p w14:paraId="73CEC456">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11B5E00">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8EBAC8A">
            <w:pPr>
              <w:widowControl/>
              <w:jc w:val="left"/>
              <w:rPr>
                <w:rFonts w:ascii="宋体" w:hAnsi="宋体" w:eastAsia="宋体" w:cs="宋体"/>
                <w:kern w:val="0"/>
                <w:sz w:val="22"/>
              </w:rPr>
            </w:pPr>
            <w:r>
              <w:rPr>
                <w:rFonts w:hint="eastAsia" w:ascii="宋体" w:hAnsi="宋体" w:eastAsia="宋体" w:cs="宋体"/>
                <w:kern w:val="0"/>
                <w:sz w:val="22"/>
              </w:rPr>
              <w:t>　</w:t>
            </w:r>
          </w:p>
        </w:tc>
      </w:tr>
      <w:tr w14:paraId="6E78672A">
        <w:tblPrEx>
          <w:tblCellMar>
            <w:top w:w="0" w:type="dxa"/>
            <w:left w:w="108" w:type="dxa"/>
            <w:bottom w:w="0" w:type="dxa"/>
            <w:right w:w="108" w:type="dxa"/>
          </w:tblCellMar>
        </w:tblPrEx>
        <w:trPr>
          <w:trHeight w:val="2805"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1322DDF1">
            <w:pPr>
              <w:widowControl/>
              <w:jc w:val="center"/>
              <w:rPr>
                <w:rFonts w:ascii="宋体" w:hAnsi="宋体" w:eastAsia="宋体" w:cs="宋体"/>
                <w:kern w:val="0"/>
                <w:sz w:val="22"/>
              </w:rPr>
            </w:pPr>
            <w:r>
              <w:rPr>
                <w:rFonts w:hint="eastAsia" w:ascii="宋体" w:hAnsi="宋体" w:eastAsia="宋体" w:cs="宋体"/>
                <w:kern w:val="0"/>
                <w:sz w:val="22"/>
              </w:rPr>
              <w:t>69</w:t>
            </w:r>
          </w:p>
        </w:tc>
        <w:tc>
          <w:tcPr>
            <w:tcW w:w="234" w:type="pct"/>
            <w:vMerge w:val="continue"/>
            <w:tcBorders>
              <w:top w:val="nil"/>
              <w:left w:val="single" w:color="auto" w:sz="4" w:space="0"/>
              <w:bottom w:val="single" w:color="000000" w:sz="4" w:space="0"/>
              <w:right w:val="single" w:color="auto" w:sz="4" w:space="0"/>
            </w:tcBorders>
            <w:vAlign w:val="center"/>
          </w:tcPr>
          <w:p w14:paraId="32E742EA">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182A834F">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auto" w:fill="auto"/>
            <w:vAlign w:val="center"/>
          </w:tcPr>
          <w:p w14:paraId="56DEFF2D">
            <w:pPr>
              <w:widowControl/>
              <w:jc w:val="center"/>
              <w:rPr>
                <w:rFonts w:ascii="宋体" w:hAnsi="宋体" w:eastAsia="宋体" w:cs="宋体"/>
                <w:kern w:val="0"/>
                <w:sz w:val="20"/>
                <w:szCs w:val="20"/>
              </w:rPr>
            </w:pPr>
            <w:r>
              <w:rPr>
                <w:rFonts w:hint="eastAsia" w:ascii="宋体" w:hAnsi="宋体" w:eastAsia="宋体" w:cs="宋体"/>
                <w:kern w:val="0"/>
                <w:sz w:val="20"/>
                <w:szCs w:val="20"/>
              </w:rPr>
              <w:t>建筑BA系统</w:t>
            </w:r>
          </w:p>
        </w:tc>
        <w:tc>
          <w:tcPr>
            <w:tcW w:w="943" w:type="pct"/>
            <w:tcBorders>
              <w:top w:val="nil"/>
              <w:left w:val="nil"/>
              <w:bottom w:val="single" w:color="auto" w:sz="4" w:space="0"/>
              <w:right w:val="single" w:color="auto" w:sz="4" w:space="0"/>
            </w:tcBorders>
            <w:shd w:val="clear" w:color="000000" w:fill="FFFFFF"/>
            <w:vAlign w:val="center"/>
          </w:tcPr>
          <w:p w14:paraId="0CD352C5">
            <w:pPr>
              <w:widowControl/>
              <w:jc w:val="center"/>
              <w:rPr>
                <w:rFonts w:ascii="宋体" w:hAnsi="宋体" w:eastAsia="宋体" w:cs="宋体"/>
                <w:kern w:val="0"/>
                <w:sz w:val="20"/>
                <w:szCs w:val="20"/>
              </w:rPr>
            </w:pPr>
            <w:r>
              <w:rPr>
                <w:rFonts w:hint="eastAsia" w:ascii="宋体" w:hAnsi="宋体" w:eastAsia="宋体" w:cs="宋体"/>
                <w:kern w:val="0"/>
                <w:sz w:val="20"/>
                <w:szCs w:val="20"/>
              </w:rPr>
              <w:t>1、日常巡检和监控：对各系统的运行状态进行巡检，巡检内容包括软件界面能否操作，有无报警信息，并做好记录。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2、日常维护：按照月度维护计划，会同第三方运维公司对系统进行维护保养，并做好记录。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3、应急处置：对巡检过程中发现的异常情况，采取有效措施进行处置，并做好记录。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4、应急演练：全年组织一次应急演练，会同第三方运维公司进行实施。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5、备品备件：会同运维公司，管理好备品备件。</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6、日常清洁：完成责任区域内的机房清洁工作。</w:t>
            </w:r>
          </w:p>
        </w:tc>
        <w:tc>
          <w:tcPr>
            <w:tcW w:w="1713" w:type="pct"/>
            <w:tcBorders>
              <w:top w:val="nil"/>
              <w:left w:val="nil"/>
              <w:bottom w:val="single" w:color="auto" w:sz="4" w:space="0"/>
              <w:right w:val="single" w:color="auto" w:sz="4" w:space="0"/>
            </w:tcBorders>
            <w:shd w:val="clear" w:color="000000" w:fill="FFFFFF"/>
            <w:noWrap/>
            <w:vAlign w:val="center"/>
          </w:tcPr>
          <w:p w14:paraId="015CA606">
            <w:pPr>
              <w:widowControl/>
              <w:jc w:val="center"/>
              <w:rPr>
                <w:rFonts w:ascii="宋体" w:hAnsi="宋体" w:eastAsia="宋体" w:cs="宋体"/>
                <w:kern w:val="0"/>
                <w:sz w:val="20"/>
                <w:szCs w:val="20"/>
              </w:rPr>
            </w:pPr>
            <w:r>
              <w:rPr>
                <w:rFonts w:hint="eastAsia" w:ascii="宋体" w:hAnsi="宋体" w:eastAsia="宋体" w:cs="宋体"/>
                <w:kern w:val="0"/>
                <w:sz w:val="20"/>
                <w:szCs w:val="20"/>
              </w:rPr>
              <w:t>经抽查，每有一处不符合标准扣0.5分</w:t>
            </w:r>
          </w:p>
        </w:tc>
        <w:tc>
          <w:tcPr>
            <w:tcW w:w="574" w:type="pct"/>
            <w:tcBorders>
              <w:top w:val="nil"/>
              <w:left w:val="nil"/>
              <w:bottom w:val="single" w:color="auto" w:sz="4" w:space="0"/>
              <w:right w:val="single" w:color="auto" w:sz="4" w:space="0"/>
            </w:tcBorders>
            <w:shd w:val="clear" w:color="000000" w:fill="FFFFFF"/>
            <w:noWrap/>
            <w:vAlign w:val="center"/>
          </w:tcPr>
          <w:p w14:paraId="3C0F2279">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56879A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B60BA7C">
            <w:pPr>
              <w:widowControl/>
              <w:jc w:val="left"/>
              <w:rPr>
                <w:rFonts w:ascii="宋体" w:hAnsi="宋体" w:eastAsia="宋体" w:cs="宋体"/>
                <w:kern w:val="0"/>
                <w:sz w:val="22"/>
              </w:rPr>
            </w:pPr>
            <w:r>
              <w:rPr>
                <w:rFonts w:hint="eastAsia" w:ascii="宋体" w:hAnsi="宋体" w:eastAsia="宋体" w:cs="宋体"/>
                <w:kern w:val="0"/>
                <w:sz w:val="22"/>
              </w:rPr>
              <w:t>　</w:t>
            </w:r>
          </w:p>
        </w:tc>
      </w:tr>
      <w:tr w14:paraId="1E1E6802">
        <w:tblPrEx>
          <w:tblCellMar>
            <w:top w:w="0" w:type="dxa"/>
            <w:left w:w="108" w:type="dxa"/>
            <w:bottom w:w="0" w:type="dxa"/>
            <w:right w:w="108" w:type="dxa"/>
          </w:tblCellMar>
        </w:tblPrEx>
        <w:trPr>
          <w:trHeight w:val="129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01D7458F">
            <w:pPr>
              <w:widowControl/>
              <w:jc w:val="center"/>
              <w:rPr>
                <w:rFonts w:ascii="宋体" w:hAnsi="宋体" w:eastAsia="宋体" w:cs="宋体"/>
                <w:kern w:val="0"/>
                <w:sz w:val="22"/>
              </w:rPr>
            </w:pPr>
            <w:r>
              <w:rPr>
                <w:rFonts w:hint="eastAsia" w:ascii="宋体" w:hAnsi="宋体" w:eastAsia="宋体" w:cs="宋体"/>
                <w:kern w:val="0"/>
                <w:sz w:val="22"/>
              </w:rPr>
              <w:t>70</w:t>
            </w:r>
          </w:p>
        </w:tc>
        <w:tc>
          <w:tcPr>
            <w:tcW w:w="234" w:type="pct"/>
            <w:vMerge w:val="continue"/>
            <w:tcBorders>
              <w:top w:val="nil"/>
              <w:left w:val="single" w:color="auto" w:sz="4" w:space="0"/>
              <w:bottom w:val="single" w:color="000000" w:sz="4" w:space="0"/>
              <w:right w:val="single" w:color="auto" w:sz="4" w:space="0"/>
            </w:tcBorders>
            <w:vAlign w:val="center"/>
          </w:tcPr>
          <w:p w14:paraId="64A366C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4DFC1D6A">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auto" w:fill="auto"/>
            <w:vAlign w:val="center"/>
          </w:tcPr>
          <w:p w14:paraId="003121A2">
            <w:pPr>
              <w:widowControl/>
              <w:jc w:val="center"/>
              <w:rPr>
                <w:rFonts w:ascii="宋体" w:hAnsi="宋体" w:eastAsia="宋体" w:cs="宋体"/>
                <w:kern w:val="0"/>
                <w:sz w:val="20"/>
                <w:szCs w:val="20"/>
              </w:rPr>
            </w:pPr>
            <w:r>
              <w:rPr>
                <w:rFonts w:hint="eastAsia" w:ascii="宋体" w:hAnsi="宋体" w:eastAsia="宋体" w:cs="宋体"/>
                <w:kern w:val="0"/>
                <w:sz w:val="20"/>
                <w:szCs w:val="20"/>
              </w:rPr>
              <w:t>办公音响系统</w:t>
            </w:r>
          </w:p>
        </w:tc>
        <w:tc>
          <w:tcPr>
            <w:tcW w:w="943" w:type="pct"/>
            <w:tcBorders>
              <w:top w:val="nil"/>
              <w:left w:val="nil"/>
              <w:bottom w:val="single" w:color="auto" w:sz="4" w:space="0"/>
              <w:right w:val="single" w:color="auto" w:sz="4" w:space="0"/>
            </w:tcBorders>
            <w:shd w:val="clear" w:color="000000" w:fill="FFFFFF"/>
            <w:vAlign w:val="center"/>
          </w:tcPr>
          <w:p w14:paraId="150A0CFF">
            <w:pPr>
              <w:widowControl/>
              <w:jc w:val="center"/>
              <w:rPr>
                <w:rFonts w:ascii="宋体" w:hAnsi="宋体" w:eastAsia="宋体" w:cs="宋体"/>
                <w:kern w:val="0"/>
                <w:sz w:val="20"/>
                <w:szCs w:val="20"/>
              </w:rPr>
            </w:pPr>
            <w:r>
              <w:rPr>
                <w:rFonts w:hint="eastAsia" w:ascii="宋体" w:hAnsi="宋体" w:eastAsia="宋体" w:cs="宋体"/>
                <w:kern w:val="0"/>
                <w:sz w:val="20"/>
                <w:szCs w:val="20"/>
              </w:rPr>
              <w:t>1、日常开关机：按要求对音响设备进行开关机操作并保障音响活动。</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2、应急处置：对巡检过程中发现的异常情况，采取有效措施进行处置。</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3、日常清洁：完成责任区域内的机房清洁工作。</w:t>
            </w:r>
          </w:p>
        </w:tc>
        <w:tc>
          <w:tcPr>
            <w:tcW w:w="1713" w:type="pct"/>
            <w:tcBorders>
              <w:top w:val="nil"/>
              <w:left w:val="nil"/>
              <w:bottom w:val="single" w:color="auto" w:sz="4" w:space="0"/>
              <w:right w:val="single" w:color="auto" w:sz="4" w:space="0"/>
            </w:tcBorders>
            <w:shd w:val="clear" w:color="000000" w:fill="FFFFFF"/>
            <w:noWrap/>
            <w:vAlign w:val="center"/>
          </w:tcPr>
          <w:p w14:paraId="4F1C4628">
            <w:pPr>
              <w:widowControl/>
              <w:jc w:val="center"/>
              <w:rPr>
                <w:rFonts w:ascii="宋体" w:hAnsi="宋体" w:eastAsia="宋体" w:cs="宋体"/>
                <w:kern w:val="0"/>
                <w:sz w:val="20"/>
                <w:szCs w:val="20"/>
              </w:rPr>
            </w:pPr>
            <w:r>
              <w:rPr>
                <w:rFonts w:hint="eastAsia" w:ascii="宋体" w:hAnsi="宋体" w:eastAsia="宋体" w:cs="宋体"/>
                <w:kern w:val="0"/>
                <w:sz w:val="20"/>
                <w:szCs w:val="20"/>
              </w:rPr>
              <w:t>经抽查，每有一处不符合标准扣0.5分</w:t>
            </w:r>
          </w:p>
        </w:tc>
        <w:tc>
          <w:tcPr>
            <w:tcW w:w="574" w:type="pct"/>
            <w:tcBorders>
              <w:top w:val="nil"/>
              <w:left w:val="nil"/>
              <w:bottom w:val="single" w:color="auto" w:sz="4" w:space="0"/>
              <w:right w:val="single" w:color="auto" w:sz="4" w:space="0"/>
            </w:tcBorders>
            <w:shd w:val="clear" w:color="000000" w:fill="FFFFFF"/>
            <w:noWrap/>
            <w:vAlign w:val="center"/>
          </w:tcPr>
          <w:p w14:paraId="7DBE7717">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3900A3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BE2FD23">
            <w:pPr>
              <w:widowControl/>
              <w:jc w:val="left"/>
              <w:rPr>
                <w:rFonts w:ascii="宋体" w:hAnsi="宋体" w:eastAsia="宋体" w:cs="宋体"/>
                <w:kern w:val="0"/>
                <w:sz w:val="22"/>
              </w:rPr>
            </w:pPr>
            <w:r>
              <w:rPr>
                <w:rFonts w:hint="eastAsia" w:ascii="宋体" w:hAnsi="宋体" w:eastAsia="宋体" w:cs="宋体"/>
                <w:kern w:val="0"/>
                <w:sz w:val="22"/>
              </w:rPr>
              <w:t>　</w:t>
            </w:r>
          </w:p>
        </w:tc>
      </w:tr>
      <w:tr w14:paraId="08606CE2">
        <w:tblPrEx>
          <w:tblCellMar>
            <w:top w:w="0" w:type="dxa"/>
            <w:left w:w="108" w:type="dxa"/>
            <w:bottom w:w="0" w:type="dxa"/>
            <w:right w:w="108" w:type="dxa"/>
          </w:tblCellMar>
        </w:tblPrEx>
        <w:trPr>
          <w:trHeight w:val="111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52DC1A62">
            <w:pPr>
              <w:widowControl/>
              <w:jc w:val="center"/>
              <w:rPr>
                <w:rFonts w:ascii="宋体" w:hAnsi="宋体" w:eastAsia="宋体" w:cs="宋体"/>
                <w:kern w:val="0"/>
                <w:sz w:val="22"/>
              </w:rPr>
            </w:pPr>
            <w:r>
              <w:rPr>
                <w:rFonts w:hint="eastAsia" w:ascii="宋体" w:hAnsi="宋体" w:eastAsia="宋体" w:cs="宋体"/>
                <w:kern w:val="0"/>
                <w:sz w:val="22"/>
              </w:rPr>
              <w:t>71</w:t>
            </w:r>
          </w:p>
        </w:tc>
        <w:tc>
          <w:tcPr>
            <w:tcW w:w="234" w:type="pct"/>
            <w:vMerge w:val="continue"/>
            <w:tcBorders>
              <w:top w:val="nil"/>
              <w:left w:val="single" w:color="auto" w:sz="4" w:space="0"/>
              <w:bottom w:val="single" w:color="000000" w:sz="4" w:space="0"/>
              <w:right w:val="single" w:color="auto" w:sz="4" w:space="0"/>
            </w:tcBorders>
            <w:vAlign w:val="center"/>
          </w:tcPr>
          <w:p w14:paraId="7356ADF6">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6FF41926">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auto" w:fill="auto"/>
            <w:vAlign w:val="center"/>
          </w:tcPr>
          <w:p w14:paraId="741B9D3B">
            <w:pPr>
              <w:widowControl/>
              <w:jc w:val="center"/>
              <w:rPr>
                <w:rFonts w:ascii="宋体" w:hAnsi="宋体" w:eastAsia="宋体" w:cs="宋体"/>
                <w:kern w:val="0"/>
                <w:sz w:val="20"/>
                <w:szCs w:val="20"/>
              </w:rPr>
            </w:pPr>
            <w:r>
              <w:rPr>
                <w:rFonts w:hint="eastAsia" w:ascii="宋体" w:hAnsi="宋体" w:eastAsia="宋体" w:cs="宋体"/>
                <w:kern w:val="0"/>
                <w:sz w:val="20"/>
                <w:szCs w:val="20"/>
              </w:rPr>
              <w:t>综合布线、信息终端、PC电脑和周边设备</w:t>
            </w:r>
          </w:p>
        </w:tc>
        <w:tc>
          <w:tcPr>
            <w:tcW w:w="943" w:type="pct"/>
            <w:tcBorders>
              <w:top w:val="nil"/>
              <w:left w:val="nil"/>
              <w:bottom w:val="single" w:color="auto" w:sz="4" w:space="0"/>
              <w:right w:val="single" w:color="auto" w:sz="4" w:space="0"/>
            </w:tcBorders>
            <w:shd w:val="clear" w:color="000000" w:fill="FFFFFF"/>
            <w:vAlign w:val="center"/>
          </w:tcPr>
          <w:p w14:paraId="79C238F0">
            <w:pPr>
              <w:widowControl/>
              <w:jc w:val="center"/>
              <w:rPr>
                <w:rFonts w:ascii="宋体" w:hAnsi="宋体" w:eastAsia="宋体" w:cs="宋体"/>
                <w:kern w:val="0"/>
                <w:sz w:val="20"/>
                <w:szCs w:val="20"/>
              </w:rPr>
            </w:pPr>
            <w:r>
              <w:rPr>
                <w:rFonts w:hint="eastAsia" w:ascii="宋体" w:hAnsi="宋体" w:eastAsia="宋体" w:cs="宋体"/>
                <w:kern w:val="0"/>
                <w:sz w:val="20"/>
                <w:szCs w:val="20"/>
              </w:rPr>
              <w:t>1、日常维护：按要求对线缆和端口进行铺设、巡线和安装。</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2、日常清洁：完成责任区域内的清洁工作并做好线缆的标签。</w:t>
            </w:r>
          </w:p>
        </w:tc>
        <w:tc>
          <w:tcPr>
            <w:tcW w:w="1713" w:type="pct"/>
            <w:tcBorders>
              <w:top w:val="nil"/>
              <w:left w:val="nil"/>
              <w:bottom w:val="single" w:color="auto" w:sz="4" w:space="0"/>
              <w:right w:val="single" w:color="auto" w:sz="4" w:space="0"/>
            </w:tcBorders>
            <w:shd w:val="clear" w:color="000000" w:fill="FFFFFF"/>
            <w:noWrap/>
            <w:vAlign w:val="center"/>
          </w:tcPr>
          <w:p w14:paraId="526975F8">
            <w:pPr>
              <w:widowControl/>
              <w:jc w:val="center"/>
              <w:rPr>
                <w:rFonts w:ascii="宋体" w:hAnsi="宋体" w:eastAsia="宋体" w:cs="宋体"/>
                <w:kern w:val="0"/>
                <w:sz w:val="20"/>
                <w:szCs w:val="20"/>
              </w:rPr>
            </w:pPr>
            <w:r>
              <w:rPr>
                <w:rFonts w:hint="eastAsia" w:ascii="宋体" w:hAnsi="宋体" w:eastAsia="宋体" w:cs="宋体"/>
                <w:kern w:val="0"/>
                <w:sz w:val="20"/>
                <w:szCs w:val="20"/>
              </w:rPr>
              <w:t>经抽查，每有一处不符合标准扣0.5分</w:t>
            </w:r>
          </w:p>
        </w:tc>
        <w:tc>
          <w:tcPr>
            <w:tcW w:w="574" w:type="pct"/>
            <w:tcBorders>
              <w:top w:val="nil"/>
              <w:left w:val="nil"/>
              <w:bottom w:val="single" w:color="auto" w:sz="4" w:space="0"/>
              <w:right w:val="single" w:color="auto" w:sz="4" w:space="0"/>
            </w:tcBorders>
            <w:shd w:val="clear" w:color="000000" w:fill="FFFFFF"/>
            <w:vAlign w:val="center"/>
          </w:tcPr>
          <w:p w14:paraId="24877A9C">
            <w:pPr>
              <w:widowControl/>
              <w:jc w:val="center"/>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971D7CD">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4147D97">
            <w:pPr>
              <w:widowControl/>
              <w:jc w:val="left"/>
              <w:rPr>
                <w:rFonts w:ascii="宋体" w:hAnsi="宋体" w:eastAsia="宋体" w:cs="宋体"/>
                <w:kern w:val="0"/>
                <w:sz w:val="22"/>
              </w:rPr>
            </w:pPr>
            <w:r>
              <w:rPr>
                <w:rFonts w:hint="eastAsia" w:ascii="宋体" w:hAnsi="宋体" w:eastAsia="宋体" w:cs="宋体"/>
                <w:kern w:val="0"/>
                <w:sz w:val="22"/>
              </w:rPr>
              <w:t>　</w:t>
            </w:r>
          </w:p>
        </w:tc>
      </w:tr>
      <w:tr w14:paraId="4C8A24A2">
        <w:tblPrEx>
          <w:tblCellMar>
            <w:top w:w="0" w:type="dxa"/>
            <w:left w:w="108" w:type="dxa"/>
            <w:bottom w:w="0" w:type="dxa"/>
            <w:right w:w="108" w:type="dxa"/>
          </w:tblCellMar>
        </w:tblPrEx>
        <w:trPr>
          <w:trHeight w:val="765"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431C004A">
            <w:pPr>
              <w:widowControl/>
              <w:jc w:val="center"/>
              <w:rPr>
                <w:rFonts w:ascii="宋体" w:hAnsi="宋体" w:eastAsia="宋体" w:cs="宋体"/>
                <w:kern w:val="0"/>
                <w:sz w:val="22"/>
              </w:rPr>
            </w:pPr>
            <w:r>
              <w:rPr>
                <w:rFonts w:hint="eastAsia" w:ascii="宋体" w:hAnsi="宋体" w:eastAsia="宋体" w:cs="宋体"/>
                <w:kern w:val="0"/>
                <w:sz w:val="22"/>
              </w:rPr>
              <w:t>72</w:t>
            </w:r>
          </w:p>
        </w:tc>
        <w:tc>
          <w:tcPr>
            <w:tcW w:w="234" w:type="pct"/>
            <w:vMerge w:val="continue"/>
            <w:tcBorders>
              <w:top w:val="nil"/>
              <w:left w:val="single" w:color="auto" w:sz="4" w:space="0"/>
              <w:bottom w:val="single" w:color="000000" w:sz="4" w:space="0"/>
              <w:right w:val="single" w:color="auto" w:sz="4" w:space="0"/>
            </w:tcBorders>
            <w:vAlign w:val="center"/>
          </w:tcPr>
          <w:p w14:paraId="59D9701D">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2A9C31C2">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auto" w:fill="auto"/>
            <w:vAlign w:val="center"/>
          </w:tcPr>
          <w:p w14:paraId="7C408C37">
            <w:pPr>
              <w:widowControl/>
              <w:jc w:val="center"/>
              <w:rPr>
                <w:rFonts w:ascii="宋体" w:hAnsi="宋体" w:eastAsia="宋体" w:cs="宋体"/>
                <w:kern w:val="0"/>
                <w:sz w:val="20"/>
                <w:szCs w:val="20"/>
              </w:rPr>
            </w:pPr>
            <w:r>
              <w:rPr>
                <w:rFonts w:hint="eastAsia" w:ascii="宋体" w:hAnsi="宋体" w:eastAsia="宋体" w:cs="宋体"/>
                <w:kern w:val="0"/>
                <w:sz w:val="20"/>
                <w:szCs w:val="20"/>
              </w:rPr>
              <w:t>弱电机房中的弱电设备</w:t>
            </w:r>
          </w:p>
        </w:tc>
        <w:tc>
          <w:tcPr>
            <w:tcW w:w="943" w:type="pct"/>
            <w:tcBorders>
              <w:top w:val="nil"/>
              <w:left w:val="nil"/>
              <w:bottom w:val="single" w:color="auto" w:sz="4" w:space="0"/>
              <w:right w:val="single" w:color="auto" w:sz="4" w:space="0"/>
            </w:tcBorders>
            <w:shd w:val="clear" w:color="000000" w:fill="FFFFFF"/>
            <w:vAlign w:val="center"/>
          </w:tcPr>
          <w:p w14:paraId="07CCB67D">
            <w:pPr>
              <w:widowControl/>
              <w:jc w:val="center"/>
              <w:rPr>
                <w:rFonts w:ascii="宋体" w:hAnsi="宋体" w:eastAsia="宋体" w:cs="宋体"/>
                <w:kern w:val="0"/>
                <w:sz w:val="20"/>
                <w:szCs w:val="20"/>
              </w:rPr>
            </w:pPr>
            <w:r>
              <w:rPr>
                <w:rFonts w:hint="eastAsia" w:ascii="宋体" w:hAnsi="宋体" w:eastAsia="宋体" w:cs="宋体"/>
                <w:kern w:val="0"/>
                <w:sz w:val="20"/>
                <w:szCs w:val="20"/>
              </w:rPr>
              <w:t>1、日常巡检和监控：对各系统的运行状态进行巡检，并做好记录。</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2、日常清洁：完成责任区域内的机房清洁工作。</w:t>
            </w:r>
          </w:p>
        </w:tc>
        <w:tc>
          <w:tcPr>
            <w:tcW w:w="1713" w:type="pct"/>
            <w:tcBorders>
              <w:top w:val="nil"/>
              <w:left w:val="nil"/>
              <w:bottom w:val="single" w:color="auto" w:sz="4" w:space="0"/>
              <w:right w:val="single" w:color="auto" w:sz="4" w:space="0"/>
            </w:tcBorders>
            <w:shd w:val="clear" w:color="000000" w:fill="FFFFFF"/>
            <w:noWrap/>
            <w:vAlign w:val="center"/>
          </w:tcPr>
          <w:p w14:paraId="1546F2B5">
            <w:pPr>
              <w:widowControl/>
              <w:jc w:val="center"/>
              <w:rPr>
                <w:rFonts w:ascii="宋体" w:hAnsi="宋体" w:eastAsia="宋体" w:cs="宋体"/>
                <w:kern w:val="0"/>
                <w:sz w:val="20"/>
                <w:szCs w:val="20"/>
              </w:rPr>
            </w:pPr>
            <w:r>
              <w:rPr>
                <w:rFonts w:hint="eastAsia" w:ascii="宋体" w:hAnsi="宋体" w:eastAsia="宋体" w:cs="宋体"/>
                <w:kern w:val="0"/>
                <w:sz w:val="20"/>
                <w:szCs w:val="20"/>
              </w:rPr>
              <w:t>经抽查，每有一处不符合标准扣0.5分</w:t>
            </w:r>
          </w:p>
        </w:tc>
        <w:tc>
          <w:tcPr>
            <w:tcW w:w="574" w:type="pct"/>
            <w:tcBorders>
              <w:top w:val="nil"/>
              <w:left w:val="nil"/>
              <w:bottom w:val="single" w:color="auto" w:sz="4" w:space="0"/>
              <w:right w:val="single" w:color="auto" w:sz="4" w:space="0"/>
            </w:tcBorders>
            <w:shd w:val="clear" w:color="000000" w:fill="FFFFFF"/>
            <w:noWrap/>
            <w:vAlign w:val="center"/>
          </w:tcPr>
          <w:p w14:paraId="6DEA3976">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C21D9D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F0B3CD3">
            <w:pPr>
              <w:widowControl/>
              <w:jc w:val="left"/>
              <w:rPr>
                <w:rFonts w:ascii="宋体" w:hAnsi="宋体" w:eastAsia="宋体" w:cs="宋体"/>
                <w:kern w:val="0"/>
                <w:sz w:val="22"/>
              </w:rPr>
            </w:pPr>
            <w:r>
              <w:rPr>
                <w:rFonts w:hint="eastAsia" w:ascii="宋体" w:hAnsi="宋体" w:eastAsia="宋体" w:cs="宋体"/>
                <w:kern w:val="0"/>
                <w:sz w:val="22"/>
              </w:rPr>
              <w:t>　</w:t>
            </w:r>
          </w:p>
        </w:tc>
      </w:tr>
      <w:tr w14:paraId="589E0B92">
        <w:tblPrEx>
          <w:tblCellMar>
            <w:top w:w="0" w:type="dxa"/>
            <w:left w:w="108" w:type="dxa"/>
            <w:bottom w:w="0" w:type="dxa"/>
            <w:right w:w="108" w:type="dxa"/>
          </w:tblCellMar>
        </w:tblPrEx>
        <w:trPr>
          <w:trHeight w:val="132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118980FE">
            <w:pPr>
              <w:widowControl/>
              <w:jc w:val="center"/>
              <w:rPr>
                <w:rFonts w:ascii="宋体" w:hAnsi="宋体" w:eastAsia="宋体" w:cs="宋体"/>
                <w:kern w:val="0"/>
                <w:sz w:val="22"/>
              </w:rPr>
            </w:pPr>
            <w:r>
              <w:rPr>
                <w:rFonts w:hint="eastAsia" w:ascii="宋体" w:hAnsi="宋体" w:eastAsia="宋体" w:cs="宋体"/>
                <w:kern w:val="0"/>
                <w:sz w:val="22"/>
              </w:rPr>
              <w:t>73</w:t>
            </w:r>
          </w:p>
        </w:tc>
        <w:tc>
          <w:tcPr>
            <w:tcW w:w="234" w:type="pct"/>
            <w:vMerge w:val="continue"/>
            <w:tcBorders>
              <w:top w:val="nil"/>
              <w:left w:val="single" w:color="auto" w:sz="4" w:space="0"/>
              <w:bottom w:val="single" w:color="000000" w:sz="4" w:space="0"/>
              <w:right w:val="single" w:color="auto" w:sz="4" w:space="0"/>
            </w:tcBorders>
            <w:vAlign w:val="center"/>
          </w:tcPr>
          <w:p w14:paraId="7058178E">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2FD5F7FE">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auto" w:fill="auto"/>
            <w:vAlign w:val="center"/>
          </w:tcPr>
          <w:p w14:paraId="0447559F">
            <w:pPr>
              <w:widowControl/>
              <w:jc w:val="center"/>
              <w:rPr>
                <w:rFonts w:ascii="宋体" w:hAnsi="宋体" w:eastAsia="宋体" w:cs="宋体"/>
                <w:kern w:val="0"/>
                <w:sz w:val="20"/>
                <w:szCs w:val="20"/>
              </w:rPr>
            </w:pPr>
            <w:r>
              <w:rPr>
                <w:rFonts w:hint="eastAsia" w:ascii="宋体" w:hAnsi="宋体" w:eastAsia="宋体" w:cs="宋体"/>
                <w:kern w:val="0"/>
                <w:sz w:val="20"/>
                <w:szCs w:val="20"/>
              </w:rPr>
              <w:t>基础能力及业务技能</w:t>
            </w:r>
          </w:p>
        </w:tc>
        <w:tc>
          <w:tcPr>
            <w:tcW w:w="943" w:type="pct"/>
            <w:tcBorders>
              <w:top w:val="nil"/>
              <w:left w:val="nil"/>
              <w:bottom w:val="single" w:color="auto" w:sz="4" w:space="0"/>
              <w:right w:val="single" w:color="auto" w:sz="4" w:space="0"/>
            </w:tcBorders>
            <w:shd w:val="clear" w:color="000000" w:fill="FFFFFF"/>
            <w:vAlign w:val="center"/>
          </w:tcPr>
          <w:p w14:paraId="3A50F3D3">
            <w:pPr>
              <w:widowControl/>
              <w:jc w:val="center"/>
              <w:rPr>
                <w:rFonts w:ascii="宋体" w:hAnsi="宋体" w:eastAsia="宋体" w:cs="宋体"/>
                <w:kern w:val="0"/>
                <w:sz w:val="20"/>
                <w:szCs w:val="20"/>
              </w:rPr>
            </w:pPr>
            <w:r>
              <w:rPr>
                <w:rFonts w:hint="eastAsia" w:ascii="宋体" w:hAnsi="宋体" w:eastAsia="宋体" w:cs="宋体"/>
                <w:kern w:val="0"/>
                <w:sz w:val="20"/>
                <w:szCs w:val="20"/>
              </w:rPr>
              <w:t>1、考核学习能力及解决故障的业务能力。</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2、熟练掌握水晶头制作、调音台操作、电话跳线以及设备连接等工作。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3、能按时按质完成工作。</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4、服从信息部下达的工作安排。</w:t>
            </w:r>
          </w:p>
        </w:tc>
        <w:tc>
          <w:tcPr>
            <w:tcW w:w="1713" w:type="pct"/>
            <w:tcBorders>
              <w:top w:val="nil"/>
              <w:left w:val="nil"/>
              <w:bottom w:val="single" w:color="auto" w:sz="4" w:space="0"/>
              <w:right w:val="single" w:color="auto" w:sz="4" w:space="0"/>
            </w:tcBorders>
            <w:shd w:val="clear" w:color="000000" w:fill="FFFFFF"/>
            <w:noWrap/>
            <w:vAlign w:val="center"/>
          </w:tcPr>
          <w:p w14:paraId="3B0BA38C">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每有一处不符合标准扣0.5分</w:t>
            </w:r>
          </w:p>
        </w:tc>
        <w:tc>
          <w:tcPr>
            <w:tcW w:w="574" w:type="pct"/>
            <w:tcBorders>
              <w:top w:val="nil"/>
              <w:left w:val="nil"/>
              <w:bottom w:val="single" w:color="auto" w:sz="4" w:space="0"/>
              <w:right w:val="single" w:color="auto" w:sz="4" w:space="0"/>
            </w:tcBorders>
            <w:shd w:val="clear" w:color="000000" w:fill="FFFFFF"/>
            <w:noWrap/>
            <w:vAlign w:val="center"/>
          </w:tcPr>
          <w:p w14:paraId="5FEB305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67B700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2047BD7">
            <w:pPr>
              <w:widowControl/>
              <w:jc w:val="left"/>
              <w:rPr>
                <w:rFonts w:ascii="宋体" w:hAnsi="宋体" w:eastAsia="宋体" w:cs="宋体"/>
                <w:kern w:val="0"/>
                <w:sz w:val="22"/>
              </w:rPr>
            </w:pPr>
            <w:r>
              <w:rPr>
                <w:rFonts w:hint="eastAsia" w:ascii="宋体" w:hAnsi="宋体" w:eastAsia="宋体" w:cs="宋体"/>
                <w:kern w:val="0"/>
                <w:sz w:val="22"/>
              </w:rPr>
              <w:t>　</w:t>
            </w:r>
          </w:p>
        </w:tc>
      </w:tr>
      <w:tr w14:paraId="77FE29B1">
        <w:tblPrEx>
          <w:tblCellMar>
            <w:top w:w="0" w:type="dxa"/>
            <w:left w:w="108" w:type="dxa"/>
            <w:bottom w:w="0" w:type="dxa"/>
            <w:right w:w="108" w:type="dxa"/>
          </w:tblCellMar>
        </w:tblPrEx>
        <w:trPr>
          <w:trHeight w:val="1575"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0C17FA86">
            <w:pPr>
              <w:widowControl/>
              <w:jc w:val="center"/>
              <w:rPr>
                <w:rFonts w:ascii="宋体" w:hAnsi="宋体" w:eastAsia="宋体" w:cs="宋体"/>
                <w:kern w:val="0"/>
                <w:sz w:val="22"/>
              </w:rPr>
            </w:pPr>
            <w:r>
              <w:rPr>
                <w:rFonts w:hint="eastAsia" w:ascii="宋体" w:hAnsi="宋体" w:eastAsia="宋体" w:cs="宋体"/>
                <w:kern w:val="0"/>
                <w:sz w:val="22"/>
              </w:rPr>
              <w:t>74</w:t>
            </w:r>
          </w:p>
        </w:tc>
        <w:tc>
          <w:tcPr>
            <w:tcW w:w="234" w:type="pct"/>
            <w:vMerge w:val="continue"/>
            <w:tcBorders>
              <w:top w:val="nil"/>
              <w:left w:val="single" w:color="auto" w:sz="4" w:space="0"/>
              <w:bottom w:val="single" w:color="000000" w:sz="4" w:space="0"/>
              <w:right w:val="single" w:color="auto" w:sz="4" w:space="0"/>
            </w:tcBorders>
            <w:vAlign w:val="center"/>
          </w:tcPr>
          <w:p w14:paraId="489B8CD7">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77D936A3">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auto" w:fill="auto"/>
            <w:vAlign w:val="center"/>
          </w:tcPr>
          <w:p w14:paraId="5A9E2EC4">
            <w:pPr>
              <w:widowControl/>
              <w:jc w:val="center"/>
              <w:rPr>
                <w:rFonts w:ascii="宋体" w:hAnsi="宋体" w:eastAsia="宋体" w:cs="宋体"/>
                <w:kern w:val="0"/>
                <w:sz w:val="20"/>
                <w:szCs w:val="20"/>
              </w:rPr>
            </w:pPr>
            <w:r>
              <w:rPr>
                <w:rFonts w:hint="eastAsia" w:ascii="宋体" w:hAnsi="宋体" w:eastAsia="宋体" w:cs="宋体"/>
                <w:kern w:val="0"/>
                <w:sz w:val="20"/>
                <w:szCs w:val="20"/>
              </w:rPr>
              <w:t>责任感、工作态度及协调性</w:t>
            </w:r>
          </w:p>
        </w:tc>
        <w:tc>
          <w:tcPr>
            <w:tcW w:w="943" w:type="pct"/>
            <w:tcBorders>
              <w:top w:val="nil"/>
              <w:left w:val="nil"/>
              <w:bottom w:val="single" w:color="auto" w:sz="4" w:space="0"/>
              <w:right w:val="single" w:color="auto" w:sz="4" w:space="0"/>
            </w:tcBorders>
            <w:shd w:val="clear" w:color="000000" w:fill="FFFFFF"/>
            <w:vAlign w:val="center"/>
          </w:tcPr>
          <w:p w14:paraId="42B9896C">
            <w:pPr>
              <w:widowControl/>
              <w:jc w:val="center"/>
              <w:rPr>
                <w:rFonts w:ascii="宋体" w:hAnsi="宋体" w:eastAsia="宋体" w:cs="宋体"/>
                <w:kern w:val="0"/>
                <w:sz w:val="20"/>
                <w:szCs w:val="20"/>
              </w:rPr>
            </w:pPr>
            <w:r>
              <w:rPr>
                <w:rFonts w:hint="eastAsia" w:ascii="宋体" w:hAnsi="宋体" w:eastAsia="宋体" w:cs="宋体"/>
                <w:kern w:val="0"/>
                <w:sz w:val="20"/>
                <w:szCs w:val="20"/>
              </w:rPr>
              <w:t>1、工作责任心强，工作态度陈恳。</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2、工作积极面对，守时守规。</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3、工作不偷懒、不懈怠。</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4、重视与同事之间协调配合工作。</w:t>
            </w:r>
          </w:p>
        </w:tc>
        <w:tc>
          <w:tcPr>
            <w:tcW w:w="1713" w:type="pct"/>
            <w:tcBorders>
              <w:top w:val="nil"/>
              <w:left w:val="nil"/>
              <w:bottom w:val="single" w:color="auto" w:sz="4" w:space="0"/>
              <w:right w:val="single" w:color="auto" w:sz="4" w:space="0"/>
            </w:tcBorders>
            <w:shd w:val="clear" w:color="000000" w:fill="FFFFFF"/>
            <w:noWrap/>
            <w:vAlign w:val="center"/>
          </w:tcPr>
          <w:p w14:paraId="4A115CFD">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每有一处不符合标准扣0.5分</w:t>
            </w:r>
          </w:p>
        </w:tc>
        <w:tc>
          <w:tcPr>
            <w:tcW w:w="574" w:type="pct"/>
            <w:tcBorders>
              <w:top w:val="nil"/>
              <w:left w:val="nil"/>
              <w:bottom w:val="single" w:color="auto" w:sz="4" w:space="0"/>
              <w:right w:val="single" w:color="auto" w:sz="4" w:space="0"/>
            </w:tcBorders>
            <w:shd w:val="clear" w:color="000000" w:fill="FFFFFF"/>
            <w:vAlign w:val="center"/>
          </w:tcPr>
          <w:p w14:paraId="34909ED9">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7AEE5FC">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20CD1DD">
            <w:pPr>
              <w:widowControl/>
              <w:jc w:val="left"/>
              <w:rPr>
                <w:rFonts w:ascii="宋体" w:hAnsi="宋体" w:eastAsia="宋体" w:cs="宋体"/>
                <w:kern w:val="0"/>
                <w:sz w:val="22"/>
              </w:rPr>
            </w:pPr>
            <w:r>
              <w:rPr>
                <w:rFonts w:hint="eastAsia" w:ascii="宋体" w:hAnsi="宋体" w:eastAsia="宋体" w:cs="宋体"/>
                <w:kern w:val="0"/>
                <w:sz w:val="22"/>
              </w:rPr>
              <w:t>　</w:t>
            </w:r>
          </w:p>
        </w:tc>
      </w:tr>
      <w:tr w14:paraId="2D1EF55E">
        <w:tblPrEx>
          <w:tblCellMar>
            <w:top w:w="0" w:type="dxa"/>
            <w:left w:w="108" w:type="dxa"/>
            <w:bottom w:w="0" w:type="dxa"/>
            <w:right w:w="108" w:type="dxa"/>
          </w:tblCellMar>
        </w:tblPrEx>
        <w:trPr>
          <w:trHeight w:val="945"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4D4C4EF8">
            <w:pPr>
              <w:widowControl/>
              <w:jc w:val="center"/>
              <w:rPr>
                <w:rFonts w:ascii="宋体" w:hAnsi="宋体" w:eastAsia="宋体" w:cs="宋体"/>
                <w:kern w:val="0"/>
                <w:sz w:val="22"/>
              </w:rPr>
            </w:pPr>
            <w:r>
              <w:rPr>
                <w:rFonts w:hint="eastAsia" w:ascii="宋体" w:hAnsi="宋体" w:eastAsia="宋体" w:cs="宋体"/>
                <w:kern w:val="0"/>
                <w:sz w:val="22"/>
              </w:rPr>
              <w:t>75</w:t>
            </w:r>
          </w:p>
        </w:tc>
        <w:tc>
          <w:tcPr>
            <w:tcW w:w="234" w:type="pct"/>
            <w:vMerge w:val="restart"/>
            <w:tcBorders>
              <w:top w:val="nil"/>
              <w:left w:val="single" w:color="auto" w:sz="4" w:space="0"/>
              <w:bottom w:val="single" w:color="auto" w:sz="4" w:space="0"/>
              <w:right w:val="single" w:color="auto" w:sz="4" w:space="0"/>
            </w:tcBorders>
            <w:shd w:val="clear" w:color="000000" w:fill="FFFFFF"/>
            <w:vAlign w:val="center"/>
          </w:tcPr>
          <w:p w14:paraId="4FCBDDE2">
            <w:pPr>
              <w:widowControl/>
              <w:jc w:val="center"/>
              <w:rPr>
                <w:rFonts w:ascii="宋体" w:hAnsi="宋体" w:eastAsia="宋体" w:cs="宋体"/>
                <w:b/>
                <w:bCs/>
                <w:kern w:val="0"/>
                <w:sz w:val="22"/>
              </w:rPr>
            </w:pPr>
            <w:r>
              <w:rPr>
                <w:rFonts w:hint="eastAsia" w:ascii="宋体" w:hAnsi="宋体" w:eastAsia="宋体" w:cs="宋体"/>
                <w:b/>
                <w:bCs/>
                <w:kern w:val="0"/>
                <w:sz w:val="22"/>
              </w:rPr>
              <w:t>环境保洁板块</w:t>
            </w:r>
          </w:p>
        </w:tc>
        <w:tc>
          <w:tcPr>
            <w:tcW w:w="275" w:type="pct"/>
            <w:vMerge w:val="restart"/>
            <w:tcBorders>
              <w:top w:val="nil"/>
              <w:left w:val="single" w:color="auto" w:sz="4" w:space="0"/>
              <w:bottom w:val="single" w:color="000000" w:sz="4" w:space="0"/>
              <w:right w:val="single" w:color="auto" w:sz="4" w:space="0"/>
            </w:tcBorders>
            <w:shd w:val="clear" w:color="000000" w:fill="FFFFFF"/>
            <w:vAlign w:val="center"/>
          </w:tcPr>
          <w:p w14:paraId="036879EC">
            <w:pPr>
              <w:widowControl/>
              <w:jc w:val="center"/>
              <w:rPr>
                <w:rFonts w:ascii="宋体" w:hAnsi="宋体" w:eastAsia="宋体" w:cs="宋体"/>
                <w:kern w:val="0"/>
                <w:sz w:val="22"/>
              </w:rPr>
            </w:pPr>
            <w:r>
              <w:rPr>
                <w:rFonts w:hint="eastAsia" w:ascii="宋体" w:hAnsi="宋体" w:eastAsia="宋体" w:cs="宋体"/>
                <w:kern w:val="0"/>
                <w:sz w:val="22"/>
              </w:rPr>
              <w:t>物业管理部环境卫生条线</w:t>
            </w:r>
          </w:p>
        </w:tc>
        <w:tc>
          <w:tcPr>
            <w:tcW w:w="397" w:type="pct"/>
            <w:tcBorders>
              <w:top w:val="nil"/>
              <w:left w:val="nil"/>
              <w:bottom w:val="single" w:color="auto" w:sz="4" w:space="0"/>
              <w:right w:val="single" w:color="auto" w:sz="4" w:space="0"/>
            </w:tcBorders>
            <w:shd w:val="clear" w:color="000000" w:fill="FFFFFF"/>
            <w:vAlign w:val="center"/>
          </w:tcPr>
          <w:p w14:paraId="11211D1C">
            <w:pPr>
              <w:widowControl/>
              <w:jc w:val="center"/>
              <w:rPr>
                <w:rFonts w:ascii="宋体" w:hAnsi="宋体" w:eastAsia="宋体" w:cs="宋体"/>
                <w:kern w:val="0"/>
                <w:sz w:val="20"/>
                <w:szCs w:val="20"/>
              </w:rPr>
            </w:pPr>
            <w:r>
              <w:rPr>
                <w:rFonts w:hint="eastAsia" w:ascii="宋体" w:hAnsi="宋体" w:eastAsia="宋体" w:cs="宋体"/>
                <w:kern w:val="0"/>
                <w:sz w:val="20"/>
                <w:szCs w:val="20"/>
              </w:rPr>
              <w:t>办公区域清洁</w:t>
            </w:r>
          </w:p>
        </w:tc>
        <w:tc>
          <w:tcPr>
            <w:tcW w:w="943" w:type="pct"/>
            <w:tcBorders>
              <w:top w:val="nil"/>
              <w:left w:val="nil"/>
              <w:bottom w:val="single" w:color="auto" w:sz="4" w:space="0"/>
              <w:right w:val="single" w:color="auto" w:sz="4" w:space="0"/>
            </w:tcBorders>
            <w:shd w:val="clear" w:color="000000" w:fill="FFFFFF"/>
            <w:vAlign w:val="center"/>
          </w:tcPr>
          <w:p w14:paraId="09EB6BDF">
            <w:pPr>
              <w:widowControl/>
              <w:jc w:val="center"/>
              <w:rPr>
                <w:rFonts w:ascii="宋体" w:hAnsi="宋体" w:eastAsia="宋体" w:cs="宋体"/>
                <w:kern w:val="0"/>
                <w:sz w:val="20"/>
                <w:szCs w:val="20"/>
              </w:rPr>
            </w:pPr>
            <w:r>
              <w:rPr>
                <w:rFonts w:hint="eastAsia" w:ascii="宋体" w:hAnsi="宋体" w:eastAsia="宋体" w:cs="宋体"/>
                <w:kern w:val="0"/>
                <w:sz w:val="20"/>
                <w:szCs w:val="20"/>
              </w:rPr>
              <w:t>地面、墙面、玻璃干净、无污迹；                          办公桌无积尘；                                    卫生间无异味，及时添加擦手纸。</w:t>
            </w:r>
          </w:p>
        </w:tc>
        <w:tc>
          <w:tcPr>
            <w:tcW w:w="1713" w:type="pct"/>
            <w:tcBorders>
              <w:top w:val="nil"/>
              <w:left w:val="nil"/>
              <w:bottom w:val="single" w:color="auto" w:sz="4" w:space="0"/>
              <w:right w:val="single" w:color="auto" w:sz="4" w:space="0"/>
            </w:tcBorders>
            <w:shd w:val="clear" w:color="000000" w:fill="FFFFFF"/>
            <w:vAlign w:val="center"/>
          </w:tcPr>
          <w:p w14:paraId="4D49F107">
            <w:pPr>
              <w:widowControl/>
              <w:jc w:val="center"/>
              <w:rPr>
                <w:rFonts w:ascii="宋体" w:hAnsi="宋体" w:eastAsia="宋体" w:cs="宋体"/>
                <w:kern w:val="0"/>
                <w:sz w:val="20"/>
                <w:szCs w:val="20"/>
              </w:rPr>
            </w:pPr>
            <w:r>
              <w:rPr>
                <w:rFonts w:hint="eastAsia" w:ascii="宋体" w:hAnsi="宋体" w:eastAsia="宋体" w:cs="宋体"/>
                <w:kern w:val="0"/>
                <w:sz w:val="20"/>
                <w:szCs w:val="20"/>
              </w:rPr>
              <w:t>不符合标准发现一处扣1分</w:t>
            </w:r>
          </w:p>
        </w:tc>
        <w:tc>
          <w:tcPr>
            <w:tcW w:w="574" w:type="pct"/>
            <w:tcBorders>
              <w:top w:val="nil"/>
              <w:left w:val="nil"/>
              <w:bottom w:val="single" w:color="auto" w:sz="4" w:space="0"/>
              <w:right w:val="single" w:color="auto" w:sz="4" w:space="0"/>
            </w:tcBorders>
            <w:shd w:val="clear" w:color="000000" w:fill="FFFFFF"/>
            <w:noWrap/>
            <w:vAlign w:val="center"/>
          </w:tcPr>
          <w:p w14:paraId="441F9081">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4F51E07">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93E8B4A">
            <w:pPr>
              <w:widowControl/>
              <w:jc w:val="left"/>
              <w:rPr>
                <w:rFonts w:ascii="宋体" w:hAnsi="宋体" w:eastAsia="宋体" w:cs="宋体"/>
                <w:kern w:val="0"/>
                <w:sz w:val="22"/>
              </w:rPr>
            </w:pPr>
            <w:r>
              <w:rPr>
                <w:rFonts w:hint="eastAsia" w:ascii="宋体" w:hAnsi="宋体" w:eastAsia="宋体" w:cs="宋体"/>
                <w:kern w:val="0"/>
                <w:sz w:val="22"/>
              </w:rPr>
              <w:t>　</w:t>
            </w:r>
          </w:p>
        </w:tc>
      </w:tr>
      <w:tr w14:paraId="76EFCB51">
        <w:tblPrEx>
          <w:tblCellMar>
            <w:top w:w="0" w:type="dxa"/>
            <w:left w:w="108" w:type="dxa"/>
            <w:bottom w:w="0" w:type="dxa"/>
            <w:right w:w="108" w:type="dxa"/>
          </w:tblCellMar>
        </w:tblPrEx>
        <w:trPr>
          <w:trHeight w:val="945"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E4AEDAE">
            <w:pPr>
              <w:widowControl/>
              <w:jc w:val="center"/>
              <w:rPr>
                <w:rFonts w:ascii="宋体" w:hAnsi="宋体" w:eastAsia="宋体" w:cs="宋体"/>
                <w:kern w:val="0"/>
                <w:sz w:val="22"/>
              </w:rPr>
            </w:pPr>
            <w:r>
              <w:rPr>
                <w:rFonts w:hint="eastAsia" w:ascii="宋体" w:hAnsi="宋体" w:eastAsia="宋体" w:cs="宋体"/>
                <w:kern w:val="0"/>
                <w:sz w:val="22"/>
              </w:rPr>
              <w:t>76</w:t>
            </w:r>
          </w:p>
        </w:tc>
        <w:tc>
          <w:tcPr>
            <w:tcW w:w="234" w:type="pct"/>
            <w:vMerge w:val="continue"/>
            <w:tcBorders>
              <w:top w:val="nil"/>
              <w:left w:val="single" w:color="auto" w:sz="4" w:space="0"/>
              <w:bottom w:val="single" w:color="auto" w:sz="4" w:space="0"/>
              <w:right w:val="single" w:color="auto" w:sz="4" w:space="0"/>
            </w:tcBorders>
            <w:vAlign w:val="center"/>
          </w:tcPr>
          <w:p w14:paraId="619C8D55">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1C0B7A3E">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3E1F1D93">
            <w:pPr>
              <w:widowControl/>
              <w:jc w:val="center"/>
              <w:rPr>
                <w:rFonts w:ascii="宋体" w:hAnsi="宋体" w:eastAsia="宋体" w:cs="宋体"/>
                <w:kern w:val="0"/>
                <w:sz w:val="20"/>
                <w:szCs w:val="20"/>
              </w:rPr>
            </w:pPr>
            <w:r>
              <w:rPr>
                <w:rFonts w:hint="eastAsia" w:ascii="宋体" w:hAnsi="宋体" w:eastAsia="宋体" w:cs="宋体"/>
                <w:kern w:val="0"/>
                <w:sz w:val="20"/>
                <w:szCs w:val="20"/>
              </w:rPr>
              <w:t>展区清洁</w:t>
            </w:r>
          </w:p>
        </w:tc>
        <w:tc>
          <w:tcPr>
            <w:tcW w:w="943" w:type="pct"/>
            <w:tcBorders>
              <w:top w:val="nil"/>
              <w:left w:val="nil"/>
              <w:bottom w:val="single" w:color="auto" w:sz="4" w:space="0"/>
              <w:right w:val="single" w:color="auto" w:sz="4" w:space="0"/>
            </w:tcBorders>
            <w:shd w:val="clear" w:color="000000" w:fill="FFFFFF"/>
            <w:vAlign w:val="center"/>
          </w:tcPr>
          <w:p w14:paraId="6AA7AAE3">
            <w:pPr>
              <w:widowControl/>
              <w:jc w:val="center"/>
              <w:rPr>
                <w:rFonts w:ascii="宋体" w:hAnsi="宋体" w:eastAsia="宋体" w:cs="宋体"/>
                <w:kern w:val="0"/>
                <w:sz w:val="20"/>
                <w:szCs w:val="20"/>
              </w:rPr>
            </w:pPr>
            <w:r>
              <w:rPr>
                <w:rFonts w:hint="eastAsia" w:ascii="宋体" w:hAnsi="宋体" w:eastAsia="宋体" w:cs="宋体"/>
                <w:kern w:val="0"/>
                <w:sz w:val="20"/>
                <w:szCs w:val="20"/>
              </w:rPr>
              <w:t>展区地面、墙面、天花板干净、无污迹、无水迹；卫生间无异味、洁具光亮，及时添加擦手纸；影院地毯无明显污渍等。</w:t>
            </w:r>
          </w:p>
        </w:tc>
        <w:tc>
          <w:tcPr>
            <w:tcW w:w="1713" w:type="pct"/>
            <w:tcBorders>
              <w:top w:val="nil"/>
              <w:left w:val="nil"/>
              <w:bottom w:val="single" w:color="auto" w:sz="4" w:space="0"/>
              <w:right w:val="single" w:color="auto" w:sz="4" w:space="0"/>
            </w:tcBorders>
            <w:shd w:val="clear" w:color="000000" w:fill="FFFFFF"/>
            <w:vAlign w:val="center"/>
          </w:tcPr>
          <w:p w14:paraId="3DF1BA02">
            <w:pPr>
              <w:widowControl/>
              <w:jc w:val="center"/>
              <w:rPr>
                <w:rFonts w:ascii="宋体" w:hAnsi="宋体" w:eastAsia="宋体" w:cs="宋体"/>
                <w:kern w:val="0"/>
                <w:sz w:val="20"/>
                <w:szCs w:val="20"/>
              </w:rPr>
            </w:pPr>
            <w:r>
              <w:rPr>
                <w:rFonts w:hint="eastAsia" w:ascii="宋体" w:hAnsi="宋体" w:eastAsia="宋体" w:cs="宋体"/>
                <w:kern w:val="0"/>
                <w:sz w:val="20"/>
                <w:szCs w:val="20"/>
              </w:rPr>
              <w:t>不符合标准发现一处扣1分</w:t>
            </w:r>
          </w:p>
        </w:tc>
        <w:tc>
          <w:tcPr>
            <w:tcW w:w="574" w:type="pct"/>
            <w:tcBorders>
              <w:top w:val="nil"/>
              <w:left w:val="nil"/>
              <w:bottom w:val="single" w:color="auto" w:sz="4" w:space="0"/>
              <w:right w:val="single" w:color="auto" w:sz="4" w:space="0"/>
            </w:tcBorders>
            <w:shd w:val="clear" w:color="000000" w:fill="FFFFFF"/>
            <w:noWrap/>
            <w:vAlign w:val="center"/>
          </w:tcPr>
          <w:p w14:paraId="0795FCB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C19DF7E">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9877FD9">
            <w:pPr>
              <w:widowControl/>
              <w:jc w:val="left"/>
              <w:rPr>
                <w:rFonts w:ascii="宋体" w:hAnsi="宋体" w:eastAsia="宋体" w:cs="宋体"/>
                <w:kern w:val="0"/>
                <w:sz w:val="22"/>
              </w:rPr>
            </w:pPr>
            <w:r>
              <w:rPr>
                <w:rFonts w:hint="eastAsia" w:ascii="宋体" w:hAnsi="宋体" w:eastAsia="宋体" w:cs="宋体"/>
                <w:kern w:val="0"/>
                <w:sz w:val="22"/>
              </w:rPr>
              <w:t>　</w:t>
            </w:r>
          </w:p>
        </w:tc>
      </w:tr>
      <w:tr w14:paraId="597A8274">
        <w:tblPrEx>
          <w:tblCellMar>
            <w:top w:w="0" w:type="dxa"/>
            <w:left w:w="108" w:type="dxa"/>
            <w:bottom w:w="0" w:type="dxa"/>
            <w:right w:w="108" w:type="dxa"/>
          </w:tblCellMar>
        </w:tblPrEx>
        <w:trPr>
          <w:trHeight w:val="120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5896804C">
            <w:pPr>
              <w:widowControl/>
              <w:jc w:val="center"/>
              <w:rPr>
                <w:rFonts w:ascii="宋体" w:hAnsi="宋体" w:eastAsia="宋体" w:cs="宋体"/>
                <w:kern w:val="0"/>
                <w:sz w:val="22"/>
              </w:rPr>
            </w:pPr>
            <w:r>
              <w:rPr>
                <w:rFonts w:hint="eastAsia" w:ascii="宋体" w:hAnsi="宋体" w:eastAsia="宋体" w:cs="宋体"/>
                <w:kern w:val="0"/>
                <w:sz w:val="22"/>
              </w:rPr>
              <w:t>77</w:t>
            </w:r>
          </w:p>
        </w:tc>
        <w:tc>
          <w:tcPr>
            <w:tcW w:w="234" w:type="pct"/>
            <w:vMerge w:val="continue"/>
            <w:tcBorders>
              <w:top w:val="nil"/>
              <w:left w:val="single" w:color="auto" w:sz="4" w:space="0"/>
              <w:bottom w:val="single" w:color="auto" w:sz="4" w:space="0"/>
              <w:right w:val="single" w:color="auto" w:sz="4" w:space="0"/>
            </w:tcBorders>
            <w:vAlign w:val="center"/>
          </w:tcPr>
          <w:p w14:paraId="10911966">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1708F090">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0A5B6A26">
            <w:pPr>
              <w:widowControl/>
              <w:jc w:val="center"/>
              <w:rPr>
                <w:rFonts w:ascii="宋体" w:hAnsi="宋体" w:eastAsia="宋体" w:cs="宋体"/>
                <w:kern w:val="0"/>
                <w:sz w:val="20"/>
                <w:szCs w:val="20"/>
              </w:rPr>
            </w:pPr>
            <w:r>
              <w:rPr>
                <w:rFonts w:hint="eastAsia" w:ascii="宋体" w:hAnsi="宋体" w:eastAsia="宋体" w:cs="宋体"/>
                <w:kern w:val="0"/>
                <w:sz w:val="20"/>
                <w:szCs w:val="20"/>
              </w:rPr>
              <w:t>区域大清洁</w:t>
            </w:r>
          </w:p>
        </w:tc>
        <w:tc>
          <w:tcPr>
            <w:tcW w:w="943" w:type="pct"/>
            <w:tcBorders>
              <w:top w:val="nil"/>
              <w:left w:val="nil"/>
              <w:bottom w:val="single" w:color="auto" w:sz="4" w:space="0"/>
              <w:right w:val="single" w:color="auto" w:sz="4" w:space="0"/>
            </w:tcBorders>
            <w:shd w:val="clear" w:color="000000" w:fill="FFFFFF"/>
            <w:vAlign w:val="center"/>
          </w:tcPr>
          <w:p w14:paraId="35C6D2A1">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玻璃门、自动电梯、电梯轿厢、天花板、告示牌、风口、网架、亲水平台水域、通道、各类标识、外围展品等，无污迹、无积灰、干净、明亮、无蛛网、无坠挂物、无乱堆、乱放；近水域清洁，无杂物。            </w:t>
            </w:r>
          </w:p>
        </w:tc>
        <w:tc>
          <w:tcPr>
            <w:tcW w:w="1713" w:type="pct"/>
            <w:tcBorders>
              <w:top w:val="nil"/>
              <w:left w:val="nil"/>
              <w:bottom w:val="single" w:color="auto" w:sz="4" w:space="0"/>
              <w:right w:val="single" w:color="auto" w:sz="4" w:space="0"/>
            </w:tcBorders>
            <w:shd w:val="clear" w:color="000000" w:fill="FFFFFF"/>
            <w:vAlign w:val="center"/>
          </w:tcPr>
          <w:p w14:paraId="60CC7125">
            <w:pPr>
              <w:widowControl/>
              <w:jc w:val="center"/>
              <w:rPr>
                <w:rFonts w:ascii="宋体" w:hAnsi="宋体" w:eastAsia="宋体" w:cs="宋体"/>
                <w:kern w:val="0"/>
                <w:sz w:val="20"/>
                <w:szCs w:val="20"/>
              </w:rPr>
            </w:pPr>
            <w:r>
              <w:rPr>
                <w:rFonts w:hint="eastAsia" w:ascii="宋体" w:hAnsi="宋体" w:eastAsia="宋体" w:cs="宋体"/>
                <w:kern w:val="0"/>
                <w:sz w:val="20"/>
                <w:szCs w:val="20"/>
              </w:rPr>
              <w:t>不符合标准发现一处扣1分</w:t>
            </w:r>
          </w:p>
        </w:tc>
        <w:tc>
          <w:tcPr>
            <w:tcW w:w="574" w:type="pct"/>
            <w:tcBorders>
              <w:top w:val="nil"/>
              <w:left w:val="nil"/>
              <w:bottom w:val="single" w:color="auto" w:sz="4" w:space="0"/>
              <w:right w:val="single" w:color="auto" w:sz="4" w:space="0"/>
            </w:tcBorders>
            <w:shd w:val="clear" w:color="000000" w:fill="FFFFFF"/>
            <w:noWrap/>
            <w:vAlign w:val="center"/>
          </w:tcPr>
          <w:p w14:paraId="48DFF5BB">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075048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447F883">
            <w:pPr>
              <w:widowControl/>
              <w:jc w:val="left"/>
              <w:rPr>
                <w:rFonts w:ascii="宋体" w:hAnsi="宋体" w:eastAsia="宋体" w:cs="宋体"/>
                <w:kern w:val="0"/>
                <w:sz w:val="22"/>
              </w:rPr>
            </w:pPr>
            <w:r>
              <w:rPr>
                <w:rFonts w:hint="eastAsia" w:ascii="宋体" w:hAnsi="宋体" w:eastAsia="宋体" w:cs="宋体"/>
                <w:kern w:val="0"/>
                <w:sz w:val="22"/>
              </w:rPr>
              <w:t>　</w:t>
            </w:r>
          </w:p>
        </w:tc>
      </w:tr>
      <w:tr w14:paraId="39C309CD">
        <w:tblPrEx>
          <w:tblCellMar>
            <w:top w:w="0" w:type="dxa"/>
            <w:left w:w="108" w:type="dxa"/>
            <w:bottom w:w="0" w:type="dxa"/>
            <w:right w:w="108" w:type="dxa"/>
          </w:tblCellMar>
        </w:tblPrEx>
        <w:trPr>
          <w:trHeight w:val="9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10B515F7">
            <w:pPr>
              <w:widowControl/>
              <w:jc w:val="center"/>
              <w:rPr>
                <w:rFonts w:ascii="宋体" w:hAnsi="宋体" w:eastAsia="宋体" w:cs="宋体"/>
                <w:kern w:val="0"/>
                <w:sz w:val="22"/>
              </w:rPr>
            </w:pPr>
            <w:r>
              <w:rPr>
                <w:rFonts w:hint="eastAsia" w:ascii="宋体" w:hAnsi="宋体" w:eastAsia="宋体" w:cs="宋体"/>
                <w:kern w:val="0"/>
                <w:sz w:val="22"/>
              </w:rPr>
              <w:t>78</w:t>
            </w:r>
          </w:p>
        </w:tc>
        <w:tc>
          <w:tcPr>
            <w:tcW w:w="234" w:type="pct"/>
            <w:vMerge w:val="continue"/>
            <w:tcBorders>
              <w:top w:val="nil"/>
              <w:left w:val="single" w:color="auto" w:sz="4" w:space="0"/>
              <w:bottom w:val="single" w:color="auto" w:sz="4" w:space="0"/>
              <w:right w:val="single" w:color="auto" w:sz="4" w:space="0"/>
            </w:tcBorders>
            <w:vAlign w:val="center"/>
          </w:tcPr>
          <w:p w14:paraId="10FD898B">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41B54851">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4D8F0E44">
            <w:pPr>
              <w:widowControl/>
              <w:jc w:val="center"/>
              <w:rPr>
                <w:rFonts w:ascii="宋体" w:hAnsi="宋体" w:eastAsia="宋体" w:cs="宋体"/>
                <w:kern w:val="0"/>
                <w:sz w:val="20"/>
                <w:szCs w:val="20"/>
              </w:rPr>
            </w:pPr>
            <w:r>
              <w:rPr>
                <w:rFonts w:hint="eastAsia" w:ascii="宋体" w:hAnsi="宋体" w:eastAsia="宋体" w:cs="宋体"/>
                <w:kern w:val="0"/>
                <w:sz w:val="20"/>
                <w:szCs w:val="20"/>
              </w:rPr>
              <w:t>虫害控制</w:t>
            </w:r>
          </w:p>
        </w:tc>
        <w:tc>
          <w:tcPr>
            <w:tcW w:w="943" w:type="pct"/>
            <w:tcBorders>
              <w:top w:val="nil"/>
              <w:left w:val="nil"/>
              <w:bottom w:val="single" w:color="auto" w:sz="4" w:space="0"/>
              <w:right w:val="single" w:color="auto" w:sz="4" w:space="0"/>
            </w:tcBorders>
            <w:shd w:val="clear" w:color="000000" w:fill="FFFFFF"/>
            <w:vAlign w:val="center"/>
          </w:tcPr>
          <w:p w14:paraId="06970C27">
            <w:pPr>
              <w:widowControl/>
              <w:jc w:val="center"/>
              <w:rPr>
                <w:rFonts w:ascii="宋体" w:hAnsi="宋体" w:eastAsia="宋体" w:cs="宋体"/>
                <w:kern w:val="0"/>
                <w:sz w:val="20"/>
                <w:szCs w:val="20"/>
              </w:rPr>
            </w:pPr>
            <w:r>
              <w:rPr>
                <w:rFonts w:hint="eastAsia" w:ascii="宋体" w:hAnsi="宋体" w:eastAsia="宋体" w:cs="宋体"/>
                <w:kern w:val="0"/>
                <w:sz w:val="20"/>
                <w:szCs w:val="20"/>
              </w:rPr>
              <w:t>对“虫害治理”外包公司的工作进行监管、检查和考核，重点控制老鼠、蚊蝇和蟑螂的密度，每半年进行鼠密度测试，做好虫害预防工作，确保“虫害控制”工作达到上海市标准。</w:t>
            </w:r>
          </w:p>
        </w:tc>
        <w:tc>
          <w:tcPr>
            <w:tcW w:w="1713" w:type="pct"/>
            <w:tcBorders>
              <w:top w:val="nil"/>
              <w:left w:val="nil"/>
              <w:bottom w:val="single" w:color="auto" w:sz="4" w:space="0"/>
              <w:right w:val="single" w:color="auto" w:sz="4" w:space="0"/>
            </w:tcBorders>
            <w:shd w:val="clear" w:color="000000" w:fill="FFFFFF"/>
            <w:vAlign w:val="center"/>
          </w:tcPr>
          <w:p w14:paraId="6B5976D2">
            <w:pPr>
              <w:widowControl/>
              <w:jc w:val="center"/>
              <w:rPr>
                <w:rFonts w:ascii="宋体" w:hAnsi="宋体" w:eastAsia="宋体" w:cs="宋体"/>
                <w:kern w:val="0"/>
                <w:sz w:val="20"/>
                <w:szCs w:val="20"/>
              </w:rPr>
            </w:pPr>
            <w:r>
              <w:rPr>
                <w:rFonts w:hint="eastAsia" w:ascii="宋体" w:hAnsi="宋体" w:eastAsia="宋体" w:cs="宋体"/>
                <w:kern w:val="0"/>
                <w:sz w:val="20"/>
                <w:szCs w:val="20"/>
              </w:rPr>
              <w:t>1.现场检查并做好记录（每星期不少于五次，少做一次扣1分）；                                             2.虫害控制率（老鼠、蚊蝇、蟑螂、苍蝇）没有达标每项扣1分。</w:t>
            </w:r>
          </w:p>
        </w:tc>
        <w:tc>
          <w:tcPr>
            <w:tcW w:w="574" w:type="pct"/>
            <w:tcBorders>
              <w:top w:val="nil"/>
              <w:left w:val="nil"/>
              <w:bottom w:val="single" w:color="auto" w:sz="4" w:space="0"/>
              <w:right w:val="single" w:color="auto" w:sz="4" w:space="0"/>
            </w:tcBorders>
            <w:shd w:val="clear" w:color="000000" w:fill="FFFFFF"/>
            <w:noWrap/>
            <w:vAlign w:val="center"/>
          </w:tcPr>
          <w:p w14:paraId="3BEB097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CAD62D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88A342D">
            <w:pPr>
              <w:widowControl/>
              <w:jc w:val="left"/>
              <w:rPr>
                <w:rFonts w:ascii="宋体" w:hAnsi="宋体" w:eastAsia="宋体" w:cs="宋体"/>
                <w:kern w:val="0"/>
                <w:sz w:val="22"/>
              </w:rPr>
            </w:pPr>
            <w:r>
              <w:rPr>
                <w:rFonts w:hint="eastAsia" w:ascii="宋体" w:hAnsi="宋体" w:eastAsia="宋体" w:cs="宋体"/>
                <w:kern w:val="0"/>
                <w:sz w:val="22"/>
              </w:rPr>
              <w:t>　</w:t>
            </w:r>
          </w:p>
        </w:tc>
      </w:tr>
      <w:tr w14:paraId="0DAD35A7">
        <w:tblPrEx>
          <w:tblCellMar>
            <w:top w:w="0" w:type="dxa"/>
            <w:left w:w="108" w:type="dxa"/>
            <w:bottom w:w="0" w:type="dxa"/>
            <w:right w:w="108" w:type="dxa"/>
          </w:tblCellMar>
        </w:tblPrEx>
        <w:trPr>
          <w:trHeight w:val="96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4D32178D">
            <w:pPr>
              <w:widowControl/>
              <w:jc w:val="center"/>
              <w:rPr>
                <w:rFonts w:ascii="宋体" w:hAnsi="宋体" w:eastAsia="宋体" w:cs="宋体"/>
                <w:kern w:val="0"/>
                <w:sz w:val="22"/>
              </w:rPr>
            </w:pPr>
            <w:r>
              <w:rPr>
                <w:rFonts w:hint="eastAsia" w:ascii="宋体" w:hAnsi="宋体" w:eastAsia="宋体" w:cs="宋体"/>
                <w:kern w:val="0"/>
                <w:sz w:val="22"/>
              </w:rPr>
              <w:t>79</w:t>
            </w:r>
          </w:p>
        </w:tc>
        <w:tc>
          <w:tcPr>
            <w:tcW w:w="234" w:type="pct"/>
            <w:vMerge w:val="continue"/>
            <w:tcBorders>
              <w:top w:val="nil"/>
              <w:left w:val="single" w:color="auto" w:sz="4" w:space="0"/>
              <w:bottom w:val="single" w:color="auto" w:sz="4" w:space="0"/>
              <w:right w:val="single" w:color="auto" w:sz="4" w:space="0"/>
            </w:tcBorders>
            <w:vAlign w:val="center"/>
          </w:tcPr>
          <w:p w14:paraId="0AAE6D7C">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75CE2559">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75A2BD41">
            <w:pPr>
              <w:widowControl/>
              <w:jc w:val="center"/>
              <w:rPr>
                <w:rFonts w:ascii="宋体" w:hAnsi="宋体" w:eastAsia="宋体" w:cs="宋体"/>
                <w:kern w:val="0"/>
                <w:sz w:val="20"/>
                <w:szCs w:val="20"/>
              </w:rPr>
            </w:pPr>
            <w:r>
              <w:rPr>
                <w:rFonts w:hint="eastAsia" w:ascii="宋体" w:hAnsi="宋体" w:eastAsia="宋体" w:cs="宋体"/>
                <w:kern w:val="0"/>
                <w:sz w:val="20"/>
                <w:szCs w:val="20"/>
              </w:rPr>
              <w:t>帆体及建筑外墙清洗</w:t>
            </w:r>
          </w:p>
        </w:tc>
        <w:tc>
          <w:tcPr>
            <w:tcW w:w="943" w:type="pct"/>
            <w:tcBorders>
              <w:top w:val="nil"/>
              <w:left w:val="nil"/>
              <w:bottom w:val="single" w:color="auto" w:sz="4" w:space="0"/>
              <w:right w:val="single" w:color="auto" w:sz="4" w:space="0"/>
            </w:tcBorders>
            <w:shd w:val="clear" w:color="000000" w:fill="FFFFFF"/>
            <w:vAlign w:val="center"/>
          </w:tcPr>
          <w:p w14:paraId="715A9DDE">
            <w:pPr>
              <w:widowControl/>
              <w:jc w:val="center"/>
              <w:rPr>
                <w:rFonts w:ascii="宋体" w:hAnsi="宋体" w:eastAsia="宋体" w:cs="宋体"/>
                <w:kern w:val="0"/>
                <w:sz w:val="20"/>
                <w:szCs w:val="20"/>
              </w:rPr>
            </w:pPr>
            <w:r>
              <w:rPr>
                <w:rFonts w:hint="eastAsia" w:ascii="宋体" w:hAnsi="宋体" w:eastAsia="宋体" w:cs="宋体"/>
                <w:kern w:val="0"/>
                <w:sz w:val="20"/>
                <w:szCs w:val="20"/>
              </w:rPr>
              <w:t>做好2米以下外墙清洗计划；对专业帆体及建筑清洗单位做好进场手续办理，对工作质量、进度进行监督管理、检查和考核，各类现场手续及监管资料需齐全。</w:t>
            </w:r>
          </w:p>
        </w:tc>
        <w:tc>
          <w:tcPr>
            <w:tcW w:w="1713" w:type="pct"/>
            <w:tcBorders>
              <w:top w:val="nil"/>
              <w:left w:val="nil"/>
              <w:bottom w:val="single" w:color="auto" w:sz="4" w:space="0"/>
              <w:right w:val="single" w:color="auto" w:sz="4" w:space="0"/>
            </w:tcBorders>
            <w:shd w:val="clear" w:color="000000" w:fill="FFFFFF"/>
            <w:vAlign w:val="center"/>
          </w:tcPr>
          <w:p w14:paraId="039CA94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1.对清洗项目提前做好入场手续的办理，根据清洗计划做好现场巡检记录，需完整、真实，发现不符一次扣1分；               2.做好现场安全告示及监管工作，发现不符一次扣1分；       3.违反博物馆规章制度，发现一次扣2分。                    </w:t>
            </w:r>
          </w:p>
        </w:tc>
        <w:tc>
          <w:tcPr>
            <w:tcW w:w="574" w:type="pct"/>
            <w:tcBorders>
              <w:top w:val="nil"/>
              <w:left w:val="nil"/>
              <w:bottom w:val="single" w:color="auto" w:sz="4" w:space="0"/>
              <w:right w:val="single" w:color="auto" w:sz="4" w:space="0"/>
            </w:tcBorders>
            <w:shd w:val="clear" w:color="000000" w:fill="FFFFFF"/>
            <w:noWrap/>
            <w:vAlign w:val="center"/>
          </w:tcPr>
          <w:p w14:paraId="30291AD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CC7337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AEAEEF6">
            <w:pPr>
              <w:widowControl/>
              <w:jc w:val="left"/>
              <w:rPr>
                <w:rFonts w:ascii="宋体" w:hAnsi="宋体" w:eastAsia="宋体" w:cs="宋体"/>
                <w:kern w:val="0"/>
                <w:sz w:val="22"/>
              </w:rPr>
            </w:pPr>
            <w:r>
              <w:rPr>
                <w:rFonts w:hint="eastAsia" w:ascii="宋体" w:hAnsi="宋体" w:eastAsia="宋体" w:cs="宋体"/>
                <w:kern w:val="0"/>
                <w:sz w:val="22"/>
              </w:rPr>
              <w:t>　</w:t>
            </w:r>
          </w:p>
        </w:tc>
      </w:tr>
      <w:tr w14:paraId="5C641AFE">
        <w:tblPrEx>
          <w:tblCellMar>
            <w:top w:w="0" w:type="dxa"/>
            <w:left w:w="108" w:type="dxa"/>
            <w:bottom w:w="0" w:type="dxa"/>
            <w:right w:w="108" w:type="dxa"/>
          </w:tblCellMar>
        </w:tblPrEx>
        <w:trPr>
          <w:trHeight w:val="16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492CB9D1">
            <w:pPr>
              <w:widowControl/>
              <w:jc w:val="center"/>
              <w:rPr>
                <w:rFonts w:ascii="宋体" w:hAnsi="宋体" w:eastAsia="宋体" w:cs="宋体"/>
                <w:kern w:val="0"/>
                <w:sz w:val="22"/>
              </w:rPr>
            </w:pPr>
            <w:r>
              <w:rPr>
                <w:rFonts w:hint="eastAsia" w:ascii="宋体" w:hAnsi="宋体" w:eastAsia="宋体" w:cs="宋体"/>
                <w:kern w:val="0"/>
                <w:sz w:val="22"/>
              </w:rPr>
              <w:t>80</w:t>
            </w:r>
          </w:p>
        </w:tc>
        <w:tc>
          <w:tcPr>
            <w:tcW w:w="234" w:type="pct"/>
            <w:vMerge w:val="continue"/>
            <w:tcBorders>
              <w:top w:val="nil"/>
              <w:left w:val="single" w:color="auto" w:sz="4" w:space="0"/>
              <w:bottom w:val="single" w:color="auto" w:sz="4" w:space="0"/>
              <w:right w:val="single" w:color="auto" w:sz="4" w:space="0"/>
            </w:tcBorders>
            <w:vAlign w:val="center"/>
          </w:tcPr>
          <w:p w14:paraId="680C60A2">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1F35FE21">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64B97ED0">
            <w:pPr>
              <w:widowControl/>
              <w:jc w:val="center"/>
              <w:rPr>
                <w:rFonts w:ascii="宋体" w:hAnsi="宋体" w:eastAsia="宋体" w:cs="宋体"/>
                <w:kern w:val="0"/>
                <w:sz w:val="20"/>
                <w:szCs w:val="20"/>
              </w:rPr>
            </w:pPr>
            <w:r>
              <w:rPr>
                <w:rFonts w:hint="eastAsia" w:ascii="宋体" w:hAnsi="宋体" w:eastAsia="宋体" w:cs="宋体"/>
                <w:kern w:val="0"/>
                <w:sz w:val="20"/>
                <w:szCs w:val="20"/>
              </w:rPr>
              <w:t>绿化（外围及室内）</w:t>
            </w:r>
          </w:p>
        </w:tc>
        <w:tc>
          <w:tcPr>
            <w:tcW w:w="943" w:type="pct"/>
            <w:tcBorders>
              <w:top w:val="nil"/>
              <w:left w:val="nil"/>
              <w:bottom w:val="single" w:color="auto" w:sz="4" w:space="0"/>
              <w:right w:val="single" w:color="auto" w:sz="4" w:space="0"/>
            </w:tcBorders>
            <w:shd w:val="clear" w:color="000000" w:fill="FFFFFF"/>
            <w:vAlign w:val="center"/>
          </w:tcPr>
          <w:p w14:paraId="44BAE41C">
            <w:pPr>
              <w:widowControl/>
              <w:jc w:val="center"/>
              <w:rPr>
                <w:rFonts w:ascii="宋体" w:hAnsi="宋体" w:eastAsia="宋体" w:cs="宋体"/>
                <w:kern w:val="0"/>
                <w:sz w:val="20"/>
                <w:szCs w:val="20"/>
              </w:rPr>
            </w:pPr>
            <w:r>
              <w:rPr>
                <w:rFonts w:hint="eastAsia" w:ascii="宋体" w:hAnsi="宋体" w:eastAsia="宋体" w:cs="宋体"/>
                <w:kern w:val="0"/>
                <w:sz w:val="20"/>
                <w:szCs w:val="20"/>
              </w:rPr>
              <w:t>对外委绿化公司进行工作质量的监督和检查，并随时跟进其不足整改之处</w:t>
            </w:r>
          </w:p>
        </w:tc>
        <w:tc>
          <w:tcPr>
            <w:tcW w:w="1713" w:type="pct"/>
            <w:tcBorders>
              <w:top w:val="nil"/>
              <w:left w:val="nil"/>
              <w:bottom w:val="single" w:color="auto" w:sz="4" w:space="0"/>
              <w:right w:val="single" w:color="auto" w:sz="4" w:space="0"/>
            </w:tcBorders>
            <w:shd w:val="clear" w:color="000000" w:fill="FFFFFF"/>
            <w:vAlign w:val="center"/>
          </w:tcPr>
          <w:p w14:paraId="3C53DDF8">
            <w:pPr>
              <w:widowControl/>
              <w:jc w:val="center"/>
              <w:rPr>
                <w:rFonts w:ascii="宋体" w:hAnsi="宋体" w:eastAsia="宋体" w:cs="宋体"/>
                <w:kern w:val="0"/>
                <w:sz w:val="20"/>
                <w:szCs w:val="20"/>
              </w:rPr>
            </w:pPr>
            <w:r>
              <w:rPr>
                <w:rFonts w:hint="eastAsia" w:ascii="宋体" w:hAnsi="宋体" w:eastAsia="宋体" w:cs="宋体"/>
                <w:kern w:val="0"/>
                <w:sz w:val="20"/>
                <w:szCs w:val="20"/>
              </w:rPr>
              <w:t>1.室外绿化：发现枯木、大片枯叶枯杂草等，每发现一处不符扣1分；                                                  2.室内绿化按合同要求定期调整更换，保持叶片光鲜，无积灰，花盆无污迹，长势良好，每发现一处不符扣1分。</w:t>
            </w:r>
          </w:p>
        </w:tc>
        <w:tc>
          <w:tcPr>
            <w:tcW w:w="574" w:type="pct"/>
            <w:tcBorders>
              <w:top w:val="nil"/>
              <w:left w:val="nil"/>
              <w:bottom w:val="single" w:color="auto" w:sz="4" w:space="0"/>
              <w:right w:val="single" w:color="auto" w:sz="4" w:space="0"/>
            </w:tcBorders>
            <w:shd w:val="clear" w:color="000000" w:fill="FFFFFF"/>
            <w:vAlign w:val="center"/>
          </w:tcPr>
          <w:p w14:paraId="312F9293">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8EA5249">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DCA9E15">
            <w:pPr>
              <w:widowControl/>
              <w:jc w:val="left"/>
              <w:rPr>
                <w:rFonts w:ascii="宋体" w:hAnsi="宋体" w:eastAsia="宋体" w:cs="宋体"/>
                <w:kern w:val="0"/>
                <w:sz w:val="22"/>
              </w:rPr>
            </w:pPr>
            <w:r>
              <w:rPr>
                <w:rFonts w:hint="eastAsia" w:ascii="宋体" w:hAnsi="宋体" w:eastAsia="宋体" w:cs="宋体"/>
                <w:kern w:val="0"/>
                <w:sz w:val="22"/>
              </w:rPr>
              <w:t>　</w:t>
            </w:r>
          </w:p>
        </w:tc>
      </w:tr>
      <w:tr w14:paraId="15D83E55">
        <w:tblPrEx>
          <w:tblCellMar>
            <w:top w:w="0" w:type="dxa"/>
            <w:left w:w="108" w:type="dxa"/>
            <w:bottom w:w="0" w:type="dxa"/>
            <w:right w:w="108" w:type="dxa"/>
          </w:tblCellMar>
        </w:tblPrEx>
        <w:trPr>
          <w:trHeight w:val="120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74D164F5">
            <w:pPr>
              <w:widowControl/>
              <w:jc w:val="center"/>
              <w:rPr>
                <w:rFonts w:ascii="宋体" w:hAnsi="宋体" w:eastAsia="宋体" w:cs="宋体"/>
                <w:kern w:val="0"/>
                <w:sz w:val="22"/>
              </w:rPr>
            </w:pPr>
            <w:r>
              <w:rPr>
                <w:rFonts w:hint="eastAsia" w:ascii="宋体" w:hAnsi="宋体" w:eastAsia="宋体" w:cs="宋体"/>
                <w:kern w:val="0"/>
                <w:sz w:val="22"/>
              </w:rPr>
              <w:t>81</w:t>
            </w:r>
          </w:p>
        </w:tc>
        <w:tc>
          <w:tcPr>
            <w:tcW w:w="234" w:type="pct"/>
            <w:vMerge w:val="continue"/>
            <w:tcBorders>
              <w:top w:val="nil"/>
              <w:left w:val="single" w:color="auto" w:sz="4" w:space="0"/>
              <w:bottom w:val="single" w:color="auto" w:sz="4" w:space="0"/>
              <w:right w:val="single" w:color="auto" w:sz="4" w:space="0"/>
            </w:tcBorders>
            <w:vAlign w:val="center"/>
          </w:tcPr>
          <w:p w14:paraId="6BF7CD4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52741BA8">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7E4451A4">
            <w:pPr>
              <w:widowControl/>
              <w:jc w:val="center"/>
              <w:rPr>
                <w:rFonts w:ascii="宋体" w:hAnsi="宋体" w:eastAsia="宋体" w:cs="宋体"/>
                <w:kern w:val="0"/>
                <w:sz w:val="20"/>
                <w:szCs w:val="20"/>
              </w:rPr>
            </w:pPr>
            <w:r>
              <w:rPr>
                <w:rFonts w:hint="eastAsia" w:ascii="宋体" w:hAnsi="宋体" w:eastAsia="宋体" w:cs="宋体"/>
                <w:kern w:val="0"/>
                <w:sz w:val="20"/>
                <w:szCs w:val="20"/>
              </w:rPr>
              <w:t>垃圾管理</w:t>
            </w:r>
          </w:p>
        </w:tc>
        <w:tc>
          <w:tcPr>
            <w:tcW w:w="943" w:type="pct"/>
            <w:tcBorders>
              <w:top w:val="nil"/>
              <w:left w:val="nil"/>
              <w:bottom w:val="single" w:color="auto" w:sz="4" w:space="0"/>
              <w:right w:val="single" w:color="auto" w:sz="4" w:space="0"/>
            </w:tcBorders>
            <w:shd w:val="clear" w:color="000000" w:fill="FFFFFF"/>
            <w:vAlign w:val="center"/>
          </w:tcPr>
          <w:p w14:paraId="72457B41">
            <w:pPr>
              <w:widowControl/>
              <w:jc w:val="center"/>
              <w:rPr>
                <w:rFonts w:ascii="宋体" w:hAnsi="宋体" w:eastAsia="宋体" w:cs="宋体"/>
                <w:kern w:val="0"/>
                <w:sz w:val="20"/>
                <w:szCs w:val="20"/>
              </w:rPr>
            </w:pPr>
            <w:r>
              <w:rPr>
                <w:rFonts w:hint="eastAsia" w:ascii="宋体" w:hAnsi="宋体" w:eastAsia="宋体" w:cs="宋体"/>
                <w:kern w:val="0"/>
                <w:sz w:val="20"/>
                <w:szCs w:val="20"/>
              </w:rPr>
              <w:t>1、垃圾筒表面：无积灰、污渍、水迹、锈迹并按规定摆放；2、垃圾房环境整洁无异味，垃圾箱等设备完整，外观无污迹；3、负责垃圾的收集、分类和垃圾房的管理，对垃圾清运公司的工作过程进行监管并做好记录；4、做好全馆建筑垃圾的管理及清运。</w:t>
            </w:r>
          </w:p>
        </w:tc>
        <w:tc>
          <w:tcPr>
            <w:tcW w:w="1713" w:type="pct"/>
            <w:tcBorders>
              <w:top w:val="nil"/>
              <w:left w:val="nil"/>
              <w:bottom w:val="single" w:color="auto" w:sz="4" w:space="0"/>
              <w:right w:val="single" w:color="auto" w:sz="4" w:space="0"/>
            </w:tcBorders>
            <w:shd w:val="clear" w:color="000000" w:fill="FFFFFF"/>
            <w:vAlign w:val="center"/>
          </w:tcPr>
          <w:p w14:paraId="4560EB22">
            <w:pPr>
              <w:widowControl/>
              <w:jc w:val="center"/>
              <w:rPr>
                <w:rFonts w:ascii="宋体" w:hAnsi="宋体" w:eastAsia="宋体" w:cs="宋体"/>
                <w:kern w:val="0"/>
                <w:sz w:val="20"/>
                <w:szCs w:val="20"/>
              </w:rPr>
            </w:pPr>
            <w:r>
              <w:rPr>
                <w:rFonts w:hint="eastAsia" w:ascii="宋体" w:hAnsi="宋体" w:eastAsia="宋体" w:cs="宋体"/>
                <w:kern w:val="0"/>
                <w:sz w:val="20"/>
                <w:szCs w:val="20"/>
              </w:rPr>
              <w:t>1.生活垃圾倒进垃圾容器内，建筑垃圾袋装化放置指定位置。保持每天有专人检查并记录。发现以上任何一项不符扣1分；        2.对清运的工作质量、安全措施进行监管，做到日产日清，并将监管情况记录在《垃圾清运工作检查表》上。记录不完整每次扣1分</w:t>
            </w:r>
          </w:p>
        </w:tc>
        <w:tc>
          <w:tcPr>
            <w:tcW w:w="574" w:type="pct"/>
            <w:tcBorders>
              <w:top w:val="nil"/>
              <w:left w:val="nil"/>
              <w:bottom w:val="single" w:color="auto" w:sz="4" w:space="0"/>
              <w:right w:val="single" w:color="auto" w:sz="4" w:space="0"/>
            </w:tcBorders>
            <w:shd w:val="clear" w:color="000000" w:fill="FFFFFF"/>
            <w:noWrap/>
            <w:vAlign w:val="center"/>
          </w:tcPr>
          <w:p w14:paraId="011BD82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CBC30A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6E0558A">
            <w:pPr>
              <w:widowControl/>
              <w:jc w:val="left"/>
              <w:rPr>
                <w:rFonts w:ascii="宋体" w:hAnsi="宋体" w:eastAsia="宋体" w:cs="宋体"/>
                <w:kern w:val="0"/>
                <w:sz w:val="22"/>
              </w:rPr>
            </w:pPr>
            <w:r>
              <w:rPr>
                <w:rFonts w:hint="eastAsia" w:ascii="宋体" w:hAnsi="宋体" w:eastAsia="宋体" w:cs="宋体"/>
                <w:kern w:val="0"/>
                <w:sz w:val="22"/>
              </w:rPr>
              <w:t>　</w:t>
            </w:r>
          </w:p>
        </w:tc>
      </w:tr>
      <w:tr w14:paraId="3195EC8A">
        <w:tblPrEx>
          <w:tblCellMar>
            <w:top w:w="0" w:type="dxa"/>
            <w:left w:w="108" w:type="dxa"/>
            <w:bottom w:w="0" w:type="dxa"/>
            <w:right w:w="108" w:type="dxa"/>
          </w:tblCellMar>
        </w:tblPrEx>
        <w:trPr>
          <w:trHeight w:val="10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4E696FFC">
            <w:pPr>
              <w:widowControl/>
              <w:jc w:val="center"/>
              <w:rPr>
                <w:rFonts w:ascii="宋体" w:hAnsi="宋体" w:eastAsia="宋体" w:cs="宋体"/>
                <w:kern w:val="0"/>
                <w:sz w:val="22"/>
              </w:rPr>
            </w:pPr>
            <w:r>
              <w:rPr>
                <w:rFonts w:hint="eastAsia" w:ascii="宋体" w:hAnsi="宋体" w:eastAsia="宋体" w:cs="宋体"/>
                <w:kern w:val="0"/>
                <w:sz w:val="22"/>
              </w:rPr>
              <w:t>82</w:t>
            </w:r>
          </w:p>
        </w:tc>
        <w:tc>
          <w:tcPr>
            <w:tcW w:w="234" w:type="pct"/>
            <w:vMerge w:val="continue"/>
            <w:tcBorders>
              <w:top w:val="nil"/>
              <w:left w:val="single" w:color="auto" w:sz="4" w:space="0"/>
              <w:bottom w:val="single" w:color="auto" w:sz="4" w:space="0"/>
              <w:right w:val="single" w:color="auto" w:sz="4" w:space="0"/>
            </w:tcBorders>
            <w:vAlign w:val="center"/>
          </w:tcPr>
          <w:p w14:paraId="23541E10">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7221F3E6">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4742EBAD">
            <w:pPr>
              <w:widowControl/>
              <w:jc w:val="center"/>
              <w:rPr>
                <w:rFonts w:ascii="宋体" w:hAnsi="宋体" w:eastAsia="宋体" w:cs="宋体"/>
                <w:kern w:val="0"/>
                <w:sz w:val="20"/>
                <w:szCs w:val="20"/>
              </w:rPr>
            </w:pPr>
            <w:r>
              <w:rPr>
                <w:rFonts w:hint="eastAsia" w:ascii="宋体" w:hAnsi="宋体" w:eastAsia="宋体" w:cs="宋体"/>
                <w:kern w:val="0"/>
                <w:sz w:val="20"/>
                <w:szCs w:val="20"/>
              </w:rPr>
              <w:t>保洁设备</w:t>
            </w:r>
          </w:p>
        </w:tc>
        <w:tc>
          <w:tcPr>
            <w:tcW w:w="943" w:type="pct"/>
            <w:tcBorders>
              <w:top w:val="nil"/>
              <w:left w:val="nil"/>
              <w:bottom w:val="single" w:color="auto" w:sz="4" w:space="0"/>
              <w:right w:val="single" w:color="auto" w:sz="4" w:space="0"/>
            </w:tcBorders>
            <w:shd w:val="clear" w:color="000000" w:fill="FFFFFF"/>
            <w:vAlign w:val="center"/>
          </w:tcPr>
          <w:p w14:paraId="476FF503">
            <w:pPr>
              <w:widowControl/>
              <w:jc w:val="center"/>
              <w:rPr>
                <w:rFonts w:ascii="宋体" w:hAnsi="宋体" w:eastAsia="宋体" w:cs="宋体"/>
                <w:kern w:val="0"/>
                <w:sz w:val="20"/>
                <w:szCs w:val="20"/>
              </w:rPr>
            </w:pPr>
            <w:r>
              <w:rPr>
                <w:rFonts w:hint="eastAsia" w:ascii="宋体" w:hAnsi="宋体" w:eastAsia="宋体" w:cs="宋体"/>
                <w:kern w:val="0"/>
                <w:sz w:val="20"/>
                <w:szCs w:val="20"/>
              </w:rPr>
              <w:t>负责清洁设备的领用、使用、保养和日常管理工作；负责维保单位所有维护、维修工作的协调、监管、验收等，做好相关台账记录。</w:t>
            </w:r>
          </w:p>
        </w:tc>
        <w:tc>
          <w:tcPr>
            <w:tcW w:w="1713" w:type="pct"/>
            <w:tcBorders>
              <w:top w:val="nil"/>
              <w:left w:val="nil"/>
              <w:bottom w:val="single" w:color="auto" w:sz="4" w:space="0"/>
              <w:right w:val="single" w:color="auto" w:sz="4" w:space="0"/>
            </w:tcBorders>
            <w:shd w:val="clear" w:color="000000" w:fill="FFFFFF"/>
            <w:vAlign w:val="center"/>
          </w:tcPr>
          <w:p w14:paraId="7567CC3D">
            <w:pPr>
              <w:widowControl/>
              <w:jc w:val="center"/>
              <w:rPr>
                <w:rFonts w:ascii="宋体" w:hAnsi="宋体" w:eastAsia="宋体" w:cs="宋体"/>
                <w:kern w:val="0"/>
                <w:sz w:val="20"/>
                <w:szCs w:val="20"/>
              </w:rPr>
            </w:pPr>
            <w:r>
              <w:rPr>
                <w:rFonts w:hint="eastAsia" w:ascii="宋体" w:hAnsi="宋体" w:eastAsia="宋体" w:cs="宋体"/>
                <w:kern w:val="0"/>
                <w:sz w:val="20"/>
                <w:szCs w:val="20"/>
              </w:rPr>
              <w:t>1.对清洁设备的完好情况每周进行统计，设备保修及时，建立设备台卡。记录不完整每次扣1分；                            2.未能正确合理使用保洁设备发现一次扣1分；                 3.按时完成设备维保计划并形成记录，不符要求每次扣1分。</w:t>
            </w:r>
          </w:p>
        </w:tc>
        <w:tc>
          <w:tcPr>
            <w:tcW w:w="574" w:type="pct"/>
            <w:tcBorders>
              <w:top w:val="nil"/>
              <w:left w:val="nil"/>
              <w:bottom w:val="single" w:color="auto" w:sz="4" w:space="0"/>
              <w:right w:val="single" w:color="auto" w:sz="4" w:space="0"/>
            </w:tcBorders>
            <w:shd w:val="clear" w:color="000000" w:fill="FFFFFF"/>
            <w:noWrap/>
            <w:vAlign w:val="center"/>
          </w:tcPr>
          <w:p w14:paraId="415B305C">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EA9374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460A944">
            <w:pPr>
              <w:widowControl/>
              <w:jc w:val="left"/>
              <w:rPr>
                <w:rFonts w:ascii="宋体" w:hAnsi="宋体" w:eastAsia="宋体" w:cs="宋体"/>
                <w:kern w:val="0"/>
                <w:sz w:val="22"/>
              </w:rPr>
            </w:pPr>
            <w:r>
              <w:rPr>
                <w:rFonts w:hint="eastAsia" w:ascii="宋体" w:hAnsi="宋体" w:eastAsia="宋体" w:cs="宋体"/>
                <w:kern w:val="0"/>
                <w:sz w:val="22"/>
              </w:rPr>
              <w:t>　</w:t>
            </w:r>
          </w:p>
        </w:tc>
      </w:tr>
      <w:tr w14:paraId="076098DD">
        <w:tblPrEx>
          <w:tblCellMar>
            <w:top w:w="0" w:type="dxa"/>
            <w:left w:w="108" w:type="dxa"/>
            <w:bottom w:w="0" w:type="dxa"/>
            <w:right w:w="108" w:type="dxa"/>
          </w:tblCellMar>
        </w:tblPrEx>
        <w:trPr>
          <w:trHeight w:val="102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09156185">
            <w:pPr>
              <w:widowControl/>
              <w:jc w:val="center"/>
              <w:rPr>
                <w:rFonts w:ascii="宋体" w:hAnsi="宋体" w:eastAsia="宋体" w:cs="宋体"/>
                <w:kern w:val="0"/>
                <w:sz w:val="22"/>
              </w:rPr>
            </w:pPr>
            <w:r>
              <w:rPr>
                <w:rFonts w:hint="eastAsia" w:ascii="宋体" w:hAnsi="宋体" w:eastAsia="宋体" w:cs="宋体"/>
                <w:kern w:val="0"/>
                <w:sz w:val="22"/>
              </w:rPr>
              <w:t>83</w:t>
            </w:r>
          </w:p>
        </w:tc>
        <w:tc>
          <w:tcPr>
            <w:tcW w:w="234" w:type="pct"/>
            <w:vMerge w:val="continue"/>
            <w:tcBorders>
              <w:top w:val="nil"/>
              <w:left w:val="single" w:color="auto" w:sz="4" w:space="0"/>
              <w:bottom w:val="single" w:color="auto" w:sz="4" w:space="0"/>
              <w:right w:val="single" w:color="auto" w:sz="4" w:space="0"/>
            </w:tcBorders>
            <w:vAlign w:val="center"/>
          </w:tcPr>
          <w:p w14:paraId="61B3AEE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588EEAB8">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44534010">
            <w:pPr>
              <w:widowControl/>
              <w:jc w:val="center"/>
              <w:rPr>
                <w:rFonts w:ascii="宋体" w:hAnsi="宋体" w:eastAsia="宋体" w:cs="宋体"/>
                <w:kern w:val="0"/>
                <w:sz w:val="20"/>
                <w:szCs w:val="20"/>
              </w:rPr>
            </w:pPr>
            <w:r>
              <w:rPr>
                <w:rFonts w:hint="eastAsia" w:ascii="宋体" w:hAnsi="宋体" w:eastAsia="宋体" w:cs="宋体"/>
                <w:kern w:val="0"/>
                <w:sz w:val="20"/>
                <w:szCs w:val="20"/>
              </w:rPr>
              <w:t>保洁物资采购</w:t>
            </w:r>
          </w:p>
        </w:tc>
        <w:tc>
          <w:tcPr>
            <w:tcW w:w="943" w:type="pct"/>
            <w:tcBorders>
              <w:top w:val="nil"/>
              <w:left w:val="nil"/>
              <w:bottom w:val="single" w:color="auto" w:sz="4" w:space="0"/>
              <w:right w:val="single" w:color="auto" w:sz="4" w:space="0"/>
            </w:tcBorders>
            <w:shd w:val="clear" w:color="000000" w:fill="FFFFFF"/>
            <w:vAlign w:val="center"/>
          </w:tcPr>
          <w:p w14:paraId="43505E4C">
            <w:pPr>
              <w:widowControl/>
              <w:jc w:val="center"/>
              <w:rPr>
                <w:rFonts w:ascii="宋体" w:hAnsi="宋体" w:eastAsia="宋体" w:cs="宋体"/>
                <w:kern w:val="0"/>
                <w:sz w:val="20"/>
                <w:szCs w:val="20"/>
              </w:rPr>
            </w:pPr>
            <w:r>
              <w:rPr>
                <w:rFonts w:hint="eastAsia" w:ascii="宋体" w:hAnsi="宋体" w:eastAsia="宋体" w:cs="宋体"/>
                <w:kern w:val="0"/>
                <w:sz w:val="20"/>
                <w:szCs w:val="20"/>
              </w:rPr>
              <w:t>做好保洁条线日用品、应急物资及其他相关的物资采购，按时提交采购计划、库存盘点、应急采购联系单等。</w:t>
            </w:r>
          </w:p>
        </w:tc>
        <w:tc>
          <w:tcPr>
            <w:tcW w:w="1713" w:type="pct"/>
            <w:tcBorders>
              <w:top w:val="nil"/>
              <w:left w:val="nil"/>
              <w:bottom w:val="single" w:color="auto" w:sz="4" w:space="0"/>
              <w:right w:val="single" w:color="auto" w:sz="4" w:space="0"/>
            </w:tcBorders>
            <w:shd w:val="clear" w:color="000000" w:fill="FFFFFF"/>
            <w:vAlign w:val="center"/>
          </w:tcPr>
          <w:p w14:paraId="2998AA0A">
            <w:pPr>
              <w:widowControl/>
              <w:jc w:val="center"/>
              <w:rPr>
                <w:rFonts w:ascii="宋体" w:hAnsi="宋体" w:eastAsia="宋体" w:cs="宋体"/>
                <w:kern w:val="0"/>
                <w:sz w:val="20"/>
                <w:szCs w:val="20"/>
              </w:rPr>
            </w:pPr>
            <w:r>
              <w:rPr>
                <w:rFonts w:hint="eastAsia" w:ascii="宋体" w:hAnsi="宋体" w:eastAsia="宋体" w:cs="宋体"/>
                <w:kern w:val="0"/>
                <w:sz w:val="20"/>
                <w:szCs w:val="20"/>
              </w:rPr>
              <w:t>1.物资需登记入账，做到帐物一致，并做好入库清单、领用清单，做好每月损耗及库存统计，每月月初需提交库存清单、上月领用清单，月底提交下月采购计划（计划可和管理中心一并提交）。不符要求，每次扣1分。</w:t>
            </w:r>
          </w:p>
        </w:tc>
        <w:tc>
          <w:tcPr>
            <w:tcW w:w="574" w:type="pct"/>
            <w:tcBorders>
              <w:top w:val="nil"/>
              <w:left w:val="nil"/>
              <w:bottom w:val="single" w:color="auto" w:sz="4" w:space="0"/>
              <w:right w:val="single" w:color="auto" w:sz="4" w:space="0"/>
            </w:tcBorders>
            <w:shd w:val="clear" w:color="000000" w:fill="FFFFFF"/>
            <w:noWrap/>
            <w:vAlign w:val="center"/>
          </w:tcPr>
          <w:p w14:paraId="2D74BF71">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440BCB0">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B5B9F12">
            <w:pPr>
              <w:widowControl/>
              <w:jc w:val="left"/>
              <w:rPr>
                <w:rFonts w:ascii="宋体" w:hAnsi="宋体" w:eastAsia="宋体" w:cs="宋体"/>
                <w:kern w:val="0"/>
                <w:sz w:val="22"/>
              </w:rPr>
            </w:pPr>
            <w:r>
              <w:rPr>
                <w:rFonts w:hint="eastAsia" w:ascii="宋体" w:hAnsi="宋体" w:eastAsia="宋体" w:cs="宋体"/>
                <w:kern w:val="0"/>
                <w:sz w:val="22"/>
              </w:rPr>
              <w:t>　</w:t>
            </w:r>
          </w:p>
        </w:tc>
      </w:tr>
      <w:tr w14:paraId="1A36BC88">
        <w:tblPrEx>
          <w:tblCellMar>
            <w:top w:w="0" w:type="dxa"/>
            <w:left w:w="108" w:type="dxa"/>
            <w:bottom w:w="0" w:type="dxa"/>
            <w:right w:w="108" w:type="dxa"/>
          </w:tblCellMar>
        </w:tblPrEx>
        <w:trPr>
          <w:trHeight w:val="7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6BC75E6">
            <w:pPr>
              <w:widowControl/>
              <w:jc w:val="center"/>
              <w:rPr>
                <w:rFonts w:ascii="宋体" w:hAnsi="宋体" w:eastAsia="宋体" w:cs="宋体"/>
                <w:kern w:val="0"/>
                <w:sz w:val="22"/>
              </w:rPr>
            </w:pPr>
            <w:r>
              <w:rPr>
                <w:rFonts w:hint="eastAsia" w:ascii="宋体" w:hAnsi="宋体" w:eastAsia="宋体" w:cs="宋体"/>
                <w:kern w:val="0"/>
                <w:sz w:val="22"/>
              </w:rPr>
              <w:t>84</w:t>
            </w:r>
          </w:p>
        </w:tc>
        <w:tc>
          <w:tcPr>
            <w:tcW w:w="234" w:type="pct"/>
            <w:vMerge w:val="continue"/>
            <w:tcBorders>
              <w:top w:val="nil"/>
              <w:left w:val="single" w:color="auto" w:sz="4" w:space="0"/>
              <w:bottom w:val="single" w:color="auto" w:sz="4" w:space="0"/>
              <w:right w:val="single" w:color="auto" w:sz="4" w:space="0"/>
            </w:tcBorders>
            <w:vAlign w:val="center"/>
          </w:tcPr>
          <w:p w14:paraId="00A42975">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01567029">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49030F5F">
            <w:pPr>
              <w:widowControl/>
              <w:jc w:val="center"/>
              <w:rPr>
                <w:rFonts w:ascii="宋体" w:hAnsi="宋体" w:eastAsia="宋体" w:cs="宋体"/>
                <w:kern w:val="0"/>
                <w:sz w:val="20"/>
                <w:szCs w:val="20"/>
              </w:rPr>
            </w:pPr>
            <w:r>
              <w:rPr>
                <w:rFonts w:hint="eastAsia" w:ascii="宋体" w:hAnsi="宋体" w:eastAsia="宋体" w:cs="宋体"/>
                <w:kern w:val="0"/>
                <w:sz w:val="20"/>
                <w:szCs w:val="20"/>
              </w:rPr>
              <w:t>人员培训管理</w:t>
            </w:r>
          </w:p>
        </w:tc>
        <w:tc>
          <w:tcPr>
            <w:tcW w:w="943" w:type="pct"/>
            <w:tcBorders>
              <w:top w:val="nil"/>
              <w:left w:val="nil"/>
              <w:bottom w:val="single" w:color="auto" w:sz="4" w:space="0"/>
              <w:right w:val="single" w:color="auto" w:sz="4" w:space="0"/>
            </w:tcBorders>
            <w:shd w:val="clear" w:color="000000" w:fill="FFFFFF"/>
            <w:vAlign w:val="center"/>
          </w:tcPr>
          <w:p w14:paraId="1954B953">
            <w:pPr>
              <w:widowControl/>
              <w:jc w:val="center"/>
              <w:rPr>
                <w:rFonts w:ascii="宋体" w:hAnsi="宋体" w:eastAsia="宋体" w:cs="宋体"/>
                <w:kern w:val="0"/>
                <w:sz w:val="20"/>
                <w:szCs w:val="20"/>
              </w:rPr>
            </w:pPr>
            <w:r>
              <w:rPr>
                <w:rFonts w:hint="eastAsia" w:ascii="宋体" w:hAnsi="宋体" w:eastAsia="宋体" w:cs="宋体"/>
                <w:kern w:val="0"/>
                <w:sz w:val="20"/>
                <w:szCs w:val="20"/>
              </w:rPr>
              <w:t>做好岗位培训工作，包括仪表仪容、规章制度、劳动纪律、工作态度、团队精神、业务操作技能等。</w:t>
            </w:r>
          </w:p>
        </w:tc>
        <w:tc>
          <w:tcPr>
            <w:tcW w:w="1713" w:type="pct"/>
            <w:tcBorders>
              <w:top w:val="nil"/>
              <w:left w:val="nil"/>
              <w:bottom w:val="single" w:color="auto" w:sz="4" w:space="0"/>
              <w:right w:val="single" w:color="auto" w:sz="4" w:space="0"/>
            </w:tcBorders>
            <w:shd w:val="clear" w:color="000000" w:fill="FFFFFF"/>
            <w:vAlign w:val="center"/>
          </w:tcPr>
          <w:p w14:paraId="091FFF50">
            <w:pPr>
              <w:widowControl/>
              <w:jc w:val="center"/>
              <w:rPr>
                <w:rFonts w:ascii="宋体" w:hAnsi="宋体" w:eastAsia="宋体" w:cs="宋体"/>
                <w:kern w:val="0"/>
                <w:sz w:val="20"/>
                <w:szCs w:val="20"/>
              </w:rPr>
            </w:pPr>
            <w:r>
              <w:rPr>
                <w:rFonts w:hint="eastAsia" w:ascii="宋体" w:hAnsi="宋体" w:eastAsia="宋体" w:cs="宋体"/>
                <w:kern w:val="0"/>
                <w:sz w:val="20"/>
                <w:szCs w:val="20"/>
              </w:rPr>
              <w:t>1.做好人员培训工作，加强工作积极性主动性教育及岗位技能培训工作。新人必须培训后才能上岗。发现1次不合格扣1分。</w:t>
            </w:r>
          </w:p>
        </w:tc>
        <w:tc>
          <w:tcPr>
            <w:tcW w:w="574" w:type="pct"/>
            <w:tcBorders>
              <w:top w:val="nil"/>
              <w:left w:val="nil"/>
              <w:bottom w:val="single" w:color="auto" w:sz="4" w:space="0"/>
              <w:right w:val="single" w:color="auto" w:sz="4" w:space="0"/>
            </w:tcBorders>
            <w:shd w:val="clear" w:color="000000" w:fill="FFFFFF"/>
            <w:noWrap/>
            <w:vAlign w:val="center"/>
          </w:tcPr>
          <w:p w14:paraId="182F19E1">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AF08E3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99721D1">
            <w:pPr>
              <w:widowControl/>
              <w:jc w:val="left"/>
              <w:rPr>
                <w:rFonts w:ascii="宋体" w:hAnsi="宋体" w:eastAsia="宋体" w:cs="宋体"/>
                <w:kern w:val="0"/>
                <w:sz w:val="22"/>
              </w:rPr>
            </w:pPr>
            <w:r>
              <w:rPr>
                <w:rFonts w:hint="eastAsia" w:ascii="宋体" w:hAnsi="宋体" w:eastAsia="宋体" w:cs="宋体"/>
                <w:kern w:val="0"/>
                <w:sz w:val="22"/>
              </w:rPr>
              <w:t>　</w:t>
            </w:r>
          </w:p>
        </w:tc>
      </w:tr>
      <w:tr w14:paraId="25CC2E4E">
        <w:tblPrEx>
          <w:tblCellMar>
            <w:top w:w="0" w:type="dxa"/>
            <w:left w:w="108" w:type="dxa"/>
            <w:bottom w:w="0" w:type="dxa"/>
            <w:right w:w="108" w:type="dxa"/>
          </w:tblCellMar>
        </w:tblPrEx>
        <w:trPr>
          <w:trHeight w:val="735"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09C28D6C">
            <w:pPr>
              <w:widowControl/>
              <w:jc w:val="center"/>
              <w:rPr>
                <w:rFonts w:ascii="宋体" w:hAnsi="宋体" w:eastAsia="宋体" w:cs="宋体"/>
                <w:kern w:val="0"/>
                <w:sz w:val="22"/>
              </w:rPr>
            </w:pPr>
            <w:r>
              <w:rPr>
                <w:rFonts w:hint="eastAsia" w:ascii="宋体" w:hAnsi="宋体" w:eastAsia="宋体" w:cs="宋体"/>
                <w:kern w:val="0"/>
                <w:sz w:val="22"/>
              </w:rPr>
              <w:t>85</w:t>
            </w:r>
          </w:p>
        </w:tc>
        <w:tc>
          <w:tcPr>
            <w:tcW w:w="234" w:type="pct"/>
            <w:vMerge w:val="continue"/>
            <w:tcBorders>
              <w:top w:val="nil"/>
              <w:left w:val="single" w:color="auto" w:sz="4" w:space="0"/>
              <w:bottom w:val="single" w:color="auto" w:sz="4" w:space="0"/>
              <w:right w:val="single" w:color="auto" w:sz="4" w:space="0"/>
            </w:tcBorders>
            <w:vAlign w:val="center"/>
          </w:tcPr>
          <w:p w14:paraId="07C6DC6C">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000000" w:sz="4" w:space="0"/>
              <w:right w:val="single" w:color="auto" w:sz="4" w:space="0"/>
            </w:tcBorders>
            <w:vAlign w:val="center"/>
          </w:tcPr>
          <w:p w14:paraId="3FCB3422">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1C9D9F65">
            <w:pPr>
              <w:widowControl/>
              <w:jc w:val="center"/>
              <w:rPr>
                <w:rFonts w:ascii="宋体" w:hAnsi="宋体" w:eastAsia="宋体" w:cs="宋体"/>
                <w:kern w:val="0"/>
                <w:sz w:val="20"/>
                <w:szCs w:val="20"/>
              </w:rPr>
            </w:pPr>
            <w:r>
              <w:rPr>
                <w:rFonts w:hint="eastAsia" w:ascii="宋体" w:hAnsi="宋体" w:eastAsia="宋体" w:cs="宋体"/>
                <w:kern w:val="0"/>
                <w:sz w:val="20"/>
                <w:szCs w:val="20"/>
              </w:rPr>
              <w:t>交办的其他任务</w:t>
            </w:r>
          </w:p>
        </w:tc>
        <w:tc>
          <w:tcPr>
            <w:tcW w:w="943" w:type="pct"/>
            <w:tcBorders>
              <w:top w:val="nil"/>
              <w:left w:val="nil"/>
              <w:bottom w:val="single" w:color="auto" w:sz="4" w:space="0"/>
              <w:right w:val="single" w:color="auto" w:sz="4" w:space="0"/>
            </w:tcBorders>
            <w:shd w:val="clear" w:color="000000" w:fill="FFFFFF"/>
            <w:vAlign w:val="center"/>
          </w:tcPr>
          <w:p w14:paraId="4C6F962A">
            <w:pPr>
              <w:widowControl/>
              <w:jc w:val="center"/>
              <w:rPr>
                <w:rFonts w:ascii="宋体" w:hAnsi="宋体" w:eastAsia="宋体" w:cs="宋体"/>
                <w:kern w:val="0"/>
                <w:sz w:val="20"/>
                <w:szCs w:val="20"/>
              </w:rPr>
            </w:pPr>
            <w:r>
              <w:rPr>
                <w:rFonts w:hint="eastAsia" w:ascii="宋体" w:hAnsi="宋体" w:eastAsia="宋体" w:cs="宋体"/>
                <w:kern w:val="0"/>
                <w:sz w:val="20"/>
                <w:szCs w:val="20"/>
              </w:rPr>
              <w:t>因场馆日常运营需要或各类现场检查等，需积极配合并及时完成。</w:t>
            </w:r>
          </w:p>
        </w:tc>
        <w:tc>
          <w:tcPr>
            <w:tcW w:w="1713" w:type="pct"/>
            <w:tcBorders>
              <w:top w:val="nil"/>
              <w:left w:val="nil"/>
              <w:bottom w:val="single" w:color="auto" w:sz="4" w:space="0"/>
              <w:right w:val="single" w:color="auto" w:sz="4" w:space="0"/>
            </w:tcBorders>
            <w:shd w:val="clear" w:color="000000" w:fill="FFFFFF"/>
            <w:vAlign w:val="center"/>
          </w:tcPr>
          <w:p w14:paraId="5E664ACE">
            <w:pPr>
              <w:widowControl/>
              <w:jc w:val="center"/>
              <w:rPr>
                <w:rFonts w:ascii="宋体" w:hAnsi="宋体" w:eastAsia="宋体" w:cs="宋体"/>
                <w:kern w:val="0"/>
                <w:sz w:val="20"/>
                <w:szCs w:val="20"/>
              </w:rPr>
            </w:pPr>
            <w:r>
              <w:rPr>
                <w:rFonts w:hint="eastAsia" w:ascii="宋体" w:hAnsi="宋体" w:eastAsia="宋体" w:cs="宋体"/>
                <w:kern w:val="0"/>
                <w:sz w:val="20"/>
                <w:szCs w:val="20"/>
              </w:rPr>
              <w:t>积极配合各类现场需求，发现不及时或推诿现象，每次扣1分。</w:t>
            </w:r>
          </w:p>
        </w:tc>
        <w:tc>
          <w:tcPr>
            <w:tcW w:w="574" w:type="pct"/>
            <w:tcBorders>
              <w:top w:val="nil"/>
              <w:left w:val="nil"/>
              <w:bottom w:val="single" w:color="auto" w:sz="4" w:space="0"/>
              <w:right w:val="single" w:color="auto" w:sz="4" w:space="0"/>
            </w:tcBorders>
            <w:shd w:val="clear" w:color="000000" w:fill="FFFFFF"/>
            <w:noWrap/>
            <w:vAlign w:val="center"/>
          </w:tcPr>
          <w:p w14:paraId="053184B1">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0E1C76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CC8EEDD">
            <w:pPr>
              <w:widowControl/>
              <w:jc w:val="left"/>
              <w:rPr>
                <w:rFonts w:ascii="宋体" w:hAnsi="宋体" w:eastAsia="宋体" w:cs="宋体"/>
                <w:kern w:val="0"/>
                <w:sz w:val="22"/>
              </w:rPr>
            </w:pPr>
            <w:r>
              <w:rPr>
                <w:rFonts w:hint="eastAsia" w:ascii="宋体" w:hAnsi="宋体" w:eastAsia="宋体" w:cs="宋体"/>
                <w:kern w:val="0"/>
                <w:sz w:val="22"/>
              </w:rPr>
              <w:t>　</w:t>
            </w:r>
          </w:p>
        </w:tc>
      </w:tr>
      <w:tr w14:paraId="61FA7F58">
        <w:tblPrEx>
          <w:tblCellMar>
            <w:top w:w="0" w:type="dxa"/>
            <w:left w:w="108" w:type="dxa"/>
            <w:bottom w:w="0" w:type="dxa"/>
            <w:right w:w="108" w:type="dxa"/>
          </w:tblCellMar>
        </w:tblPrEx>
        <w:trPr>
          <w:trHeight w:val="390" w:hRule="atLeast"/>
        </w:trPr>
        <w:tc>
          <w:tcPr>
            <w:tcW w:w="238" w:type="pct"/>
            <w:vMerge w:val="restart"/>
            <w:tcBorders>
              <w:top w:val="nil"/>
              <w:left w:val="single" w:color="auto" w:sz="4" w:space="0"/>
              <w:bottom w:val="single" w:color="auto" w:sz="4" w:space="0"/>
              <w:right w:val="single" w:color="auto" w:sz="4" w:space="0"/>
            </w:tcBorders>
            <w:shd w:val="clear" w:color="000000" w:fill="FFFFFF"/>
            <w:vAlign w:val="center"/>
          </w:tcPr>
          <w:p w14:paraId="71DE6C9C">
            <w:pPr>
              <w:widowControl/>
              <w:jc w:val="center"/>
              <w:rPr>
                <w:rFonts w:ascii="宋体" w:hAnsi="宋体" w:eastAsia="宋体" w:cs="宋体"/>
                <w:kern w:val="0"/>
                <w:sz w:val="22"/>
              </w:rPr>
            </w:pPr>
            <w:r>
              <w:rPr>
                <w:rFonts w:hint="eastAsia" w:ascii="宋体" w:hAnsi="宋体" w:eastAsia="宋体" w:cs="宋体"/>
                <w:kern w:val="0"/>
                <w:sz w:val="22"/>
              </w:rPr>
              <w:t>86</w:t>
            </w:r>
          </w:p>
        </w:tc>
        <w:tc>
          <w:tcPr>
            <w:tcW w:w="234" w:type="pct"/>
            <w:vMerge w:val="restart"/>
            <w:tcBorders>
              <w:top w:val="nil"/>
              <w:left w:val="single" w:color="auto" w:sz="4" w:space="0"/>
              <w:bottom w:val="single" w:color="auto" w:sz="4" w:space="0"/>
              <w:right w:val="single" w:color="auto" w:sz="4" w:space="0"/>
            </w:tcBorders>
            <w:shd w:val="clear" w:color="000000" w:fill="FFFFFF"/>
            <w:vAlign w:val="center"/>
          </w:tcPr>
          <w:p w14:paraId="00541F42">
            <w:pPr>
              <w:widowControl/>
              <w:jc w:val="center"/>
              <w:rPr>
                <w:rFonts w:ascii="宋体" w:hAnsi="宋体" w:eastAsia="宋体" w:cs="宋体"/>
                <w:b/>
                <w:bCs/>
                <w:kern w:val="0"/>
                <w:sz w:val="22"/>
              </w:rPr>
            </w:pPr>
            <w:r>
              <w:rPr>
                <w:rFonts w:hint="eastAsia" w:ascii="宋体" w:hAnsi="宋体" w:eastAsia="宋体" w:cs="宋体"/>
                <w:b/>
                <w:bCs/>
                <w:kern w:val="0"/>
                <w:sz w:val="22"/>
              </w:rPr>
              <w:t>秩序服务板块</w:t>
            </w:r>
          </w:p>
        </w:tc>
        <w:tc>
          <w:tcPr>
            <w:tcW w:w="275" w:type="pct"/>
            <w:vMerge w:val="restart"/>
            <w:tcBorders>
              <w:top w:val="nil"/>
              <w:left w:val="single" w:color="auto" w:sz="4" w:space="0"/>
              <w:bottom w:val="single" w:color="auto" w:sz="4" w:space="0"/>
              <w:right w:val="single" w:color="auto" w:sz="4" w:space="0"/>
            </w:tcBorders>
            <w:shd w:val="clear" w:color="000000" w:fill="FFFFFF"/>
            <w:vAlign w:val="center"/>
          </w:tcPr>
          <w:p w14:paraId="1F5A27C2">
            <w:pPr>
              <w:widowControl/>
              <w:jc w:val="center"/>
              <w:rPr>
                <w:rFonts w:ascii="宋体" w:hAnsi="宋体" w:eastAsia="宋体" w:cs="宋体"/>
                <w:kern w:val="0"/>
                <w:sz w:val="22"/>
              </w:rPr>
            </w:pPr>
            <w:r>
              <w:rPr>
                <w:rFonts w:hint="eastAsia" w:ascii="宋体" w:hAnsi="宋体" w:eastAsia="宋体" w:cs="宋体"/>
                <w:kern w:val="0"/>
                <w:sz w:val="22"/>
              </w:rPr>
              <w:t>安全保卫部条线</w:t>
            </w:r>
          </w:p>
        </w:tc>
        <w:tc>
          <w:tcPr>
            <w:tcW w:w="397" w:type="pct"/>
            <w:vMerge w:val="restart"/>
            <w:tcBorders>
              <w:top w:val="nil"/>
              <w:left w:val="single" w:color="auto" w:sz="4" w:space="0"/>
              <w:bottom w:val="single" w:color="000000" w:sz="4" w:space="0"/>
              <w:right w:val="single" w:color="auto" w:sz="4" w:space="0"/>
            </w:tcBorders>
            <w:shd w:val="clear" w:color="000000" w:fill="FFFFFF"/>
            <w:vAlign w:val="center"/>
          </w:tcPr>
          <w:p w14:paraId="7E0D2C4A">
            <w:pPr>
              <w:widowControl/>
              <w:jc w:val="center"/>
              <w:rPr>
                <w:rFonts w:ascii="宋体" w:hAnsi="宋体" w:eastAsia="宋体" w:cs="宋体"/>
                <w:kern w:val="0"/>
                <w:sz w:val="20"/>
                <w:szCs w:val="20"/>
              </w:rPr>
            </w:pPr>
            <w:r>
              <w:rPr>
                <w:rFonts w:hint="eastAsia" w:ascii="宋体" w:hAnsi="宋体" w:eastAsia="宋体" w:cs="宋体"/>
                <w:kern w:val="0"/>
                <w:sz w:val="20"/>
                <w:szCs w:val="20"/>
              </w:rPr>
              <w:t>安全保障</w:t>
            </w:r>
          </w:p>
        </w:tc>
        <w:tc>
          <w:tcPr>
            <w:tcW w:w="943" w:type="pct"/>
            <w:tcBorders>
              <w:top w:val="nil"/>
              <w:left w:val="nil"/>
              <w:bottom w:val="single" w:color="auto" w:sz="4" w:space="0"/>
              <w:right w:val="single" w:color="auto" w:sz="4" w:space="0"/>
            </w:tcBorders>
            <w:shd w:val="clear" w:color="000000" w:fill="FFFFFF"/>
            <w:vAlign w:val="center"/>
          </w:tcPr>
          <w:p w14:paraId="7A9FF9EC">
            <w:pPr>
              <w:widowControl/>
              <w:jc w:val="center"/>
              <w:rPr>
                <w:rFonts w:ascii="宋体" w:hAnsi="宋体" w:eastAsia="宋体" w:cs="宋体"/>
                <w:kern w:val="0"/>
                <w:sz w:val="20"/>
                <w:szCs w:val="20"/>
              </w:rPr>
            </w:pPr>
            <w:r>
              <w:rPr>
                <w:rFonts w:hint="eastAsia" w:ascii="宋体" w:hAnsi="宋体" w:eastAsia="宋体" w:cs="宋体"/>
                <w:kern w:val="0"/>
                <w:sz w:val="20"/>
                <w:szCs w:val="20"/>
              </w:rPr>
              <w:t>上班期间饮酒，或酒后上岗</w:t>
            </w:r>
          </w:p>
        </w:tc>
        <w:tc>
          <w:tcPr>
            <w:tcW w:w="1713" w:type="pct"/>
            <w:tcBorders>
              <w:top w:val="nil"/>
              <w:left w:val="nil"/>
              <w:bottom w:val="single" w:color="auto" w:sz="4" w:space="0"/>
              <w:right w:val="single" w:color="auto" w:sz="4" w:space="0"/>
            </w:tcBorders>
            <w:shd w:val="clear" w:color="000000" w:fill="FFFFFF"/>
            <w:vAlign w:val="center"/>
          </w:tcPr>
          <w:p w14:paraId="0DA07DA8">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每有一处不符合标准扣1-10分</w:t>
            </w:r>
          </w:p>
        </w:tc>
        <w:tc>
          <w:tcPr>
            <w:tcW w:w="574" w:type="pct"/>
            <w:tcBorders>
              <w:top w:val="nil"/>
              <w:left w:val="nil"/>
              <w:bottom w:val="single" w:color="auto" w:sz="4" w:space="0"/>
              <w:right w:val="single" w:color="auto" w:sz="4" w:space="0"/>
            </w:tcBorders>
            <w:shd w:val="clear" w:color="000000" w:fill="FFFFFF"/>
            <w:noWrap/>
            <w:vAlign w:val="center"/>
          </w:tcPr>
          <w:p w14:paraId="125473BC">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F241EFE">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D5CC5AD">
            <w:pPr>
              <w:widowControl/>
              <w:jc w:val="left"/>
              <w:rPr>
                <w:rFonts w:ascii="宋体" w:hAnsi="宋体" w:eastAsia="宋体" w:cs="宋体"/>
                <w:kern w:val="0"/>
                <w:sz w:val="22"/>
              </w:rPr>
            </w:pPr>
            <w:r>
              <w:rPr>
                <w:rFonts w:hint="eastAsia" w:ascii="宋体" w:hAnsi="宋体" w:eastAsia="宋体" w:cs="宋体"/>
                <w:kern w:val="0"/>
                <w:sz w:val="22"/>
              </w:rPr>
              <w:t>　</w:t>
            </w:r>
          </w:p>
        </w:tc>
      </w:tr>
      <w:tr w14:paraId="4294A6D3">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28A0C2D7">
            <w:pPr>
              <w:widowControl/>
              <w:jc w:val="left"/>
              <w:rPr>
                <w:rFonts w:ascii="宋体" w:hAnsi="宋体" w:eastAsia="宋体" w:cs="宋体"/>
                <w:kern w:val="0"/>
                <w:sz w:val="22"/>
              </w:rPr>
            </w:pPr>
          </w:p>
        </w:tc>
        <w:tc>
          <w:tcPr>
            <w:tcW w:w="234" w:type="pct"/>
            <w:vMerge w:val="continue"/>
            <w:tcBorders>
              <w:top w:val="nil"/>
              <w:left w:val="single" w:color="auto" w:sz="4" w:space="0"/>
              <w:bottom w:val="single" w:color="auto" w:sz="4" w:space="0"/>
              <w:right w:val="single" w:color="auto" w:sz="4" w:space="0"/>
            </w:tcBorders>
            <w:vAlign w:val="center"/>
          </w:tcPr>
          <w:p w14:paraId="7A34A566">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2906ADA9">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148DF733">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31D16315">
            <w:pPr>
              <w:widowControl/>
              <w:jc w:val="center"/>
              <w:rPr>
                <w:rFonts w:ascii="宋体" w:hAnsi="宋体" w:eastAsia="宋体" w:cs="宋体"/>
                <w:kern w:val="0"/>
                <w:sz w:val="20"/>
                <w:szCs w:val="20"/>
              </w:rPr>
            </w:pPr>
            <w:r>
              <w:rPr>
                <w:rFonts w:hint="eastAsia" w:ascii="宋体" w:hAnsi="宋体" w:eastAsia="宋体" w:cs="宋体"/>
                <w:kern w:val="0"/>
                <w:sz w:val="20"/>
                <w:szCs w:val="20"/>
              </w:rPr>
              <w:t>迟到早退、擅离职守</w:t>
            </w:r>
          </w:p>
        </w:tc>
        <w:tc>
          <w:tcPr>
            <w:tcW w:w="1713" w:type="pct"/>
            <w:tcBorders>
              <w:top w:val="nil"/>
              <w:left w:val="nil"/>
              <w:bottom w:val="single" w:color="auto" w:sz="4" w:space="0"/>
              <w:right w:val="single" w:color="auto" w:sz="4" w:space="0"/>
            </w:tcBorders>
            <w:shd w:val="clear" w:color="000000" w:fill="FFFFFF"/>
            <w:vAlign w:val="center"/>
          </w:tcPr>
          <w:p w14:paraId="7CA2168F">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每有一处不符合标准扣1-5分</w:t>
            </w:r>
          </w:p>
        </w:tc>
        <w:tc>
          <w:tcPr>
            <w:tcW w:w="574" w:type="pct"/>
            <w:tcBorders>
              <w:top w:val="nil"/>
              <w:left w:val="nil"/>
              <w:bottom w:val="single" w:color="auto" w:sz="4" w:space="0"/>
              <w:right w:val="single" w:color="auto" w:sz="4" w:space="0"/>
            </w:tcBorders>
            <w:shd w:val="clear" w:color="000000" w:fill="FFFFFF"/>
            <w:noWrap/>
            <w:vAlign w:val="center"/>
          </w:tcPr>
          <w:p w14:paraId="7E7826B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34B92E2">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14124AF">
            <w:pPr>
              <w:widowControl/>
              <w:jc w:val="left"/>
              <w:rPr>
                <w:rFonts w:ascii="宋体" w:hAnsi="宋体" w:eastAsia="宋体" w:cs="宋体"/>
                <w:kern w:val="0"/>
                <w:sz w:val="22"/>
              </w:rPr>
            </w:pPr>
            <w:r>
              <w:rPr>
                <w:rFonts w:hint="eastAsia" w:ascii="宋体" w:hAnsi="宋体" w:eastAsia="宋体" w:cs="宋体"/>
                <w:kern w:val="0"/>
                <w:sz w:val="22"/>
              </w:rPr>
              <w:t>　</w:t>
            </w:r>
          </w:p>
        </w:tc>
      </w:tr>
      <w:tr w14:paraId="0551920D">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7B2D236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auto" w:sz="4" w:space="0"/>
              <w:right w:val="single" w:color="auto" w:sz="4" w:space="0"/>
            </w:tcBorders>
            <w:vAlign w:val="center"/>
          </w:tcPr>
          <w:p w14:paraId="788AF502">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155864CF">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279AFBDA">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233BAB16">
            <w:pPr>
              <w:widowControl/>
              <w:jc w:val="center"/>
              <w:rPr>
                <w:rFonts w:ascii="宋体" w:hAnsi="宋体" w:eastAsia="宋体" w:cs="宋体"/>
                <w:kern w:val="0"/>
                <w:sz w:val="20"/>
                <w:szCs w:val="20"/>
              </w:rPr>
            </w:pPr>
            <w:r>
              <w:rPr>
                <w:rFonts w:hint="eastAsia" w:ascii="宋体" w:hAnsi="宋体" w:eastAsia="宋体" w:cs="宋体"/>
                <w:kern w:val="0"/>
                <w:sz w:val="20"/>
                <w:szCs w:val="20"/>
              </w:rPr>
              <w:t>贪污受贿，利用职务之便谋私利</w:t>
            </w:r>
          </w:p>
        </w:tc>
        <w:tc>
          <w:tcPr>
            <w:tcW w:w="1713" w:type="pct"/>
            <w:tcBorders>
              <w:top w:val="nil"/>
              <w:left w:val="nil"/>
              <w:bottom w:val="single" w:color="auto" w:sz="4" w:space="0"/>
              <w:right w:val="single" w:color="auto" w:sz="4" w:space="0"/>
            </w:tcBorders>
            <w:shd w:val="clear" w:color="000000" w:fill="FFFFFF"/>
            <w:vAlign w:val="center"/>
          </w:tcPr>
          <w:p w14:paraId="19DF01FB">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每有一处不符合标准扣1-10分</w:t>
            </w:r>
          </w:p>
        </w:tc>
        <w:tc>
          <w:tcPr>
            <w:tcW w:w="574" w:type="pct"/>
            <w:tcBorders>
              <w:top w:val="nil"/>
              <w:left w:val="nil"/>
              <w:bottom w:val="single" w:color="auto" w:sz="4" w:space="0"/>
              <w:right w:val="single" w:color="auto" w:sz="4" w:space="0"/>
            </w:tcBorders>
            <w:shd w:val="clear" w:color="000000" w:fill="FFFFFF"/>
            <w:noWrap/>
            <w:vAlign w:val="center"/>
          </w:tcPr>
          <w:p w14:paraId="4DF5888B">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4835403">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1B3501C">
            <w:pPr>
              <w:widowControl/>
              <w:jc w:val="left"/>
              <w:rPr>
                <w:rFonts w:ascii="宋体" w:hAnsi="宋体" w:eastAsia="宋体" w:cs="宋体"/>
                <w:kern w:val="0"/>
                <w:sz w:val="22"/>
              </w:rPr>
            </w:pPr>
            <w:r>
              <w:rPr>
                <w:rFonts w:hint="eastAsia" w:ascii="宋体" w:hAnsi="宋体" w:eastAsia="宋体" w:cs="宋体"/>
                <w:kern w:val="0"/>
                <w:sz w:val="22"/>
              </w:rPr>
              <w:t>　</w:t>
            </w:r>
          </w:p>
        </w:tc>
      </w:tr>
      <w:tr w14:paraId="50801F04">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4047A31F">
            <w:pPr>
              <w:widowControl/>
              <w:jc w:val="left"/>
              <w:rPr>
                <w:rFonts w:ascii="宋体" w:hAnsi="宋体" w:eastAsia="宋体" w:cs="宋体"/>
                <w:kern w:val="0"/>
                <w:sz w:val="22"/>
              </w:rPr>
            </w:pPr>
          </w:p>
        </w:tc>
        <w:tc>
          <w:tcPr>
            <w:tcW w:w="234" w:type="pct"/>
            <w:vMerge w:val="continue"/>
            <w:tcBorders>
              <w:top w:val="nil"/>
              <w:left w:val="single" w:color="auto" w:sz="4" w:space="0"/>
              <w:bottom w:val="single" w:color="auto" w:sz="4" w:space="0"/>
              <w:right w:val="single" w:color="auto" w:sz="4" w:space="0"/>
            </w:tcBorders>
            <w:vAlign w:val="center"/>
          </w:tcPr>
          <w:p w14:paraId="2414BAFE">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02D8B181">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638A0CBE">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6D95F2B2">
            <w:pPr>
              <w:widowControl/>
              <w:jc w:val="center"/>
              <w:rPr>
                <w:rFonts w:ascii="宋体" w:hAnsi="宋体" w:eastAsia="宋体" w:cs="宋体"/>
                <w:kern w:val="0"/>
                <w:sz w:val="20"/>
                <w:szCs w:val="20"/>
              </w:rPr>
            </w:pPr>
            <w:r>
              <w:rPr>
                <w:rFonts w:hint="eastAsia" w:ascii="宋体" w:hAnsi="宋体" w:eastAsia="宋体" w:cs="宋体"/>
                <w:kern w:val="0"/>
                <w:sz w:val="20"/>
                <w:szCs w:val="20"/>
              </w:rPr>
              <w:t>不服从指挥，工作拖拉、怠慢</w:t>
            </w:r>
          </w:p>
        </w:tc>
        <w:tc>
          <w:tcPr>
            <w:tcW w:w="1713" w:type="pct"/>
            <w:tcBorders>
              <w:top w:val="nil"/>
              <w:left w:val="nil"/>
              <w:bottom w:val="single" w:color="auto" w:sz="4" w:space="0"/>
              <w:right w:val="single" w:color="auto" w:sz="4" w:space="0"/>
            </w:tcBorders>
            <w:shd w:val="clear" w:color="000000" w:fill="FFFFFF"/>
            <w:vAlign w:val="center"/>
          </w:tcPr>
          <w:p w14:paraId="71FF77D5">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每有一处不符合标准扣1-5分</w:t>
            </w:r>
          </w:p>
        </w:tc>
        <w:tc>
          <w:tcPr>
            <w:tcW w:w="574" w:type="pct"/>
            <w:tcBorders>
              <w:top w:val="nil"/>
              <w:left w:val="nil"/>
              <w:bottom w:val="single" w:color="auto" w:sz="4" w:space="0"/>
              <w:right w:val="single" w:color="auto" w:sz="4" w:space="0"/>
            </w:tcBorders>
            <w:shd w:val="clear" w:color="000000" w:fill="FFFFFF"/>
            <w:noWrap/>
            <w:vAlign w:val="center"/>
          </w:tcPr>
          <w:p w14:paraId="390C9CE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B7CAF84">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CF4755D">
            <w:pPr>
              <w:widowControl/>
              <w:jc w:val="left"/>
              <w:rPr>
                <w:rFonts w:ascii="宋体" w:hAnsi="宋体" w:eastAsia="宋体" w:cs="宋体"/>
                <w:kern w:val="0"/>
                <w:sz w:val="22"/>
              </w:rPr>
            </w:pPr>
            <w:r>
              <w:rPr>
                <w:rFonts w:hint="eastAsia" w:ascii="宋体" w:hAnsi="宋体" w:eastAsia="宋体" w:cs="宋体"/>
                <w:kern w:val="0"/>
                <w:sz w:val="22"/>
              </w:rPr>
              <w:t>　</w:t>
            </w:r>
          </w:p>
        </w:tc>
      </w:tr>
      <w:tr w14:paraId="3A9EA3ED">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48A5D7DB">
            <w:pPr>
              <w:widowControl/>
              <w:jc w:val="left"/>
              <w:rPr>
                <w:rFonts w:ascii="宋体" w:hAnsi="宋体" w:eastAsia="宋体" w:cs="宋体"/>
                <w:kern w:val="0"/>
                <w:sz w:val="22"/>
              </w:rPr>
            </w:pPr>
          </w:p>
        </w:tc>
        <w:tc>
          <w:tcPr>
            <w:tcW w:w="234" w:type="pct"/>
            <w:vMerge w:val="continue"/>
            <w:tcBorders>
              <w:top w:val="nil"/>
              <w:left w:val="single" w:color="auto" w:sz="4" w:space="0"/>
              <w:bottom w:val="single" w:color="auto" w:sz="4" w:space="0"/>
              <w:right w:val="single" w:color="auto" w:sz="4" w:space="0"/>
            </w:tcBorders>
            <w:vAlign w:val="center"/>
          </w:tcPr>
          <w:p w14:paraId="69ED7005">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1A64FC39">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74C2AB9C">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6EF50303">
            <w:pPr>
              <w:widowControl/>
              <w:jc w:val="center"/>
              <w:rPr>
                <w:rFonts w:ascii="宋体" w:hAnsi="宋体" w:eastAsia="宋体" w:cs="宋体"/>
                <w:kern w:val="0"/>
                <w:sz w:val="20"/>
                <w:szCs w:val="20"/>
              </w:rPr>
            </w:pPr>
            <w:r>
              <w:rPr>
                <w:rFonts w:hint="eastAsia" w:ascii="宋体" w:hAnsi="宋体" w:eastAsia="宋体" w:cs="宋体"/>
                <w:kern w:val="0"/>
                <w:sz w:val="20"/>
                <w:szCs w:val="20"/>
              </w:rPr>
              <w:t>谩骂观众，打架斗殴</w:t>
            </w:r>
          </w:p>
        </w:tc>
        <w:tc>
          <w:tcPr>
            <w:tcW w:w="1713" w:type="pct"/>
            <w:tcBorders>
              <w:top w:val="nil"/>
              <w:left w:val="nil"/>
              <w:bottom w:val="single" w:color="auto" w:sz="4" w:space="0"/>
              <w:right w:val="single" w:color="auto" w:sz="4" w:space="0"/>
            </w:tcBorders>
            <w:shd w:val="clear" w:color="000000" w:fill="FFFFFF"/>
            <w:vAlign w:val="center"/>
          </w:tcPr>
          <w:p w14:paraId="6FCC3759">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每有一处不符合标准扣1-10分</w:t>
            </w:r>
          </w:p>
        </w:tc>
        <w:tc>
          <w:tcPr>
            <w:tcW w:w="574" w:type="pct"/>
            <w:tcBorders>
              <w:top w:val="nil"/>
              <w:left w:val="nil"/>
              <w:bottom w:val="single" w:color="auto" w:sz="4" w:space="0"/>
              <w:right w:val="single" w:color="auto" w:sz="4" w:space="0"/>
            </w:tcBorders>
            <w:shd w:val="clear" w:color="000000" w:fill="FFFFFF"/>
            <w:noWrap/>
            <w:vAlign w:val="center"/>
          </w:tcPr>
          <w:p w14:paraId="2B4CCBD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6DAD7C4">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5A65648">
            <w:pPr>
              <w:widowControl/>
              <w:jc w:val="left"/>
              <w:rPr>
                <w:rFonts w:ascii="宋体" w:hAnsi="宋体" w:eastAsia="宋体" w:cs="宋体"/>
                <w:kern w:val="0"/>
                <w:sz w:val="22"/>
              </w:rPr>
            </w:pPr>
            <w:r>
              <w:rPr>
                <w:rFonts w:hint="eastAsia" w:ascii="宋体" w:hAnsi="宋体" w:eastAsia="宋体" w:cs="宋体"/>
                <w:kern w:val="0"/>
                <w:sz w:val="22"/>
              </w:rPr>
              <w:t>　</w:t>
            </w:r>
          </w:p>
        </w:tc>
      </w:tr>
      <w:tr w14:paraId="3FC5CF95">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0D381EB3">
            <w:pPr>
              <w:widowControl/>
              <w:jc w:val="left"/>
              <w:rPr>
                <w:rFonts w:ascii="宋体" w:hAnsi="宋体" w:eastAsia="宋体" w:cs="宋体"/>
                <w:kern w:val="0"/>
                <w:sz w:val="22"/>
              </w:rPr>
            </w:pPr>
          </w:p>
        </w:tc>
        <w:tc>
          <w:tcPr>
            <w:tcW w:w="234" w:type="pct"/>
            <w:vMerge w:val="continue"/>
            <w:tcBorders>
              <w:top w:val="nil"/>
              <w:left w:val="single" w:color="auto" w:sz="4" w:space="0"/>
              <w:bottom w:val="single" w:color="auto" w:sz="4" w:space="0"/>
              <w:right w:val="single" w:color="auto" w:sz="4" w:space="0"/>
            </w:tcBorders>
            <w:vAlign w:val="center"/>
          </w:tcPr>
          <w:p w14:paraId="380EDDDA">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6161E53B">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1B3D503B">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0BEAA471">
            <w:pPr>
              <w:widowControl/>
              <w:jc w:val="center"/>
              <w:rPr>
                <w:rFonts w:ascii="宋体" w:hAnsi="宋体" w:eastAsia="宋体" w:cs="宋体"/>
                <w:kern w:val="0"/>
                <w:sz w:val="20"/>
                <w:szCs w:val="20"/>
              </w:rPr>
            </w:pPr>
            <w:r>
              <w:rPr>
                <w:rFonts w:hint="eastAsia" w:ascii="宋体" w:hAnsi="宋体" w:eastAsia="宋体" w:cs="宋体"/>
                <w:kern w:val="0"/>
                <w:sz w:val="20"/>
                <w:szCs w:val="20"/>
              </w:rPr>
              <w:t>上班期间睡觉</w:t>
            </w:r>
          </w:p>
        </w:tc>
        <w:tc>
          <w:tcPr>
            <w:tcW w:w="1713" w:type="pct"/>
            <w:tcBorders>
              <w:top w:val="nil"/>
              <w:left w:val="nil"/>
              <w:bottom w:val="single" w:color="auto" w:sz="4" w:space="0"/>
              <w:right w:val="single" w:color="auto" w:sz="4" w:space="0"/>
            </w:tcBorders>
            <w:shd w:val="clear" w:color="000000" w:fill="FFFFFF"/>
            <w:vAlign w:val="center"/>
          </w:tcPr>
          <w:p w14:paraId="72EF79C1">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每有一处不符合标准扣1-5分</w:t>
            </w:r>
          </w:p>
        </w:tc>
        <w:tc>
          <w:tcPr>
            <w:tcW w:w="574" w:type="pct"/>
            <w:tcBorders>
              <w:top w:val="nil"/>
              <w:left w:val="nil"/>
              <w:bottom w:val="single" w:color="auto" w:sz="4" w:space="0"/>
              <w:right w:val="single" w:color="auto" w:sz="4" w:space="0"/>
            </w:tcBorders>
            <w:shd w:val="clear" w:color="000000" w:fill="FFFFFF"/>
            <w:vAlign w:val="center"/>
          </w:tcPr>
          <w:p w14:paraId="1517093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506395E2">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AF9AEEA">
            <w:pPr>
              <w:widowControl/>
              <w:jc w:val="left"/>
              <w:rPr>
                <w:rFonts w:ascii="宋体" w:hAnsi="宋体" w:eastAsia="宋体" w:cs="宋体"/>
                <w:kern w:val="0"/>
                <w:sz w:val="22"/>
              </w:rPr>
            </w:pPr>
            <w:r>
              <w:rPr>
                <w:rFonts w:hint="eastAsia" w:ascii="宋体" w:hAnsi="宋体" w:eastAsia="宋体" w:cs="宋体"/>
                <w:kern w:val="0"/>
                <w:sz w:val="22"/>
              </w:rPr>
              <w:t>　</w:t>
            </w:r>
          </w:p>
        </w:tc>
      </w:tr>
      <w:tr w14:paraId="738DAE17">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6FF68D3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auto" w:sz="4" w:space="0"/>
              <w:right w:val="single" w:color="auto" w:sz="4" w:space="0"/>
            </w:tcBorders>
            <w:vAlign w:val="center"/>
          </w:tcPr>
          <w:p w14:paraId="63871E7E">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2445F577">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260AF94E">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590F0610">
            <w:pPr>
              <w:widowControl/>
              <w:jc w:val="center"/>
              <w:rPr>
                <w:rFonts w:ascii="宋体" w:hAnsi="宋体" w:eastAsia="宋体" w:cs="宋体"/>
                <w:kern w:val="0"/>
                <w:sz w:val="20"/>
                <w:szCs w:val="20"/>
              </w:rPr>
            </w:pPr>
            <w:r>
              <w:rPr>
                <w:rFonts w:hint="eastAsia" w:ascii="宋体" w:hAnsi="宋体" w:eastAsia="宋体" w:cs="宋体"/>
                <w:kern w:val="0"/>
                <w:sz w:val="20"/>
                <w:szCs w:val="20"/>
              </w:rPr>
              <w:t>安全检查不符合规定</w:t>
            </w:r>
          </w:p>
        </w:tc>
        <w:tc>
          <w:tcPr>
            <w:tcW w:w="1713" w:type="pct"/>
            <w:tcBorders>
              <w:top w:val="nil"/>
              <w:left w:val="nil"/>
              <w:bottom w:val="single" w:color="auto" w:sz="4" w:space="0"/>
              <w:right w:val="single" w:color="auto" w:sz="4" w:space="0"/>
            </w:tcBorders>
            <w:shd w:val="clear" w:color="000000" w:fill="FFFFFF"/>
            <w:vAlign w:val="center"/>
          </w:tcPr>
          <w:p w14:paraId="1DDDFD95">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每有一处不符合标准扣1-10分</w:t>
            </w:r>
          </w:p>
        </w:tc>
        <w:tc>
          <w:tcPr>
            <w:tcW w:w="574" w:type="pct"/>
            <w:tcBorders>
              <w:top w:val="nil"/>
              <w:left w:val="nil"/>
              <w:bottom w:val="single" w:color="auto" w:sz="4" w:space="0"/>
              <w:right w:val="single" w:color="auto" w:sz="4" w:space="0"/>
            </w:tcBorders>
            <w:shd w:val="clear" w:color="000000" w:fill="FFFFFF"/>
            <w:noWrap/>
            <w:vAlign w:val="center"/>
          </w:tcPr>
          <w:p w14:paraId="79E2371C">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55C628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C8A754E">
            <w:pPr>
              <w:widowControl/>
              <w:jc w:val="left"/>
              <w:rPr>
                <w:rFonts w:ascii="宋体" w:hAnsi="宋体" w:eastAsia="宋体" w:cs="宋体"/>
                <w:kern w:val="0"/>
                <w:sz w:val="22"/>
              </w:rPr>
            </w:pPr>
            <w:r>
              <w:rPr>
                <w:rFonts w:hint="eastAsia" w:ascii="宋体" w:hAnsi="宋体" w:eastAsia="宋体" w:cs="宋体"/>
                <w:kern w:val="0"/>
                <w:sz w:val="22"/>
              </w:rPr>
              <w:t>　</w:t>
            </w:r>
          </w:p>
        </w:tc>
      </w:tr>
      <w:tr w14:paraId="5B52CAF1">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282AA444">
            <w:pPr>
              <w:widowControl/>
              <w:jc w:val="left"/>
              <w:rPr>
                <w:rFonts w:ascii="宋体" w:hAnsi="宋体" w:eastAsia="宋体" w:cs="宋体"/>
                <w:kern w:val="0"/>
                <w:sz w:val="22"/>
              </w:rPr>
            </w:pPr>
          </w:p>
        </w:tc>
        <w:tc>
          <w:tcPr>
            <w:tcW w:w="234" w:type="pct"/>
            <w:vMerge w:val="continue"/>
            <w:tcBorders>
              <w:top w:val="nil"/>
              <w:left w:val="single" w:color="auto" w:sz="4" w:space="0"/>
              <w:bottom w:val="single" w:color="auto" w:sz="4" w:space="0"/>
              <w:right w:val="single" w:color="auto" w:sz="4" w:space="0"/>
            </w:tcBorders>
            <w:vAlign w:val="center"/>
          </w:tcPr>
          <w:p w14:paraId="6CD36F8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273C9076">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2E5C1004">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35DAC8BF">
            <w:pPr>
              <w:widowControl/>
              <w:jc w:val="center"/>
              <w:rPr>
                <w:rFonts w:ascii="宋体" w:hAnsi="宋体" w:eastAsia="宋体" w:cs="宋体"/>
                <w:kern w:val="0"/>
                <w:sz w:val="20"/>
                <w:szCs w:val="20"/>
              </w:rPr>
            </w:pPr>
            <w:r>
              <w:rPr>
                <w:rFonts w:hint="eastAsia" w:ascii="宋体" w:hAnsi="宋体" w:eastAsia="宋体" w:cs="宋体"/>
                <w:kern w:val="0"/>
                <w:sz w:val="20"/>
                <w:szCs w:val="20"/>
              </w:rPr>
              <w:t>安全设施设备使用不熟练</w:t>
            </w:r>
          </w:p>
        </w:tc>
        <w:tc>
          <w:tcPr>
            <w:tcW w:w="1713" w:type="pct"/>
            <w:tcBorders>
              <w:top w:val="nil"/>
              <w:left w:val="nil"/>
              <w:bottom w:val="single" w:color="auto" w:sz="4" w:space="0"/>
              <w:right w:val="single" w:color="auto" w:sz="4" w:space="0"/>
            </w:tcBorders>
            <w:shd w:val="clear" w:color="000000" w:fill="FFFFFF"/>
            <w:vAlign w:val="center"/>
          </w:tcPr>
          <w:p w14:paraId="34811BDF">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每有一处不符合标准扣1-5分</w:t>
            </w:r>
          </w:p>
        </w:tc>
        <w:tc>
          <w:tcPr>
            <w:tcW w:w="574" w:type="pct"/>
            <w:tcBorders>
              <w:top w:val="nil"/>
              <w:left w:val="nil"/>
              <w:bottom w:val="single" w:color="auto" w:sz="4" w:space="0"/>
              <w:right w:val="single" w:color="auto" w:sz="4" w:space="0"/>
            </w:tcBorders>
            <w:shd w:val="clear" w:color="000000" w:fill="FFFFFF"/>
            <w:noWrap/>
            <w:vAlign w:val="center"/>
          </w:tcPr>
          <w:p w14:paraId="2AD86D17">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4E2926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83954BB">
            <w:pPr>
              <w:widowControl/>
              <w:jc w:val="left"/>
              <w:rPr>
                <w:rFonts w:ascii="宋体" w:hAnsi="宋体" w:eastAsia="宋体" w:cs="宋体"/>
                <w:kern w:val="0"/>
                <w:sz w:val="22"/>
              </w:rPr>
            </w:pPr>
            <w:r>
              <w:rPr>
                <w:rFonts w:hint="eastAsia" w:ascii="宋体" w:hAnsi="宋体" w:eastAsia="宋体" w:cs="宋体"/>
                <w:kern w:val="0"/>
                <w:sz w:val="22"/>
              </w:rPr>
              <w:t>　</w:t>
            </w:r>
          </w:p>
        </w:tc>
      </w:tr>
      <w:tr w14:paraId="7D1BDD49">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3D35912C">
            <w:pPr>
              <w:widowControl/>
              <w:jc w:val="left"/>
              <w:rPr>
                <w:rFonts w:ascii="宋体" w:hAnsi="宋体" w:eastAsia="宋体" w:cs="宋体"/>
                <w:kern w:val="0"/>
                <w:sz w:val="22"/>
              </w:rPr>
            </w:pPr>
          </w:p>
        </w:tc>
        <w:tc>
          <w:tcPr>
            <w:tcW w:w="234" w:type="pct"/>
            <w:vMerge w:val="continue"/>
            <w:tcBorders>
              <w:top w:val="nil"/>
              <w:left w:val="single" w:color="auto" w:sz="4" w:space="0"/>
              <w:bottom w:val="single" w:color="auto" w:sz="4" w:space="0"/>
              <w:right w:val="single" w:color="auto" w:sz="4" w:space="0"/>
            </w:tcBorders>
            <w:vAlign w:val="center"/>
          </w:tcPr>
          <w:p w14:paraId="4A29F823">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6F95C17E">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377613F1">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728A2843">
            <w:pPr>
              <w:widowControl/>
              <w:jc w:val="center"/>
              <w:rPr>
                <w:rFonts w:ascii="宋体" w:hAnsi="宋体" w:eastAsia="宋体" w:cs="宋体"/>
                <w:kern w:val="0"/>
                <w:sz w:val="20"/>
                <w:szCs w:val="20"/>
              </w:rPr>
            </w:pPr>
            <w:r>
              <w:rPr>
                <w:rFonts w:hint="eastAsia" w:ascii="宋体" w:hAnsi="宋体" w:eastAsia="宋体" w:cs="宋体"/>
                <w:kern w:val="0"/>
                <w:sz w:val="20"/>
                <w:szCs w:val="20"/>
              </w:rPr>
              <w:t>外来车辆、人员管理不符合规定</w:t>
            </w:r>
          </w:p>
        </w:tc>
        <w:tc>
          <w:tcPr>
            <w:tcW w:w="1713" w:type="pct"/>
            <w:tcBorders>
              <w:top w:val="nil"/>
              <w:left w:val="nil"/>
              <w:bottom w:val="single" w:color="auto" w:sz="4" w:space="0"/>
              <w:right w:val="single" w:color="auto" w:sz="4" w:space="0"/>
            </w:tcBorders>
            <w:shd w:val="clear" w:color="000000" w:fill="FFFFFF"/>
            <w:vAlign w:val="center"/>
          </w:tcPr>
          <w:p w14:paraId="70369D80">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每有一处不符合标准扣1-5分</w:t>
            </w:r>
          </w:p>
        </w:tc>
        <w:tc>
          <w:tcPr>
            <w:tcW w:w="574" w:type="pct"/>
            <w:tcBorders>
              <w:top w:val="nil"/>
              <w:left w:val="nil"/>
              <w:bottom w:val="single" w:color="auto" w:sz="4" w:space="0"/>
              <w:right w:val="single" w:color="auto" w:sz="4" w:space="0"/>
            </w:tcBorders>
            <w:shd w:val="clear" w:color="000000" w:fill="FFFFFF"/>
            <w:noWrap/>
            <w:vAlign w:val="center"/>
          </w:tcPr>
          <w:p w14:paraId="1CB5538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354C3D4">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0B2B923">
            <w:pPr>
              <w:widowControl/>
              <w:jc w:val="left"/>
              <w:rPr>
                <w:rFonts w:ascii="宋体" w:hAnsi="宋体" w:eastAsia="宋体" w:cs="宋体"/>
                <w:kern w:val="0"/>
                <w:sz w:val="22"/>
              </w:rPr>
            </w:pPr>
            <w:r>
              <w:rPr>
                <w:rFonts w:hint="eastAsia" w:ascii="宋体" w:hAnsi="宋体" w:eastAsia="宋体" w:cs="宋体"/>
                <w:kern w:val="0"/>
                <w:sz w:val="22"/>
              </w:rPr>
              <w:t>　</w:t>
            </w:r>
          </w:p>
        </w:tc>
      </w:tr>
      <w:tr w14:paraId="4797200D">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61887D5D">
            <w:pPr>
              <w:widowControl/>
              <w:jc w:val="left"/>
              <w:rPr>
                <w:rFonts w:ascii="宋体" w:hAnsi="宋体" w:eastAsia="宋体" w:cs="宋体"/>
                <w:kern w:val="0"/>
                <w:sz w:val="22"/>
              </w:rPr>
            </w:pPr>
          </w:p>
        </w:tc>
        <w:tc>
          <w:tcPr>
            <w:tcW w:w="234" w:type="pct"/>
            <w:vMerge w:val="continue"/>
            <w:tcBorders>
              <w:top w:val="nil"/>
              <w:left w:val="single" w:color="auto" w:sz="4" w:space="0"/>
              <w:bottom w:val="single" w:color="auto" w:sz="4" w:space="0"/>
              <w:right w:val="single" w:color="auto" w:sz="4" w:space="0"/>
            </w:tcBorders>
            <w:vAlign w:val="center"/>
          </w:tcPr>
          <w:p w14:paraId="4B778518">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62F51A12">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3C1C1E13">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15306788">
            <w:pPr>
              <w:widowControl/>
              <w:jc w:val="center"/>
              <w:rPr>
                <w:rFonts w:ascii="宋体" w:hAnsi="宋体" w:eastAsia="宋体" w:cs="宋体"/>
                <w:kern w:val="0"/>
                <w:sz w:val="20"/>
                <w:szCs w:val="20"/>
              </w:rPr>
            </w:pPr>
            <w:r>
              <w:rPr>
                <w:rFonts w:hint="eastAsia" w:ascii="宋体" w:hAnsi="宋体" w:eastAsia="宋体" w:cs="宋体"/>
                <w:kern w:val="0"/>
                <w:sz w:val="20"/>
                <w:szCs w:val="20"/>
              </w:rPr>
              <w:t>发生安全生产事故</w:t>
            </w:r>
          </w:p>
        </w:tc>
        <w:tc>
          <w:tcPr>
            <w:tcW w:w="1713" w:type="pct"/>
            <w:tcBorders>
              <w:top w:val="nil"/>
              <w:left w:val="nil"/>
              <w:bottom w:val="single" w:color="auto" w:sz="4" w:space="0"/>
              <w:right w:val="single" w:color="auto" w:sz="4" w:space="0"/>
            </w:tcBorders>
            <w:shd w:val="clear" w:color="000000" w:fill="FFFFFF"/>
            <w:vAlign w:val="center"/>
          </w:tcPr>
          <w:p w14:paraId="797AC932">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每有一处不符合标准扣1-10分</w:t>
            </w:r>
          </w:p>
        </w:tc>
        <w:tc>
          <w:tcPr>
            <w:tcW w:w="574" w:type="pct"/>
            <w:tcBorders>
              <w:top w:val="nil"/>
              <w:left w:val="nil"/>
              <w:bottom w:val="single" w:color="auto" w:sz="4" w:space="0"/>
              <w:right w:val="single" w:color="auto" w:sz="4" w:space="0"/>
            </w:tcBorders>
            <w:shd w:val="clear" w:color="000000" w:fill="FFFFFF"/>
            <w:noWrap/>
            <w:vAlign w:val="center"/>
          </w:tcPr>
          <w:p w14:paraId="6B2A0049">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845B3A0">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8FAE5FD">
            <w:pPr>
              <w:widowControl/>
              <w:jc w:val="left"/>
              <w:rPr>
                <w:rFonts w:ascii="宋体" w:hAnsi="宋体" w:eastAsia="宋体" w:cs="宋体"/>
                <w:kern w:val="0"/>
                <w:sz w:val="22"/>
              </w:rPr>
            </w:pPr>
            <w:r>
              <w:rPr>
                <w:rFonts w:hint="eastAsia" w:ascii="宋体" w:hAnsi="宋体" w:eastAsia="宋体" w:cs="宋体"/>
                <w:kern w:val="0"/>
                <w:sz w:val="22"/>
              </w:rPr>
              <w:t>　</w:t>
            </w:r>
          </w:p>
        </w:tc>
      </w:tr>
      <w:tr w14:paraId="0951A3D6">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6451AE01">
            <w:pPr>
              <w:widowControl/>
              <w:jc w:val="left"/>
              <w:rPr>
                <w:rFonts w:ascii="宋体" w:hAnsi="宋体" w:eastAsia="宋体" w:cs="宋体"/>
                <w:kern w:val="0"/>
                <w:sz w:val="22"/>
              </w:rPr>
            </w:pPr>
          </w:p>
        </w:tc>
        <w:tc>
          <w:tcPr>
            <w:tcW w:w="234" w:type="pct"/>
            <w:vMerge w:val="continue"/>
            <w:tcBorders>
              <w:top w:val="nil"/>
              <w:left w:val="single" w:color="auto" w:sz="4" w:space="0"/>
              <w:bottom w:val="single" w:color="auto" w:sz="4" w:space="0"/>
              <w:right w:val="single" w:color="auto" w:sz="4" w:space="0"/>
            </w:tcBorders>
            <w:vAlign w:val="center"/>
          </w:tcPr>
          <w:p w14:paraId="5F825ABF">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1C64F47A">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3377D1E2">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4E0E655F">
            <w:pPr>
              <w:widowControl/>
              <w:jc w:val="center"/>
              <w:rPr>
                <w:rFonts w:ascii="宋体" w:hAnsi="宋体" w:eastAsia="宋体" w:cs="宋体"/>
                <w:kern w:val="0"/>
                <w:sz w:val="20"/>
                <w:szCs w:val="20"/>
              </w:rPr>
            </w:pPr>
            <w:r>
              <w:rPr>
                <w:rFonts w:hint="eastAsia" w:ascii="宋体" w:hAnsi="宋体" w:eastAsia="宋体" w:cs="宋体"/>
                <w:kern w:val="0"/>
                <w:sz w:val="20"/>
                <w:szCs w:val="20"/>
              </w:rPr>
              <w:t>发生文物安全事故</w:t>
            </w:r>
          </w:p>
        </w:tc>
        <w:tc>
          <w:tcPr>
            <w:tcW w:w="1713" w:type="pct"/>
            <w:tcBorders>
              <w:top w:val="nil"/>
              <w:left w:val="nil"/>
              <w:bottom w:val="single" w:color="auto" w:sz="4" w:space="0"/>
              <w:right w:val="single" w:color="auto" w:sz="4" w:space="0"/>
            </w:tcBorders>
            <w:shd w:val="clear" w:color="000000" w:fill="FFFFFF"/>
            <w:vAlign w:val="center"/>
          </w:tcPr>
          <w:p w14:paraId="6A9315F6">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每有一处不符合标准扣1-10分</w:t>
            </w:r>
          </w:p>
        </w:tc>
        <w:tc>
          <w:tcPr>
            <w:tcW w:w="574" w:type="pct"/>
            <w:tcBorders>
              <w:top w:val="nil"/>
              <w:left w:val="nil"/>
              <w:bottom w:val="single" w:color="auto" w:sz="4" w:space="0"/>
              <w:right w:val="single" w:color="auto" w:sz="4" w:space="0"/>
            </w:tcBorders>
            <w:shd w:val="clear" w:color="000000" w:fill="FFFFFF"/>
            <w:noWrap/>
            <w:vAlign w:val="center"/>
          </w:tcPr>
          <w:p w14:paraId="3D8A774C">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F9F116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89C4AF6">
            <w:pPr>
              <w:widowControl/>
              <w:jc w:val="left"/>
              <w:rPr>
                <w:rFonts w:ascii="宋体" w:hAnsi="宋体" w:eastAsia="宋体" w:cs="宋体"/>
                <w:kern w:val="0"/>
                <w:sz w:val="22"/>
              </w:rPr>
            </w:pPr>
            <w:r>
              <w:rPr>
                <w:rFonts w:hint="eastAsia" w:ascii="宋体" w:hAnsi="宋体" w:eastAsia="宋体" w:cs="宋体"/>
                <w:kern w:val="0"/>
                <w:sz w:val="22"/>
              </w:rPr>
              <w:t>　</w:t>
            </w:r>
          </w:p>
        </w:tc>
      </w:tr>
      <w:tr w14:paraId="13B63503">
        <w:tblPrEx>
          <w:tblCellMar>
            <w:top w:w="0" w:type="dxa"/>
            <w:left w:w="108" w:type="dxa"/>
            <w:bottom w:w="0" w:type="dxa"/>
            <w:right w:w="108" w:type="dxa"/>
          </w:tblCellMar>
        </w:tblPrEx>
        <w:trPr>
          <w:trHeight w:val="270" w:hRule="atLeast"/>
        </w:trPr>
        <w:tc>
          <w:tcPr>
            <w:tcW w:w="238" w:type="pct"/>
            <w:vMerge w:val="restart"/>
            <w:tcBorders>
              <w:top w:val="nil"/>
              <w:left w:val="single" w:color="auto" w:sz="4" w:space="0"/>
              <w:bottom w:val="single" w:color="auto" w:sz="4" w:space="0"/>
              <w:right w:val="single" w:color="auto" w:sz="4" w:space="0"/>
            </w:tcBorders>
            <w:shd w:val="clear" w:color="000000" w:fill="FFFFFF"/>
            <w:vAlign w:val="center"/>
          </w:tcPr>
          <w:p w14:paraId="4A42FF46">
            <w:pPr>
              <w:widowControl/>
              <w:jc w:val="center"/>
              <w:rPr>
                <w:rFonts w:ascii="宋体" w:hAnsi="宋体" w:eastAsia="宋体" w:cs="宋体"/>
                <w:kern w:val="0"/>
                <w:sz w:val="22"/>
              </w:rPr>
            </w:pPr>
            <w:r>
              <w:rPr>
                <w:rFonts w:hint="eastAsia" w:ascii="宋体" w:hAnsi="宋体" w:eastAsia="宋体" w:cs="宋体"/>
                <w:kern w:val="0"/>
                <w:sz w:val="22"/>
              </w:rPr>
              <w:t>87</w:t>
            </w:r>
          </w:p>
        </w:tc>
        <w:tc>
          <w:tcPr>
            <w:tcW w:w="234" w:type="pct"/>
            <w:vMerge w:val="continue"/>
            <w:tcBorders>
              <w:top w:val="nil"/>
              <w:left w:val="single" w:color="auto" w:sz="4" w:space="0"/>
              <w:bottom w:val="single" w:color="auto" w:sz="4" w:space="0"/>
              <w:right w:val="single" w:color="auto" w:sz="4" w:space="0"/>
            </w:tcBorders>
            <w:vAlign w:val="center"/>
          </w:tcPr>
          <w:p w14:paraId="4C72368F">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0FE7239D">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51EEF049">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1DBAEB36">
            <w:pPr>
              <w:widowControl/>
              <w:jc w:val="center"/>
              <w:rPr>
                <w:rFonts w:ascii="宋体" w:hAnsi="宋体" w:eastAsia="宋体" w:cs="宋体"/>
                <w:kern w:val="0"/>
                <w:sz w:val="20"/>
                <w:szCs w:val="20"/>
              </w:rPr>
            </w:pPr>
            <w:r>
              <w:rPr>
                <w:rFonts w:hint="eastAsia" w:ascii="宋体" w:hAnsi="宋体" w:eastAsia="宋体" w:cs="宋体"/>
                <w:kern w:val="0"/>
                <w:sz w:val="20"/>
                <w:szCs w:val="20"/>
              </w:rPr>
              <w:t>发生财务被盗事件</w:t>
            </w:r>
          </w:p>
        </w:tc>
        <w:tc>
          <w:tcPr>
            <w:tcW w:w="1713" w:type="pct"/>
            <w:tcBorders>
              <w:top w:val="nil"/>
              <w:left w:val="nil"/>
              <w:bottom w:val="single" w:color="auto" w:sz="4" w:space="0"/>
              <w:right w:val="single" w:color="auto" w:sz="4" w:space="0"/>
            </w:tcBorders>
            <w:shd w:val="clear" w:color="000000" w:fill="FFFFFF"/>
            <w:vAlign w:val="center"/>
          </w:tcPr>
          <w:p w14:paraId="4D7F9506">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每有一处不符合标准扣1-10分</w:t>
            </w:r>
          </w:p>
        </w:tc>
        <w:tc>
          <w:tcPr>
            <w:tcW w:w="574" w:type="pct"/>
            <w:tcBorders>
              <w:top w:val="nil"/>
              <w:left w:val="nil"/>
              <w:bottom w:val="single" w:color="auto" w:sz="4" w:space="0"/>
              <w:right w:val="single" w:color="auto" w:sz="4" w:space="0"/>
            </w:tcBorders>
            <w:shd w:val="clear" w:color="000000" w:fill="FFFFFF"/>
            <w:noWrap/>
            <w:vAlign w:val="center"/>
          </w:tcPr>
          <w:p w14:paraId="3B284377">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1A063E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2AA683A">
            <w:pPr>
              <w:widowControl/>
              <w:jc w:val="left"/>
              <w:rPr>
                <w:rFonts w:ascii="宋体" w:hAnsi="宋体" w:eastAsia="宋体" w:cs="宋体"/>
                <w:kern w:val="0"/>
                <w:sz w:val="22"/>
              </w:rPr>
            </w:pPr>
            <w:r>
              <w:rPr>
                <w:rFonts w:hint="eastAsia" w:ascii="宋体" w:hAnsi="宋体" w:eastAsia="宋体" w:cs="宋体"/>
                <w:kern w:val="0"/>
                <w:sz w:val="22"/>
              </w:rPr>
              <w:t>　</w:t>
            </w:r>
          </w:p>
        </w:tc>
      </w:tr>
      <w:tr w14:paraId="3490454B">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4F946544">
            <w:pPr>
              <w:widowControl/>
              <w:jc w:val="left"/>
              <w:rPr>
                <w:rFonts w:ascii="宋体" w:hAnsi="宋体" w:eastAsia="宋体" w:cs="宋体"/>
                <w:kern w:val="0"/>
                <w:sz w:val="22"/>
              </w:rPr>
            </w:pPr>
          </w:p>
        </w:tc>
        <w:tc>
          <w:tcPr>
            <w:tcW w:w="234" w:type="pct"/>
            <w:vMerge w:val="continue"/>
            <w:tcBorders>
              <w:top w:val="nil"/>
              <w:left w:val="single" w:color="auto" w:sz="4" w:space="0"/>
              <w:bottom w:val="single" w:color="auto" w:sz="4" w:space="0"/>
              <w:right w:val="single" w:color="auto" w:sz="4" w:space="0"/>
            </w:tcBorders>
            <w:vAlign w:val="center"/>
          </w:tcPr>
          <w:p w14:paraId="46968BAC">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0FF990B8">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58E42F4B">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auto" w:fill="auto"/>
            <w:vAlign w:val="center"/>
          </w:tcPr>
          <w:p w14:paraId="1EBECA87">
            <w:pPr>
              <w:widowControl/>
              <w:jc w:val="center"/>
              <w:rPr>
                <w:rFonts w:ascii="宋体" w:hAnsi="宋体" w:eastAsia="宋体" w:cs="宋体"/>
                <w:kern w:val="0"/>
                <w:sz w:val="20"/>
                <w:szCs w:val="20"/>
              </w:rPr>
            </w:pPr>
            <w:r>
              <w:rPr>
                <w:rFonts w:hint="eastAsia" w:ascii="宋体" w:hAnsi="宋体" w:eastAsia="宋体" w:cs="宋体"/>
                <w:kern w:val="0"/>
                <w:sz w:val="20"/>
                <w:szCs w:val="20"/>
              </w:rPr>
              <w:t>其他</w:t>
            </w:r>
          </w:p>
        </w:tc>
        <w:tc>
          <w:tcPr>
            <w:tcW w:w="1713" w:type="pct"/>
            <w:tcBorders>
              <w:top w:val="nil"/>
              <w:left w:val="nil"/>
              <w:bottom w:val="single" w:color="auto" w:sz="4" w:space="0"/>
              <w:right w:val="single" w:color="auto" w:sz="4" w:space="0"/>
            </w:tcBorders>
            <w:shd w:val="clear" w:color="auto" w:fill="auto"/>
            <w:vAlign w:val="center"/>
          </w:tcPr>
          <w:p w14:paraId="750B66F5">
            <w:pPr>
              <w:widowControl/>
              <w:jc w:val="center"/>
              <w:rPr>
                <w:rFonts w:ascii="宋体" w:hAnsi="宋体" w:eastAsia="宋体" w:cs="宋体"/>
                <w:kern w:val="0"/>
                <w:sz w:val="20"/>
                <w:szCs w:val="20"/>
              </w:rPr>
            </w:pPr>
            <w:r>
              <w:rPr>
                <w:rFonts w:hint="eastAsia" w:ascii="宋体" w:hAnsi="宋体" w:eastAsia="宋体" w:cs="宋体"/>
                <w:kern w:val="0"/>
                <w:sz w:val="20"/>
                <w:szCs w:val="20"/>
              </w:rPr>
              <w:t>每有一处不符合标准扣1-5分</w:t>
            </w:r>
          </w:p>
        </w:tc>
        <w:tc>
          <w:tcPr>
            <w:tcW w:w="574" w:type="pct"/>
            <w:tcBorders>
              <w:top w:val="nil"/>
              <w:left w:val="nil"/>
              <w:bottom w:val="single" w:color="auto" w:sz="4" w:space="0"/>
              <w:right w:val="single" w:color="auto" w:sz="4" w:space="0"/>
            </w:tcBorders>
            <w:shd w:val="clear" w:color="auto" w:fill="auto"/>
            <w:vAlign w:val="center"/>
          </w:tcPr>
          <w:p w14:paraId="799D170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auto" w:fill="auto"/>
            <w:noWrap/>
            <w:vAlign w:val="center"/>
          </w:tcPr>
          <w:p w14:paraId="6801CA7F">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276" w:type="pct"/>
            <w:tcBorders>
              <w:top w:val="nil"/>
              <w:left w:val="nil"/>
              <w:bottom w:val="single" w:color="auto" w:sz="4" w:space="0"/>
              <w:right w:val="single" w:color="auto" w:sz="4" w:space="0"/>
            </w:tcBorders>
            <w:shd w:val="clear" w:color="auto" w:fill="auto"/>
            <w:noWrap/>
            <w:vAlign w:val="center"/>
          </w:tcPr>
          <w:p w14:paraId="36DC1242">
            <w:pPr>
              <w:widowControl/>
              <w:jc w:val="left"/>
              <w:rPr>
                <w:rFonts w:ascii="宋体" w:hAnsi="宋体" w:eastAsia="宋体" w:cs="宋体"/>
                <w:kern w:val="0"/>
                <w:sz w:val="22"/>
              </w:rPr>
            </w:pPr>
            <w:r>
              <w:rPr>
                <w:rFonts w:hint="eastAsia" w:ascii="宋体" w:hAnsi="宋体" w:eastAsia="宋体" w:cs="宋体"/>
                <w:kern w:val="0"/>
                <w:sz w:val="22"/>
              </w:rPr>
              <w:t>　</w:t>
            </w:r>
          </w:p>
        </w:tc>
      </w:tr>
      <w:tr w14:paraId="1F9D9C7F">
        <w:tblPrEx>
          <w:tblCellMar>
            <w:top w:w="0" w:type="dxa"/>
            <w:left w:w="108" w:type="dxa"/>
            <w:bottom w:w="0" w:type="dxa"/>
            <w:right w:w="108" w:type="dxa"/>
          </w:tblCellMar>
        </w:tblPrEx>
        <w:trPr>
          <w:trHeight w:val="270" w:hRule="atLeast"/>
        </w:trPr>
        <w:tc>
          <w:tcPr>
            <w:tcW w:w="238" w:type="pct"/>
            <w:vMerge w:val="restart"/>
            <w:tcBorders>
              <w:top w:val="nil"/>
              <w:left w:val="single" w:color="auto" w:sz="4" w:space="0"/>
              <w:bottom w:val="single" w:color="auto" w:sz="4" w:space="0"/>
              <w:right w:val="single" w:color="auto" w:sz="4" w:space="0"/>
            </w:tcBorders>
            <w:shd w:val="clear" w:color="000000" w:fill="FFFFFF"/>
            <w:vAlign w:val="center"/>
          </w:tcPr>
          <w:p w14:paraId="1B0351FD">
            <w:pPr>
              <w:widowControl/>
              <w:jc w:val="center"/>
              <w:rPr>
                <w:rFonts w:ascii="宋体" w:hAnsi="宋体" w:eastAsia="宋体" w:cs="宋体"/>
                <w:kern w:val="0"/>
                <w:sz w:val="22"/>
              </w:rPr>
            </w:pPr>
            <w:r>
              <w:rPr>
                <w:rFonts w:hint="eastAsia" w:ascii="宋体" w:hAnsi="宋体" w:eastAsia="宋体" w:cs="宋体"/>
                <w:kern w:val="0"/>
                <w:sz w:val="22"/>
              </w:rPr>
              <w:t>88</w:t>
            </w:r>
          </w:p>
        </w:tc>
        <w:tc>
          <w:tcPr>
            <w:tcW w:w="234" w:type="pct"/>
            <w:vMerge w:val="restart"/>
            <w:tcBorders>
              <w:top w:val="nil"/>
              <w:left w:val="single" w:color="auto" w:sz="4" w:space="0"/>
              <w:bottom w:val="single" w:color="000000" w:sz="4" w:space="0"/>
              <w:right w:val="single" w:color="auto" w:sz="4" w:space="0"/>
            </w:tcBorders>
            <w:shd w:val="clear" w:color="000000" w:fill="FFFFFF"/>
            <w:vAlign w:val="center"/>
          </w:tcPr>
          <w:p w14:paraId="3F45DC95">
            <w:pPr>
              <w:widowControl/>
              <w:jc w:val="center"/>
              <w:rPr>
                <w:rFonts w:ascii="宋体" w:hAnsi="宋体" w:eastAsia="宋体" w:cs="宋体"/>
                <w:b/>
                <w:bCs/>
                <w:kern w:val="0"/>
                <w:sz w:val="22"/>
              </w:rPr>
            </w:pPr>
            <w:r>
              <w:rPr>
                <w:rFonts w:hint="eastAsia" w:ascii="宋体" w:hAnsi="宋体" w:eastAsia="宋体" w:cs="宋体"/>
                <w:b/>
                <w:bCs/>
                <w:kern w:val="0"/>
                <w:sz w:val="22"/>
              </w:rPr>
              <w:t>办公楼服务板块</w:t>
            </w:r>
          </w:p>
        </w:tc>
        <w:tc>
          <w:tcPr>
            <w:tcW w:w="275" w:type="pct"/>
            <w:vMerge w:val="restart"/>
            <w:tcBorders>
              <w:top w:val="nil"/>
              <w:left w:val="single" w:color="auto" w:sz="4" w:space="0"/>
              <w:bottom w:val="single" w:color="auto" w:sz="4" w:space="0"/>
              <w:right w:val="single" w:color="auto" w:sz="4" w:space="0"/>
            </w:tcBorders>
            <w:shd w:val="clear" w:color="000000" w:fill="FFFFFF"/>
            <w:vAlign w:val="center"/>
          </w:tcPr>
          <w:p w14:paraId="24F20BF5">
            <w:pPr>
              <w:widowControl/>
              <w:jc w:val="center"/>
              <w:rPr>
                <w:rFonts w:ascii="宋体" w:hAnsi="宋体" w:eastAsia="宋体" w:cs="宋体"/>
                <w:kern w:val="0"/>
                <w:sz w:val="22"/>
              </w:rPr>
            </w:pPr>
            <w:r>
              <w:rPr>
                <w:rFonts w:hint="eastAsia" w:ascii="宋体" w:hAnsi="宋体" w:eastAsia="宋体" w:cs="宋体"/>
                <w:kern w:val="0"/>
                <w:sz w:val="22"/>
              </w:rPr>
              <w:t>办公室会务条线</w:t>
            </w:r>
          </w:p>
        </w:tc>
        <w:tc>
          <w:tcPr>
            <w:tcW w:w="397" w:type="pct"/>
            <w:vMerge w:val="restart"/>
            <w:tcBorders>
              <w:top w:val="nil"/>
              <w:left w:val="single" w:color="auto" w:sz="4" w:space="0"/>
              <w:bottom w:val="single" w:color="auto" w:sz="4" w:space="0"/>
              <w:right w:val="single" w:color="auto" w:sz="4" w:space="0"/>
            </w:tcBorders>
            <w:shd w:val="clear" w:color="000000" w:fill="FFFFFF"/>
            <w:vAlign w:val="center"/>
          </w:tcPr>
          <w:p w14:paraId="521DAA38">
            <w:pPr>
              <w:widowControl/>
              <w:jc w:val="center"/>
              <w:rPr>
                <w:rFonts w:ascii="宋体" w:hAnsi="宋体" w:eastAsia="宋体" w:cs="宋体"/>
                <w:kern w:val="0"/>
                <w:sz w:val="20"/>
                <w:szCs w:val="20"/>
              </w:rPr>
            </w:pPr>
            <w:r>
              <w:rPr>
                <w:rFonts w:hint="eastAsia" w:ascii="宋体" w:hAnsi="宋体" w:eastAsia="宋体" w:cs="宋体"/>
                <w:kern w:val="0"/>
                <w:sz w:val="20"/>
                <w:szCs w:val="20"/>
              </w:rPr>
              <w:t>日常会务</w:t>
            </w:r>
          </w:p>
        </w:tc>
        <w:tc>
          <w:tcPr>
            <w:tcW w:w="943" w:type="pct"/>
            <w:tcBorders>
              <w:top w:val="nil"/>
              <w:left w:val="nil"/>
              <w:bottom w:val="single" w:color="auto" w:sz="4" w:space="0"/>
              <w:right w:val="single" w:color="auto" w:sz="4" w:space="0"/>
            </w:tcBorders>
            <w:shd w:val="clear" w:color="000000" w:fill="FFFFFF"/>
            <w:vAlign w:val="center"/>
          </w:tcPr>
          <w:p w14:paraId="1C7E15EE">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内、外部会议、接待服务态度、准时性</w:t>
            </w:r>
          </w:p>
        </w:tc>
        <w:tc>
          <w:tcPr>
            <w:tcW w:w="1713" w:type="pct"/>
            <w:tcBorders>
              <w:top w:val="nil"/>
              <w:left w:val="nil"/>
              <w:bottom w:val="single" w:color="auto" w:sz="4" w:space="0"/>
              <w:right w:val="single" w:color="auto" w:sz="4" w:space="0"/>
            </w:tcBorders>
            <w:shd w:val="clear" w:color="000000" w:fill="FFFFFF"/>
            <w:vAlign w:val="center"/>
          </w:tcPr>
          <w:p w14:paraId="21A88067">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部门反映出现差错，准备不及时一次扣1分</w:t>
            </w:r>
          </w:p>
        </w:tc>
        <w:tc>
          <w:tcPr>
            <w:tcW w:w="574" w:type="pct"/>
            <w:tcBorders>
              <w:top w:val="nil"/>
              <w:left w:val="nil"/>
              <w:bottom w:val="single" w:color="auto" w:sz="4" w:space="0"/>
              <w:right w:val="single" w:color="auto" w:sz="4" w:space="0"/>
            </w:tcBorders>
            <w:shd w:val="clear" w:color="000000" w:fill="FFFFFF"/>
            <w:noWrap/>
            <w:vAlign w:val="center"/>
          </w:tcPr>
          <w:p w14:paraId="48C9DB3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D162F37">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2814AFE">
            <w:pPr>
              <w:widowControl/>
              <w:jc w:val="left"/>
              <w:rPr>
                <w:rFonts w:ascii="宋体" w:hAnsi="宋体" w:eastAsia="宋体" w:cs="宋体"/>
                <w:kern w:val="0"/>
                <w:sz w:val="22"/>
              </w:rPr>
            </w:pPr>
            <w:r>
              <w:rPr>
                <w:rFonts w:hint="eastAsia" w:ascii="宋体" w:hAnsi="宋体" w:eastAsia="宋体" w:cs="宋体"/>
                <w:kern w:val="0"/>
                <w:sz w:val="22"/>
              </w:rPr>
              <w:t>　</w:t>
            </w:r>
          </w:p>
        </w:tc>
      </w:tr>
      <w:tr w14:paraId="0FF2E3BD">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7AC06AD5">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9BCA3BA">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18DE414F">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653C1C22">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75C39722">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内、外部会议席卡、物料、投影仪等准备情况</w:t>
            </w:r>
          </w:p>
        </w:tc>
        <w:tc>
          <w:tcPr>
            <w:tcW w:w="1713" w:type="pct"/>
            <w:tcBorders>
              <w:top w:val="nil"/>
              <w:left w:val="nil"/>
              <w:bottom w:val="single" w:color="auto" w:sz="4" w:space="0"/>
              <w:right w:val="single" w:color="auto" w:sz="4" w:space="0"/>
            </w:tcBorders>
            <w:shd w:val="clear" w:color="000000" w:fill="FFFFFF"/>
            <w:vAlign w:val="center"/>
          </w:tcPr>
          <w:p w14:paraId="3F1DD316">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会议举办部门反馈，失误一次扣0.5分</w:t>
            </w:r>
          </w:p>
        </w:tc>
        <w:tc>
          <w:tcPr>
            <w:tcW w:w="574" w:type="pct"/>
            <w:tcBorders>
              <w:top w:val="nil"/>
              <w:left w:val="nil"/>
              <w:bottom w:val="single" w:color="auto" w:sz="4" w:space="0"/>
              <w:right w:val="single" w:color="auto" w:sz="4" w:space="0"/>
            </w:tcBorders>
            <w:shd w:val="clear" w:color="000000" w:fill="FFFFFF"/>
            <w:noWrap/>
            <w:vAlign w:val="center"/>
          </w:tcPr>
          <w:p w14:paraId="5A41A99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8F41517">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D82574B">
            <w:pPr>
              <w:widowControl/>
              <w:jc w:val="left"/>
              <w:rPr>
                <w:rFonts w:ascii="宋体" w:hAnsi="宋体" w:eastAsia="宋体" w:cs="宋体"/>
                <w:kern w:val="0"/>
                <w:sz w:val="22"/>
              </w:rPr>
            </w:pPr>
            <w:r>
              <w:rPr>
                <w:rFonts w:hint="eastAsia" w:ascii="宋体" w:hAnsi="宋体" w:eastAsia="宋体" w:cs="宋体"/>
                <w:kern w:val="0"/>
                <w:sz w:val="22"/>
              </w:rPr>
              <w:t>　</w:t>
            </w:r>
          </w:p>
        </w:tc>
      </w:tr>
      <w:tr w14:paraId="4E5D4BFF">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03B81059">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E7D0366">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57CBD536">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6F3D4BE5">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1E01B214">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会议茶水或办公饮用水供应</w:t>
            </w:r>
          </w:p>
        </w:tc>
        <w:tc>
          <w:tcPr>
            <w:tcW w:w="1713" w:type="pct"/>
            <w:tcBorders>
              <w:top w:val="nil"/>
              <w:left w:val="nil"/>
              <w:bottom w:val="single" w:color="auto" w:sz="4" w:space="0"/>
              <w:right w:val="single" w:color="auto" w:sz="4" w:space="0"/>
            </w:tcBorders>
            <w:shd w:val="clear" w:color="000000" w:fill="FFFFFF"/>
            <w:vAlign w:val="center"/>
          </w:tcPr>
          <w:p w14:paraId="756D5DE4">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反映或误时或检查记录，发现一次扣1分</w:t>
            </w:r>
          </w:p>
        </w:tc>
        <w:tc>
          <w:tcPr>
            <w:tcW w:w="574" w:type="pct"/>
            <w:tcBorders>
              <w:top w:val="nil"/>
              <w:left w:val="nil"/>
              <w:bottom w:val="single" w:color="auto" w:sz="4" w:space="0"/>
              <w:right w:val="single" w:color="auto" w:sz="4" w:space="0"/>
            </w:tcBorders>
            <w:shd w:val="clear" w:color="000000" w:fill="FFFFFF"/>
            <w:noWrap/>
            <w:vAlign w:val="center"/>
          </w:tcPr>
          <w:p w14:paraId="756C115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B4C9106">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E3992FD">
            <w:pPr>
              <w:widowControl/>
              <w:jc w:val="left"/>
              <w:rPr>
                <w:rFonts w:ascii="宋体" w:hAnsi="宋体" w:eastAsia="宋体" w:cs="宋体"/>
                <w:kern w:val="0"/>
                <w:sz w:val="22"/>
              </w:rPr>
            </w:pPr>
            <w:r>
              <w:rPr>
                <w:rFonts w:hint="eastAsia" w:ascii="宋体" w:hAnsi="宋体" w:eastAsia="宋体" w:cs="宋体"/>
                <w:kern w:val="0"/>
                <w:sz w:val="22"/>
              </w:rPr>
              <w:t>　</w:t>
            </w:r>
          </w:p>
        </w:tc>
      </w:tr>
      <w:tr w14:paraId="5A2BFF7C">
        <w:tblPrEx>
          <w:tblCellMar>
            <w:top w:w="0" w:type="dxa"/>
            <w:left w:w="108" w:type="dxa"/>
            <w:bottom w:w="0" w:type="dxa"/>
            <w:right w:w="108" w:type="dxa"/>
          </w:tblCellMar>
        </w:tblPrEx>
        <w:trPr>
          <w:trHeight w:val="480" w:hRule="atLeast"/>
        </w:trPr>
        <w:tc>
          <w:tcPr>
            <w:tcW w:w="238" w:type="pct"/>
            <w:vMerge w:val="continue"/>
            <w:tcBorders>
              <w:top w:val="nil"/>
              <w:left w:val="single" w:color="auto" w:sz="4" w:space="0"/>
              <w:bottom w:val="single" w:color="auto" w:sz="4" w:space="0"/>
              <w:right w:val="single" w:color="auto" w:sz="4" w:space="0"/>
            </w:tcBorders>
            <w:vAlign w:val="center"/>
          </w:tcPr>
          <w:p w14:paraId="1DACEFAE">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3E3A026E">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46130590">
            <w:pPr>
              <w:widowControl/>
              <w:jc w:val="left"/>
              <w:rPr>
                <w:rFonts w:ascii="宋体" w:hAnsi="宋体" w:eastAsia="宋体" w:cs="宋体"/>
                <w:kern w:val="0"/>
                <w:sz w:val="22"/>
              </w:rPr>
            </w:pPr>
          </w:p>
        </w:tc>
        <w:tc>
          <w:tcPr>
            <w:tcW w:w="397" w:type="pct"/>
            <w:vMerge w:val="continue"/>
            <w:tcBorders>
              <w:top w:val="nil"/>
              <w:left w:val="single" w:color="auto" w:sz="4" w:space="0"/>
              <w:bottom w:val="single" w:color="auto" w:sz="4" w:space="0"/>
              <w:right w:val="single" w:color="auto" w:sz="4" w:space="0"/>
            </w:tcBorders>
            <w:vAlign w:val="center"/>
          </w:tcPr>
          <w:p w14:paraId="49E6724B">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70F37012">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保持接待用品的卫生清洁、数量充足、状态完好、服务设施完备</w:t>
            </w:r>
          </w:p>
        </w:tc>
        <w:tc>
          <w:tcPr>
            <w:tcW w:w="1713" w:type="pct"/>
            <w:tcBorders>
              <w:top w:val="nil"/>
              <w:left w:val="nil"/>
              <w:bottom w:val="single" w:color="auto" w:sz="4" w:space="0"/>
              <w:right w:val="single" w:color="auto" w:sz="4" w:space="0"/>
            </w:tcBorders>
            <w:shd w:val="clear" w:color="000000" w:fill="FFFFFF"/>
            <w:vAlign w:val="center"/>
          </w:tcPr>
          <w:p w14:paraId="34E30CAF">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查现场，发现一次扣1分</w:t>
            </w:r>
          </w:p>
        </w:tc>
        <w:tc>
          <w:tcPr>
            <w:tcW w:w="574" w:type="pct"/>
            <w:tcBorders>
              <w:top w:val="nil"/>
              <w:left w:val="nil"/>
              <w:bottom w:val="single" w:color="auto" w:sz="4" w:space="0"/>
              <w:right w:val="single" w:color="auto" w:sz="4" w:space="0"/>
            </w:tcBorders>
            <w:shd w:val="clear" w:color="000000" w:fill="FFFFFF"/>
            <w:noWrap/>
            <w:vAlign w:val="center"/>
          </w:tcPr>
          <w:p w14:paraId="61A5B40F">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2D1E64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4D5B3A8">
            <w:pPr>
              <w:widowControl/>
              <w:jc w:val="left"/>
              <w:rPr>
                <w:rFonts w:ascii="宋体" w:hAnsi="宋体" w:eastAsia="宋体" w:cs="宋体"/>
                <w:kern w:val="0"/>
                <w:sz w:val="22"/>
              </w:rPr>
            </w:pPr>
            <w:r>
              <w:rPr>
                <w:rFonts w:hint="eastAsia" w:ascii="宋体" w:hAnsi="宋体" w:eastAsia="宋体" w:cs="宋体"/>
                <w:kern w:val="0"/>
                <w:sz w:val="22"/>
              </w:rPr>
              <w:t>　</w:t>
            </w:r>
          </w:p>
        </w:tc>
      </w:tr>
      <w:tr w14:paraId="5221E2C4">
        <w:tblPrEx>
          <w:tblCellMar>
            <w:top w:w="0" w:type="dxa"/>
            <w:left w:w="108" w:type="dxa"/>
            <w:bottom w:w="0" w:type="dxa"/>
            <w:right w:w="108" w:type="dxa"/>
          </w:tblCellMar>
        </w:tblPrEx>
        <w:trPr>
          <w:trHeight w:val="570" w:hRule="atLeast"/>
        </w:trPr>
        <w:tc>
          <w:tcPr>
            <w:tcW w:w="238" w:type="pct"/>
            <w:vMerge w:val="restart"/>
            <w:tcBorders>
              <w:top w:val="nil"/>
              <w:left w:val="single" w:color="auto" w:sz="4" w:space="0"/>
              <w:bottom w:val="single" w:color="auto" w:sz="4" w:space="0"/>
              <w:right w:val="single" w:color="auto" w:sz="4" w:space="0"/>
            </w:tcBorders>
            <w:shd w:val="clear" w:color="000000" w:fill="FFFFFF"/>
            <w:vAlign w:val="center"/>
          </w:tcPr>
          <w:p w14:paraId="6B37EF7E">
            <w:pPr>
              <w:widowControl/>
              <w:jc w:val="center"/>
              <w:rPr>
                <w:rFonts w:ascii="宋体" w:hAnsi="宋体" w:eastAsia="宋体" w:cs="宋体"/>
                <w:kern w:val="0"/>
                <w:sz w:val="22"/>
              </w:rPr>
            </w:pPr>
            <w:r>
              <w:rPr>
                <w:rFonts w:hint="eastAsia" w:ascii="宋体" w:hAnsi="宋体" w:eastAsia="宋体" w:cs="宋体"/>
                <w:kern w:val="0"/>
                <w:sz w:val="22"/>
              </w:rPr>
              <w:t>89</w:t>
            </w:r>
          </w:p>
        </w:tc>
        <w:tc>
          <w:tcPr>
            <w:tcW w:w="234" w:type="pct"/>
            <w:vMerge w:val="continue"/>
            <w:tcBorders>
              <w:top w:val="nil"/>
              <w:left w:val="single" w:color="auto" w:sz="4" w:space="0"/>
              <w:bottom w:val="single" w:color="000000" w:sz="4" w:space="0"/>
              <w:right w:val="single" w:color="auto" w:sz="4" w:space="0"/>
            </w:tcBorders>
            <w:vAlign w:val="center"/>
          </w:tcPr>
          <w:p w14:paraId="7342E4FF">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315FB5D2">
            <w:pPr>
              <w:widowControl/>
              <w:jc w:val="left"/>
              <w:rPr>
                <w:rFonts w:ascii="宋体" w:hAnsi="宋体" w:eastAsia="宋体" w:cs="宋体"/>
                <w:kern w:val="0"/>
                <w:sz w:val="22"/>
              </w:rPr>
            </w:pPr>
          </w:p>
        </w:tc>
        <w:tc>
          <w:tcPr>
            <w:tcW w:w="397" w:type="pct"/>
            <w:vMerge w:val="restart"/>
            <w:tcBorders>
              <w:top w:val="nil"/>
              <w:left w:val="single" w:color="auto" w:sz="4" w:space="0"/>
              <w:bottom w:val="nil"/>
              <w:right w:val="single" w:color="auto" w:sz="4" w:space="0"/>
            </w:tcBorders>
            <w:shd w:val="clear" w:color="000000" w:fill="FFFFFF"/>
            <w:vAlign w:val="center"/>
          </w:tcPr>
          <w:p w14:paraId="41F85395">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收发室、总机管理    </w:t>
            </w:r>
          </w:p>
        </w:tc>
        <w:tc>
          <w:tcPr>
            <w:tcW w:w="943" w:type="pct"/>
            <w:tcBorders>
              <w:top w:val="nil"/>
              <w:left w:val="nil"/>
              <w:bottom w:val="single" w:color="auto" w:sz="4" w:space="0"/>
              <w:right w:val="single" w:color="auto" w:sz="4" w:space="0"/>
            </w:tcBorders>
            <w:shd w:val="clear" w:color="000000" w:fill="FFFFFF"/>
            <w:vAlign w:val="center"/>
          </w:tcPr>
          <w:p w14:paraId="213770E0">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来访人员登记、身份确认，大件物品进出情况确认</w:t>
            </w:r>
          </w:p>
        </w:tc>
        <w:tc>
          <w:tcPr>
            <w:tcW w:w="1713" w:type="pct"/>
            <w:tcBorders>
              <w:top w:val="nil"/>
              <w:left w:val="nil"/>
              <w:bottom w:val="single" w:color="auto" w:sz="4" w:space="0"/>
              <w:right w:val="single" w:color="auto" w:sz="4" w:space="0"/>
            </w:tcBorders>
            <w:shd w:val="clear" w:color="000000" w:fill="FFFFFF"/>
            <w:vAlign w:val="center"/>
          </w:tcPr>
          <w:p w14:paraId="2B1A52A9">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员工及收发室报告，有陌生人误闯办公区域、大件物品遗失情况一次扣2分</w:t>
            </w:r>
          </w:p>
        </w:tc>
        <w:tc>
          <w:tcPr>
            <w:tcW w:w="574" w:type="pct"/>
            <w:tcBorders>
              <w:top w:val="nil"/>
              <w:left w:val="nil"/>
              <w:bottom w:val="single" w:color="auto" w:sz="4" w:space="0"/>
              <w:right w:val="single" w:color="auto" w:sz="4" w:space="0"/>
            </w:tcBorders>
            <w:shd w:val="clear" w:color="000000" w:fill="FFFFFF"/>
            <w:noWrap/>
            <w:vAlign w:val="center"/>
          </w:tcPr>
          <w:p w14:paraId="01B823E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26D6AEA">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DE51DBA">
            <w:pPr>
              <w:widowControl/>
              <w:jc w:val="left"/>
              <w:rPr>
                <w:rFonts w:ascii="宋体" w:hAnsi="宋体" w:eastAsia="宋体" w:cs="宋体"/>
                <w:kern w:val="0"/>
                <w:sz w:val="22"/>
              </w:rPr>
            </w:pPr>
            <w:r>
              <w:rPr>
                <w:rFonts w:hint="eastAsia" w:ascii="宋体" w:hAnsi="宋体" w:eastAsia="宋体" w:cs="宋体"/>
                <w:kern w:val="0"/>
                <w:sz w:val="22"/>
              </w:rPr>
              <w:t>　</w:t>
            </w:r>
          </w:p>
        </w:tc>
      </w:tr>
      <w:tr w14:paraId="48EDE33C">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56B1A941">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3A218DA">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709BD751">
            <w:pPr>
              <w:widowControl/>
              <w:jc w:val="left"/>
              <w:rPr>
                <w:rFonts w:ascii="宋体" w:hAnsi="宋体" w:eastAsia="宋体" w:cs="宋体"/>
                <w:kern w:val="0"/>
                <w:sz w:val="22"/>
              </w:rPr>
            </w:pPr>
          </w:p>
        </w:tc>
        <w:tc>
          <w:tcPr>
            <w:tcW w:w="397" w:type="pct"/>
            <w:vMerge w:val="continue"/>
            <w:tcBorders>
              <w:top w:val="nil"/>
              <w:left w:val="single" w:color="auto" w:sz="4" w:space="0"/>
              <w:bottom w:val="nil"/>
              <w:right w:val="single" w:color="auto" w:sz="4" w:space="0"/>
            </w:tcBorders>
            <w:vAlign w:val="center"/>
          </w:tcPr>
          <w:p w14:paraId="4BB97C0F">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0E0CC719">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馆方公务邮件快递申请单审核、登记、寄送</w:t>
            </w:r>
          </w:p>
        </w:tc>
        <w:tc>
          <w:tcPr>
            <w:tcW w:w="1713" w:type="pct"/>
            <w:tcBorders>
              <w:top w:val="nil"/>
              <w:left w:val="nil"/>
              <w:bottom w:val="single" w:color="auto" w:sz="4" w:space="0"/>
              <w:right w:val="single" w:color="auto" w:sz="4" w:space="0"/>
            </w:tcBorders>
            <w:shd w:val="clear" w:color="000000" w:fill="FFFFFF"/>
            <w:vAlign w:val="center"/>
          </w:tcPr>
          <w:p w14:paraId="333933E7">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员工及收发室报告，有未签字审核、丢失等情况一次扣2分</w:t>
            </w:r>
          </w:p>
        </w:tc>
        <w:tc>
          <w:tcPr>
            <w:tcW w:w="574" w:type="pct"/>
            <w:tcBorders>
              <w:top w:val="nil"/>
              <w:left w:val="nil"/>
              <w:bottom w:val="single" w:color="auto" w:sz="4" w:space="0"/>
              <w:right w:val="single" w:color="auto" w:sz="4" w:space="0"/>
            </w:tcBorders>
            <w:shd w:val="clear" w:color="000000" w:fill="FFFFFF"/>
            <w:noWrap/>
            <w:vAlign w:val="center"/>
          </w:tcPr>
          <w:p w14:paraId="24E64FE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8BE9FE3">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E5863B4">
            <w:pPr>
              <w:widowControl/>
              <w:jc w:val="left"/>
              <w:rPr>
                <w:rFonts w:ascii="宋体" w:hAnsi="宋体" w:eastAsia="宋体" w:cs="宋体"/>
                <w:kern w:val="0"/>
                <w:sz w:val="22"/>
              </w:rPr>
            </w:pPr>
            <w:r>
              <w:rPr>
                <w:rFonts w:hint="eastAsia" w:ascii="宋体" w:hAnsi="宋体" w:eastAsia="宋体" w:cs="宋体"/>
                <w:kern w:val="0"/>
                <w:sz w:val="22"/>
              </w:rPr>
              <w:t>　</w:t>
            </w:r>
          </w:p>
        </w:tc>
      </w:tr>
      <w:tr w14:paraId="6C7073C5">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059399C5">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0F2657EE">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0ECD36C1">
            <w:pPr>
              <w:widowControl/>
              <w:jc w:val="left"/>
              <w:rPr>
                <w:rFonts w:ascii="宋体" w:hAnsi="宋体" w:eastAsia="宋体" w:cs="宋体"/>
                <w:kern w:val="0"/>
                <w:sz w:val="22"/>
              </w:rPr>
            </w:pPr>
          </w:p>
        </w:tc>
        <w:tc>
          <w:tcPr>
            <w:tcW w:w="397" w:type="pct"/>
            <w:vMerge w:val="continue"/>
            <w:tcBorders>
              <w:top w:val="nil"/>
              <w:left w:val="single" w:color="auto" w:sz="4" w:space="0"/>
              <w:bottom w:val="nil"/>
              <w:right w:val="single" w:color="auto" w:sz="4" w:space="0"/>
            </w:tcBorders>
            <w:vAlign w:val="center"/>
          </w:tcPr>
          <w:p w14:paraId="2CE667A3">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2D26B9F1">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邮件接收、登记、配送至收件人</w:t>
            </w:r>
          </w:p>
        </w:tc>
        <w:tc>
          <w:tcPr>
            <w:tcW w:w="1713" w:type="pct"/>
            <w:tcBorders>
              <w:top w:val="nil"/>
              <w:left w:val="nil"/>
              <w:bottom w:val="single" w:color="auto" w:sz="4" w:space="0"/>
              <w:right w:val="single" w:color="auto" w:sz="4" w:space="0"/>
            </w:tcBorders>
            <w:shd w:val="clear" w:color="000000" w:fill="FFFFFF"/>
            <w:vAlign w:val="center"/>
          </w:tcPr>
          <w:p w14:paraId="051FEFB5">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员工及收发室报告，有丢失、误送等情况一次扣1分</w:t>
            </w:r>
          </w:p>
        </w:tc>
        <w:tc>
          <w:tcPr>
            <w:tcW w:w="574" w:type="pct"/>
            <w:tcBorders>
              <w:top w:val="nil"/>
              <w:left w:val="nil"/>
              <w:bottom w:val="single" w:color="auto" w:sz="4" w:space="0"/>
              <w:right w:val="single" w:color="auto" w:sz="4" w:space="0"/>
            </w:tcBorders>
            <w:shd w:val="clear" w:color="000000" w:fill="FFFFFF"/>
            <w:noWrap/>
            <w:vAlign w:val="center"/>
          </w:tcPr>
          <w:p w14:paraId="3B41172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6A49F8A2">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4CE60B3">
            <w:pPr>
              <w:widowControl/>
              <w:jc w:val="left"/>
              <w:rPr>
                <w:rFonts w:ascii="宋体" w:hAnsi="宋体" w:eastAsia="宋体" w:cs="宋体"/>
                <w:kern w:val="0"/>
                <w:sz w:val="22"/>
              </w:rPr>
            </w:pPr>
            <w:r>
              <w:rPr>
                <w:rFonts w:hint="eastAsia" w:ascii="宋体" w:hAnsi="宋体" w:eastAsia="宋体" w:cs="宋体"/>
                <w:kern w:val="0"/>
                <w:sz w:val="22"/>
              </w:rPr>
              <w:t>　</w:t>
            </w:r>
          </w:p>
        </w:tc>
      </w:tr>
      <w:tr w14:paraId="7FCCE87C">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1AD96473">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13ED40E">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34B266F1">
            <w:pPr>
              <w:widowControl/>
              <w:jc w:val="left"/>
              <w:rPr>
                <w:rFonts w:ascii="宋体" w:hAnsi="宋体" w:eastAsia="宋体" w:cs="宋体"/>
                <w:kern w:val="0"/>
                <w:sz w:val="22"/>
              </w:rPr>
            </w:pPr>
          </w:p>
        </w:tc>
        <w:tc>
          <w:tcPr>
            <w:tcW w:w="397" w:type="pct"/>
            <w:vMerge w:val="continue"/>
            <w:tcBorders>
              <w:top w:val="nil"/>
              <w:left w:val="single" w:color="auto" w:sz="4" w:space="0"/>
              <w:bottom w:val="nil"/>
              <w:right w:val="single" w:color="auto" w:sz="4" w:space="0"/>
            </w:tcBorders>
            <w:vAlign w:val="center"/>
          </w:tcPr>
          <w:p w14:paraId="226204D8">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370CB02D">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总机服务是否及时、礼貌</w:t>
            </w:r>
          </w:p>
        </w:tc>
        <w:tc>
          <w:tcPr>
            <w:tcW w:w="1713" w:type="pct"/>
            <w:tcBorders>
              <w:top w:val="nil"/>
              <w:left w:val="nil"/>
              <w:bottom w:val="single" w:color="auto" w:sz="4" w:space="0"/>
              <w:right w:val="single" w:color="auto" w:sz="4" w:space="0"/>
            </w:tcBorders>
            <w:shd w:val="clear" w:color="000000" w:fill="FFFFFF"/>
            <w:vAlign w:val="center"/>
          </w:tcPr>
          <w:p w14:paraId="367A4049">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服务不及时不礼貌，发现一次扣1分</w:t>
            </w:r>
          </w:p>
        </w:tc>
        <w:tc>
          <w:tcPr>
            <w:tcW w:w="574" w:type="pct"/>
            <w:tcBorders>
              <w:top w:val="nil"/>
              <w:left w:val="nil"/>
              <w:bottom w:val="single" w:color="auto" w:sz="4" w:space="0"/>
              <w:right w:val="single" w:color="auto" w:sz="4" w:space="0"/>
            </w:tcBorders>
            <w:shd w:val="clear" w:color="000000" w:fill="FFFFFF"/>
            <w:noWrap/>
            <w:vAlign w:val="center"/>
          </w:tcPr>
          <w:p w14:paraId="03BB1F2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691A95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3A81F32">
            <w:pPr>
              <w:widowControl/>
              <w:jc w:val="left"/>
              <w:rPr>
                <w:rFonts w:ascii="宋体" w:hAnsi="宋体" w:eastAsia="宋体" w:cs="宋体"/>
                <w:kern w:val="0"/>
                <w:sz w:val="22"/>
              </w:rPr>
            </w:pPr>
            <w:r>
              <w:rPr>
                <w:rFonts w:hint="eastAsia" w:ascii="宋体" w:hAnsi="宋体" w:eastAsia="宋体" w:cs="宋体"/>
                <w:kern w:val="0"/>
                <w:sz w:val="22"/>
              </w:rPr>
              <w:t>　</w:t>
            </w:r>
          </w:p>
        </w:tc>
      </w:tr>
      <w:tr w14:paraId="33C423C3">
        <w:tblPrEx>
          <w:tblCellMar>
            <w:top w:w="0" w:type="dxa"/>
            <w:left w:w="108" w:type="dxa"/>
            <w:bottom w:w="0" w:type="dxa"/>
            <w:right w:w="108" w:type="dxa"/>
          </w:tblCellMar>
        </w:tblPrEx>
        <w:trPr>
          <w:trHeight w:val="480" w:hRule="atLeast"/>
        </w:trPr>
        <w:tc>
          <w:tcPr>
            <w:tcW w:w="238" w:type="pct"/>
            <w:vMerge w:val="continue"/>
            <w:tcBorders>
              <w:top w:val="nil"/>
              <w:left w:val="single" w:color="auto" w:sz="4" w:space="0"/>
              <w:bottom w:val="single" w:color="auto" w:sz="4" w:space="0"/>
              <w:right w:val="single" w:color="auto" w:sz="4" w:space="0"/>
            </w:tcBorders>
            <w:vAlign w:val="center"/>
          </w:tcPr>
          <w:p w14:paraId="4A711B92">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56DCC731">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396C4393">
            <w:pPr>
              <w:widowControl/>
              <w:jc w:val="left"/>
              <w:rPr>
                <w:rFonts w:ascii="宋体" w:hAnsi="宋体" w:eastAsia="宋体" w:cs="宋体"/>
                <w:kern w:val="0"/>
                <w:sz w:val="22"/>
              </w:rPr>
            </w:pPr>
          </w:p>
        </w:tc>
        <w:tc>
          <w:tcPr>
            <w:tcW w:w="397" w:type="pct"/>
            <w:vMerge w:val="continue"/>
            <w:tcBorders>
              <w:top w:val="nil"/>
              <w:left w:val="single" w:color="auto" w:sz="4" w:space="0"/>
              <w:bottom w:val="nil"/>
              <w:right w:val="single" w:color="auto" w:sz="4" w:space="0"/>
            </w:tcBorders>
            <w:vAlign w:val="center"/>
          </w:tcPr>
          <w:p w14:paraId="09688D77">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62133839">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配套设施（电视、电话、桌椅、意见箱、宣传栏等）运行状态是否正常</w:t>
            </w:r>
          </w:p>
        </w:tc>
        <w:tc>
          <w:tcPr>
            <w:tcW w:w="1713" w:type="pct"/>
            <w:tcBorders>
              <w:top w:val="nil"/>
              <w:left w:val="nil"/>
              <w:bottom w:val="single" w:color="auto" w:sz="4" w:space="0"/>
              <w:right w:val="single" w:color="auto" w:sz="4" w:space="0"/>
            </w:tcBorders>
            <w:shd w:val="clear" w:color="000000" w:fill="FFFFFF"/>
            <w:vAlign w:val="center"/>
          </w:tcPr>
          <w:p w14:paraId="7E4F060F">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查现场，发现一次扣0.5分</w:t>
            </w:r>
          </w:p>
        </w:tc>
        <w:tc>
          <w:tcPr>
            <w:tcW w:w="574" w:type="pct"/>
            <w:tcBorders>
              <w:top w:val="nil"/>
              <w:left w:val="nil"/>
              <w:bottom w:val="single" w:color="auto" w:sz="4" w:space="0"/>
              <w:right w:val="single" w:color="auto" w:sz="4" w:space="0"/>
            </w:tcBorders>
            <w:shd w:val="clear" w:color="000000" w:fill="FFFFFF"/>
            <w:noWrap/>
            <w:vAlign w:val="center"/>
          </w:tcPr>
          <w:p w14:paraId="0DFEF9E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520AE3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4D442FA">
            <w:pPr>
              <w:widowControl/>
              <w:jc w:val="left"/>
              <w:rPr>
                <w:rFonts w:ascii="宋体" w:hAnsi="宋体" w:eastAsia="宋体" w:cs="宋体"/>
                <w:kern w:val="0"/>
                <w:sz w:val="22"/>
              </w:rPr>
            </w:pPr>
            <w:r>
              <w:rPr>
                <w:rFonts w:hint="eastAsia" w:ascii="宋体" w:hAnsi="宋体" w:eastAsia="宋体" w:cs="宋体"/>
                <w:kern w:val="0"/>
                <w:sz w:val="22"/>
              </w:rPr>
              <w:t>　</w:t>
            </w:r>
          </w:p>
        </w:tc>
      </w:tr>
      <w:tr w14:paraId="7653AC1C">
        <w:tblPrEx>
          <w:tblCellMar>
            <w:top w:w="0" w:type="dxa"/>
            <w:left w:w="108" w:type="dxa"/>
            <w:bottom w:w="0" w:type="dxa"/>
            <w:right w:w="108" w:type="dxa"/>
          </w:tblCellMar>
        </w:tblPrEx>
        <w:trPr>
          <w:trHeight w:val="27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2FADB245">
            <w:pPr>
              <w:widowControl/>
              <w:jc w:val="center"/>
              <w:rPr>
                <w:rFonts w:ascii="宋体" w:hAnsi="宋体" w:eastAsia="宋体" w:cs="宋体"/>
                <w:kern w:val="0"/>
                <w:sz w:val="22"/>
              </w:rPr>
            </w:pPr>
            <w:r>
              <w:rPr>
                <w:rFonts w:hint="eastAsia" w:ascii="宋体" w:hAnsi="宋体" w:eastAsia="宋体" w:cs="宋体"/>
                <w:kern w:val="0"/>
                <w:sz w:val="22"/>
              </w:rPr>
              <w:t>90</w:t>
            </w:r>
          </w:p>
        </w:tc>
        <w:tc>
          <w:tcPr>
            <w:tcW w:w="234" w:type="pct"/>
            <w:vMerge w:val="continue"/>
            <w:tcBorders>
              <w:top w:val="nil"/>
              <w:left w:val="single" w:color="auto" w:sz="4" w:space="0"/>
              <w:bottom w:val="single" w:color="000000" w:sz="4" w:space="0"/>
              <w:right w:val="single" w:color="auto" w:sz="4" w:space="0"/>
            </w:tcBorders>
            <w:vAlign w:val="center"/>
          </w:tcPr>
          <w:p w14:paraId="6A5A9D3D">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2B70AAA3">
            <w:pPr>
              <w:widowControl/>
              <w:jc w:val="left"/>
              <w:rPr>
                <w:rFonts w:ascii="宋体" w:hAnsi="宋体" w:eastAsia="宋体" w:cs="宋体"/>
                <w:kern w:val="0"/>
                <w:sz w:val="22"/>
              </w:rPr>
            </w:pPr>
          </w:p>
        </w:tc>
        <w:tc>
          <w:tcPr>
            <w:tcW w:w="397" w:type="pct"/>
            <w:tcBorders>
              <w:top w:val="single" w:color="auto" w:sz="4" w:space="0"/>
              <w:left w:val="nil"/>
              <w:bottom w:val="single" w:color="auto" w:sz="4" w:space="0"/>
              <w:right w:val="single" w:color="auto" w:sz="4" w:space="0"/>
            </w:tcBorders>
            <w:shd w:val="clear" w:color="000000" w:fill="FFFFFF"/>
            <w:vAlign w:val="center"/>
          </w:tcPr>
          <w:p w14:paraId="047EB152">
            <w:pPr>
              <w:widowControl/>
              <w:jc w:val="center"/>
              <w:rPr>
                <w:rFonts w:ascii="宋体" w:hAnsi="宋体" w:eastAsia="宋体" w:cs="宋体"/>
                <w:kern w:val="0"/>
                <w:sz w:val="20"/>
                <w:szCs w:val="20"/>
              </w:rPr>
            </w:pPr>
            <w:r>
              <w:rPr>
                <w:rFonts w:hint="eastAsia" w:ascii="宋体" w:hAnsi="宋体" w:eastAsia="宋体" w:cs="宋体"/>
                <w:kern w:val="0"/>
                <w:sz w:val="20"/>
                <w:szCs w:val="20"/>
              </w:rPr>
              <w:t>后勤保障</w:t>
            </w:r>
          </w:p>
        </w:tc>
        <w:tc>
          <w:tcPr>
            <w:tcW w:w="943" w:type="pct"/>
            <w:tcBorders>
              <w:top w:val="nil"/>
              <w:left w:val="nil"/>
              <w:bottom w:val="single" w:color="auto" w:sz="4" w:space="0"/>
              <w:right w:val="single" w:color="auto" w:sz="4" w:space="0"/>
            </w:tcBorders>
            <w:shd w:val="clear" w:color="000000" w:fill="FFFFFF"/>
            <w:vAlign w:val="center"/>
          </w:tcPr>
          <w:p w14:paraId="782DE75A">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后勤服务（如档案装订等其他需要配合的工作）</w:t>
            </w:r>
          </w:p>
        </w:tc>
        <w:tc>
          <w:tcPr>
            <w:tcW w:w="1713" w:type="pct"/>
            <w:tcBorders>
              <w:top w:val="nil"/>
              <w:left w:val="nil"/>
              <w:bottom w:val="single" w:color="auto" w:sz="4" w:space="0"/>
              <w:right w:val="single" w:color="auto" w:sz="4" w:space="0"/>
            </w:tcBorders>
            <w:shd w:val="clear" w:color="000000" w:fill="FFFFFF"/>
            <w:vAlign w:val="center"/>
          </w:tcPr>
          <w:p w14:paraId="36AF887A">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员工反馈，失误一次扣0.5分</w:t>
            </w:r>
          </w:p>
        </w:tc>
        <w:tc>
          <w:tcPr>
            <w:tcW w:w="574" w:type="pct"/>
            <w:tcBorders>
              <w:top w:val="nil"/>
              <w:left w:val="nil"/>
              <w:bottom w:val="single" w:color="auto" w:sz="4" w:space="0"/>
              <w:right w:val="single" w:color="auto" w:sz="4" w:space="0"/>
            </w:tcBorders>
            <w:shd w:val="clear" w:color="000000" w:fill="FFFFFF"/>
            <w:noWrap/>
            <w:vAlign w:val="center"/>
          </w:tcPr>
          <w:p w14:paraId="2ABE0C48">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F518E0E">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4D3D743D">
            <w:pPr>
              <w:widowControl/>
              <w:jc w:val="left"/>
              <w:rPr>
                <w:rFonts w:ascii="宋体" w:hAnsi="宋体" w:eastAsia="宋体" w:cs="宋体"/>
                <w:kern w:val="0"/>
                <w:sz w:val="22"/>
              </w:rPr>
            </w:pPr>
            <w:r>
              <w:rPr>
                <w:rFonts w:hint="eastAsia" w:ascii="宋体" w:hAnsi="宋体" w:eastAsia="宋体" w:cs="宋体"/>
                <w:kern w:val="0"/>
                <w:sz w:val="22"/>
              </w:rPr>
              <w:t>　</w:t>
            </w:r>
          </w:p>
        </w:tc>
      </w:tr>
      <w:tr w14:paraId="3B7CEB6E">
        <w:tblPrEx>
          <w:tblCellMar>
            <w:top w:w="0" w:type="dxa"/>
            <w:left w:w="108" w:type="dxa"/>
            <w:bottom w:w="0" w:type="dxa"/>
            <w:right w:w="108" w:type="dxa"/>
          </w:tblCellMar>
        </w:tblPrEx>
        <w:trPr>
          <w:trHeight w:val="27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4A91F557">
            <w:pPr>
              <w:widowControl/>
              <w:jc w:val="center"/>
              <w:rPr>
                <w:rFonts w:ascii="宋体" w:hAnsi="宋体" w:eastAsia="宋体" w:cs="宋体"/>
                <w:kern w:val="0"/>
                <w:sz w:val="22"/>
              </w:rPr>
            </w:pPr>
            <w:r>
              <w:rPr>
                <w:rFonts w:hint="eastAsia" w:ascii="宋体" w:hAnsi="宋体" w:eastAsia="宋体" w:cs="宋体"/>
                <w:kern w:val="0"/>
                <w:sz w:val="22"/>
              </w:rPr>
              <w:t>91</w:t>
            </w:r>
          </w:p>
        </w:tc>
        <w:tc>
          <w:tcPr>
            <w:tcW w:w="234" w:type="pct"/>
            <w:vMerge w:val="continue"/>
            <w:tcBorders>
              <w:top w:val="nil"/>
              <w:left w:val="single" w:color="auto" w:sz="4" w:space="0"/>
              <w:bottom w:val="single" w:color="000000" w:sz="4" w:space="0"/>
              <w:right w:val="single" w:color="auto" w:sz="4" w:space="0"/>
            </w:tcBorders>
            <w:vAlign w:val="center"/>
          </w:tcPr>
          <w:p w14:paraId="7D314D5F">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54EFDA27">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4BBEEC5F">
            <w:pPr>
              <w:widowControl/>
              <w:jc w:val="center"/>
              <w:rPr>
                <w:rFonts w:ascii="宋体" w:hAnsi="宋体" w:eastAsia="宋体" w:cs="宋体"/>
                <w:kern w:val="0"/>
                <w:sz w:val="20"/>
                <w:szCs w:val="20"/>
              </w:rPr>
            </w:pPr>
            <w:r>
              <w:rPr>
                <w:rFonts w:hint="eastAsia" w:ascii="宋体" w:hAnsi="宋体" w:eastAsia="宋体" w:cs="宋体"/>
                <w:kern w:val="0"/>
                <w:sz w:val="20"/>
                <w:szCs w:val="20"/>
              </w:rPr>
              <w:t xml:space="preserve">投诉   </w:t>
            </w:r>
          </w:p>
        </w:tc>
        <w:tc>
          <w:tcPr>
            <w:tcW w:w="943" w:type="pct"/>
            <w:tcBorders>
              <w:top w:val="nil"/>
              <w:left w:val="nil"/>
              <w:bottom w:val="single" w:color="auto" w:sz="4" w:space="0"/>
              <w:right w:val="single" w:color="auto" w:sz="4" w:space="0"/>
            </w:tcBorders>
            <w:shd w:val="clear" w:color="000000" w:fill="FFFFFF"/>
            <w:vAlign w:val="center"/>
          </w:tcPr>
          <w:p w14:paraId="026CA3DC">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服务（接待、会务、保洁等）投诉</w:t>
            </w:r>
          </w:p>
        </w:tc>
        <w:tc>
          <w:tcPr>
            <w:tcW w:w="1713" w:type="pct"/>
            <w:tcBorders>
              <w:top w:val="nil"/>
              <w:left w:val="nil"/>
              <w:bottom w:val="single" w:color="auto" w:sz="4" w:space="0"/>
              <w:right w:val="single" w:color="auto" w:sz="4" w:space="0"/>
            </w:tcBorders>
            <w:shd w:val="clear" w:color="000000" w:fill="FFFFFF"/>
            <w:vAlign w:val="center"/>
          </w:tcPr>
          <w:p w14:paraId="048DFD10">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各部门及员工反映，投诉一次扣1分</w:t>
            </w:r>
          </w:p>
        </w:tc>
        <w:tc>
          <w:tcPr>
            <w:tcW w:w="574" w:type="pct"/>
            <w:tcBorders>
              <w:top w:val="nil"/>
              <w:left w:val="nil"/>
              <w:bottom w:val="single" w:color="auto" w:sz="4" w:space="0"/>
              <w:right w:val="single" w:color="auto" w:sz="4" w:space="0"/>
            </w:tcBorders>
            <w:shd w:val="clear" w:color="000000" w:fill="FFFFFF"/>
            <w:noWrap/>
            <w:vAlign w:val="center"/>
          </w:tcPr>
          <w:p w14:paraId="4AC01FD7">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B145EB9">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15AE9A4">
            <w:pPr>
              <w:widowControl/>
              <w:jc w:val="left"/>
              <w:rPr>
                <w:rFonts w:ascii="宋体" w:hAnsi="宋体" w:eastAsia="宋体" w:cs="宋体"/>
                <w:kern w:val="0"/>
                <w:sz w:val="22"/>
              </w:rPr>
            </w:pPr>
            <w:r>
              <w:rPr>
                <w:rFonts w:hint="eastAsia" w:ascii="宋体" w:hAnsi="宋体" w:eastAsia="宋体" w:cs="宋体"/>
                <w:kern w:val="0"/>
                <w:sz w:val="22"/>
              </w:rPr>
              <w:t>　</w:t>
            </w:r>
          </w:p>
        </w:tc>
      </w:tr>
      <w:tr w14:paraId="53578587">
        <w:tblPrEx>
          <w:tblCellMar>
            <w:top w:w="0" w:type="dxa"/>
            <w:left w:w="108" w:type="dxa"/>
            <w:bottom w:w="0" w:type="dxa"/>
            <w:right w:w="108" w:type="dxa"/>
          </w:tblCellMar>
        </w:tblPrEx>
        <w:trPr>
          <w:trHeight w:val="285" w:hRule="atLeast"/>
        </w:trPr>
        <w:tc>
          <w:tcPr>
            <w:tcW w:w="238" w:type="pct"/>
            <w:vMerge w:val="restart"/>
            <w:tcBorders>
              <w:top w:val="nil"/>
              <w:left w:val="single" w:color="auto" w:sz="4" w:space="0"/>
              <w:bottom w:val="single" w:color="auto" w:sz="4" w:space="0"/>
              <w:right w:val="single" w:color="auto" w:sz="4" w:space="0"/>
            </w:tcBorders>
            <w:shd w:val="clear" w:color="000000" w:fill="FFFFFF"/>
            <w:vAlign w:val="center"/>
          </w:tcPr>
          <w:p w14:paraId="765CE33B">
            <w:pPr>
              <w:widowControl/>
              <w:jc w:val="center"/>
              <w:rPr>
                <w:rFonts w:ascii="宋体" w:hAnsi="宋体" w:eastAsia="宋体" w:cs="宋体"/>
                <w:kern w:val="0"/>
                <w:sz w:val="22"/>
              </w:rPr>
            </w:pPr>
            <w:r>
              <w:rPr>
                <w:rFonts w:hint="eastAsia" w:ascii="宋体" w:hAnsi="宋体" w:eastAsia="宋体" w:cs="宋体"/>
                <w:kern w:val="0"/>
                <w:sz w:val="22"/>
              </w:rPr>
              <w:t>92</w:t>
            </w:r>
          </w:p>
        </w:tc>
        <w:tc>
          <w:tcPr>
            <w:tcW w:w="234" w:type="pct"/>
            <w:vMerge w:val="continue"/>
            <w:tcBorders>
              <w:top w:val="nil"/>
              <w:left w:val="single" w:color="auto" w:sz="4" w:space="0"/>
              <w:bottom w:val="single" w:color="000000" w:sz="4" w:space="0"/>
              <w:right w:val="single" w:color="auto" w:sz="4" w:space="0"/>
            </w:tcBorders>
            <w:vAlign w:val="center"/>
          </w:tcPr>
          <w:p w14:paraId="39EFDBF4">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2C477A11">
            <w:pPr>
              <w:widowControl/>
              <w:jc w:val="left"/>
              <w:rPr>
                <w:rFonts w:ascii="宋体" w:hAnsi="宋体" w:eastAsia="宋体" w:cs="宋体"/>
                <w:kern w:val="0"/>
                <w:sz w:val="22"/>
              </w:rPr>
            </w:pPr>
          </w:p>
        </w:tc>
        <w:tc>
          <w:tcPr>
            <w:tcW w:w="397" w:type="pct"/>
            <w:vMerge w:val="restart"/>
            <w:tcBorders>
              <w:top w:val="nil"/>
              <w:left w:val="single" w:color="auto" w:sz="4" w:space="0"/>
              <w:bottom w:val="single" w:color="000000" w:sz="4" w:space="0"/>
              <w:right w:val="single" w:color="auto" w:sz="4" w:space="0"/>
            </w:tcBorders>
            <w:shd w:val="clear" w:color="000000" w:fill="FFFFFF"/>
            <w:vAlign w:val="center"/>
          </w:tcPr>
          <w:p w14:paraId="3820D213">
            <w:pPr>
              <w:widowControl/>
              <w:jc w:val="center"/>
              <w:rPr>
                <w:rFonts w:ascii="宋体" w:hAnsi="宋体" w:eastAsia="宋体" w:cs="宋体"/>
                <w:kern w:val="0"/>
                <w:sz w:val="20"/>
                <w:szCs w:val="20"/>
              </w:rPr>
            </w:pPr>
            <w:r>
              <w:rPr>
                <w:rFonts w:hint="eastAsia" w:ascii="宋体" w:hAnsi="宋体" w:eastAsia="宋体" w:cs="宋体"/>
                <w:kern w:val="0"/>
                <w:sz w:val="20"/>
                <w:szCs w:val="20"/>
              </w:rPr>
              <w:t>贵宾准备工作</w:t>
            </w:r>
          </w:p>
        </w:tc>
        <w:tc>
          <w:tcPr>
            <w:tcW w:w="943" w:type="pct"/>
            <w:tcBorders>
              <w:top w:val="nil"/>
              <w:left w:val="nil"/>
              <w:bottom w:val="single" w:color="auto" w:sz="4" w:space="0"/>
              <w:right w:val="single" w:color="auto" w:sz="4" w:space="0"/>
            </w:tcBorders>
            <w:shd w:val="clear" w:color="000000" w:fill="FFFFFF"/>
            <w:vAlign w:val="center"/>
          </w:tcPr>
          <w:p w14:paraId="6F307B10">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人员资质（办公室认可的接待人员）</w:t>
            </w:r>
          </w:p>
        </w:tc>
        <w:tc>
          <w:tcPr>
            <w:tcW w:w="1713" w:type="pct"/>
            <w:vMerge w:val="restart"/>
            <w:tcBorders>
              <w:top w:val="nil"/>
              <w:left w:val="single" w:color="auto" w:sz="4" w:space="0"/>
              <w:bottom w:val="single" w:color="auto" w:sz="4" w:space="0"/>
              <w:right w:val="single" w:color="auto" w:sz="4" w:space="0"/>
            </w:tcBorders>
            <w:shd w:val="clear" w:color="000000" w:fill="FFFFFF"/>
            <w:vAlign w:val="center"/>
          </w:tcPr>
          <w:p w14:paraId="418AE2B2">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出错一次扣除0.5分</w:t>
            </w:r>
          </w:p>
        </w:tc>
        <w:tc>
          <w:tcPr>
            <w:tcW w:w="574" w:type="pct"/>
            <w:tcBorders>
              <w:top w:val="nil"/>
              <w:left w:val="nil"/>
              <w:bottom w:val="single" w:color="auto" w:sz="4" w:space="0"/>
              <w:right w:val="single" w:color="auto" w:sz="4" w:space="0"/>
            </w:tcBorders>
            <w:shd w:val="clear" w:color="000000" w:fill="FFFFFF"/>
            <w:noWrap/>
            <w:vAlign w:val="center"/>
          </w:tcPr>
          <w:p w14:paraId="473B414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B1E7778">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6B19E9F">
            <w:pPr>
              <w:widowControl/>
              <w:jc w:val="left"/>
              <w:rPr>
                <w:rFonts w:ascii="宋体" w:hAnsi="宋体" w:eastAsia="宋体" w:cs="宋体"/>
                <w:kern w:val="0"/>
                <w:sz w:val="22"/>
              </w:rPr>
            </w:pPr>
            <w:r>
              <w:rPr>
                <w:rFonts w:hint="eastAsia" w:ascii="宋体" w:hAnsi="宋体" w:eastAsia="宋体" w:cs="宋体"/>
                <w:kern w:val="0"/>
                <w:sz w:val="22"/>
              </w:rPr>
              <w:t>　</w:t>
            </w:r>
          </w:p>
        </w:tc>
      </w:tr>
      <w:tr w14:paraId="73DB0E4B">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25F798A8">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78BC3C37">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0FB93BC3">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72153366">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30C129CA">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到岗情况（按接待要求提前到岗）</w:t>
            </w:r>
          </w:p>
        </w:tc>
        <w:tc>
          <w:tcPr>
            <w:tcW w:w="1713" w:type="pct"/>
            <w:vMerge w:val="continue"/>
            <w:tcBorders>
              <w:top w:val="nil"/>
              <w:left w:val="single" w:color="auto" w:sz="4" w:space="0"/>
              <w:bottom w:val="single" w:color="auto" w:sz="4" w:space="0"/>
              <w:right w:val="single" w:color="auto" w:sz="4" w:space="0"/>
            </w:tcBorders>
            <w:vAlign w:val="center"/>
          </w:tcPr>
          <w:p w14:paraId="5B2F8D29">
            <w:pPr>
              <w:widowControl/>
              <w:jc w:val="left"/>
              <w:rPr>
                <w:rFonts w:ascii="仿宋_GB2312" w:hAnsi="宋体" w:eastAsia="仿宋_GB2312" w:cs="宋体"/>
                <w:kern w:val="0"/>
                <w:sz w:val="20"/>
                <w:szCs w:val="20"/>
              </w:rPr>
            </w:pPr>
          </w:p>
        </w:tc>
        <w:tc>
          <w:tcPr>
            <w:tcW w:w="574" w:type="pct"/>
            <w:tcBorders>
              <w:top w:val="nil"/>
              <w:left w:val="nil"/>
              <w:bottom w:val="single" w:color="auto" w:sz="4" w:space="0"/>
              <w:right w:val="single" w:color="auto" w:sz="4" w:space="0"/>
            </w:tcBorders>
            <w:shd w:val="clear" w:color="000000" w:fill="FFFFFF"/>
            <w:noWrap/>
            <w:vAlign w:val="center"/>
          </w:tcPr>
          <w:p w14:paraId="51C27125">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2DA7A77E">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B507EAD">
            <w:pPr>
              <w:widowControl/>
              <w:jc w:val="left"/>
              <w:rPr>
                <w:rFonts w:ascii="宋体" w:hAnsi="宋体" w:eastAsia="宋体" w:cs="宋体"/>
                <w:kern w:val="0"/>
                <w:sz w:val="22"/>
              </w:rPr>
            </w:pPr>
            <w:r>
              <w:rPr>
                <w:rFonts w:hint="eastAsia" w:ascii="宋体" w:hAnsi="宋体" w:eastAsia="宋体" w:cs="宋体"/>
                <w:kern w:val="0"/>
                <w:sz w:val="22"/>
              </w:rPr>
              <w:t>　</w:t>
            </w:r>
          </w:p>
        </w:tc>
      </w:tr>
      <w:tr w14:paraId="0F9FACC7">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78280EDF">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D45D5A4">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116F2F6C">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0FB91F26">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49977C73">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接待用品（按接待要求提前准备）</w:t>
            </w:r>
          </w:p>
        </w:tc>
        <w:tc>
          <w:tcPr>
            <w:tcW w:w="1713" w:type="pct"/>
            <w:vMerge w:val="continue"/>
            <w:tcBorders>
              <w:top w:val="nil"/>
              <w:left w:val="single" w:color="auto" w:sz="4" w:space="0"/>
              <w:bottom w:val="single" w:color="auto" w:sz="4" w:space="0"/>
              <w:right w:val="single" w:color="auto" w:sz="4" w:space="0"/>
            </w:tcBorders>
            <w:vAlign w:val="center"/>
          </w:tcPr>
          <w:p w14:paraId="07F8A819">
            <w:pPr>
              <w:widowControl/>
              <w:jc w:val="left"/>
              <w:rPr>
                <w:rFonts w:ascii="仿宋_GB2312" w:hAnsi="宋体" w:eastAsia="仿宋_GB2312" w:cs="宋体"/>
                <w:kern w:val="0"/>
                <w:sz w:val="20"/>
                <w:szCs w:val="20"/>
              </w:rPr>
            </w:pPr>
          </w:p>
        </w:tc>
        <w:tc>
          <w:tcPr>
            <w:tcW w:w="574" w:type="pct"/>
            <w:tcBorders>
              <w:top w:val="nil"/>
              <w:left w:val="nil"/>
              <w:bottom w:val="single" w:color="auto" w:sz="4" w:space="0"/>
              <w:right w:val="single" w:color="auto" w:sz="4" w:space="0"/>
            </w:tcBorders>
            <w:shd w:val="clear" w:color="000000" w:fill="FFFFFF"/>
            <w:noWrap/>
            <w:vAlign w:val="center"/>
          </w:tcPr>
          <w:p w14:paraId="3DD57628">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315FF53">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FC1EADF">
            <w:pPr>
              <w:widowControl/>
              <w:jc w:val="left"/>
              <w:rPr>
                <w:rFonts w:ascii="宋体" w:hAnsi="宋体" w:eastAsia="宋体" w:cs="宋体"/>
                <w:kern w:val="0"/>
                <w:sz w:val="22"/>
              </w:rPr>
            </w:pPr>
            <w:r>
              <w:rPr>
                <w:rFonts w:hint="eastAsia" w:ascii="宋体" w:hAnsi="宋体" w:eastAsia="宋体" w:cs="宋体"/>
                <w:kern w:val="0"/>
                <w:sz w:val="22"/>
              </w:rPr>
              <w:t>　</w:t>
            </w:r>
          </w:p>
        </w:tc>
      </w:tr>
      <w:tr w14:paraId="1BDF5787">
        <w:tblPrEx>
          <w:tblCellMar>
            <w:top w:w="0" w:type="dxa"/>
            <w:left w:w="108" w:type="dxa"/>
            <w:bottom w:w="0" w:type="dxa"/>
            <w:right w:w="108" w:type="dxa"/>
          </w:tblCellMar>
        </w:tblPrEx>
        <w:trPr>
          <w:trHeight w:val="285" w:hRule="atLeast"/>
        </w:trPr>
        <w:tc>
          <w:tcPr>
            <w:tcW w:w="238" w:type="pct"/>
            <w:vMerge w:val="restart"/>
            <w:tcBorders>
              <w:top w:val="nil"/>
              <w:left w:val="single" w:color="auto" w:sz="4" w:space="0"/>
              <w:bottom w:val="single" w:color="auto" w:sz="4" w:space="0"/>
              <w:right w:val="single" w:color="auto" w:sz="4" w:space="0"/>
            </w:tcBorders>
            <w:shd w:val="clear" w:color="000000" w:fill="FFFFFF"/>
            <w:vAlign w:val="center"/>
          </w:tcPr>
          <w:p w14:paraId="32454966">
            <w:pPr>
              <w:widowControl/>
              <w:jc w:val="center"/>
              <w:rPr>
                <w:rFonts w:ascii="宋体" w:hAnsi="宋体" w:eastAsia="宋体" w:cs="宋体"/>
                <w:kern w:val="0"/>
                <w:sz w:val="22"/>
              </w:rPr>
            </w:pPr>
            <w:r>
              <w:rPr>
                <w:rFonts w:hint="eastAsia" w:ascii="宋体" w:hAnsi="宋体" w:eastAsia="宋体" w:cs="宋体"/>
                <w:kern w:val="0"/>
                <w:sz w:val="22"/>
              </w:rPr>
              <w:t>93</w:t>
            </w:r>
          </w:p>
        </w:tc>
        <w:tc>
          <w:tcPr>
            <w:tcW w:w="234" w:type="pct"/>
            <w:vMerge w:val="continue"/>
            <w:tcBorders>
              <w:top w:val="nil"/>
              <w:left w:val="single" w:color="auto" w:sz="4" w:space="0"/>
              <w:bottom w:val="single" w:color="000000" w:sz="4" w:space="0"/>
              <w:right w:val="single" w:color="auto" w:sz="4" w:space="0"/>
            </w:tcBorders>
            <w:vAlign w:val="center"/>
          </w:tcPr>
          <w:p w14:paraId="5D7CEC41">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2E398B57">
            <w:pPr>
              <w:widowControl/>
              <w:jc w:val="left"/>
              <w:rPr>
                <w:rFonts w:ascii="宋体" w:hAnsi="宋体" w:eastAsia="宋体" w:cs="宋体"/>
                <w:kern w:val="0"/>
                <w:sz w:val="22"/>
              </w:rPr>
            </w:pPr>
          </w:p>
        </w:tc>
        <w:tc>
          <w:tcPr>
            <w:tcW w:w="397" w:type="pct"/>
            <w:vMerge w:val="restart"/>
            <w:tcBorders>
              <w:top w:val="nil"/>
              <w:left w:val="single" w:color="auto" w:sz="4" w:space="0"/>
              <w:bottom w:val="single" w:color="000000" w:sz="4" w:space="0"/>
              <w:right w:val="single" w:color="auto" w:sz="4" w:space="0"/>
            </w:tcBorders>
            <w:shd w:val="clear" w:color="000000" w:fill="FFFFFF"/>
            <w:vAlign w:val="center"/>
          </w:tcPr>
          <w:p w14:paraId="19467C65">
            <w:pPr>
              <w:widowControl/>
              <w:jc w:val="center"/>
              <w:rPr>
                <w:rFonts w:ascii="宋体" w:hAnsi="宋体" w:eastAsia="宋体" w:cs="宋体"/>
                <w:kern w:val="0"/>
                <w:sz w:val="20"/>
                <w:szCs w:val="20"/>
              </w:rPr>
            </w:pPr>
            <w:r>
              <w:rPr>
                <w:rFonts w:hint="eastAsia" w:ascii="宋体" w:hAnsi="宋体" w:eastAsia="宋体" w:cs="宋体"/>
                <w:kern w:val="0"/>
                <w:sz w:val="20"/>
                <w:szCs w:val="20"/>
              </w:rPr>
              <w:t>贵宾礼仪服务</w:t>
            </w:r>
          </w:p>
        </w:tc>
        <w:tc>
          <w:tcPr>
            <w:tcW w:w="943" w:type="pct"/>
            <w:tcBorders>
              <w:top w:val="nil"/>
              <w:left w:val="nil"/>
              <w:bottom w:val="single" w:color="auto" w:sz="4" w:space="0"/>
              <w:right w:val="single" w:color="auto" w:sz="4" w:space="0"/>
            </w:tcBorders>
            <w:shd w:val="clear" w:color="000000" w:fill="FFFFFF"/>
            <w:vAlign w:val="center"/>
          </w:tcPr>
          <w:p w14:paraId="5EFDF892">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服务态度（规范用语、主动性)</w:t>
            </w:r>
          </w:p>
        </w:tc>
        <w:tc>
          <w:tcPr>
            <w:tcW w:w="1713" w:type="pct"/>
            <w:vMerge w:val="restart"/>
            <w:tcBorders>
              <w:top w:val="nil"/>
              <w:left w:val="single" w:color="auto" w:sz="4" w:space="0"/>
              <w:bottom w:val="single" w:color="auto" w:sz="4" w:space="0"/>
              <w:right w:val="single" w:color="auto" w:sz="4" w:space="0"/>
            </w:tcBorders>
            <w:shd w:val="clear" w:color="000000" w:fill="FFFFFF"/>
            <w:vAlign w:val="center"/>
          </w:tcPr>
          <w:p w14:paraId="289ABEA4">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根据贵宾反映情况或馆接待办人员确认，出错一次扣除0.5分</w:t>
            </w:r>
          </w:p>
        </w:tc>
        <w:tc>
          <w:tcPr>
            <w:tcW w:w="574" w:type="pct"/>
            <w:tcBorders>
              <w:top w:val="nil"/>
              <w:left w:val="nil"/>
              <w:bottom w:val="single" w:color="auto" w:sz="4" w:space="0"/>
              <w:right w:val="single" w:color="auto" w:sz="4" w:space="0"/>
            </w:tcBorders>
            <w:shd w:val="clear" w:color="000000" w:fill="FFFFFF"/>
            <w:noWrap/>
            <w:vAlign w:val="center"/>
          </w:tcPr>
          <w:p w14:paraId="7E117B4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5DE0AF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364A01F4">
            <w:pPr>
              <w:widowControl/>
              <w:jc w:val="left"/>
              <w:rPr>
                <w:rFonts w:ascii="宋体" w:hAnsi="宋体" w:eastAsia="宋体" w:cs="宋体"/>
                <w:kern w:val="0"/>
                <w:sz w:val="22"/>
              </w:rPr>
            </w:pPr>
            <w:r>
              <w:rPr>
                <w:rFonts w:hint="eastAsia" w:ascii="宋体" w:hAnsi="宋体" w:eastAsia="宋体" w:cs="宋体"/>
                <w:kern w:val="0"/>
                <w:sz w:val="22"/>
              </w:rPr>
              <w:t>　</w:t>
            </w:r>
          </w:p>
        </w:tc>
      </w:tr>
      <w:tr w14:paraId="551A1C2A">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3E6C0369">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4D4CDF18">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690B81D7">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31EFBF60">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057C4A9D">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礼仪（含着装、化妆、姿态等）</w:t>
            </w:r>
          </w:p>
        </w:tc>
        <w:tc>
          <w:tcPr>
            <w:tcW w:w="1713" w:type="pct"/>
            <w:vMerge w:val="continue"/>
            <w:tcBorders>
              <w:top w:val="nil"/>
              <w:left w:val="single" w:color="auto" w:sz="4" w:space="0"/>
              <w:bottom w:val="single" w:color="auto" w:sz="4" w:space="0"/>
              <w:right w:val="single" w:color="auto" w:sz="4" w:space="0"/>
            </w:tcBorders>
            <w:vAlign w:val="center"/>
          </w:tcPr>
          <w:p w14:paraId="58250C0B">
            <w:pPr>
              <w:widowControl/>
              <w:jc w:val="left"/>
              <w:rPr>
                <w:rFonts w:ascii="仿宋_GB2312" w:hAnsi="宋体" w:eastAsia="仿宋_GB2312" w:cs="宋体"/>
                <w:kern w:val="0"/>
                <w:sz w:val="20"/>
                <w:szCs w:val="20"/>
              </w:rPr>
            </w:pPr>
          </w:p>
        </w:tc>
        <w:tc>
          <w:tcPr>
            <w:tcW w:w="574" w:type="pct"/>
            <w:tcBorders>
              <w:top w:val="nil"/>
              <w:left w:val="nil"/>
              <w:bottom w:val="single" w:color="auto" w:sz="4" w:space="0"/>
              <w:right w:val="single" w:color="auto" w:sz="4" w:space="0"/>
            </w:tcBorders>
            <w:shd w:val="clear" w:color="000000" w:fill="FFFFFF"/>
            <w:noWrap/>
            <w:vAlign w:val="center"/>
          </w:tcPr>
          <w:p w14:paraId="67C0DB64">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7F97B97D">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1A297766">
            <w:pPr>
              <w:widowControl/>
              <w:jc w:val="left"/>
              <w:rPr>
                <w:rFonts w:ascii="宋体" w:hAnsi="宋体" w:eastAsia="宋体" w:cs="宋体"/>
                <w:kern w:val="0"/>
                <w:sz w:val="22"/>
              </w:rPr>
            </w:pPr>
            <w:r>
              <w:rPr>
                <w:rFonts w:hint="eastAsia" w:ascii="宋体" w:hAnsi="宋体" w:eastAsia="宋体" w:cs="宋体"/>
                <w:kern w:val="0"/>
                <w:sz w:val="22"/>
              </w:rPr>
              <w:t>　</w:t>
            </w:r>
          </w:p>
        </w:tc>
      </w:tr>
      <w:tr w14:paraId="53B07CC7">
        <w:tblPrEx>
          <w:tblCellMar>
            <w:top w:w="0" w:type="dxa"/>
            <w:left w:w="108" w:type="dxa"/>
            <w:bottom w:w="0" w:type="dxa"/>
            <w:right w:w="108" w:type="dxa"/>
          </w:tblCellMar>
        </w:tblPrEx>
        <w:trPr>
          <w:trHeight w:val="270" w:hRule="atLeast"/>
        </w:trPr>
        <w:tc>
          <w:tcPr>
            <w:tcW w:w="238" w:type="pct"/>
            <w:vMerge w:val="continue"/>
            <w:tcBorders>
              <w:top w:val="nil"/>
              <w:left w:val="single" w:color="auto" w:sz="4" w:space="0"/>
              <w:bottom w:val="single" w:color="auto" w:sz="4" w:space="0"/>
              <w:right w:val="single" w:color="auto" w:sz="4" w:space="0"/>
            </w:tcBorders>
            <w:vAlign w:val="center"/>
          </w:tcPr>
          <w:p w14:paraId="21981DEA">
            <w:pPr>
              <w:widowControl/>
              <w:jc w:val="left"/>
              <w:rPr>
                <w:rFonts w:ascii="宋体" w:hAnsi="宋体" w:eastAsia="宋体" w:cs="宋体"/>
                <w:kern w:val="0"/>
                <w:sz w:val="22"/>
              </w:rPr>
            </w:pPr>
          </w:p>
        </w:tc>
        <w:tc>
          <w:tcPr>
            <w:tcW w:w="234" w:type="pct"/>
            <w:vMerge w:val="continue"/>
            <w:tcBorders>
              <w:top w:val="nil"/>
              <w:left w:val="single" w:color="auto" w:sz="4" w:space="0"/>
              <w:bottom w:val="single" w:color="000000" w:sz="4" w:space="0"/>
              <w:right w:val="single" w:color="auto" w:sz="4" w:space="0"/>
            </w:tcBorders>
            <w:vAlign w:val="center"/>
          </w:tcPr>
          <w:p w14:paraId="676391B0">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2EDF3B9C">
            <w:pPr>
              <w:widowControl/>
              <w:jc w:val="left"/>
              <w:rPr>
                <w:rFonts w:ascii="宋体" w:hAnsi="宋体" w:eastAsia="宋体" w:cs="宋体"/>
                <w:kern w:val="0"/>
                <w:sz w:val="22"/>
              </w:rPr>
            </w:pPr>
          </w:p>
        </w:tc>
        <w:tc>
          <w:tcPr>
            <w:tcW w:w="397" w:type="pct"/>
            <w:vMerge w:val="continue"/>
            <w:tcBorders>
              <w:top w:val="nil"/>
              <w:left w:val="single" w:color="auto" w:sz="4" w:space="0"/>
              <w:bottom w:val="single" w:color="000000" w:sz="4" w:space="0"/>
              <w:right w:val="single" w:color="auto" w:sz="4" w:space="0"/>
            </w:tcBorders>
            <w:vAlign w:val="center"/>
          </w:tcPr>
          <w:p w14:paraId="3C01C4D6">
            <w:pPr>
              <w:widowControl/>
              <w:jc w:val="left"/>
              <w:rPr>
                <w:rFonts w:ascii="宋体" w:hAnsi="宋体" w:eastAsia="宋体" w:cs="宋体"/>
                <w:kern w:val="0"/>
                <w:sz w:val="20"/>
                <w:szCs w:val="20"/>
              </w:rPr>
            </w:pPr>
          </w:p>
        </w:tc>
        <w:tc>
          <w:tcPr>
            <w:tcW w:w="943" w:type="pct"/>
            <w:tcBorders>
              <w:top w:val="nil"/>
              <w:left w:val="nil"/>
              <w:bottom w:val="single" w:color="auto" w:sz="4" w:space="0"/>
              <w:right w:val="single" w:color="auto" w:sz="4" w:space="0"/>
            </w:tcBorders>
            <w:shd w:val="clear" w:color="000000" w:fill="FFFFFF"/>
            <w:vAlign w:val="center"/>
          </w:tcPr>
          <w:p w14:paraId="367E2B4B">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贵宾室服务、电梯服务、引导服务等</w:t>
            </w:r>
          </w:p>
        </w:tc>
        <w:tc>
          <w:tcPr>
            <w:tcW w:w="1713" w:type="pct"/>
            <w:vMerge w:val="continue"/>
            <w:tcBorders>
              <w:top w:val="nil"/>
              <w:left w:val="single" w:color="auto" w:sz="4" w:space="0"/>
              <w:bottom w:val="single" w:color="auto" w:sz="4" w:space="0"/>
              <w:right w:val="single" w:color="auto" w:sz="4" w:space="0"/>
            </w:tcBorders>
            <w:vAlign w:val="center"/>
          </w:tcPr>
          <w:p w14:paraId="0743FF6A">
            <w:pPr>
              <w:widowControl/>
              <w:jc w:val="left"/>
              <w:rPr>
                <w:rFonts w:ascii="仿宋_GB2312" w:hAnsi="宋体" w:eastAsia="仿宋_GB2312" w:cs="宋体"/>
                <w:kern w:val="0"/>
                <w:sz w:val="20"/>
                <w:szCs w:val="20"/>
              </w:rPr>
            </w:pPr>
          </w:p>
        </w:tc>
        <w:tc>
          <w:tcPr>
            <w:tcW w:w="574" w:type="pct"/>
            <w:tcBorders>
              <w:top w:val="nil"/>
              <w:left w:val="nil"/>
              <w:bottom w:val="single" w:color="auto" w:sz="4" w:space="0"/>
              <w:right w:val="single" w:color="auto" w:sz="4" w:space="0"/>
            </w:tcBorders>
            <w:shd w:val="clear" w:color="000000" w:fill="FFFFFF"/>
            <w:noWrap/>
            <w:vAlign w:val="center"/>
          </w:tcPr>
          <w:p w14:paraId="09A1A810">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4F11BFE6">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8E34994">
            <w:pPr>
              <w:widowControl/>
              <w:jc w:val="left"/>
              <w:rPr>
                <w:rFonts w:ascii="宋体" w:hAnsi="宋体" w:eastAsia="宋体" w:cs="宋体"/>
                <w:kern w:val="0"/>
                <w:sz w:val="22"/>
              </w:rPr>
            </w:pPr>
            <w:r>
              <w:rPr>
                <w:rFonts w:hint="eastAsia" w:ascii="宋体" w:hAnsi="宋体" w:eastAsia="宋体" w:cs="宋体"/>
                <w:kern w:val="0"/>
                <w:sz w:val="22"/>
              </w:rPr>
              <w:t>　</w:t>
            </w:r>
          </w:p>
        </w:tc>
      </w:tr>
      <w:tr w14:paraId="6F5E187F">
        <w:tblPrEx>
          <w:tblCellMar>
            <w:top w:w="0" w:type="dxa"/>
            <w:left w:w="108" w:type="dxa"/>
            <w:bottom w:w="0" w:type="dxa"/>
            <w:right w:w="108" w:type="dxa"/>
          </w:tblCellMar>
        </w:tblPrEx>
        <w:trPr>
          <w:trHeight w:val="4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1E19FBCD">
            <w:pPr>
              <w:widowControl/>
              <w:jc w:val="center"/>
              <w:rPr>
                <w:rFonts w:ascii="宋体" w:hAnsi="宋体" w:eastAsia="宋体" w:cs="宋体"/>
                <w:kern w:val="0"/>
                <w:sz w:val="22"/>
              </w:rPr>
            </w:pPr>
            <w:r>
              <w:rPr>
                <w:rFonts w:hint="eastAsia" w:ascii="宋体" w:hAnsi="宋体" w:eastAsia="宋体" w:cs="宋体"/>
                <w:kern w:val="0"/>
                <w:sz w:val="22"/>
              </w:rPr>
              <w:t>94</w:t>
            </w:r>
          </w:p>
        </w:tc>
        <w:tc>
          <w:tcPr>
            <w:tcW w:w="234" w:type="pct"/>
            <w:vMerge w:val="restart"/>
            <w:tcBorders>
              <w:top w:val="nil"/>
              <w:left w:val="single" w:color="auto" w:sz="4" w:space="0"/>
              <w:bottom w:val="single" w:color="000000" w:sz="4" w:space="0"/>
              <w:right w:val="single" w:color="auto" w:sz="4" w:space="0"/>
            </w:tcBorders>
            <w:shd w:val="clear" w:color="000000" w:fill="FFFFFF"/>
            <w:vAlign w:val="center"/>
          </w:tcPr>
          <w:p w14:paraId="7510C612">
            <w:pPr>
              <w:widowControl/>
              <w:jc w:val="center"/>
              <w:rPr>
                <w:rFonts w:ascii="宋体" w:hAnsi="宋体" w:eastAsia="宋体" w:cs="宋体"/>
                <w:b/>
                <w:bCs/>
                <w:kern w:val="0"/>
                <w:sz w:val="22"/>
              </w:rPr>
            </w:pPr>
            <w:r>
              <w:rPr>
                <w:rFonts w:hint="eastAsia" w:ascii="宋体" w:hAnsi="宋体" w:eastAsia="宋体" w:cs="宋体"/>
                <w:b/>
                <w:bCs/>
                <w:kern w:val="0"/>
                <w:sz w:val="22"/>
              </w:rPr>
              <w:t>保障配合板块</w:t>
            </w:r>
          </w:p>
        </w:tc>
        <w:tc>
          <w:tcPr>
            <w:tcW w:w="275" w:type="pct"/>
            <w:vMerge w:val="restart"/>
            <w:tcBorders>
              <w:top w:val="nil"/>
              <w:left w:val="single" w:color="auto" w:sz="4" w:space="0"/>
              <w:bottom w:val="single" w:color="auto" w:sz="4" w:space="0"/>
              <w:right w:val="single" w:color="auto" w:sz="4" w:space="0"/>
            </w:tcBorders>
            <w:shd w:val="clear" w:color="000000" w:fill="FFFFFF"/>
            <w:vAlign w:val="center"/>
          </w:tcPr>
          <w:p w14:paraId="5BD16B8A">
            <w:pPr>
              <w:widowControl/>
              <w:jc w:val="center"/>
              <w:rPr>
                <w:rFonts w:ascii="宋体" w:hAnsi="宋体" w:eastAsia="宋体" w:cs="宋体"/>
                <w:kern w:val="0"/>
                <w:sz w:val="22"/>
              </w:rPr>
            </w:pPr>
            <w:r>
              <w:rPr>
                <w:rFonts w:hint="eastAsia" w:ascii="宋体" w:hAnsi="宋体" w:eastAsia="宋体" w:cs="宋体"/>
                <w:kern w:val="0"/>
                <w:sz w:val="22"/>
              </w:rPr>
              <w:t>各项保障需求配合</w:t>
            </w:r>
          </w:p>
        </w:tc>
        <w:tc>
          <w:tcPr>
            <w:tcW w:w="397" w:type="pct"/>
            <w:tcBorders>
              <w:top w:val="nil"/>
              <w:left w:val="nil"/>
              <w:bottom w:val="single" w:color="auto" w:sz="4" w:space="0"/>
              <w:right w:val="single" w:color="auto" w:sz="4" w:space="0"/>
            </w:tcBorders>
            <w:shd w:val="clear" w:color="000000" w:fill="FFFFFF"/>
            <w:vAlign w:val="center"/>
          </w:tcPr>
          <w:p w14:paraId="4F65DEF8">
            <w:pPr>
              <w:widowControl/>
              <w:jc w:val="center"/>
              <w:rPr>
                <w:rFonts w:ascii="宋体" w:hAnsi="宋体" w:eastAsia="宋体" w:cs="宋体"/>
                <w:kern w:val="0"/>
                <w:sz w:val="20"/>
                <w:szCs w:val="20"/>
              </w:rPr>
            </w:pPr>
            <w:r>
              <w:rPr>
                <w:rFonts w:hint="eastAsia" w:ascii="宋体" w:hAnsi="宋体" w:eastAsia="宋体" w:cs="宋体"/>
                <w:kern w:val="0"/>
                <w:sz w:val="20"/>
                <w:szCs w:val="20"/>
              </w:rPr>
              <w:t>保洁配合</w:t>
            </w:r>
          </w:p>
        </w:tc>
        <w:tc>
          <w:tcPr>
            <w:tcW w:w="943" w:type="pct"/>
            <w:tcBorders>
              <w:top w:val="nil"/>
              <w:left w:val="nil"/>
              <w:bottom w:val="single" w:color="auto" w:sz="4" w:space="0"/>
              <w:right w:val="single" w:color="auto" w:sz="4" w:space="0"/>
            </w:tcBorders>
            <w:shd w:val="clear" w:color="000000" w:fill="FFFFFF"/>
            <w:vAlign w:val="center"/>
          </w:tcPr>
          <w:p w14:paraId="16151DB1">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对各部门需求的保洁区域，按照对应的要求实施保洁配合工作</w:t>
            </w:r>
          </w:p>
        </w:tc>
        <w:tc>
          <w:tcPr>
            <w:tcW w:w="1713" w:type="pct"/>
            <w:tcBorders>
              <w:top w:val="nil"/>
              <w:left w:val="nil"/>
              <w:bottom w:val="single" w:color="auto" w:sz="4" w:space="0"/>
              <w:right w:val="single" w:color="auto" w:sz="4" w:space="0"/>
            </w:tcBorders>
            <w:shd w:val="clear" w:color="000000" w:fill="FFFFFF"/>
            <w:vAlign w:val="center"/>
          </w:tcPr>
          <w:p w14:paraId="6EEB2E4F">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一次不配合不满意则扣0.5分，可以累计</w:t>
            </w:r>
          </w:p>
        </w:tc>
        <w:tc>
          <w:tcPr>
            <w:tcW w:w="574" w:type="pct"/>
            <w:tcBorders>
              <w:top w:val="nil"/>
              <w:left w:val="nil"/>
              <w:bottom w:val="single" w:color="auto" w:sz="4" w:space="0"/>
              <w:right w:val="single" w:color="auto" w:sz="4" w:space="0"/>
            </w:tcBorders>
            <w:shd w:val="clear" w:color="000000" w:fill="FFFFFF"/>
            <w:noWrap/>
            <w:vAlign w:val="center"/>
          </w:tcPr>
          <w:p w14:paraId="6D42123A">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DB1AEA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764D2766">
            <w:pPr>
              <w:widowControl/>
              <w:jc w:val="left"/>
              <w:rPr>
                <w:rFonts w:ascii="宋体" w:hAnsi="宋体" w:eastAsia="宋体" w:cs="宋体"/>
                <w:kern w:val="0"/>
                <w:sz w:val="22"/>
              </w:rPr>
            </w:pPr>
            <w:r>
              <w:rPr>
                <w:rFonts w:hint="eastAsia" w:ascii="宋体" w:hAnsi="宋体" w:eastAsia="宋体" w:cs="宋体"/>
                <w:kern w:val="0"/>
                <w:sz w:val="22"/>
              </w:rPr>
              <w:t>　</w:t>
            </w:r>
          </w:p>
        </w:tc>
      </w:tr>
      <w:tr w14:paraId="0A153E0C">
        <w:tblPrEx>
          <w:tblCellMar>
            <w:top w:w="0" w:type="dxa"/>
            <w:left w:w="108" w:type="dxa"/>
            <w:bottom w:w="0" w:type="dxa"/>
            <w:right w:w="108" w:type="dxa"/>
          </w:tblCellMar>
        </w:tblPrEx>
        <w:trPr>
          <w:trHeight w:val="4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5CDECFD2">
            <w:pPr>
              <w:widowControl/>
              <w:jc w:val="center"/>
              <w:rPr>
                <w:rFonts w:ascii="宋体" w:hAnsi="宋体" w:eastAsia="宋体" w:cs="宋体"/>
                <w:kern w:val="0"/>
                <w:sz w:val="22"/>
              </w:rPr>
            </w:pPr>
            <w:r>
              <w:rPr>
                <w:rFonts w:hint="eastAsia" w:ascii="宋体" w:hAnsi="宋体" w:eastAsia="宋体" w:cs="宋体"/>
                <w:kern w:val="0"/>
                <w:sz w:val="22"/>
              </w:rPr>
              <w:t>95</w:t>
            </w:r>
          </w:p>
        </w:tc>
        <w:tc>
          <w:tcPr>
            <w:tcW w:w="234" w:type="pct"/>
            <w:vMerge w:val="continue"/>
            <w:tcBorders>
              <w:top w:val="nil"/>
              <w:left w:val="single" w:color="auto" w:sz="4" w:space="0"/>
              <w:bottom w:val="single" w:color="000000" w:sz="4" w:space="0"/>
              <w:right w:val="single" w:color="auto" w:sz="4" w:space="0"/>
            </w:tcBorders>
            <w:vAlign w:val="center"/>
          </w:tcPr>
          <w:p w14:paraId="299ACF75">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6FE8EB8A">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20495FA3">
            <w:pPr>
              <w:widowControl/>
              <w:jc w:val="center"/>
              <w:rPr>
                <w:rFonts w:ascii="宋体" w:hAnsi="宋体" w:eastAsia="宋体" w:cs="宋体"/>
                <w:kern w:val="0"/>
                <w:sz w:val="20"/>
                <w:szCs w:val="20"/>
              </w:rPr>
            </w:pPr>
            <w:r>
              <w:rPr>
                <w:rFonts w:hint="eastAsia" w:ascii="宋体" w:hAnsi="宋体" w:eastAsia="宋体" w:cs="宋体"/>
                <w:kern w:val="0"/>
                <w:sz w:val="20"/>
                <w:szCs w:val="20"/>
              </w:rPr>
              <w:t>搬运工、万能工配合</w:t>
            </w:r>
          </w:p>
        </w:tc>
        <w:tc>
          <w:tcPr>
            <w:tcW w:w="943" w:type="pct"/>
            <w:tcBorders>
              <w:top w:val="nil"/>
              <w:left w:val="nil"/>
              <w:bottom w:val="single" w:color="auto" w:sz="4" w:space="0"/>
              <w:right w:val="single" w:color="auto" w:sz="4" w:space="0"/>
            </w:tcBorders>
            <w:shd w:val="clear" w:color="000000" w:fill="FFFFFF"/>
            <w:vAlign w:val="center"/>
          </w:tcPr>
          <w:p w14:paraId="0B62585B">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搬运工、万能工配合各部门开展各项工作</w:t>
            </w:r>
          </w:p>
        </w:tc>
        <w:tc>
          <w:tcPr>
            <w:tcW w:w="1713" w:type="pct"/>
            <w:tcBorders>
              <w:top w:val="nil"/>
              <w:left w:val="nil"/>
              <w:bottom w:val="single" w:color="auto" w:sz="4" w:space="0"/>
              <w:right w:val="single" w:color="auto" w:sz="4" w:space="0"/>
            </w:tcBorders>
            <w:shd w:val="clear" w:color="000000" w:fill="FFFFFF"/>
            <w:vAlign w:val="center"/>
          </w:tcPr>
          <w:p w14:paraId="488065F5">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一次不配合不满意则扣0.5分，可以累计</w:t>
            </w:r>
          </w:p>
        </w:tc>
        <w:tc>
          <w:tcPr>
            <w:tcW w:w="574" w:type="pct"/>
            <w:tcBorders>
              <w:top w:val="nil"/>
              <w:left w:val="nil"/>
              <w:bottom w:val="single" w:color="auto" w:sz="4" w:space="0"/>
              <w:right w:val="single" w:color="auto" w:sz="4" w:space="0"/>
            </w:tcBorders>
            <w:shd w:val="clear" w:color="000000" w:fill="FFFFFF"/>
            <w:noWrap/>
            <w:vAlign w:val="center"/>
          </w:tcPr>
          <w:p w14:paraId="288C0939">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C993861">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B02DCE6">
            <w:pPr>
              <w:widowControl/>
              <w:jc w:val="left"/>
              <w:rPr>
                <w:rFonts w:ascii="宋体" w:hAnsi="宋体" w:eastAsia="宋体" w:cs="宋体"/>
                <w:kern w:val="0"/>
                <w:sz w:val="22"/>
              </w:rPr>
            </w:pPr>
            <w:r>
              <w:rPr>
                <w:rFonts w:hint="eastAsia" w:ascii="宋体" w:hAnsi="宋体" w:eastAsia="宋体" w:cs="宋体"/>
                <w:kern w:val="0"/>
                <w:sz w:val="22"/>
              </w:rPr>
              <w:t>　</w:t>
            </w:r>
          </w:p>
        </w:tc>
      </w:tr>
      <w:tr w14:paraId="0ACDB643">
        <w:tblPrEx>
          <w:tblCellMar>
            <w:top w:w="0" w:type="dxa"/>
            <w:left w:w="108" w:type="dxa"/>
            <w:bottom w:w="0" w:type="dxa"/>
            <w:right w:w="108" w:type="dxa"/>
          </w:tblCellMar>
        </w:tblPrEx>
        <w:trPr>
          <w:trHeight w:val="27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3BDEF87">
            <w:pPr>
              <w:widowControl/>
              <w:jc w:val="center"/>
              <w:rPr>
                <w:rFonts w:ascii="宋体" w:hAnsi="宋体" w:eastAsia="宋体" w:cs="宋体"/>
                <w:kern w:val="0"/>
                <w:sz w:val="22"/>
              </w:rPr>
            </w:pPr>
            <w:r>
              <w:rPr>
                <w:rFonts w:hint="eastAsia" w:ascii="宋体" w:hAnsi="宋体" w:eastAsia="宋体" w:cs="宋体"/>
                <w:kern w:val="0"/>
                <w:sz w:val="22"/>
              </w:rPr>
              <w:t>96</w:t>
            </w:r>
          </w:p>
        </w:tc>
        <w:tc>
          <w:tcPr>
            <w:tcW w:w="234" w:type="pct"/>
            <w:vMerge w:val="continue"/>
            <w:tcBorders>
              <w:top w:val="nil"/>
              <w:left w:val="single" w:color="auto" w:sz="4" w:space="0"/>
              <w:bottom w:val="single" w:color="000000" w:sz="4" w:space="0"/>
              <w:right w:val="single" w:color="auto" w:sz="4" w:space="0"/>
            </w:tcBorders>
            <w:vAlign w:val="center"/>
          </w:tcPr>
          <w:p w14:paraId="7E45D444">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2B8C7F23">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5908472B">
            <w:pPr>
              <w:widowControl/>
              <w:jc w:val="center"/>
              <w:rPr>
                <w:rFonts w:ascii="宋体" w:hAnsi="宋体" w:eastAsia="宋体" w:cs="宋体"/>
                <w:kern w:val="0"/>
                <w:sz w:val="20"/>
                <w:szCs w:val="20"/>
              </w:rPr>
            </w:pPr>
            <w:r>
              <w:rPr>
                <w:rFonts w:hint="eastAsia" w:ascii="宋体" w:hAnsi="宋体" w:eastAsia="宋体" w:cs="宋体"/>
                <w:kern w:val="0"/>
                <w:sz w:val="20"/>
                <w:szCs w:val="20"/>
              </w:rPr>
              <w:t>强电配合</w:t>
            </w:r>
          </w:p>
        </w:tc>
        <w:tc>
          <w:tcPr>
            <w:tcW w:w="943" w:type="pct"/>
            <w:tcBorders>
              <w:top w:val="nil"/>
              <w:left w:val="nil"/>
              <w:bottom w:val="single" w:color="auto" w:sz="4" w:space="0"/>
              <w:right w:val="single" w:color="auto" w:sz="4" w:space="0"/>
            </w:tcBorders>
            <w:shd w:val="clear" w:color="000000" w:fill="FFFFFF"/>
            <w:vAlign w:val="center"/>
          </w:tcPr>
          <w:p w14:paraId="43FE7402">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配合各部门强电需求</w:t>
            </w:r>
          </w:p>
        </w:tc>
        <w:tc>
          <w:tcPr>
            <w:tcW w:w="1713" w:type="pct"/>
            <w:tcBorders>
              <w:top w:val="nil"/>
              <w:left w:val="nil"/>
              <w:bottom w:val="single" w:color="auto" w:sz="4" w:space="0"/>
              <w:right w:val="single" w:color="auto" w:sz="4" w:space="0"/>
            </w:tcBorders>
            <w:shd w:val="clear" w:color="000000" w:fill="FFFFFF"/>
            <w:vAlign w:val="center"/>
          </w:tcPr>
          <w:p w14:paraId="652A1EC5">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一次不配合不满意则扣0.5分，可以累计</w:t>
            </w:r>
          </w:p>
        </w:tc>
        <w:tc>
          <w:tcPr>
            <w:tcW w:w="574" w:type="pct"/>
            <w:tcBorders>
              <w:top w:val="nil"/>
              <w:left w:val="nil"/>
              <w:bottom w:val="single" w:color="auto" w:sz="4" w:space="0"/>
              <w:right w:val="single" w:color="auto" w:sz="4" w:space="0"/>
            </w:tcBorders>
            <w:shd w:val="clear" w:color="000000" w:fill="FFFFFF"/>
            <w:noWrap/>
            <w:vAlign w:val="center"/>
          </w:tcPr>
          <w:p w14:paraId="31F168E3">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C74231C">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5537B376">
            <w:pPr>
              <w:widowControl/>
              <w:jc w:val="left"/>
              <w:rPr>
                <w:rFonts w:ascii="宋体" w:hAnsi="宋体" w:eastAsia="宋体" w:cs="宋体"/>
                <w:kern w:val="0"/>
                <w:sz w:val="22"/>
              </w:rPr>
            </w:pPr>
            <w:r>
              <w:rPr>
                <w:rFonts w:hint="eastAsia" w:ascii="宋体" w:hAnsi="宋体" w:eastAsia="宋体" w:cs="宋体"/>
                <w:kern w:val="0"/>
                <w:sz w:val="22"/>
              </w:rPr>
              <w:t>　</w:t>
            </w:r>
          </w:p>
        </w:tc>
      </w:tr>
      <w:tr w14:paraId="080B0187">
        <w:tblPrEx>
          <w:tblCellMar>
            <w:top w:w="0" w:type="dxa"/>
            <w:left w:w="108" w:type="dxa"/>
            <w:bottom w:w="0" w:type="dxa"/>
            <w:right w:w="108" w:type="dxa"/>
          </w:tblCellMar>
        </w:tblPrEx>
        <w:trPr>
          <w:trHeight w:val="27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051F2259">
            <w:pPr>
              <w:widowControl/>
              <w:jc w:val="center"/>
              <w:rPr>
                <w:rFonts w:ascii="宋体" w:hAnsi="宋体" w:eastAsia="宋体" w:cs="宋体"/>
                <w:kern w:val="0"/>
                <w:sz w:val="22"/>
              </w:rPr>
            </w:pPr>
            <w:r>
              <w:rPr>
                <w:rFonts w:hint="eastAsia" w:ascii="宋体" w:hAnsi="宋体" w:eastAsia="宋体" w:cs="宋体"/>
                <w:kern w:val="0"/>
                <w:sz w:val="22"/>
              </w:rPr>
              <w:t>97</w:t>
            </w:r>
          </w:p>
        </w:tc>
        <w:tc>
          <w:tcPr>
            <w:tcW w:w="234" w:type="pct"/>
            <w:vMerge w:val="continue"/>
            <w:tcBorders>
              <w:top w:val="nil"/>
              <w:left w:val="single" w:color="auto" w:sz="4" w:space="0"/>
              <w:bottom w:val="single" w:color="000000" w:sz="4" w:space="0"/>
              <w:right w:val="single" w:color="auto" w:sz="4" w:space="0"/>
            </w:tcBorders>
            <w:vAlign w:val="center"/>
          </w:tcPr>
          <w:p w14:paraId="4BC2F417">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016AC6AA">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04823F8A">
            <w:pPr>
              <w:widowControl/>
              <w:jc w:val="center"/>
              <w:rPr>
                <w:rFonts w:ascii="宋体" w:hAnsi="宋体" w:eastAsia="宋体" w:cs="宋体"/>
                <w:kern w:val="0"/>
                <w:sz w:val="20"/>
                <w:szCs w:val="20"/>
              </w:rPr>
            </w:pPr>
            <w:r>
              <w:rPr>
                <w:rFonts w:hint="eastAsia" w:ascii="宋体" w:hAnsi="宋体" w:eastAsia="宋体" w:cs="宋体"/>
                <w:kern w:val="0"/>
                <w:sz w:val="20"/>
                <w:szCs w:val="20"/>
              </w:rPr>
              <w:t>弱电配合</w:t>
            </w:r>
          </w:p>
        </w:tc>
        <w:tc>
          <w:tcPr>
            <w:tcW w:w="943" w:type="pct"/>
            <w:tcBorders>
              <w:top w:val="nil"/>
              <w:left w:val="nil"/>
              <w:bottom w:val="single" w:color="auto" w:sz="4" w:space="0"/>
              <w:right w:val="single" w:color="auto" w:sz="4" w:space="0"/>
            </w:tcBorders>
            <w:shd w:val="clear" w:color="000000" w:fill="FFFFFF"/>
            <w:vAlign w:val="center"/>
          </w:tcPr>
          <w:p w14:paraId="5FD6ACD4">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配合各部门弱电需求</w:t>
            </w:r>
          </w:p>
        </w:tc>
        <w:tc>
          <w:tcPr>
            <w:tcW w:w="1713" w:type="pct"/>
            <w:tcBorders>
              <w:top w:val="nil"/>
              <w:left w:val="nil"/>
              <w:bottom w:val="single" w:color="auto" w:sz="4" w:space="0"/>
              <w:right w:val="single" w:color="auto" w:sz="4" w:space="0"/>
            </w:tcBorders>
            <w:shd w:val="clear" w:color="000000" w:fill="FFFFFF"/>
            <w:vAlign w:val="center"/>
          </w:tcPr>
          <w:p w14:paraId="539F6F13">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一次不配合不满意则扣0.5分，可以累计</w:t>
            </w:r>
          </w:p>
        </w:tc>
        <w:tc>
          <w:tcPr>
            <w:tcW w:w="574" w:type="pct"/>
            <w:tcBorders>
              <w:top w:val="nil"/>
              <w:left w:val="nil"/>
              <w:bottom w:val="single" w:color="auto" w:sz="4" w:space="0"/>
              <w:right w:val="single" w:color="auto" w:sz="4" w:space="0"/>
            </w:tcBorders>
            <w:shd w:val="clear" w:color="000000" w:fill="FFFFFF"/>
            <w:noWrap/>
            <w:vAlign w:val="center"/>
          </w:tcPr>
          <w:p w14:paraId="7373A9FF">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384AE33F">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2D3124B1">
            <w:pPr>
              <w:widowControl/>
              <w:jc w:val="left"/>
              <w:rPr>
                <w:rFonts w:ascii="宋体" w:hAnsi="宋体" w:eastAsia="宋体" w:cs="宋体"/>
                <w:kern w:val="0"/>
                <w:sz w:val="22"/>
              </w:rPr>
            </w:pPr>
            <w:r>
              <w:rPr>
                <w:rFonts w:hint="eastAsia" w:ascii="宋体" w:hAnsi="宋体" w:eastAsia="宋体" w:cs="宋体"/>
                <w:kern w:val="0"/>
                <w:sz w:val="22"/>
              </w:rPr>
              <w:t>　</w:t>
            </w:r>
          </w:p>
        </w:tc>
      </w:tr>
      <w:tr w14:paraId="3E3B3AA6">
        <w:tblPrEx>
          <w:tblCellMar>
            <w:top w:w="0" w:type="dxa"/>
            <w:left w:w="108" w:type="dxa"/>
            <w:bottom w:w="0" w:type="dxa"/>
            <w:right w:w="108" w:type="dxa"/>
          </w:tblCellMar>
        </w:tblPrEx>
        <w:trPr>
          <w:trHeight w:val="27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3EE74B26">
            <w:pPr>
              <w:widowControl/>
              <w:jc w:val="center"/>
              <w:rPr>
                <w:rFonts w:ascii="宋体" w:hAnsi="宋体" w:eastAsia="宋体" w:cs="宋体"/>
                <w:kern w:val="0"/>
                <w:sz w:val="22"/>
              </w:rPr>
            </w:pPr>
            <w:r>
              <w:rPr>
                <w:rFonts w:hint="eastAsia" w:ascii="宋体" w:hAnsi="宋体" w:eastAsia="宋体" w:cs="宋体"/>
                <w:kern w:val="0"/>
                <w:sz w:val="22"/>
              </w:rPr>
              <w:t>98</w:t>
            </w:r>
          </w:p>
        </w:tc>
        <w:tc>
          <w:tcPr>
            <w:tcW w:w="234" w:type="pct"/>
            <w:vMerge w:val="continue"/>
            <w:tcBorders>
              <w:top w:val="nil"/>
              <w:left w:val="single" w:color="auto" w:sz="4" w:space="0"/>
              <w:bottom w:val="single" w:color="000000" w:sz="4" w:space="0"/>
              <w:right w:val="single" w:color="auto" w:sz="4" w:space="0"/>
            </w:tcBorders>
            <w:vAlign w:val="center"/>
          </w:tcPr>
          <w:p w14:paraId="6CBF8D7E">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5E24B0EE">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019624E6">
            <w:pPr>
              <w:widowControl/>
              <w:jc w:val="center"/>
              <w:rPr>
                <w:rFonts w:ascii="宋体" w:hAnsi="宋体" w:eastAsia="宋体" w:cs="宋体"/>
                <w:kern w:val="0"/>
                <w:sz w:val="20"/>
                <w:szCs w:val="20"/>
              </w:rPr>
            </w:pPr>
            <w:r>
              <w:rPr>
                <w:rFonts w:hint="eastAsia" w:ascii="宋体" w:hAnsi="宋体" w:eastAsia="宋体" w:cs="宋体"/>
                <w:kern w:val="0"/>
                <w:sz w:val="20"/>
                <w:szCs w:val="20"/>
              </w:rPr>
              <w:t>会务礼仪配合</w:t>
            </w:r>
          </w:p>
        </w:tc>
        <w:tc>
          <w:tcPr>
            <w:tcW w:w="943" w:type="pct"/>
            <w:tcBorders>
              <w:top w:val="nil"/>
              <w:left w:val="nil"/>
              <w:bottom w:val="single" w:color="auto" w:sz="4" w:space="0"/>
              <w:right w:val="single" w:color="auto" w:sz="4" w:space="0"/>
            </w:tcBorders>
            <w:shd w:val="clear" w:color="000000" w:fill="FFFFFF"/>
            <w:vAlign w:val="center"/>
          </w:tcPr>
          <w:p w14:paraId="78F21A0B">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配合各部门会务礼仪需求</w:t>
            </w:r>
          </w:p>
        </w:tc>
        <w:tc>
          <w:tcPr>
            <w:tcW w:w="1713" w:type="pct"/>
            <w:tcBorders>
              <w:top w:val="nil"/>
              <w:left w:val="nil"/>
              <w:bottom w:val="single" w:color="auto" w:sz="4" w:space="0"/>
              <w:right w:val="single" w:color="auto" w:sz="4" w:space="0"/>
            </w:tcBorders>
            <w:shd w:val="clear" w:color="000000" w:fill="FFFFFF"/>
            <w:vAlign w:val="center"/>
          </w:tcPr>
          <w:p w14:paraId="198679A6">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一次不配合不满意则扣0.5分，可以累计</w:t>
            </w:r>
          </w:p>
        </w:tc>
        <w:tc>
          <w:tcPr>
            <w:tcW w:w="574" w:type="pct"/>
            <w:tcBorders>
              <w:top w:val="nil"/>
              <w:left w:val="nil"/>
              <w:bottom w:val="single" w:color="auto" w:sz="4" w:space="0"/>
              <w:right w:val="single" w:color="auto" w:sz="4" w:space="0"/>
            </w:tcBorders>
            <w:shd w:val="clear" w:color="000000" w:fill="FFFFFF"/>
            <w:noWrap/>
            <w:vAlign w:val="center"/>
          </w:tcPr>
          <w:p w14:paraId="6D3AB159">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16499B9F">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1ED7AD4">
            <w:pPr>
              <w:widowControl/>
              <w:jc w:val="left"/>
              <w:rPr>
                <w:rFonts w:ascii="宋体" w:hAnsi="宋体" w:eastAsia="宋体" w:cs="宋体"/>
                <w:kern w:val="0"/>
                <w:sz w:val="22"/>
              </w:rPr>
            </w:pPr>
            <w:r>
              <w:rPr>
                <w:rFonts w:hint="eastAsia" w:ascii="宋体" w:hAnsi="宋体" w:eastAsia="宋体" w:cs="宋体"/>
                <w:kern w:val="0"/>
                <w:sz w:val="22"/>
              </w:rPr>
              <w:t>　</w:t>
            </w:r>
          </w:p>
        </w:tc>
      </w:tr>
      <w:tr w14:paraId="0ACB0850">
        <w:tblPrEx>
          <w:tblCellMar>
            <w:top w:w="0" w:type="dxa"/>
            <w:left w:w="108" w:type="dxa"/>
            <w:bottom w:w="0" w:type="dxa"/>
            <w:right w:w="108" w:type="dxa"/>
          </w:tblCellMar>
        </w:tblPrEx>
        <w:trPr>
          <w:trHeight w:val="48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649DC6FD">
            <w:pPr>
              <w:widowControl/>
              <w:jc w:val="center"/>
              <w:rPr>
                <w:rFonts w:ascii="宋体" w:hAnsi="宋体" w:eastAsia="宋体" w:cs="宋体"/>
                <w:kern w:val="0"/>
                <w:sz w:val="22"/>
              </w:rPr>
            </w:pPr>
            <w:r>
              <w:rPr>
                <w:rFonts w:hint="eastAsia" w:ascii="宋体" w:hAnsi="宋体" w:eastAsia="宋体" w:cs="宋体"/>
                <w:kern w:val="0"/>
                <w:sz w:val="22"/>
              </w:rPr>
              <w:t>99</w:t>
            </w:r>
          </w:p>
        </w:tc>
        <w:tc>
          <w:tcPr>
            <w:tcW w:w="234" w:type="pct"/>
            <w:vMerge w:val="continue"/>
            <w:tcBorders>
              <w:top w:val="nil"/>
              <w:left w:val="single" w:color="auto" w:sz="4" w:space="0"/>
              <w:bottom w:val="single" w:color="000000" w:sz="4" w:space="0"/>
              <w:right w:val="single" w:color="auto" w:sz="4" w:space="0"/>
            </w:tcBorders>
            <w:vAlign w:val="center"/>
          </w:tcPr>
          <w:p w14:paraId="70562342">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22F0DA50">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164B6E6C">
            <w:pPr>
              <w:widowControl/>
              <w:jc w:val="center"/>
              <w:rPr>
                <w:rFonts w:ascii="宋体" w:hAnsi="宋体" w:eastAsia="宋体" w:cs="宋体"/>
                <w:kern w:val="0"/>
                <w:sz w:val="20"/>
                <w:szCs w:val="20"/>
              </w:rPr>
            </w:pPr>
            <w:r>
              <w:rPr>
                <w:rFonts w:hint="eastAsia" w:ascii="宋体" w:hAnsi="宋体" w:eastAsia="宋体" w:cs="宋体"/>
                <w:kern w:val="0"/>
                <w:sz w:val="20"/>
                <w:szCs w:val="20"/>
              </w:rPr>
              <w:t>接待餐保障配合</w:t>
            </w:r>
          </w:p>
        </w:tc>
        <w:tc>
          <w:tcPr>
            <w:tcW w:w="943" w:type="pct"/>
            <w:tcBorders>
              <w:top w:val="nil"/>
              <w:left w:val="nil"/>
              <w:bottom w:val="single" w:color="auto" w:sz="4" w:space="0"/>
              <w:right w:val="single" w:color="auto" w:sz="4" w:space="0"/>
            </w:tcBorders>
            <w:shd w:val="clear" w:color="000000" w:fill="FFFFFF"/>
            <w:vAlign w:val="center"/>
          </w:tcPr>
          <w:p w14:paraId="1BDDAE48">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配合各部门接待餐需求</w:t>
            </w:r>
          </w:p>
        </w:tc>
        <w:tc>
          <w:tcPr>
            <w:tcW w:w="1713" w:type="pct"/>
            <w:tcBorders>
              <w:top w:val="nil"/>
              <w:left w:val="nil"/>
              <w:bottom w:val="single" w:color="auto" w:sz="4" w:space="0"/>
              <w:right w:val="single" w:color="auto" w:sz="4" w:space="0"/>
            </w:tcBorders>
            <w:shd w:val="clear" w:color="000000" w:fill="FFFFFF"/>
            <w:vAlign w:val="center"/>
          </w:tcPr>
          <w:p w14:paraId="30545AD1">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一次不配合不满意则扣0.5分，可以累计</w:t>
            </w:r>
          </w:p>
        </w:tc>
        <w:tc>
          <w:tcPr>
            <w:tcW w:w="574" w:type="pct"/>
            <w:tcBorders>
              <w:top w:val="nil"/>
              <w:left w:val="nil"/>
              <w:bottom w:val="single" w:color="auto" w:sz="4" w:space="0"/>
              <w:right w:val="single" w:color="auto" w:sz="4" w:space="0"/>
            </w:tcBorders>
            <w:shd w:val="clear" w:color="000000" w:fill="FFFFFF"/>
            <w:noWrap/>
            <w:vAlign w:val="center"/>
          </w:tcPr>
          <w:p w14:paraId="5B7D97A2">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0C5B34B">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69258EB2">
            <w:pPr>
              <w:widowControl/>
              <w:jc w:val="left"/>
              <w:rPr>
                <w:rFonts w:ascii="宋体" w:hAnsi="宋体" w:eastAsia="宋体" w:cs="宋体"/>
                <w:kern w:val="0"/>
                <w:sz w:val="22"/>
              </w:rPr>
            </w:pPr>
            <w:r>
              <w:rPr>
                <w:rFonts w:hint="eastAsia" w:ascii="宋体" w:hAnsi="宋体" w:eastAsia="宋体" w:cs="宋体"/>
                <w:kern w:val="0"/>
                <w:sz w:val="22"/>
              </w:rPr>
              <w:t>　</w:t>
            </w:r>
          </w:p>
        </w:tc>
      </w:tr>
      <w:tr w14:paraId="1A1A89F4">
        <w:tblPrEx>
          <w:tblCellMar>
            <w:top w:w="0" w:type="dxa"/>
            <w:left w:w="108" w:type="dxa"/>
            <w:bottom w:w="0" w:type="dxa"/>
            <w:right w:w="108" w:type="dxa"/>
          </w:tblCellMar>
        </w:tblPrEx>
        <w:trPr>
          <w:trHeight w:val="270" w:hRule="atLeast"/>
        </w:trPr>
        <w:tc>
          <w:tcPr>
            <w:tcW w:w="238" w:type="pct"/>
            <w:tcBorders>
              <w:top w:val="nil"/>
              <w:left w:val="single" w:color="auto" w:sz="4" w:space="0"/>
              <w:bottom w:val="single" w:color="auto" w:sz="4" w:space="0"/>
              <w:right w:val="single" w:color="auto" w:sz="4" w:space="0"/>
            </w:tcBorders>
            <w:shd w:val="clear" w:color="000000" w:fill="FFFFFF"/>
            <w:vAlign w:val="center"/>
          </w:tcPr>
          <w:p w14:paraId="13CCABF4">
            <w:pPr>
              <w:widowControl/>
              <w:jc w:val="center"/>
              <w:rPr>
                <w:rFonts w:ascii="宋体" w:hAnsi="宋体" w:eastAsia="宋体" w:cs="宋体"/>
                <w:kern w:val="0"/>
                <w:sz w:val="22"/>
              </w:rPr>
            </w:pPr>
            <w:r>
              <w:rPr>
                <w:rFonts w:hint="eastAsia" w:ascii="宋体" w:hAnsi="宋体" w:eastAsia="宋体" w:cs="宋体"/>
                <w:kern w:val="0"/>
                <w:sz w:val="22"/>
              </w:rPr>
              <w:t>100</w:t>
            </w:r>
          </w:p>
        </w:tc>
        <w:tc>
          <w:tcPr>
            <w:tcW w:w="234" w:type="pct"/>
            <w:vMerge w:val="continue"/>
            <w:tcBorders>
              <w:top w:val="nil"/>
              <w:left w:val="single" w:color="auto" w:sz="4" w:space="0"/>
              <w:bottom w:val="single" w:color="000000" w:sz="4" w:space="0"/>
              <w:right w:val="single" w:color="auto" w:sz="4" w:space="0"/>
            </w:tcBorders>
            <w:vAlign w:val="center"/>
          </w:tcPr>
          <w:p w14:paraId="53F1E788">
            <w:pPr>
              <w:widowControl/>
              <w:jc w:val="left"/>
              <w:rPr>
                <w:rFonts w:ascii="宋体" w:hAnsi="宋体" w:eastAsia="宋体" w:cs="宋体"/>
                <w:b/>
                <w:bCs/>
                <w:kern w:val="0"/>
                <w:sz w:val="22"/>
              </w:rPr>
            </w:pPr>
          </w:p>
        </w:tc>
        <w:tc>
          <w:tcPr>
            <w:tcW w:w="275" w:type="pct"/>
            <w:vMerge w:val="continue"/>
            <w:tcBorders>
              <w:top w:val="nil"/>
              <w:left w:val="single" w:color="auto" w:sz="4" w:space="0"/>
              <w:bottom w:val="single" w:color="auto" w:sz="4" w:space="0"/>
              <w:right w:val="single" w:color="auto" w:sz="4" w:space="0"/>
            </w:tcBorders>
            <w:vAlign w:val="center"/>
          </w:tcPr>
          <w:p w14:paraId="5338B988">
            <w:pPr>
              <w:widowControl/>
              <w:jc w:val="left"/>
              <w:rPr>
                <w:rFonts w:ascii="宋体" w:hAnsi="宋体" w:eastAsia="宋体" w:cs="宋体"/>
                <w:kern w:val="0"/>
                <w:sz w:val="22"/>
              </w:rPr>
            </w:pPr>
          </w:p>
        </w:tc>
        <w:tc>
          <w:tcPr>
            <w:tcW w:w="397" w:type="pct"/>
            <w:tcBorders>
              <w:top w:val="nil"/>
              <w:left w:val="nil"/>
              <w:bottom w:val="single" w:color="auto" w:sz="4" w:space="0"/>
              <w:right w:val="single" w:color="auto" w:sz="4" w:space="0"/>
            </w:tcBorders>
            <w:shd w:val="clear" w:color="000000" w:fill="FFFFFF"/>
            <w:vAlign w:val="center"/>
          </w:tcPr>
          <w:p w14:paraId="209A27CF">
            <w:pPr>
              <w:widowControl/>
              <w:jc w:val="center"/>
              <w:rPr>
                <w:rFonts w:ascii="宋体" w:hAnsi="宋体" w:eastAsia="宋体" w:cs="宋体"/>
                <w:kern w:val="0"/>
                <w:sz w:val="20"/>
                <w:szCs w:val="20"/>
              </w:rPr>
            </w:pPr>
            <w:r>
              <w:rPr>
                <w:rFonts w:hint="eastAsia" w:ascii="宋体" w:hAnsi="宋体" w:eastAsia="宋体" w:cs="宋体"/>
                <w:kern w:val="0"/>
                <w:sz w:val="20"/>
                <w:szCs w:val="20"/>
              </w:rPr>
              <w:t>其他需求保障</w:t>
            </w:r>
          </w:p>
        </w:tc>
        <w:tc>
          <w:tcPr>
            <w:tcW w:w="943" w:type="pct"/>
            <w:tcBorders>
              <w:top w:val="nil"/>
              <w:left w:val="nil"/>
              <w:bottom w:val="single" w:color="auto" w:sz="4" w:space="0"/>
              <w:right w:val="single" w:color="auto" w:sz="4" w:space="0"/>
            </w:tcBorders>
            <w:shd w:val="clear" w:color="000000" w:fill="FFFFFF"/>
            <w:vAlign w:val="center"/>
          </w:tcPr>
          <w:p w14:paraId="19F7EE26">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配合各部门其他各种需求</w:t>
            </w:r>
          </w:p>
        </w:tc>
        <w:tc>
          <w:tcPr>
            <w:tcW w:w="1713" w:type="pct"/>
            <w:tcBorders>
              <w:top w:val="nil"/>
              <w:left w:val="nil"/>
              <w:bottom w:val="single" w:color="auto" w:sz="4" w:space="0"/>
              <w:right w:val="single" w:color="auto" w:sz="4" w:space="0"/>
            </w:tcBorders>
            <w:shd w:val="clear" w:color="000000" w:fill="FFFFFF"/>
            <w:vAlign w:val="center"/>
          </w:tcPr>
          <w:p w14:paraId="6850AD2B">
            <w:pPr>
              <w:widowControl/>
              <w:jc w:val="center"/>
              <w:rPr>
                <w:rFonts w:ascii="仿宋_GB2312" w:hAnsi="宋体" w:eastAsia="仿宋_GB2312" w:cs="宋体"/>
                <w:kern w:val="0"/>
                <w:sz w:val="20"/>
                <w:szCs w:val="20"/>
              </w:rPr>
            </w:pPr>
            <w:r>
              <w:rPr>
                <w:rFonts w:hint="eastAsia" w:ascii="仿宋_GB2312" w:hAnsi="宋体" w:eastAsia="仿宋_GB2312" w:cs="宋体"/>
                <w:kern w:val="0"/>
                <w:sz w:val="20"/>
                <w:szCs w:val="20"/>
              </w:rPr>
              <w:t>一次不配合不满意则扣0.5分，可以累计</w:t>
            </w:r>
          </w:p>
        </w:tc>
        <w:tc>
          <w:tcPr>
            <w:tcW w:w="574" w:type="pct"/>
            <w:tcBorders>
              <w:top w:val="nil"/>
              <w:left w:val="nil"/>
              <w:bottom w:val="single" w:color="auto" w:sz="4" w:space="0"/>
              <w:right w:val="single" w:color="auto" w:sz="4" w:space="0"/>
            </w:tcBorders>
            <w:shd w:val="clear" w:color="000000" w:fill="FFFFFF"/>
            <w:noWrap/>
            <w:vAlign w:val="center"/>
          </w:tcPr>
          <w:p w14:paraId="1E9159CE">
            <w:pPr>
              <w:widowControl/>
              <w:jc w:val="left"/>
              <w:rPr>
                <w:rFonts w:ascii="宋体" w:hAnsi="宋体" w:eastAsia="宋体" w:cs="宋体"/>
                <w:kern w:val="0"/>
                <w:sz w:val="22"/>
              </w:rPr>
            </w:pPr>
            <w:r>
              <w:rPr>
                <w:rFonts w:hint="eastAsia" w:ascii="宋体" w:hAnsi="宋体" w:eastAsia="宋体" w:cs="宋体"/>
                <w:kern w:val="0"/>
                <w:sz w:val="22"/>
              </w:rPr>
              <w:t>　</w:t>
            </w:r>
          </w:p>
        </w:tc>
        <w:tc>
          <w:tcPr>
            <w:tcW w:w="350" w:type="pct"/>
            <w:tcBorders>
              <w:top w:val="nil"/>
              <w:left w:val="nil"/>
              <w:bottom w:val="single" w:color="auto" w:sz="4" w:space="0"/>
              <w:right w:val="single" w:color="auto" w:sz="4" w:space="0"/>
            </w:tcBorders>
            <w:shd w:val="clear" w:color="000000" w:fill="FFFFFF"/>
            <w:noWrap/>
            <w:vAlign w:val="center"/>
          </w:tcPr>
          <w:p w14:paraId="0081F8C0">
            <w:pPr>
              <w:widowControl/>
              <w:jc w:val="left"/>
              <w:rPr>
                <w:rFonts w:ascii="宋体" w:hAnsi="宋体" w:eastAsia="宋体" w:cs="宋体"/>
                <w:kern w:val="0"/>
                <w:sz w:val="22"/>
              </w:rPr>
            </w:pPr>
            <w:r>
              <w:rPr>
                <w:rFonts w:hint="eastAsia" w:ascii="宋体" w:hAnsi="宋体" w:eastAsia="宋体" w:cs="宋体"/>
                <w:kern w:val="0"/>
                <w:sz w:val="22"/>
              </w:rPr>
              <w:t>　</w:t>
            </w:r>
          </w:p>
        </w:tc>
        <w:tc>
          <w:tcPr>
            <w:tcW w:w="276" w:type="pct"/>
            <w:tcBorders>
              <w:top w:val="nil"/>
              <w:left w:val="nil"/>
              <w:bottom w:val="single" w:color="auto" w:sz="4" w:space="0"/>
              <w:right w:val="single" w:color="auto" w:sz="4" w:space="0"/>
            </w:tcBorders>
            <w:shd w:val="clear" w:color="000000" w:fill="FFFFFF"/>
            <w:noWrap/>
            <w:vAlign w:val="center"/>
          </w:tcPr>
          <w:p w14:paraId="0BA669C0">
            <w:pPr>
              <w:widowControl/>
              <w:jc w:val="left"/>
              <w:rPr>
                <w:rFonts w:ascii="宋体" w:hAnsi="宋体" w:eastAsia="宋体" w:cs="宋体"/>
                <w:kern w:val="0"/>
                <w:sz w:val="22"/>
              </w:rPr>
            </w:pPr>
            <w:r>
              <w:rPr>
                <w:rFonts w:hint="eastAsia" w:ascii="宋体" w:hAnsi="宋体" w:eastAsia="宋体" w:cs="宋体"/>
                <w:kern w:val="0"/>
                <w:sz w:val="22"/>
              </w:rPr>
              <w:t>　</w:t>
            </w:r>
          </w:p>
        </w:tc>
      </w:tr>
      <w:tr w14:paraId="7EA7F34E">
        <w:tblPrEx>
          <w:tblCellMar>
            <w:top w:w="0" w:type="dxa"/>
            <w:left w:w="108" w:type="dxa"/>
            <w:bottom w:w="0" w:type="dxa"/>
            <w:right w:w="108" w:type="dxa"/>
          </w:tblCellMar>
        </w:tblPrEx>
        <w:trPr>
          <w:trHeight w:val="1155" w:hRule="atLeast"/>
        </w:trPr>
        <w:tc>
          <w:tcPr>
            <w:tcW w:w="238" w:type="pct"/>
            <w:tcBorders>
              <w:top w:val="nil"/>
              <w:left w:val="single" w:color="auto" w:sz="4" w:space="0"/>
              <w:bottom w:val="single" w:color="auto" w:sz="4" w:space="0"/>
              <w:right w:val="single" w:color="auto" w:sz="4" w:space="0"/>
            </w:tcBorders>
            <w:shd w:val="clear" w:color="auto" w:fill="auto"/>
            <w:vAlign w:val="center"/>
          </w:tcPr>
          <w:p w14:paraId="2261CA42">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101</w:t>
            </w:r>
          </w:p>
        </w:tc>
        <w:tc>
          <w:tcPr>
            <w:tcW w:w="234" w:type="pct"/>
            <w:tcBorders>
              <w:top w:val="nil"/>
              <w:left w:val="nil"/>
              <w:bottom w:val="single" w:color="auto" w:sz="4" w:space="0"/>
              <w:right w:val="single" w:color="auto" w:sz="4" w:space="0"/>
            </w:tcBorders>
            <w:shd w:val="clear" w:color="auto" w:fill="auto"/>
            <w:vAlign w:val="center"/>
          </w:tcPr>
          <w:p w14:paraId="05A66AB3">
            <w:pPr>
              <w:widowControl/>
              <w:jc w:val="left"/>
              <w:rPr>
                <w:rFonts w:ascii="宋体" w:hAnsi="宋体" w:eastAsia="宋体" w:cs="宋体"/>
                <w:b/>
                <w:bCs/>
                <w:color w:val="000000"/>
                <w:kern w:val="0"/>
                <w:sz w:val="22"/>
              </w:rPr>
            </w:pPr>
            <w:r>
              <w:rPr>
                <w:rFonts w:hint="eastAsia" w:ascii="宋体" w:hAnsi="宋体" w:eastAsia="宋体" w:cs="宋体"/>
                <w:b/>
                <w:bCs/>
                <w:color w:val="000000"/>
                <w:kern w:val="0"/>
                <w:sz w:val="22"/>
              </w:rPr>
              <w:t>一票否决</w:t>
            </w:r>
          </w:p>
        </w:tc>
        <w:tc>
          <w:tcPr>
            <w:tcW w:w="4528" w:type="pct"/>
            <w:gridSpan w:val="7"/>
            <w:tcBorders>
              <w:top w:val="single" w:color="auto" w:sz="4" w:space="0"/>
              <w:left w:val="nil"/>
              <w:bottom w:val="single" w:color="auto" w:sz="4" w:space="0"/>
              <w:right w:val="single" w:color="auto" w:sz="4" w:space="0"/>
            </w:tcBorders>
            <w:shd w:val="clear" w:color="auto" w:fill="auto"/>
            <w:vAlign w:val="center"/>
          </w:tcPr>
          <w:p w14:paraId="1CE8E850">
            <w:pPr>
              <w:widowControl/>
              <w:jc w:val="center"/>
              <w:rPr>
                <w:rFonts w:ascii="宋体" w:hAnsi="宋体" w:eastAsia="宋体" w:cs="宋体"/>
                <w:b/>
                <w:bCs/>
                <w:color w:val="000000"/>
                <w:kern w:val="0"/>
                <w:sz w:val="28"/>
                <w:szCs w:val="28"/>
              </w:rPr>
            </w:pPr>
            <w:r>
              <w:rPr>
                <w:rFonts w:hint="eastAsia" w:ascii="宋体" w:hAnsi="宋体" w:eastAsia="宋体" w:cs="宋体"/>
                <w:b/>
                <w:bCs/>
                <w:color w:val="000000"/>
                <w:kern w:val="0"/>
                <w:sz w:val="28"/>
                <w:szCs w:val="28"/>
              </w:rPr>
              <w:t>1.发生重大安全事故。2.讲解人员招聘未经馆方负责部门面试通过的；讲解接待或活动开展造成严重事故。3.区域科教因看管疏忽或指导失误造成观众安全事故、科教设备损坏的。4.污水排放不达标。5.设备设施发生重点故障。6.其他严重影响博物馆运营或给博物馆造成重大社会影响的事故、事件等。实行一票否决，扣除当月全部考核酬金。</w:t>
            </w:r>
          </w:p>
        </w:tc>
      </w:tr>
      <w:tr w14:paraId="2E546FE1">
        <w:tblPrEx>
          <w:tblCellMar>
            <w:top w:w="0" w:type="dxa"/>
            <w:left w:w="108" w:type="dxa"/>
            <w:bottom w:w="0" w:type="dxa"/>
            <w:right w:w="108" w:type="dxa"/>
          </w:tblCellMar>
        </w:tblPrEx>
        <w:trPr>
          <w:trHeight w:val="795" w:hRule="atLeast"/>
        </w:trPr>
        <w:tc>
          <w:tcPr>
            <w:tcW w:w="238" w:type="pct"/>
            <w:tcBorders>
              <w:top w:val="nil"/>
              <w:left w:val="single" w:color="auto" w:sz="4" w:space="0"/>
              <w:bottom w:val="single" w:color="auto" w:sz="4" w:space="0"/>
              <w:right w:val="single" w:color="auto" w:sz="4" w:space="0"/>
            </w:tcBorders>
            <w:shd w:val="clear" w:color="auto" w:fill="auto"/>
            <w:vAlign w:val="center"/>
          </w:tcPr>
          <w:p w14:paraId="12AB0A67">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102</w:t>
            </w:r>
          </w:p>
        </w:tc>
        <w:tc>
          <w:tcPr>
            <w:tcW w:w="234" w:type="pct"/>
            <w:tcBorders>
              <w:top w:val="nil"/>
              <w:left w:val="nil"/>
              <w:bottom w:val="single" w:color="auto" w:sz="4" w:space="0"/>
              <w:right w:val="single" w:color="auto" w:sz="4" w:space="0"/>
            </w:tcBorders>
            <w:shd w:val="clear" w:color="auto" w:fill="auto"/>
            <w:vAlign w:val="center"/>
          </w:tcPr>
          <w:p w14:paraId="7753B733">
            <w:pPr>
              <w:widowControl/>
              <w:jc w:val="left"/>
              <w:rPr>
                <w:rFonts w:ascii="宋体" w:hAnsi="宋体" w:eastAsia="宋体" w:cs="宋体"/>
                <w:b/>
                <w:bCs/>
                <w:color w:val="000000"/>
                <w:kern w:val="0"/>
                <w:sz w:val="22"/>
              </w:rPr>
            </w:pPr>
            <w:r>
              <w:rPr>
                <w:rFonts w:hint="eastAsia" w:ascii="宋体" w:hAnsi="宋体" w:eastAsia="宋体" w:cs="宋体"/>
                <w:b/>
                <w:bCs/>
                <w:color w:val="000000"/>
                <w:kern w:val="0"/>
                <w:sz w:val="22"/>
              </w:rPr>
              <w:t>优良表现</w:t>
            </w:r>
          </w:p>
        </w:tc>
        <w:tc>
          <w:tcPr>
            <w:tcW w:w="4528" w:type="pct"/>
            <w:gridSpan w:val="7"/>
            <w:tcBorders>
              <w:top w:val="single" w:color="auto" w:sz="4" w:space="0"/>
              <w:left w:val="nil"/>
              <w:bottom w:val="single" w:color="auto" w:sz="4" w:space="0"/>
              <w:right w:val="single" w:color="000000" w:sz="4" w:space="0"/>
            </w:tcBorders>
            <w:shd w:val="clear" w:color="auto" w:fill="auto"/>
            <w:vAlign w:val="center"/>
          </w:tcPr>
          <w:p w14:paraId="145BBFFA">
            <w:pPr>
              <w:widowControl/>
              <w:jc w:val="left"/>
              <w:rPr>
                <w:rFonts w:ascii="宋体" w:hAnsi="宋体" w:eastAsia="宋体" w:cs="宋体"/>
                <w:color w:val="000000"/>
                <w:kern w:val="0"/>
                <w:sz w:val="22"/>
              </w:rPr>
            </w:pPr>
            <w:r>
              <w:rPr>
                <w:rFonts w:hint="eastAsia" w:ascii="宋体" w:hAnsi="宋体" w:eastAsia="宋体" w:cs="宋体"/>
                <w:color w:val="000000"/>
                <w:kern w:val="0"/>
                <w:sz w:val="22"/>
              </w:rPr>
              <w:t>　</w:t>
            </w:r>
          </w:p>
        </w:tc>
      </w:tr>
    </w:tbl>
    <w:p w14:paraId="3E7754E3">
      <w:pPr>
        <w:ind w:firstLine="181" w:firstLineChars="50"/>
        <w:jc w:val="left"/>
        <w:rPr>
          <w:rFonts w:ascii="宋体"/>
          <w:b/>
          <w:bCs/>
          <w:sz w:val="36"/>
          <w:szCs w:val="36"/>
        </w:rPr>
      </w:pPr>
    </w:p>
    <w:p w14:paraId="11BCE6A3">
      <w:pPr>
        <w:ind w:firstLine="181" w:firstLineChars="50"/>
        <w:jc w:val="left"/>
        <w:rPr>
          <w:rFonts w:ascii="宋体"/>
          <w:b/>
          <w:bCs/>
          <w:sz w:val="36"/>
          <w:szCs w:val="36"/>
        </w:rPr>
      </w:pPr>
    </w:p>
    <w:p w14:paraId="3F674FBB">
      <w:pPr>
        <w:ind w:firstLine="181" w:firstLineChars="50"/>
        <w:jc w:val="left"/>
        <w:rPr>
          <w:rFonts w:ascii="宋体"/>
          <w:b/>
          <w:bCs/>
          <w:sz w:val="36"/>
          <w:szCs w:val="36"/>
        </w:rPr>
      </w:pPr>
    </w:p>
    <w:p w14:paraId="3F1FCB7D">
      <w:pPr>
        <w:ind w:firstLine="181" w:firstLineChars="50"/>
        <w:jc w:val="left"/>
        <w:rPr>
          <w:rFonts w:ascii="宋体"/>
          <w:b/>
          <w:bCs/>
          <w:sz w:val="36"/>
          <w:szCs w:val="36"/>
        </w:rPr>
      </w:pPr>
    </w:p>
    <w:p w14:paraId="06E7DD9D">
      <w:pPr>
        <w:ind w:firstLine="0" w:firstLineChars="0"/>
        <w:jc w:val="left"/>
        <w:rPr>
          <w:rFonts w:hint="eastAsia" w:ascii="宋体"/>
          <w:b/>
          <w:bCs/>
          <w:sz w:val="36"/>
          <w:szCs w:val="36"/>
        </w:rPr>
      </w:pPr>
      <w:r>
        <w:rPr>
          <w:rFonts w:hint="eastAsia" w:ascii="宋体"/>
          <w:b/>
          <w:bCs/>
          <w:sz w:val="36"/>
          <w:szCs w:val="36"/>
        </w:rPr>
        <w:br w:type="page"/>
      </w:r>
    </w:p>
    <w:p w14:paraId="4D666820">
      <w:pPr>
        <w:ind w:firstLine="181" w:firstLineChars="50"/>
        <w:jc w:val="left"/>
        <w:rPr>
          <w:rFonts w:ascii="宋体"/>
          <w:b/>
          <w:bCs/>
          <w:sz w:val="36"/>
          <w:szCs w:val="36"/>
        </w:rPr>
      </w:pPr>
      <w:r>
        <w:rPr>
          <w:rFonts w:hint="eastAsia" w:ascii="宋体"/>
          <w:b/>
          <w:bCs/>
          <w:sz w:val="36"/>
          <w:szCs w:val="36"/>
        </w:rPr>
        <w:t>附件三：</w:t>
      </w:r>
      <w:r>
        <w:rPr>
          <w:rFonts w:hint="eastAsia" w:ascii="仿宋_GB2312" w:eastAsia="仿宋_GB2312"/>
          <w:sz w:val="32"/>
          <w:szCs w:val="32"/>
        </w:rPr>
        <w:t>博物馆总平面图及主要楼层平面分布表</w:t>
      </w:r>
    </w:p>
    <w:p w14:paraId="72A80038">
      <w:r>
        <w:rPr>
          <w:rFonts w:hint="eastAsia"/>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198120</wp:posOffset>
            </wp:positionV>
            <wp:extent cx="5840095" cy="7703820"/>
            <wp:effectExtent l="19050" t="0" r="8255" b="0"/>
            <wp:wrapSquare wrapText="bothSides"/>
            <wp:docPr id="2" name="图片 2" descr="01参考图纸一总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参考图纸一总平面-Model"/>
                    <pic:cNvPicPr>
                      <a:picLocks noChangeAspect="1" noChangeArrowheads="1"/>
                    </pic:cNvPicPr>
                  </pic:nvPicPr>
                  <pic:blipFill>
                    <a:blip r:embed="rId5"/>
                    <a:srcRect/>
                    <a:stretch>
                      <a:fillRect/>
                    </a:stretch>
                  </pic:blipFill>
                  <pic:spPr>
                    <a:xfrm>
                      <a:off x="0" y="0"/>
                      <a:ext cx="5840095" cy="7703820"/>
                    </a:xfrm>
                    <a:prstGeom prst="rect">
                      <a:avLst/>
                    </a:prstGeom>
                    <a:noFill/>
                    <a:ln w="9525">
                      <a:noFill/>
                      <a:miter lim="800000"/>
                      <a:headEnd/>
                      <a:tailEnd/>
                    </a:ln>
                  </pic:spPr>
                </pic:pic>
              </a:graphicData>
            </a:graphic>
          </wp:anchor>
        </w:drawing>
      </w:r>
    </w:p>
    <w:p w14:paraId="1816DFC7"/>
    <w:p w14:paraId="46986A33"/>
    <w:p w14:paraId="748D4685"/>
    <w:p w14:paraId="4587DCE2">
      <w:r>
        <w:rPr>
          <w:rFonts w:hint="eastAsia" w:ascii="仿宋_GB2312" w:eastAsia="仿宋_GB2312"/>
          <w:sz w:val="32"/>
          <w:szCs w:val="32"/>
        </w:rPr>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4973320" cy="7924800"/>
            <wp:effectExtent l="19050" t="0" r="0" b="0"/>
            <wp:wrapSquare wrapText="bothSides"/>
            <wp:docPr id="4" name="图片 4" descr="0203参考图纸一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03参考图纸一层平面-Model"/>
                    <pic:cNvPicPr>
                      <a:picLocks noChangeAspect="1" noChangeArrowheads="1"/>
                    </pic:cNvPicPr>
                  </pic:nvPicPr>
                  <pic:blipFill>
                    <a:blip r:embed="rId6"/>
                    <a:srcRect/>
                    <a:stretch>
                      <a:fillRect/>
                    </a:stretch>
                  </pic:blipFill>
                  <pic:spPr>
                    <a:xfrm>
                      <a:off x="0" y="0"/>
                      <a:ext cx="4973320" cy="7924800"/>
                    </a:xfrm>
                    <a:prstGeom prst="rect">
                      <a:avLst/>
                    </a:prstGeom>
                    <a:noFill/>
                    <a:ln w="9525">
                      <a:noFill/>
                      <a:miter lim="800000"/>
                      <a:headEnd/>
                      <a:tailEnd/>
                    </a:ln>
                  </pic:spPr>
                </pic:pic>
              </a:graphicData>
            </a:graphic>
          </wp:anchor>
        </w:drawing>
      </w:r>
    </w:p>
    <w:p w14:paraId="6E78EB4E"/>
    <w:p w14:paraId="3BBE2937"/>
    <w:p w14:paraId="620F9E76"/>
    <w:p w14:paraId="04F26115">
      <w:pPr>
        <w:ind w:firstLine="105" w:firstLineChars="50"/>
      </w:pPr>
    </w:p>
    <w:p w14:paraId="6DA56D02">
      <w:pPr>
        <w:ind w:firstLine="3990" w:firstLineChars="1900"/>
      </w:pPr>
      <w:r>
        <w:rPr>
          <w:rFonts w:hint="eastAsia"/>
        </w:rPr>
        <w:drawing>
          <wp:anchor distT="0" distB="0" distL="114300" distR="114300" simplePos="0" relativeHeight="251662336" behindDoc="0" locked="0" layoutInCell="1" allowOverlap="1">
            <wp:simplePos x="0" y="0"/>
            <wp:positionH relativeFrom="column">
              <wp:posOffset>228600</wp:posOffset>
            </wp:positionH>
            <wp:positionV relativeFrom="paragraph">
              <wp:posOffset>0</wp:posOffset>
            </wp:positionV>
            <wp:extent cx="5094605" cy="8122920"/>
            <wp:effectExtent l="19050" t="0" r="0" b="0"/>
            <wp:wrapSquare wrapText="bothSides"/>
            <wp:docPr id="5" name="图片 5" descr="0203参考图纸二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03参考图纸二层平面-Model"/>
                    <pic:cNvPicPr>
                      <a:picLocks noChangeAspect="1" noChangeArrowheads="1"/>
                    </pic:cNvPicPr>
                  </pic:nvPicPr>
                  <pic:blipFill>
                    <a:blip r:embed="rId7"/>
                    <a:srcRect/>
                    <a:stretch>
                      <a:fillRect/>
                    </a:stretch>
                  </pic:blipFill>
                  <pic:spPr>
                    <a:xfrm>
                      <a:off x="0" y="0"/>
                      <a:ext cx="5094605" cy="8122920"/>
                    </a:xfrm>
                    <a:prstGeom prst="rect">
                      <a:avLst/>
                    </a:prstGeom>
                    <a:noFill/>
                    <a:ln w="9525">
                      <a:noFill/>
                      <a:miter lim="800000"/>
                      <a:headEnd/>
                      <a:tailEnd/>
                    </a:ln>
                  </pic:spPr>
                </pic:pic>
              </a:graphicData>
            </a:graphic>
          </wp:anchor>
        </w:drawing>
      </w:r>
    </w:p>
    <w:p w14:paraId="0DE0CCB0">
      <w:pPr>
        <w:ind w:firstLine="3990" w:firstLineChars="1900"/>
      </w:pPr>
    </w:p>
    <w:p w14:paraId="2A423475"/>
    <w:p w14:paraId="3D107B51">
      <w:r>
        <w:rPr>
          <w:rFonts w:hint="eastAsia"/>
        </w:rPr>
        <w:drawing>
          <wp:anchor distT="0" distB="0" distL="114300" distR="114300" simplePos="0" relativeHeight="251663360" behindDoc="0" locked="0" layoutInCell="1" allowOverlap="1">
            <wp:simplePos x="0" y="0"/>
            <wp:positionH relativeFrom="column">
              <wp:posOffset>114300</wp:posOffset>
            </wp:positionH>
            <wp:positionV relativeFrom="paragraph">
              <wp:posOffset>99060</wp:posOffset>
            </wp:positionV>
            <wp:extent cx="5010785" cy="7924800"/>
            <wp:effectExtent l="19050" t="0" r="0" b="0"/>
            <wp:wrapSquare wrapText="bothSides"/>
            <wp:docPr id="6" name="图片 6" descr="04参考图纸四三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参考图纸四三层平面-Model"/>
                    <pic:cNvPicPr>
                      <a:picLocks noChangeAspect="1" noChangeArrowheads="1"/>
                    </pic:cNvPicPr>
                  </pic:nvPicPr>
                  <pic:blipFill>
                    <a:blip r:embed="rId8"/>
                    <a:srcRect/>
                    <a:stretch>
                      <a:fillRect/>
                    </a:stretch>
                  </pic:blipFill>
                  <pic:spPr>
                    <a:xfrm>
                      <a:off x="0" y="0"/>
                      <a:ext cx="5010785" cy="7924800"/>
                    </a:xfrm>
                    <a:prstGeom prst="rect">
                      <a:avLst/>
                    </a:prstGeom>
                    <a:noFill/>
                    <a:ln w="9525">
                      <a:noFill/>
                      <a:miter lim="800000"/>
                      <a:headEnd/>
                      <a:tailEnd/>
                    </a:ln>
                  </pic:spPr>
                </pic:pic>
              </a:graphicData>
            </a:graphic>
          </wp:anchor>
        </w:drawing>
      </w:r>
    </w:p>
    <w:p w14:paraId="2FE5AB06">
      <w:pPr>
        <w:jc w:val="left"/>
      </w:pPr>
      <w:r>
        <w:rPr>
          <w:rFonts w:hint="eastAsia"/>
        </w:rPr>
        <w:drawing>
          <wp:anchor distT="0" distB="0" distL="114300" distR="114300" simplePos="0" relativeHeight="251660288" behindDoc="0" locked="0" layoutInCell="1" allowOverlap="1">
            <wp:simplePos x="0" y="0"/>
            <wp:positionH relativeFrom="column">
              <wp:posOffset>236220</wp:posOffset>
            </wp:positionH>
            <wp:positionV relativeFrom="paragraph">
              <wp:posOffset>495300</wp:posOffset>
            </wp:positionV>
            <wp:extent cx="5210810" cy="8221980"/>
            <wp:effectExtent l="0" t="0" r="0" b="0"/>
            <wp:wrapSquare wrapText="bothSides"/>
            <wp:docPr id="3" name="图片 3" descr="05参考图纸五四层平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参考图纸五四层平面-Model"/>
                    <pic:cNvPicPr>
                      <a:picLocks noChangeAspect="1" noChangeArrowheads="1"/>
                    </pic:cNvPicPr>
                  </pic:nvPicPr>
                  <pic:blipFill>
                    <a:blip r:embed="rId9"/>
                    <a:srcRect/>
                    <a:stretch>
                      <a:fillRect/>
                    </a:stretch>
                  </pic:blipFill>
                  <pic:spPr>
                    <a:xfrm>
                      <a:off x="0" y="0"/>
                      <a:ext cx="5210810" cy="8221980"/>
                    </a:xfrm>
                    <a:prstGeom prst="rect">
                      <a:avLst/>
                    </a:prstGeom>
                    <a:noFill/>
                    <a:ln w="9525">
                      <a:noFill/>
                      <a:miter lim="800000"/>
                      <a:headEnd/>
                      <a:tailEnd/>
                    </a:ln>
                  </pic:spPr>
                </pic:pic>
              </a:graphicData>
            </a:graphic>
          </wp:anchor>
        </w:drawing>
      </w:r>
    </w:p>
    <w:p w14:paraId="3A15D18D"/>
    <w:p w14:paraId="0CE55A06"/>
    <w:p w14:paraId="55B860A7"/>
    <w:p w14:paraId="650B35EB"/>
    <w:p w14:paraId="538648EB"/>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Helvetica">
    <w:altName w:val="Liberation Sans"/>
    <w:panose1 w:val="020B0604020202020204"/>
    <w:charset w:val="00"/>
    <w:family w:val="swiss"/>
    <w:pitch w:val="default"/>
    <w:sig w:usb0="00000000" w:usb1="00000000" w:usb2="00000009" w:usb3="00000000" w:csb0="000001FF" w:csb1="00000000"/>
  </w:font>
  <w:font w:name="Liberation Sans">
    <w:panose1 w:val="020B0604020202020204"/>
    <w:charset w:val="00"/>
    <w:family w:val="auto"/>
    <w:pitch w:val="default"/>
    <w:sig w:usb0="A00002AF" w:usb1="500078FB" w:usb2="00000000" w:usb3="00000000" w:csb0="6000009F" w:csb1="DFD70000"/>
  </w:font>
  <w:font w:name="Segoe UI">
    <w:altName w:val="Noto Naskh Arabic"/>
    <w:panose1 w:val="020B0502040204020203"/>
    <w:charset w:val="00"/>
    <w:family w:val="swiss"/>
    <w:pitch w:val="default"/>
    <w:sig w:usb0="00000000" w:usb1="00000000" w:usb2="00000009" w:usb3="00000000" w:csb0="000001FF" w:csb1="00000000"/>
  </w:font>
  <w:font w:name="Noto Naskh Arabic">
    <w:panose1 w:val="020B0502040504020204"/>
    <w:charset w:val="00"/>
    <w:family w:val="auto"/>
    <w:pitch w:val="default"/>
    <w:sig w:usb0="80002003" w:usb1="80002000" w:usb2="00000008" w:usb3="00000000" w:csb0="00000041" w:csb1="00080000"/>
  </w:font>
  <w:font w:name="华文中宋">
    <w:altName w:val="汉仪中宋简"/>
    <w:panose1 w:val="02010600040101010101"/>
    <w:charset w:val="86"/>
    <w:family w:val="auto"/>
    <w:pitch w:val="default"/>
    <w:sig w:usb0="00000000" w:usb1="00000000" w:usb2="00000010" w:usb3="00000000" w:csb0="0004009F" w:csb1="00000000"/>
  </w:font>
  <w:font w:name="汉仪中宋简">
    <w:panose1 w:val="02010600000101010101"/>
    <w:charset w:val="86"/>
    <w:family w:val="auto"/>
    <w:pitch w:val="default"/>
    <w:sig w:usb0="00000001" w:usb1="080E0800" w:usb2="00000002"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altName w:val="仿宋_GB2312"/>
    <w:panose1 w:val="02010609060101010101"/>
    <w:charset w:val="86"/>
    <w:family w:val="modern"/>
    <w:pitch w:val="default"/>
    <w:sig w:usb0="00000000" w:usb1="00000000" w:usb2="00000016" w:usb3="00000000" w:csb0="00040001" w:csb1="00000000"/>
  </w:font>
  <w:font w:name="GWZT-EN">
    <w:panose1 w:val="02020400000000000000"/>
    <w:charset w:val="86"/>
    <w:family w:val="auto"/>
    <w:pitch w:val="default"/>
    <w:sig w:usb0="A00002BF" w:usb1="38CF7CFA" w:usb2="00082016" w:usb3="00000000" w:csb0="00040001" w:csb1="0000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77188"/>
    </w:sdtPr>
    <w:sdtContent>
      <w:p w14:paraId="6E2711A9">
        <w:pPr>
          <w:pStyle w:val="6"/>
          <w:jc w:val="center"/>
        </w:pPr>
        <w:r>
          <w:fldChar w:fldCharType="begin"/>
        </w:r>
        <w:r>
          <w:instrText xml:space="preserve"> PAGE   \* MERGEFORMAT </w:instrText>
        </w:r>
        <w:r>
          <w:fldChar w:fldCharType="separate"/>
        </w:r>
        <w:r>
          <w:rPr>
            <w:lang w:val="zh-CN"/>
          </w:rPr>
          <w:t>90</w:t>
        </w:r>
        <w:r>
          <w:rPr>
            <w:lang w:val="zh-CN"/>
          </w:rPr>
          <w:fldChar w:fldCharType="end"/>
        </w:r>
      </w:p>
    </w:sdtContent>
  </w:sdt>
  <w:p w14:paraId="3A140B0C">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7BDC25"/>
    <w:multiLevelType w:val="singleLevel"/>
    <w:tmpl w:val="FD7BDC25"/>
    <w:lvl w:ilvl="0" w:tentative="0">
      <w:start w:val="4"/>
      <w:numFmt w:val="chineseCounting"/>
      <w:suff w:val="nothing"/>
      <w:lvlText w:val="%1、"/>
      <w:lvlJc w:val="left"/>
      <w:rPr>
        <w:rFonts w:hint="eastAsia"/>
      </w:rPr>
    </w:lvl>
  </w:abstractNum>
  <w:abstractNum w:abstractNumId="1">
    <w:nsid w:val="20CF5FC0"/>
    <w:multiLevelType w:val="multilevel"/>
    <w:tmpl w:val="20CF5FC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28754CE"/>
    <w:multiLevelType w:val="multilevel"/>
    <w:tmpl w:val="228754C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3A07CC0"/>
    <w:multiLevelType w:val="multilevel"/>
    <w:tmpl w:val="23A07CC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C271C5E"/>
    <w:multiLevelType w:val="multilevel"/>
    <w:tmpl w:val="2C271C5E"/>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5">
    <w:nsid w:val="33452320"/>
    <w:multiLevelType w:val="multilevel"/>
    <w:tmpl w:val="33452320"/>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3F2AF4A"/>
    <w:multiLevelType w:val="singleLevel"/>
    <w:tmpl w:val="33F2AF4A"/>
    <w:lvl w:ilvl="0" w:tentative="0">
      <w:start w:val="1"/>
      <w:numFmt w:val="upperLetter"/>
      <w:suff w:val="nothing"/>
      <w:lvlText w:val="%1．"/>
      <w:lvlJc w:val="left"/>
    </w:lvl>
  </w:abstractNum>
  <w:abstractNum w:abstractNumId="7">
    <w:nsid w:val="407A45BE"/>
    <w:multiLevelType w:val="multilevel"/>
    <w:tmpl w:val="407A45BE"/>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A020ACA"/>
    <w:multiLevelType w:val="multilevel"/>
    <w:tmpl w:val="6A020ACA"/>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27C5C7F"/>
    <w:multiLevelType w:val="multilevel"/>
    <w:tmpl w:val="727C5C7F"/>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0"/>
  </w:num>
  <w:num w:numId="3">
    <w:abstractNumId w:val="3"/>
  </w:num>
  <w:num w:numId="4">
    <w:abstractNumId w:val="5"/>
  </w:num>
  <w:num w:numId="5">
    <w:abstractNumId w:val="8"/>
  </w:num>
  <w:num w:numId="6">
    <w:abstractNumId w:val="9"/>
  </w:num>
  <w:num w:numId="7">
    <w:abstractNumId w:val="7"/>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E14"/>
    <w:rsid w:val="00000DA6"/>
    <w:rsid w:val="00003C81"/>
    <w:rsid w:val="0000557E"/>
    <w:rsid w:val="00011A55"/>
    <w:rsid w:val="0001229F"/>
    <w:rsid w:val="00014A06"/>
    <w:rsid w:val="00015223"/>
    <w:rsid w:val="00015FEC"/>
    <w:rsid w:val="00017EBF"/>
    <w:rsid w:val="00022AD7"/>
    <w:rsid w:val="00022D47"/>
    <w:rsid w:val="00023311"/>
    <w:rsid w:val="00026B3A"/>
    <w:rsid w:val="00030982"/>
    <w:rsid w:val="00032455"/>
    <w:rsid w:val="000436FE"/>
    <w:rsid w:val="0004718D"/>
    <w:rsid w:val="000508B7"/>
    <w:rsid w:val="0005791E"/>
    <w:rsid w:val="000638BD"/>
    <w:rsid w:val="0006631D"/>
    <w:rsid w:val="00067E8B"/>
    <w:rsid w:val="0007198E"/>
    <w:rsid w:val="0009544C"/>
    <w:rsid w:val="000962DC"/>
    <w:rsid w:val="000A1FFC"/>
    <w:rsid w:val="000A5341"/>
    <w:rsid w:val="000A78BC"/>
    <w:rsid w:val="000C6AF8"/>
    <w:rsid w:val="000C78AB"/>
    <w:rsid w:val="000D313F"/>
    <w:rsid w:val="000D7EE5"/>
    <w:rsid w:val="000E1497"/>
    <w:rsid w:val="000F0A8D"/>
    <w:rsid w:val="000F5267"/>
    <w:rsid w:val="000F623B"/>
    <w:rsid w:val="00122C89"/>
    <w:rsid w:val="00131FDC"/>
    <w:rsid w:val="001331BA"/>
    <w:rsid w:val="0015427D"/>
    <w:rsid w:val="00154F96"/>
    <w:rsid w:val="00157A5B"/>
    <w:rsid w:val="001651D7"/>
    <w:rsid w:val="00174971"/>
    <w:rsid w:val="00184C4E"/>
    <w:rsid w:val="00186EE9"/>
    <w:rsid w:val="001905A5"/>
    <w:rsid w:val="0019338C"/>
    <w:rsid w:val="001949C4"/>
    <w:rsid w:val="001A4277"/>
    <w:rsid w:val="001A4A83"/>
    <w:rsid w:val="001B3C52"/>
    <w:rsid w:val="001B6965"/>
    <w:rsid w:val="001C028C"/>
    <w:rsid w:val="001C15BA"/>
    <w:rsid w:val="001C2FCF"/>
    <w:rsid w:val="001C3585"/>
    <w:rsid w:val="001C5DA1"/>
    <w:rsid w:val="001D4167"/>
    <w:rsid w:val="001D4B46"/>
    <w:rsid w:val="001D5E9F"/>
    <w:rsid w:val="001D6D0A"/>
    <w:rsid w:val="001E15A6"/>
    <w:rsid w:val="001E3BFC"/>
    <w:rsid w:val="001E4952"/>
    <w:rsid w:val="001E7508"/>
    <w:rsid w:val="001F2B82"/>
    <w:rsid w:val="00202946"/>
    <w:rsid w:val="00202C4E"/>
    <w:rsid w:val="00204151"/>
    <w:rsid w:val="0020567B"/>
    <w:rsid w:val="00205880"/>
    <w:rsid w:val="00206F73"/>
    <w:rsid w:val="00212116"/>
    <w:rsid w:val="00231A49"/>
    <w:rsid w:val="00235F6B"/>
    <w:rsid w:val="00242AF1"/>
    <w:rsid w:val="00250244"/>
    <w:rsid w:val="00252881"/>
    <w:rsid w:val="00260537"/>
    <w:rsid w:val="002667D4"/>
    <w:rsid w:val="00271C18"/>
    <w:rsid w:val="00275A0A"/>
    <w:rsid w:val="0028032F"/>
    <w:rsid w:val="00282A94"/>
    <w:rsid w:val="00286DC7"/>
    <w:rsid w:val="002937DA"/>
    <w:rsid w:val="00293A5A"/>
    <w:rsid w:val="002942E7"/>
    <w:rsid w:val="002B1444"/>
    <w:rsid w:val="002B282C"/>
    <w:rsid w:val="002B49D2"/>
    <w:rsid w:val="002C08CF"/>
    <w:rsid w:val="002C1CF4"/>
    <w:rsid w:val="002C22CE"/>
    <w:rsid w:val="002C3309"/>
    <w:rsid w:val="002C43C5"/>
    <w:rsid w:val="002D02D8"/>
    <w:rsid w:val="002D04D7"/>
    <w:rsid w:val="002D1EE8"/>
    <w:rsid w:val="002D2063"/>
    <w:rsid w:val="002E3712"/>
    <w:rsid w:val="002E3DD1"/>
    <w:rsid w:val="002E49B9"/>
    <w:rsid w:val="002F158F"/>
    <w:rsid w:val="002F6F86"/>
    <w:rsid w:val="00304573"/>
    <w:rsid w:val="0030513F"/>
    <w:rsid w:val="00306F74"/>
    <w:rsid w:val="00307E4A"/>
    <w:rsid w:val="00313014"/>
    <w:rsid w:val="0031734A"/>
    <w:rsid w:val="003219A6"/>
    <w:rsid w:val="00321B0A"/>
    <w:rsid w:val="003278D9"/>
    <w:rsid w:val="0033133A"/>
    <w:rsid w:val="0033156E"/>
    <w:rsid w:val="00334441"/>
    <w:rsid w:val="00336196"/>
    <w:rsid w:val="0034157B"/>
    <w:rsid w:val="0034335A"/>
    <w:rsid w:val="00343B81"/>
    <w:rsid w:val="003449A1"/>
    <w:rsid w:val="003468CD"/>
    <w:rsid w:val="00347C85"/>
    <w:rsid w:val="00351A60"/>
    <w:rsid w:val="00352D8C"/>
    <w:rsid w:val="00352F41"/>
    <w:rsid w:val="003600B3"/>
    <w:rsid w:val="00361617"/>
    <w:rsid w:val="0036180F"/>
    <w:rsid w:val="003670C3"/>
    <w:rsid w:val="00372749"/>
    <w:rsid w:val="003729CA"/>
    <w:rsid w:val="003809FB"/>
    <w:rsid w:val="003A49A4"/>
    <w:rsid w:val="003A4A8C"/>
    <w:rsid w:val="003B4E7A"/>
    <w:rsid w:val="003C0F59"/>
    <w:rsid w:val="003C4022"/>
    <w:rsid w:val="003C6864"/>
    <w:rsid w:val="003D40E0"/>
    <w:rsid w:val="003D41FC"/>
    <w:rsid w:val="003F0015"/>
    <w:rsid w:val="003F06A0"/>
    <w:rsid w:val="003F407D"/>
    <w:rsid w:val="003F5AF2"/>
    <w:rsid w:val="003F7E5B"/>
    <w:rsid w:val="0040080D"/>
    <w:rsid w:val="00402F1D"/>
    <w:rsid w:val="004039A9"/>
    <w:rsid w:val="00406FAA"/>
    <w:rsid w:val="00426FD2"/>
    <w:rsid w:val="00427EE9"/>
    <w:rsid w:val="00440E14"/>
    <w:rsid w:val="00451895"/>
    <w:rsid w:val="00452B65"/>
    <w:rsid w:val="00461882"/>
    <w:rsid w:val="0047223B"/>
    <w:rsid w:val="004768EE"/>
    <w:rsid w:val="00477E19"/>
    <w:rsid w:val="00497B1A"/>
    <w:rsid w:val="004A0F25"/>
    <w:rsid w:val="004A1F2A"/>
    <w:rsid w:val="004A30BB"/>
    <w:rsid w:val="004B0F2E"/>
    <w:rsid w:val="004B1849"/>
    <w:rsid w:val="004B3563"/>
    <w:rsid w:val="004C329E"/>
    <w:rsid w:val="004C4F40"/>
    <w:rsid w:val="004C54F1"/>
    <w:rsid w:val="004D0214"/>
    <w:rsid w:val="004D44AC"/>
    <w:rsid w:val="004E06C7"/>
    <w:rsid w:val="004E2553"/>
    <w:rsid w:val="004E467D"/>
    <w:rsid w:val="004F1976"/>
    <w:rsid w:val="004F352B"/>
    <w:rsid w:val="004F5EDD"/>
    <w:rsid w:val="00500573"/>
    <w:rsid w:val="00500C18"/>
    <w:rsid w:val="005016D0"/>
    <w:rsid w:val="00502046"/>
    <w:rsid w:val="005132E1"/>
    <w:rsid w:val="00527335"/>
    <w:rsid w:val="0053092B"/>
    <w:rsid w:val="00531B3D"/>
    <w:rsid w:val="005322BE"/>
    <w:rsid w:val="00534D5D"/>
    <w:rsid w:val="00561E06"/>
    <w:rsid w:val="00570E61"/>
    <w:rsid w:val="005757C0"/>
    <w:rsid w:val="00576BB9"/>
    <w:rsid w:val="00581E4F"/>
    <w:rsid w:val="005831E8"/>
    <w:rsid w:val="00584905"/>
    <w:rsid w:val="00586175"/>
    <w:rsid w:val="00590D7A"/>
    <w:rsid w:val="00591BF1"/>
    <w:rsid w:val="00593C80"/>
    <w:rsid w:val="005949DD"/>
    <w:rsid w:val="005A0989"/>
    <w:rsid w:val="005A0D84"/>
    <w:rsid w:val="005A552E"/>
    <w:rsid w:val="005A55E5"/>
    <w:rsid w:val="005A5D2A"/>
    <w:rsid w:val="005A6857"/>
    <w:rsid w:val="005A7B1B"/>
    <w:rsid w:val="005C0048"/>
    <w:rsid w:val="005C14FA"/>
    <w:rsid w:val="005C5494"/>
    <w:rsid w:val="005C79F4"/>
    <w:rsid w:val="005C7B4B"/>
    <w:rsid w:val="005D2AA7"/>
    <w:rsid w:val="005D65AC"/>
    <w:rsid w:val="005E191A"/>
    <w:rsid w:val="005E1A70"/>
    <w:rsid w:val="005E3210"/>
    <w:rsid w:val="005F0EBB"/>
    <w:rsid w:val="005F11EE"/>
    <w:rsid w:val="005F30D1"/>
    <w:rsid w:val="005F3FD8"/>
    <w:rsid w:val="00603775"/>
    <w:rsid w:val="006043D5"/>
    <w:rsid w:val="00606687"/>
    <w:rsid w:val="006119AC"/>
    <w:rsid w:val="006136B7"/>
    <w:rsid w:val="00621AF9"/>
    <w:rsid w:val="00621B9B"/>
    <w:rsid w:val="006223D0"/>
    <w:rsid w:val="00623A63"/>
    <w:rsid w:val="00625EDA"/>
    <w:rsid w:val="0063575C"/>
    <w:rsid w:val="00636EF3"/>
    <w:rsid w:val="00640749"/>
    <w:rsid w:val="0064711D"/>
    <w:rsid w:val="00651CB7"/>
    <w:rsid w:val="00652491"/>
    <w:rsid w:val="00665CEE"/>
    <w:rsid w:val="00667BCF"/>
    <w:rsid w:val="00674558"/>
    <w:rsid w:val="00674B0D"/>
    <w:rsid w:val="0068308E"/>
    <w:rsid w:val="00684A82"/>
    <w:rsid w:val="0068728E"/>
    <w:rsid w:val="006901E3"/>
    <w:rsid w:val="0069470B"/>
    <w:rsid w:val="00696233"/>
    <w:rsid w:val="006A4FC9"/>
    <w:rsid w:val="006A5A8F"/>
    <w:rsid w:val="006A60E8"/>
    <w:rsid w:val="006B106D"/>
    <w:rsid w:val="006B15CE"/>
    <w:rsid w:val="006C0132"/>
    <w:rsid w:val="006C2D79"/>
    <w:rsid w:val="006C6520"/>
    <w:rsid w:val="006D23CA"/>
    <w:rsid w:val="006D7A49"/>
    <w:rsid w:val="006E65BA"/>
    <w:rsid w:val="006F404A"/>
    <w:rsid w:val="007015FF"/>
    <w:rsid w:val="007053C0"/>
    <w:rsid w:val="00711832"/>
    <w:rsid w:val="00720AF2"/>
    <w:rsid w:val="00727B46"/>
    <w:rsid w:val="00732791"/>
    <w:rsid w:val="00732F54"/>
    <w:rsid w:val="00735A30"/>
    <w:rsid w:val="00736B40"/>
    <w:rsid w:val="00736C1D"/>
    <w:rsid w:val="00737F8E"/>
    <w:rsid w:val="007411D6"/>
    <w:rsid w:val="00742725"/>
    <w:rsid w:val="00743194"/>
    <w:rsid w:val="007435D2"/>
    <w:rsid w:val="00750780"/>
    <w:rsid w:val="007564E4"/>
    <w:rsid w:val="00756E89"/>
    <w:rsid w:val="00757B0A"/>
    <w:rsid w:val="007629DA"/>
    <w:rsid w:val="00763D65"/>
    <w:rsid w:val="00770289"/>
    <w:rsid w:val="0077262F"/>
    <w:rsid w:val="007813F4"/>
    <w:rsid w:val="007906A7"/>
    <w:rsid w:val="00793984"/>
    <w:rsid w:val="00795E26"/>
    <w:rsid w:val="007960CB"/>
    <w:rsid w:val="007A02C7"/>
    <w:rsid w:val="007A6A64"/>
    <w:rsid w:val="007B08FD"/>
    <w:rsid w:val="007B0CFC"/>
    <w:rsid w:val="007C1F4E"/>
    <w:rsid w:val="007C32E4"/>
    <w:rsid w:val="007D2094"/>
    <w:rsid w:val="007D7E8B"/>
    <w:rsid w:val="007E5B52"/>
    <w:rsid w:val="007F0322"/>
    <w:rsid w:val="00801482"/>
    <w:rsid w:val="008039D7"/>
    <w:rsid w:val="00803BF5"/>
    <w:rsid w:val="0080458C"/>
    <w:rsid w:val="00805208"/>
    <w:rsid w:val="00806C55"/>
    <w:rsid w:val="00814CF0"/>
    <w:rsid w:val="0082195B"/>
    <w:rsid w:val="00822B8B"/>
    <w:rsid w:val="00825952"/>
    <w:rsid w:val="00825BA7"/>
    <w:rsid w:val="008300B8"/>
    <w:rsid w:val="00832949"/>
    <w:rsid w:val="00832AEA"/>
    <w:rsid w:val="00842D94"/>
    <w:rsid w:val="00851E16"/>
    <w:rsid w:val="00853DB7"/>
    <w:rsid w:val="00863AA1"/>
    <w:rsid w:val="00866BDE"/>
    <w:rsid w:val="00867206"/>
    <w:rsid w:val="00872971"/>
    <w:rsid w:val="00885AA4"/>
    <w:rsid w:val="00887879"/>
    <w:rsid w:val="00887E46"/>
    <w:rsid w:val="00887FC3"/>
    <w:rsid w:val="00893A2D"/>
    <w:rsid w:val="008A1790"/>
    <w:rsid w:val="008A31FE"/>
    <w:rsid w:val="008B2366"/>
    <w:rsid w:val="008B5122"/>
    <w:rsid w:val="008D289E"/>
    <w:rsid w:val="008D7CDC"/>
    <w:rsid w:val="008E11F7"/>
    <w:rsid w:val="008E142D"/>
    <w:rsid w:val="008E74DA"/>
    <w:rsid w:val="008F11AB"/>
    <w:rsid w:val="008F13B1"/>
    <w:rsid w:val="008F5722"/>
    <w:rsid w:val="008F6B3C"/>
    <w:rsid w:val="00900756"/>
    <w:rsid w:val="009046FA"/>
    <w:rsid w:val="00905602"/>
    <w:rsid w:val="00913E96"/>
    <w:rsid w:val="00916067"/>
    <w:rsid w:val="00920ECD"/>
    <w:rsid w:val="009265B5"/>
    <w:rsid w:val="00926A13"/>
    <w:rsid w:val="00931716"/>
    <w:rsid w:val="009358AC"/>
    <w:rsid w:val="009379FC"/>
    <w:rsid w:val="0096339C"/>
    <w:rsid w:val="009639D7"/>
    <w:rsid w:val="00971CD1"/>
    <w:rsid w:val="00975076"/>
    <w:rsid w:val="00975696"/>
    <w:rsid w:val="009768CB"/>
    <w:rsid w:val="00984C67"/>
    <w:rsid w:val="009878C0"/>
    <w:rsid w:val="009909FD"/>
    <w:rsid w:val="00991F27"/>
    <w:rsid w:val="00993082"/>
    <w:rsid w:val="009A3B08"/>
    <w:rsid w:val="009B40DF"/>
    <w:rsid w:val="009B7FAE"/>
    <w:rsid w:val="009C2FED"/>
    <w:rsid w:val="009D3DE9"/>
    <w:rsid w:val="009D550A"/>
    <w:rsid w:val="009D647F"/>
    <w:rsid w:val="009D6F71"/>
    <w:rsid w:val="009D7324"/>
    <w:rsid w:val="009D7515"/>
    <w:rsid w:val="009E01A7"/>
    <w:rsid w:val="009E28AD"/>
    <w:rsid w:val="009F1826"/>
    <w:rsid w:val="00A02BF6"/>
    <w:rsid w:val="00A061F4"/>
    <w:rsid w:val="00A1284D"/>
    <w:rsid w:val="00A16BA9"/>
    <w:rsid w:val="00A20379"/>
    <w:rsid w:val="00A2596F"/>
    <w:rsid w:val="00A26067"/>
    <w:rsid w:val="00A30AC8"/>
    <w:rsid w:val="00A30CD2"/>
    <w:rsid w:val="00A310D2"/>
    <w:rsid w:val="00A321D0"/>
    <w:rsid w:val="00A36862"/>
    <w:rsid w:val="00A3694F"/>
    <w:rsid w:val="00A429D8"/>
    <w:rsid w:val="00A47A74"/>
    <w:rsid w:val="00A52CB4"/>
    <w:rsid w:val="00A57F34"/>
    <w:rsid w:val="00A60921"/>
    <w:rsid w:val="00A60990"/>
    <w:rsid w:val="00A63BCF"/>
    <w:rsid w:val="00A76F7B"/>
    <w:rsid w:val="00A80090"/>
    <w:rsid w:val="00A821D6"/>
    <w:rsid w:val="00A87347"/>
    <w:rsid w:val="00A9685B"/>
    <w:rsid w:val="00A96D29"/>
    <w:rsid w:val="00A97802"/>
    <w:rsid w:val="00AA6E38"/>
    <w:rsid w:val="00AC5D82"/>
    <w:rsid w:val="00AC6B43"/>
    <w:rsid w:val="00AD0DA9"/>
    <w:rsid w:val="00AD1D46"/>
    <w:rsid w:val="00AD39A7"/>
    <w:rsid w:val="00AD3C15"/>
    <w:rsid w:val="00AD3FAF"/>
    <w:rsid w:val="00AD57ED"/>
    <w:rsid w:val="00AD6354"/>
    <w:rsid w:val="00AE3799"/>
    <w:rsid w:val="00AE6931"/>
    <w:rsid w:val="00AF3376"/>
    <w:rsid w:val="00AF4E42"/>
    <w:rsid w:val="00B00324"/>
    <w:rsid w:val="00B00500"/>
    <w:rsid w:val="00B03771"/>
    <w:rsid w:val="00B058E5"/>
    <w:rsid w:val="00B07FD7"/>
    <w:rsid w:val="00B10797"/>
    <w:rsid w:val="00B2295F"/>
    <w:rsid w:val="00B252DD"/>
    <w:rsid w:val="00B2625B"/>
    <w:rsid w:val="00B3014E"/>
    <w:rsid w:val="00B3598E"/>
    <w:rsid w:val="00B359E9"/>
    <w:rsid w:val="00B3613C"/>
    <w:rsid w:val="00B40A1B"/>
    <w:rsid w:val="00B4595F"/>
    <w:rsid w:val="00B47BFF"/>
    <w:rsid w:val="00B50B35"/>
    <w:rsid w:val="00B57003"/>
    <w:rsid w:val="00B57C89"/>
    <w:rsid w:val="00B7053C"/>
    <w:rsid w:val="00B85206"/>
    <w:rsid w:val="00B8680D"/>
    <w:rsid w:val="00B90259"/>
    <w:rsid w:val="00B9350E"/>
    <w:rsid w:val="00B97C33"/>
    <w:rsid w:val="00BA5480"/>
    <w:rsid w:val="00BA7158"/>
    <w:rsid w:val="00BB00C4"/>
    <w:rsid w:val="00BB20FB"/>
    <w:rsid w:val="00BB72DC"/>
    <w:rsid w:val="00BC3219"/>
    <w:rsid w:val="00BD058D"/>
    <w:rsid w:val="00BD134C"/>
    <w:rsid w:val="00BD314D"/>
    <w:rsid w:val="00BD78D6"/>
    <w:rsid w:val="00BE0927"/>
    <w:rsid w:val="00BE1BF5"/>
    <w:rsid w:val="00BF2CB3"/>
    <w:rsid w:val="00BF3397"/>
    <w:rsid w:val="00BF7B49"/>
    <w:rsid w:val="00BF7D1E"/>
    <w:rsid w:val="00C0622C"/>
    <w:rsid w:val="00C075DF"/>
    <w:rsid w:val="00C13767"/>
    <w:rsid w:val="00C214E5"/>
    <w:rsid w:val="00C21952"/>
    <w:rsid w:val="00C2365A"/>
    <w:rsid w:val="00C321B0"/>
    <w:rsid w:val="00C34078"/>
    <w:rsid w:val="00C35964"/>
    <w:rsid w:val="00C35AB3"/>
    <w:rsid w:val="00C36808"/>
    <w:rsid w:val="00C41A05"/>
    <w:rsid w:val="00C429B6"/>
    <w:rsid w:val="00C467A0"/>
    <w:rsid w:val="00C4706B"/>
    <w:rsid w:val="00C473B5"/>
    <w:rsid w:val="00C572DA"/>
    <w:rsid w:val="00C62D60"/>
    <w:rsid w:val="00C652B2"/>
    <w:rsid w:val="00C66A23"/>
    <w:rsid w:val="00C67399"/>
    <w:rsid w:val="00C74671"/>
    <w:rsid w:val="00C77976"/>
    <w:rsid w:val="00C84093"/>
    <w:rsid w:val="00C86A2F"/>
    <w:rsid w:val="00C95F31"/>
    <w:rsid w:val="00CA3EC2"/>
    <w:rsid w:val="00CA4615"/>
    <w:rsid w:val="00CA4B86"/>
    <w:rsid w:val="00CB55C6"/>
    <w:rsid w:val="00CB7383"/>
    <w:rsid w:val="00CC1206"/>
    <w:rsid w:val="00CD7358"/>
    <w:rsid w:val="00CE461C"/>
    <w:rsid w:val="00CE6FDB"/>
    <w:rsid w:val="00CE787B"/>
    <w:rsid w:val="00CF000F"/>
    <w:rsid w:val="00CF08A5"/>
    <w:rsid w:val="00CF543C"/>
    <w:rsid w:val="00CF5715"/>
    <w:rsid w:val="00D0114C"/>
    <w:rsid w:val="00D1408A"/>
    <w:rsid w:val="00D17B73"/>
    <w:rsid w:val="00D201B0"/>
    <w:rsid w:val="00D21558"/>
    <w:rsid w:val="00D232E8"/>
    <w:rsid w:val="00D24519"/>
    <w:rsid w:val="00D27136"/>
    <w:rsid w:val="00D3200F"/>
    <w:rsid w:val="00D32B27"/>
    <w:rsid w:val="00D40FCD"/>
    <w:rsid w:val="00D4574B"/>
    <w:rsid w:val="00D47CF5"/>
    <w:rsid w:val="00D50ABF"/>
    <w:rsid w:val="00D52CD9"/>
    <w:rsid w:val="00D61257"/>
    <w:rsid w:val="00D649C2"/>
    <w:rsid w:val="00D75B0B"/>
    <w:rsid w:val="00D8076C"/>
    <w:rsid w:val="00D81DFC"/>
    <w:rsid w:val="00D8406A"/>
    <w:rsid w:val="00D84941"/>
    <w:rsid w:val="00D85841"/>
    <w:rsid w:val="00D951EC"/>
    <w:rsid w:val="00D95793"/>
    <w:rsid w:val="00DA4E86"/>
    <w:rsid w:val="00DB05E4"/>
    <w:rsid w:val="00DC17EB"/>
    <w:rsid w:val="00DC180D"/>
    <w:rsid w:val="00DC3C1F"/>
    <w:rsid w:val="00DC5220"/>
    <w:rsid w:val="00DD20B8"/>
    <w:rsid w:val="00DD2AD9"/>
    <w:rsid w:val="00DD7F0B"/>
    <w:rsid w:val="00DF2BCB"/>
    <w:rsid w:val="00E13CA7"/>
    <w:rsid w:val="00E1669D"/>
    <w:rsid w:val="00E16C4D"/>
    <w:rsid w:val="00E26A7B"/>
    <w:rsid w:val="00E31F99"/>
    <w:rsid w:val="00E33F19"/>
    <w:rsid w:val="00E42928"/>
    <w:rsid w:val="00E42A1A"/>
    <w:rsid w:val="00E44B44"/>
    <w:rsid w:val="00E4647A"/>
    <w:rsid w:val="00E46D6F"/>
    <w:rsid w:val="00E51020"/>
    <w:rsid w:val="00E52A08"/>
    <w:rsid w:val="00E52DA0"/>
    <w:rsid w:val="00E5399D"/>
    <w:rsid w:val="00E61128"/>
    <w:rsid w:val="00E62A84"/>
    <w:rsid w:val="00E67929"/>
    <w:rsid w:val="00E70E04"/>
    <w:rsid w:val="00E762A9"/>
    <w:rsid w:val="00E771BA"/>
    <w:rsid w:val="00E814D6"/>
    <w:rsid w:val="00E82769"/>
    <w:rsid w:val="00E83D6E"/>
    <w:rsid w:val="00E90530"/>
    <w:rsid w:val="00E96E96"/>
    <w:rsid w:val="00EA1A4B"/>
    <w:rsid w:val="00EA1D01"/>
    <w:rsid w:val="00EA5D9E"/>
    <w:rsid w:val="00EB14EB"/>
    <w:rsid w:val="00EB1D70"/>
    <w:rsid w:val="00EB3E71"/>
    <w:rsid w:val="00EC0573"/>
    <w:rsid w:val="00EC08DC"/>
    <w:rsid w:val="00ED0067"/>
    <w:rsid w:val="00ED0362"/>
    <w:rsid w:val="00ED665A"/>
    <w:rsid w:val="00EE2F30"/>
    <w:rsid w:val="00EE3316"/>
    <w:rsid w:val="00EE5385"/>
    <w:rsid w:val="00EE702A"/>
    <w:rsid w:val="00EF6244"/>
    <w:rsid w:val="00F020C6"/>
    <w:rsid w:val="00F04D15"/>
    <w:rsid w:val="00F07E69"/>
    <w:rsid w:val="00F20B39"/>
    <w:rsid w:val="00F239DC"/>
    <w:rsid w:val="00F262CC"/>
    <w:rsid w:val="00F27126"/>
    <w:rsid w:val="00F273AD"/>
    <w:rsid w:val="00F3204A"/>
    <w:rsid w:val="00F3244D"/>
    <w:rsid w:val="00F33BD6"/>
    <w:rsid w:val="00F34764"/>
    <w:rsid w:val="00F35B6A"/>
    <w:rsid w:val="00F367A1"/>
    <w:rsid w:val="00F368AA"/>
    <w:rsid w:val="00F37916"/>
    <w:rsid w:val="00F4427D"/>
    <w:rsid w:val="00F456C6"/>
    <w:rsid w:val="00F47DEC"/>
    <w:rsid w:val="00F47F50"/>
    <w:rsid w:val="00F6178C"/>
    <w:rsid w:val="00F62392"/>
    <w:rsid w:val="00F627E9"/>
    <w:rsid w:val="00F64A2B"/>
    <w:rsid w:val="00F662C1"/>
    <w:rsid w:val="00F66CA7"/>
    <w:rsid w:val="00F70D9A"/>
    <w:rsid w:val="00F73DE6"/>
    <w:rsid w:val="00F82ED3"/>
    <w:rsid w:val="00F848DF"/>
    <w:rsid w:val="00F906AB"/>
    <w:rsid w:val="00F96546"/>
    <w:rsid w:val="00F9685A"/>
    <w:rsid w:val="00F97FFE"/>
    <w:rsid w:val="00FA7E2D"/>
    <w:rsid w:val="00FB3E3B"/>
    <w:rsid w:val="00FB6C49"/>
    <w:rsid w:val="00FC2C92"/>
    <w:rsid w:val="00FC39AC"/>
    <w:rsid w:val="00FC66E9"/>
    <w:rsid w:val="00FD043D"/>
    <w:rsid w:val="00FD4857"/>
    <w:rsid w:val="00FE0BF5"/>
    <w:rsid w:val="00FE2F00"/>
    <w:rsid w:val="00FE5B44"/>
    <w:rsid w:val="00FE6B38"/>
    <w:rsid w:val="00FF1693"/>
    <w:rsid w:val="00FF1BCD"/>
    <w:rsid w:val="00FF2E4A"/>
    <w:rsid w:val="00FF4720"/>
    <w:rsid w:val="01064C9A"/>
    <w:rsid w:val="01396E1E"/>
    <w:rsid w:val="018207C5"/>
    <w:rsid w:val="02002788"/>
    <w:rsid w:val="02076F1C"/>
    <w:rsid w:val="028440C8"/>
    <w:rsid w:val="03DE5A5A"/>
    <w:rsid w:val="04001E75"/>
    <w:rsid w:val="049B394B"/>
    <w:rsid w:val="05542478"/>
    <w:rsid w:val="05997E8B"/>
    <w:rsid w:val="067642A4"/>
    <w:rsid w:val="068E19BA"/>
    <w:rsid w:val="06976AC0"/>
    <w:rsid w:val="06A83CC6"/>
    <w:rsid w:val="06DA6DCE"/>
    <w:rsid w:val="075F3A03"/>
    <w:rsid w:val="07660241"/>
    <w:rsid w:val="07AD2313"/>
    <w:rsid w:val="07CA6A21"/>
    <w:rsid w:val="086E3851"/>
    <w:rsid w:val="088776BF"/>
    <w:rsid w:val="08986B20"/>
    <w:rsid w:val="08A2174C"/>
    <w:rsid w:val="08A90D2D"/>
    <w:rsid w:val="08E73603"/>
    <w:rsid w:val="097F7EB7"/>
    <w:rsid w:val="0A4441B6"/>
    <w:rsid w:val="0AAF1EFF"/>
    <w:rsid w:val="0B5D195B"/>
    <w:rsid w:val="0BCD088E"/>
    <w:rsid w:val="0C0D7AE6"/>
    <w:rsid w:val="0C963376"/>
    <w:rsid w:val="0D0F4ED6"/>
    <w:rsid w:val="0D305579"/>
    <w:rsid w:val="0D474670"/>
    <w:rsid w:val="0DC161D1"/>
    <w:rsid w:val="0E506282"/>
    <w:rsid w:val="0E9D4E90"/>
    <w:rsid w:val="0EBE6BB4"/>
    <w:rsid w:val="0F0F5662"/>
    <w:rsid w:val="0F6459AD"/>
    <w:rsid w:val="0FED7751"/>
    <w:rsid w:val="0FFE74AF"/>
    <w:rsid w:val="100F5919"/>
    <w:rsid w:val="103822ED"/>
    <w:rsid w:val="10505F32"/>
    <w:rsid w:val="10567156"/>
    <w:rsid w:val="111C011A"/>
    <w:rsid w:val="133D454B"/>
    <w:rsid w:val="13801368"/>
    <w:rsid w:val="13897791"/>
    <w:rsid w:val="13FF9BBD"/>
    <w:rsid w:val="141A77F8"/>
    <w:rsid w:val="151B4D60"/>
    <w:rsid w:val="151C4634"/>
    <w:rsid w:val="1546345F"/>
    <w:rsid w:val="15A72150"/>
    <w:rsid w:val="164F6FA2"/>
    <w:rsid w:val="16C84A74"/>
    <w:rsid w:val="17537DC3"/>
    <w:rsid w:val="17942BA8"/>
    <w:rsid w:val="18221F62"/>
    <w:rsid w:val="18365A0D"/>
    <w:rsid w:val="18441ED8"/>
    <w:rsid w:val="19017DC9"/>
    <w:rsid w:val="1A512FD2"/>
    <w:rsid w:val="1ABD5F72"/>
    <w:rsid w:val="1B177D78"/>
    <w:rsid w:val="1B1D086E"/>
    <w:rsid w:val="1B634D6B"/>
    <w:rsid w:val="1B9C202B"/>
    <w:rsid w:val="1CCD3843"/>
    <w:rsid w:val="1CFF1F33"/>
    <w:rsid w:val="1D790876"/>
    <w:rsid w:val="1DDD3D42"/>
    <w:rsid w:val="1DF3687A"/>
    <w:rsid w:val="1E4C5F8A"/>
    <w:rsid w:val="1E58492F"/>
    <w:rsid w:val="1F1F101A"/>
    <w:rsid w:val="1F7E03C6"/>
    <w:rsid w:val="20F6042F"/>
    <w:rsid w:val="214A2DD1"/>
    <w:rsid w:val="21525F33"/>
    <w:rsid w:val="21CB71C6"/>
    <w:rsid w:val="21ED1832"/>
    <w:rsid w:val="221A1EFC"/>
    <w:rsid w:val="225E003A"/>
    <w:rsid w:val="22F4274D"/>
    <w:rsid w:val="22FB3ADB"/>
    <w:rsid w:val="238B4E5F"/>
    <w:rsid w:val="23E629DD"/>
    <w:rsid w:val="23F46F20"/>
    <w:rsid w:val="240F5A90"/>
    <w:rsid w:val="243454F7"/>
    <w:rsid w:val="250824DF"/>
    <w:rsid w:val="26025181"/>
    <w:rsid w:val="26121868"/>
    <w:rsid w:val="26431A21"/>
    <w:rsid w:val="26FE003E"/>
    <w:rsid w:val="277F0CF8"/>
    <w:rsid w:val="27F829CD"/>
    <w:rsid w:val="28085FBA"/>
    <w:rsid w:val="28173165"/>
    <w:rsid w:val="288A7DDB"/>
    <w:rsid w:val="28BA1D43"/>
    <w:rsid w:val="290F208E"/>
    <w:rsid w:val="294A68B7"/>
    <w:rsid w:val="29AA0009"/>
    <w:rsid w:val="2A1C2CB5"/>
    <w:rsid w:val="2AE77BF2"/>
    <w:rsid w:val="2C66290D"/>
    <w:rsid w:val="2C9D5C03"/>
    <w:rsid w:val="2D5A2988"/>
    <w:rsid w:val="301641AE"/>
    <w:rsid w:val="318A49A8"/>
    <w:rsid w:val="31B23EFF"/>
    <w:rsid w:val="31C854D0"/>
    <w:rsid w:val="31D67BED"/>
    <w:rsid w:val="31D9592F"/>
    <w:rsid w:val="31DF196B"/>
    <w:rsid w:val="31FC568A"/>
    <w:rsid w:val="32546D64"/>
    <w:rsid w:val="32F81DE5"/>
    <w:rsid w:val="33DB773D"/>
    <w:rsid w:val="340A6274"/>
    <w:rsid w:val="345E036E"/>
    <w:rsid w:val="349F69BC"/>
    <w:rsid w:val="34D67F04"/>
    <w:rsid w:val="356C2617"/>
    <w:rsid w:val="35F8709C"/>
    <w:rsid w:val="35FC7E3E"/>
    <w:rsid w:val="365B6913"/>
    <w:rsid w:val="378E0F6A"/>
    <w:rsid w:val="382F433C"/>
    <w:rsid w:val="384F24A7"/>
    <w:rsid w:val="38D83EC7"/>
    <w:rsid w:val="39191195"/>
    <w:rsid w:val="3A775CE5"/>
    <w:rsid w:val="3BBF315A"/>
    <w:rsid w:val="3BE253E0"/>
    <w:rsid w:val="3C1313F8"/>
    <w:rsid w:val="3D276F6E"/>
    <w:rsid w:val="3DEB2C72"/>
    <w:rsid w:val="3EA5663F"/>
    <w:rsid w:val="3F19736B"/>
    <w:rsid w:val="3F2521B4"/>
    <w:rsid w:val="3FDF2DF4"/>
    <w:rsid w:val="3FFFD31F"/>
    <w:rsid w:val="408E4D75"/>
    <w:rsid w:val="40E37C31"/>
    <w:rsid w:val="41C16616"/>
    <w:rsid w:val="41D3433B"/>
    <w:rsid w:val="41F320F5"/>
    <w:rsid w:val="42034019"/>
    <w:rsid w:val="42EB7271"/>
    <w:rsid w:val="43454BD3"/>
    <w:rsid w:val="438D20D6"/>
    <w:rsid w:val="442742D8"/>
    <w:rsid w:val="443D1D4E"/>
    <w:rsid w:val="44626C63"/>
    <w:rsid w:val="44780FD8"/>
    <w:rsid w:val="45322F35"/>
    <w:rsid w:val="458D460F"/>
    <w:rsid w:val="45E306D3"/>
    <w:rsid w:val="460074D7"/>
    <w:rsid w:val="46256F3D"/>
    <w:rsid w:val="46357180"/>
    <w:rsid w:val="46CE1383"/>
    <w:rsid w:val="46EE10DD"/>
    <w:rsid w:val="4743767B"/>
    <w:rsid w:val="47826536"/>
    <w:rsid w:val="47975C19"/>
    <w:rsid w:val="47BE31A6"/>
    <w:rsid w:val="48711FC6"/>
    <w:rsid w:val="490E5A67"/>
    <w:rsid w:val="491C0184"/>
    <w:rsid w:val="49557B3A"/>
    <w:rsid w:val="4A062BE2"/>
    <w:rsid w:val="4A963F66"/>
    <w:rsid w:val="4AF62C56"/>
    <w:rsid w:val="4B005C5D"/>
    <w:rsid w:val="4BC0573E"/>
    <w:rsid w:val="4BDE5BC4"/>
    <w:rsid w:val="4C1B2975"/>
    <w:rsid w:val="4C8E5CA5"/>
    <w:rsid w:val="4CEE21F8"/>
    <w:rsid w:val="4D6D5452"/>
    <w:rsid w:val="4D8254F4"/>
    <w:rsid w:val="4DAE7818"/>
    <w:rsid w:val="4DF84B76"/>
    <w:rsid w:val="4E047438"/>
    <w:rsid w:val="50120532"/>
    <w:rsid w:val="502504DF"/>
    <w:rsid w:val="514E10F6"/>
    <w:rsid w:val="516052CE"/>
    <w:rsid w:val="517A013D"/>
    <w:rsid w:val="518835AC"/>
    <w:rsid w:val="51C40C80"/>
    <w:rsid w:val="5208399B"/>
    <w:rsid w:val="52643CF0"/>
    <w:rsid w:val="52CA027B"/>
    <w:rsid w:val="570404A9"/>
    <w:rsid w:val="570E771B"/>
    <w:rsid w:val="58AE691E"/>
    <w:rsid w:val="5915074C"/>
    <w:rsid w:val="5A2F1CE1"/>
    <w:rsid w:val="5A4802D0"/>
    <w:rsid w:val="5BC70423"/>
    <w:rsid w:val="5CFE5865"/>
    <w:rsid w:val="5D2D075A"/>
    <w:rsid w:val="5E0771FD"/>
    <w:rsid w:val="5E18779F"/>
    <w:rsid w:val="5E3E6996"/>
    <w:rsid w:val="5EFA0B0F"/>
    <w:rsid w:val="5F9F3465"/>
    <w:rsid w:val="60936B26"/>
    <w:rsid w:val="61AE5BE1"/>
    <w:rsid w:val="61F145AE"/>
    <w:rsid w:val="62245B18"/>
    <w:rsid w:val="62344338"/>
    <w:rsid w:val="63273E9D"/>
    <w:rsid w:val="63464323"/>
    <w:rsid w:val="64B82FFF"/>
    <w:rsid w:val="652F5490"/>
    <w:rsid w:val="6562740E"/>
    <w:rsid w:val="657A6506"/>
    <w:rsid w:val="65A569EB"/>
    <w:rsid w:val="66124991"/>
    <w:rsid w:val="665B2D46"/>
    <w:rsid w:val="672E063D"/>
    <w:rsid w:val="67A45ABC"/>
    <w:rsid w:val="68994EF5"/>
    <w:rsid w:val="692077CC"/>
    <w:rsid w:val="69C75A92"/>
    <w:rsid w:val="6A431441"/>
    <w:rsid w:val="6AA60C74"/>
    <w:rsid w:val="6C0B610A"/>
    <w:rsid w:val="6C3D64DF"/>
    <w:rsid w:val="6C937EAD"/>
    <w:rsid w:val="6CAC0CCD"/>
    <w:rsid w:val="6CF66663"/>
    <w:rsid w:val="6D192491"/>
    <w:rsid w:val="6E2434B3"/>
    <w:rsid w:val="6E5673E4"/>
    <w:rsid w:val="6F062BB9"/>
    <w:rsid w:val="6F143527"/>
    <w:rsid w:val="6F305E87"/>
    <w:rsid w:val="6F8B0694"/>
    <w:rsid w:val="6FC0545D"/>
    <w:rsid w:val="700215D2"/>
    <w:rsid w:val="70512559"/>
    <w:rsid w:val="709661BE"/>
    <w:rsid w:val="70CA22A0"/>
    <w:rsid w:val="70D50031"/>
    <w:rsid w:val="711B403E"/>
    <w:rsid w:val="715D19E6"/>
    <w:rsid w:val="71671334"/>
    <w:rsid w:val="72262F89"/>
    <w:rsid w:val="724F3E29"/>
    <w:rsid w:val="727D5888"/>
    <w:rsid w:val="72966949"/>
    <w:rsid w:val="72A30129"/>
    <w:rsid w:val="7338355D"/>
    <w:rsid w:val="73520AC2"/>
    <w:rsid w:val="73C179F6"/>
    <w:rsid w:val="73CF2113"/>
    <w:rsid w:val="73FC27DC"/>
    <w:rsid w:val="7457538A"/>
    <w:rsid w:val="74866F5F"/>
    <w:rsid w:val="748C1DB2"/>
    <w:rsid w:val="75104791"/>
    <w:rsid w:val="756248C1"/>
    <w:rsid w:val="75630D65"/>
    <w:rsid w:val="76A258BD"/>
    <w:rsid w:val="76C02622"/>
    <w:rsid w:val="7726029C"/>
    <w:rsid w:val="779276DF"/>
    <w:rsid w:val="77CF7C8F"/>
    <w:rsid w:val="782B3690"/>
    <w:rsid w:val="78370267"/>
    <w:rsid w:val="788B039C"/>
    <w:rsid w:val="79164340"/>
    <w:rsid w:val="794C5FB4"/>
    <w:rsid w:val="79D37B8A"/>
    <w:rsid w:val="7A4822D7"/>
    <w:rsid w:val="7B1D7C08"/>
    <w:rsid w:val="7B2A5E81"/>
    <w:rsid w:val="7B833617"/>
    <w:rsid w:val="7BBF481B"/>
    <w:rsid w:val="7BEAF53C"/>
    <w:rsid w:val="7BFA34FC"/>
    <w:rsid w:val="7C4F2043"/>
    <w:rsid w:val="7DD7D5FD"/>
    <w:rsid w:val="7DF02F7E"/>
    <w:rsid w:val="7E1CA813"/>
    <w:rsid w:val="7E292420"/>
    <w:rsid w:val="7E553215"/>
    <w:rsid w:val="7EF74FB7"/>
    <w:rsid w:val="7F985AAF"/>
    <w:rsid w:val="7FF76C79"/>
    <w:rsid w:val="7FFDA9AC"/>
    <w:rsid w:val="9F9DDFE7"/>
    <w:rsid w:val="BABFFDF6"/>
    <w:rsid w:val="CDFF6AB9"/>
    <w:rsid w:val="CF580E47"/>
    <w:rsid w:val="D7F14791"/>
    <w:rsid w:val="DBDF7BAD"/>
    <w:rsid w:val="DDF3F690"/>
    <w:rsid w:val="E5AD25CA"/>
    <w:rsid w:val="EDDF8D02"/>
    <w:rsid w:val="F973A4B2"/>
    <w:rsid w:val="FDEFB720"/>
    <w:rsid w:val="FF9E6F57"/>
    <w:rsid w:val="FFB69EB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sz w:val="21"/>
      <w:szCs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1"/>
    <w:semiHidden/>
    <w:unhideWhenUsed/>
    <w:qFormat/>
    <w:uiPriority w:val="99"/>
    <w:pPr>
      <w:jc w:val="left"/>
    </w:pPr>
  </w:style>
  <w:style w:type="paragraph" w:styleId="3">
    <w:name w:val="Plain Text"/>
    <w:basedOn w:val="1"/>
    <w:link w:val="19"/>
    <w:qFormat/>
    <w:uiPriority w:val="0"/>
    <w:pPr>
      <w:widowControl w:val="0"/>
    </w:pPr>
    <w:rPr>
      <w:rFonts w:ascii="宋体" w:hAnsi="Courier New"/>
      <w:kern w:val="2"/>
      <w:szCs w:val="20"/>
    </w:rPr>
  </w:style>
  <w:style w:type="paragraph" w:styleId="4">
    <w:name w:val="Date"/>
    <w:basedOn w:val="1"/>
    <w:next w:val="1"/>
    <w:link w:val="15"/>
    <w:semiHidden/>
    <w:unhideWhenUsed/>
    <w:qFormat/>
    <w:uiPriority w:val="99"/>
    <w:pPr>
      <w:ind w:left="100" w:leftChars="2500"/>
    </w:pPr>
  </w:style>
  <w:style w:type="paragraph" w:styleId="5">
    <w:name w:val="Balloon Text"/>
    <w:basedOn w:val="1"/>
    <w:link w:val="17"/>
    <w:semiHidden/>
    <w:qFormat/>
    <w:uiPriority w:val="99"/>
    <w:pPr>
      <w:widowControl w:val="0"/>
    </w:pPr>
    <w:rPr>
      <w:rFonts w:ascii="Calibri" w:hAnsi="Calibri" w:cs="Calibri"/>
      <w:kern w:val="2"/>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2"/>
    <w:next w:val="2"/>
    <w:link w:val="22"/>
    <w:semiHidden/>
    <w:unhideWhenUsed/>
    <w:qFormat/>
    <w:uiPriority w:val="99"/>
    <w:rPr>
      <w:b/>
      <w:bCs/>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annotation reference"/>
    <w:basedOn w:val="11"/>
    <w:semiHidden/>
    <w:unhideWhenUsed/>
    <w:qFormat/>
    <w:uiPriority w:val="99"/>
    <w:rPr>
      <w:sz w:val="21"/>
      <w:szCs w:val="21"/>
    </w:rPr>
  </w:style>
  <w:style w:type="character" w:customStyle="1" w:styleId="13">
    <w:name w:val="页眉 Char"/>
    <w:basedOn w:val="11"/>
    <w:link w:val="7"/>
    <w:qFormat/>
    <w:uiPriority w:val="99"/>
    <w:rPr>
      <w:rFonts w:ascii="Times New Roman" w:hAnsi="Times New Roman"/>
      <w:sz w:val="18"/>
      <w:szCs w:val="18"/>
    </w:rPr>
  </w:style>
  <w:style w:type="character" w:customStyle="1" w:styleId="14">
    <w:name w:val="页脚 Char"/>
    <w:basedOn w:val="11"/>
    <w:link w:val="6"/>
    <w:qFormat/>
    <w:uiPriority w:val="99"/>
    <w:rPr>
      <w:rFonts w:ascii="Times New Roman" w:hAnsi="Times New Roman"/>
      <w:sz w:val="18"/>
      <w:szCs w:val="18"/>
    </w:rPr>
  </w:style>
  <w:style w:type="character" w:customStyle="1" w:styleId="15">
    <w:name w:val="日期 Char"/>
    <w:basedOn w:val="11"/>
    <w:link w:val="4"/>
    <w:semiHidden/>
    <w:qFormat/>
    <w:uiPriority w:val="99"/>
    <w:rPr>
      <w:rFonts w:ascii="Times New Roman" w:hAnsi="Times New Roman"/>
      <w:sz w:val="21"/>
      <w:szCs w:val="21"/>
    </w:rPr>
  </w:style>
  <w:style w:type="paragraph" w:styleId="16">
    <w:name w:val="List Paragraph"/>
    <w:basedOn w:val="1"/>
    <w:qFormat/>
    <w:uiPriority w:val="34"/>
    <w:pPr>
      <w:widowControl w:val="0"/>
      <w:ind w:firstLine="420" w:firstLineChars="200"/>
    </w:pPr>
    <w:rPr>
      <w:rFonts w:ascii="Calibri" w:hAnsi="Calibri" w:cs="Calibri"/>
      <w:kern w:val="2"/>
    </w:rPr>
  </w:style>
  <w:style w:type="character" w:customStyle="1" w:styleId="17">
    <w:name w:val="批注框文本 Char"/>
    <w:basedOn w:val="11"/>
    <w:link w:val="5"/>
    <w:semiHidden/>
    <w:qFormat/>
    <w:uiPriority w:val="99"/>
    <w:rPr>
      <w:rFonts w:cs="Calibri"/>
      <w:kern w:val="2"/>
      <w:sz w:val="18"/>
      <w:szCs w:val="18"/>
    </w:rPr>
  </w:style>
  <w:style w:type="character" w:customStyle="1" w:styleId="18">
    <w:name w:val="批注框文本 Char1"/>
    <w:basedOn w:val="11"/>
    <w:semiHidden/>
    <w:qFormat/>
    <w:uiPriority w:val="99"/>
    <w:rPr>
      <w:rFonts w:ascii="Times New Roman" w:hAnsi="Times New Roman"/>
      <w:sz w:val="18"/>
      <w:szCs w:val="18"/>
    </w:rPr>
  </w:style>
  <w:style w:type="character" w:customStyle="1" w:styleId="19">
    <w:name w:val="纯文本 Char1"/>
    <w:link w:val="3"/>
    <w:qFormat/>
    <w:uiPriority w:val="0"/>
    <w:rPr>
      <w:rFonts w:ascii="宋体" w:hAnsi="Courier New"/>
      <w:kern w:val="2"/>
      <w:sz w:val="21"/>
    </w:rPr>
  </w:style>
  <w:style w:type="character" w:customStyle="1" w:styleId="20">
    <w:name w:val="纯文本 Char"/>
    <w:basedOn w:val="11"/>
    <w:semiHidden/>
    <w:qFormat/>
    <w:uiPriority w:val="99"/>
    <w:rPr>
      <w:rFonts w:ascii="宋体" w:hAnsi="Courier New" w:cs="Courier New"/>
      <w:sz w:val="21"/>
      <w:szCs w:val="21"/>
    </w:rPr>
  </w:style>
  <w:style w:type="character" w:customStyle="1" w:styleId="21">
    <w:name w:val="批注文字 Char"/>
    <w:basedOn w:val="11"/>
    <w:link w:val="2"/>
    <w:semiHidden/>
    <w:qFormat/>
    <w:uiPriority w:val="99"/>
    <w:rPr>
      <w:rFonts w:ascii="Times New Roman" w:hAnsi="Times New Roman"/>
      <w:sz w:val="21"/>
      <w:szCs w:val="21"/>
    </w:rPr>
  </w:style>
  <w:style w:type="character" w:customStyle="1" w:styleId="22">
    <w:name w:val="批注主题 Char"/>
    <w:basedOn w:val="21"/>
    <w:link w:val="8"/>
    <w:semiHidden/>
    <w:qFormat/>
    <w:uiPriority w:val="99"/>
    <w:rPr>
      <w:rFonts w:ascii="Times New Roman" w:hAnsi="Times New Roman"/>
      <w:b/>
      <w:bCs/>
      <w:sz w:val="21"/>
      <w:szCs w:val="21"/>
    </w:rPr>
  </w:style>
  <w:style w:type="paragraph" w:customStyle="1" w:styleId="23">
    <w:name w:val="修订1"/>
    <w:hidden/>
    <w:semiHidden/>
    <w:qFormat/>
    <w:uiPriority w:val="99"/>
    <w:rPr>
      <w:rFonts w:ascii="Times New Roman" w:hAnsi="Times New Roman" w:eastAsia="宋体" w:cs="Times New Roman"/>
      <w:sz w:val="21"/>
      <w:szCs w:val="21"/>
      <w:lang w:val="en-US" w:eastAsia="zh-CN" w:bidi="ar-SA"/>
    </w:rPr>
  </w:style>
  <w:style w:type="paragraph" w:customStyle="1" w:styleId="24">
    <w:name w:val="font58513"/>
    <w:basedOn w:val="1"/>
    <w:qFormat/>
    <w:uiPriority w:val="0"/>
    <w:pPr>
      <w:spacing w:before="100" w:beforeAutospacing="1" w:after="100" w:afterAutospacing="1"/>
      <w:jc w:val="left"/>
    </w:pPr>
    <w:rPr>
      <w:rFonts w:ascii="宋体" w:hAnsi="宋体" w:cs="宋体"/>
      <w:sz w:val="18"/>
      <w:szCs w:val="18"/>
    </w:rPr>
  </w:style>
  <w:style w:type="paragraph" w:customStyle="1" w:styleId="25">
    <w:name w:val="font68513"/>
    <w:basedOn w:val="1"/>
    <w:qFormat/>
    <w:uiPriority w:val="0"/>
    <w:pPr>
      <w:spacing w:before="100" w:beforeAutospacing="1" w:after="100" w:afterAutospacing="1"/>
      <w:jc w:val="left"/>
    </w:pPr>
    <w:rPr>
      <w:rFonts w:ascii="宋体" w:hAnsi="宋体" w:cs="宋体"/>
      <w:sz w:val="18"/>
      <w:szCs w:val="18"/>
    </w:rPr>
  </w:style>
  <w:style w:type="paragraph" w:customStyle="1" w:styleId="26">
    <w:name w:val="font78513"/>
    <w:basedOn w:val="1"/>
    <w:qFormat/>
    <w:uiPriority w:val="0"/>
    <w:pPr>
      <w:spacing w:before="100" w:beforeAutospacing="1" w:after="100" w:afterAutospacing="1"/>
      <w:jc w:val="left"/>
    </w:pPr>
    <w:rPr>
      <w:rFonts w:ascii="宋体" w:hAnsi="宋体" w:cs="宋体"/>
      <w:sz w:val="20"/>
      <w:szCs w:val="20"/>
    </w:rPr>
  </w:style>
  <w:style w:type="paragraph" w:customStyle="1" w:styleId="27">
    <w:name w:val="font88513"/>
    <w:basedOn w:val="1"/>
    <w:qFormat/>
    <w:uiPriority w:val="0"/>
    <w:pPr>
      <w:spacing w:before="100" w:beforeAutospacing="1" w:after="100" w:afterAutospacing="1"/>
      <w:jc w:val="left"/>
    </w:pPr>
    <w:rPr>
      <w:rFonts w:ascii="宋体" w:hAnsi="宋体" w:cs="宋体"/>
      <w:sz w:val="18"/>
      <w:szCs w:val="18"/>
    </w:rPr>
  </w:style>
  <w:style w:type="paragraph" w:customStyle="1" w:styleId="28">
    <w:name w:val="font98513"/>
    <w:basedOn w:val="1"/>
    <w:qFormat/>
    <w:uiPriority w:val="0"/>
    <w:pPr>
      <w:spacing w:before="100" w:beforeAutospacing="1" w:after="100" w:afterAutospacing="1"/>
      <w:jc w:val="left"/>
    </w:pPr>
    <w:rPr>
      <w:rFonts w:ascii="宋体" w:hAnsi="宋体" w:cs="宋体"/>
      <w:sz w:val="18"/>
      <w:szCs w:val="18"/>
    </w:rPr>
  </w:style>
  <w:style w:type="paragraph" w:customStyle="1" w:styleId="29">
    <w:name w:val="font108513"/>
    <w:basedOn w:val="1"/>
    <w:qFormat/>
    <w:uiPriority w:val="0"/>
    <w:pPr>
      <w:spacing w:before="100" w:beforeAutospacing="1" w:after="100" w:afterAutospacing="1"/>
      <w:jc w:val="left"/>
    </w:pPr>
    <w:rPr>
      <w:sz w:val="20"/>
      <w:szCs w:val="20"/>
    </w:rPr>
  </w:style>
  <w:style w:type="paragraph" w:customStyle="1" w:styleId="30">
    <w:name w:val="font118513"/>
    <w:basedOn w:val="1"/>
    <w:qFormat/>
    <w:uiPriority w:val="0"/>
    <w:pPr>
      <w:spacing w:before="100" w:beforeAutospacing="1" w:after="100" w:afterAutospacing="1"/>
      <w:jc w:val="left"/>
    </w:pPr>
    <w:rPr>
      <w:rFonts w:ascii="宋体" w:hAnsi="宋体" w:cs="宋体"/>
      <w:sz w:val="20"/>
      <w:szCs w:val="20"/>
    </w:rPr>
  </w:style>
  <w:style w:type="paragraph" w:customStyle="1" w:styleId="31">
    <w:name w:val="font128513"/>
    <w:basedOn w:val="1"/>
    <w:qFormat/>
    <w:uiPriority w:val="0"/>
    <w:pPr>
      <w:spacing w:before="100" w:beforeAutospacing="1" w:after="100" w:afterAutospacing="1"/>
      <w:jc w:val="left"/>
    </w:pPr>
    <w:rPr>
      <w:rFonts w:ascii="宋体" w:hAnsi="宋体" w:cs="宋体"/>
      <w:sz w:val="20"/>
      <w:szCs w:val="20"/>
    </w:rPr>
  </w:style>
  <w:style w:type="paragraph" w:customStyle="1" w:styleId="32">
    <w:name w:val="font138513"/>
    <w:basedOn w:val="1"/>
    <w:qFormat/>
    <w:uiPriority w:val="0"/>
    <w:pPr>
      <w:spacing w:before="100" w:beforeAutospacing="1" w:after="100" w:afterAutospacing="1"/>
      <w:jc w:val="left"/>
    </w:pPr>
    <w:rPr>
      <w:rFonts w:ascii="宋体" w:hAnsi="宋体" w:cs="宋体"/>
      <w:b/>
      <w:bCs/>
      <w:color w:val="000000"/>
      <w:sz w:val="28"/>
      <w:szCs w:val="28"/>
    </w:rPr>
  </w:style>
  <w:style w:type="paragraph" w:customStyle="1" w:styleId="33">
    <w:name w:val="font148513"/>
    <w:basedOn w:val="1"/>
    <w:qFormat/>
    <w:uiPriority w:val="0"/>
    <w:pPr>
      <w:spacing w:before="100" w:beforeAutospacing="1" w:after="100" w:afterAutospacing="1"/>
      <w:jc w:val="left"/>
    </w:pPr>
    <w:rPr>
      <w:rFonts w:ascii="宋体" w:hAnsi="宋体" w:cs="宋体"/>
      <w:b/>
      <w:bCs/>
      <w:color w:val="000000"/>
      <w:sz w:val="28"/>
      <w:szCs w:val="28"/>
      <w:u w:val="single"/>
    </w:rPr>
  </w:style>
  <w:style w:type="paragraph" w:customStyle="1" w:styleId="34">
    <w:name w:val="font158513"/>
    <w:basedOn w:val="1"/>
    <w:qFormat/>
    <w:uiPriority w:val="0"/>
    <w:pPr>
      <w:spacing w:before="100" w:beforeAutospacing="1" w:after="100" w:afterAutospacing="1"/>
      <w:jc w:val="left"/>
    </w:pPr>
    <w:rPr>
      <w:rFonts w:ascii="宋体" w:hAnsi="宋体" w:cs="宋体"/>
      <w:sz w:val="20"/>
      <w:szCs w:val="20"/>
    </w:rPr>
  </w:style>
  <w:style w:type="paragraph" w:customStyle="1" w:styleId="35">
    <w:name w:val="xl158513"/>
    <w:basedOn w:val="1"/>
    <w:qFormat/>
    <w:uiPriority w:val="0"/>
    <w:pPr>
      <w:spacing w:before="100" w:beforeAutospacing="1" w:after="100" w:afterAutospacing="1"/>
      <w:jc w:val="left"/>
      <w:textAlignment w:val="center"/>
    </w:pPr>
    <w:rPr>
      <w:rFonts w:ascii="宋体" w:hAnsi="宋体" w:cs="宋体"/>
      <w:color w:val="000000"/>
      <w:sz w:val="22"/>
      <w:szCs w:val="22"/>
    </w:rPr>
  </w:style>
  <w:style w:type="paragraph" w:customStyle="1" w:styleId="36">
    <w:name w:val="xl63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color w:val="000000"/>
      <w:sz w:val="22"/>
      <w:szCs w:val="22"/>
    </w:rPr>
  </w:style>
  <w:style w:type="paragraph" w:customStyle="1" w:styleId="37">
    <w:name w:val="xl64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color w:val="000000"/>
      <w:sz w:val="22"/>
      <w:szCs w:val="22"/>
    </w:rPr>
  </w:style>
  <w:style w:type="paragraph" w:customStyle="1" w:styleId="38">
    <w:name w:val="xl65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color w:val="000000"/>
      <w:sz w:val="22"/>
      <w:szCs w:val="22"/>
    </w:rPr>
  </w:style>
  <w:style w:type="paragraph" w:customStyle="1" w:styleId="39">
    <w:name w:val="xl66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b/>
      <w:bCs/>
      <w:color w:val="000000"/>
      <w:sz w:val="22"/>
      <w:szCs w:val="22"/>
    </w:rPr>
  </w:style>
  <w:style w:type="paragraph" w:customStyle="1" w:styleId="40">
    <w:name w:val="xl678513"/>
    <w:basedOn w:val="1"/>
    <w:qFormat/>
    <w:uiPriority w:val="0"/>
    <w:pPr>
      <w:spacing w:before="100" w:beforeAutospacing="1" w:after="100" w:afterAutospacing="1"/>
      <w:jc w:val="center"/>
      <w:textAlignment w:val="center"/>
    </w:pPr>
    <w:rPr>
      <w:rFonts w:ascii="宋体" w:hAnsi="宋体" w:cs="宋体"/>
      <w:color w:val="000000"/>
      <w:sz w:val="22"/>
      <w:szCs w:val="22"/>
    </w:rPr>
  </w:style>
  <w:style w:type="paragraph" w:customStyle="1" w:styleId="41">
    <w:name w:val="xl688513"/>
    <w:basedOn w:val="1"/>
    <w:qFormat/>
    <w:uiPriority w:val="0"/>
    <w:pPr>
      <w:spacing w:before="100" w:beforeAutospacing="1" w:after="100" w:afterAutospacing="1"/>
      <w:jc w:val="center"/>
      <w:textAlignment w:val="center"/>
    </w:pPr>
    <w:rPr>
      <w:rFonts w:ascii="宋体" w:hAnsi="宋体" w:cs="宋体"/>
      <w:color w:val="000000"/>
      <w:sz w:val="22"/>
      <w:szCs w:val="22"/>
    </w:rPr>
  </w:style>
  <w:style w:type="paragraph" w:customStyle="1" w:styleId="42">
    <w:name w:val="xl698513"/>
    <w:basedOn w:val="1"/>
    <w:qFormat/>
    <w:uiPriority w:val="0"/>
    <w:pPr>
      <w:spacing w:before="100" w:beforeAutospacing="1" w:after="100" w:afterAutospacing="1"/>
      <w:jc w:val="left"/>
      <w:textAlignment w:val="center"/>
    </w:pPr>
    <w:rPr>
      <w:rFonts w:ascii="宋体" w:hAnsi="宋体" w:cs="宋体"/>
      <w:b/>
      <w:bCs/>
      <w:color w:val="000000"/>
      <w:sz w:val="22"/>
      <w:szCs w:val="22"/>
    </w:rPr>
  </w:style>
  <w:style w:type="paragraph" w:customStyle="1" w:styleId="43">
    <w:name w:val="xl708513"/>
    <w:basedOn w:val="1"/>
    <w:qFormat/>
    <w:uiPriority w:val="0"/>
    <w:pPr>
      <w:spacing w:before="100" w:beforeAutospacing="1" w:after="100" w:afterAutospacing="1"/>
      <w:jc w:val="center"/>
      <w:textAlignment w:val="center"/>
    </w:pPr>
    <w:rPr>
      <w:rFonts w:ascii="宋体" w:hAnsi="宋体" w:cs="宋体"/>
      <w:b/>
      <w:bCs/>
      <w:color w:val="000000"/>
      <w:sz w:val="44"/>
      <w:szCs w:val="44"/>
    </w:rPr>
  </w:style>
  <w:style w:type="paragraph" w:customStyle="1" w:styleId="44">
    <w:name w:val="xl718513"/>
    <w:basedOn w:val="1"/>
    <w:qFormat/>
    <w:uiPriority w:val="0"/>
    <w:pPr>
      <w:spacing w:before="100" w:beforeAutospacing="1" w:after="100" w:afterAutospacing="1"/>
      <w:jc w:val="center"/>
      <w:textAlignment w:val="center"/>
    </w:pPr>
    <w:rPr>
      <w:rFonts w:ascii="宋体" w:hAnsi="宋体" w:cs="宋体"/>
      <w:b/>
      <w:bCs/>
      <w:color w:val="000000"/>
      <w:sz w:val="22"/>
      <w:szCs w:val="22"/>
    </w:rPr>
  </w:style>
  <w:style w:type="paragraph" w:customStyle="1" w:styleId="45">
    <w:name w:val="xl72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6">
    <w:name w:val="xl73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left"/>
      <w:textAlignment w:val="center"/>
    </w:pPr>
    <w:rPr>
      <w:rFonts w:ascii="宋体" w:hAnsi="宋体" w:cs="宋体"/>
      <w:sz w:val="22"/>
      <w:szCs w:val="22"/>
    </w:rPr>
  </w:style>
  <w:style w:type="paragraph" w:customStyle="1" w:styleId="47">
    <w:name w:val="xl748513"/>
    <w:basedOn w:val="1"/>
    <w:qFormat/>
    <w:uiPriority w:val="0"/>
    <w:pPr>
      <w:shd w:val="clear" w:color="000000" w:fill="FFFFFF"/>
      <w:spacing w:before="100" w:beforeAutospacing="1" w:after="100" w:afterAutospacing="1"/>
      <w:jc w:val="left"/>
      <w:textAlignment w:val="center"/>
    </w:pPr>
    <w:rPr>
      <w:rFonts w:ascii="宋体" w:hAnsi="宋体" w:cs="宋体"/>
      <w:sz w:val="22"/>
      <w:szCs w:val="22"/>
    </w:rPr>
  </w:style>
  <w:style w:type="paragraph" w:customStyle="1" w:styleId="48">
    <w:name w:val="xl75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top"/>
    </w:pPr>
    <w:rPr>
      <w:rFonts w:ascii="宋体" w:hAnsi="宋体" w:cs="宋体"/>
      <w:sz w:val="20"/>
      <w:szCs w:val="20"/>
    </w:rPr>
  </w:style>
  <w:style w:type="paragraph" w:customStyle="1" w:styleId="49">
    <w:name w:val="xl76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0">
    <w:name w:val="xl77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top"/>
    </w:pPr>
    <w:rPr>
      <w:sz w:val="20"/>
      <w:szCs w:val="20"/>
    </w:rPr>
  </w:style>
  <w:style w:type="paragraph" w:customStyle="1" w:styleId="51">
    <w:name w:val="xl788513"/>
    <w:basedOn w:val="1"/>
    <w:qFormat/>
    <w:uiPriority w:val="0"/>
    <w:pP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52">
    <w:name w:val="xl79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sz w:val="20"/>
      <w:szCs w:val="20"/>
    </w:rPr>
  </w:style>
  <w:style w:type="paragraph" w:customStyle="1" w:styleId="53">
    <w:name w:val="xl80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54">
    <w:name w:val="xl81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left"/>
      <w:textAlignment w:val="center"/>
    </w:pPr>
    <w:rPr>
      <w:rFonts w:ascii="宋体" w:hAnsi="宋体" w:cs="宋体"/>
      <w:sz w:val="20"/>
      <w:szCs w:val="20"/>
    </w:rPr>
  </w:style>
  <w:style w:type="paragraph" w:customStyle="1" w:styleId="55">
    <w:name w:val="xl82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6">
    <w:name w:val="xl838513"/>
    <w:basedOn w:val="1"/>
    <w:qFormat/>
    <w:uiPriority w:val="0"/>
    <w:pPr>
      <w:pBdr>
        <w:top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仿宋_GB2312" w:hAnsi="宋体" w:eastAsia="仿宋_GB2312" w:cs="宋体"/>
      <w:sz w:val="20"/>
      <w:szCs w:val="20"/>
    </w:rPr>
  </w:style>
  <w:style w:type="paragraph" w:customStyle="1" w:styleId="57">
    <w:name w:val="xl84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仿宋_GB2312" w:hAnsi="宋体" w:eastAsia="仿宋_GB2312" w:cs="宋体"/>
      <w:sz w:val="20"/>
      <w:szCs w:val="20"/>
    </w:rPr>
  </w:style>
  <w:style w:type="paragraph" w:customStyle="1" w:styleId="58">
    <w:name w:val="xl85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sz w:val="20"/>
      <w:szCs w:val="20"/>
    </w:rPr>
  </w:style>
  <w:style w:type="paragraph" w:customStyle="1" w:styleId="59">
    <w:name w:val="xl86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60">
    <w:name w:val="xl87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left"/>
      <w:textAlignment w:val="center"/>
    </w:pPr>
    <w:rPr>
      <w:rFonts w:ascii="宋体" w:hAnsi="宋体" w:cs="宋体"/>
      <w:sz w:val="22"/>
      <w:szCs w:val="22"/>
    </w:rPr>
  </w:style>
  <w:style w:type="paragraph" w:customStyle="1" w:styleId="61">
    <w:name w:val="xl88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color w:val="FF0000"/>
      <w:sz w:val="22"/>
      <w:szCs w:val="22"/>
    </w:rPr>
  </w:style>
  <w:style w:type="paragraph" w:customStyle="1" w:styleId="62">
    <w:name w:val="xl898513"/>
    <w:basedOn w:val="1"/>
    <w:qFormat/>
    <w:uiPriority w:val="0"/>
    <w:pPr>
      <w:spacing w:before="100" w:beforeAutospacing="1" w:after="100" w:afterAutospacing="1"/>
      <w:jc w:val="center"/>
      <w:textAlignment w:val="center"/>
    </w:pPr>
    <w:rPr>
      <w:rFonts w:ascii="宋体" w:hAnsi="宋体" w:cs="宋体"/>
      <w:color w:val="FF0000"/>
      <w:sz w:val="22"/>
      <w:szCs w:val="22"/>
    </w:rPr>
  </w:style>
  <w:style w:type="paragraph" w:customStyle="1" w:styleId="63">
    <w:name w:val="xl90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color w:val="FF0000"/>
      <w:sz w:val="22"/>
      <w:szCs w:val="22"/>
    </w:rPr>
  </w:style>
  <w:style w:type="paragraph" w:customStyle="1" w:styleId="64">
    <w:name w:val="xl91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left"/>
      <w:textAlignment w:val="center"/>
    </w:pPr>
    <w:rPr>
      <w:rFonts w:ascii="宋体" w:hAnsi="宋体" w:cs="宋体"/>
      <w:sz w:val="20"/>
      <w:szCs w:val="20"/>
    </w:rPr>
  </w:style>
  <w:style w:type="paragraph" w:customStyle="1" w:styleId="65">
    <w:name w:val="xl92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left"/>
      <w:textAlignment w:val="center"/>
    </w:pPr>
    <w:rPr>
      <w:rFonts w:ascii="宋体" w:hAnsi="宋体" w:cs="宋体"/>
      <w:color w:val="FF0000"/>
      <w:sz w:val="22"/>
      <w:szCs w:val="22"/>
    </w:rPr>
  </w:style>
  <w:style w:type="paragraph" w:customStyle="1" w:styleId="66">
    <w:name w:val="xl93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67">
    <w:name w:val="xl94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68">
    <w:name w:val="xl95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69">
    <w:name w:val="xl96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sz w:val="20"/>
      <w:szCs w:val="20"/>
    </w:rPr>
  </w:style>
  <w:style w:type="paragraph" w:customStyle="1" w:styleId="70">
    <w:name w:val="xl97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sz w:val="20"/>
      <w:szCs w:val="20"/>
    </w:rPr>
  </w:style>
  <w:style w:type="paragraph" w:customStyle="1" w:styleId="71">
    <w:name w:val="xl98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sz w:val="20"/>
      <w:szCs w:val="20"/>
    </w:rPr>
  </w:style>
  <w:style w:type="paragraph" w:customStyle="1" w:styleId="72">
    <w:name w:val="xl99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73">
    <w:name w:val="xl100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74">
    <w:name w:val="xl101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75">
    <w:name w:val="xl102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76">
    <w:name w:val="xl103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77">
    <w:name w:val="xl104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78">
    <w:name w:val="xl1058513"/>
    <w:basedOn w:val="1"/>
    <w:qFormat/>
    <w:uiPriority w:val="0"/>
    <w:pPr>
      <w:pBdr>
        <w:top w:val="single" w:color="auto" w:sz="4" w:space="1"/>
        <w:left w:val="single" w:color="auto" w:sz="4" w:space="1"/>
      </w:pBdr>
      <w:spacing w:before="100" w:beforeAutospacing="1" w:after="100" w:afterAutospacing="1"/>
      <w:jc w:val="center"/>
      <w:textAlignment w:val="center"/>
    </w:pPr>
    <w:rPr>
      <w:rFonts w:ascii="宋体" w:hAnsi="宋体" w:cs="宋体"/>
      <w:b/>
      <w:bCs/>
      <w:color w:val="000000"/>
      <w:sz w:val="44"/>
      <w:szCs w:val="44"/>
    </w:rPr>
  </w:style>
  <w:style w:type="paragraph" w:customStyle="1" w:styleId="79">
    <w:name w:val="xl1068513"/>
    <w:basedOn w:val="1"/>
    <w:qFormat/>
    <w:uiPriority w:val="0"/>
    <w:pPr>
      <w:pBdr>
        <w:top w:val="single" w:color="auto" w:sz="4" w:space="1"/>
      </w:pBdr>
      <w:spacing w:before="100" w:beforeAutospacing="1" w:after="100" w:afterAutospacing="1"/>
      <w:jc w:val="center"/>
      <w:textAlignment w:val="center"/>
    </w:pPr>
    <w:rPr>
      <w:rFonts w:ascii="宋体" w:hAnsi="宋体" w:cs="宋体"/>
      <w:b/>
      <w:bCs/>
      <w:color w:val="000000"/>
      <w:sz w:val="44"/>
      <w:szCs w:val="44"/>
    </w:rPr>
  </w:style>
  <w:style w:type="paragraph" w:customStyle="1" w:styleId="80">
    <w:name w:val="xl1078513"/>
    <w:basedOn w:val="1"/>
    <w:qFormat/>
    <w:uiPriority w:val="0"/>
    <w:pPr>
      <w:pBdr>
        <w:top w:val="single" w:color="auto" w:sz="4" w:space="1"/>
        <w:right w:val="single" w:color="auto" w:sz="4" w:space="1"/>
      </w:pBdr>
      <w:spacing w:before="100" w:beforeAutospacing="1" w:after="100" w:afterAutospacing="1"/>
      <w:jc w:val="center"/>
      <w:textAlignment w:val="center"/>
    </w:pPr>
    <w:rPr>
      <w:rFonts w:ascii="宋体" w:hAnsi="宋体" w:cs="宋体"/>
      <w:b/>
      <w:bCs/>
      <w:color w:val="000000"/>
      <w:sz w:val="44"/>
      <w:szCs w:val="44"/>
    </w:rPr>
  </w:style>
  <w:style w:type="paragraph" w:customStyle="1" w:styleId="81">
    <w:name w:val="xl108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82">
    <w:name w:val="xl109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83">
    <w:name w:val="xl110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84">
    <w:name w:val="xl1118513"/>
    <w:basedOn w:val="1"/>
    <w:qFormat/>
    <w:uiPriority w:val="0"/>
    <w:pPr>
      <w:pBdr>
        <w:top w:val="single" w:color="auto" w:sz="4" w:space="1"/>
        <w:left w:val="single" w:color="auto" w:sz="4" w:space="1"/>
        <w:bottom w:val="single" w:color="auto" w:sz="4" w:space="0"/>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85">
    <w:name w:val="xl1128513"/>
    <w:basedOn w:val="1"/>
    <w:qFormat/>
    <w:uiPriority w:val="0"/>
    <w:pPr>
      <w:pBdr>
        <w:top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86">
    <w:name w:val="xl1138513"/>
    <w:basedOn w:val="1"/>
    <w:qFormat/>
    <w:uiPriority w:val="0"/>
    <w:pPr>
      <w:pBdr>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87">
    <w:name w:val="xl114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88">
    <w:name w:val="xl115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89">
    <w:name w:val="xl116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sz w:val="22"/>
      <w:szCs w:val="22"/>
    </w:rPr>
  </w:style>
  <w:style w:type="paragraph" w:customStyle="1" w:styleId="90">
    <w:name w:val="xl1178513"/>
    <w:basedOn w:val="1"/>
    <w:qFormat/>
    <w:uiPriority w:val="0"/>
    <w:pPr>
      <w:pBdr>
        <w:top w:val="single" w:color="auto" w:sz="4" w:space="1"/>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91">
    <w:name w:val="xl1188513"/>
    <w:basedOn w:val="1"/>
    <w:qFormat/>
    <w:uiPriority w:val="0"/>
    <w:pPr>
      <w:pBdr>
        <w:left w:val="single" w:color="auto" w:sz="4" w:space="1"/>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92">
    <w:name w:val="xl1198513"/>
    <w:basedOn w:val="1"/>
    <w:qFormat/>
    <w:uiPriority w:val="0"/>
    <w:pPr>
      <w:pBdr>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93">
    <w:name w:val="xl120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color w:val="000000"/>
      <w:sz w:val="22"/>
      <w:szCs w:val="22"/>
    </w:rPr>
  </w:style>
  <w:style w:type="paragraph" w:customStyle="1" w:styleId="94">
    <w:name w:val="xl1218513"/>
    <w:basedOn w:val="1"/>
    <w:qFormat/>
    <w:uiPriority w:val="0"/>
    <w:pPr>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b/>
      <w:bCs/>
      <w:color w:val="000000"/>
      <w:sz w:val="28"/>
      <w:szCs w:val="28"/>
    </w:rPr>
  </w:style>
  <w:style w:type="paragraph" w:customStyle="1" w:styleId="95">
    <w:name w:val="xl1228513"/>
    <w:basedOn w:val="1"/>
    <w:qFormat/>
    <w:uiPriority w:val="0"/>
    <w:pPr>
      <w:pBdr>
        <w:top w:val="single" w:color="auto" w:sz="4" w:space="1"/>
        <w:left w:val="single" w:color="auto" w:sz="4" w:space="1"/>
        <w:bottom w:val="single" w:color="auto" w:sz="4" w:space="0"/>
        <w:right w:val="single" w:color="auto" w:sz="4" w:space="1"/>
      </w:pBdr>
      <w:shd w:val="clear" w:color="000000" w:fill="FFFFFF"/>
      <w:spacing w:before="100" w:beforeAutospacing="1" w:after="100" w:afterAutospacing="1"/>
      <w:jc w:val="center"/>
      <w:textAlignment w:val="center"/>
    </w:pPr>
    <w:rPr>
      <w:rFonts w:ascii="宋体" w:hAnsi="宋体" w:cs="宋体"/>
      <w:b/>
      <w:bCs/>
      <w:sz w:val="22"/>
      <w:szCs w:val="22"/>
    </w:rPr>
  </w:style>
  <w:style w:type="paragraph" w:customStyle="1" w:styleId="96">
    <w:name w:val="修订2"/>
    <w:hidden/>
    <w:unhideWhenUsed/>
    <w:qFormat/>
    <w:uiPriority w:val="99"/>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神州网信技术有限公司</Company>
  <Pages>93</Pages>
  <Words>8902</Words>
  <Characters>50747</Characters>
  <Lines>422</Lines>
  <Paragraphs>119</Paragraphs>
  <TotalTime>0</TotalTime>
  <ScaleCrop>false</ScaleCrop>
  <LinksUpToDate>false</LinksUpToDate>
  <CharactersWithSpaces>59530</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2025-12-16T17:00:00Z</dcterms:created>
  <dc:creator>毛伟</dc:creator>
  <cp:lastModifiedBy>吴昀霖</cp:lastModifiedBy>
  <cp:lastPrinted>2025-12-12T17:36:00Z</cp:lastPrinted>
  <dcterms:modified xsi:type="dcterms:W3CDTF">2026-01-09T15:55:48Z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97B1C3BF600E3D49826E60692F94EE3C_43</vt:lpwstr>
  </property>
  <property fmtid="{D5CDD505-2E9C-101B-9397-08002B2CF9AE}" pid="4" name="KSOTemplateDocerSaveRecord">
    <vt:lpwstr>eyJoZGlkIjoiNjY2MTg5NDYzNjY1NTk3MDQ5ZDFkNjUzOGM4ZThhNDIiLCJ1c2VySWQiOiI0NTQzMjk0OTEifQ==</vt:lpwstr>
  </property>
</Properties>
</file>