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28ECA">
      <w:pPr>
        <w:spacing w:before="480" w:after="480" w:line="288" w:lineRule="auto"/>
        <w:ind w:left="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52"/>
        </w:rPr>
        <w:t>AI基础能力及应用拓展服务需求说明书</w:t>
      </w:r>
    </w:p>
    <w:p w14:paraId="046F5ABE">
      <w:pPr>
        <w:spacing w:before="320" w:after="120" w:line="288" w:lineRule="auto"/>
        <w:ind w:left="0"/>
        <w:jc w:val="left"/>
        <w:outlineLvl w:val="1"/>
        <w:rPr>
          <w:rFonts w:hint="eastAsia" w:asciiTheme="minorEastAsia" w:hAnsiTheme="minorEastAsia" w:eastAsiaTheme="minorEastAsia" w:cstheme="minorEastAsia"/>
        </w:rPr>
      </w:pPr>
      <w:bookmarkStart w:id="0" w:name="heading_0"/>
      <w:r>
        <w:rPr>
          <w:rFonts w:hint="eastAsia" w:asciiTheme="minorEastAsia" w:hAnsiTheme="minorEastAsia" w:eastAsiaTheme="minorEastAsia" w:cstheme="minorEastAsia"/>
          <w:b/>
          <w:sz w:val="32"/>
        </w:rPr>
        <w:t>一、背景及目标</w:t>
      </w:r>
      <w:bookmarkEnd w:id="0"/>
    </w:p>
    <w:p w14:paraId="3F33B5E8">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为贯彻落实《教育强国建设规划纲要（2024—2035年）》，以教育数字化为核心突破口，开辟教育发展新赛道、塑造发展新优势，全面支撑教育强国建设，上海开放大学（以下简称“上海开大”）积极响应教育部等九部门《关于加快推进教育数字化的意见》中“坚持数字赋能，推动教育理念、教学模式和教育治理整体性变革”的总体要求，加速推进教育数字化转型。依据《上海开放大学全面深化综合改革方案》相关部署：“强化技术赋能，推进AI赋能教育教学全过程和人才培养模式改革。持续完善在线学历学习平台功能，打造智慧教学应用场景，推广智能学习辅导，推进精准化、个性化、智能化教学。建立学情诊断、预警和反馈机制，完善学生支持服务网络。”</w:t>
      </w:r>
    </w:p>
    <w:p w14:paraId="5E388CFE">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目前上海</w:t>
      </w:r>
      <w:r>
        <w:rPr>
          <w:rFonts w:hint="eastAsia" w:asciiTheme="minorEastAsia" w:hAnsiTheme="minorEastAsia" w:eastAsiaTheme="minorEastAsia" w:cstheme="minorEastAsia"/>
          <w:sz w:val="22"/>
          <w:lang w:val="en-US" w:eastAsia="zh-CN"/>
        </w:rPr>
        <w:t>开放大学</w:t>
      </w:r>
      <w:r>
        <w:rPr>
          <w:rFonts w:hint="eastAsia" w:asciiTheme="minorEastAsia" w:hAnsiTheme="minorEastAsia" w:eastAsiaTheme="minorEastAsia" w:cstheme="minorEastAsia"/>
          <w:sz w:val="22"/>
        </w:rPr>
        <w:t>已搭建教育教学智能化技术底座，AI技术已初步落地师生教与学全环节各类场景，完成AI空间基础建设，可支撑智能体应用开发、定制化系统配置及多平台资源整合，为师生提供基础数字化学习支持服务。</w:t>
      </w:r>
    </w:p>
    <w:p w14:paraId="14114B56">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随着教育数字化转型向纵深推进，现有技术体系已无法满足自然语言处理、视觉理解、语音交互等多模态大模型在教育场景的深度应用需求。在教学资源管理与利用层面，课程知识的结构化、图谱化程度亟待提升；在全流程智能化覆盖层面，亟需构建“全流程教育陪伴”体系，进一步优化学习体验、提高学业完成率。</w:t>
      </w:r>
    </w:p>
    <w:p w14:paraId="20AD1F9C">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综上，学校亟需整合大模型、多模态、大模型知识处理、智能体等前沿技术，突破传统教育资源生成与管理的效率瓶颈，构建覆盖多模态大模型能力、智能交互空间、知识图谱应用、全流程教育陪伴的可扩展AI基础能力体系，解决技术支撑与业务需求不匹配的核心问题，推动教育教学从“工具赋能”向“AI重构”跨越，为全民终身学习提供高质量、个性化智能服务。</w:t>
      </w:r>
    </w:p>
    <w:p w14:paraId="3078D933">
      <w:pPr>
        <w:spacing w:before="320" w:after="120" w:line="288" w:lineRule="auto"/>
        <w:ind w:left="0"/>
        <w:jc w:val="left"/>
        <w:outlineLvl w:val="1"/>
        <w:rPr>
          <w:rFonts w:hint="eastAsia" w:asciiTheme="minorEastAsia" w:hAnsiTheme="minorEastAsia" w:eastAsiaTheme="minorEastAsia" w:cstheme="minorEastAsia"/>
        </w:rPr>
      </w:pPr>
      <w:bookmarkStart w:id="1" w:name="heading_1"/>
      <w:r>
        <w:rPr>
          <w:rFonts w:hint="eastAsia" w:asciiTheme="minorEastAsia" w:hAnsiTheme="minorEastAsia" w:eastAsiaTheme="minorEastAsia" w:cstheme="minorEastAsia"/>
          <w:b/>
          <w:sz w:val="32"/>
        </w:rPr>
        <w:t>二、服务要求</w:t>
      </w:r>
      <w:bookmarkEnd w:id="1"/>
    </w:p>
    <w:p w14:paraId="725438BB">
      <w:pPr>
        <w:spacing w:before="300" w:after="120" w:line="288" w:lineRule="auto"/>
        <w:ind w:left="0"/>
        <w:jc w:val="left"/>
        <w:outlineLvl w:val="2"/>
        <w:rPr>
          <w:rFonts w:hint="eastAsia" w:asciiTheme="minorEastAsia" w:hAnsiTheme="minorEastAsia" w:eastAsiaTheme="minorEastAsia" w:cstheme="minorEastAsia"/>
        </w:rPr>
      </w:pPr>
      <w:bookmarkStart w:id="2" w:name="heading_2"/>
      <w:r>
        <w:rPr>
          <w:rFonts w:hint="eastAsia" w:asciiTheme="minorEastAsia" w:hAnsiTheme="minorEastAsia" w:eastAsiaTheme="minorEastAsia" w:cstheme="minorEastAsia"/>
          <w:b/>
          <w:sz w:val="30"/>
        </w:rPr>
        <w:t>1. 常规服务类</w:t>
      </w:r>
      <w:bookmarkEnd w:id="2"/>
    </w:p>
    <w:p w14:paraId="501EC238">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基于上海开大现有智能体中台提供以下技术服务：</w:t>
      </w:r>
    </w:p>
    <w:p w14:paraId="3256BB2C">
      <w:pPr>
        <w:spacing w:before="260" w:after="120" w:line="288" w:lineRule="auto"/>
        <w:ind w:left="0"/>
        <w:jc w:val="left"/>
        <w:outlineLvl w:val="3"/>
        <w:rPr>
          <w:rFonts w:hint="eastAsia" w:asciiTheme="minorEastAsia" w:hAnsiTheme="minorEastAsia" w:eastAsiaTheme="minorEastAsia" w:cstheme="minorEastAsia"/>
        </w:rPr>
      </w:pPr>
      <w:bookmarkStart w:id="3" w:name="heading_3"/>
      <w:r>
        <w:rPr>
          <w:rFonts w:hint="eastAsia" w:asciiTheme="minorEastAsia" w:hAnsiTheme="minorEastAsia" w:eastAsiaTheme="minorEastAsia" w:cstheme="minorEastAsia"/>
          <w:b/>
          <w:sz w:val="28"/>
        </w:rPr>
        <w:t>（1）多元大模型动态适配服务</w:t>
      </w:r>
      <w:bookmarkEnd w:id="3"/>
    </w:p>
    <w:p w14:paraId="7F707D0A">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统一大模型调度服务，接入大语言模型、语音大模型、视觉大模型等主流商用模型；根据上海开大师生使用规模测算，配套足额Token资源包，保障全校常态化使用。提供适配上海开大教育场景的中间件，基于学校智能体搭建实践经验，构建上海开大特色Prompt模板库，包含百余种教学对话模板、数十种学术指导指令集，实现通用大模型的教育场景快速适配，形成“基础模型+场景插件”的弹性服务架构。</w:t>
      </w:r>
    </w:p>
    <w:p w14:paraId="01558F55">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支持上述插件的按需拓展、授权开通与运维服务，各模型能力要求如下：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760"/>
        <w:gridCol w:w="2760"/>
        <w:gridCol w:w="2760"/>
      </w:tblGrid>
      <w:tr w14:paraId="214A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CD119E8">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分类</w:t>
            </w:r>
          </w:p>
        </w:tc>
        <w:tc>
          <w:tcPr>
            <w:tcW w:w="2760" w:type="dxa"/>
            <w:tcMar>
              <w:top w:w="60" w:type="dxa"/>
              <w:left w:w="120" w:type="dxa"/>
              <w:bottom w:w="30" w:type="dxa"/>
              <w:right w:w="120" w:type="dxa"/>
            </w:tcMar>
          </w:tcPr>
          <w:p w14:paraId="357D698B">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模型类型</w:t>
            </w:r>
          </w:p>
        </w:tc>
        <w:tc>
          <w:tcPr>
            <w:tcW w:w="2760" w:type="dxa"/>
            <w:tcMar>
              <w:top w:w="60" w:type="dxa"/>
              <w:left w:w="120" w:type="dxa"/>
              <w:bottom w:w="30" w:type="dxa"/>
              <w:right w:w="120" w:type="dxa"/>
            </w:tcMar>
          </w:tcPr>
          <w:p w14:paraId="690C6F63">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核心能力要求</w:t>
            </w:r>
          </w:p>
        </w:tc>
      </w:tr>
      <w:tr w14:paraId="5B6F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048FB6C">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通用模型</w:t>
            </w:r>
          </w:p>
        </w:tc>
        <w:tc>
          <w:tcPr>
            <w:tcW w:w="2760" w:type="dxa"/>
            <w:tcMar>
              <w:top w:w="60" w:type="dxa"/>
              <w:left w:w="120" w:type="dxa"/>
              <w:bottom w:w="30" w:type="dxa"/>
              <w:right w:w="120" w:type="dxa"/>
            </w:tcMar>
          </w:tcPr>
          <w:p w14:paraId="4E3E749D">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大语言模型</w:t>
            </w:r>
          </w:p>
        </w:tc>
        <w:tc>
          <w:tcPr>
            <w:tcW w:w="2760" w:type="dxa"/>
            <w:tcMar>
              <w:top w:w="60" w:type="dxa"/>
              <w:left w:w="120" w:type="dxa"/>
              <w:bottom w:w="30" w:type="dxa"/>
              <w:right w:w="120" w:type="dxa"/>
            </w:tcMar>
          </w:tcPr>
          <w:p w14:paraId="3C41B2A6">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提供通用大模型基础服务及后续版本迭代升级支持。</w:t>
            </w:r>
          </w:p>
        </w:tc>
      </w:tr>
      <w:tr w14:paraId="3A70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4F60467">
            <w:pPr>
              <w:rPr>
                <w:rFonts w:hint="eastAsia" w:asciiTheme="minorEastAsia" w:hAnsiTheme="minorEastAsia" w:eastAsiaTheme="minorEastAsia" w:cstheme="minorEastAsia"/>
              </w:rPr>
            </w:pPr>
          </w:p>
        </w:tc>
        <w:tc>
          <w:tcPr>
            <w:tcW w:w="2760" w:type="dxa"/>
            <w:tcMar>
              <w:top w:w="60" w:type="dxa"/>
              <w:left w:w="120" w:type="dxa"/>
              <w:bottom w:w="30" w:type="dxa"/>
              <w:right w:w="120" w:type="dxa"/>
            </w:tcMar>
          </w:tcPr>
          <w:p w14:paraId="00BE41CD">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多模态通用模型</w:t>
            </w:r>
          </w:p>
        </w:tc>
        <w:tc>
          <w:tcPr>
            <w:tcW w:w="2760" w:type="dxa"/>
            <w:tcMar>
              <w:top w:w="60" w:type="dxa"/>
              <w:left w:w="120" w:type="dxa"/>
              <w:bottom w:w="30" w:type="dxa"/>
              <w:right w:w="120" w:type="dxa"/>
            </w:tcMar>
          </w:tcPr>
          <w:p w14:paraId="65B6758C">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1. 多模态处理：支持文本、图片、视频等多模态内容的统一输入与语义理解，具备强多模态信息融合能力，可满足教学、科研、管理场景下的内容理解、资料分析、图文推理、视频内容识别、问答交互与文本生成需求；具备复杂指令理解、多约束条件处理、多步推理与长链路任务执行能力，复杂场景下稳定性与准确性达标。2. 工具调用：提供具备工具调用能力的模型版本，优化任务解析、参数理解、调用规划与结果整合能力，可基于自然语言指令完成外部工具调用与任务编排，适配智能体、流程协同及复杂任务执行场景。3. 长文本处理：模型上下文窗口支持256K及以上，可支撑长文档阅读、全文总结、资料归并、复杂对话、多轮推理等场景，兼顾长上下文内容保留能力与分析精度。4. 深度思考：支持深度思考模式，可在回复前对复杂问题进行拆解、分析与推理，适配复杂问答、内容分析、任务规划等高难度场景，支持按需开启/关闭该能力，平衡不同业务场景的效果与时延要求。</w:t>
            </w:r>
          </w:p>
        </w:tc>
      </w:tr>
      <w:tr w14:paraId="1095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9AD54BA">
            <w:pPr>
              <w:rPr>
                <w:rFonts w:hint="eastAsia" w:asciiTheme="minorEastAsia" w:hAnsiTheme="minorEastAsia" w:eastAsiaTheme="minorEastAsia" w:cstheme="minorEastAsia"/>
              </w:rPr>
            </w:pPr>
          </w:p>
        </w:tc>
        <w:tc>
          <w:tcPr>
            <w:tcW w:w="2760" w:type="dxa"/>
            <w:tcMar>
              <w:top w:w="60" w:type="dxa"/>
              <w:left w:w="120" w:type="dxa"/>
              <w:bottom w:w="30" w:type="dxa"/>
              <w:right w:w="120" w:type="dxa"/>
            </w:tcMar>
          </w:tcPr>
          <w:p w14:paraId="5621D6F7">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嵌入模型</w:t>
            </w:r>
          </w:p>
        </w:tc>
        <w:tc>
          <w:tcPr>
            <w:tcW w:w="2760" w:type="dxa"/>
            <w:tcMar>
              <w:top w:w="60" w:type="dxa"/>
              <w:left w:w="120" w:type="dxa"/>
              <w:bottom w:w="30" w:type="dxa"/>
              <w:right w:w="120" w:type="dxa"/>
            </w:tcMar>
          </w:tcPr>
          <w:p w14:paraId="50A1591D">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1. 语义表征：可将文本转化为高维向量，保证相似语义文本在向量空间中距离相近，支撑语义搜索、相似性比对等任务。2. 多语言支持：支持多语种文本向量化转换，且保持语义一致性。3. 性能要求：具备大规模数据高效处理能力，可快速完成批量文本向量化，对输入文本长度具备良好适应性。</w:t>
            </w:r>
          </w:p>
        </w:tc>
      </w:tr>
      <w:tr w14:paraId="3355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0296C56">
            <w:pPr>
              <w:rPr>
                <w:rFonts w:hint="eastAsia" w:asciiTheme="minorEastAsia" w:hAnsiTheme="minorEastAsia" w:eastAsiaTheme="minorEastAsia" w:cstheme="minorEastAsia"/>
              </w:rPr>
            </w:pPr>
          </w:p>
        </w:tc>
        <w:tc>
          <w:tcPr>
            <w:tcW w:w="2760" w:type="dxa"/>
            <w:tcMar>
              <w:top w:w="60" w:type="dxa"/>
              <w:left w:w="120" w:type="dxa"/>
              <w:bottom w:w="30" w:type="dxa"/>
              <w:right w:w="120" w:type="dxa"/>
            </w:tcMar>
          </w:tcPr>
          <w:p w14:paraId="5F615D59">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重排序能力</w:t>
            </w:r>
          </w:p>
        </w:tc>
        <w:tc>
          <w:tcPr>
            <w:tcW w:w="2760" w:type="dxa"/>
            <w:tcMar>
              <w:top w:w="60" w:type="dxa"/>
              <w:left w:w="120" w:type="dxa"/>
              <w:bottom w:w="30" w:type="dxa"/>
              <w:right w:w="120" w:type="dxa"/>
            </w:tcMar>
          </w:tcPr>
          <w:p w14:paraId="4B11DF6F">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1. 精度提升：对初步检索结果进行二次相关性打分与重排序，支持仅基于正文、结合标题与正文两种评分模式，适配不同类型文档与知识组织方式，显著提升目标信息获取准确率。2. 场景适配：具备强语义理解能力，支持多语言文本排序，适配常规文本、长文本及知识问答场景；支持按需设置重排序候选数量，在保证召回充分性的前提下优化结果相关性。3. 性能优化：兼顾排序精度与处理效率，支持批量候选内容统一打分排序，单次请求支持不少于50条候选内容参与重排；可与检索召回环节协同配置，平衡检索效果与响应时延，满足实时检索与问答需求。</w:t>
            </w:r>
          </w:p>
        </w:tc>
      </w:tr>
      <w:tr w14:paraId="304C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A7D6721">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多模态模型</w:t>
            </w:r>
          </w:p>
        </w:tc>
        <w:tc>
          <w:tcPr>
            <w:tcW w:w="2760" w:type="dxa"/>
            <w:tcMar>
              <w:top w:w="60" w:type="dxa"/>
              <w:left w:w="120" w:type="dxa"/>
              <w:bottom w:w="30" w:type="dxa"/>
              <w:right w:w="120" w:type="dxa"/>
            </w:tcMar>
          </w:tcPr>
          <w:p w14:paraId="7C50264E">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文生图模型</w:t>
            </w:r>
          </w:p>
        </w:tc>
        <w:tc>
          <w:tcPr>
            <w:tcW w:w="2760" w:type="dxa"/>
            <w:tcMar>
              <w:top w:w="60" w:type="dxa"/>
              <w:left w:w="120" w:type="dxa"/>
              <w:bottom w:w="30" w:type="dxa"/>
              <w:right w:w="120" w:type="dxa"/>
            </w:tcMar>
          </w:tcPr>
          <w:p w14:paraId="4842FB80">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可精准理解用户文本指令，生成符合语义要求、画面质量优良、创意表现力强的图像内容，适配教学素材制作、课件配图、创意设计、学习作品辅助生成等场景；支持文生图、参考图生图、图片编辑、组图生成、多参考图融合生图等能力，满足多样化内容创作需求。</w:t>
            </w:r>
          </w:p>
        </w:tc>
      </w:tr>
      <w:tr w14:paraId="431D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EC17C53">
            <w:pPr>
              <w:rPr>
                <w:rFonts w:hint="eastAsia" w:asciiTheme="minorEastAsia" w:hAnsiTheme="minorEastAsia" w:eastAsiaTheme="minorEastAsia" w:cstheme="minorEastAsia"/>
              </w:rPr>
            </w:pPr>
          </w:p>
        </w:tc>
        <w:tc>
          <w:tcPr>
            <w:tcW w:w="2760" w:type="dxa"/>
            <w:tcMar>
              <w:top w:w="60" w:type="dxa"/>
              <w:left w:w="120" w:type="dxa"/>
              <w:bottom w:w="30" w:type="dxa"/>
              <w:right w:w="120" w:type="dxa"/>
            </w:tcMar>
          </w:tcPr>
          <w:p w14:paraId="3D3167C0">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视频生成模型</w:t>
            </w:r>
          </w:p>
        </w:tc>
        <w:tc>
          <w:tcPr>
            <w:tcW w:w="2760" w:type="dxa"/>
            <w:tcMar>
              <w:top w:w="60" w:type="dxa"/>
              <w:left w:w="120" w:type="dxa"/>
              <w:bottom w:w="30" w:type="dxa"/>
              <w:right w:w="120" w:type="dxa"/>
            </w:tcMar>
          </w:tcPr>
          <w:p w14:paraId="06012A78">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视频生成模型服务，支持最低20路并发；支持基于文本、图片、视频、音频等多模态内容生成视频，具备强多模态内容理解与生成能力，可生成符合语义要求的视频内容，满足教学演示、课程素材制作、宣传内容创作、学生作品生成等场景；具备优秀的参考一致性能力，可精准保留参考素材的主体特征、场景信息、风格要素与内容设定；具备良好的视听稳定性，保证连续生成场景下画面自然、真实、可用。</w:t>
            </w:r>
          </w:p>
        </w:tc>
      </w:tr>
      <w:tr w14:paraId="5A73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2FC820C">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语音交互模型</w:t>
            </w:r>
          </w:p>
        </w:tc>
        <w:tc>
          <w:tcPr>
            <w:tcW w:w="2760" w:type="dxa"/>
            <w:tcMar>
              <w:top w:w="60" w:type="dxa"/>
              <w:left w:w="120" w:type="dxa"/>
              <w:bottom w:w="30" w:type="dxa"/>
              <w:right w:w="120" w:type="dxa"/>
            </w:tcMar>
          </w:tcPr>
          <w:p w14:paraId="2D21EC20">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语音合成大模型</w:t>
            </w:r>
          </w:p>
        </w:tc>
        <w:tc>
          <w:tcPr>
            <w:tcW w:w="2760" w:type="dxa"/>
            <w:tcMar>
              <w:top w:w="60" w:type="dxa"/>
              <w:left w:w="120" w:type="dxa"/>
              <w:bottom w:w="30" w:type="dxa"/>
              <w:right w:w="120" w:type="dxa"/>
            </w:tcMar>
          </w:tcPr>
          <w:p w14:paraId="31840724">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可基于上下文智能预测文本的情绪、语调等信息，生成超自然、高保真、个性化语音，在口语自然度、连贯性、拟人度、音质、韵律、气口、情感表达、语气词处理等方面优于传统语音合成技术，适配教学讲解、有声阅读、音视频创作等场景。</w:t>
            </w:r>
          </w:p>
        </w:tc>
      </w:tr>
      <w:tr w14:paraId="3608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DE8A07F">
            <w:pPr>
              <w:rPr>
                <w:rFonts w:hint="eastAsia" w:asciiTheme="minorEastAsia" w:hAnsiTheme="minorEastAsia" w:eastAsiaTheme="minorEastAsia" w:cstheme="minorEastAsia"/>
              </w:rPr>
            </w:pPr>
          </w:p>
        </w:tc>
        <w:tc>
          <w:tcPr>
            <w:tcW w:w="2760" w:type="dxa"/>
            <w:tcMar>
              <w:top w:w="60" w:type="dxa"/>
              <w:left w:w="120" w:type="dxa"/>
              <w:bottom w:w="30" w:type="dxa"/>
              <w:right w:w="120" w:type="dxa"/>
            </w:tcMar>
          </w:tcPr>
          <w:p w14:paraId="35AA1A7A">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声音复刻大模型</w:t>
            </w:r>
          </w:p>
        </w:tc>
        <w:tc>
          <w:tcPr>
            <w:tcW w:w="2760" w:type="dxa"/>
            <w:tcMar>
              <w:top w:w="60" w:type="dxa"/>
              <w:left w:w="120" w:type="dxa"/>
              <w:bottom w:w="30" w:type="dxa"/>
              <w:right w:w="120" w:type="dxa"/>
            </w:tcMar>
          </w:tcPr>
          <w:p w14:paraId="7F103241">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支持开放环境下基于短时音频快速完成音色复刻，最短录音时长不超过5秒，复刻处理耗时秒级；可精准还原目标音色的音色特征、说话风格、口音及声学环境特征；具备跨语种迁移能力，可基于单一语种录音实现多语种语音合成，适配教学讲解、数字内容制作、语音助手等场景。</w:t>
            </w:r>
          </w:p>
        </w:tc>
      </w:tr>
      <w:tr w14:paraId="7441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4C092DE">
            <w:pPr>
              <w:rPr>
                <w:rFonts w:hint="eastAsia" w:asciiTheme="minorEastAsia" w:hAnsiTheme="minorEastAsia" w:eastAsiaTheme="minorEastAsia" w:cstheme="minorEastAsia"/>
              </w:rPr>
            </w:pPr>
          </w:p>
        </w:tc>
        <w:tc>
          <w:tcPr>
            <w:tcW w:w="2760" w:type="dxa"/>
            <w:tcMar>
              <w:top w:w="60" w:type="dxa"/>
              <w:left w:w="120" w:type="dxa"/>
              <w:bottom w:w="30" w:type="dxa"/>
              <w:right w:w="120" w:type="dxa"/>
            </w:tcMar>
          </w:tcPr>
          <w:p w14:paraId="7A44908F">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语音识别大模型</w:t>
            </w:r>
          </w:p>
        </w:tc>
        <w:tc>
          <w:tcPr>
            <w:tcW w:w="2760" w:type="dxa"/>
            <w:tcMar>
              <w:top w:w="60" w:type="dxa"/>
              <w:left w:w="120" w:type="dxa"/>
              <w:bottom w:w="30" w:type="dxa"/>
              <w:right w:w="120" w:type="dxa"/>
            </w:tcMar>
          </w:tcPr>
          <w:p w14:paraId="5ACA5679">
            <w:pPr>
              <w:numPr>
                <w:ilvl w:val="0"/>
                <w:numId w:val="1"/>
              </w:num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识别精度：语音识别准确率优于传统模型，在教育、医疗、科技、音乐等垂直场景具备专项优化效果。2. 复杂场景适配：支持多语种、多方言识别，在口音、噪声、背景人声等复杂环境下保持稳定识别效果；支持自动标点、语义顺滑、数字规整、智能分句等功能，提升转写结果可读性与可用性。3. 上下文感知：具备强上下文理解能力，可结合对话上下文输出贴合语境的识别结果，优化会议记录、课堂转写、语音输入等场景的使用体验。</w:t>
            </w:r>
          </w:p>
        </w:tc>
      </w:tr>
      <w:tr w14:paraId="3B5E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AA113AE">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模型厂商要求</w:t>
            </w:r>
          </w:p>
        </w:tc>
        <w:tc>
          <w:tcPr>
            <w:tcW w:w="2760" w:type="dxa"/>
            <w:tcMar>
              <w:top w:w="60" w:type="dxa"/>
              <w:left w:w="120" w:type="dxa"/>
              <w:bottom w:w="30" w:type="dxa"/>
              <w:right w:w="120" w:type="dxa"/>
            </w:tcMar>
          </w:tcPr>
          <w:p w14:paraId="6E343CFA">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可信AI</w:t>
            </w:r>
          </w:p>
        </w:tc>
        <w:tc>
          <w:tcPr>
            <w:tcW w:w="2760" w:type="dxa"/>
            <w:tcMar>
              <w:top w:w="60" w:type="dxa"/>
              <w:left w:w="120" w:type="dxa"/>
              <w:bottom w:w="30" w:type="dxa"/>
              <w:right w:w="120" w:type="dxa"/>
            </w:tcMar>
          </w:tcPr>
          <w:p w14:paraId="641F5F80">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大模型原厂需提供官方可信AI评估证书，保障服务安全合规。</w:t>
            </w:r>
          </w:p>
        </w:tc>
      </w:tr>
      <w:tr w14:paraId="2D2F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194BE75">
            <w:pPr>
              <w:rPr>
                <w:rFonts w:hint="eastAsia" w:asciiTheme="minorEastAsia" w:hAnsiTheme="minorEastAsia" w:eastAsiaTheme="minorEastAsia" w:cstheme="minorEastAsia"/>
              </w:rPr>
            </w:pPr>
          </w:p>
        </w:tc>
        <w:tc>
          <w:tcPr>
            <w:tcW w:w="2760" w:type="dxa"/>
            <w:tcMar>
              <w:top w:w="60" w:type="dxa"/>
              <w:left w:w="120" w:type="dxa"/>
              <w:bottom w:w="30" w:type="dxa"/>
              <w:right w:w="120" w:type="dxa"/>
            </w:tcMar>
          </w:tcPr>
          <w:p w14:paraId="6CB96A59">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安全分级</w:t>
            </w:r>
          </w:p>
        </w:tc>
        <w:tc>
          <w:tcPr>
            <w:tcW w:w="2760" w:type="dxa"/>
            <w:tcMar>
              <w:top w:w="60" w:type="dxa"/>
              <w:left w:w="120" w:type="dxa"/>
              <w:bottom w:w="30" w:type="dxa"/>
              <w:right w:w="120" w:type="dxa"/>
            </w:tcMar>
          </w:tcPr>
          <w:p w14:paraId="5414C901">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模型服务平台需符合国家及教育行业相关数据安全标准，建立完善的安全分级管控体系。</w:t>
            </w:r>
          </w:p>
        </w:tc>
      </w:tr>
    </w:tbl>
    <w:p w14:paraId="1236FF1F">
      <w:pPr>
        <w:spacing w:before="260" w:after="120" w:line="288" w:lineRule="auto"/>
        <w:ind w:left="0"/>
        <w:jc w:val="left"/>
        <w:outlineLvl w:val="3"/>
        <w:rPr>
          <w:rFonts w:hint="eastAsia" w:asciiTheme="minorEastAsia" w:hAnsiTheme="minorEastAsia" w:eastAsiaTheme="minorEastAsia" w:cstheme="minorEastAsia"/>
        </w:rPr>
      </w:pPr>
      <w:bookmarkStart w:id="4" w:name="heading_4"/>
      <w:r>
        <w:rPr>
          <w:rFonts w:hint="eastAsia" w:asciiTheme="minorEastAsia" w:hAnsiTheme="minorEastAsia" w:eastAsiaTheme="minorEastAsia" w:cstheme="minorEastAsia"/>
          <w:b/>
          <w:sz w:val="28"/>
        </w:rPr>
        <w:t>（2）智能体插件能力服务</w:t>
      </w:r>
      <w:bookmarkEnd w:id="4"/>
    </w:p>
    <w:p w14:paraId="4DB0F5B4">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围绕智能教学AIGC资源生成与管理场景，提供40款标准化智能体插件服务，具体清单及服务内容如下：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070"/>
        <w:gridCol w:w="2070"/>
        <w:gridCol w:w="2070"/>
        <w:gridCol w:w="2070"/>
      </w:tblGrid>
      <w:tr w14:paraId="1AE6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8FC5AD6">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序号</w:t>
            </w:r>
          </w:p>
        </w:tc>
        <w:tc>
          <w:tcPr>
            <w:tcW w:w="2070" w:type="dxa"/>
            <w:tcMar>
              <w:top w:w="60" w:type="dxa"/>
              <w:left w:w="120" w:type="dxa"/>
              <w:bottom w:w="30" w:type="dxa"/>
              <w:right w:w="120" w:type="dxa"/>
            </w:tcMar>
          </w:tcPr>
          <w:p w14:paraId="02A4CE84">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类别</w:t>
            </w:r>
          </w:p>
        </w:tc>
        <w:tc>
          <w:tcPr>
            <w:tcW w:w="2070" w:type="dxa"/>
            <w:tcMar>
              <w:top w:w="60" w:type="dxa"/>
              <w:left w:w="120" w:type="dxa"/>
              <w:bottom w:w="30" w:type="dxa"/>
              <w:right w:w="120" w:type="dxa"/>
            </w:tcMar>
          </w:tcPr>
          <w:p w14:paraId="6038EBD4">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服务插件</w:t>
            </w:r>
          </w:p>
        </w:tc>
        <w:tc>
          <w:tcPr>
            <w:tcW w:w="2070" w:type="dxa"/>
            <w:tcMar>
              <w:top w:w="60" w:type="dxa"/>
              <w:left w:w="120" w:type="dxa"/>
              <w:bottom w:w="30" w:type="dxa"/>
              <w:right w:w="120" w:type="dxa"/>
            </w:tcMar>
          </w:tcPr>
          <w:p w14:paraId="4F4888A2">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服务内容描述</w:t>
            </w:r>
          </w:p>
        </w:tc>
      </w:tr>
      <w:tr w14:paraId="276F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3DF486F">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1</w:t>
            </w:r>
          </w:p>
        </w:tc>
        <w:tc>
          <w:tcPr>
            <w:tcW w:w="2070" w:type="dxa"/>
            <w:tcMar>
              <w:top w:w="60" w:type="dxa"/>
              <w:left w:w="120" w:type="dxa"/>
              <w:bottom w:w="30" w:type="dxa"/>
              <w:right w:w="120" w:type="dxa"/>
            </w:tcMar>
          </w:tcPr>
          <w:p w14:paraId="0FB09799">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基础创作类</w:t>
            </w:r>
          </w:p>
        </w:tc>
        <w:tc>
          <w:tcPr>
            <w:tcW w:w="2070" w:type="dxa"/>
            <w:tcMar>
              <w:top w:w="60" w:type="dxa"/>
              <w:left w:w="120" w:type="dxa"/>
              <w:bottom w:w="30" w:type="dxa"/>
              <w:right w:w="120" w:type="dxa"/>
            </w:tcMar>
          </w:tcPr>
          <w:p w14:paraId="159039D6">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快捷入口插件服务</w:t>
            </w:r>
          </w:p>
        </w:tc>
        <w:tc>
          <w:tcPr>
            <w:tcW w:w="2070" w:type="dxa"/>
            <w:tcMar>
              <w:top w:w="60" w:type="dxa"/>
              <w:left w:w="120" w:type="dxa"/>
              <w:bottom w:w="30" w:type="dxa"/>
              <w:right w:w="120" w:type="dxa"/>
            </w:tcMar>
          </w:tcPr>
          <w:p w14:paraId="5C0E626A">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为师生提供平台快捷访问与个人项目空间入口服务，实现创作环境快速进入，提升使用效率。</w:t>
            </w:r>
          </w:p>
        </w:tc>
      </w:tr>
      <w:tr w14:paraId="7398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FC5EAEC">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2</w:t>
            </w:r>
          </w:p>
        </w:tc>
        <w:tc>
          <w:tcPr>
            <w:tcW w:w="2070" w:type="dxa"/>
            <w:tcMar>
              <w:top w:w="60" w:type="dxa"/>
              <w:left w:w="120" w:type="dxa"/>
              <w:bottom w:w="30" w:type="dxa"/>
              <w:right w:w="120" w:type="dxa"/>
            </w:tcMar>
          </w:tcPr>
          <w:p w14:paraId="1310B65C">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00C743B3">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AI能力入口插件服务</w:t>
            </w:r>
          </w:p>
        </w:tc>
        <w:tc>
          <w:tcPr>
            <w:tcW w:w="2070" w:type="dxa"/>
            <w:tcMar>
              <w:top w:w="60" w:type="dxa"/>
              <w:left w:w="120" w:type="dxa"/>
              <w:bottom w:w="30" w:type="dxa"/>
              <w:right w:w="120" w:type="dxa"/>
            </w:tcMar>
          </w:tcPr>
          <w:p w14:paraId="3187DBA3">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提供项目式创作、AI图片生成、AI视频生成等能力的统一调用入口，支持按需切换创作模块。</w:t>
            </w:r>
          </w:p>
        </w:tc>
      </w:tr>
      <w:tr w14:paraId="6F15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0" w:type="dxa"/>
            <w:tcMar>
              <w:top w:w="60" w:type="dxa"/>
              <w:left w:w="120" w:type="dxa"/>
              <w:bottom w:w="30" w:type="dxa"/>
              <w:right w:w="120" w:type="dxa"/>
            </w:tcMar>
          </w:tcPr>
          <w:p w14:paraId="2F7F0981">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3</w:t>
            </w:r>
          </w:p>
        </w:tc>
        <w:tc>
          <w:tcPr>
            <w:tcW w:w="2070" w:type="dxa"/>
            <w:tcMar>
              <w:top w:w="60" w:type="dxa"/>
              <w:left w:w="120" w:type="dxa"/>
              <w:bottom w:w="30" w:type="dxa"/>
              <w:right w:w="120" w:type="dxa"/>
            </w:tcMar>
          </w:tcPr>
          <w:p w14:paraId="1B8E9DB3">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3EE76F18">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导航管理插件服务</w:t>
            </w:r>
          </w:p>
        </w:tc>
        <w:tc>
          <w:tcPr>
            <w:tcW w:w="2070" w:type="dxa"/>
            <w:tcMar>
              <w:top w:w="60" w:type="dxa"/>
              <w:left w:w="120" w:type="dxa"/>
              <w:bottom w:w="30" w:type="dxa"/>
              <w:right w:w="120" w:type="dxa"/>
            </w:tcMar>
          </w:tcPr>
          <w:p w14:paraId="3C3DD792">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适配平台多模块使用场景，提供导航组织服务，支持按创作流程与能力分类快速定位服务入口。</w:t>
            </w:r>
          </w:p>
        </w:tc>
      </w:tr>
      <w:tr w14:paraId="3AD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7E756C2">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4</w:t>
            </w:r>
          </w:p>
        </w:tc>
        <w:tc>
          <w:tcPr>
            <w:tcW w:w="2070" w:type="dxa"/>
            <w:tcMar>
              <w:top w:w="60" w:type="dxa"/>
              <w:left w:w="120" w:type="dxa"/>
              <w:bottom w:w="30" w:type="dxa"/>
              <w:right w:w="120" w:type="dxa"/>
            </w:tcMar>
          </w:tcPr>
          <w:p w14:paraId="6918A28B">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3879A9F6">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项目列表插件服务</w:t>
            </w:r>
          </w:p>
        </w:tc>
        <w:tc>
          <w:tcPr>
            <w:tcW w:w="2070" w:type="dxa"/>
            <w:tcMar>
              <w:top w:w="60" w:type="dxa"/>
              <w:left w:w="120" w:type="dxa"/>
              <w:bottom w:w="30" w:type="dxa"/>
              <w:right w:w="120" w:type="dxa"/>
            </w:tcMar>
          </w:tcPr>
          <w:p w14:paraId="5F697FEB">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提供教学资源项目、学生作业项目、创作实践项目的统一检索、创建、编辑、删除与展示服务，支撑项目化创作管理。</w:t>
            </w:r>
          </w:p>
        </w:tc>
      </w:tr>
      <w:tr w14:paraId="6A8D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1908454F">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5</w:t>
            </w:r>
          </w:p>
        </w:tc>
        <w:tc>
          <w:tcPr>
            <w:tcW w:w="2070" w:type="dxa"/>
            <w:tcMar>
              <w:top w:w="60" w:type="dxa"/>
              <w:left w:w="120" w:type="dxa"/>
              <w:bottom w:w="30" w:type="dxa"/>
              <w:right w:w="120" w:type="dxa"/>
            </w:tcMar>
          </w:tcPr>
          <w:p w14:paraId="6C2FB41E">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7A38502A">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项目模式插件服务</w:t>
            </w:r>
          </w:p>
        </w:tc>
        <w:tc>
          <w:tcPr>
            <w:tcW w:w="2070" w:type="dxa"/>
            <w:tcMar>
              <w:top w:w="60" w:type="dxa"/>
              <w:left w:w="120" w:type="dxa"/>
              <w:bottom w:w="30" w:type="dxa"/>
              <w:right w:w="120" w:type="dxa"/>
            </w:tcMar>
          </w:tcPr>
          <w:p w14:paraId="1B2B21DE">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支持脚本式创作、单元式创作等多种项目组织模式，满足课程建设、学生实践与快速原型制作需求。</w:t>
            </w:r>
          </w:p>
        </w:tc>
      </w:tr>
      <w:tr w14:paraId="0F31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1475F332">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6</w:t>
            </w:r>
          </w:p>
        </w:tc>
        <w:tc>
          <w:tcPr>
            <w:tcW w:w="2070" w:type="dxa"/>
            <w:tcMar>
              <w:top w:w="60" w:type="dxa"/>
              <w:left w:w="120" w:type="dxa"/>
              <w:bottom w:w="30" w:type="dxa"/>
              <w:right w:w="120" w:type="dxa"/>
            </w:tcMar>
          </w:tcPr>
          <w:p w14:paraId="7441B1BB">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5D7404BA">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单元式创作插件服务</w:t>
            </w:r>
          </w:p>
        </w:tc>
        <w:tc>
          <w:tcPr>
            <w:tcW w:w="2070" w:type="dxa"/>
            <w:tcMar>
              <w:top w:w="60" w:type="dxa"/>
              <w:left w:w="120" w:type="dxa"/>
              <w:bottom w:w="30" w:type="dxa"/>
              <w:right w:w="120" w:type="dxa"/>
            </w:tcMar>
          </w:tcPr>
          <w:p w14:paraId="2B5161FA">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提供内容单元化创作配置服务，支持围绕内容单元设置基础信息、调用模型、内容处理方式与画面风格。</w:t>
            </w:r>
          </w:p>
        </w:tc>
      </w:tr>
      <w:tr w14:paraId="1575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0" w:type="dxa"/>
            <w:tcMar>
              <w:top w:w="60" w:type="dxa"/>
              <w:left w:w="120" w:type="dxa"/>
              <w:bottom w:w="30" w:type="dxa"/>
              <w:right w:w="120" w:type="dxa"/>
            </w:tcMar>
          </w:tcPr>
          <w:p w14:paraId="7A4EE913">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7</w:t>
            </w:r>
          </w:p>
        </w:tc>
        <w:tc>
          <w:tcPr>
            <w:tcW w:w="2070" w:type="dxa"/>
            <w:tcMar>
              <w:top w:w="60" w:type="dxa"/>
              <w:left w:w="120" w:type="dxa"/>
              <w:bottom w:w="30" w:type="dxa"/>
              <w:right w:w="120" w:type="dxa"/>
            </w:tcMar>
          </w:tcPr>
          <w:p w14:paraId="02C9D22F">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13F7409E">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内容智能优化插件服务</w:t>
            </w:r>
          </w:p>
        </w:tc>
        <w:tc>
          <w:tcPr>
            <w:tcW w:w="2070" w:type="dxa"/>
            <w:tcMar>
              <w:top w:w="60" w:type="dxa"/>
              <w:left w:w="120" w:type="dxa"/>
              <w:bottom w:w="30" w:type="dxa"/>
              <w:right w:w="120" w:type="dxa"/>
            </w:tcMar>
          </w:tcPr>
          <w:p w14:paraId="6EE269E1">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提供脚本文本智能优化服务，可结合教学目标或创作需求优化脚本内容，实现与素材准备、分镜生成环节的无缝衔接。</w:t>
            </w:r>
          </w:p>
        </w:tc>
      </w:tr>
      <w:tr w14:paraId="4DEC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13C7959">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8</w:t>
            </w:r>
          </w:p>
        </w:tc>
        <w:tc>
          <w:tcPr>
            <w:tcW w:w="2070" w:type="dxa"/>
            <w:tcMar>
              <w:top w:w="60" w:type="dxa"/>
              <w:left w:w="120" w:type="dxa"/>
              <w:bottom w:w="30" w:type="dxa"/>
              <w:right w:w="120" w:type="dxa"/>
            </w:tcMar>
          </w:tcPr>
          <w:p w14:paraId="2ED51C2F">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脚本编排类</w:t>
            </w:r>
          </w:p>
        </w:tc>
        <w:tc>
          <w:tcPr>
            <w:tcW w:w="2070" w:type="dxa"/>
            <w:tcMar>
              <w:top w:w="60" w:type="dxa"/>
              <w:left w:w="120" w:type="dxa"/>
              <w:bottom w:w="30" w:type="dxa"/>
              <w:right w:w="120" w:type="dxa"/>
            </w:tcMar>
          </w:tcPr>
          <w:p w14:paraId="701170A0">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脚本列表插件服务</w:t>
            </w:r>
          </w:p>
        </w:tc>
        <w:tc>
          <w:tcPr>
            <w:tcW w:w="2070" w:type="dxa"/>
            <w:tcMar>
              <w:top w:w="60" w:type="dxa"/>
              <w:left w:w="120" w:type="dxa"/>
              <w:bottom w:w="30" w:type="dxa"/>
              <w:right w:w="120" w:type="dxa"/>
            </w:tcMar>
          </w:tcPr>
          <w:p w14:paraId="1FBCF6F1">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提供课程讲稿、案例文稿、创作脚本的统一管理服务，支持检索、新增、编辑、查看与删除操作。</w:t>
            </w:r>
          </w:p>
        </w:tc>
      </w:tr>
      <w:tr w14:paraId="1265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9A0E97D">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9</w:t>
            </w:r>
          </w:p>
        </w:tc>
        <w:tc>
          <w:tcPr>
            <w:tcW w:w="2070" w:type="dxa"/>
            <w:tcMar>
              <w:top w:w="60" w:type="dxa"/>
              <w:left w:w="120" w:type="dxa"/>
              <w:bottom w:w="30" w:type="dxa"/>
              <w:right w:w="120" w:type="dxa"/>
            </w:tcMar>
          </w:tcPr>
          <w:p w14:paraId="0297AAF1">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1992D296">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脚本基础维护插件服务</w:t>
            </w:r>
          </w:p>
        </w:tc>
        <w:tc>
          <w:tcPr>
            <w:tcW w:w="2070" w:type="dxa"/>
            <w:tcMar>
              <w:top w:w="60" w:type="dxa"/>
              <w:left w:w="120" w:type="dxa"/>
              <w:bottom w:w="30" w:type="dxa"/>
              <w:right w:w="120" w:type="dxa"/>
            </w:tcMar>
          </w:tcPr>
          <w:p w14:paraId="5401FCE2">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提供脚本基础信息维护服务，支持脚本名称、简介、正文内容的统一管理，适配脚本创建与后续视频生产全流程。</w:t>
            </w:r>
          </w:p>
        </w:tc>
      </w:tr>
      <w:tr w14:paraId="01E3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D4C3685">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10</w:t>
            </w:r>
          </w:p>
        </w:tc>
        <w:tc>
          <w:tcPr>
            <w:tcW w:w="2070" w:type="dxa"/>
            <w:tcMar>
              <w:top w:w="60" w:type="dxa"/>
              <w:left w:w="120" w:type="dxa"/>
              <w:bottom w:w="30" w:type="dxa"/>
              <w:right w:w="120" w:type="dxa"/>
            </w:tcMar>
          </w:tcPr>
          <w:p w14:paraId="12F76FE3">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708FA490">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脚本参数配置插件服务</w:t>
            </w:r>
          </w:p>
        </w:tc>
        <w:tc>
          <w:tcPr>
            <w:tcW w:w="2070" w:type="dxa"/>
            <w:tcMar>
              <w:top w:w="60" w:type="dxa"/>
              <w:left w:w="120" w:type="dxa"/>
              <w:bottom w:w="30" w:type="dxa"/>
              <w:right w:w="120" w:type="dxa"/>
            </w:tcMar>
          </w:tcPr>
          <w:p w14:paraId="4392765B">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提供教学课件脚本处理与创作过程的参数配置服务，支持模型选择、内容处理方式、单元拆分规则、自定义提示词及画面风格设置。</w:t>
            </w:r>
          </w:p>
        </w:tc>
      </w:tr>
      <w:tr w14:paraId="1DBE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0" w:type="dxa"/>
            <w:tcMar>
              <w:top w:w="60" w:type="dxa"/>
              <w:left w:w="120" w:type="dxa"/>
              <w:bottom w:w="30" w:type="dxa"/>
              <w:right w:w="120" w:type="dxa"/>
            </w:tcMar>
          </w:tcPr>
          <w:p w14:paraId="66B29F67">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11</w:t>
            </w:r>
          </w:p>
        </w:tc>
        <w:tc>
          <w:tcPr>
            <w:tcW w:w="2070" w:type="dxa"/>
            <w:tcMar>
              <w:top w:w="60" w:type="dxa"/>
              <w:left w:w="120" w:type="dxa"/>
              <w:bottom w:w="30" w:type="dxa"/>
              <w:right w:w="120" w:type="dxa"/>
            </w:tcMar>
          </w:tcPr>
          <w:p w14:paraId="737E3717">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5ADF601B">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内容单元编辑插件服务</w:t>
            </w:r>
          </w:p>
        </w:tc>
        <w:tc>
          <w:tcPr>
            <w:tcW w:w="2070" w:type="dxa"/>
            <w:tcMar>
              <w:top w:w="60" w:type="dxa"/>
              <w:left w:w="120" w:type="dxa"/>
              <w:bottom w:w="30" w:type="dxa"/>
              <w:right w:w="120" w:type="dxa"/>
            </w:tcMar>
          </w:tcPr>
          <w:p w14:paraId="4E05BCD2">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提供章节、知识单元、内容段落的拆分整理服务，支持新增、编辑、删除与位置调整，可直接衔接素材与分镜环节。</w:t>
            </w:r>
          </w:p>
        </w:tc>
      </w:tr>
      <w:tr w14:paraId="6D05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4A16EAD">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12</w:t>
            </w:r>
          </w:p>
        </w:tc>
        <w:tc>
          <w:tcPr>
            <w:tcW w:w="2070" w:type="dxa"/>
            <w:tcMar>
              <w:top w:w="60" w:type="dxa"/>
              <w:left w:w="120" w:type="dxa"/>
              <w:bottom w:w="30" w:type="dxa"/>
              <w:right w:w="120" w:type="dxa"/>
            </w:tcMar>
          </w:tcPr>
          <w:p w14:paraId="42485560">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31D7AE4A">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内容单元预览插件服务</w:t>
            </w:r>
          </w:p>
        </w:tc>
        <w:tc>
          <w:tcPr>
            <w:tcW w:w="2070" w:type="dxa"/>
            <w:tcMar>
              <w:top w:w="60" w:type="dxa"/>
              <w:left w:w="120" w:type="dxa"/>
              <w:bottom w:w="30" w:type="dxa"/>
              <w:right w:w="120" w:type="dxa"/>
            </w:tcMar>
          </w:tcPr>
          <w:p w14:paraId="4C05DF86">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提供拆分后内容单元的预览服务，支持快速跳转至分镜生成环节，优化内容编排效率。</w:t>
            </w:r>
          </w:p>
        </w:tc>
      </w:tr>
      <w:tr w14:paraId="6CB6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0D2180CC">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13</w:t>
            </w:r>
          </w:p>
        </w:tc>
        <w:tc>
          <w:tcPr>
            <w:tcW w:w="2070" w:type="dxa"/>
            <w:tcMar>
              <w:top w:w="60" w:type="dxa"/>
              <w:left w:w="120" w:type="dxa"/>
              <w:bottom w:w="30" w:type="dxa"/>
              <w:right w:w="120" w:type="dxa"/>
            </w:tcMar>
          </w:tcPr>
          <w:p w14:paraId="5881A94A">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素材资源类</w:t>
            </w:r>
          </w:p>
        </w:tc>
        <w:tc>
          <w:tcPr>
            <w:tcW w:w="2070" w:type="dxa"/>
            <w:tcMar>
              <w:top w:w="60" w:type="dxa"/>
              <w:left w:w="120" w:type="dxa"/>
              <w:bottom w:w="30" w:type="dxa"/>
              <w:right w:w="120" w:type="dxa"/>
            </w:tcMar>
          </w:tcPr>
          <w:p w14:paraId="4286FBC3">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角色素材插件服务</w:t>
            </w:r>
          </w:p>
        </w:tc>
        <w:tc>
          <w:tcPr>
            <w:tcW w:w="2070" w:type="dxa"/>
            <w:tcMar>
              <w:top w:w="60" w:type="dxa"/>
              <w:left w:w="120" w:type="dxa"/>
              <w:bottom w:w="30" w:type="dxa"/>
              <w:right w:w="120" w:type="dxa"/>
            </w:tcMar>
          </w:tcPr>
          <w:p w14:paraId="1F8A676B">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提供虚拟角色、讲解人物、情景化角色的素材建设与管理服务，支持角色素材的创建、维护与调用。</w:t>
            </w:r>
          </w:p>
        </w:tc>
      </w:tr>
      <w:tr w14:paraId="5AC1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B62D52C">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14</w:t>
            </w:r>
          </w:p>
        </w:tc>
        <w:tc>
          <w:tcPr>
            <w:tcW w:w="2070" w:type="dxa"/>
            <w:tcMar>
              <w:top w:w="60" w:type="dxa"/>
              <w:left w:w="120" w:type="dxa"/>
              <w:bottom w:w="30" w:type="dxa"/>
              <w:right w:w="120" w:type="dxa"/>
            </w:tcMar>
          </w:tcPr>
          <w:p w14:paraId="66FE945B">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2FD508B8">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场景素材插件服务</w:t>
            </w:r>
          </w:p>
        </w:tc>
        <w:tc>
          <w:tcPr>
            <w:tcW w:w="2070" w:type="dxa"/>
            <w:tcMar>
              <w:top w:w="60" w:type="dxa"/>
              <w:left w:w="120" w:type="dxa"/>
              <w:bottom w:w="30" w:type="dxa"/>
              <w:right w:w="120" w:type="dxa"/>
            </w:tcMar>
          </w:tcPr>
          <w:p w14:paraId="738F57BA">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提供校园场景、教学场景、实验场景等背景素材服务，支持场景素材的建设、维护与调用。</w:t>
            </w:r>
          </w:p>
        </w:tc>
      </w:tr>
      <w:tr w14:paraId="6242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0" w:type="dxa"/>
            <w:tcMar>
              <w:top w:w="60" w:type="dxa"/>
              <w:left w:w="120" w:type="dxa"/>
              <w:bottom w:w="30" w:type="dxa"/>
              <w:right w:w="120" w:type="dxa"/>
            </w:tcMar>
          </w:tcPr>
          <w:p w14:paraId="52DBBB0C">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15</w:t>
            </w:r>
          </w:p>
        </w:tc>
        <w:tc>
          <w:tcPr>
            <w:tcW w:w="2070" w:type="dxa"/>
            <w:tcMar>
              <w:top w:w="60" w:type="dxa"/>
              <w:left w:w="120" w:type="dxa"/>
              <w:bottom w:w="30" w:type="dxa"/>
              <w:right w:w="120" w:type="dxa"/>
            </w:tcMar>
          </w:tcPr>
          <w:p w14:paraId="038CC15C">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0FEC432A">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道具素材插件服务</w:t>
            </w:r>
          </w:p>
        </w:tc>
        <w:tc>
          <w:tcPr>
            <w:tcW w:w="2070" w:type="dxa"/>
            <w:tcMar>
              <w:top w:w="60" w:type="dxa"/>
              <w:left w:w="120" w:type="dxa"/>
              <w:bottom w:w="30" w:type="dxa"/>
              <w:right w:w="120" w:type="dxa"/>
            </w:tcMar>
          </w:tcPr>
          <w:p w14:paraId="473A372C">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提供教学器材、实验设备、展示物品等道具素材服务，支撑教学视频与创作内容的细节表达。</w:t>
            </w:r>
          </w:p>
        </w:tc>
      </w:tr>
      <w:tr w14:paraId="2400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082C7CD1">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16</w:t>
            </w:r>
          </w:p>
        </w:tc>
        <w:tc>
          <w:tcPr>
            <w:tcW w:w="2070" w:type="dxa"/>
            <w:tcMar>
              <w:top w:w="60" w:type="dxa"/>
              <w:left w:w="120" w:type="dxa"/>
              <w:bottom w:w="30" w:type="dxa"/>
              <w:right w:w="120" w:type="dxa"/>
            </w:tcMar>
          </w:tcPr>
          <w:p w14:paraId="26C3D591">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413BF459">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素材流转插件服务</w:t>
            </w:r>
          </w:p>
        </w:tc>
        <w:tc>
          <w:tcPr>
            <w:tcW w:w="2070" w:type="dxa"/>
            <w:tcMar>
              <w:top w:w="60" w:type="dxa"/>
              <w:left w:w="120" w:type="dxa"/>
              <w:bottom w:w="30" w:type="dxa"/>
              <w:right w:w="120" w:type="dxa"/>
            </w:tcMar>
          </w:tcPr>
          <w:p w14:paraId="6492F553">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提供创作流程间的素材流转服务，支持已完成素材直接对接至分镜环节，提升流程连续性。</w:t>
            </w:r>
          </w:p>
        </w:tc>
      </w:tr>
      <w:tr w14:paraId="43C4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0AFAAD4D">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17</w:t>
            </w:r>
          </w:p>
        </w:tc>
        <w:tc>
          <w:tcPr>
            <w:tcW w:w="2070" w:type="dxa"/>
            <w:tcMar>
              <w:top w:w="60" w:type="dxa"/>
              <w:left w:w="120" w:type="dxa"/>
              <w:bottom w:w="30" w:type="dxa"/>
              <w:right w:w="120" w:type="dxa"/>
            </w:tcMar>
          </w:tcPr>
          <w:p w14:paraId="1644359E">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6ACAB816">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图片编辑优化插件服务</w:t>
            </w:r>
          </w:p>
        </w:tc>
        <w:tc>
          <w:tcPr>
            <w:tcW w:w="2070" w:type="dxa"/>
            <w:tcMar>
              <w:top w:w="60" w:type="dxa"/>
              <w:left w:w="120" w:type="dxa"/>
              <w:bottom w:w="30" w:type="dxa"/>
              <w:right w:w="120" w:type="dxa"/>
            </w:tcMar>
          </w:tcPr>
          <w:p w14:paraId="0EC238F0">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提供角色图、场景图、插图的优化处理服务，支持清晰度提升、局部重绘、扩图、消除瑕疵与保存导出。</w:t>
            </w:r>
          </w:p>
        </w:tc>
      </w:tr>
      <w:tr w14:paraId="728F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F40A7A2">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18</w:t>
            </w:r>
          </w:p>
        </w:tc>
        <w:tc>
          <w:tcPr>
            <w:tcW w:w="2070" w:type="dxa"/>
            <w:tcMar>
              <w:top w:w="60" w:type="dxa"/>
              <w:left w:w="120" w:type="dxa"/>
              <w:bottom w:w="30" w:type="dxa"/>
              <w:right w:w="120" w:type="dxa"/>
            </w:tcMar>
          </w:tcPr>
          <w:p w14:paraId="15FBE0A2">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分镜生成类</w:t>
            </w:r>
          </w:p>
        </w:tc>
        <w:tc>
          <w:tcPr>
            <w:tcW w:w="2070" w:type="dxa"/>
            <w:tcMar>
              <w:top w:w="60" w:type="dxa"/>
              <w:left w:w="120" w:type="dxa"/>
              <w:bottom w:w="30" w:type="dxa"/>
              <w:right w:w="120" w:type="dxa"/>
            </w:tcMar>
          </w:tcPr>
          <w:p w14:paraId="3978F93C">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内容预览插件服务</w:t>
            </w:r>
          </w:p>
        </w:tc>
        <w:tc>
          <w:tcPr>
            <w:tcW w:w="2070" w:type="dxa"/>
            <w:tcMar>
              <w:top w:w="60" w:type="dxa"/>
              <w:left w:w="120" w:type="dxa"/>
              <w:bottom w:w="30" w:type="dxa"/>
              <w:right w:w="120" w:type="dxa"/>
            </w:tcMar>
          </w:tcPr>
          <w:p w14:paraId="794EA2C8">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提供视频正式生成前的整体内容预览服务，支持查看脚本内容与镜头表达逻辑，便于教学视频与创作内容的整体把控。</w:t>
            </w:r>
          </w:p>
        </w:tc>
      </w:tr>
      <w:tr w14:paraId="670B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0" w:type="dxa"/>
            <w:tcMar>
              <w:top w:w="60" w:type="dxa"/>
              <w:left w:w="120" w:type="dxa"/>
              <w:bottom w:w="30" w:type="dxa"/>
              <w:right w:w="120" w:type="dxa"/>
            </w:tcMar>
          </w:tcPr>
          <w:p w14:paraId="72B5B864">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19</w:t>
            </w:r>
          </w:p>
        </w:tc>
        <w:tc>
          <w:tcPr>
            <w:tcW w:w="2070" w:type="dxa"/>
            <w:tcMar>
              <w:top w:w="60" w:type="dxa"/>
              <w:left w:w="120" w:type="dxa"/>
              <w:bottom w:w="30" w:type="dxa"/>
              <w:right w:w="120" w:type="dxa"/>
            </w:tcMar>
          </w:tcPr>
          <w:p w14:paraId="5CFD454D">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2DA8A756">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AI分镜生成插件服务</w:t>
            </w:r>
          </w:p>
        </w:tc>
        <w:tc>
          <w:tcPr>
            <w:tcW w:w="2070" w:type="dxa"/>
            <w:tcMar>
              <w:top w:w="60" w:type="dxa"/>
              <w:left w:w="120" w:type="dxa"/>
              <w:bottom w:w="30" w:type="dxa"/>
              <w:right w:w="120" w:type="dxa"/>
            </w:tcMar>
          </w:tcPr>
          <w:p w14:paraId="23594882">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提供智能分镜生成服务，可基于脚本内容、指定模型与提示词自动生成分镜方案，适配课程讲解、案例演示、学生作品创作场景。</w:t>
            </w:r>
          </w:p>
        </w:tc>
      </w:tr>
      <w:tr w14:paraId="7221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D45EB7D">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20</w:t>
            </w:r>
          </w:p>
        </w:tc>
        <w:tc>
          <w:tcPr>
            <w:tcW w:w="2070" w:type="dxa"/>
            <w:tcMar>
              <w:top w:w="60" w:type="dxa"/>
              <w:left w:w="120" w:type="dxa"/>
              <w:bottom w:w="30" w:type="dxa"/>
              <w:right w:w="120" w:type="dxa"/>
            </w:tcMar>
          </w:tcPr>
          <w:p w14:paraId="2A62E47B">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27BBE829">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首帧画面插件服务</w:t>
            </w:r>
          </w:p>
        </w:tc>
        <w:tc>
          <w:tcPr>
            <w:tcW w:w="2070" w:type="dxa"/>
            <w:tcMar>
              <w:top w:w="60" w:type="dxa"/>
              <w:left w:w="120" w:type="dxa"/>
              <w:bottom w:w="30" w:type="dxa"/>
              <w:right w:w="120" w:type="dxa"/>
            </w:tcMar>
          </w:tcPr>
          <w:p w14:paraId="1A63A758">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提供镜头首帧管理服务，支持首帧画面的生成、上传、编辑、下载与批量处理。</w:t>
            </w:r>
          </w:p>
        </w:tc>
      </w:tr>
      <w:tr w14:paraId="4D1F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1B799577">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21</w:t>
            </w:r>
          </w:p>
        </w:tc>
        <w:tc>
          <w:tcPr>
            <w:tcW w:w="2070" w:type="dxa"/>
            <w:tcMar>
              <w:top w:w="60" w:type="dxa"/>
              <w:left w:w="120" w:type="dxa"/>
              <w:bottom w:w="30" w:type="dxa"/>
              <w:right w:w="120" w:type="dxa"/>
            </w:tcMar>
          </w:tcPr>
          <w:p w14:paraId="6807DB1D">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55702849">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尾帧画面插件服务</w:t>
            </w:r>
          </w:p>
        </w:tc>
        <w:tc>
          <w:tcPr>
            <w:tcW w:w="2070" w:type="dxa"/>
            <w:tcMar>
              <w:top w:w="60" w:type="dxa"/>
              <w:left w:w="120" w:type="dxa"/>
              <w:bottom w:w="30" w:type="dxa"/>
              <w:right w:w="120" w:type="dxa"/>
            </w:tcMar>
          </w:tcPr>
          <w:p w14:paraId="1E11D632">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提供镜头尾帧管理服务，支持尾帧画面的生成、上传、编辑、下载与批量处理，优化镜头衔接效果。</w:t>
            </w:r>
          </w:p>
        </w:tc>
      </w:tr>
      <w:tr w14:paraId="7215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07876325">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22</w:t>
            </w:r>
          </w:p>
        </w:tc>
        <w:tc>
          <w:tcPr>
            <w:tcW w:w="2070" w:type="dxa"/>
            <w:tcMar>
              <w:top w:w="60" w:type="dxa"/>
              <w:left w:w="120" w:type="dxa"/>
              <w:bottom w:w="30" w:type="dxa"/>
              <w:right w:w="120" w:type="dxa"/>
            </w:tcMar>
          </w:tcPr>
          <w:p w14:paraId="51F20E1B">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3EEFB056">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分镜操作插件服务</w:t>
            </w:r>
          </w:p>
        </w:tc>
        <w:tc>
          <w:tcPr>
            <w:tcW w:w="2070" w:type="dxa"/>
            <w:tcMar>
              <w:top w:w="60" w:type="dxa"/>
              <w:left w:w="120" w:type="dxa"/>
              <w:bottom w:w="30" w:type="dxa"/>
              <w:right w:w="120" w:type="dxa"/>
            </w:tcMar>
          </w:tcPr>
          <w:p w14:paraId="7E51B7A2">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提供分镜全生命周期管理服务，支持分镜导入、导出、新增、编辑、删除及一键生成视频。</w:t>
            </w:r>
          </w:p>
        </w:tc>
      </w:tr>
      <w:tr w14:paraId="0030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0" w:type="dxa"/>
            <w:tcMar>
              <w:top w:w="60" w:type="dxa"/>
              <w:left w:w="120" w:type="dxa"/>
              <w:bottom w:w="30" w:type="dxa"/>
              <w:right w:w="120" w:type="dxa"/>
            </w:tcMar>
          </w:tcPr>
          <w:p w14:paraId="626BA73F">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23</w:t>
            </w:r>
          </w:p>
        </w:tc>
        <w:tc>
          <w:tcPr>
            <w:tcW w:w="2070" w:type="dxa"/>
            <w:tcMar>
              <w:top w:w="60" w:type="dxa"/>
              <w:left w:w="120" w:type="dxa"/>
              <w:bottom w:w="30" w:type="dxa"/>
              <w:right w:w="120" w:type="dxa"/>
            </w:tcMar>
          </w:tcPr>
          <w:p w14:paraId="0BE37AC6">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268C9F13">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分镜角色插件服务</w:t>
            </w:r>
          </w:p>
        </w:tc>
        <w:tc>
          <w:tcPr>
            <w:tcW w:w="2070" w:type="dxa"/>
            <w:tcMar>
              <w:top w:w="60" w:type="dxa"/>
              <w:left w:w="120" w:type="dxa"/>
              <w:bottom w:w="30" w:type="dxa"/>
              <w:right w:w="120" w:type="dxa"/>
            </w:tcMar>
          </w:tcPr>
          <w:p w14:paraId="4F4DF88C">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提供分镜角色绑定服务，支持在分镜中关联预设角色信息，保证全视频人物形象统一。</w:t>
            </w:r>
          </w:p>
        </w:tc>
      </w:tr>
      <w:tr w14:paraId="1B07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505AD8D">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24</w:t>
            </w:r>
          </w:p>
        </w:tc>
        <w:tc>
          <w:tcPr>
            <w:tcW w:w="2070" w:type="dxa"/>
            <w:tcMar>
              <w:top w:w="60" w:type="dxa"/>
              <w:left w:w="120" w:type="dxa"/>
              <w:bottom w:w="30" w:type="dxa"/>
              <w:right w:w="120" w:type="dxa"/>
            </w:tcMar>
          </w:tcPr>
          <w:p w14:paraId="03C57BD7">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4FD9550D">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分镜场景插件服务</w:t>
            </w:r>
          </w:p>
        </w:tc>
        <w:tc>
          <w:tcPr>
            <w:tcW w:w="2070" w:type="dxa"/>
            <w:tcMar>
              <w:top w:w="60" w:type="dxa"/>
              <w:left w:w="120" w:type="dxa"/>
              <w:bottom w:w="30" w:type="dxa"/>
              <w:right w:w="120" w:type="dxa"/>
            </w:tcMar>
          </w:tcPr>
          <w:p w14:paraId="30E4AB59">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提供分镜场景绑定服务，支持在分镜中关联校园、课堂、实验等预设场景信息。</w:t>
            </w:r>
          </w:p>
        </w:tc>
      </w:tr>
      <w:tr w14:paraId="188A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D46F4A5">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25</w:t>
            </w:r>
          </w:p>
        </w:tc>
        <w:tc>
          <w:tcPr>
            <w:tcW w:w="2070" w:type="dxa"/>
            <w:tcMar>
              <w:top w:w="60" w:type="dxa"/>
              <w:left w:w="120" w:type="dxa"/>
              <w:bottom w:w="30" w:type="dxa"/>
              <w:right w:w="120" w:type="dxa"/>
            </w:tcMar>
          </w:tcPr>
          <w:p w14:paraId="6B6E1931">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创作支撑类</w:t>
            </w:r>
          </w:p>
        </w:tc>
        <w:tc>
          <w:tcPr>
            <w:tcW w:w="2070" w:type="dxa"/>
            <w:tcMar>
              <w:top w:w="60" w:type="dxa"/>
              <w:left w:w="120" w:type="dxa"/>
              <w:bottom w:w="30" w:type="dxa"/>
              <w:right w:w="120" w:type="dxa"/>
            </w:tcMar>
          </w:tcPr>
          <w:p w14:paraId="6B4ECAB8">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使用手册插件服务</w:t>
            </w:r>
          </w:p>
        </w:tc>
        <w:tc>
          <w:tcPr>
            <w:tcW w:w="2070" w:type="dxa"/>
            <w:tcMar>
              <w:top w:w="60" w:type="dxa"/>
              <w:left w:w="120" w:type="dxa"/>
              <w:bottom w:w="30" w:type="dxa"/>
              <w:right w:w="120" w:type="dxa"/>
            </w:tcMar>
          </w:tcPr>
          <w:p w14:paraId="02129D36">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提供平台使用手册与操作指引服务，帮助师生快速掌握平台功能与操作流程。</w:t>
            </w:r>
          </w:p>
        </w:tc>
      </w:tr>
      <w:tr w14:paraId="51C0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06F4B638">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26</w:t>
            </w:r>
          </w:p>
        </w:tc>
        <w:tc>
          <w:tcPr>
            <w:tcW w:w="2070" w:type="dxa"/>
            <w:tcMar>
              <w:top w:w="60" w:type="dxa"/>
              <w:left w:w="120" w:type="dxa"/>
              <w:bottom w:w="30" w:type="dxa"/>
              <w:right w:w="120" w:type="dxa"/>
            </w:tcMar>
          </w:tcPr>
          <w:p w14:paraId="3BAEEA0F">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3769F913">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提示词资源库插件服务</w:t>
            </w:r>
          </w:p>
        </w:tc>
        <w:tc>
          <w:tcPr>
            <w:tcW w:w="2070" w:type="dxa"/>
            <w:tcMar>
              <w:top w:w="60" w:type="dxa"/>
              <w:left w:w="120" w:type="dxa"/>
              <w:bottom w:w="30" w:type="dxa"/>
              <w:right w:w="120" w:type="dxa"/>
            </w:tcMar>
          </w:tcPr>
          <w:p w14:paraId="18201718">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提供脚本、素材、分镜、图片、视频等全环节的提示词资源支撑，提升内容生成质量与创作效率。</w:t>
            </w:r>
          </w:p>
        </w:tc>
      </w:tr>
      <w:tr w14:paraId="2156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0" w:type="dxa"/>
            <w:tcMar>
              <w:top w:w="60" w:type="dxa"/>
              <w:left w:w="120" w:type="dxa"/>
              <w:bottom w:w="30" w:type="dxa"/>
              <w:right w:w="120" w:type="dxa"/>
            </w:tcMar>
          </w:tcPr>
          <w:p w14:paraId="5EE5B4C6">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27</w:t>
            </w:r>
          </w:p>
        </w:tc>
        <w:tc>
          <w:tcPr>
            <w:tcW w:w="2070" w:type="dxa"/>
            <w:tcMar>
              <w:top w:w="60" w:type="dxa"/>
              <w:left w:w="120" w:type="dxa"/>
              <w:bottom w:w="30" w:type="dxa"/>
              <w:right w:w="120" w:type="dxa"/>
            </w:tcMar>
          </w:tcPr>
          <w:p w14:paraId="167F4437">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视频生产管理类</w:t>
            </w:r>
          </w:p>
        </w:tc>
        <w:tc>
          <w:tcPr>
            <w:tcW w:w="2070" w:type="dxa"/>
            <w:tcMar>
              <w:top w:w="60" w:type="dxa"/>
              <w:left w:w="120" w:type="dxa"/>
              <w:bottom w:w="30" w:type="dxa"/>
              <w:right w:w="120" w:type="dxa"/>
            </w:tcMar>
          </w:tcPr>
          <w:p w14:paraId="2B489943">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视频参数管理插件服务</w:t>
            </w:r>
          </w:p>
        </w:tc>
        <w:tc>
          <w:tcPr>
            <w:tcW w:w="2070" w:type="dxa"/>
            <w:tcMar>
              <w:top w:w="60" w:type="dxa"/>
              <w:left w:w="120" w:type="dxa"/>
              <w:bottom w:w="30" w:type="dxa"/>
              <w:right w:w="120" w:type="dxa"/>
            </w:tcMar>
          </w:tcPr>
          <w:p w14:paraId="61DB69C0">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提供视频生成全流程统一参数配置服务，支持分镜选择、模型调用、视频名称、提示词、时长、比例、分辨率、生成数量等参数设置。</w:t>
            </w:r>
          </w:p>
        </w:tc>
      </w:tr>
      <w:tr w14:paraId="3803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359395AD">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28</w:t>
            </w:r>
          </w:p>
        </w:tc>
        <w:tc>
          <w:tcPr>
            <w:tcW w:w="2070" w:type="dxa"/>
            <w:tcMar>
              <w:top w:w="60" w:type="dxa"/>
              <w:left w:w="120" w:type="dxa"/>
              <w:bottom w:w="30" w:type="dxa"/>
              <w:right w:w="120" w:type="dxa"/>
            </w:tcMar>
          </w:tcPr>
          <w:p w14:paraId="2F159811">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5E6CF857">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视频生成任务插件服务</w:t>
            </w:r>
          </w:p>
        </w:tc>
        <w:tc>
          <w:tcPr>
            <w:tcW w:w="2070" w:type="dxa"/>
            <w:tcMar>
              <w:top w:w="60" w:type="dxa"/>
              <w:left w:w="120" w:type="dxa"/>
              <w:bottom w:w="30" w:type="dxa"/>
              <w:right w:w="120" w:type="dxa"/>
            </w:tcMar>
          </w:tcPr>
          <w:p w14:paraId="13D2DE2E">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提供项目式视频生成任务管理服务，支持将脚本、分镜、素材成果转化为可交付视频内容。</w:t>
            </w:r>
          </w:p>
        </w:tc>
      </w:tr>
      <w:tr w14:paraId="0563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16C393C">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29</w:t>
            </w:r>
          </w:p>
        </w:tc>
        <w:tc>
          <w:tcPr>
            <w:tcW w:w="2070" w:type="dxa"/>
            <w:tcMar>
              <w:top w:w="60" w:type="dxa"/>
              <w:left w:w="120" w:type="dxa"/>
              <w:bottom w:w="30" w:type="dxa"/>
              <w:right w:w="120" w:type="dxa"/>
            </w:tcMar>
          </w:tcPr>
          <w:p w14:paraId="3AA49C42">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5A39CC34">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单视频管理插件服务</w:t>
            </w:r>
          </w:p>
        </w:tc>
        <w:tc>
          <w:tcPr>
            <w:tcW w:w="2070" w:type="dxa"/>
            <w:tcMar>
              <w:top w:w="60" w:type="dxa"/>
              <w:left w:w="120" w:type="dxa"/>
              <w:bottom w:w="30" w:type="dxa"/>
              <w:right w:w="120" w:type="dxa"/>
            </w:tcMar>
          </w:tcPr>
          <w:p w14:paraId="33B0D5FD">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提供单条视频成果的精细化管理服务，支持查看、刷新、下载与删除操作。</w:t>
            </w:r>
          </w:p>
        </w:tc>
      </w:tr>
      <w:tr w14:paraId="3582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5555AFC">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30</w:t>
            </w:r>
          </w:p>
        </w:tc>
        <w:tc>
          <w:tcPr>
            <w:tcW w:w="2070" w:type="dxa"/>
            <w:tcMar>
              <w:top w:w="60" w:type="dxa"/>
              <w:left w:w="120" w:type="dxa"/>
              <w:bottom w:w="30" w:type="dxa"/>
              <w:right w:w="120" w:type="dxa"/>
            </w:tcMar>
          </w:tcPr>
          <w:p w14:paraId="032049B2">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0312C653">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批量视频管理插件服务</w:t>
            </w:r>
          </w:p>
        </w:tc>
        <w:tc>
          <w:tcPr>
            <w:tcW w:w="2070" w:type="dxa"/>
            <w:tcMar>
              <w:top w:w="60" w:type="dxa"/>
              <w:left w:w="120" w:type="dxa"/>
              <w:bottom w:w="30" w:type="dxa"/>
              <w:right w:w="120" w:type="dxa"/>
            </w:tcMar>
          </w:tcPr>
          <w:p w14:paraId="0C7D50BD">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提供视频成果批量管理服务，支持批量勾选、批量下载与批量删除，提升管理效率。</w:t>
            </w:r>
          </w:p>
        </w:tc>
      </w:tr>
      <w:tr w14:paraId="650D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0" w:type="dxa"/>
            <w:tcMar>
              <w:top w:w="60" w:type="dxa"/>
              <w:left w:w="120" w:type="dxa"/>
              <w:bottom w:w="30" w:type="dxa"/>
              <w:right w:w="120" w:type="dxa"/>
            </w:tcMar>
          </w:tcPr>
          <w:p w14:paraId="3230E5B2">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31</w:t>
            </w:r>
          </w:p>
        </w:tc>
        <w:tc>
          <w:tcPr>
            <w:tcW w:w="2070" w:type="dxa"/>
            <w:tcMar>
              <w:top w:w="60" w:type="dxa"/>
              <w:left w:w="120" w:type="dxa"/>
              <w:bottom w:w="30" w:type="dxa"/>
              <w:right w:w="120" w:type="dxa"/>
            </w:tcMar>
          </w:tcPr>
          <w:p w14:paraId="4F762620">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AI图片创作类</w:t>
            </w:r>
          </w:p>
        </w:tc>
        <w:tc>
          <w:tcPr>
            <w:tcW w:w="2070" w:type="dxa"/>
            <w:tcMar>
              <w:top w:w="60" w:type="dxa"/>
              <w:left w:w="120" w:type="dxa"/>
              <w:bottom w:w="30" w:type="dxa"/>
              <w:right w:w="120" w:type="dxa"/>
            </w:tcMar>
          </w:tcPr>
          <w:p w14:paraId="2D6C6741">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对话式图片生成插件服务</w:t>
            </w:r>
          </w:p>
        </w:tc>
        <w:tc>
          <w:tcPr>
            <w:tcW w:w="2070" w:type="dxa"/>
            <w:tcMar>
              <w:top w:w="60" w:type="dxa"/>
              <w:left w:w="120" w:type="dxa"/>
              <w:bottom w:w="30" w:type="dxa"/>
              <w:right w:w="120" w:type="dxa"/>
            </w:tcMar>
          </w:tcPr>
          <w:p w14:paraId="4F4AFAC0">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提供对话式图片生成服务，支持师生通过自然语言完成教学插图、封面图、角色图、场景图等内容创作。</w:t>
            </w:r>
          </w:p>
        </w:tc>
      </w:tr>
      <w:tr w14:paraId="528C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E16E383">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32</w:t>
            </w:r>
          </w:p>
        </w:tc>
        <w:tc>
          <w:tcPr>
            <w:tcW w:w="2070" w:type="dxa"/>
            <w:tcMar>
              <w:top w:w="60" w:type="dxa"/>
              <w:left w:w="120" w:type="dxa"/>
              <w:bottom w:w="30" w:type="dxa"/>
              <w:right w:w="120" w:type="dxa"/>
            </w:tcMar>
          </w:tcPr>
          <w:p w14:paraId="755744C0">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6D800D79">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图片历史管理插件服务</w:t>
            </w:r>
          </w:p>
        </w:tc>
        <w:tc>
          <w:tcPr>
            <w:tcW w:w="2070" w:type="dxa"/>
            <w:tcMar>
              <w:top w:w="60" w:type="dxa"/>
              <w:left w:w="120" w:type="dxa"/>
              <w:bottom w:w="30" w:type="dxa"/>
              <w:right w:w="120" w:type="dxa"/>
            </w:tcMar>
          </w:tcPr>
          <w:p w14:paraId="562C4374">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提供图片生成历史记录管理服务，支持历史记录的查看、管理与成果复用。</w:t>
            </w:r>
          </w:p>
        </w:tc>
      </w:tr>
      <w:tr w14:paraId="36ED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CDD83FD">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33</w:t>
            </w:r>
          </w:p>
        </w:tc>
        <w:tc>
          <w:tcPr>
            <w:tcW w:w="2070" w:type="dxa"/>
            <w:tcMar>
              <w:top w:w="60" w:type="dxa"/>
              <w:left w:w="120" w:type="dxa"/>
              <w:bottom w:w="30" w:type="dxa"/>
              <w:right w:w="120" w:type="dxa"/>
            </w:tcMar>
          </w:tcPr>
          <w:p w14:paraId="71777924">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6B482402">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图片结果管理插件服务</w:t>
            </w:r>
          </w:p>
        </w:tc>
        <w:tc>
          <w:tcPr>
            <w:tcW w:w="2070" w:type="dxa"/>
            <w:tcMar>
              <w:top w:w="60" w:type="dxa"/>
              <w:left w:w="120" w:type="dxa"/>
              <w:bottom w:w="30" w:type="dxa"/>
              <w:right w:w="120" w:type="dxa"/>
            </w:tcMar>
          </w:tcPr>
          <w:p w14:paraId="030FAA6F">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提供图片成果运营与再加工服务，支持重新生成、编辑、下载、收藏、发布及转视频处理。</w:t>
            </w:r>
          </w:p>
        </w:tc>
      </w:tr>
      <w:tr w14:paraId="645C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333ADB1">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34</w:t>
            </w:r>
          </w:p>
        </w:tc>
        <w:tc>
          <w:tcPr>
            <w:tcW w:w="2070" w:type="dxa"/>
            <w:tcMar>
              <w:top w:w="60" w:type="dxa"/>
              <w:left w:w="120" w:type="dxa"/>
              <w:bottom w:w="30" w:type="dxa"/>
              <w:right w:w="120" w:type="dxa"/>
            </w:tcMar>
          </w:tcPr>
          <w:p w14:paraId="24EF2B64">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1E15881A">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图片专业参数配置插件服务</w:t>
            </w:r>
          </w:p>
        </w:tc>
        <w:tc>
          <w:tcPr>
            <w:tcW w:w="2070" w:type="dxa"/>
            <w:tcMar>
              <w:top w:w="60" w:type="dxa"/>
              <w:left w:w="120" w:type="dxa"/>
              <w:bottom w:w="30" w:type="dxa"/>
              <w:right w:w="120" w:type="dxa"/>
            </w:tcMar>
          </w:tcPr>
          <w:p w14:paraId="0C991559">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提供图片精细化创作参数配置服务，支持提示词、分辨率、图片比例、风格、生成数量、参考图及素材资产关联等设置。</w:t>
            </w:r>
          </w:p>
        </w:tc>
      </w:tr>
      <w:tr w14:paraId="1AF3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0" w:type="dxa"/>
            <w:tcMar>
              <w:top w:w="60" w:type="dxa"/>
              <w:left w:w="120" w:type="dxa"/>
              <w:bottom w:w="30" w:type="dxa"/>
              <w:right w:w="120" w:type="dxa"/>
            </w:tcMar>
          </w:tcPr>
          <w:p w14:paraId="67E440F0">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35</w:t>
            </w:r>
          </w:p>
        </w:tc>
        <w:tc>
          <w:tcPr>
            <w:tcW w:w="2070" w:type="dxa"/>
            <w:tcMar>
              <w:top w:w="60" w:type="dxa"/>
              <w:left w:w="120" w:type="dxa"/>
              <w:bottom w:w="30" w:type="dxa"/>
              <w:right w:w="120" w:type="dxa"/>
            </w:tcMar>
          </w:tcPr>
          <w:p w14:paraId="722CEB59">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AI视频创作类</w:t>
            </w:r>
          </w:p>
        </w:tc>
        <w:tc>
          <w:tcPr>
            <w:tcW w:w="2070" w:type="dxa"/>
            <w:tcMar>
              <w:top w:w="60" w:type="dxa"/>
              <w:left w:w="120" w:type="dxa"/>
              <w:bottom w:w="30" w:type="dxa"/>
              <w:right w:w="120" w:type="dxa"/>
            </w:tcMar>
          </w:tcPr>
          <w:p w14:paraId="1302A4AB">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对话式视频生成插件服务</w:t>
            </w:r>
          </w:p>
        </w:tc>
        <w:tc>
          <w:tcPr>
            <w:tcW w:w="2070" w:type="dxa"/>
            <w:tcMar>
              <w:top w:w="60" w:type="dxa"/>
              <w:left w:w="120" w:type="dxa"/>
              <w:bottom w:w="30" w:type="dxa"/>
              <w:right w:w="120" w:type="dxa"/>
            </w:tcMar>
          </w:tcPr>
          <w:p w14:paraId="417A65F9">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提供对话式快速视频生成服务，支持通过自然语言与关键画面输入快速生成视频样片，适配课堂活动素材、创意样片、快速出片场景。</w:t>
            </w:r>
          </w:p>
        </w:tc>
      </w:tr>
      <w:tr w14:paraId="6899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B49DB98">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36</w:t>
            </w:r>
          </w:p>
        </w:tc>
        <w:tc>
          <w:tcPr>
            <w:tcW w:w="2070" w:type="dxa"/>
            <w:tcMar>
              <w:top w:w="60" w:type="dxa"/>
              <w:left w:w="120" w:type="dxa"/>
              <w:bottom w:w="30" w:type="dxa"/>
              <w:right w:w="120" w:type="dxa"/>
            </w:tcMar>
          </w:tcPr>
          <w:p w14:paraId="12AB2010">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0338858C">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视频历史管理插件服务</w:t>
            </w:r>
          </w:p>
        </w:tc>
        <w:tc>
          <w:tcPr>
            <w:tcW w:w="2070" w:type="dxa"/>
            <w:tcMar>
              <w:top w:w="60" w:type="dxa"/>
              <w:left w:w="120" w:type="dxa"/>
              <w:bottom w:w="30" w:type="dxa"/>
              <w:right w:w="120" w:type="dxa"/>
            </w:tcMar>
          </w:tcPr>
          <w:p w14:paraId="310E7677">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提供视频生成历史记录管理服务，支持历史记录的查看、管理与成果复用。</w:t>
            </w:r>
          </w:p>
        </w:tc>
      </w:tr>
      <w:tr w14:paraId="003B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4BE8A6E">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37</w:t>
            </w:r>
          </w:p>
        </w:tc>
        <w:tc>
          <w:tcPr>
            <w:tcW w:w="2070" w:type="dxa"/>
            <w:tcMar>
              <w:top w:w="60" w:type="dxa"/>
              <w:left w:w="120" w:type="dxa"/>
              <w:bottom w:w="30" w:type="dxa"/>
              <w:right w:w="120" w:type="dxa"/>
            </w:tcMar>
          </w:tcPr>
          <w:p w14:paraId="5776A5FB">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25239185">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视频结果管理插件服务</w:t>
            </w:r>
          </w:p>
        </w:tc>
        <w:tc>
          <w:tcPr>
            <w:tcW w:w="2070" w:type="dxa"/>
            <w:tcMar>
              <w:top w:w="60" w:type="dxa"/>
              <w:left w:w="120" w:type="dxa"/>
              <w:bottom w:w="30" w:type="dxa"/>
              <w:right w:w="120" w:type="dxa"/>
            </w:tcMar>
          </w:tcPr>
          <w:p w14:paraId="31C31DBE">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提供视频成果全生命周期管理服务，支持重新生成、下载、收藏与发布操作。</w:t>
            </w:r>
          </w:p>
        </w:tc>
      </w:tr>
      <w:tr w14:paraId="6E6F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81F1A0C">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38</w:t>
            </w:r>
          </w:p>
        </w:tc>
        <w:tc>
          <w:tcPr>
            <w:tcW w:w="2070" w:type="dxa"/>
            <w:tcMar>
              <w:top w:w="60" w:type="dxa"/>
              <w:left w:w="120" w:type="dxa"/>
              <w:bottom w:w="30" w:type="dxa"/>
              <w:right w:w="120" w:type="dxa"/>
            </w:tcMar>
          </w:tcPr>
          <w:p w14:paraId="6F8F6A32">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01E0F55F">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视频专业参数配置插件服务</w:t>
            </w:r>
          </w:p>
        </w:tc>
        <w:tc>
          <w:tcPr>
            <w:tcW w:w="2070" w:type="dxa"/>
            <w:tcMar>
              <w:top w:w="60" w:type="dxa"/>
              <w:left w:w="120" w:type="dxa"/>
              <w:bottom w:w="30" w:type="dxa"/>
              <w:right w:w="120" w:type="dxa"/>
            </w:tcMar>
          </w:tcPr>
          <w:p w14:paraId="27D171C8">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提供视频精细化生成参数配置服务，支持提示词、视频时长、比例、分辨率、生成数量、风格及首尾帧等设置。</w:t>
            </w:r>
          </w:p>
        </w:tc>
      </w:tr>
      <w:tr w14:paraId="4A6A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0" w:type="dxa"/>
            <w:tcMar>
              <w:top w:w="60" w:type="dxa"/>
              <w:left w:w="120" w:type="dxa"/>
              <w:bottom w:w="30" w:type="dxa"/>
              <w:right w:w="120" w:type="dxa"/>
            </w:tcMar>
          </w:tcPr>
          <w:p w14:paraId="2CB7D265">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39</w:t>
            </w:r>
          </w:p>
        </w:tc>
        <w:tc>
          <w:tcPr>
            <w:tcW w:w="2070" w:type="dxa"/>
            <w:tcMar>
              <w:top w:w="60" w:type="dxa"/>
              <w:left w:w="120" w:type="dxa"/>
              <w:bottom w:w="30" w:type="dxa"/>
              <w:right w:w="120" w:type="dxa"/>
            </w:tcMar>
          </w:tcPr>
          <w:p w14:paraId="0D3E71B2">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Agent智能生成类</w:t>
            </w:r>
          </w:p>
        </w:tc>
        <w:tc>
          <w:tcPr>
            <w:tcW w:w="2070" w:type="dxa"/>
            <w:tcMar>
              <w:top w:w="60" w:type="dxa"/>
              <w:left w:w="120" w:type="dxa"/>
              <w:bottom w:w="30" w:type="dxa"/>
              <w:right w:w="120" w:type="dxa"/>
            </w:tcMar>
          </w:tcPr>
          <w:p w14:paraId="3CF9454D">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对话式生成插件服务</w:t>
            </w:r>
          </w:p>
        </w:tc>
        <w:tc>
          <w:tcPr>
            <w:tcW w:w="2070" w:type="dxa"/>
            <w:tcMar>
              <w:top w:w="60" w:type="dxa"/>
              <w:left w:w="120" w:type="dxa"/>
              <w:bottom w:w="30" w:type="dxa"/>
              <w:right w:w="120" w:type="dxa"/>
            </w:tcMar>
          </w:tcPr>
          <w:p w14:paraId="26F7B0A8">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提供低门槛托管式对话生成服务，支持图片/视频偏好、调用模型、比例、清晰度等参数一键配置。</w:t>
            </w:r>
          </w:p>
        </w:tc>
      </w:tr>
      <w:tr w14:paraId="106E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60BD596">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40</w:t>
            </w:r>
          </w:p>
        </w:tc>
        <w:tc>
          <w:tcPr>
            <w:tcW w:w="2070" w:type="dxa"/>
            <w:tcMar>
              <w:top w:w="60" w:type="dxa"/>
              <w:left w:w="120" w:type="dxa"/>
              <w:bottom w:w="30" w:type="dxa"/>
              <w:right w:w="120" w:type="dxa"/>
            </w:tcMar>
          </w:tcPr>
          <w:p w14:paraId="07A157F1">
            <w:pPr>
              <w:rPr>
                <w:rFonts w:hint="eastAsia" w:asciiTheme="minorEastAsia" w:hAnsiTheme="minorEastAsia" w:eastAsiaTheme="minorEastAsia" w:cstheme="minorEastAsia"/>
              </w:rPr>
            </w:pPr>
          </w:p>
        </w:tc>
        <w:tc>
          <w:tcPr>
            <w:tcW w:w="2070" w:type="dxa"/>
            <w:tcMar>
              <w:top w:w="60" w:type="dxa"/>
              <w:left w:w="120" w:type="dxa"/>
              <w:bottom w:w="30" w:type="dxa"/>
              <w:right w:w="120" w:type="dxa"/>
            </w:tcMar>
          </w:tcPr>
          <w:p w14:paraId="135D7D50">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生成结果管理插件服务</w:t>
            </w:r>
          </w:p>
        </w:tc>
        <w:tc>
          <w:tcPr>
            <w:tcW w:w="2070" w:type="dxa"/>
            <w:tcMar>
              <w:top w:w="60" w:type="dxa"/>
              <w:left w:w="120" w:type="dxa"/>
              <w:bottom w:w="30" w:type="dxa"/>
              <w:right w:w="120" w:type="dxa"/>
            </w:tcMar>
          </w:tcPr>
          <w:p w14:paraId="66BA998D">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提供Agent生成内容的统一运营服务，支持生成的图片、视频内容的查看、重新生成、编辑、下载、收藏、发布与二次流转。</w:t>
            </w:r>
          </w:p>
        </w:tc>
      </w:tr>
    </w:tbl>
    <w:p w14:paraId="11DCE762">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所有插件需与上海开大现有智能体中台实现深度统一集成，</w:t>
      </w:r>
      <w:r>
        <w:rPr>
          <w:rFonts w:hint="eastAsia" w:asciiTheme="minorEastAsia" w:hAnsiTheme="minorEastAsia" w:cstheme="minorEastAsia"/>
          <w:sz w:val="22"/>
          <w:lang w:eastAsia="zh-CN"/>
        </w:rPr>
        <w:t>成交</w:t>
      </w:r>
      <w:r>
        <w:rPr>
          <w:rFonts w:hint="eastAsia" w:asciiTheme="minorEastAsia" w:hAnsiTheme="minorEastAsia" w:eastAsiaTheme="minorEastAsia" w:cstheme="minorEastAsia"/>
          <w:sz w:val="22"/>
        </w:rPr>
        <w:t>供应商需提供数据互通、身份认证、权限管控等全维度集成技术服务，相关费用由</w:t>
      </w:r>
      <w:r>
        <w:rPr>
          <w:rFonts w:hint="eastAsia" w:asciiTheme="minorEastAsia" w:hAnsiTheme="minorEastAsia" w:cstheme="minorEastAsia"/>
          <w:sz w:val="22"/>
          <w:lang w:eastAsia="zh-CN"/>
        </w:rPr>
        <w:t>成交</w:t>
      </w:r>
      <w:r>
        <w:rPr>
          <w:rFonts w:hint="eastAsia" w:asciiTheme="minorEastAsia" w:hAnsiTheme="minorEastAsia" w:eastAsiaTheme="minorEastAsia" w:cstheme="minorEastAsia"/>
          <w:sz w:val="22"/>
        </w:rPr>
        <w:t>供应商全额承担；</w:t>
      </w:r>
      <w:r>
        <w:rPr>
          <w:rFonts w:hint="eastAsia" w:asciiTheme="minorEastAsia" w:hAnsiTheme="minorEastAsia" w:cstheme="minorEastAsia"/>
          <w:sz w:val="22"/>
          <w:lang w:eastAsia="zh-CN"/>
        </w:rPr>
        <w:t>成交</w:t>
      </w:r>
      <w:r>
        <w:rPr>
          <w:rFonts w:hint="eastAsia" w:asciiTheme="minorEastAsia" w:hAnsiTheme="minorEastAsia" w:eastAsiaTheme="minorEastAsia" w:cstheme="minorEastAsia"/>
          <w:sz w:val="22"/>
        </w:rPr>
        <w:t>后需出具正式集成服务承诺函。</w:t>
      </w:r>
    </w:p>
    <w:p w14:paraId="3DF7F5EB">
      <w:pPr>
        <w:spacing w:before="300" w:after="120" w:line="288" w:lineRule="auto"/>
        <w:ind w:left="0"/>
        <w:jc w:val="left"/>
        <w:outlineLvl w:val="2"/>
        <w:rPr>
          <w:rFonts w:hint="eastAsia" w:asciiTheme="minorEastAsia" w:hAnsiTheme="minorEastAsia" w:eastAsiaTheme="minorEastAsia" w:cstheme="minorEastAsia"/>
        </w:rPr>
      </w:pPr>
      <w:bookmarkStart w:id="5" w:name="heading_5"/>
      <w:r>
        <w:rPr>
          <w:rFonts w:hint="eastAsia" w:asciiTheme="minorEastAsia" w:hAnsiTheme="minorEastAsia" w:eastAsiaTheme="minorEastAsia" w:cstheme="minorEastAsia"/>
          <w:b/>
          <w:sz w:val="30"/>
        </w:rPr>
        <w:t>2. AI能力拓展类</w:t>
      </w:r>
      <w:bookmarkEnd w:id="5"/>
    </w:p>
    <w:p w14:paraId="713B0548">
      <w:pPr>
        <w:spacing w:before="260" w:after="120" w:line="288" w:lineRule="auto"/>
        <w:ind w:left="0"/>
        <w:jc w:val="left"/>
        <w:outlineLvl w:val="3"/>
        <w:rPr>
          <w:rFonts w:hint="eastAsia" w:asciiTheme="minorEastAsia" w:hAnsiTheme="minorEastAsia" w:eastAsiaTheme="minorEastAsia" w:cstheme="minorEastAsia"/>
        </w:rPr>
      </w:pPr>
      <w:bookmarkStart w:id="6" w:name="heading_6"/>
      <w:r>
        <w:rPr>
          <w:rFonts w:hint="eastAsia" w:asciiTheme="minorEastAsia" w:hAnsiTheme="minorEastAsia" w:eastAsiaTheme="minorEastAsia" w:cstheme="minorEastAsia"/>
          <w:b/>
          <w:sz w:val="28"/>
        </w:rPr>
        <w:t>（1）智能体广场扩展服务</w:t>
      </w:r>
      <w:bookmarkEnd w:id="6"/>
    </w:p>
    <w:p w14:paraId="06BCE332">
      <w:pPr>
        <w:numPr>
          <w:ilvl w:val="0"/>
          <w:numId w:val="2"/>
        </w:num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2"/>
        </w:rPr>
        <w:t>基础平台扩容升级</w:t>
      </w:r>
    </w:p>
    <w:p w14:paraId="1C29EF6D">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基于现有智能体广场进行功能与性能扩容，保障页面平均响应时间控制在2秒以内；提供标准化智能体创建框架，降低教师自主开发与使用门槛；搭建用户反馈收集与功能迭代优化通道，支撑智能体能力持续演进。</w:t>
      </w:r>
    </w:p>
    <w:p w14:paraId="5BCF8F8E">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围绕智能体广场扩展，构建统一学习入口与AI学习空间服务体系，完成角色权限配置、本地及外部知识库接入调试、消息通道联调与运行稳定性校验。</w:t>
      </w:r>
    </w:p>
    <w:p w14:paraId="52EFE72B">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实现基于学生选课信息与阶段目标的学习清单自动配置，支持按学校业务部门要求设置提醒节奏与辅助管理优先级；服务过程中持续推送任务安排，结合学习进度动态匹配学习资源，并对学习过程与结果形成连续反馈。通过“入口访问-任务执行-结果回写-策略优化”的闭环运行机制，保障学生在单一服务链路中完成学习咨询、学习路径跟进与教务事项提醒，提升全流程服务的稳定性与可追溯性。</w:t>
      </w:r>
    </w:p>
    <w:p w14:paraId="72DD8BC0">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配置统一异常告警与人工兜底机制：当周期扫描触发生学情预警（如长期未选课、任务逾期未完成等）时，自动启动预设提醒流程，向相关人员推送分级通知，并按规则逐级升级，直至进入人工审核与处置环节；处置完成后，沿原链路跟踪整改结果，确保服务流程输出准确、连续、可解释。</w:t>
      </w:r>
    </w:p>
    <w:p w14:paraId="67547FC6">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实施阶段同步完成账号并发容量核验、单点登录稳定性巡检与权限边界复核，保障高峰时段学习入口响应顺畅；针对重点课程与重点群体，可配置差异化提醒模板与分时段触发规则，避免信息拥堵，提升服务触达效率。</w:t>
      </w:r>
    </w:p>
    <w:p w14:paraId="76457459">
      <w:pPr>
        <w:numPr>
          <w:ilvl w:val="0"/>
          <w:numId w:val="3"/>
        </w:num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2"/>
        </w:rPr>
        <w:t>场景化智能应用优化</w:t>
      </w:r>
    </w:p>
    <w:p w14:paraId="49C31C7E">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深度打造优质场景化智能体，构建“师-机-生”三元协同生态，全面覆盖教学全场景需求，提升服务精准度。重点建设实践教学实验指导智能体、学习效果评测智能应用、复习备考模拟测验智能应用等，深度融入学习辅导、教务节点服务、阶段路径引导及策略分层触发等核心环节。</w:t>
      </w:r>
    </w:p>
    <w:p w14:paraId="66F3F187">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按课前准备、课堂跟进、课后巩固、考前复习四个教学环节完成智能应用部署与规则配置，并根据学生学习状态、任务完成率与行为数据进行动态调优。围绕选课、缴费、作业、考试、成绩查询、毕业等关键教务节点，在服务链路中同步配置提醒、督办与人工介入机制，确保各阶段服务体验一致、流程顺畅。通过分层触发、分级提醒与节点联调，实现学习服务与教务服务的无缝衔接，消除场景切换导致的信息断点。</w:t>
      </w:r>
    </w:p>
    <w:p w14:paraId="3D7E9117">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运维阶段按双方约定周期输出场景命中与服务响应报告，持续校准触发阈值、提醒频率与升级路径，确保不同群体在不同学习阶段获得匹配度更高的服务支持。</w:t>
      </w:r>
    </w:p>
    <w:p w14:paraId="4027A8DA">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统一各类场景说明、触发任务与任务描述的术语体系，每轮服务运行结束后完整记录工作流运行状态与异常信息；通过持续校准工作流执行效果，提升学生、教师与管理人员的信息接收准确率，降低智能服务误判带来的执行风险。</w:t>
      </w:r>
    </w:p>
    <w:p w14:paraId="126DEC5D">
      <w:pPr>
        <w:numPr>
          <w:ilvl w:val="0"/>
          <w:numId w:val="4"/>
        </w:num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2"/>
        </w:rPr>
        <w:t>智能应用分类管理完善</w:t>
      </w:r>
    </w:p>
    <w:p w14:paraId="153B9DAD">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按教学全流程关键场景对智能应用进行精细化分类，涵盖课前预习、课后作业、实践操作、复习备考、学情分析等核心场景；同时按学习主题、服务对象、办理事项、任务阶段进行多维度标签化管理，形成可配置、可复用、可追踪的分类体系。</w:t>
      </w:r>
    </w:p>
    <w:p w14:paraId="07DC6CDB">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结合学校自有教学教务专题知识库的业务关联关系，分类结果可直接用于智能查询、内容推荐、事项提醒与任务分发，保证同一事项在不同场景下的引用口径一致。通过定期校验、增量配置与运行复盘，实现分类体系的持续扩容与统一表达，为后续服务调用提供稳定支撑。</w:t>
      </w:r>
    </w:p>
    <w:p w14:paraId="31395924">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针对高频事项与高风险事项，在分类体系中同步配置优先级与责任归属字段，便于在提醒、督办、审核等环节快速定位处理主体，缩短问题处置时长。</w:t>
      </w:r>
    </w:p>
    <w:p w14:paraId="14781A27">
      <w:pPr>
        <w:spacing w:before="260" w:after="120" w:line="288" w:lineRule="auto"/>
        <w:ind w:left="0"/>
        <w:jc w:val="left"/>
        <w:outlineLvl w:val="3"/>
        <w:rPr>
          <w:rFonts w:hint="eastAsia" w:asciiTheme="minorEastAsia" w:hAnsiTheme="minorEastAsia" w:eastAsiaTheme="minorEastAsia" w:cstheme="minorEastAsia"/>
        </w:rPr>
      </w:pPr>
      <w:bookmarkStart w:id="7" w:name="heading_7"/>
      <w:r>
        <w:rPr>
          <w:rFonts w:hint="eastAsia" w:asciiTheme="minorEastAsia" w:hAnsiTheme="minorEastAsia" w:eastAsiaTheme="minorEastAsia" w:cstheme="minorEastAsia"/>
          <w:b/>
          <w:sz w:val="28"/>
        </w:rPr>
        <w:t>（2）多智能体协同服务</w:t>
      </w:r>
      <w:bookmarkEnd w:id="7"/>
    </w:p>
    <w:p w14:paraId="740B3E65">
      <w:pPr>
        <w:numPr>
          <w:ilvl w:val="0"/>
          <w:numId w:val="5"/>
        </w:num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2"/>
        </w:rPr>
        <w:t>多智能体协同框架搭建</w:t>
      </w:r>
    </w:p>
    <w:p w14:paraId="76E75AFE">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设计主从智能体交互架构，明确主智能体（需求接收、任务分配、结果整合）与从智能体（专项功能执行）的职责边界，制定统一数据交互标准，保障多智能体协同有序运行；建设协同调度引擎，支持根据场景需求自动匹配最优智能体组合，具备任务中断恢复、异常智能体自动替换能力，保障服务连续性。</w:t>
      </w:r>
    </w:p>
    <w:p w14:paraId="041716F7">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围绕AI学习空间动态任务治理需求，构建统一动态策略配置框架，以“条件触发-动作执行-结果回写”为核心逻辑，对教务管理场景的任务触发、状态流转、提醒升级与结果回写进行统一配置与执行；支持按角色、学习阶段、事项类型、风险等级设置策略条件，确保不同对象在不同场景下获得匹配的任务安排与处理动作。</w:t>
      </w:r>
    </w:p>
    <w:p w14:paraId="3CC45BA5">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在教务管理场景中，可对选课、缴费、考试、成绩、毕业等关键事项配置联动策略：例如缴费逾期时，自动触发教务提醒并按规则限制关联任务状态；缴费状态恢复后，自动解除限制并恢复后续任务流转；毕业条件不满足时，自动生成阶段性补强任务并按周期复核完成情况。通过统一策略配置，实现不同教务事项在同一规则体系下的协同运行，减少人为判断差异，提升处理一致性与执行效率。</w:t>
      </w:r>
    </w:p>
    <w:p w14:paraId="2DD4072B">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配置分级处置与人工介入机制，保障策略执行可控可追溯：一般事项按预设规则自动执行；持续未完成事项或高影响事项，按时限自动升级并进入人工审核流程。全流程记录触发条件、执行动作、处理结果与回写状态，支撑后续复盘、优化与验收工作，确保动态策略在教务场景的长期稳定运行。</w:t>
      </w:r>
    </w:p>
    <w:p w14:paraId="2A47F126">
      <w:pPr>
        <w:numPr>
          <w:ilvl w:val="0"/>
          <w:numId w:val="6"/>
        </w:num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2"/>
        </w:rPr>
        <w:t>全周期多智能应用协同服务落地</w:t>
      </w:r>
    </w:p>
    <w:p w14:paraId="2141ED72">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围绕学生学习全周期关键场景构建协同服务体系，精准解决各环节核心痛点：知识点查询场景，实现知识解析、资源关联与应用辅助，助力学生深化理解；作业批改场景，通过多智能体协同完成作业批改、个性化反馈与共性问题汇总，提升批改效率与精准度；学情分析场景，联动学生多维学习数据完成数据整合、用户画像构建与个性化学习规划，实现因材施教。</w:t>
      </w:r>
    </w:p>
    <w:p w14:paraId="77CAB244">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将多智能应用协同结果与学习路径配置、过程性评价、任务执行机制深度联动，完成阶段目标设定、资源清单配置、提醒频率调试与节点校验；依据学生学习轨迹与阶段表现，结合学生自主意愿确定重点学习内容，推荐匹配的学习路径并同步配置相应资源，同时将学习效果反馈回流至下一轮策略编排。通过“执行-评价-回流-再配置”的闭环机制，确保各学习阶段服务内容的针对性与一致性，保障学习困难学生等重点对象得到及时补强与稳定支持。</w:t>
      </w:r>
    </w:p>
    <w:p w14:paraId="707EDAAC">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全周期运行过程中，根据阶段目标完成情况进行分层复核：对达标稳定群体执行轻量跟进策略，对学习波动群体执行强化跟进策略。通过分层策略配置与服务节奏调试，实现服务资源向高风险对象倾斜，同时保障整体运行效率，确保关键时段服务不断档，持续提升重点对象的任务完成率。</w:t>
      </w:r>
    </w:p>
    <w:p w14:paraId="693581F6">
      <w:pPr>
        <w:numPr>
          <w:ilvl w:val="0"/>
          <w:numId w:val="7"/>
        </w:num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2"/>
        </w:rPr>
        <w:t>协同效果验证与优化</w:t>
      </w:r>
    </w:p>
    <w:p w14:paraId="427B0BE5">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将学习完成率、风险识别及时率、教师干预响应效率、教务事项按时办结率纳入核心评估指标，依托教学教务专题知识库，构建可验证、可量化、可持续优化的运行评价体系，支撑服务规模化推广。评估结果按月形成优化清单，明确责任人、完成时限与复核节点，确保优化动作可执行、可检查、可验收。</w:t>
      </w:r>
    </w:p>
    <w:p w14:paraId="769BBCFA">
      <w:pPr>
        <w:spacing w:before="320" w:after="120" w:line="288" w:lineRule="auto"/>
        <w:ind w:left="0"/>
        <w:jc w:val="left"/>
        <w:outlineLvl w:val="1"/>
        <w:rPr>
          <w:rFonts w:hint="eastAsia" w:asciiTheme="minorEastAsia" w:hAnsiTheme="minorEastAsia" w:eastAsiaTheme="minorEastAsia" w:cstheme="minorEastAsia"/>
        </w:rPr>
      </w:pPr>
      <w:bookmarkStart w:id="8" w:name="heading_8"/>
      <w:r>
        <w:rPr>
          <w:rFonts w:hint="eastAsia" w:asciiTheme="minorEastAsia" w:hAnsiTheme="minorEastAsia" w:eastAsiaTheme="minorEastAsia" w:cstheme="minorEastAsia"/>
          <w:b/>
          <w:sz w:val="32"/>
        </w:rPr>
        <w:t>三、项目进度要求</w:t>
      </w:r>
      <w:bookmarkEnd w:id="8"/>
    </w:p>
    <w:p w14:paraId="7648127D">
      <w:pPr>
        <w:spacing w:before="120" w:after="120" w:line="288" w:lineRule="auto"/>
        <w:ind w:left="0" w:firstLine="440" w:firstLineChars="200"/>
        <w:jc w:val="left"/>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项目服务周期：2026年12月31日前完成</w:t>
      </w:r>
      <w:r>
        <w:rPr>
          <w:rFonts w:hint="eastAsia" w:asciiTheme="minorEastAsia" w:hAnsiTheme="minorEastAsia" w:cstheme="minorEastAsia"/>
          <w:sz w:val="22"/>
          <w:lang w:eastAsia="zh-CN"/>
        </w:rPr>
        <w:t>服务</w:t>
      </w:r>
      <w:r>
        <w:rPr>
          <w:rFonts w:hint="eastAsia" w:asciiTheme="minorEastAsia" w:hAnsiTheme="minorEastAsia" w:eastAsiaTheme="minorEastAsia" w:cstheme="minorEastAsia"/>
          <w:sz w:val="22"/>
        </w:rPr>
        <w:t>并通过验收。</w:t>
      </w:r>
    </w:p>
    <w:p w14:paraId="07CB378A">
      <w:pPr>
        <w:spacing w:before="320" w:after="120" w:line="288" w:lineRule="auto"/>
        <w:ind w:left="0"/>
        <w:jc w:val="left"/>
        <w:outlineLvl w:val="1"/>
        <w:rPr>
          <w:rFonts w:hint="eastAsia" w:asciiTheme="minorEastAsia" w:hAnsiTheme="minorEastAsia" w:eastAsiaTheme="minorEastAsia" w:cstheme="minorEastAsia"/>
        </w:rPr>
      </w:pPr>
      <w:bookmarkStart w:id="9" w:name="heading_9"/>
      <w:r>
        <w:rPr>
          <w:rFonts w:hint="eastAsia" w:asciiTheme="minorEastAsia" w:hAnsiTheme="minorEastAsia" w:eastAsiaTheme="minorEastAsia" w:cstheme="minorEastAsia"/>
          <w:b/>
          <w:sz w:val="32"/>
        </w:rPr>
        <w:t>四、项目团队要求</w:t>
      </w:r>
      <w:bookmarkEnd w:id="9"/>
    </w:p>
    <w:p w14:paraId="462059A1">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为保障项目高质量实施与持续稳定运营，供应商需组建专业化技术服务团队，满足以下要求：</w:t>
      </w:r>
    </w:p>
    <w:p w14:paraId="568760DE">
      <w:pPr>
        <w:spacing w:before="300" w:after="120" w:line="288" w:lineRule="auto"/>
        <w:ind w:left="0"/>
        <w:jc w:val="left"/>
        <w:outlineLvl w:val="2"/>
        <w:rPr>
          <w:rFonts w:hint="eastAsia" w:asciiTheme="minorEastAsia" w:hAnsiTheme="minorEastAsia" w:eastAsiaTheme="minorEastAsia" w:cstheme="minorEastAsia"/>
        </w:rPr>
      </w:pPr>
      <w:bookmarkStart w:id="10" w:name="heading_10"/>
      <w:r>
        <w:rPr>
          <w:rFonts w:hint="eastAsia" w:asciiTheme="minorEastAsia" w:hAnsiTheme="minorEastAsia" w:eastAsiaTheme="minorEastAsia" w:cstheme="minorEastAsia"/>
          <w:b/>
          <w:sz w:val="30"/>
        </w:rPr>
        <w:t>（1）团队配置</w:t>
      </w:r>
      <w:bookmarkEnd w:id="10"/>
    </w:p>
    <w:p w14:paraId="147CE556">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配备不少于2名专职技术人员负责日常运维与技术支持工作；服务人员需具备3年以上软件服务类项目实施经验，拥有丰富的同类教育信息化项目运维经验，具备良好的沟通能力与服务意识，能够快速响应并解决用户问题。</w:t>
      </w:r>
    </w:p>
    <w:p w14:paraId="0C6E56D0">
      <w:pPr>
        <w:spacing w:before="300" w:after="120" w:line="288" w:lineRule="auto"/>
        <w:ind w:left="0"/>
        <w:jc w:val="left"/>
        <w:outlineLvl w:val="2"/>
        <w:rPr>
          <w:rFonts w:hint="eastAsia" w:asciiTheme="minorEastAsia" w:hAnsiTheme="minorEastAsia" w:eastAsiaTheme="minorEastAsia" w:cstheme="minorEastAsia"/>
        </w:rPr>
      </w:pPr>
      <w:bookmarkStart w:id="11" w:name="heading_11"/>
      <w:r>
        <w:rPr>
          <w:rFonts w:hint="eastAsia" w:asciiTheme="minorEastAsia" w:hAnsiTheme="minorEastAsia" w:eastAsiaTheme="minorEastAsia" w:cstheme="minorEastAsia"/>
          <w:b/>
          <w:sz w:val="30"/>
        </w:rPr>
        <w:t>（2）项目管理</w:t>
      </w:r>
      <w:bookmarkEnd w:id="11"/>
    </w:p>
    <w:p w14:paraId="6281C751">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严格遵循项目管理标准流程实施，覆盖需求分析、方案设计、系统部署、测试验收全阶段；各阶段成果需组织集中评审，确保项目质量与进度可控。建立完善的项目文档管理体系，保证过程文档齐全、规范、可追溯。</w:t>
      </w:r>
    </w:p>
    <w:p w14:paraId="1138D722">
      <w:pPr>
        <w:spacing w:before="300" w:after="120" w:line="288" w:lineRule="auto"/>
        <w:ind w:left="0"/>
        <w:jc w:val="left"/>
        <w:outlineLvl w:val="2"/>
        <w:rPr>
          <w:rFonts w:hint="eastAsia" w:asciiTheme="minorEastAsia" w:hAnsiTheme="minorEastAsia" w:eastAsiaTheme="minorEastAsia" w:cstheme="minorEastAsia"/>
        </w:rPr>
      </w:pPr>
      <w:bookmarkStart w:id="12" w:name="heading_12"/>
      <w:r>
        <w:rPr>
          <w:rFonts w:hint="eastAsia" w:asciiTheme="minorEastAsia" w:hAnsiTheme="minorEastAsia" w:eastAsiaTheme="minorEastAsia" w:cstheme="minorEastAsia"/>
          <w:b/>
          <w:sz w:val="30"/>
        </w:rPr>
        <w:t>（3）团队管理</w:t>
      </w:r>
      <w:bookmarkEnd w:id="12"/>
    </w:p>
    <w:p w14:paraId="47D5CB66">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提供项目团队主要成员清单，包含姓名、职务、专业资质、项目经验等信息，承诺团队信息真实有效；项目实施期间团队成员保持相对稳定，如需变更需提前书面告知并经采购方认可。供应商应加强团队建设，确保成员具备相应专业能力与项目经验，保障项目顺利实施与持续运营。</w:t>
      </w:r>
    </w:p>
    <w:p w14:paraId="54120E67">
      <w:pPr>
        <w:spacing w:before="320" w:after="120" w:line="288" w:lineRule="auto"/>
        <w:ind w:left="0"/>
        <w:jc w:val="left"/>
        <w:outlineLvl w:val="1"/>
        <w:rPr>
          <w:rFonts w:hint="eastAsia" w:asciiTheme="minorEastAsia" w:hAnsiTheme="minorEastAsia" w:eastAsiaTheme="minorEastAsia" w:cstheme="minorEastAsia"/>
        </w:rPr>
      </w:pPr>
      <w:bookmarkStart w:id="13" w:name="heading_13"/>
      <w:r>
        <w:rPr>
          <w:rFonts w:hint="eastAsia" w:asciiTheme="minorEastAsia" w:hAnsiTheme="minorEastAsia" w:eastAsiaTheme="minorEastAsia" w:cstheme="minorEastAsia"/>
          <w:b/>
          <w:sz w:val="32"/>
        </w:rPr>
        <w:t>五、项目售后服务要求</w:t>
      </w:r>
      <w:bookmarkEnd w:id="13"/>
    </w:p>
    <w:p w14:paraId="6225008D">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供应商须承诺并保障：项目交付后，技术服务出现故障时，10分钟内响应，20分钟内完成远程处理；无法立即远程解决的，在现场服务人员到达前持续提供远程技术指导与线上支持。</w:t>
      </w:r>
    </w:p>
    <w:p w14:paraId="2BB55F04">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配备专业客服人员，通过电话、电子邮件等方式开展定期回访，提供个性化技术支持服务。</w:t>
      </w:r>
    </w:p>
    <w:p w14:paraId="0F9639B6">
      <w:pPr>
        <w:spacing w:before="320" w:after="120" w:line="288" w:lineRule="auto"/>
        <w:ind w:left="0"/>
        <w:jc w:val="left"/>
        <w:outlineLvl w:val="1"/>
        <w:rPr>
          <w:rFonts w:hint="eastAsia" w:asciiTheme="minorEastAsia" w:hAnsiTheme="minorEastAsia" w:eastAsiaTheme="minorEastAsia" w:cstheme="minorEastAsia"/>
        </w:rPr>
      </w:pPr>
      <w:bookmarkStart w:id="14" w:name="heading_14"/>
      <w:r>
        <w:rPr>
          <w:rFonts w:hint="eastAsia" w:asciiTheme="minorEastAsia" w:hAnsiTheme="minorEastAsia" w:eastAsiaTheme="minorEastAsia" w:cstheme="minorEastAsia"/>
          <w:b/>
          <w:sz w:val="32"/>
        </w:rPr>
        <w:t>六、验收要求</w:t>
      </w:r>
      <w:bookmarkEnd w:id="14"/>
    </w:p>
    <w:p w14:paraId="56044633">
      <w:pPr>
        <w:spacing w:before="300" w:after="120" w:line="288" w:lineRule="auto"/>
        <w:ind w:left="0"/>
        <w:jc w:val="left"/>
        <w:outlineLvl w:val="2"/>
        <w:rPr>
          <w:rFonts w:hint="eastAsia" w:asciiTheme="minorEastAsia" w:hAnsiTheme="minorEastAsia" w:eastAsiaTheme="minorEastAsia" w:cstheme="minorEastAsia"/>
          <w:lang w:eastAsia="zh-CN"/>
        </w:rPr>
      </w:pPr>
      <w:bookmarkStart w:id="15" w:name="heading_15"/>
      <w:r>
        <w:rPr>
          <w:rFonts w:hint="eastAsia" w:asciiTheme="minorEastAsia" w:hAnsiTheme="minorEastAsia" w:eastAsiaTheme="minorEastAsia" w:cstheme="minorEastAsia"/>
          <w:b/>
          <w:sz w:val="30"/>
        </w:rPr>
        <w:t xml:space="preserve">6.1 </w:t>
      </w:r>
      <w:bookmarkEnd w:id="15"/>
      <w:r>
        <w:rPr>
          <w:rFonts w:hint="eastAsia" w:asciiTheme="minorEastAsia" w:hAnsiTheme="minorEastAsia" w:eastAsiaTheme="minorEastAsia" w:cstheme="minorEastAsia"/>
          <w:b/>
          <w:sz w:val="30"/>
          <w:lang w:eastAsia="zh-CN"/>
        </w:rPr>
        <w:t>中期检查</w:t>
      </w:r>
    </w:p>
    <w:p w14:paraId="3B4FCFA6">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2026年9月下旬，由上海开大组织专家开展</w:t>
      </w:r>
      <w:r>
        <w:rPr>
          <w:rFonts w:hint="eastAsia" w:asciiTheme="minorEastAsia" w:hAnsiTheme="minorEastAsia" w:eastAsiaTheme="minorEastAsia" w:cstheme="minorEastAsia"/>
          <w:sz w:val="22"/>
          <w:lang w:eastAsia="zh-CN"/>
        </w:rPr>
        <w:t>中期检查</w:t>
      </w:r>
      <w:r>
        <w:rPr>
          <w:rFonts w:hint="eastAsia" w:asciiTheme="minorEastAsia" w:hAnsiTheme="minorEastAsia" w:eastAsiaTheme="minorEastAsia" w:cstheme="minorEastAsia"/>
          <w:sz w:val="22"/>
        </w:rPr>
        <w:t>，验收里程碑为常规服务全部交付、AI拓展服务完成集成并上线试运行。</w:t>
      </w:r>
      <w:r>
        <w:rPr>
          <w:rFonts w:hint="eastAsia" w:asciiTheme="minorEastAsia" w:hAnsiTheme="minorEastAsia" w:cstheme="minorEastAsia"/>
          <w:sz w:val="22"/>
          <w:lang w:eastAsia="zh-CN"/>
        </w:rPr>
        <w:t>成交</w:t>
      </w:r>
      <w:r>
        <w:rPr>
          <w:rFonts w:hint="eastAsia" w:asciiTheme="minorEastAsia" w:hAnsiTheme="minorEastAsia" w:eastAsiaTheme="minorEastAsia" w:cstheme="minorEastAsia"/>
          <w:sz w:val="22"/>
        </w:rPr>
        <w:t>供应商需提交以下验收文档：</w:t>
      </w:r>
    </w:p>
    <w:p w14:paraId="0B08AA6F">
      <w:pPr>
        <w:numPr>
          <w:ilvl w:val="0"/>
          <w:numId w:val="8"/>
        </w:num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系统部署方案</w:t>
      </w:r>
    </w:p>
    <w:p w14:paraId="5AAE8E33">
      <w:pPr>
        <w:numPr>
          <w:ilvl w:val="0"/>
          <w:numId w:val="9"/>
        </w:num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用户操作手册</w:t>
      </w:r>
    </w:p>
    <w:p w14:paraId="1FF69C00">
      <w:pPr>
        <w:numPr>
          <w:ilvl w:val="0"/>
          <w:numId w:val="10"/>
        </w:num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系统测试报告</w:t>
      </w:r>
    </w:p>
    <w:p w14:paraId="30EA7A43">
      <w:pPr>
        <w:numPr>
          <w:ilvl w:val="0"/>
          <w:numId w:val="11"/>
        </w:num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接口开发文档</w:t>
      </w:r>
    </w:p>
    <w:p w14:paraId="066698F3">
      <w:pPr>
        <w:spacing w:before="300" w:after="120" w:line="288" w:lineRule="auto"/>
        <w:ind w:left="0"/>
        <w:jc w:val="left"/>
        <w:outlineLvl w:val="2"/>
        <w:rPr>
          <w:rFonts w:hint="eastAsia" w:asciiTheme="minorEastAsia" w:hAnsiTheme="minorEastAsia" w:eastAsiaTheme="minorEastAsia" w:cstheme="minorEastAsia"/>
        </w:rPr>
      </w:pPr>
      <w:bookmarkStart w:id="16" w:name="heading_16"/>
      <w:r>
        <w:rPr>
          <w:rFonts w:hint="eastAsia" w:asciiTheme="minorEastAsia" w:hAnsiTheme="minorEastAsia" w:eastAsiaTheme="minorEastAsia" w:cstheme="minorEastAsia"/>
          <w:b/>
          <w:sz w:val="30"/>
        </w:rPr>
        <w:t>6.2 终期验收</w:t>
      </w:r>
      <w:bookmarkEnd w:id="16"/>
    </w:p>
    <w:p w14:paraId="1600C96F">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2026年11月中下旬，由上海开大组织专家开展终期验收，验收里程碑为全部服务内容交付完成且稳定运行。</w:t>
      </w:r>
      <w:r>
        <w:rPr>
          <w:rFonts w:hint="eastAsia" w:asciiTheme="minorEastAsia" w:hAnsiTheme="minorEastAsia" w:cstheme="minorEastAsia"/>
          <w:sz w:val="22"/>
          <w:lang w:eastAsia="zh-CN"/>
        </w:rPr>
        <w:t>成交</w:t>
      </w:r>
      <w:r>
        <w:rPr>
          <w:rFonts w:hint="eastAsia" w:asciiTheme="minorEastAsia" w:hAnsiTheme="minorEastAsia" w:eastAsiaTheme="minorEastAsia" w:cstheme="minorEastAsia"/>
          <w:sz w:val="22"/>
        </w:rPr>
        <w:t>供应商按要求提交完整验收文档，上海开大根据验收结论出具书面验收意见。需提交的验收文档包括：</w:t>
      </w:r>
    </w:p>
    <w:p w14:paraId="3B5EFD13">
      <w:pPr>
        <w:numPr>
          <w:ilvl w:val="0"/>
          <w:numId w:val="12"/>
        </w:num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系统部署方案（终版）</w:t>
      </w:r>
    </w:p>
    <w:p w14:paraId="2513A310">
      <w:pPr>
        <w:numPr>
          <w:ilvl w:val="0"/>
          <w:numId w:val="13"/>
        </w:num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用户操作手册（终版）</w:t>
      </w:r>
    </w:p>
    <w:p w14:paraId="2F682EBC">
      <w:pPr>
        <w:numPr>
          <w:ilvl w:val="0"/>
          <w:numId w:val="14"/>
        </w:num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系统测试报告（终版）</w:t>
      </w:r>
    </w:p>
    <w:p w14:paraId="6BF74351">
      <w:pPr>
        <w:numPr>
          <w:ilvl w:val="0"/>
          <w:numId w:val="15"/>
        </w:num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接口开发文档（终版）</w:t>
      </w:r>
    </w:p>
    <w:p w14:paraId="385C4730">
      <w:pPr>
        <w:numPr>
          <w:ilvl w:val="0"/>
          <w:numId w:val="16"/>
        </w:num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应用服务运行报告</w:t>
      </w:r>
    </w:p>
    <w:p w14:paraId="4F49D123">
      <w:pPr>
        <w:numPr>
          <w:ilvl w:val="0"/>
          <w:numId w:val="17"/>
        </w:num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服务人员清单（附社保缴纳证明）</w:t>
      </w:r>
    </w:p>
    <w:p w14:paraId="495E6403">
      <w:pPr>
        <w:numPr>
          <w:ilvl w:val="0"/>
          <w:numId w:val="18"/>
        </w:num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驻场支持服务记录</w:t>
      </w:r>
    </w:p>
    <w:p w14:paraId="3E18EFEE">
      <w:pPr>
        <w:spacing w:before="320" w:after="120" w:line="288" w:lineRule="auto"/>
        <w:ind w:left="0"/>
        <w:jc w:val="left"/>
        <w:outlineLvl w:val="1"/>
        <w:rPr>
          <w:rFonts w:hint="eastAsia" w:asciiTheme="minorEastAsia" w:hAnsiTheme="minorEastAsia" w:eastAsiaTheme="minorEastAsia" w:cstheme="minorEastAsia"/>
        </w:rPr>
      </w:pPr>
      <w:bookmarkStart w:id="17" w:name="heading_17"/>
      <w:r>
        <w:rPr>
          <w:rFonts w:hint="eastAsia" w:asciiTheme="minorEastAsia" w:hAnsiTheme="minorEastAsia" w:eastAsiaTheme="minorEastAsia" w:cstheme="minorEastAsia"/>
          <w:b/>
          <w:sz w:val="32"/>
        </w:rPr>
        <w:t>七、预算、付款方式及保密条款</w:t>
      </w:r>
      <w:bookmarkEnd w:id="17"/>
    </w:p>
    <w:p w14:paraId="61BD601F">
      <w:pPr>
        <w:spacing w:before="300" w:after="120" w:line="288" w:lineRule="auto"/>
        <w:ind w:left="0"/>
        <w:jc w:val="left"/>
        <w:outlineLvl w:val="2"/>
        <w:rPr>
          <w:rFonts w:hint="eastAsia" w:asciiTheme="minorEastAsia" w:hAnsiTheme="minorEastAsia" w:eastAsiaTheme="minorEastAsia" w:cstheme="minorEastAsia"/>
        </w:rPr>
      </w:pPr>
      <w:bookmarkStart w:id="18" w:name="heading_18"/>
      <w:r>
        <w:rPr>
          <w:rFonts w:hint="eastAsia" w:asciiTheme="minorEastAsia" w:hAnsiTheme="minorEastAsia" w:eastAsiaTheme="minorEastAsia" w:cstheme="minorEastAsia"/>
          <w:b/>
          <w:sz w:val="30"/>
        </w:rPr>
        <w:t>7.1 预算与报价要求</w:t>
      </w:r>
      <w:bookmarkEnd w:id="18"/>
    </w:p>
    <w:p w14:paraId="2E552159">
      <w:pPr>
        <w:spacing w:before="120" w:after="120" w:line="288" w:lineRule="auto"/>
        <w:ind w:left="0" w:firstLine="44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本项目预算总金额：180万元（人民币大写：壹佰捌拾万元整），包含全部税费。</w:t>
      </w:r>
    </w:p>
    <w:p w14:paraId="4BF8D66A">
      <w:pPr>
        <w:spacing w:before="120" w:after="120" w:line="288" w:lineRule="auto"/>
        <w:ind w:left="0" w:firstLine="440" w:firstLineChars="200"/>
        <w:jc w:val="left"/>
        <w:rPr>
          <w:rFonts w:hint="eastAsia" w:asciiTheme="minorEastAsia" w:hAnsiTheme="minorEastAsia" w:eastAsiaTheme="minorEastAsia" w:cstheme="minorEastAsia"/>
        </w:rPr>
      </w:pPr>
      <w:bookmarkStart w:id="21" w:name="_GoBack"/>
      <w:bookmarkEnd w:id="21"/>
      <w:r>
        <w:rPr>
          <w:rFonts w:hint="eastAsia" w:asciiTheme="minorEastAsia" w:hAnsiTheme="minorEastAsia" w:eastAsiaTheme="minorEastAsia" w:cstheme="minorEastAsia"/>
          <w:sz w:val="22"/>
        </w:rPr>
        <w:t>报价应包含国家规定的人员薪酬、补贴、加班费、住宿费、交通费、保险费，以及利润、管理费、设备使用费、风险费等所有相关费用；合同签订后，采购方不再支付任何额外费用。</w:t>
      </w:r>
    </w:p>
    <w:p w14:paraId="665698CA">
      <w:pPr>
        <w:spacing w:before="300" w:after="120" w:line="288" w:lineRule="auto"/>
        <w:ind w:left="0"/>
        <w:jc w:val="left"/>
        <w:outlineLvl w:val="2"/>
        <w:rPr>
          <w:rFonts w:hint="eastAsia" w:asciiTheme="minorEastAsia" w:hAnsiTheme="minorEastAsia" w:eastAsiaTheme="minorEastAsia" w:cstheme="minorEastAsia"/>
        </w:rPr>
      </w:pPr>
      <w:bookmarkStart w:id="19" w:name="heading_19"/>
      <w:r>
        <w:rPr>
          <w:rFonts w:hint="eastAsia" w:asciiTheme="minorEastAsia" w:hAnsiTheme="minorEastAsia" w:eastAsiaTheme="minorEastAsia" w:cstheme="minorEastAsia"/>
          <w:b/>
          <w:sz w:val="30"/>
        </w:rPr>
        <w:t>7.2 付款方式</w:t>
      </w:r>
      <w:bookmarkEnd w:id="19"/>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760"/>
        <w:gridCol w:w="2760"/>
        <w:gridCol w:w="2760"/>
      </w:tblGrid>
      <w:tr w14:paraId="6CD1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3D6DA85">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期次</w:t>
            </w:r>
          </w:p>
        </w:tc>
        <w:tc>
          <w:tcPr>
            <w:tcW w:w="2760" w:type="dxa"/>
            <w:tcMar>
              <w:top w:w="60" w:type="dxa"/>
              <w:left w:w="120" w:type="dxa"/>
              <w:bottom w:w="30" w:type="dxa"/>
              <w:right w:w="120" w:type="dxa"/>
            </w:tcMar>
          </w:tcPr>
          <w:p w14:paraId="07352F74">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支付条件</w:t>
            </w:r>
          </w:p>
        </w:tc>
        <w:tc>
          <w:tcPr>
            <w:tcW w:w="2760" w:type="dxa"/>
            <w:tcMar>
              <w:top w:w="60" w:type="dxa"/>
              <w:left w:w="120" w:type="dxa"/>
              <w:bottom w:w="30" w:type="dxa"/>
              <w:right w:w="120" w:type="dxa"/>
            </w:tcMar>
          </w:tcPr>
          <w:p w14:paraId="1F95F422">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支付比例</w:t>
            </w:r>
          </w:p>
        </w:tc>
      </w:tr>
      <w:tr w14:paraId="06FD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62B7FC5">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第一期</w:t>
            </w:r>
          </w:p>
        </w:tc>
        <w:tc>
          <w:tcPr>
            <w:tcW w:w="2760" w:type="dxa"/>
            <w:tcMar>
              <w:top w:w="60" w:type="dxa"/>
              <w:left w:w="120" w:type="dxa"/>
              <w:bottom w:w="30" w:type="dxa"/>
              <w:right w:w="120" w:type="dxa"/>
            </w:tcMar>
          </w:tcPr>
          <w:p w14:paraId="2776D1DC">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双方合同签订后，采购方通知供应商开具合法有效发票并交付后10个工作日内支付。</w:t>
            </w:r>
          </w:p>
        </w:tc>
        <w:tc>
          <w:tcPr>
            <w:tcW w:w="2760" w:type="dxa"/>
            <w:tcMar>
              <w:top w:w="60" w:type="dxa"/>
              <w:left w:w="120" w:type="dxa"/>
              <w:bottom w:w="30" w:type="dxa"/>
              <w:right w:w="120" w:type="dxa"/>
            </w:tcMar>
          </w:tcPr>
          <w:p w14:paraId="571269C7">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30%</w:t>
            </w:r>
          </w:p>
        </w:tc>
      </w:tr>
      <w:tr w14:paraId="6F70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103ABA5">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第二期</w:t>
            </w:r>
          </w:p>
        </w:tc>
        <w:tc>
          <w:tcPr>
            <w:tcW w:w="2760" w:type="dxa"/>
            <w:tcMar>
              <w:top w:w="60" w:type="dxa"/>
              <w:left w:w="120" w:type="dxa"/>
              <w:bottom w:w="30" w:type="dxa"/>
              <w:right w:w="120" w:type="dxa"/>
            </w:tcMar>
          </w:tcPr>
          <w:p w14:paraId="559D5550">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项目</w:t>
            </w:r>
            <w:r>
              <w:rPr>
                <w:rFonts w:hint="eastAsia" w:asciiTheme="minorEastAsia" w:hAnsiTheme="minorEastAsia" w:eastAsiaTheme="minorEastAsia" w:cstheme="minorEastAsia"/>
                <w:sz w:val="22"/>
                <w:lang w:eastAsia="zh-CN"/>
              </w:rPr>
              <w:t>中期检查</w:t>
            </w:r>
            <w:r>
              <w:rPr>
                <w:rFonts w:hint="eastAsia" w:asciiTheme="minorEastAsia" w:hAnsiTheme="minorEastAsia" w:eastAsiaTheme="minorEastAsia" w:cstheme="minorEastAsia"/>
                <w:sz w:val="22"/>
              </w:rPr>
              <w:t>通过后，经采购方确认，供应商开具合法有效发票并交付后10个工作日内支付。</w:t>
            </w:r>
          </w:p>
        </w:tc>
        <w:tc>
          <w:tcPr>
            <w:tcW w:w="2760" w:type="dxa"/>
            <w:tcMar>
              <w:top w:w="60" w:type="dxa"/>
              <w:left w:w="120" w:type="dxa"/>
              <w:bottom w:w="30" w:type="dxa"/>
              <w:right w:w="120" w:type="dxa"/>
            </w:tcMar>
          </w:tcPr>
          <w:p w14:paraId="193ED5D0">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50%</w:t>
            </w:r>
          </w:p>
        </w:tc>
      </w:tr>
      <w:tr w14:paraId="16E6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33D00E2">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第三期</w:t>
            </w:r>
          </w:p>
        </w:tc>
        <w:tc>
          <w:tcPr>
            <w:tcW w:w="2760" w:type="dxa"/>
            <w:tcMar>
              <w:top w:w="60" w:type="dxa"/>
              <w:left w:w="120" w:type="dxa"/>
              <w:bottom w:w="30" w:type="dxa"/>
              <w:right w:w="120" w:type="dxa"/>
            </w:tcMar>
          </w:tcPr>
          <w:p w14:paraId="2811F42A">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项目终期验收合格后，经采购方确认，供应商开具合法有效发票并交付后10个工作日内支付。</w:t>
            </w:r>
          </w:p>
        </w:tc>
        <w:tc>
          <w:tcPr>
            <w:tcW w:w="2760" w:type="dxa"/>
            <w:tcMar>
              <w:top w:w="60" w:type="dxa"/>
              <w:left w:w="120" w:type="dxa"/>
              <w:bottom w:w="30" w:type="dxa"/>
              <w:right w:w="120" w:type="dxa"/>
            </w:tcMar>
          </w:tcPr>
          <w:p w14:paraId="1A801ECE">
            <w:p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20%</w:t>
            </w:r>
          </w:p>
        </w:tc>
      </w:tr>
    </w:tbl>
    <w:p w14:paraId="2D02848C">
      <w:pPr>
        <w:spacing w:before="300" w:after="120" w:line="288" w:lineRule="auto"/>
        <w:ind w:left="0"/>
        <w:jc w:val="left"/>
        <w:outlineLvl w:val="2"/>
        <w:rPr>
          <w:rFonts w:hint="eastAsia" w:asciiTheme="minorEastAsia" w:hAnsiTheme="minorEastAsia" w:eastAsiaTheme="minorEastAsia" w:cstheme="minorEastAsia"/>
        </w:rPr>
      </w:pPr>
      <w:bookmarkStart w:id="20" w:name="heading_20"/>
      <w:r>
        <w:rPr>
          <w:rFonts w:hint="eastAsia" w:asciiTheme="minorEastAsia" w:hAnsiTheme="minorEastAsia" w:eastAsiaTheme="minorEastAsia" w:cstheme="minorEastAsia"/>
          <w:b/>
          <w:sz w:val="30"/>
        </w:rPr>
        <w:t>7.3 保密与知识产权条款</w:t>
      </w:r>
      <w:bookmarkEnd w:id="20"/>
    </w:p>
    <w:p w14:paraId="1EB17B9D">
      <w:pPr>
        <w:numPr>
          <w:ilvl w:val="0"/>
          <w:numId w:val="19"/>
        </w:num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供应商须保障本项目所提供的内容与技术不侵犯任何第三方的著作权、肖像权、专利权、商标权或工业设计权。如任何第三方提出知识产权异议，供应商须负责与第三方交涉，并承担由此产生的全部法律责任与费用，包括赔偿上海开大因此遭受的全部损失。</w:t>
      </w:r>
    </w:p>
    <w:p w14:paraId="1BE26D53">
      <w:pPr>
        <w:numPr>
          <w:ilvl w:val="0"/>
          <w:numId w:val="20"/>
        </w:num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项目执行过程中，双方须签署数据保密协议。采购方向供应商提供的所有数据与资料，仅可用于本项目相关用途，供应商不得将其用于任何其他目的；除项目执行必要外，不得对数据进行复制、传播；不得向任何单位或个人泄露采购方的任何数据信息，对存储于供应商处的采购方数据及服务运行产生的数据承担严格保密责任，不得通过任何存储介质、网络途径将数据传输至采购方不可控区域。若因供应商未经许可泄露数据造成采购方损失，采购方有权通过法律途径索赔。</w:t>
      </w:r>
    </w:p>
    <w:p w14:paraId="448FFC66">
      <w:pPr>
        <w:numPr>
          <w:ilvl w:val="0"/>
          <w:numId w:val="21"/>
        </w:numPr>
        <w:spacing w:before="120" w:after="120" w:line="288" w:lineRule="auto"/>
        <w:ind w:left="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2"/>
        </w:rPr>
        <w:t>本项目执行过程中产生的所有技术成果及数据，知识产权归采购方所有。</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834E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C2E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4"/>
      <w:numFmt w:val="decimal"/>
      <w:lvlText w:val="%1."/>
      <w:lvlJc w:val="left"/>
      <w:rPr>
        <w:color w:val="3370FF"/>
      </w:rPr>
    </w:lvl>
  </w:abstractNum>
  <w:abstractNum w:abstractNumId="1">
    <w:nsid w:val="9C8AC8EF"/>
    <w:multiLevelType w:val="singleLevel"/>
    <w:tmpl w:val="9C8AC8EF"/>
    <w:lvl w:ilvl="0" w:tentative="0">
      <w:start w:val="2"/>
      <w:numFmt w:val="decimal"/>
      <w:lvlText w:val="%1."/>
      <w:lvlJc w:val="left"/>
      <w:rPr>
        <w:color w:val="3370FF"/>
      </w:rPr>
    </w:lvl>
  </w:abstractNum>
  <w:abstractNum w:abstractNumId="2">
    <w:nsid w:val="B5E306ED"/>
    <w:multiLevelType w:val="singleLevel"/>
    <w:tmpl w:val="B5E306ED"/>
    <w:lvl w:ilvl="0" w:tentative="0">
      <w:start w:val="0"/>
      <w:numFmt w:val="bullet"/>
      <w:lvlText w:val="•"/>
      <w:lvlJc w:val="left"/>
      <w:rPr>
        <w:color w:val="3370FF"/>
      </w:rPr>
    </w:lvl>
  </w:abstractNum>
  <w:abstractNum w:abstractNumId="3">
    <w:nsid w:val="BF205925"/>
    <w:multiLevelType w:val="singleLevel"/>
    <w:tmpl w:val="BF205925"/>
    <w:lvl w:ilvl="0" w:tentative="0">
      <w:start w:val="0"/>
      <w:numFmt w:val="bullet"/>
      <w:lvlText w:val="•"/>
      <w:lvlJc w:val="left"/>
      <w:rPr>
        <w:color w:val="3370FF"/>
      </w:rPr>
    </w:lvl>
  </w:abstractNum>
  <w:abstractNum w:abstractNumId="4">
    <w:nsid w:val="C8879AEF"/>
    <w:multiLevelType w:val="singleLevel"/>
    <w:tmpl w:val="C8879AEF"/>
    <w:lvl w:ilvl="0" w:tentative="0">
      <w:start w:val="3"/>
      <w:numFmt w:val="decimal"/>
      <w:lvlText w:val="%1."/>
      <w:lvlJc w:val="left"/>
      <w:rPr>
        <w:color w:val="3370FF"/>
      </w:rPr>
    </w:lvl>
  </w:abstractNum>
  <w:abstractNum w:abstractNumId="5">
    <w:nsid w:val="CF092B84"/>
    <w:multiLevelType w:val="singleLevel"/>
    <w:tmpl w:val="CF092B84"/>
    <w:lvl w:ilvl="0" w:tentative="0">
      <w:start w:val="0"/>
      <w:numFmt w:val="bullet"/>
      <w:lvlText w:val="•"/>
      <w:lvlJc w:val="left"/>
      <w:rPr>
        <w:color w:val="3370FF"/>
      </w:rPr>
    </w:lvl>
  </w:abstractNum>
  <w:abstractNum w:abstractNumId="6">
    <w:nsid w:val="D7F9FE59"/>
    <w:multiLevelType w:val="singleLevel"/>
    <w:tmpl w:val="D7F9FE59"/>
    <w:lvl w:ilvl="0" w:tentative="0">
      <w:start w:val="1"/>
      <w:numFmt w:val="decimal"/>
      <w:lvlText w:val="%1."/>
      <w:lvlJc w:val="left"/>
      <w:rPr>
        <w:color w:val="3370FF"/>
      </w:rPr>
    </w:lvl>
  </w:abstractNum>
  <w:abstractNum w:abstractNumId="7">
    <w:nsid w:val="DCBA6B53"/>
    <w:multiLevelType w:val="singleLevel"/>
    <w:tmpl w:val="DCBA6B53"/>
    <w:lvl w:ilvl="0" w:tentative="0">
      <w:start w:val="7"/>
      <w:numFmt w:val="decimal"/>
      <w:lvlText w:val="%1."/>
      <w:lvlJc w:val="left"/>
      <w:rPr>
        <w:color w:val="3370FF"/>
      </w:rPr>
    </w:lvl>
  </w:abstractNum>
  <w:abstractNum w:abstractNumId="8">
    <w:nsid w:val="F4B5D9F5"/>
    <w:multiLevelType w:val="singleLevel"/>
    <w:tmpl w:val="F4B5D9F5"/>
    <w:lvl w:ilvl="0" w:tentative="0">
      <w:start w:val="5"/>
      <w:numFmt w:val="decimal"/>
      <w:lvlText w:val="%1."/>
      <w:lvlJc w:val="left"/>
      <w:rPr>
        <w:color w:val="3370FF"/>
      </w:rPr>
    </w:lvl>
  </w:abstractNum>
  <w:abstractNum w:abstractNumId="9">
    <w:nsid w:val="0053208E"/>
    <w:multiLevelType w:val="singleLevel"/>
    <w:tmpl w:val="0053208E"/>
    <w:lvl w:ilvl="0" w:tentative="0">
      <w:start w:val="0"/>
      <w:numFmt w:val="bullet"/>
      <w:lvlText w:val="•"/>
      <w:lvlJc w:val="left"/>
      <w:rPr>
        <w:color w:val="3370FF"/>
      </w:rPr>
    </w:lvl>
  </w:abstractNum>
  <w:abstractNum w:abstractNumId="10">
    <w:nsid w:val="0248C179"/>
    <w:multiLevelType w:val="singleLevel"/>
    <w:tmpl w:val="0248C179"/>
    <w:lvl w:ilvl="0" w:tentative="0">
      <w:start w:val="3"/>
      <w:numFmt w:val="decimal"/>
      <w:lvlText w:val="%1."/>
      <w:lvlJc w:val="left"/>
      <w:rPr>
        <w:color w:val="3370FF"/>
      </w:rPr>
    </w:lvl>
  </w:abstractNum>
  <w:abstractNum w:abstractNumId="11">
    <w:nsid w:val="03D62ECE"/>
    <w:multiLevelType w:val="singleLevel"/>
    <w:tmpl w:val="03D62ECE"/>
    <w:lvl w:ilvl="0" w:tentative="0">
      <w:start w:val="0"/>
      <w:numFmt w:val="bullet"/>
      <w:lvlText w:val="•"/>
      <w:lvlJc w:val="left"/>
      <w:rPr>
        <w:color w:val="3370FF"/>
      </w:rPr>
    </w:lvl>
  </w:abstractNum>
  <w:abstractNum w:abstractNumId="12">
    <w:nsid w:val="2470EC97"/>
    <w:multiLevelType w:val="singleLevel"/>
    <w:tmpl w:val="2470EC97"/>
    <w:lvl w:ilvl="0" w:tentative="0">
      <w:start w:val="6"/>
      <w:numFmt w:val="decimal"/>
      <w:lvlText w:val="%1."/>
      <w:lvlJc w:val="left"/>
      <w:rPr>
        <w:color w:val="3370FF"/>
      </w:rPr>
    </w:lvl>
  </w:abstractNum>
  <w:abstractNum w:abstractNumId="13">
    <w:nsid w:val="25B654F3"/>
    <w:multiLevelType w:val="singleLevel"/>
    <w:tmpl w:val="25B654F3"/>
    <w:lvl w:ilvl="0" w:tentative="0">
      <w:start w:val="1"/>
      <w:numFmt w:val="decimal"/>
      <w:lvlText w:val="%1."/>
      <w:lvlJc w:val="left"/>
      <w:rPr>
        <w:color w:val="3370FF"/>
      </w:rPr>
    </w:lvl>
  </w:abstractNum>
  <w:abstractNum w:abstractNumId="14">
    <w:nsid w:val="2A8F537B"/>
    <w:multiLevelType w:val="singleLevel"/>
    <w:tmpl w:val="2A8F537B"/>
    <w:lvl w:ilvl="0" w:tentative="0">
      <w:start w:val="1"/>
      <w:numFmt w:val="decimal"/>
      <w:lvlText w:val="%1."/>
      <w:lvlJc w:val="left"/>
      <w:rPr>
        <w:color w:val="3370FF"/>
      </w:rPr>
    </w:lvl>
  </w:abstractNum>
  <w:abstractNum w:abstractNumId="15">
    <w:nsid w:val="4C1BAE26"/>
    <w:multiLevelType w:val="singleLevel"/>
    <w:tmpl w:val="4C1BAE26"/>
    <w:lvl w:ilvl="0" w:tentative="0">
      <w:start w:val="3"/>
      <w:numFmt w:val="decimal"/>
      <w:lvlText w:val="%1."/>
      <w:lvlJc w:val="left"/>
      <w:rPr>
        <w:color w:val="3370FF"/>
      </w:rPr>
    </w:lvl>
  </w:abstractNum>
  <w:abstractNum w:abstractNumId="16">
    <w:nsid w:val="4D4DC07F"/>
    <w:multiLevelType w:val="singleLevel"/>
    <w:tmpl w:val="4D4DC07F"/>
    <w:lvl w:ilvl="0" w:tentative="0">
      <w:start w:val="4"/>
      <w:numFmt w:val="decimal"/>
      <w:lvlText w:val="%1."/>
      <w:lvlJc w:val="left"/>
      <w:rPr>
        <w:color w:val="3370FF"/>
      </w:rPr>
    </w:lvl>
  </w:abstractNum>
  <w:abstractNum w:abstractNumId="17">
    <w:nsid w:val="59ADCABA"/>
    <w:multiLevelType w:val="singleLevel"/>
    <w:tmpl w:val="59ADCABA"/>
    <w:lvl w:ilvl="0" w:tentative="0">
      <w:start w:val="0"/>
      <w:numFmt w:val="bullet"/>
      <w:lvlText w:val="•"/>
      <w:lvlJc w:val="left"/>
      <w:rPr>
        <w:color w:val="3370FF"/>
      </w:rPr>
    </w:lvl>
  </w:abstractNum>
  <w:abstractNum w:abstractNumId="18">
    <w:nsid w:val="5A241D34"/>
    <w:multiLevelType w:val="singleLevel"/>
    <w:tmpl w:val="5A241D34"/>
    <w:lvl w:ilvl="0" w:tentative="0">
      <w:start w:val="2"/>
      <w:numFmt w:val="decimal"/>
      <w:lvlText w:val="%1."/>
      <w:lvlJc w:val="left"/>
      <w:rPr>
        <w:color w:val="3370FF"/>
      </w:rPr>
    </w:lvl>
  </w:abstractNum>
  <w:abstractNum w:abstractNumId="19">
    <w:nsid w:val="5D793796"/>
    <w:multiLevelType w:val="singleLevel"/>
    <w:tmpl w:val="5D793796"/>
    <w:lvl w:ilvl="0" w:tentative="0">
      <w:start w:val="1"/>
      <w:numFmt w:val="decimal"/>
      <w:suff w:val="space"/>
      <w:lvlText w:val="%1."/>
      <w:lvlJc w:val="left"/>
    </w:lvl>
  </w:abstractNum>
  <w:abstractNum w:abstractNumId="20">
    <w:nsid w:val="72183CF9"/>
    <w:multiLevelType w:val="singleLevel"/>
    <w:tmpl w:val="72183CF9"/>
    <w:lvl w:ilvl="0" w:tentative="0">
      <w:start w:val="2"/>
      <w:numFmt w:val="decimal"/>
      <w:lvlText w:val="%1."/>
      <w:lvlJc w:val="left"/>
      <w:rPr>
        <w:color w:val="3370FF"/>
      </w:rPr>
    </w:lvl>
  </w:abstractNum>
  <w:num w:numId="1">
    <w:abstractNumId w:val="19"/>
  </w:num>
  <w:num w:numId="2">
    <w:abstractNumId w:val="9"/>
  </w:num>
  <w:num w:numId="3">
    <w:abstractNumId w:val="5"/>
  </w:num>
  <w:num w:numId="4">
    <w:abstractNumId w:val="17"/>
  </w:num>
  <w:num w:numId="5">
    <w:abstractNumId w:val="3"/>
  </w:num>
  <w:num w:numId="6">
    <w:abstractNumId w:val="2"/>
  </w:num>
  <w:num w:numId="7">
    <w:abstractNumId w:val="11"/>
  </w:num>
  <w:num w:numId="8">
    <w:abstractNumId w:val="13"/>
  </w:num>
  <w:num w:numId="9">
    <w:abstractNumId w:val="20"/>
  </w:num>
  <w:num w:numId="10">
    <w:abstractNumId w:val="10"/>
  </w:num>
  <w:num w:numId="11">
    <w:abstractNumId w:val="0"/>
  </w:num>
  <w:num w:numId="12">
    <w:abstractNumId w:val="14"/>
  </w:num>
  <w:num w:numId="13">
    <w:abstractNumId w:val="18"/>
  </w:num>
  <w:num w:numId="14">
    <w:abstractNumId w:val="4"/>
  </w:num>
  <w:num w:numId="15">
    <w:abstractNumId w:val="16"/>
  </w:num>
  <w:num w:numId="16">
    <w:abstractNumId w:val="8"/>
  </w:num>
  <w:num w:numId="17">
    <w:abstractNumId w:val="12"/>
  </w:num>
  <w:num w:numId="18">
    <w:abstractNumId w:val="7"/>
  </w:num>
  <w:num w:numId="19">
    <w:abstractNumId w:val="6"/>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useFELayout/>
    <w:splitPgBreakAndParaMark/>
    <w:compatSetting w:name="compatibilityMode" w:uri="http://schemas.microsoft.com/office/word" w:val="12"/>
  </w:compat>
  <w:rsids>
    <w:rsidRoot w:val="00000000"/>
    <w:rsid w:val="1B081E30"/>
    <w:rsid w:val="2FD61678"/>
    <w:rsid w:val="7BEF2A82"/>
    <w:rsid w:val="A7F7F72F"/>
    <w:rsid w:val="E7FF6C9E"/>
    <w:rsid w:val="EB60A8EE"/>
    <w:rsid w:val="FE7FD0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9149</Words>
  <Characters>9283</Characters>
  <TotalTime>38</TotalTime>
  <ScaleCrop>false</ScaleCrop>
  <LinksUpToDate>false</LinksUpToDate>
  <CharactersWithSpaces>9302</CharactersWithSpaces>
  <Application>WPS Office_12.8.2.1118_F1E327BC-269C-435d-A152-05C5408002CA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2026-04-15T08:33:00Z</dcterms:created>
  <dc:creator>Apache POI</dc:creator>
  <cp:lastModifiedBy>user</cp:lastModifiedBy>
  <dcterms:modified xsi:type="dcterms:W3CDTF">2026-04-30T09:11:33Z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eyJoZGlkIjoiMDFkMjBhNTNkMGFkOTE1NWFkNTI4NGVlOGI1NWY1MTUiLCJ1c2VySWQiOiIxNzkyMzg3MzY4In0=</vt:lpwstr>
  </property>
  <property fmtid="{D5CDD505-2E9C-101B-9397-08002B2CF9AE}" pid="3" name="KSOProductBuildVer">
    <vt:lpwstr>2052-12.8.2.1118</vt:lpwstr>
  </property>
  <property fmtid="{D5CDD505-2E9C-101B-9397-08002B2CF9AE}" pid="4" name="ICV">
    <vt:lpwstr>02CE5716028B478187E69F1CE7720F0E_13</vt:lpwstr>
  </property>
</Properties>
</file>