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E03354">
      <w:pPr>
        <w:jc w:val="center"/>
        <w:rPr>
          <w:rFonts w:ascii="宋体" w:hAnsi="宋体" w:eastAsia="宋体"/>
          <w:color w:val="auto"/>
          <w:sz w:val="44"/>
          <w:szCs w:val="44"/>
          <w:highlight w:val="none"/>
        </w:rPr>
      </w:pPr>
      <w:r>
        <w:rPr>
          <w:rFonts w:hint="eastAsia" w:ascii="宋体" w:hAnsi="宋体" w:eastAsia="宋体"/>
          <w:color w:val="auto"/>
          <w:sz w:val="44"/>
          <w:szCs w:val="44"/>
          <w:highlight w:val="none"/>
          <w:lang w:eastAsia="zh-CN"/>
        </w:rPr>
        <w:t>采购</w:t>
      </w:r>
      <w:bookmarkStart w:id="1" w:name="_GoBack"/>
      <w:bookmarkEnd w:id="1"/>
      <w:r>
        <w:rPr>
          <w:rFonts w:hint="eastAsia" w:ascii="宋体" w:hAnsi="宋体" w:eastAsia="宋体"/>
          <w:color w:val="auto"/>
          <w:sz w:val="44"/>
          <w:szCs w:val="44"/>
          <w:highlight w:val="none"/>
        </w:rPr>
        <w:t>需求</w:t>
      </w:r>
    </w:p>
    <w:p w14:paraId="723DB642">
      <w:pPr>
        <w:pStyle w:val="16"/>
        <w:numPr>
          <w:ilvl w:val="0"/>
          <w:numId w:val="1"/>
        </w:numPr>
        <w:ind w:firstLineChars="0"/>
        <w:rPr>
          <w:rFonts w:ascii="宋体" w:hAnsi="宋体" w:eastAsia="宋体"/>
          <w:b/>
          <w:color w:val="auto"/>
          <w:sz w:val="28"/>
          <w:szCs w:val="28"/>
          <w:highlight w:val="none"/>
        </w:rPr>
      </w:pPr>
      <w:r>
        <w:rPr>
          <w:rFonts w:hint="eastAsia" w:ascii="宋体" w:hAnsi="宋体" w:eastAsia="宋体"/>
          <w:b/>
          <w:color w:val="auto"/>
          <w:sz w:val="28"/>
          <w:szCs w:val="28"/>
          <w:highlight w:val="none"/>
        </w:rPr>
        <w:t>项目概述</w:t>
      </w:r>
    </w:p>
    <w:p w14:paraId="76D149CD">
      <w:pPr>
        <w:rPr>
          <w:rFonts w:ascii="宋体" w:hAnsi="宋体" w:eastAsia="宋体"/>
          <w:color w:val="auto"/>
          <w:sz w:val="28"/>
          <w:szCs w:val="28"/>
          <w:highlight w:val="none"/>
        </w:rPr>
      </w:pPr>
      <w:r>
        <w:rPr>
          <w:rFonts w:hint="eastAsia" w:ascii="宋体" w:hAnsi="宋体" w:eastAsia="宋体"/>
          <w:color w:val="auto"/>
          <w:sz w:val="28"/>
          <w:szCs w:val="28"/>
          <w:highlight w:val="none"/>
        </w:rPr>
        <w:t>1</w:t>
      </w:r>
      <w:r>
        <w:rPr>
          <w:rFonts w:ascii="宋体" w:hAnsi="宋体" w:eastAsia="宋体"/>
          <w:color w:val="auto"/>
          <w:sz w:val="28"/>
          <w:szCs w:val="28"/>
          <w:highlight w:val="none"/>
        </w:rPr>
        <w:t xml:space="preserve">.1 </w:t>
      </w:r>
      <w:r>
        <w:rPr>
          <w:rFonts w:hint="eastAsia" w:ascii="宋体" w:hAnsi="宋体" w:eastAsia="宋体"/>
          <w:color w:val="auto"/>
          <w:sz w:val="28"/>
          <w:szCs w:val="28"/>
          <w:highlight w:val="none"/>
        </w:rPr>
        <w:t>项目名称：</w:t>
      </w:r>
      <w:r>
        <w:rPr>
          <w:rFonts w:ascii="宋体" w:hAnsi="宋体" w:eastAsia="宋体"/>
          <w:color w:val="auto"/>
          <w:sz w:val="28"/>
          <w:szCs w:val="28"/>
          <w:highlight w:val="none"/>
        </w:rPr>
        <w:t>城市多灾害智慧仿真与训推一体机</w:t>
      </w:r>
    </w:p>
    <w:p w14:paraId="4DA57D3C">
      <w:pPr>
        <w:rPr>
          <w:rFonts w:ascii="宋体" w:hAnsi="宋体" w:eastAsia="宋体"/>
          <w:color w:val="auto"/>
          <w:sz w:val="28"/>
          <w:szCs w:val="28"/>
          <w:highlight w:val="none"/>
        </w:rPr>
      </w:pPr>
      <w:r>
        <w:rPr>
          <w:rFonts w:ascii="宋体" w:hAnsi="宋体" w:eastAsia="宋体"/>
          <w:color w:val="auto"/>
          <w:sz w:val="28"/>
          <w:szCs w:val="28"/>
          <w:highlight w:val="none"/>
        </w:rPr>
        <w:t xml:space="preserve">1.2 </w:t>
      </w:r>
      <w:r>
        <w:rPr>
          <w:rFonts w:hint="eastAsia" w:ascii="宋体" w:hAnsi="宋体" w:eastAsia="宋体"/>
          <w:color w:val="auto"/>
          <w:sz w:val="28"/>
          <w:szCs w:val="28"/>
          <w:highlight w:val="none"/>
        </w:rPr>
        <w:t>项目背景</w:t>
      </w:r>
    </w:p>
    <w:p w14:paraId="4B68E9A3">
      <w:pPr>
        <w:spacing w:line="360" w:lineRule="auto"/>
        <w:ind w:firstLine="36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为提升城市台风、暴雨、洪涝等典型灾害的智能化预警、数值仿真、AI训练、快速推演和辅助决策能力，拟采购</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城市多灾害智慧仿真与训推一体机</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系统设备及配套服务。</w:t>
      </w:r>
    </w:p>
    <w:p w14:paraId="11C321E9">
      <w:pPr>
        <w:spacing w:line="360" w:lineRule="auto"/>
        <w:ind w:firstLine="36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本项目应面向城市多灾害智慧防灾减灾业务需求，构建集高性能计算、人工智能训练与推理、灾害数值仿真、模型管理、作业调度、统一运维于一体的软硬件平台，为台风—暴雨—洪涝等</w:t>
      </w:r>
      <w:r>
        <w:rPr>
          <w:rFonts w:hint="eastAsia" w:ascii="Times New Roman" w:hAnsi="Times New Roman" w:eastAsia="宋体" w:cs="Times New Roman"/>
          <w:color w:val="auto"/>
          <w:sz w:val="24"/>
          <w:szCs w:val="24"/>
          <w:highlight w:val="none"/>
        </w:rPr>
        <w:t>典型</w:t>
      </w:r>
      <w:r>
        <w:rPr>
          <w:rFonts w:ascii="Times New Roman" w:hAnsi="Times New Roman" w:eastAsia="宋体" w:cs="Times New Roman"/>
          <w:color w:val="auto"/>
          <w:sz w:val="24"/>
          <w:szCs w:val="24"/>
          <w:highlight w:val="none"/>
        </w:rPr>
        <w:t>灾害的高精度模拟、快速推演和风险分析提供算力、存储、平台软件和技术服务支撑</w:t>
      </w:r>
      <w:r>
        <w:rPr>
          <w:rFonts w:hint="eastAsia" w:ascii="Times New Roman" w:hAnsi="Times New Roman" w:eastAsia="宋体" w:cs="Times New Roman"/>
          <w:color w:val="auto"/>
          <w:sz w:val="24"/>
          <w:szCs w:val="24"/>
          <w:highlight w:val="none"/>
        </w:rPr>
        <w:t>。</w:t>
      </w:r>
    </w:p>
    <w:p w14:paraId="78F88E0F">
      <w:pPr>
        <w:rPr>
          <w:rFonts w:ascii="宋体" w:hAnsi="宋体" w:eastAsia="宋体"/>
          <w:color w:val="auto"/>
          <w:sz w:val="28"/>
          <w:szCs w:val="28"/>
          <w:highlight w:val="none"/>
        </w:rPr>
      </w:pPr>
      <w:r>
        <w:rPr>
          <w:rFonts w:hint="eastAsia" w:ascii="宋体" w:hAnsi="宋体" w:eastAsia="宋体"/>
          <w:color w:val="auto"/>
          <w:sz w:val="28"/>
          <w:szCs w:val="28"/>
          <w:highlight w:val="none"/>
        </w:rPr>
        <w:t>1</w:t>
      </w:r>
      <w:r>
        <w:rPr>
          <w:rFonts w:ascii="宋体" w:hAnsi="宋体" w:eastAsia="宋体"/>
          <w:color w:val="auto"/>
          <w:sz w:val="28"/>
          <w:szCs w:val="28"/>
          <w:highlight w:val="none"/>
        </w:rPr>
        <w:t xml:space="preserve">.3 </w:t>
      </w:r>
      <w:r>
        <w:rPr>
          <w:rFonts w:hint="eastAsia" w:ascii="宋体" w:hAnsi="宋体" w:eastAsia="宋体"/>
          <w:color w:val="auto"/>
          <w:sz w:val="28"/>
          <w:szCs w:val="28"/>
          <w:highlight w:val="none"/>
        </w:rPr>
        <w:t>建设目标</w:t>
      </w:r>
    </w:p>
    <w:p w14:paraId="120C0600">
      <w:pPr>
        <w:spacing w:line="360" w:lineRule="auto"/>
        <w:ind w:firstLine="36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建设一套满足城市多灾害仿真与AI训练推理需求的高性能算力平台</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支持城市台风、暴雨、内涝、洪涝等灾害场景下的数值计算、AI模型训练、模型推理和灾害风险快速评估</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支持部署大模型</w:t>
      </w:r>
      <w:r>
        <w:rPr>
          <w:rFonts w:hint="eastAsia" w:ascii="Times New Roman" w:hAnsi="Times New Roman" w:eastAsia="宋体" w:cs="Times New Roman"/>
          <w:color w:val="auto"/>
          <w:sz w:val="24"/>
          <w:szCs w:val="24"/>
          <w:highlight w:val="none"/>
        </w:rPr>
        <w:t>和典型灾害快速推演示范场景。</w:t>
      </w:r>
    </w:p>
    <w:p w14:paraId="7DDE0581">
      <w:pPr>
        <w:rPr>
          <w:rFonts w:ascii="宋体" w:hAnsi="宋体" w:eastAsia="宋体"/>
          <w:color w:val="auto"/>
          <w:sz w:val="28"/>
          <w:szCs w:val="28"/>
          <w:highlight w:val="none"/>
        </w:rPr>
      </w:pPr>
      <w:r>
        <w:rPr>
          <w:rFonts w:hint="eastAsia" w:ascii="宋体" w:hAnsi="宋体" w:eastAsia="宋体"/>
          <w:color w:val="auto"/>
          <w:sz w:val="28"/>
          <w:szCs w:val="28"/>
          <w:highlight w:val="none"/>
        </w:rPr>
        <w:t>1</w:t>
      </w:r>
      <w:r>
        <w:rPr>
          <w:rFonts w:ascii="宋体" w:hAnsi="宋体" w:eastAsia="宋体"/>
          <w:color w:val="auto"/>
          <w:sz w:val="28"/>
          <w:szCs w:val="28"/>
          <w:highlight w:val="none"/>
        </w:rPr>
        <w:t xml:space="preserve">.4 </w:t>
      </w:r>
      <w:r>
        <w:rPr>
          <w:rFonts w:hint="eastAsia" w:ascii="宋体" w:hAnsi="宋体" w:eastAsia="宋体"/>
          <w:color w:val="auto"/>
          <w:sz w:val="28"/>
          <w:szCs w:val="28"/>
          <w:highlight w:val="none"/>
        </w:rPr>
        <w:t>采购内容</w:t>
      </w:r>
    </w:p>
    <w:p w14:paraId="79E27C5D">
      <w:pPr>
        <w:spacing w:line="360" w:lineRule="auto"/>
        <w:ind w:firstLine="36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本项目采购内容包括但不限于：</w:t>
      </w:r>
    </w:p>
    <w:tbl>
      <w:tblPr>
        <w:tblStyle w:val="9"/>
        <w:tblW w:w="9776" w:type="dxa"/>
        <w:tblInd w:w="0" w:type="dxa"/>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846"/>
        <w:gridCol w:w="2693"/>
        <w:gridCol w:w="851"/>
        <w:gridCol w:w="5386"/>
      </w:tblGrid>
      <w:tr w14:paraId="45D2FBA1">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846"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36A2E892">
            <w:pPr>
              <w:widowControl/>
              <w:jc w:val="center"/>
              <w:rPr>
                <w:rFonts w:ascii="宋体" w:hAnsi="宋体" w:eastAsia="宋体" w:cs="Times New Roman"/>
                <w:b/>
                <w:bCs/>
                <w:color w:val="auto"/>
                <w:kern w:val="0"/>
                <w:szCs w:val="21"/>
                <w:highlight w:val="none"/>
              </w:rPr>
            </w:pPr>
            <w:r>
              <w:rPr>
                <w:rFonts w:ascii="宋体" w:hAnsi="宋体" w:eastAsia="宋体" w:cs="Times New Roman"/>
                <w:b/>
                <w:bCs/>
                <w:color w:val="auto"/>
                <w:kern w:val="0"/>
                <w:szCs w:val="21"/>
                <w:highlight w:val="none"/>
              </w:rPr>
              <w:t>序号</w:t>
            </w:r>
          </w:p>
        </w:tc>
        <w:tc>
          <w:tcPr>
            <w:tcW w:w="2693"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04770A5F">
            <w:pPr>
              <w:widowControl/>
              <w:jc w:val="center"/>
              <w:rPr>
                <w:rFonts w:ascii="宋体" w:hAnsi="宋体" w:eastAsia="宋体" w:cs="Times New Roman"/>
                <w:b/>
                <w:bCs/>
                <w:color w:val="auto"/>
                <w:kern w:val="0"/>
                <w:szCs w:val="21"/>
                <w:highlight w:val="none"/>
              </w:rPr>
            </w:pPr>
            <w:r>
              <w:rPr>
                <w:rFonts w:ascii="宋体" w:hAnsi="宋体" w:eastAsia="宋体" w:cs="Times New Roman"/>
                <w:b/>
                <w:bCs/>
                <w:color w:val="auto"/>
                <w:kern w:val="0"/>
                <w:szCs w:val="21"/>
                <w:highlight w:val="none"/>
              </w:rPr>
              <w:t>内容</w:t>
            </w:r>
          </w:p>
        </w:tc>
        <w:tc>
          <w:tcPr>
            <w:tcW w:w="851"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7F37C492">
            <w:pPr>
              <w:widowControl/>
              <w:jc w:val="center"/>
              <w:rPr>
                <w:rFonts w:ascii="宋体" w:hAnsi="宋体" w:eastAsia="宋体" w:cs="Times New Roman"/>
                <w:b/>
                <w:bCs/>
                <w:color w:val="auto"/>
                <w:kern w:val="0"/>
                <w:szCs w:val="21"/>
                <w:highlight w:val="none"/>
              </w:rPr>
            </w:pPr>
            <w:r>
              <w:rPr>
                <w:rFonts w:ascii="宋体" w:hAnsi="宋体" w:eastAsia="宋体" w:cs="Times New Roman"/>
                <w:b/>
                <w:bCs/>
                <w:color w:val="auto"/>
                <w:kern w:val="0"/>
                <w:szCs w:val="21"/>
                <w:highlight w:val="none"/>
              </w:rPr>
              <w:t>数量</w:t>
            </w:r>
          </w:p>
        </w:tc>
        <w:tc>
          <w:tcPr>
            <w:tcW w:w="5386"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75B5C778">
            <w:pPr>
              <w:widowControl/>
              <w:jc w:val="center"/>
              <w:rPr>
                <w:rFonts w:ascii="宋体" w:hAnsi="宋体" w:eastAsia="宋体" w:cs="Times New Roman"/>
                <w:b/>
                <w:bCs/>
                <w:color w:val="auto"/>
                <w:kern w:val="0"/>
                <w:szCs w:val="21"/>
                <w:highlight w:val="none"/>
              </w:rPr>
            </w:pPr>
            <w:r>
              <w:rPr>
                <w:rFonts w:ascii="宋体" w:hAnsi="宋体" w:eastAsia="宋体" w:cs="Times New Roman"/>
                <w:b/>
                <w:bCs/>
                <w:color w:val="auto"/>
                <w:kern w:val="0"/>
                <w:szCs w:val="21"/>
                <w:highlight w:val="none"/>
              </w:rPr>
              <w:t>说明</w:t>
            </w:r>
          </w:p>
        </w:tc>
      </w:tr>
      <w:tr w14:paraId="0ABDF94D">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c>
          <w:tcPr>
            <w:tcW w:w="846"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52BDF1FC">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1</w:t>
            </w:r>
          </w:p>
        </w:tc>
        <w:tc>
          <w:tcPr>
            <w:tcW w:w="2693"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4195F3BA">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智算服务器</w:t>
            </w:r>
          </w:p>
        </w:tc>
        <w:tc>
          <w:tcPr>
            <w:tcW w:w="851"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19466E44">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1台</w:t>
            </w:r>
          </w:p>
        </w:tc>
        <w:tc>
          <w:tcPr>
            <w:tcW w:w="5386"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705C7AF4">
            <w:pPr>
              <w:widowControl/>
              <w:jc w:val="left"/>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用于AI训练、大模型部署、灾害</w:t>
            </w:r>
            <w:r>
              <w:rPr>
                <w:rFonts w:hint="eastAsia" w:ascii="宋体" w:hAnsi="宋体" w:eastAsia="宋体" w:cs="Times New Roman"/>
                <w:color w:val="auto"/>
                <w:kern w:val="0"/>
                <w:szCs w:val="21"/>
                <w:highlight w:val="none"/>
              </w:rPr>
              <w:t>智慧</w:t>
            </w:r>
            <w:r>
              <w:rPr>
                <w:rFonts w:ascii="宋体" w:hAnsi="宋体" w:eastAsia="宋体" w:cs="Times New Roman"/>
                <w:color w:val="auto"/>
                <w:kern w:val="0"/>
                <w:szCs w:val="21"/>
                <w:highlight w:val="none"/>
              </w:rPr>
              <w:t>仿真等</w:t>
            </w:r>
          </w:p>
        </w:tc>
      </w:tr>
      <w:tr w14:paraId="58DC1441">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c>
          <w:tcPr>
            <w:tcW w:w="846" w:type="dxa"/>
            <w:tcBorders>
              <w:top w:val="single" w:color="D0D7DE" w:sz="4" w:space="0"/>
              <w:left w:val="single" w:color="D0D7DE" w:sz="4" w:space="0"/>
              <w:bottom w:val="single" w:color="D0D7DE" w:sz="4" w:space="0"/>
              <w:right w:val="single" w:color="D0D7DE" w:sz="4" w:space="0"/>
            </w:tcBorders>
            <w:shd w:val="clear" w:color="auto" w:fill="F6F8FA"/>
            <w:tcMar>
              <w:top w:w="90" w:type="dxa"/>
              <w:left w:w="195" w:type="dxa"/>
              <w:bottom w:w="90" w:type="dxa"/>
              <w:right w:w="195" w:type="dxa"/>
            </w:tcMar>
            <w:vAlign w:val="center"/>
          </w:tcPr>
          <w:p w14:paraId="0F50C6DB">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2</w:t>
            </w:r>
          </w:p>
        </w:tc>
        <w:tc>
          <w:tcPr>
            <w:tcW w:w="2693" w:type="dxa"/>
            <w:tcBorders>
              <w:top w:val="single" w:color="D0D7DE" w:sz="4" w:space="0"/>
              <w:left w:val="single" w:color="D0D7DE" w:sz="4" w:space="0"/>
              <w:bottom w:val="single" w:color="D0D7DE" w:sz="4" w:space="0"/>
              <w:right w:val="single" w:color="D0D7DE" w:sz="4" w:space="0"/>
            </w:tcBorders>
            <w:shd w:val="clear" w:color="auto" w:fill="F6F8FA"/>
            <w:tcMar>
              <w:top w:w="90" w:type="dxa"/>
              <w:left w:w="195" w:type="dxa"/>
              <w:bottom w:w="90" w:type="dxa"/>
              <w:right w:w="195" w:type="dxa"/>
            </w:tcMar>
            <w:vAlign w:val="center"/>
          </w:tcPr>
          <w:p w14:paraId="457D6C2F">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多灾害</w:t>
            </w:r>
            <w:r>
              <w:rPr>
                <w:rFonts w:hint="eastAsia" w:ascii="宋体" w:hAnsi="宋体" w:eastAsia="宋体" w:cs="Times New Roman"/>
                <w:color w:val="auto"/>
                <w:kern w:val="0"/>
                <w:szCs w:val="21"/>
                <w:highlight w:val="none"/>
              </w:rPr>
              <w:t>算力部件</w:t>
            </w:r>
          </w:p>
        </w:tc>
        <w:tc>
          <w:tcPr>
            <w:tcW w:w="851" w:type="dxa"/>
            <w:tcBorders>
              <w:top w:val="single" w:color="D0D7DE" w:sz="4" w:space="0"/>
              <w:left w:val="single" w:color="D0D7DE" w:sz="4" w:space="0"/>
              <w:bottom w:val="single" w:color="D0D7DE" w:sz="4" w:space="0"/>
              <w:right w:val="single" w:color="D0D7DE" w:sz="4" w:space="0"/>
            </w:tcBorders>
            <w:shd w:val="clear" w:color="auto" w:fill="F6F8FA"/>
            <w:tcMar>
              <w:top w:w="90" w:type="dxa"/>
              <w:left w:w="195" w:type="dxa"/>
              <w:bottom w:w="90" w:type="dxa"/>
              <w:right w:w="195" w:type="dxa"/>
            </w:tcMar>
            <w:vAlign w:val="center"/>
          </w:tcPr>
          <w:p w14:paraId="04ECB222">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1</w:t>
            </w:r>
            <w:r>
              <w:rPr>
                <w:rFonts w:hint="eastAsia" w:ascii="宋体" w:hAnsi="宋体" w:eastAsia="宋体" w:cs="Times New Roman"/>
                <w:color w:val="auto"/>
                <w:kern w:val="0"/>
                <w:szCs w:val="21"/>
                <w:highlight w:val="none"/>
              </w:rPr>
              <w:t>套</w:t>
            </w:r>
          </w:p>
        </w:tc>
        <w:tc>
          <w:tcPr>
            <w:tcW w:w="5386" w:type="dxa"/>
            <w:tcBorders>
              <w:top w:val="single" w:color="D0D7DE" w:sz="4" w:space="0"/>
              <w:left w:val="single" w:color="D0D7DE" w:sz="4" w:space="0"/>
              <w:bottom w:val="single" w:color="D0D7DE" w:sz="4" w:space="0"/>
              <w:right w:val="single" w:color="D0D7DE" w:sz="4" w:space="0"/>
            </w:tcBorders>
            <w:shd w:val="clear" w:color="auto" w:fill="F6F8FA"/>
            <w:tcMar>
              <w:top w:w="90" w:type="dxa"/>
              <w:left w:w="195" w:type="dxa"/>
              <w:bottom w:w="90" w:type="dxa"/>
              <w:right w:w="195" w:type="dxa"/>
            </w:tcMar>
            <w:vAlign w:val="center"/>
          </w:tcPr>
          <w:p w14:paraId="370520C5">
            <w:pPr>
              <w:widowControl/>
              <w:jc w:val="left"/>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用于</w:t>
            </w:r>
            <w:r>
              <w:rPr>
                <w:rFonts w:hint="eastAsia" w:ascii="宋体" w:hAnsi="宋体" w:eastAsia="宋体" w:cs="Times New Roman"/>
                <w:color w:val="auto"/>
                <w:kern w:val="0"/>
                <w:szCs w:val="21"/>
                <w:highlight w:val="none"/>
              </w:rPr>
              <w:t>多灾害推演、</w:t>
            </w:r>
            <w:r>
              <w:rPr>
                <w:rFonts w:ascii="宋体" w:hAnsi="宋体" w:eastAsia="宋体" w:cs="Times New Roman"/>
                <w:color w:val="auto"/>
                <w:kern w:val="0"/>
                <w:szCs w:val="21"/>
                <w:highlight w:val="none"/>
              </w:rPr>
              <w:t>快速评估、轻量微调等</w:t>
            </w:r>
          </w:p>
        </w:tc>
      </w:tr>
      <w:tr w14:paraId="78D1801F">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c>
          <w:tcPr>
            <w:tcW w:w="846"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583DD9D6">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3</w:t>
            </w:r>
          </w:p>
        </w:tc>
        <w:tc>
          <w:tcPr>
            <w:tcW w:w="2693"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7D8D7124">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集中式存储系统</w:t>
            </w:r>
          </w:p>
        </w:tc>
        <w:tc>
          <w:tcPr>
            <w:tcW w:w="851"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256F8309">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1套</w:t>
            </w:r>
          </w:p>
        </w:tc>
        <w:tc>
          <w:tcPr>
            <w:tcW w:w="5386"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649AD08F">
            <w:pPr>
              <w:widowControl/>
              <w:jc w:val="left"/>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用于模型、数据、仿真结果、业务成果统一存储</w:t>
            </w:r>
          </w:p>
        </w:tc>
      </w:tr>
      <w:tr w14:paraId="67E60797">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c>
          <w:tcPr>
            <w:tcW w:w="846" w:type="dxa"/>
            <w:tcBorders>
              <w:top w:val="single" w:color="D0D7DE" w:sz="4" w:space="0"/>
              <w:left w:val="single" w:color="D0D7DE" w:sz="4" w:space="0"/>
              <w:bottom w:val="single" w:color="D0D7DE" w:sz="4" w:space="0"/>
              <w:right w:val="single" w:color="D0D7DE" w:sz="4" w:space="0"/>
            </w:tcBorders>
            <w:shd w:val="clear" w:color="auto" w:fill="F6F8FA"/>
            <w:tcMar>
              <w:top w:w="90" w:type="dxa"/>
              <w:left w:w="195" w:type="dxa"/>
              <w:bottom w:w="90" w:type="dxa"/>
              <w:right w:w="195" w:type="dxa"/>
            </w:tcMar>
            <w:vAlign w:val="center"/>
          </w:tcPr>
          <w:p w14:paraId="7DBFE5C4">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4</w:t>
            </w:r>
          </w:p>
        </w:tc>
        <w:tc>
          <w:tcPr>
            <w:tcW w:w="2693" w:type="dxa"/>
            <w:tcBorders>
              <w:top w:val="single" w:color="D0D7DE" w:sz="4" w:space="0"/>
              <w:left w:val="single" w:color="D0D7DE" w:sz="4" w:space="0"/>
              <w:bottom w:val="single" w:color="D0D7DE" w:sz="4" w:space="0"/>
              <w:right w:val="single" w:color="D0D7DE" w:sz="4" w:space="0"/>
            </w:tcBorders>
            <w:shd w:val="clear" w:color="auto" w:fill="F6F8FA"/>
            <w:tcMar>
              <w:top w:w="90" w:type="dxa"/>
              <w:left w:w="195" w:type="dxa"/>
              <w:bottom w:w="90" w:type="dxa"/>
              <w:right w:w="195" w:type="dxa"/>
            </w:tcMar>
            <w:vAlign w:val="center"/>
          </w:tcPr>
          <w:p w14:paraId="0F04DD5F">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集群管理软件</w:t>
            </w:r>
          </w:p>
        </w:tc>
        <w:tc>
          <w:tcPr>
            <w:tcW w:w="851" w:type="dxa"/>
            <w:tcBorders>
              <w:top w:val="single" w:color="D0D7DE" w:sz="4" w:space="0"/>
              <w:left w:val="single" w:color="D0D7DE" w:sz="4" w:space="0"/>
              <w:bottom w:val="single" w:color="D0D7DE" w:sz="4" w:space="0"/>
              <w:right w:val="single" w:color="D0D7DE" w:sz="4" w:space="0"/>
            </w:tcBorders>
            <w:shd w:val="clear" w:color="auto" w:fill="F6F8FA"/>
            <w:tcMar>
              <w:top w:w="90" w:type="dxa"/>
              <w:left w:w="195" w:type="dxa"/>
              <w:bottom w:w="90" w:type="dxa"/>
              <w:right w:w="195" w:type="dxa"/>
            </w:tcMar>
            <w:vAlign w:val="center"/>
          </w:tcPr>
          <w:p w14:paraId="7232DC8E">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1套</w:t>
            </w:r>
          </w:p>
        </w:tc>
        <w:tc>
          <w:tcPr>
            <w:tcW w:w="5386" w:type="dxa"/>
            <w:tcBorders>
              <w:top w:val="single" w:color="D0D7DE" w:sz="4" w:space="0"/>
              <w:left w:val="single" w:color="D0D7DE" w:sz="4" w:space="0"/>
              <w:bottom w:val="single" w:color="D0D7DE" w:sz="4" w:space="0"/>
              <w:right w:val="single" w:color="D0D7DE" w:sz="4" w:space="0"/>
            </w:tcBorders>
            <w:shd w:val="clear" w:color="auto" w:fill="F6F8FA"/>
            <w:tcMar>
              <w:top w:w="90" w:type="dxa"/>
              <w:left w:w="195" w:type="dxa"/>
              <w:bottom w:w="90" w:type="dxa"/>
              <w:right w:w="195" w:type="dxa"/>
            </w:tcMar>
            <w:vAlign w:val="center"/>
          </w:tcPr>
          <w:p w14:paraId="0646C34B">
            <w:pPr>
              <w:widowControl/>
              <w:jc w:val="left"/>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用于集群资源管理、作业调度、运维监控等</w:t>
            </w:r>
          </w:p>
        </w:tc>
      </w:tr>
      <w:tr w14:paraId="4ACB2E30">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c>
          <w:tcPr>
            <w:tcW w:w="846"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66DF4143">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5</w:t>
            </w:r>
          </w:p>
        </w:tc>
        <w:tc>
          <w:tcPr>
            <w:tcW w:w="2693"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3FD1274C">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AI管理平台</w:t>
            </w:r>
          </w:p>
        </w:tc>
        <w:tc>
          <w:tcPr>
            <w:tcW w:w="851"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50F5A006">
            <w:pPr>
              <w:widowControl/>
              <w:jc w:val="center"/>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1套</w:t>
            </w:r>
          </w:p>
        </w:tc>
        <w:tc>
          <w:tcPr>
            <w:tcW w:w="5386"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34803C66">
            <w:pPr>
              <w:widowControl/>
              <w:jc w:val="left"/>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用于模型训练、推理服务、镜像管理、任务管理等</w:t>
            </w:r>
          </w:p>
        </w:tc>
      </w:tr>
      <w:tr w14:paraId="13B1FB95">
        <w:tblPrEx>
          <w:tblBorders>
            <w:top w:val="single" w:color="auto" w:sz="2" w:space="0"/>
            <w:left w:val="single" w:color="auto" w:sz="2" w:space="0"/>
            <w:bottom w:val="single" w:color="auto" w:sz="2" w:space="0"/>
            <w:right w:val="single" w:color="auto" w:sz="2" w:space="0"/>
            <w:insideH w:val="none" w:color="auto" w:sz="0" w:space="0"/>
            <w:insideV w:val="none" w:color="auto" w:sz="0" w:space="0"/>
          </w:tblBorders>
          <w:shd w:val="clear" w:color="auto" w:fill="FFFFFF"/>
          <w:tblCellMar>
            <w:top w:w="15" w:type="dxa"/>
            <w:left w:w="15" w:type="dxa"/>
            <w:bottom w:w="15" w:type="dxa"/>
            <w:right w:w="15" w:type="dxa"/>
          </w:tblCellMar>
        </w:tblPrEx>
        <w:tc>
          <w:tcPr>
            <w:tcW w:w="846"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36AC4AA5">
            <w:pPr>
              <w:widowControl/>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6</w:t>
            </w:r>
          </w:p>
        </w:tc>
        <w:tc>
          <w:tcPr>
            <w:tcW w:w="2693"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351DE7ED">
            <w:pPr>
              <w:widowControl/>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质保及售后服务</w:t>
            </w:r>
          </w:p>
        </w:tc>
        <w:tc>
          <w:tcPr>
            <w:tcW w:w="851"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1CF84793">
            <w:pPr>
              <w:widowControl/>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1项</w:t>
            </w:r>
          </w:p>
        </w:tc>
        <w:tc>
          <w:tcPr>
            <w:tcW w:w="5386" w:type="dxa"/>
            <w:tcBorders>
              <w:top w:val="single" w:color="D0D7DE" w:sz="4" w:space="0"/>
              <w:left w:val="single" w:color="D0D7DE" w:sz="4" w:space="0"/>
              <w:bottom w:val="single" w:color="D0D7DE" w:sz="4" w:space="0"/>
              <w:right w:val="single" w:color="D0D7DE" w:sz="4" w:space="0"/>
            </w:tcBorders>
            <w:shd w:val="clear" w:color="auto" w:fill="FFFFFF"/>
            <w:tcMar>
              <w:top w:w="90" w:type="dxa"/>
              <w:left w:w="195" w:type="dxa"/>
              <w:bottom w:w="90" w:type="dxa"/>
              <w:right w:w="195" w:type="dxa"/>
            </w:tcMar>
            <w:vAlign w:val="center"/>
          </w:tcPr>
          <w:p w14:paraId="4B2B66F2">
            <w:pPr>
              <w:widowControl/>
              <w:jc w:val="left"/>
              <w:rPr>
                <w:rFonts w:ascii="宋体" w:hAnsi="宋体" w:eastAsia="宋体" w:cs="Times New Roman"/>
                <w:color w:val="auto"/>
                <w:kern w:val="0"/>
                <w:szCs w:val="21"/>
                <w:highlight w:val="none"/>
              </w:rPr>
            </w:pPr>
            <w:r>
              <w:rPr>
                <w:rFonts w:ascii="宋体" w:hAnsi="宋体" w:eastAsia="宋体" w:cs="Times New Roman"/>
                <w:color w:val="auto"/>
                <w:kern w:val="0"/>
                <w:szCs w:val="21"/>
                <w:highlight w:val="none"/>
              </w:rPr>
              <w:t>提供质保、技术支持和运维服务</w:t>
            </w:r>
          </w:p>
        </w:tc>
      </w:tr>
    </w:tbl>
    <w:p w14:paraId="221023FC">
      <w:pPr>
        <w:spacing w:line="360" w:lineRule="auto"/>
        <w:rPr>
          <w:rFonts w:ascii="Times New Roman" w:hAnsi="Times New Roman" w:eastAsia="宋体" w:cs="Times New Roman"/>
          <w:color w:val="auto"/>
          <w:sz w:val="24"/>
          <w:szCs w:val="24"/>
          <w:highlight w:val="none"/>
        </w:rPr>
      </w:pPr>
    </w:p>
    <w:p w14:paraId="74B0068C">
      <w:pPr>
        <w:rPr>
          <w:rFonts w:ascii="宋体" w:hAnsi="宋体" w:eastAsia="宋体"/>
          <w:color w:val="auto"/>
          <w:sz w:val="28"/>
          <w:szCs w:val="28"/>
          <w:highlight w:val="none"/>
        </w:rPr>
      </w:pPr>
      <w:r>
        <w:rPr>
          <w:rFonts w:hint="eastAsia" w:ascii="宋体" w:hAnsi="宋体" w:eastAsia="宋体"/>
          <w:color w:val="auto"/>
          <w:sz w:val="28"/>
          <w:szCs w:val="28"/>
          <w:highlight w:val="none"/>
        </w:rPr>
        <w:t>1</w:t>
      </w:r>
      <w:r>
        <w:rPr>
          <w:rFonts w:ascii="宋体" w:hAnsi="宋体" w:eastAsia="宋体"/>
          <w:color w:val="auto"/>
          <w:sz w:val="28"/>
          <w:szCs w:val="28"/>
          <w:highlight w:val="none"/>
        </w:rPr>
        <w:t xml:space="preserve">.5 </w:t>
      </w:r>
      <w:r>
        <w:rPr>
          <w:rFonts w:hint="eastAsia" w:ascii="宋体" w:hAnsi="宋体" w:eastAsia="宋体"/>
          <w:color w:val="auto"/>
          <w:sz w:val="28"/>
          <w:szCs w:val="28"/>
          <w:highlight w:val="none"/>
        </w:rPr>
        <w:t>交货及实时要求</w:t>
      </w:r>
    </w:p>
    <w:p w14:paraId="121E696D">
      <w:pPr>
        <w:pStyle w:val="16"/>
        <w:numPr>
          <w:ilvl w:val="0"/>
          <w:numId w:val="2"/>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交货时间：合同签订后20</w:t>
      </w:r>
      <w:r>
        <w:rPr>
          <w:rFonts w:hint="eastAsia" w:ascii="Times New Roman" w:hAnsi="Times New Roman" w:eastAsia="宋体" w:cs="Times New Roman"/>
          <w:color w:val="auto"/>
          <w:sz w:val="24"/>
          <w:szCs w:val="24"/>
          <w:highlight w:val="none"/>
          <w:lang w:eastAsia="zh-CN"/>
        </w:rPr>
        <w:t>天</w:t>
      </w:r>
      <w:r>
        <w:rPr>
          <w:rFonts w:ascii="Times New Roman" w:hAnsi="Times New Roman" w:eastAsia="宋体" w:cs="Times New Roman"/>
          <w:color w:val="auto"/>
          <w:sz w:val="24"/>
          <w:szCs w:val="24"/>
          <w:highlight w:val="none"/>
        </w:rPr>
        <w:t>内完成到货。</w:t>
      </w:r>
    </w:p>
    <w:p w14:paraId="122C9D4A">
      <w:pPr>
        <w:pStyle w:val="16"/>
        <w:numPr>
          <w:ilvl w:val="0"/>
          <w:numId w:val="2"/>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安装调试时间：到货后 10</w:t>
      </w:r>
      <w:r>
        <w:rPr>
          <w:rFonts w:hint="eastAsia" w:ascii="Times New Roman" w:hAnsi="Times New Roman" w:eastAsia="宋体" w:cs="Times New Roman"/>
          <w:color w:val="auto"/>
          <w:sz w:val="24"/>
          <w:szCs w:val="24"/>
          <w:highlight w:val="none"/>
          <w:lang w:eastAsia="zh-CN"/>
        </w:rPr>
        <w:t>天</w:t>
      </w:r>
      <w:r>
        <w:rPr>
          <w:rFonts w:ascii="Times New Roman" w:hAnsi="Times New Roman" w:eastAsia="宋体" w:cs="Times New Roman"/>
          <w:color w:val="auto"/>
          <w:sz w:val="24"/>
          <w:szCs w:val="24"/>
          <w:highlight w:val="none"/>
        </w:rPr>
        <w:t>内完成系统安装调试并具备初验条件。</w:t>
      </w:r>
    </w:p>
    <w:p w14:paraId="63D9C851">
      <w:pPr>
        <w:pStyle w:val="16"/>
        <w:numPr>
          <w:ilvl w:val="0"/>
          <w:numId w:val="2"/>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交货地点：采购人指定地点。</w:t>
      </w:r>
    </w:p>
    <w:p w14:paraId="708161F1">
      <w:pPr>
        <w:pStyle w:val="16"/>
        <w:numPr>
          <w:ilvl w:val="0"/>
          <w:numId w:val="2"/>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中标人应负责设备运输、保险、装卸、上架、布线、安装、调试、部署及验收支持等工作</w:t>
      </w:r>
      <w:r>
        <w:rPr>
          <w:rFonts w:hint="eastAsia" w:ascii="Times New Roman" w:hAnsi="Times New Roman" w:eastAsia="宋体" w:cs="Times New Roman"/>
          <w:color w:val="auto"/>
          <w:sz w:val="24"/>
          <w:szCs w:val="24"/>
          <w:highlight w:val="none"/>
        </w:rPr>
        <w:t>。</w:t>
      </w:r>
    </w:p>
    <w:p w14:paraId="6CB1393F">
      <w:pPr>
        <w:pStyle w:val="16"/>
        <w:numPr>
          <w:ilvl w:val="0"/>
          <w:numId w:val="1"/>
        </w:numPr>
        <w:ind w:firstLineChars="0"/>
        <w:rPr>
          <w:rFonts w:ascii="宋体" w:hAnsi="宋体" w:eastAsia="宋体"/>
          <w:b/>
          <w:color w:val="auto"/>
          <w:sz w:val="28"/>
          <w:szCs w:val="28"/>
          <w:highlight w:val="none"/>
        </w:rPr>
      </w:pPr>
      <w:r>
        <w:rPr>
          <w:rFonts w:hint="eastAsia" w:ascii="宋体" w:hAnsi="宋体" w:eastAsia="宋体"/>
          <w:b/>
          <w:color w:val="auto"/>
          <w:sz w:val="28"/>
          <w:szCs w:val="28"/>
          <w:highlight w:val="none"/>
        </w:rPr>
        <w:t>总体技术要求</w:t>
      </w:r>
    </w:p>
    <w:p w14:paraId="33BDF67A">
      <w:pPr>
        <w:rPr>
          <w:rFonts w:ascii="宋体" w:hAnsi="宋体" w:eastAsia="宋体"/>
          <w:color w:val="auto"/>
          <w:sz w:val="28"/>
          <w:szCs w:val="28"/>
          <w:highlight w:val="none"/>
        </w:rPr>
      </w:pPr>
      <w:r>
        <w:rPr>
          <w:rFonts w:hint="eastAsia" w:ascii="宋体" w:hAnsi="宋体" w:eastAsia="宋体"/>
          <w:color w:val="auto"/>
          <w:sz w:val="28"/>
          <w:szCs w:val="28"/>
          <w:highlight w:val="none"/>
        </w:rPr>
        <w:t>2</w:t>
      </w:r>
      <w:r>
        <w:rPr>
          <w:rFonts w:ascii="宋体" w:hAnsi="宋体" w:eastAsia="宋体"/>
          <w:color w:val="auto"/>
          <w:sz w:val="28"/>
          <w:szCs w:val="28"/>
          <w:highlight w:val="none"/>
        </w:rPr>
        <w:t xml:space="preserve">.1 </w:t>
      </w:r>
      <w:r>
        <w:rPr>
          <w:rFonts w:hint="eastAsia" w:ascii="宋体" w:hAnsi="宋体" w:eastAsia="宋体"/>
          <w:color w:val="auto"/>
          <w:sz w:val="28"/>
          <w:szCs w:val="28"/>
          <w:highlight w:val="none"/>
        </w:rPr>
        <w:t>总体要求</w:t>
      </w:r>
    </w:p>
    <w:p w14:paraId="1F714C56">
      <w:pPr>
        <w:spacing w:line="360" w:lineRule="auto"/>
        <w:ind w:left="36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本项目所投产品和服务应满足以下总体要求：</w:t>
      </w:r>
    </w:p>
    <w:p w14:paraId="78DB245B">
      <w:pPr>
        <w:pStyle w:val="16"/>
        <w:numPr>
          <w:ilvl w:val="0"/>
          <w:numId w:val="3"/>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软硬件系统应具备稳定性、可靠性、可扩展性和可维护性；</w:t>
      </w:r>
    </w:p>
    <w:p w14:paraId="2609FD60">
      <w:pPr>
        <w:pStyle w:val="16"/>
        <w:numPr>
          <w:ilvl w:val="0"/>
          <w:numId w:val="3"/>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支持高性能计算、人工智能训练、人工智能推理、灾害仿真推演等多类任务；</w:t>
      </w:r>
    </w:p>
    <w:p w14:paraId="49F69840">
      <w:pPr>
        <w:pStyle w:val="16"/>
        <w:numPr>
          <w:ilvl w:val="0"/>
          <w:numId w:val="3"/>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支持CPU、GPU、存储、网络等资源的统一管理和监控；</w:t>
      </w:r>
    </w:p>
    <w:p w14:paraId="57270EE5">
      <w:pPr>
        <w:pStyle w:val="16"/>
        <w:numPr>
          <w:ilvl w:val="0"/>
          <w:numId w:val="3"/>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支持科学计算、工程仿真、人工智能任务的统一作业调度；</w:t>
      </w:r>
    </w:p>
    <w:p w14:paraId="069CDC45">
      <w:pPr>
        <w:pStyle w:val="16"/>
        <w:numPr>
          <w:ilvl w:val="0"/>
          <w:numId w:val="3"/>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支持通过Web方式进行资源申请、任务提交、状态查看、日志查看、结果下载、运维监控等操作；</w:t>
      </w:r>
    </w:p>
    <w:p w14:paraId="3F49325F">
      <w:pPr>
        <w:pStyle w:val="16"/>
        <w:numPr>
          <w:ilvl w:val="0"/>
          <w:numId w:val="3"/>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符合国家相关安全可靠、自主可控要求的国产品牌设备；</w:t>
      </w:r>
    </w:p>
    <w:p w14:paraId="61FAD2D6">
      <w:pPr>
        <w:pStyle w:val="16"/>
        <w:numPr>
          <w:ilvl w:val="0"/>
          <w:numId w:val="3"/>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所有设备、软件、配件、模块、线缆、授权、服务均应为合法来源</w:t>
      </w:r>
      <w:r>
        <w:rPr>
          <w:rFonts w:hint="eastAsia" w:ascii="Times New Roman" w:hAnsi="Times New Roman" w:eastAsia="宋体" w:cs="Times New Roman"/>
          <w:color w:val="auto"/>
          <w:sz w:val="24"/>
          <w:szCs w:val="24"/>
          <w:highlight w:val="none"/>
          <w:lang w:eastAsia="zh-CN"/>
        </w:rPr>
        <w:t>。</w:t>
      </w:r>
    </w:p>
    <w:p w14:paraId="2640329A">
      <w:pPr>
        <w:rPr>
          <w:rFonts w:ascii="宋体" w:hAnsi="宋体" w:eastAsia="宋体"/>
          <w:color w:val="auto"/>
          <w:sz w:val="28"/>
          <w:szCs w:val="28"/>
          <w:highlight w:val="none"/>
        </w:rPr>
      </w:pPr>
      <w:r>
        <w:rPr>
          <w:rFonts w:hint="eastAsia" w:ascii="宋体" w:hAnsi="宋体" w:eastAsia="宋体"/>
          <w:color w:val="auto"/>
          <w:sz w:val="28"/>
          <w:szCs w:val="28"/>
          <w:highlight w:val="none"/>
        </w:rPr>
        <w:t>2</w:t>
      </w:r>
      <w:r>
        <w:rPr>
          <w:rFonts w:ascii="宋体" w:hAnsi="宋体" w:eastAsia="宋体"/>
          <w:color w:val="auto"/>
          <w:sz w:val="28"/>
          <w:szCs w:val="28"/>
          <w:highlight w:val="none"/>
        </w:rPr>
        <w:t xml:space="preserve">.2 </w:t>
      </w:r>
      <w:r>
        <w:rPr>
          <w:rFonts w:hint="eastAsia" w:ascii="宋体" w:hAnsi="宋体" w:eastAsia="宋体"/>
          <w:color w:val="auto"/>
          <w:sz w:val="28"/>
          <w:szCs w:val="28"/>
          <w:highlight w:val="none"/>
        </w:rPr>
        <w:t>系统架构要求</w:t>
      </w:r>
    </w:p>
    <w:p w14:paraId="20E47FDE">
      <w:pPr>
        <w:spacing w:line="360" w:lineRule="auto"/>
        <w:ind w:left="36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系统应至少包括以下组成部分：</w:t>
      </w:r>
    </w:p>
    <w:p w14:paraId="511B7D58">
      <w:pPr>
        <w:pStyle w:val="16"/>
        <w:numPr>
          <w:ilvl w:val="0"/>
          <w:numId w:val="4"/>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高性能智算服务器；</w:t>
      </w:r>
    </w:p>
    <w:p w14:paraId="630C1A29">
      <w:pPr>
        <w:pStyle w:val="16"/>
        <w:numPr>
          <w:ilvl w:val="0"/>
          <w:numId w:val="4"/>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多灾害</w:t>
      </w:r>
      <w:r>
        <w:rPr>
          <w:rFonts w:hint="eastAsia" w:ascii="Times New Roman" w:hAnsi="Times New Roman" w:eastAsia="宋体" w:cs="Times New Roman"/>
          <w:color w:val="auto"/>
          <w:sz w:val="24"/>
          <w:szCs w:val="24"/>
          <w:highlight w:val="none"/>
        </w:rPr>
        <w:t>算力部件</w:t>
      </w:r>
      <w:r>
        <w:rPr>
          <w:rFonts w:ascii="Times New Roman" w:hAnsi="Times New Roman" w:eastAsia="宋体" w:cs="Times New Roman"/>
          <w:color w:val="auto"/>
          <w:sz w:val="24"/>
          <w:szCs w:val="24"/>
          <w:highlight w:val="none"/>
        </w:rPr>
        <w:t>；</w:t>
      </w:r>
    </w:p>
    <w:p w14:paraId="11C0793E">
      <w:pPr>
        <w:pStyle w:val="16"/>
        <w:numPr>
          <w:ilvl w:val="0"/>
          <w:numId w:val="4"/>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集中式存储系统；</w:t>
      </w:r>
    </w:p>
    <w:p w14:paraId="640303A3">
      <w:pPr>
        <w:pStyle w:val="16"/>
        <w:numPr>
          <w:ilvl w:val="0"/>
          <w:numId w:val="4"/>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集群管理与作业调度平台；</w:t>
      </w:r>
    </w:p>
    <w:p w14:paraId="4F55038B">
      <w:pPr>
        <w:pStyle w:val="16"/>
        <w:numPr>
          <w:ilvl w:val="0"/>
          <w:numId w:val="4"/>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AI管理平台；</w:t>
      </w:r>
    </w:p>
    <w:p w14:paraId="634EB3BC">
      <w:pPr>
        <w:pStyle w:val="16"/>
        <w:numPr>
          <w:ilvl w:val="0"/>
          <w:numId w:val="4"/>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运维监控与管理服务</w:t>
      </w:r>
      <w:r>
        <w:rPr>
          <w:rFonts w:hint="eastAsia" w:ascii="Times New Roman" w:hAnsi="Times New Roman" w:eastAsia="宋体" w:cs="Times New Roman"/>
          <w:color w:val="auto"/>
          <w:sz w:val="24"/>
          <w:szCs w:val="24"/>
          <w:highlight w:val="none"/>
        </w:rPr>
        <w:t>。</w:t>
      </w:r>
    </w:p>
    <w:p w14:paraId="753DBBE6">
      <w:pPr>
        <w:rPr>
          <w:rFonts w:ascii="宋体" w:hAnsi="宋体" w:eastAsia="宋体"/>
          <w:color w:val="auto"/>
          <w:sz w:val="28"/>
          <w:szCs w:val="28"/>
          <w:highlight w:val="none"/>
        </w:rPr>
      </w:pPr>
      <w:r>
        <w:rPr>
          <w:rFonts w:hint="eastAsia" w:ascii="宋体" w:hAnsi="宋体" w:eastAsia="宋体"/>
          <w:color w:val="auto"/>
          <w:sz w:val="28"/>
          <w:szCs w:val="28"/>
          <w:highlight w:val="none"/>
        </w:rPr>
        <w:t>2</w:t>
      </w:r>
      <w:r>
        <w:rPr>
          <w:rFonts w:ascii="宋体" w:hAnsi="宋体" w:eastAsia="宋体"/>
          <w:color w:val="auto"/>
          <w:sz w:val="28"/>
          <w:szCs w:val="28"/>
          <w:highlight w:val="none"/>
        </w:rPr>
        <w:t xml:space="preserve">.3 </w:t>
      </w:r>
      <w:r>
        <w:rPr>
          <w:rFonts w:hint="eastAsia" w:ascii="宋体" w:hAnsi="宋体" w:eastAsia="宋体"/>
          <w:color w:val="auto"/>
          <w:sz w:val="28"/>
          <w:szCs w:val="28"/>
          <w:highlight w:val="none"/>
        </w:rPr>
        <w:t>业务能力要求</w:t>
      </w:r>
    </w:p>
    <w:p w14:paraId="36519FA6">
      <w:pPr>
        <w:spacing w:line="360" w:lineRule="auto"/>
        <w:ind w:firstLine="36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系统应至少支持以下业务能力：</w:t>
      </w:r>
    </w:p>
    <w:p w14:paraId="0803CD43">
      <w:pPr>
        <w:pStyle w:val="16"/>
        <w:numPr>
          <w:ilvl w:val="0"/>
          <w:numId w:val="5"/>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支持城市</w:t>
      </w:r>
      <w:r>
        <w:rPr>
          <w:rFonts w:hint="eastAsia" w:ascii="Times New Roman" w:hAnsi="Times New Roman" w:eastAsia="宋体" w:cs="Times New Roman"/>
          <w:color w:val="auto"/>
          <w:sz w:val="24"/>
          <w:szCs w:val="24"/>
          <w:highlight w:val="none"/>
        </w:rPr>
        <w:t>台风、</w:t>
      </w:r>
      <w:r>
        <w:rPr>
          <w:rFonts w:ascii="Times New Roman" w:hAnsi="Times New Roman" w:eastAsia="宋体" w:cs="Times New Roman"/>
          <w:color w:val="auto"/>
          <w:sz w:val="24"/>
          <w:szCs w:val="24"/>
          <w:highlight w:val="none"/>
        </w:rPr>
        <w:t>暴雨、洪涝等多灾害场景下的数据处理、模型运行、风险计算和成果输出；</w:t>
      </w:r>
    </w:p>
    <w:p w14:paraId="2D5EC7D9">
      <w:pPr>
        <w:pStyle w:val="16"/>
        <w:numPr>
          <w:ilvl w:val="0"/>
          <w:numId w:val="5"/>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支持MPI、OpenMP等并行计算环境；</w:t>
      </w:r>
    </w:p>
    <w:p w14:paraId="38A6B227">
      <w:pPr>
        <w:pStyle w:val="16"/>
        <w:numPr>
          <w:ilvl w:val="0"/>
          <w:numId w:val="5"/>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支持AI模型训练、轻量化微调、推理部署和服务发布；</w:t>
      </w:r>
    </w:p>
    <w:p w14:paraId="3D261873">
      <w:pPr>
        <w:pStyle w:val="16"/>
        <w:numPr>
          <w:ilvl w:val="0"/>
          <w:numId w:val="5"/>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支持部署不少于70B参数规模的大语言模型推理服务，支持不少于32B参数规模模型的轻量化微调或同等能力；</w:t>
      </w:r>
    </w:p>
    <w:p w14:paraId="0BC3C614">
      <w:pPr>
        <w:pStyle w:val="16"/>
        <w:numPr>
          <w:ilvl w:val="0"/>
          <w:numId w:val="5"/>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支持灾害仿真模型、AI模型、大模型应用的统一运行管理；</w:t>
      </w:r>
    </w:p>
    <w:p w14:paraId="05E07638">
      <w:pPr>
        <w:pStyle w:val="16"/>
        <w:numPr>
          <w:ilvl w:val="0"/>
          <w:numId w:val="5"/>
        </w:numPr>
        <w:spacing w:line="360" w:lineRule="auto"/>
        <w:ind w:firstLineChars="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支持通过可视化方式展示集群资源、作业任务、存储状态、GPU状态、系统负载等信息</w:t>
      </w:r>
      <w:r>
        <w:rPr>
          <w:rFonts w:hint="eastAsia" w:ascii="Times New Roman" w:hAnsi="Times New Roman" w:eastAsia="宋体" w:cs="Times New Roman"/>
          <w:color w:val="auto"/>
          <w:sz w:val="24"/>
          <w:szCs w:val="24"/>
          <w:highlight w:val="none"/>
        </w:rPr>
        <w:t>。</w:t>
      </w:r>
    </w:p>
    <w:p w14:paraId="1175C332">
      <w:pPr>
        <w:pStyle w:val="16"/>
        <w:numPr>
          <w:ilvl w:val="0"/>
          <w:numId w:val="1"/>
        </w:numPr>
        <w:ind w:firstLineChars="0"/>
        <w:rPr>
          <w:rFonts w:ascii="宋体" w:hAnsi="宋体" w:eastAsia="宋体"/>
          <w:b/>
          <w:color w:val="auto"/>
          <w:sz w:val="28"/>
          <w:szCs w:val="28"/>
          <w:highlight w:val="none"/>
        </w:rPr>
      </w:pPr>
      <w:r>
        <w:rPr>
          <w:rFonts w:hint="eastAsia" w:ascii="宋体" w:hAnsi="宋体" w:eastAsia="宋体"/>
          <w:b/>
          <w:color w:val="auto"/>
          <w:sz w:val="28"/>
          <w:szCs w:val="28"/>
          <w:highlight w:val="none"/>
          <w:lang w:eastAsia="zh-CN"/>
        </w:rPr>
        <w:t>主要产品</w:t>
      </w:r>
      <w:r>
        <w:rPr>
          <w:rFonts w:ascii="宋体" w:hAnsi="宋体" w:eastAsia="宋体"/>
          <w:b/>
          <w:color w:val="auto"/>
          <w:sz w:val="28"/>
          <w:szCs w:val="28"/>
          <w:highlight w:val="none"/>
        </w:rPr>
        <w:t>技术</w:t>
      </w:r>
      <w:r>
        <w:rPr>
          <w:rFonts w:hint="eastAsia" w:ascii="宋体" w:hAnsi="宋体" w:eastAsia="宋体"/>
          <w:b/>
          <w:color w:val="auto"/>
          <w:sz w:val="28"/>
          <w:szCs w:val="28"/>
          <w:highlight w:val="none"/>
          <w:lang w:eastAsia="zh-CN"/>
        </w:rPr>
        <w:t>指标</w:t>
      </w:r>
      <w:r>
        <w:rPr>
          <w:rFonts w:ascii="宋体" w:hAnsi="宋体" w:eastAsia="宋体"/>
          <w:b/>
          <w:color w:val="auto"/>
          <w:sz w:val="28"/>
          <w:szCs w:val="28"/>
          <w:highlight w:val="none"/>
        </w:rPr>
        <w:t>要求</w:t>
      </w:r>
    </w:p>
    <w:p w14:paraId="0170401A">
      <w:pPr>
        <w:rPr>
          <w:rFonts w:ascii="宋体" w:hAnsi="宋体" w:eastAsia="宋体"/>
          <w:color w:val="auto"/>
          <w:sz w:val="28"/>
          <w:szCs w:val="28"/>
          <w:highlight w:val="none"/>
        </w:rPr>
      </w:pPr>
      <w:r>
        <w:rPr>
          <w:rFonts w:hint="eastAsia" w:ascii="宋体" w:hAnsi="宋体" w:eastAsia="宋体"/>
          <w:color w:val="auto"/>
          <w:sz w:val="28"/>
          <w:szCs w:val="28"/>
          <w:highlight w:val="none"/>
        </w:rPr>
        <w:t>3</w:t>
      </w:r>
      <w:r>
        <w:rPr>
          <w:rFonts w:ascii="宋体" w:hAnsi="宋体" w:eastAsia="宋体"/>
          <w:color w:val="auto"/>
          <w:sz w:val="28"/>
          <w:szCs w:val="28"/>
          <w:highlight w:val="none"/>
        </w:rPr>
        <w:t xml:space="preserve">.1 </w:t>
      </w:r>
      <w:r>
        <w:rPr>
          <w:rFonts w:hint="eastAsia" w:ascii="宋体" w:hAnsi="宋体" w:eastAsia="宋体"/>
          <w:color w:val="auto"/>
          <w:sz w:val="28"/>
          <w:szCs w:val="28"/>
          <w:highlight w:val="none"/>
        </w:rPr>
        <w:t>智算服务器</w:t>
      </w:r>
    </w:p>
    <w:tbl>
      <w:tblPr>
        <w:tblStyle w:val="10"/>
        <w:tblW w:w="9713" w:type="dxa"/>
        <w:tblInd w:w="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344"/>
        <w:gridCol w:w="7586"/>
      </w:tblGrid>
      <w:tr w14:paraId="241D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83" w:type="dxa"/>
            <w:shd w:val="clear" w:color="auto" w:fill="D9E2F3" w:themeFill="accent1" w:themeFillTint="33"/>
            <w:vAlign w:val="center"/>
          </w:tcPr>
          <w:p w14:paraId="509FDCC3">
            <w:pPr>
              <w:widowControl/>
              <w:adjustRightInd w:val="0"/>
              <w:snapToGrid w:val="0"/>
              <w:spacing w:line="360" w:lineRule="auto"/>
              <w:jc w:val="center"/>
              <w:rPr>
                <w:rFonts w:ascii="宋体-简" w:hAnsi="宋体-简" w:eastAsia="宋体-简" w:cs="宋体-简"/>
                <w:b/>
                <w:bCs/>
                <w:color w:val="auto"/>
                <w:kern w:val="0"/>
                <w:sz w:val="24"/>
                <w:szCs w:val="24"/>
                <w:highlight w:val="none"/>
              </w:rPr>
            </w:pPr>
            <w:r>
              <w:rPr>
                <w:rFonts w:hint="eastAsia" w:ascii="宋体-简" w:hAnsi="宋体-简" w:eastAsia="宋体-简" w:cs="宋体-简"/>
                <w:b/>
                <w:bCs/>
                <w:color w:val="auto"/>
                <w:kern w:val="0"/>
                <w:sz w:val="24"/>
                <w:szCs w:val="24"/>
                <w:highlight w:val="none"/>
              </w:rPr>
              <w:t>类别</w:t>
            </w:r>
          </w:p>
        </w:tc>
        <w:tc>
          <w:tcPr>
            <w:tcW w:w="1344" w:type="dxa"/>
            <w:shd w:val="clear" w:color="auto" w:fill="D9E2F3" w:themeFill="accent1" w:themeFillTint="33"/>
            <w:vAlign w:val="center"/>
          </w:tcPr>
          <w:p w14:paraId="1CAA5D61">
            <w:pPr>
              <w:widowControl/>
              <w:adjustRightInd w:val="0"/>
              <w:snapToGrid w:val="0"/>
              <w:spacing w:line="360" w:lineRule="auto"/>
              <w:jc w:val="center"/>
              <w:rPr>
                <w:rFonts w:ascii="宋体-简" w:hAnsi="宋体-简" w:eastAsia="宋体-简" w:cs="宋体-简"/>
                <w:b/>
                <w:bCs/>
                <w:color w:val="auto"/>
                <w:kern w:val="0"/>
                <w:sz w:val="24"/>
                <w:szCs w:val="24"/>
                <w:highlight w:val="none"/>
              </w:rPr>
            </w:pPr>
            <w:r>
              <w:rPr>
                <w:rFonts w:hint="eastAsia" w:ascii="宋体-简" w:hAnsi="宋体-简" w:eastAsia="宋体-简" w:cs="宋体-简"/>
                <w:b/>
                <w:bCs/>
                <w:color w:val="auto"/>
                <w:kern w:val="0"/>
                <w:sz w:val="24"/>
                <w:szCs w:val="24"/>
                <w:highlight w:val="none"/>
                <w:lang w:eastAsia="zh-CN"/>
              </w:rPr>
              <w:t>技术</w:t>
            </w:r>
            <w:r>
              <w:rPr>
                <w:rFonts w:hint="eastAsia" w:ascii="宋体-简" w:hAnsi="宋体-简" w:eastAsia="宋体-简" w:cs="宋体-简"/>
                <w:b/>
                <w:bCs/>
                <w:color w:val="auto"/>
                <w:kern w:val="0"/>
                <w:sz w:val="24"/>
                <w:szCs w:val="24"/>
                <w:highlight w:val="none"/>
              </w:rPr>
              <w:t>指标</w:t>
            </w:r>
          </w:p>
        </w:tc>
        <w:tc>
          <w:tcPr>
            <w:tcW w:w="7586" w:type="dxa"/>
            <w:shd w:val="clear" w:color="auto" w:fill="D9E2F3" w:themeFill="accent1" w:themeFillTint="33"/>
            <w:vAlign w:val="center"/>
          </w:tcPr>
          <w:p w14:paraId="5E6A415E">
            <w:pPr>
              <w:widowControl/>
              <w:adjustRightInd w:val="0"/>
              <w:snapToGrid w:val="0"/>
              <w:spacing w:line="360" w:lineRule="auto"/>
              <w:jc w:val="center"/>
              <w:rPr>
                <w:rFonts w:ascii="宋体-简" w:hAnsi="宋体-简" w:eastAsia="宋体-简" w:cs="宋体-简"/>
                <w:b/>
                <w:bCs/>
                <w:color w:val="auto"/>
                <w:kern w:val="0"/>
                <w:sz w:val="24"/>
                <w:szCs w:val="24"/>
                <w:highlight w:val="none"/>
              </w:rPr>
            </w:pPr>
            <w:r>
              <w:rPr>
                <w:rFonts w:hint="eastAsia" w:ascii="宋体-简" w:hAnsi="宋体-简" w:eastAsia="宋体-简" w:cs="宋体-简"/>
                <w:b/>
                <w:bCs/>
                <w:color w:val="auto"/>
                <w:kern w:val="0"/>
                <w:sz w:val="24"/>
                <w:szCs w:val="24"/>
                <w:highlight w:val="none"/>
              </w:rPr>
              <w:t>技术</w:t>
            </w:r>
            <w:r>
              <w:rPr>
                <w:rFonts w:hint="eastAsia" w:ascii="宋体-简" w:hAnsi="宋体-简" w:eastAsia="宋体-简" w:cs="宋体-简"/>
                <w:b/>
                <w:bCs/>
                <w:color w:val="auto"/>
                <w:kern w:val="0"/>
                <w:sz w:val="24"/>
                <w:szCs w:val="24"/>
                <w:highlight w:val="none"/>
                <w:lang w:eastAsia="zh-CN"/>
              </w:rPr>
              <w:t>指标具体</w:t>
            </w:r>
            <w:r>
              <w:rPr>
                <w:rFonts w:hint="eastAsia" w:ascii="宋体-简" w:hAnsi="宋体-简" w:eastAsia="宋体-简" w:cs="宋体-简"/>
                <w:b/>
                <w:bCs/>
                <w:color w:val="auto"/>
                <w:kern w:val="0"/>
                <w:sz w:val="24"/>
                <w:szCs w:val="24"/>
                <w:highlight w:val="none"/>
              </w:rPr>
              <w:t>要求</w:t>
            </w:r>
          </w:p>
        </w:tc>
      </w:tr>
      <w:tr w14:paraId="3536C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restart"/>
            <w:vAlign w:val="center"/>
          </w:tcPr>
          <w:p w14:paraId="6AD688CF">
            <w:pPr>
              <w:widowControl/>
              <w:adjustRightInd w:val="0"/>
              <w:snapToGrid w:val="0"/>
              <w:spacing w:line="360" w:lineRule="auto"/>
              <w:jc w:val="center"/>
              <w:rPr>
                <w:rFonts w:ascii="宋体-简" w:hAnsi="宋体-简" w:eastAsia="宋体-简" w:cs="宋体-简"/>
                <w:color w:val="auto"/>
                <w:kern w:val="0"/>
                <w:sz w:val="24"/>
                <w:szCs w:val="24"/>
                <w:highlight w:val="none"/>
              </w:rPr>
            </w:pPr>
            <w:r>
              <w:rPr>
                <w:rFonts w:hint="eastAsia" w:ascii="宋体" w:hAnsi="宋体" w:eastAsia="宋体" w:cs="宋体"/>
                <w:b/>
                <w:bCs/>
                <w:color w:val="auto"/>
                <w:kern w:val="0"/>
                <w:sz w:val="24"/>
                <w:szCs w:val="24"/>
                <w:highlight w:val="none"/>
              </w:rPr>
              <w:t>智算服务器</w:t>
            </w:r>
          </w:p>
        </w:tc>
        <w:tc>
          <w:tcPr>
            <w:tcW w:w="1344" w:type="dxa"/>
            <w:vAlign w:val="center"/>
          </w:tcPr>
          <w:p w14:paraId="4625E128">
            <w:pPr>
              <w:widowControl/>
              <w:adjustRightInd w:val="0"/>
              <w:snapToGrid w:val="0"/>
              <w:spacing w:line="360" w:lineRule="auto"/>
              <w:jc w:val="center"/>
              <w:rPr>
                <w:rFonts w:ascii="宋体-简" w:hAnsi="宋体-简" w:eastAsia="宋体-简" w:cs="宋体-简"/>
                <w:color w:val="auto"/>
                <w:kern w:val="0"/>
                <w:sz w:val="24"/>
                <w:szCs w:val="24"/>
                <w:highlight w:val="none"/>
              </w:rPr>
            </w:pPr>
            <w:r>
              <w:rPr>
                <w:rFonts w:hint="eastAsia" w:ascii="宋体" w:hAnsi="宋体" w:eastAsia="宋体" w:cs="宋体"/>
                <w:color w:val="auto"/>
                <w:kern w:val="0"/>
                <w:sz w:val="24"/>
                <w:szCs w:val="24"/>
                <w:highlight w:val="none"/>
              </w:rPr>
              <w:t>数量</w:t>
            </w:r>
          </w:p>
        </w:tc>
        <w:tc>
          <w:tcPr>
            <w:tcW w:w="7586" w:type="dxa"/>
            <w:vAlign w:val="center"/>
          </w:tcPr>
          <w:p w14:paraId="65535D8A">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1台</w:t>
            </w:r>
          </w:p>
        </w:tc>
      </w:tr>
      <w:tr w14:paraId="6400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3DF199A1">
            <w:pPr>
              <w:widowControl/>
              <w:adjustRightInd w:val="0"/>
              <w:snapToGrid w:val="0"/>
              <w:spacing w:line="360" w:lineRule="auto"/>
              <w:jc w:val="center"/>
              <w:rPr>
                <w:rFonts w:ascii="宋体-简" w:hAnsi="宋体-简" w:eastAsia="宋体-简" w:cs="宋体-简"/>
                <w:color w:val="auto"/>
                <w:kern w:val="0"/>
                <w:sz w:val="24"/>
                <w:szCs w:val="24"/>
                <w:highlight w:val="none"/>
              </w:rPr>
            </w:pPr>
          </w:p>
        </w:tc>
        <w:tc>
          <w:tcPr>
            <w:tcW w:w="1344" w:type="dxa"/>
            <w:vAlign w:val="center"/>
          </w:tcPr>
          <w:p w14:paraId="4DEEC546">
            <w:pPr>
              <w:widowControl/>
              <w:adjustRightInd w:val="0"/>
              <w:snapToGrid w:val="0"/>
              <w:spacing w:line="360" w:lineRule="auto"/>
              <w:jc w:val="center"/>
              <w:rPr>
                <w:rFonts w:ascii="宋体-简" w:hAnsi="宋体-简" w:eastAsia="宋体-简" w:cs="宋体-简"/>
                <w:color w:val="auto"/>
                <w:kern w:val="0"/>
                <w:sz w:val="24"/>
                <w:szCs w:val="24"/>
                <w:highlight w:val="none"/>
              </w:rPr>
            </w:pPr>
            <w:r>
              <w:rPr>
                <w:rFonts w:hint="eastAsia" w:ascii="宋体" w:hAnsi="宋体" w:eastAsia="宋体" w:cs="宋体"/>
                <w:color w:val="auto"/>
                <w:kern w:val="0"/>
                <w:sz w:val="24"/>
                <w:szCs w:val="24"/>
                <w:highlight w:val="none"/>
              </w:rPr>
              <w:t>品牌要求</w:t>
            </w:r>
          </w:p>
        </w:tc>
        <w:tc>
          <w:tcPr>
            <w:tcW w:w="7586" w:type="dxa"/>
            <w:vAlign w:val="center"/>
          </w:tcPr>
          <w:p w14:paraId="7F913397">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符合国家相关安全可靠、自主可控要求的</w:t>
            </w:r>
            <w:r>
              <w:rPr>
                <w:rFonts w:hint="eastAsia" w:ascii="Times New Roman" w:hAnsi="Times New Roman" w:eastAsia="宋体" w:cs="Times New Roman"/>
                <w:color w:val="auto"/>
                <w:sz w:val="24"/>
                <w:szCs w:val="24"/>
                <w:highlight w:val="none"/>
              </w:rPr>
              <w:t>国产品</w:t>
            </w:r>
            <w:r>
              <w:rPr>
                <w:rFonts w:ascii="Times New Roman" w:hAnsi="Times New Roman" w:eastAsia="宋体" w:cs="Times New Roman"/>
                <w:color w:val="auto"/>
                <w:sz w:val="24"/>
                <w:szCs w:val="24"/>
                <w:highlight w:val="none"/>
              </w:rPr>
              <w:t>牌</w:t>
            </w:r>
            <w:r>
              <w:rPr>
                <w:rFonts w:hint="eastAsia" w:ascii="Times New Roman" w:hAnsi="Times New Roman" w:eastAsia="宋体" w:cs="Times New Roman"/>
                <w:color w:val="auto"/>
                <w:sz w:val="24"/>
                <w:szCs w:val="24"/>
                <w:highlight w:val="none"/>
                <w:lang w:eastAsia="zh-CN"/>
              </w:rPr>
              <w:t>。</w:t>
            </w:r>
          </w:p>
        </w:tc>
      </w:tr>
      <w:tr w14:paraId="106D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1E82CFEA">
            <w:pPr>
              <w:widowControl/>
              <w:adjustRightInd w:val="0"/>
              <w:snapToGrid w:val="0"/>
              <w:spacing w:line="360" w:lineRule="auto"/>
              <w:jc w:val="center"/>
              <w:rPr>
                <w:rFonts w:ascii="宋体-简" w:hAnsi="宋体-简" w:eastAsia="宋体-简" w:cs="宋体-简"/>
                <w:color w:val="auto"/>
                <w:kern w:val="0"/>
                <w:sz w:val="24"/>
                <w:szCs w:val="24"/>
                <w:highlight w:val="none"/>
              </w:rPr>
            </w:pPr>
          </w:p>
        </w:tc>
        <w:tc>
          <w:tcPr>
            <w:tcW w:w="1344" w:type="dxa"/>
            <w:vAlign w:val="center"/>
          </w:tcPr>
          <w:p w14:paraId="39D46D27">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形态</w:t>
            </w:r>
          </w:p>
        </w:tc>
        <w:tc>
          <w:tcPr>
            <w:tcW w:w="7586" w:type="dxa"/>
            <w:vAlign w:val="center"/>
          </w:tcPr>
          <w:p w14:paraId="6FD53B88">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机架式服务器，非刀片或高密度服务器产品，高度不超过4U，机箱上架深度不超过800mm，</w:t>
            </w:r>
            <w:r>
              <w:rPr>
                <w:rFonts w:ascii="Times New Roman" w:hAnsi="Times New Roman" w:eastAsia="宋体" w:cs="Times New Roman"/>
                <w:color w:val="auto"/>
                <w:sz w:val="24"/>
                <w:szCs w:val="24"/>
                <w:highlight w:val="none"/>
              </w:rPr>
              <w:t>或满足采购人机房上架条件</w:t>
            </w:r>
            <w:r>
              <w:rPr>
                <w:rFonts w:hint="eastAsia" w:ascii="Times New Roman" w:hAnsi="Times New Roman" w:eastAsia="宋体" w:cs="Times New Roman"/>
                <w:color w:val="auto"/>
                <w:sz w:val="24"/>
                <w:szCs w:val="24"/>
                <w:highlight w:val="none"/>
              </w:rPr>
              <w:t>；CPU主板与GPU主板分离式设计，</w:t>
            </w:r>
            <w:r>
              <w:rPr>
                <w:rFonts w:ascii="Times New Roman" w:hAnsi="Times New Roman" w:eastAsia="宋体" w:cs="Times New Roman"/>
                <w:color w:val="auto"/>
                <w:sz w:val="24"/>
                <w:szCs w:val="24"/>
                <w:highlight w:val="none"/>
              </w:rPr>
              <w:t>支持CPU、GPU、内存、存储、网络等主要部件维护、扩展或升级；支持等效的模块化维护能力</w:t>
            </w:r>
            <w:r>
              <w:rPr>
                <w:rFonts w:hint="eastAsia" w:ascii="Times New Roman" w:hAnsi="Times New Roman" w:eastAsia="宋体" w:cs="Times New Roman"/>
                <w:color w:val="auto"/>
                <w:sz w:val="24"/>
                <w:szCs w:val="24"/>
                <w:highlight w:val="none"/>
              </w:rPr>
              <w:t>。</w:t>
            </w:r>
          </w:p>
        </w:tc>
      </w:tr>
      <w:tr w14:paraId="5C3B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1876B588">
            <w:pPr>
              <w:widowControl/>
              <w:adjustRightInd w:val="0"/>
              <w:snapToGrid w:val="0"/>
              <w:spacing w:line="360" w:lineRule="auto"/>
              <w:jc w:val="center"/>
              <w:rPr>
                <w:rFonts w:ascii="宋体-简" w:hAnsi="宋体-简" w:eastAsia="宋体-简" w:cs="宋体-简"/>
                <w:color w:val="auto"/>
                <w:kern w:val="0"/>
                <w:sz w:val="24"/>
                <w:szCs w:val="24"/>
                <w:highlight w:val="none"/>
              </w:rPr>
            </w:pPr>
          </w:p>
        </w:tc>
        <w:tc>
          <w:tcPr>
            <w:tcW w:w="1344" w:type="dxa"/>
            <w:vAlign w:val="center"/>
          </w:tcPr>
          <w:p w14:paraId="4A3938A2">
            <w:pPr>
              <w:widowControl/>
              <w:adjustRightInd w:val="0"/>
              <w:snapToGrid w:val="0"/>
              <w:spacing w:line="360" w:lineRule="auto"/>
              <w:jc w:val="center"/>
              <w:rPr>
                <w:rFonts w:ascii="宋体-简" w:hAnsi="宋体-简" w:eastAsia="宋体-简" w:cs="宋体-简"/>
                <w:color w:val="auto"/>
                <w:kern w:val="0"/>
                <w:sz w:val="24"/>
                <w:szCs w:val="24"/>
                <w:highlight w:val="none"/>
              </w:rPr>
            </w:pPr>
            <w:r>
              <w:rPr>
                <w:rFonts w:hint="eastAsia" w:ascii="东文宋体" w:hAnsi="东文宋体" w:eastAsia="东文宋体" w:cs="东文宋体"/>
                <w:color w:val="auto"/>
                <w:highlight w:val="none"/>
              </w:rPr>
              <w:t>▲</w:t>
            </w:r>
            <w:r>
              <w:rPr>
                <w:rFonts w:hint="eastAsia" w:ascii="宋体" w:hAnsi="宋体" w:eastAsia="宋体" w:cs="宋体"/>
                <w:color w:val="auto"/>
                <w:kern w:val="0"/>
                <w:sz w:val="24"/>
                <w:szCs w:val="24"/>
                <w:highlight w:val="none"/>
              </w:rPr>
              <w:t>处理器</w:t>
            </w:r>
          </w:p>
        </w:tc>
        <w:tc>
          <w:tcPr>
            <w:tcW w:w="7586" w:type="dxa"/>
            <w:vAlign w:val="center"/>
          </w:tcPr>
          <w:p w14:paraId="3C873680">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配置≥</w:t>
            </w:r>
            <w:r>
              <w:rPr>
                <w:rFonts w:ascii="宋体" w:hAnsi="宋体" w:eastAsia="宋体" w:cs="宋体"/>
                <w:color w:val="auto"/>
                <w:kern w:val="0"/>
                <w:sz w:val="24"/>
                <w:szCs w:val="24"/>
                <w:highlight w:val="none"/>
              </w:rPr>
              <w:t>2颗</w:t>
            </w:r>
            <w:r>
              <w:rPr>
                <w:rFonts w:hint="eastAsia" w:ascii="宋体" w:hAnsi="宋体" w:eastAsia="宋体" w:cs="宋体"/>
                <w:color w:val="auto"/>
                <w:kern w:val="0"/>
                <w:sz w:val="24"/>
                <w:szCs w:val="24"/>
                <w:highlight w:val="none"/>
              </w:rPr>
              <w:t>X86</w:t>
            </w:r>
            <w:r>
              <w:rPr>
                <w:rFonts w:ascii="宋体" w:hAnsi="宋体" w:eastAsia="宋体" w:cs="宋体"/>
                <w:color w:val="auto"/>
                <w:kern w:val="0"/>
                <w:sz w:val="24"/>
                <w:szCs w:val="24"/>
                <w:highlight w:val="none"/>
              </w:rPr>
              <w:t>处理器，每颗CPU核心数≥</w:t>
            </w:r>
            <w:r>
              <w:rPr>
                <w:rFonts w:hint="eastAsia" w:ascii="宋体" w:hAnsi="宋体" w:eastAsia="宋体" w:cs="宋体"/>
                <w:color w:val="auto"/>
                <w:kern w:val="0"/>
                <w:sz w:val="24"/>
                <w:szCs w:val="24"/>
                <w:highlight w:val="none"/>
              </w:rPr>
              <w:t>48</w:t>
            </w:r>
            <w:r>
              <w:rPr>
                <w:rFonts w:ascii="宋体" w:hAnsi="宋体" w:eastAsia="宋体" w:cs="宋体"/>
                <w:color w:val="auto"/>
                <w:kern w:val="0"/>
                <w:sz w:val="24"/>
                <w:szCs w:val="24"/>
                <w:highlight w:val="none"/>
              </w:rPr>
              <w:t>核，每颗CPU主频≥</w:t>
            </w:r>
            <w:r>
              <w:rPr>
                <w:rFonts w:hint="eastAsia" w:ascii="宋体" w:hAnsi="宋体" w:eastAsia="宋体" w:cs="宋体"/>
                <w:color w:val="auto"/>
                <w:kern w:val="0"/>
                <w:sz w:val="24"/>
                <w:szCs w:val="24"/>
                <w:highlight w:val="none"/>
              </w:rPr>
              <w:t>2.7</w:t>
            </w:r>
            <w:r>
              <w:rPr>
                <w:rFonts w:ascii="宋体" w:hAnsi="宋体" w:eastAsia="宋体" w:cs="宋体"/>
                <w:color w:val="auto"/>
                <w:kern w:val="0"/>
                <w:sz w:val="24"/>
                <w:szCs w:val="24"/>
                <w:highlight w:val="none"/>
              </w:rPr>
              <w:t>GHz，每颗CPU三级缓存≥2</w:t>
            </w:r>
            <w:r>
              <w:rPr>
                <w:rFonts w:hint="eastAsia" w:ascii="宋体" w:hAnsi="宋体" w:eastAsia="宋体" w:cs="宋体"/>
                <w:color w:val="auto"/>
                <w:kern w:val="0"/>
                <w:sz w:val="24"/>
                <w:szCs w:val="24"/>
                <w:highlight w:val="none"/>
              </w:rPr>
              <w:t>60</w:t>
            </w:r>
            <w:r>
              <w:rPr>
                <w:rFonts w:ascii="宋体" w:hAnsi="宋体" w:eastAsia="宋体" w:cs="宋体"/>
                <w:color w:val="auto"/>
                <w:kern w:val="0"/>
                <w:sz w:val="24"/>
                <w:szCs w:val="24"/>
                <w:highlight w:val="none"/>
              </w:rPr>
              <w:t>MB</w:t>
            </w:r>
            <w:r>
              <w:rPr>
                <w:rFonts w:hint="eastAsia" w:ascii="宋体" w:hAnsi="宋体" w:eastAsia="宋体" w:cs="宋体"/>
                <w:color w:val="auto"/>
                <w:kern w:val="0"/>
                <w:sz w:val="24"/>
                <w:szCs w:val="24"/>
                <w:highlight w:val="none"/>
              </w:rPr>
              <w:t>，</w:t>
            </w:r>
            <w:r>
              <w:rPr>
                <w:rFonts w:ascii="宋体" w:hAnsi="宋体" w:eastAsia="宋体" w:cs="宋体"/>
                <w:color w:val="auto"/>
                <w:kern w:val="0"/>
                <w:sz w:val="24"/>
                <w:szCs w:val="24"/>
                <w:highlight w:val="none"/>
              </w:rPr>
              <w:t>每颗CPU</w:t>
            </w:r>
            <w:r>
              <w:rPr>
                <w:rFonts w:hint="eastAsia" w:ascii="宋体" w:hAnsi="宋体" w:eastAsia="宋体" w:cs="宋体"/>
                <w:color w:val="auto"/>
                <w:kern w:val="0"/>
                <w:sz w:val="24"/>
                <w:szCs w:val="24"/>
                <w:highlight w:val="none"/>
              </w:rPr>
              <w:t>功耗≤350</w:t>
            </w:r>
            <w:r>
              <w:rPr>
                <w:rFonts w:ascii="宋体" w:hAnsi="宋体" w:eastAsia="宋体" w:cs="宋体"/>
                <w:color w:val="auto"/>
                <w:kern w:val="0"/>
                <w:sz w:val="24"/>
                <w:szCs w:val="24"/>
                <w:highlight w:val="none"/>
              </w:rPr>
              <w:t>W</w:t>
            </w:r>
            <w:r>
              <w:rPr>
                <w:rFonts w:hint="eastAsia" w:ascii="宋体" w:hAnsi="宋体" w:eastAsia="宋体" w:cs="宋体"/>
                <w:color w:val="auto"/>
                <w:kern w:val="0"/>
                <w:sz w:val="24"/>
                <w:szCs w:val="24"/>
                <w:highlight w:val="none"/>
                <w:lang w:eastAsia="zh-CN"/>
              </w:rPr>
              <w:t>。</w:t>
            </w:r>
          </w:p>
        </w:tc>
      </w:tr>
      <w:tr w14:paraId="0468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252B7DFA">
            <w:pPr>
              <w:widowControl/>
              <w:adjustRightInd w:val="0"/>
              <w:snapToGrid w:val="0"/>
              <w:spacing w:line="360" w:lineRule="auto"/>
              <w:jc w:val="center"/>
              <w:rPr>
                <w:rFonts w:ascii="宋体-简" w:hAnsi="宋体-简" w:eastAsia="宋体-简" w:cs="宋体-简"/>
                <w:color w:val="auto"/>
                <w:kern w:val="0"/>
                <w:sz w:val="24"/>
                <w:szCs w:val="24"/>
                <w:highlight w:val="none"/>
              </w:rPr>
            </w:pPr>
          </w:p>
        </w:tc>
        <w:tc>
          <w:tcPr>
            <w:tcW w:w="1344" w:type="dxa"/>
            <w:vAlign w:val="center"/>
          </w:tcPr>
          <w:p w14:paraId="464EB102">
            <w:pPr>
              <w:widowControl/>
              <w:adjustRightInd w:val="0"/>
              <w:snapToGrid w:val="0"/>
              <w:spacing w:line="360" w:lineRule="auto"/>
              <w:jc w:val="center"/>
              <w:rPr>
                <w:rFonts w:ascii="宋体-简" w:hAnsi="宋体-简" w:eastAsia="宋体-简" w:cs="宋体-简"/>
                <w:color w:val="auto"/>
                <w:kern w:val="0"/>
                <w:sz w:val="24"/>
                <w:szCs w:val="24"/>
                <w:highlight w:val="none"/>
              </w:rPr>
            </w:pPr>
            <w:r>
              <w:rPr>
                <w:rFonts w:hint="eastAsia" w:ascii="东文宋体" w:hAnsi="东文宋体" w:eastAsia="东文宋体" w:cs="东文宋体"/>
                <w:color w:val="auto"/>
                <w:highlight w:val="none"/>
              </w:rPr>
              <w:t>▲</w:t>
            </w:r>
            <w:r>
              <w:rPr>
                <w:rFonts w:hint="eastAsia" w:ascii="宋体" w:hAnsi="宋体" w:eastAsia="宋体" w:cs="宋体"/>
                <w:color w:val="auto"/>
                <w:kern w:val="0"/>
                <w:sz w:val="24"/>
                <w:szCs w:val="24"/>
                <w:highlight w:val="none"/>
              </w:rPr>
              <w:t>内存</w:t>
            </w:r>
          </w:p>
        </w:tc>
        <w:tc>
          <w:tcPr>
            <w:tcW w:w="7586" w:type="dxa"/>
            <w:vAlign w:val="center"/>
          </w:tcPr>
          <w:p w14:paraId="7D5DE60E">
            <w:pPr>
              <w:widowControl/>
              <w:adjustRightInd w:val="0"/>
              <w:snapToGrid w:val="0"/>
              <w:spacing w:line="360"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配置≥12*64GB </w:t>
            </w:r>
            <w:r>
              <w:rPr>
                <w:rFonts w:ascii="宋体" w:hAnsi="宋体" w:eastAsia="宋体" w:cs="宋体"/>
                <w:color w:val="auto"/>
                <w:kern w:val="0"/>
                <w:sz w:val="24"/>
                <w:szCs w:val="24"/>
                <w:highlight w:val="none"/>
              </w:rPr>
              <w:t>DDR</w:t>
            </w:r>
            <w:r>
              <w:rPr>
                <w:rFonts w:hint="eastAsia" w:ascii="宋体" w:hAnsi="宋体" w:eastAsia="宋体" w:cs="宋体"/>
                <w:color w:val="auto"/>
                <w:kern w:val="0"/>
                <w:sz w:val="24"/>
                <w:szCs w:val="24"/>
                <w:highlight w:val="none"/>
              </w:rPr>
              <w:t>5</w:t>
            </w:r>
            <w:r>
              <w:rPr>
                <w:rFonts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rPr>
              <w:t>48</w:t>
            </w:r>
            <w:r>
              <w:rPr>
                <w:rFonts w:ascii="宋体" w:hAnsi="宋体" w:eastAsia="宋体" w:cs="宋体"/>
                <w:color w:val="auto"/>
                <w:kern w:val="0"/>
                <w:sz w:val="24"/>
                <w:szCs w:val="24"/>
                <w:highlight w:val="none"/>
              </w:rPr>
              <w:t>00MHz ECC</w:t>
            </w:r>
            <w:r>
              <w:rPr>
                <w:rFonts w:hint="eastAsia" w:ascii="宋体" w:hAnsi="宋体" w:eastAsia="宋体" w:cs="宋体"/>
                <w:color w:val="auto"/>
                <w:kern w:val="0"/>
                <w:sz w:val="24"/>
                <w:szCs w:val="24"/>
                <w:highlight w:val="none"/>
              </w:rPr>
              <w:t>内存；</w:t>
            </w:r>
          </w:p>
          <w:p w14:paraId="7DF1D30B">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支持≥</w:t>
            </w:r>
            <w:r>
              <w:rPr>
                <w:rFonts w:ascii="宋体" w:hAnsi="宋体" w:eastAsia="宋体" w:cs="宋体"/>
                <w:color w:val="auto"/>
                <w:kern w:val="0"/>
                <w:sz w:val="24"/>
                <w:szCs w:val="24"/>
                <w:highlight w:val="none"/>
              </w:rPr>
              <w:t>32</w:t>
            </w:r>
            <w:r>
              <w:rPr>
                <w:rFonts w:hint="eastAsia" w:ascii="宋体" w:hAnsi="宋体" w:eastAsia="宋体" w:cs="宋体"/>
                <w:color w:val="auto"/>
                <w:kern w:val="0"/>
                <w:sz w:val="24"/>
                <w:szCs w:val="24"/>
                <w:highlight w:val="none"/>
              </w:rPr>
              <w:t>个内存插槽，可支持</w:t>
            </w:r>
            <w:r>
              <w:rPr>
                <w:rFonts w:ascii="Segoe UI" w:hAnsi="Segoe UI" w:eastAsia="宋体" w:cs="Segoe UI"/>
                <w:color w:val="auto"/>
                <w:kern w:val="0"/>
                <w:sz w:val="20"/>
                <w:szCs w:val="20"/>
                <w:highlight w:val="none"/>
                <w:shd w:val="clear" w:color="auto" w:fill="FFFFFF"/>
              </w:rPr>
              <w:t>≥</w:t>
            </w:r>
            <w:r>
              <w:rPr>
                <w:rFonts w:hint="eastAsia" w:ascii="宋体" w:hAnsi="宋体" w:eastAsia="宋体" w:cs="宋体"/>
                <w:color w:val="auto"/>
                <w:kern w:val="0"/>
                <w:sz w:val="24"/>
                <w:szCs w:val="24"/>
                <w:highlight w:val="none"/>
              </w:rPr>
              <w:t>4TB内存容量，支持内存ECC保护、内存镜像、内存热备或同等可靠性功能</w:t>
            </w:r>
            <w:r>
              <w:rPr>
                <w:rFonts w:hint="eastAsia" w:ascii="宋体" w:hAnsi="宋体" w:eastAsia="宋体" w:cs="宋体"/>
                <w:color w:val="auto"/>
                <w:kern w:val="0"/>
                <w:sz w:val="24"/>
                <w:szCs w:val="24"/>
                <w:highlight w:val="none"/>
                <w:lang w:eastAsia="zh-CN"/>
              </w:rPr>
              <w:t>。</w:t>
            </w:r>
          </w:p>
        </w:tc>
      </w:tr>
      <w:tr w14:paraId="48BCF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18F50F3B">
            <w:pPr>
              <w:widowControl/>
              <w:adjustRightInd w:val="0"/>
              <w:snapToGrid w:val="0"/>
              <w:spacing w:line="360" w:lineRule="auto"/>
              <w:jc w:val="center"/>
              <w:rPr>
                <w:rFonts w:ascii="宋体-简" w:hAnsi="宋体-简" w:eastAsia="宋体-简" w:cs="宋体-简"/>
                <w:color w:val="auto"/>
                <w:kern w:val="0"/>
                <w:sz w:val="24"/>
                <w:szCs w:val="24"/>
                <w:highlight w:val="none"/>
              </w:rPr>
            </w:pPr>
          </w:p>
        </w:tc>
        <w:tc>
          <w:tcPr>
            <w:tcW w:w="1344" w:type="dxa"/>
            <w:vAlign w:val="center"/>
          </w:tcPr>
          <w:p w14:paraId="722370EA">
            <w:pPr>
              <w:widowControl/>
              <w:adjustRightInd w:val="0"/>
              <w:snapToGrid w:val="0"/>
              <w:spacing w:line="360" w:lineRule="auto"/>
              <w:jc w:val="center"/>
              <w:rPr>
                <w:rFonts w:ascii="宋体-简" w:hAnsi="宋体-简" w:eastAsia="宋体-简" w:cs="宋体-简"/>
                <w:color w:val="auto"/>
                <w:kern w:val="0"/>
                <w:sz w:val="24"/>
                <w:szCs w:val="24"/>
                <w:highlight w:val="none"/>
              </w:rPr>
            </w:pPr>
            <w:r>
              <w:rPr>
                <w:rFonts w:hint="eastAsia" w:ascii="宋体" w:hAnsi="宋体" w:eastAsia="宋体" w:cs="宋体"/>
                <w:color w:val="auto"/>
                <w:kern w:val="0"/>
                <w:sz w:val="24"/>
                <w:szCs w:val="24"/>
                <w:highlight w:val="none"/>
              </w:rPr>
              <w:t>硬盘</w:t>
            </w:r>
          </w:p>
        </w:tc>
        <w:tc>
          <w:tcPr>
            <w:tcW w:w="7586" w:type="dxa"/>
            <w:vAlign w:val="center"/>
          </w:tcPr>
          <w:p w14:paraId="29857B0B">
            <w:pPr>
              <w:widowControl/>
              <w:adjustRightInd w:val="0"/>
              <w:snapToGrid w:val="0"/>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配置</w:t>
            </w:r>
            <w:r>
              <w:rPr>
                <w:rFonts w:hint="eastAsia" w:ascii="宋体" w:hAnsi="宋体" w:eastAsia="宋体" w:cs="宋体"/>
                <w:color w:val="auto"/>
                <w:kern w:val="0"/>
                <w:sz w:val="24"/>
                <w:szCs w:val="24"/>
                <w:highlight w:val="none"/>
              </w:rPr>
              <w:t>≥1块1.92T U.2 SSD硬盘，≥1块20T SATA HDD硬盘；</w:t>
            </w:r>
          </w:p>
          <w:p w14:paraId="6E80ECC2">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前置支持≥24个3.5寸或2.5寸热插拔硬盘，可支持SAS/SATA/NVMe SSD混插</w:t>
            </w:r>
            <w:r>
              <w:rPr>
                <w:rFonts w:hint="eastAsia" w:ascii="宋体" w:hAnsi="宋体" w:eastAsia="宋体" w:cs="宋体"/>
                <w:color w:val="auto"/>
                <w:kern w:val="0"/>
                <w:sz w:val="24"/>
                <w:szCs w:val="24"/>
                <w:highlight w:val="none"/>
                <w:lang w:eastAsia="zh-CN"/>
              </w:rPr>
              <w:t>。</w:t>
            </w:r>
          </w:p>
        </w:tc>
      </w:tr>
      <w:tr w14:paraId="77983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05FBA496">
            <w:pPr>
              <w:widowControl/>
              <w:adjustRightInd w:val="0"/>
              <w:snapToGrid w:val="0"/>
              <w:spacing w:line="360" w:lineRule="auto"/>
              <w:jc w:val="center"/>
              <w:rPr>
                <w:rFonts w:ascii="宋体-简" w:hAnsi="宋体-简" w:eastAsia="宋体-简" w:cs="宋体-简"/>
                <w:color w:val="auto"/>
                <w:kern w:val="0"/>
                <w:sz w:val="24"/>
                <w:szCs w:val="24"/>
                <w:highlight w:val="none"/>
              </w:rPr>
            </w:pPr>
          </w:p>
        </w:tc>
        <w:tc>
          <w:tcPr>
            <w:tcW w:w="1344" w:type="dxa"/>
            <w:vAlign w:val="center"/>
          </w:tcPr>
          <w:p w14:paraId="6F08748B">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硬盘控制器</w:t>
            </w:r>
          </w:p>
        </w:tc>
        <w:tc>
          <w:tcPr>
            <w:tcW w:w="7586" w:type="dxa"/>
            <w:vAlign w:val="center"/>
          </w:tcPr>
          <w:p w14:paraId="7DA18E14">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配置</w:t>
            </w:r>
            <w:r>
              <w:rPr>
                <w:rFonts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rPr>
              <w:t>张8口Raid卡，</w:t>
            </w:r>
            <w:r>
              <w:rPr>
                <w:rFonts w:ascii="宋体" w:hAnsi="宋体" w:eastAsia="宋体" w:cs="宋体"/>
                <w:color w:val="auto"/>
                <w:kern w:val="0"/>
                <w:sz w:val="24"/>
                <w:szCs w:val="24"/>
                <w:highlight w:val="none"/>
              </w:rPr>
              <w:t>支持RAID 0/1/5/6/10或等效数据保护机制</w:t>
            </w:r>
            <w:r>
              <w:rPr>
                <w:rFonts w:hint="eastAsia" w:ascii="宋体" w:hAnsi="宋体" w:eastAsia="宋体" w:cs="宋体"/>
                <w:color w:val="auto"/>
                <w:kern w:val="0"/>
                <w:sz w:val="24"/>
                <w:szCs w:val="24"/>
                <w:highlight w:val="none"/>
                <w:lang w:eastAsia="zh-CN"/>
              </w:rPr>
              <w:t>。</w:t>
            </w:r>
          </w:p>
        </w:tc>
      </w:tr>
      <w:tr w14:paraId="2A8C0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24F1F7A5">
            <w:pPr>
              <w:widowControl/>
              <w:adjustRightInd w:val="0"/>
              <w:snapToGrid w:val="0"/>
              <w:spacing w:line="360" w:lineRule="auto"/>
              <w:jc w:val="center"/>
              <w:rPr>
                <w:rFonts w:ascii="宋体-简" w:hAnsi="宋体-简" w:eastAsia="宋体-简" w:cs="宋体-简"/>
                <w:color w:val="auto"/>
                <w:kern w:val="0"/>
                <w:sz w:val="24"/>
                <w:szCs w:val="24"/>
                <w:highlight w:val="none"/>
              </w:rPr>
            </w:pPr>
          </w:p>
        </w:tc>
        <w:tc>
          <w:tcPr>
            <w:tcW w:w="1344" w:type="dxa"/>
            <w:vAlign w:val="center"/>
          </w:tcPr>
          <w:p w14:paraId="495AADDA">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东文宋体" w:hAnsi="东文宋体" w:eastAsia="东文宋体" w:cs="东文宋体"/>
                <w:color w:val="auto"/>
                <w:highlight w:val="none"/>
              </w:rPr>
              <w:t>▲</w:t>
            </w:r>
            <w:r>
              <w:rPr>
                <w:rFonts w:hint="eastAsia" w:ascii="宋体" w:hAnsi="宋体" w:eastAsia="宋体" w:cs="宋体"/>
                <w:color w:val="auto"/>
                <w:kern w:val="0"/>
                <w:sz w:val="24"/>
                <w:szCs w:val="24"/>
                <w:highlight w:val="none"/>
              </w:rPr>
              <w:t>GPU</w:t>
            </w:r>
          </w:p>
        </w:tc>
        <w:tc>
          <w:tcPr>
            <w:tcW w:w="7586" w:type="dxa"/>
            <w:vAlign w:val="center"/>
          </w:tcPr>
          <w:p w14:paraId="12F025A7">
            <w:pPr>
              <w:widowControl/>
              <w:adjustRightInd w:val="0"/>
              <w:snapToGrid w:val="0"/>
              <w:spacing w:line="360"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配置≥8块算力卡</w:t>
            </w:r>
          </w:p>
          <w:p w14:paraId="2EDB7C39">
            <w:pPr>
              <w:widowControl/>
              <w:adjustRightInd w:val="0"/>
              <w:snapToGrid w:val="0"/>
              <w:spacing w:line="360"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单卡</w:t>
            </w:r>
            <w:r>
              <w:rPr>
                <w:rFonts w:ascii="宋体" w:hAnsi="宋体" w:eastAsia="宋体" w:cs="宋体"/>
                <w:color w:val="auto"/>
                <w:kern w:val="0"/>
                <w:sz w:val="24"/>
                <w:szCs w:val="24"/>
                <w:highlight w:val="none"/>
              </w:rPr>
              <w:t>FP</w:t>
            </w:r>
            <w:r>
              <w:rPr>
                <w:rFonts w:hint="eastAsia" w:ascii="宋体" w:hAnsi="宋体" w:eastAsia="宋体" w:cs="宋体"/>
                <w:color w:val="auto"/>
                <w:kern w:val="0"/>
                <w:sz w:val="24"/>
                <w:szCs w:val="24"/>
                <w:highlight w:val="none"/>
              </w:rPr>
              <w:t>32</w:t>
            </w:r>
            <w:r>
              <w:rPr>
                <w:rFonts w:ascii="宋体" w:hAnsi="宋体" w:eastAsia="宋体" w:cs="宋体"/>
                <w:color w:val="auto"/>
                <w:kern w:val="0"/>
                <w:sz w:val="24"/>
                <w:szCs w:val="24"/>
                <w:highlight w:val="none"/>
              </w:rPr>
              <w:t>算力≥</w:t>
            </w:r>
            <w:r>
              <w:rPr>
                <w:rFonts w:hint="eastAsia" w:ascii="宋体" w:hAnsi="宋体" w:eastAsia="宋体" w:cs="宋体"/>
                <w:color w:val="auto"/>
                <w:kern w:val="0"/>
                <w:sz w:val="24"/>
                <w:szCs w:val="24"/>
                <w:highlight w:val="none"/>
              </w:rPr>
              <w:t>59</w:t>
            </w:r>
            <w:r>
              <w:rPr>
                <w:rFonts w:ascii="宋体" w:hAnsi="宋体" w:eastAsia="宋体" w:cs="宋体"/>
                <w:color w:val="auto"/>
                <w:kern w:val="0"/>
                <w:sz w:val="24"/>
                <w:szCs w:val="24"/>
                <w:highlight w:val="none"/>
              </w:rPr>
              <w:t xml:space="preserve"> TFLOPS</w:t>
            </w:r>
          </w:p>
          <w:p w14:paraId="47BC0531">
            <w:pPr>
              <w:widowControl/>
              <w:adjustRightInd w:val="0"/>
              <w:snapToGrid w:val="0"/>
              <w:spacing w:line="360"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单卡FP</w:t>
            </w:r>
            <w:r>
              <w:rPr>
                <w:rFonts w:ascii="宋体" w:hAnsi="宋体" w:eastAsia="宋体" w:cs="宋体"/>
                <w:color w:val="auto"/>
                <w:kern w:val="0"/>
                <w:sz w:val="24"/>
                <w:szCs w:val="24"/>
                <w:highlight w:val="none"/>
              </w:rPr>
              <w:t>16算力≥119 TFLOPS</w:t>
            </w:r>
          </w:p>
          <w:p w14:paraId="3C889B39">
            <w:pPr>
              <w:widowControl/>
              <w:adjustRightInd w:val="0"/>
              <w:snapToGrid w:val="0"/>
              <w:spacing w:line="360"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单卡</w:t>
            </w:r>
            <w:r>
              <w:rPr>
                <w:rFonts w:ascii="宋体" w:hAnsi="宋体" w:eastAsia="宋体" w:cs="宋体"/>
                <w:color w:val="auto"/>
                <w:kern w:val="0"/>
                <w:sz w:val="24"/>
                <w:szCs w:val="24"/>
                <w:highlight w:val="none"/>
              </w:rPr>
              <w:t>显存容量≥48GB</w:t>
            </w:r>
          </w:p>
          <w:p w14:paraId="46E9C6C4">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软件生态：</w:t>
            </w:r>
            <w:r>
              <w:rPr>
                <w:rFonts w:ascii="宋体" w:hAnsi="宋体" w:eastAsia="宋体" w:cs="宋体"/>
                <w:color w:val="auto"/>
                <w:kern w:val="0"/>
                <w:sz w:val="24"/>
                <w:szCs w:val="24"/>
                <w:highlight w:val="none"/>
              </w:rPr>
              <w:t>支持主流AI框架适配，包括但不限于PyTorch、TensorFlow等</w:t>
            </w:r>
            <w:r>
              <w:rPr>
                <w:rFonts w:hint="eastAsia" w:ascii="宋体" w:hAnsi="宋体" w:eastAsia="宋体" w:cs="宋体"/>
                <w:color w:val="auto"/>
                <w:kern w:val="0"/>
                <w:sz w:val="24"/>
                <w:szCs w:val="24"/>
                <w:highlight w:val="none"/>
              </w:rPr>
              <w:t>，</w:t>
            </w:r>
            <w:r>
              <w:rPr>
                <w:rFonts w:ascii="宋体" w:hAnsi="宋体" w:eastAsia="宋体" w:cs="宋体"/>
                <w:color w:val="auto"/>
                <w:kern w:val="0"/>
                <w:sz w:val="24"/>
                <w:szCs w:val="24"/>
                <w:highlight w:val="none"/>
              </w:rPr>
              <w:t>支持容器化部署</w:t>
            </w:r>
            <w:r>
              <w:rPr>
                <w:rFonts w:hint="eastAsia" w:ascii="宋体" w:hAnsi="宋体" w:eastAsia="宋体" w:cs="宋体"/>
                <w:color w:val="auto"/>
                <w:kern w:val="0"/>
                <w:sz w:val="24"/>
                <w:szCs w:val="24"/>
                <w:highlight w:val="none"/>
              </w:rPr>
              <w:t>，</w:t>
            </w:r>
            <w:r>
              <w:rPr>
                <w:rFonts w:ascii="宋体" w:hAnsi="宋体" w:eastAsia="宋体" w:cs="宋体"/>
                <w:color w:val="auto"/>
                <w:kern w:val="0"/>
                <w:sz w:val="24"/>
                <w:szCs w:val="24"/>
                <w:highlight w:val="none"/>
              </w:rPr>
              <w:t>提供完整驱动、SDK</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w:t>
            </w:r>
          </w:p>
        </w:tc>
      </w:tr>
      <w:tr w14:paraId="03D4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2EFB9523">
            <w:pPr>
              <w:widowControl/>
              <w:adjustRightInd w:val="0"/>
              <w:snapToGrid w:val="0"/>
              <w:spacing w:line="360" w:lineRule="auto"/>
              <w:jc w:val="center"/>
              <w:rPr>
                <w:rFonts w:ascii="宋体-简" w:hAnsi="宋体-简" w:eastAsia="宋体-简" w:cs="宋体-简"/>
                <w:color w:val="auto"/>
                <w:kern w:val="0"/>
                <w:sz w:val="24"/>
                <w:szCs w:val="24"/>
                <w:highlight w:val="none"/>
              </w:rPr>
            </w:pPr>
          </w:p>
        </w:tc>
        <w:tc>
          <w:tcPr>
            <w:tcW w:w="1344" w:type="dxa"/>
            <w:vAlign w:val="center"/>
          </w:tcPr>
          <w:p w14:paraId="275F22A8">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网络</w:t>
            </w:r>
          </w:p>
        </w:tc>
        <w:tc>
          <w:tcPr>
            <w:tcW w:w="7586" w:type="dxa"/>
            <w:vAlign w:val="center"/>
          </w:tcPr>
          <w:p w14:paraId="5105FDCE">
            <w:pPr>
              <w:widowControl/>
              <w:adjustRightInd w:val="0"/>
              <w:snapToGrid w:val="0"/>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配置</w:t>
            </w:r>
            <w:r>
              <w:rPr>
                <w:rFonts w:hint="eastAsia" w:ascii="宋体" w:hAnsi="宋体" w:eastAsia="宋体" w:cs="宋体"/>
                <w:color w:val="auto"/>
                <w:kern w:val="0"/>
                <w:sz w:val="24"/>
                <w:szCs w:val="24"/>
                <w:highlight w:val="none"/>
              </w:rPr>
              <w:t>≥1个双口千兆以太网接口</w:t>
            </w:r>
          </w:p>
          <w:p w14:paraId="3338E6B6">
            <w:pPr>
              <w:widowControl/>
              <w:adjustRightInd w:val="0"/>
              <w:snapToGrid w:val="0"/>
              <w:spacing w:line="360"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≥1个双口2</w:t>
            </w:r>
            <w:r>
              <w:rPr>
                <w:rFonts w:ascii="宋体" w:hAnsi="宋体" w:eastAsia="宋体" w:cs="宋体"/>
                <w:color w:val="auto"/>
                <w:kern w:val="0"/>
                <w:sz w:val="24"/>
                <w:szCs w:val="24"/>
                <w:highlight w:val="none"/>
              </w:rPr>
              <w:t>00</w:t>
            </w:r>
            <w:r>
              <w:rPr>
                <w:rFonts w:hint="eastAsia" w:ascii="宋体" w:hAnsi="宋体" w:eastAsia="宋体" w:cs="宋体"/>
                <w:color w:val="auto"/>
                <w:kern w:val="0"/>
                <w:sz w:val="24"/>
                <w:szCs w:val="24"/>
                <w:highlight w:val="none"/>
              </w:rPr>
              <w:t>G</w:t>
            </w:r>
            <w:r>
              <w:rPr>
                <w:rFonts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rPr>
              <w:t>HCA卡含模块，</w:t>
            </w:r>
            <w:r>
              <w:rPr>
                <w:rFonts w:ascii="宋体" w:hAnsi="宋体" w:eastAsia="宋体" w:cs="宋体"/>
                <w:color w:val="auto"/>
                <w:kern w:val="0"/>
                <w:sz w:val="24"/>
                <w:szCs w:val="24"/>
                <w:highlight w:val="none"/>
              </w:rPr>
              <w:t>含相应光模块或线缆</w:t>
            </w:r>
          </w:p>
          <w:p w14:paraId="69696B40">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支持RDMA或等效高性能通信能力，满足AI训练和并行计算任务需求</w:t>
            </w:r>
            <w:r>
              <w:rPr>
                <w:rFonts w:hint="eastAsia" w:ascii="宋体" w:hAnsi="宋体" w:eastAsia="宋体" w:cs="宋体"/>
                <w:color w:val="auto"/>
                <w:kern w:val="0"/>
                <w:sz w:val="24"/>
                <w:szCs w:val="24"/>
                <w:highlight w:val="none"/>
                <w:lang w:eastAsia="zh-CN"/>
              </w:rPr>
              <w:t>。</w:t>
            </w:r>
          </w:p>
        </w:tc>
      </w:tr>
      <w:tr w14:paraId="54A1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83" w:type="dxa"/>
            <w:vMerge w:val="continue"/>
            <w:vAlign w:val="center"/>
          </w:tcPr>
          <w:p w14:paraId="5B586477">
            <w:pPr>
              <w:widowControl/>
              <w:adjustRightInd w:val="0"/>
              <w:snapToGrid w:val="0"/>
              <w:spacing w:line="360" w:lineRule="auto"/>
              <w:jc w:val="center"/>
              <w:rPr>
                <w:rFonts w:ascii="宋体-简" w:hAnsi="宋体-简" w:eastAsia="宋体-简" w:cs="宋体-简"/>
                <w:color w:val="auto"/>
                <w:kern w:val="0"/>
                <w:sz w:val="24"/>
                <w:szCs w:val="24"/>
                <w:highlight w:val="none"/>
              </w:rPr>
            </w:pPr>
          </w:p>
        </w:tc>
        <w:tc>
          <w:tcPr>
            <w:tcW w:w="1344" w:type="dxa"/>
            <w:vAlign w:val="center"/>
          </w:tcPr>
          <w:p w14:paraId="6BEBBD5D">
            <w:pPr>
              <w:widowControl/>
              <w:adjustRightInd w:val="0"/>
              <w:snapToGrid w:val="0"/>
              <w:spacing w:line="360" w:lineRule="auto"/>
              <w:jc w:val="center"/>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PCIe扩展</w:t>
            </w:r>
          </w:p>
        </w:tc>
        <w:tc>
          <w:tcPr>
            <w:tcW w:w="7586" w:type="dxa"/>
            <w:vAlign w:val="center"/>
          </w:tcPr>
          <w:p w14:paraId="483804AA">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最大支持</w:t>
            </w:r>
            <w:r>
              <w:rPr>
                <w:rFonts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rPr>
              <w:t>16个PCIe5.0 x16插槽</w:t>
            </w:r>
            <w:r>
              <w:rPr>
                <w:rFonts w:ascii="宋体" w:hAnsi="宋体" w:eastAsia="宋体" w:cs="宋体"/>
                <w:color w:val="auto"/>
                <w:kern w:val="0"/>
                <w:sz w:val="24"/>
                <w:szCs w:val="24"/>
                <w:highlight w:val="none"/>
              </w:rPr>
              <w:t>或同等扩展能力</w:t>
            </w:r>
            <w:r>
              <w:rPr>
                <w:rFonts w:hint="eastAsia" w:ascii="宋体" w:hAnsi="宋体" w:eastAsia="宋体" w:cs="宋体"/>
                <w:color w:val="auto"/>
                <w:kern w:val="0"/>
                <w:sz w:val="24"/>
                <w:szCs w:val="24"/>
                <w:highlight w:val="none"/>
                <w:lang w:eastAsia="zh-CN"/>
              </w:rPr>
              <w:t>。</w:t>
            </w:r>
          </w:p>
        </w:tc>
      </w:tr>
      <w:tr w14:paraId="397E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83" w:type="dxa"/>
            <w:vMerge w:val="continue"/>
            <w:vAlign w:val="center"/>
          </w:tcPr>
          <w:p w14:paraId="6E300C4A">
            <w:pPr>
              <w:widowControl/>
              <w:adjustRightInd w:val="0"/>
              <w:snapToGrid w:val="0"/>
              <w:spacing w:line="360" w:lineRule="auto"/>
              <w:jc w:val="center"/>
              <w:rPr>
                <w:rFonts w:ascii="宋体-简" w:hAnsi="宋体-简" w:eastAsia="宋体-简" w:cs="宋体-简"/>
                <w:color w:val="auto"/>
                <w:kern w:val="0"/>
                <w:sz w:val="24"/>
                <w:szCs w:val="24"/>
                <w:highlight w:val="none"/>
              </w:rPr>
            </w:pPr>
          </w:p>
        </w:tc>
        <w:tc>
          <w:tcPr>
            <w:tcW w:w="1344" w:type="dxa"/>
            <w:vAlign w:val="center"/>
          </w:tcPr>
          <w:p w14:paraId="37423F55">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电源</w:t>
            </w:r>
          </w:p>
        </w:tc>
        <w:tc>
          <w:tcPr>
            <w:tcW w:w="7586" w:type="dxa"/>
            <w:vAlign w:val="center"/>
          </w:tcPr>
          <w:p w14:paraId="6747C5A6">
            <w:pPr>
              <w:widowControl/>
              <w:adjustRightInd w:val="0"/>
              <w:snapToGrid w:val="0"/>
              <w:spacing w:line="360" w:lineRule="auto"/>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配置</w:t>
            </w:r>
            <w:r>
              <w:rPr>
                <w:rFonts w:hint="eastAsia" w:ascii="宋体" w:hAnsi="宋体" w:eastAsia="宋体" w:cs="宋体"/>
                <w:color w:val="auto"/>
                <w:kern w:val="0"/>
                <w:sz w:val="24"/>
                <w:szCs w:val="24"/>
                <w:highlight w:val="none"/>
              </w:rPr>
              <w:t>≥4*2700W</w:t>
            </w:r>
            <w:r>
              <w:rPr>
                <w:rFonts w:ascii="宋体" w:hAnsi="宋体" w:eastAsia="宋体" w:cs="宋体"/>
                <w:color w:val="auto"/>
                <w:kern w:val="0"/>
                <w:sz w:val="24"/>
                <w:szCs w:val="24"/>
                <w:highlight w:val="none"/>
              </w:rPr>
              <w:t>冗余</w:t>
            </w:r>
            <w:r>
              <w:rPr>
                <w:rFonts w:hint="eastAsia" w:ascii="宋体" w:hAnsi="宋体" w:eastAsia="宋体" w:cs="宋体"/>
                <w:color w:val="auto"/>
                <w:kern w:val="0"/>
                <w:sz w:val="24"/>
                <w:szCs w:val="24"/>
                <w:highlight w:val="none"/>
              </w:rPr>
              <w:t>电源，含</w:t>
            </w:r>
            <w:r>
              <w:rPr>
                <w:rFonts w:ascii="宋体" w:hAnsi="宋体" w:eastAsia="宋体" w:cs="宋体"/>
                <w:color w:val="auto"/>
                <w:kern w:val="0"/>
                <w:sz w:val="24"/>
                <w:szCs w:val="24"/>
                <w:highlight w:val="none"/>
              </w:rPr>
              <w:t>满足设备运行所需</w:t>
            </w:r>
            <w:r>
              <w:rPr>
                <w:rFonts w:hint="eastAsia" w:ascii="宋体" w:hAnsi="宋体" w:eastAsia="宋体" w:cs="宋体"/>
                <w:color w:val="auto"/>
                <w:kern w:val="0"/>
                <w:sz w:val="24"/>
                <w:szCs w:val="24"/>
                <w:highlight w:val="none"/>
              </w:rPr>
              <w:t>电源线</w:t>
            </w:r>
          </w:p>
          <w:p w14:paraId="2F738667">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支持冗余供电，满足设备稳定运行要求</w:t>
            </w:r>
            <w:r>
              <w:rPr>
                <w:rFonts w:hint="eastAsia" w:ascii="宋体" w:hAnsi="宋体" w:eastAsia="宋体" w:cs="宋体"/>
                <w:color w:val="auto"/>
                <w:kern w:val="0"/>
                <w:sz w:val="24"/>
                <w:szCs w:val="24"/>
                <w:highlight w:val="none"/>
                <w:lang w:eastAsia="zh-CN"/>
              </w:rPr>
              <w:t>。</w:t>
            </w:r>
          </w:p>
        </w:tc>
      </w:tr>
      <w:tr w14:paraId="3FFD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83" w:type="dxa"/>
            <w:vMerge w:val="continue"/>
            <w:vAlign w:val="center"/>
          </w:tcPr>
          <w:p w14:paraId="09D5B1B6">
            <w:pPr>
              <w:widowControl/>
              <w:adjustRightInd w:val="0"/>
              <w:snapToGrid w:val="0"/>
              <w:spacing w:line="360" w:lineRule="auto"/>
              <w:jc w:val="center"/>
              <w:rPr>
                <w:rFonts w:ascii="宋体-简" w:hAnsi="宋体-简" w:eastAsia="宋体-简" w:cs="宋体-简"/>
                <w:color w:val="auto"/>
                <w:kern w:val="0"/>
                <w:sz w:val="24"/>
                <w:szCs w:val="24"/>
                <w:highlight w:val="none"/>
              </w:rPr>
            </w:pPr>
          </w:p>
        </w:tc>
        <w:tc>
          <w:tcPr>
            <w:tcW w:w="1344" w:type="dxa"/>
            <w:vAlign w:val="center"/>
          </w:tcPr>
          <w:p w14:paraId="1E257881">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lang w:eastAsia="zh-CN"/>
              </w:rPr>
              <w:t>售后</w:t>
            </w:r>
            <w:r>
              <w:rPr>
                <w:rFonts w:hint="default" w:ascii="宋体" w:hAnsi="宋体" w:eastAsia="宋体" w:cs="宋体"/>
                <w:color w:val="auto"/>
                <w:kern w:val="0"/>
                <w:sz w:val="24"/>
                <w:szCs w:val="24"/>
                <w:highlight w:val="none"/>
              </w:rPr>
              <w:t>服务</w:t>
            </w:r>
          </w:p>
        </w:tc>
        <w:tc>
          <w:tcPr>
            <w:tcW w:w="7586" w:type="dxa"/>
            <w:vAlign w:val="center"/>
          </w:tcPr>
          <w:p w14:paraId="7347A6CC">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提供原厂项目授权函</w:t>
            </w:r>
            <w:r>
              <w:rPr>
                <w:rFonts w:hint="eastAsia" w:ascii="宋体" w:hAnsi="宋体" w:eastAsia="宋体" w:cs="宋体"/>
                <w:color w:val="auto"/>
                <w:kern w:val="0"/>
                <w:sz w:val="24"/>
                <w:szCs w:val="24"/>
                <w:highlight w:val="none"/>
                <w:lang w:eastAsia="zh-CN"/>
              </w:rPr>
              <w:t>和</w:t>
            </w:r>
            <w:r>
              <w:rPr>
                <w:rFonts w:hint="eastAsia" w:ascii="宋体" w:hAnsi="宋体" w:eastAsia="宋体" w:cs="宋体"/>
                <w:color w:val="auto"/>
                <w:kern w:val="0"/>
                <w:sz w:val="24"/>
                <w:szCs w:val="24"/>
                <w:highlight w:val="none"/>
              </w:rPr>
              <w:t>原厂</w:t>
            </w:r>
            <w:r>
              <w:rPr>
                <w:rFonts w:hint="default" w:ascii="宋体" w:hAnsi="宋体" w:eastAsia="宋体" w:cs="宋体"/>
                <w:color w:val="auto"/>
                <w:kern w:val="0"/>
                <w:sz w:val="24"/>
                <w:szCs w:val="24"/>
                <w:highlight w:val="none"/>
              </w:rPr>
              <w:t>不少于</w:t>
            </w:r>
            <w:r>
              <w:rPr>
                <w:rFonts w:hint="eastAsia" w:ascii="宋体" w:hAnsi="宋体" w:eastAsia="宋体" w:cs="宋体"/>
                <w:color w:val="auto"/>
                <w:kern w:val="0"/>
                <w:sz w:val="24"/>
                <w:szCs w:val="24"/>
                <w:highlight w:val="none"/>
              </w:rPr>
              <w:t>3年免费上门</w:t>
            </w:r>
            <w:r>
              <w:rPr>
                <w:rFonts w:hint="eastAsia" w:ascii="宋体" w:hAnsi="宋体" w:eastAsia="宋体" w:cs="宋体"/>
                <w:color w:val="auto"/>
                <w:kern w:val="0"/>
                <w:sz w:val="24"/>
                <w:szCs w:val="24"/>
                <w:highlight w:val="none"/>
                <w:lang w:eastAsia="zh-CN"/>
              </w:rPr>
              <w:t>售后</w:t>
            </w:r>
            <w:r>
              <w:rPr>
                <w:rFonts w:hint="eastAsia" w:ascii="宋体" w:hAnsi="宋体" w:eastAsia="宋体" w:cs="宋体"/>
                <w:color w:val="auto"/>
                <w:kern w:val="0"/>
                <w:sz w:val="24"/>
                <w:szCs w:val="24"/>
                <w:highlight w:val="none"/>
              </w:rPr>
              <w:t>服务承诺函（</w:t>
            </w:r>
            <w:r>
              <w:rPr>
                <w:rFonts w:hint="eastAsia" w:ascii="宋体" w:hAnsi="宋体" w:eastAsia="宋体" w:cs="宋体"/>
                <w:color w:val="auto"/>
                <w:kern w:val="0"/>
                <w:sz w:val="24"/>
                <w:szCs w:val="24"/>
                <w:highlight w:val="none"/>
                <w:lang w:eastAsia="zh-CN"/>
              </w:rPr>
              <w:t>授权函和售后服务承诺函</w:t>
            </w:r>
            <w:r>
              <w:rPr>
                <w:rFonts w:hint="default" w:ascii="宋体" w:hAnsi="宋体" w:eastAsia="宋体" w:cs="宋体"/>
                <w:color w:val="auto"/>
                <w:kern w:val="0"/>
                <w:sz w:val="24"/>
                <w:szCs w:val="24"/>
                <w:highlight w:val="none"/>
                <w:lang w:eastAsia="zh-CN"/>
              </w:rPr>
              <w:t>格式自拟，</w:t>
            </w:r>
            <w:r>
              <w:rPr>
                <w:rFonts w:hint="eastAsia" w:ascii="宋体" w:hAnsi="宋体" w:eastAsia="宋体" w:cs="宋体"/>
                <w:color w:val="auto"/>
                <w:kern w:val="0"/>
                <w:sz w:val="24"/>
                <w:szCs w:val="24"/>
                <w:highlight w:val="none"/>
                <w:lang w:eastAsia="zh-CN"/>
              </w:rPr>
              <w:t>均需盖有原厂公章</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w:t>
            </w:r>
          </w:p>
        </w:tc>
      </w:tr>
      <w:tr w14:paraId="315B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83" w:type="dxa"/>
            <w:vMerge w:val="continue"/>
            <w:vAlign w:val="center"/>
          </w:tcPr>
          <w:p w14:paraId="4C93DEB8">
            <w:pPr>
              <w:widowControl/>
              <w:adjustRightInd w:val="0"/>
              <w:snapToGrid w:val="0"/>
              <w:spacing w:line="360" w:lineRule="auto"/>
              <w:jc w:val="center"/>
              <w:rPr>
                <w:rFonts w:ascii="宋体-简" w:hAnsi="宋体-简" w:eastAsia="宋体-简" w:cs="宋体-简"/>
                <w:color w:val="auto"/>
                <w:kern w:val="0"/>
                <w:sz w:val="24"/>
                <w:szCs w:val="24"/>
                <w:highlight w:val="none"/>
              </w:rPr>
            </w:pPr>
          </w:p>
        </w:tc>
        <w:tc>
          <w:tcPr>
            <w:tcW w:w="1344" w:type="dxa"/>
            <w:vAlign w:val="center"/>
          </w:tcPr>
          <w:p w14:paraId="216B65F8">
            <w:pPr>
              <w:widowControl/>
              <w:adjustRightInd w:val="0"/>
              <w:snapToGrid w:val="0"/>
              <w:spacing w:line="360" w:lineRule="auto"/>
              <w:jc w:val="center"/>
              <w:rPr>
                <w:rFonts w:ascii="宋体-简" w:hAnsi="宋体-简" w:eastAsia="宋体-简" w:cs="宋体-简"/>
                <w:color w:val="auto"/>
                <w:kern w:val="0"/>
                <w:sz w:val="24"/>
                <w:szCs w:val="24"/>
                <w:highlight w:val="none"/>
              </w:rPr>
            </w:pPr>
            <w:r>
              <w:rPr>
                <w:rFonts w:hint="eastAsia" w:ascii="宋体-简" w:hAnsi="宋体-简" w:eastAsia="宋体-简" w:cs="宋体-简"/>
                <w:color w:val="auto"/>
                <w:kern w:val="0"/>
                <w:sz w:val="24"/>
                <w:szCs w:val="24"/>
                <w:highlight w:val="none"/>
              </w:rPr>
              <w:t>业务应用要求</w:t>
            </w:r>
          </w:p>
        </w:tc>
        <w:tc>
          <w:tcPr>
            <w:tcW w:w="7586" w:type="dxa"/>
            <w:vAlign w:val="center"/>
          </w:tcPr>
          <w:p w14:paraId="19805909">
            <w:pPr>
              <w:widowControl/>
              <w:adjustRightInd w:val="0"/>
              <w:snapToGrid w:val="0"/>
              <w:spacing w:line="360"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支持部署并运行不少于7</w:t>
            </w:r>
            <w:r>
              <w:rPr>
                <w:rFonts w:ascii="宋体" w:hAnsi="宋体" w:eastAsia="宋体" w:cs="宋体"/>
                <w:color w:val="auto"/>
                <w:kern w:val="0"/>
                <w:sz w:val="24"/>
                <w:szCs w:val="24"/>
                <w:highlight w:val="none"/>
              </w:rPr>
              <w:t>0</w:t>
            </w:r>
            <w:r>
              <w:rPr>
                <w:rFonts w:hint="eastAsia" w:ascii="宋体" w:hAnsi="宋体" w:eastAsia="宋体" w:cs="宋体"/>
                <w:color w:val="auto"/>
                <w:kern w:val="0"/>
                <w:sz w:val="24"/>
                <w:szCs w:val="24"/>
                <w:highlight w:val="none"/>
              </w:rPr>
              <w:t>B参数规模的大语言模型推理服务；</w:t>
            </w:r>
          </w:p>
          <w:p w14:paraId="4EB6BA72">
            <w:pPr>
              <w:widowControl/>
              <w:adjustRightInd w:val="0"/>
              <w:snapToGrid w:val="0"/>
              <w:spacing w:line="360"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支持灾害仿真任务并行运行；</w:t>
            </w:r>
          </w:p>
          <w:p w14:paraId="18A5B983">
            <w:pPr>
              <w:widowControl/>
              <w:adjustRightInd w:val="0"/>
              <w:snapToGrid w:val="0"/>
              <w:spacing w:line="360" w:lineRule="auto"/>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支持CPU并行计算</w:t>
            </w:r>
            <w:r>
              <w:rPr>
                <w:rFonts w:ascii="宋体" w:hAnsi="宋体" w:eastAsia="宋体" w:cs="宋体"/>
                <w:color w:val="auto"/>
                <w:kern w:val="0"/>
                <w:sz w:val="24"/>
                <w:szCs w:val="24"/>
                <w:highlight w:val="none"/>
              </w:rPr>
              <w:t>和GPU辅助求解、AI推理、AI模型训练等任务</w:t>
            </w:r>
            <w:r>
              <w:rPr>
                <w:rFonts w:hint="eastAsia" w:ascii="宋体" w:hAnsi="宋体" w:eastAsia="宋体" w:cs="宋体"/>
                <w:color w:val="auto"/>
                <w:kern w:val="0"/>
                <w:sz w:val="24"/>
                <w:szCs w:val="24"/>
                <w:highlight w:val="none"/>
              </w:rPr>
              <w:t>；</w:t>
            </w:r>
          </w:p>
          <w:p w14:paraId="0F8603CF">
            <w:pPr>
              <w:widowControl/>
              <w:adjustRightInd w:val="0"/>
              <w:snapToGrid w:val="0"/>
              <w:spacing w:line="360" w:lineRule="auto"/>
              <w:jc w:val="left"/>
              <w:rPr>
                <w:rFonts w:ascii="宋体-简" w:hAnsi="宋体-简" w:eastAsia="宋体-简" w:cs="宋体-简"/>
                <w:color w:val="auto"/>
                <w:kern w:val="0"/>
                <w:sz w:val="24"/>
                <w:szCs w:val="24"/>
                <w:highlight w:val="none"/>
              </w:rPr>
            </w:pPr>
            <w:r>
              <w:rPr>
                <w:rFonts w:ascii="宋体" w:hAnsi="宋体" w:eastAsia="宋体" w:cs="宋体"/>
                <w:color w:val="auto"/>
                <w:kern w:val="0"/>
                <w:sz w:val="24"/>
                <w:szCs w:val="24"/>
                <w:highlight w:val="none"/>
              </w:rPr>
              <w:t>支持与集群管理软件、AI管理平台、集中式存储系统统一集成</w:t>
            </w:r>
            <w:r>
              <w:rPr>
                <w:rFonts w:hint="eastAsia" w:ascii="宋体" w:hAnsi="宋体" w:eastAsia="宋体" w:cs="宋体"/>
                <w:color w:val="auto"/>
                <w:kern w:val="0"/>
                <w:sz w:val="24"/>
                <w:szCs w:val="24"/>
                <w:highlight w:val="none"/>
              </w:rPr>
              <w:t>。</w:t>
            </w:r>
          </w:p>
        </w:tc>
      </w:tr>
    </w:tbl>
    <w:p w14:paraId="27CA4F1F">
      <w:pPr>
        <w:rPr>
          <w:rFonts w:ascii="宋体" w:hAnsi="宋体" w:eastAsia="宋体"/>
          <w:color w:val="auto"/>
          <w:sz w:val="28"/>
          <w:szCs w:val="28"/>
          <w:highlight w:val="none"/>
        </w:rPr>
      </w:pPr>
    </w:p>
    <w:p w14:paraId="7E3A2185">
      <w:pPr>
        <w:rPr>
          <w:rFonts w:ascii="宋体" w:hAnsi="宋体" w:eastAsia="宋体"/>
          <w:color w:val="auto"/>
          <w:sz w:val="28"/>
          <w:szCs w:val="28"/>
          <w:highlight w:val="none"/>
        </w:rPr>
      </w:pPr>
      <w:r>
        <w:rPr>
          <w:rFonts w:hint="eastAsia" w:ascii="宋体" w:hAnsi="宋体" w:eastAsia="宋体"/>
          <w:color w:val="auto"/>
          <w:sz w:val="28"/>
          <w:szCs w:val="28"/>
          <w:highlight w:val="none"/>
        </w:rPr>
        <w:t>3.2多灾害算力部件</w:t>
      </w:r>
    </w:p>
    <w:tbl>
      <w:tblPr>
        <w:tblStyle w:val="10"/>
        <w:tblW w:w="9713" w:type="dxa"/>
        <w:tblInd w:w="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344"/>
        <w:gridCol w:w="7586"/>
      </w:tblGrid>
      <w:tr w14:paraId="666B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83" w:type="dxa"/>
            <w:shd w:val="clear" w:color="auto" w:fill="D9E2F3" w:themeFill="accent1" w:themeFillTint="33"/>
            <w:vAlign w:val="center"/>
          </w:tcPr>
          <w:p w14:paraId="710C832C">
            <w:pPr>
              <w:widowControl/>
              <w:adjustRightInd w:val="0"/>
              <w:snapToGrid w:val="0"/>
              <w:spacing w:line="360" w:lineRule="auto"/>
              <w:jc w:val="center"/>
              <w:rPr>
                <w:rFonts w:ascii="宋体-简" w:hAnsi="宋体-简" w:eastAsia="宋体-简" w:cs="宋体-简"/>
                <w:b/>
                <w:bCs/>
                <w:color w:val="auto"/>
                <w:kern w:val="0"/>
                <w:sz w:val="24"/>
                <w:szCs w:val="24"/>
                <w:highlight w:val="none"/>
              </w:rPr>
            </w:pPr>
            <w:r>
              <w:rPr>
                <w:rFonts w:hint="eastAsia" w:ascii="宋体-简" w:hAnsi="宋体-简" w:eastAsia="宋体-简" w:cs="宋体-简"/>
                <w:b/>
                <w:bCs/>
                <w:color w:val="auto"/>
                <w:kern w:val="0"/>
                <w:sz w:val="24"/>
                <w:szCs w:val="24"/>
                <w:highlight w:val="none"/>
              </w:rPr>
              <w:t>类别</w:t>
            </w:r>
          </w:p>
        </w:tc>
        <w:tc>
          <w:tcPr>
            <w:tcW w:w="1344" w:type="dxa"/>
            <w:shd w:val="clear" w:color="auto" w:fill="D9E2F3" w:themeFill="accent1" w:themeFillTint="33"/>
            <w:vAlign w:val="center"/>
          </w:tcPr>
          <w:p w14:paraId="79F57CD2">
            <w:pPr>
              <w:widowControl/>
              <w:adjustRightInd w:val="0"/>
              <w:snapToGrid w:val="0"/>
              <w:spacing w:line="360" w:lineRule="auto"/>
              <w:jc w:val="center"/>
              <w:rPr>
                <w:rFonts w:ascii="宋体-简" w:hAnsi="宋体-简" w:eastAsia="宋体-简" w:cs="宋体-简"/>
                <w:b/>
                <w:bCs/>
                <w:color w:val="auto"/>
                <w:kern w:val="0"/>
                <w:sz w:val="24"/>
                <w:szCs w:val="24"/>
                <w:highlight w:val="none"/>
              </w:rPr>
            </w:pPr>
            <w:r>
              <w:rPr>
                <w:rFonts w:hint="eastAsia" w:ascii="宋体-简" w:hAnsi="宋体-简" w:eastAsia="宋体-简" w:cs="宋体-简"/>
                <w:b/>
                <w:bCs/>
                <w:color w:val="auto"/>
                <w:kern w:val="0"/>
                <w:sz w:val="24"/>
                <w:szCs w:val="24"/>
                <w:highlight w:val="none"/>
                <w:lang w:eastAsia="zh-CN"/>
              </w:rPr>
              <w:t>技术</w:t>
            </w:r>
            <w:r>
              <w:rPr>
                <w:rFonts w:hint="eastAsia" w:ascii="宋体-简" w:hAnsi="宋体-简" w:eastAsia="宋体-简" w:cs="宋体-简"/>
                <w:b/>
                <w:bCs/>
                <w:color w:val="auto"/>
                <w:kern w:val="0"/>
                <w:sz w:val="24"/>
                <w:szCs w:val="24"/>
                <w:highlight w:val="none"/>
              </w:rPr>
              <w:t>指标</w:t>
            </w:r>
          </w:p>
        </w:tc>
        <w:tc>
          <w:tcPr>
            <w:tcW w:w="7586" w:type="dxa"/>
            <w:shd w:val="clear" w:color="auto" w:fill="D9E2F3" w:themeFill="accent1" w:themeFillTint="33"/>
            <w:vAlign w:val="center"/>
          </w:tcPr>
          <w:p w14:paraId="250AC84E">
            <w:pPr>
              <w:widowControl/>
              <w:adjustRightInd w:val="0"/>
              <w:snapToGrid w:val="0"/>
              <w:spacing w:line="360" w:lineRule="auto"/>
              <w:jc w:val="center"/>
              <w:rPr>
                <w:rFonts w:ascii="宋体-简" w:hAnsi="宋体-简" w:eastAsia="宋体-简" w:cs="宋体-简"/>
                <w:b/>
                <w:bCs/>
                <w:color w:val="auto"/>
                <w:kern w:val="0"/>
                <w:sz w:val="24"/>
                <w:szCs w:val="24"/>
                <w:highlight w:val="none"/>
              </w:rPr>
            </w:pPr>
            <w:r>
              <w:rPr>
                <w:rFonts w:hint="eastAsia" w:ascii="宋体-简" w:hAnsi="宋体-简" w:eastAsia="宋体-简" w:cs="宋体-简"/>
                <w:b/>
                <w:bCs/>
                <w:color w:val="auto"/>
                <w:kern w:val="0"/>
                <w:sz w:val="24"/>
                <w:szCs w:val="24"/>
                <w:highlight w:val="none"/>
              </w:rPr>
              <w:t>技术</w:t>
            </w:r>
            <w:r>
              <w:rPr>
                <w:rFonts w:hint="eastAsia" w:ascii="宋体-简" w:hAnsi="宋体-简" w:eastAsia="宋体-简" w:cs="宋体-简"/>
                <w:b/>
                <w:bCs/>
                <w:color w:val="auto"/>
                <w:kern w:val="0"/>
                <w:sz w:val="24"/>
                <w:szCs w:val="24"/>
                <w:highlight w:val="none"/>
                <w:lang w:eastAsia="zh-CN"/>
              </w:rPr>
              <w:t>指标具体</w:t>
            </w:r>
            <w:r>
              <w:rPr>
                <w:rFonts w:hint="eastAsia" w:ascii="宋体-简" w:hAnsi="宋体-简" w:eastAsia="宋体-简" w:cs="宋体-简"/>
                <w:b/>
                <w:bCs/>
                <w:color w:val="auto"/>
                <w:kern w:val="0"/>
                <w:sz w:val="24"/>
                <w:szCs w:val="24"/>
                <w:highlight w:val="none"/>
              </w:rPr>
              <w:t>要求</w:t>
            </w:r>
          </w:p>
        </w:tc>
      </w:tr>
      <w:tr w14:paraId="0229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restart"/>
            <w:vAlign w:val="center"/>
          </w:tcPr>
          <w:p w14:paraId="58B4FD37">
            <w:pPr>
              <w:widowControl/>
              <w:adjustRightInd w:val="0"/>
              <w:snapToGrid w:val="0"/>
              <w:jc w:val="center"/>
              <w:rPr>
                <w:rFonts w:ascii="宋体-简" w:hAnsi="宋体-简" w:eastAsia="宋体-简" w:cs="宋体-简"/>
                <w:color w:val="auto"/>
                <w:kern w:val="0"/>
                <w:sz w:val="18"/>
                <w:szCs w:val="18"/>
                <w:highlight w:val="none"/>
              </w:rPr>
            </w:pPr>
            <w:r>
              <w:rPr>
                <w:rFonts w:hint="eastAsia" w:ascii="宋体" w:hAnsi="宋体" w:eastAsia="宋体" w:cs="宋体"/>
                <w:b/>
                <w:bCs/>
                <w:color w:val="auto"/>
                <w:kern w:val="0"/>
                <w:sz w:val="24"/>
                <w:szCs w:val="24"/>
                <w:highlight w:val="none"/>
              </w:rPr>
              <w:t>多灾害算力部件</w:t>
            </w:r>
          </w:p>
        </w:tc>
        <w:tc>
          <w:tcPr>
            <w:tcW w:w="1344" w:type="dxa"/>
            <w:vAlign w:val="center"/>
          </w:tcPr>
          <w:p w14:paraId="4664F65E">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数量</w:t>
            </w:r>
          </w:p>
        </w:tc>
        <w:tc>
          <w:tcPr>
            <w:tcW w:w="7586" w:type="dxa"/>
            <w:vAlign w:val="center"/>
          </w:tcPr>
          <w:p w14:paraId="3239F3F8">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1套</w:t>
            </w:r>
          </w:p>
        </w:tc>
      </w:tr>
      <w:tr w14:paraId="1F6C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028CB84F">
            <w:pPr>
              <w:widowControl/>
              <w:adjustRightInd w:val="0"/>
              <w:snapToGrid w:val="0"/>
              <w:jc w:val="center"/>
              <w:rPr>
                <w:rFonts w:ascii="宋体-简" w:hAnsi="宋体-简" w:eastAsia="宋体-简" w:cs="宋体-简"/>
                <w:color w:val="auto"/>
                <w:kern w:val="0"/>
                <w:sz w:val="18"/>
                <w:szCs w:val="18"/>
                <w:highlight w:val="none"/>
              </w:rPr>
            </w:pPr>
          </w:p>
        </w:tc>
        <w:tc>
          <w:tcPr>
            <w:tcW w:w="1344" w:type="dxa"/>
            <w:vAlign w:val="center"/>
          </w:tcPr>
          <w:p w14:paraId="4118ED32">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品牌要求</w:t>
            </w:r>
          </w:p>
        </w:tc>
        <w:tc>
          <w:tcPr>
            <w:tcW w:w="7586" w:type="dxa"/>
            <w:vAlign w:val="center"/>
          </w:tcPr>
          <w:p w14:paraId="50834657">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符合国家相关安全可靠、自主可控要求的</w:t>
            </w:r>
            <w:r>
              <w:rPr>
                <w:rFonts w:hint="eastAsia" w:ascii="Times New Roman" w:hAnsi="Times New Roman" w:eastAsia="宋体" w:cs="Times New Roman"/>
                <w:color w:val="auto"/>
                <w:sz w:val="24"/>
                <w:szCs w:val="24"/>
                <w:highlight w:val="none"/>
              </w:rPr>
              <w:t>国产品</w:t>
            </w:r>
            <w:r>
              <w:rPr>
                <w:rFonts w:ascii="Times New Roman" w:hAnsi="Times New Roman" w:eastAsia="宋体" w:cs="Times New Roman"/>
                <w:color w:val="auto"/>
                <w:sz w:val="24"/>
                <w:szCs w:val="24"/>
                <w:highlight w:val="none"/>
              </w:rPr>
              <w:t>牌</w:t>
            </w:r>
            <w:r>
              <w:rPr>
                <w:rFonts w:hint="eastAsia" w:ascii="Times New Roman" w:hAnsi="Times New Roman" w:eastAsia="宋体" w:cs="Times New Roman"/>
                <w:color w:val="auto"/>
                <w:sz w:val="24"/>
                <w:szCs w:val="24"/>
                <w:highlight w:val="none"/>
                <w:lang w:eastAsia="zh-CN"/>
              </w:rPr>
              <w:t>。</w:t>
            </w:r>
          </w:p>
        </w:tc>
      </w:tr>
      <w:tr w14:paraId="4B2F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32F33350">
            <w:pPr>
              <w:widowControl/>
              <w:adjustRightInd w:val="0"/>
              <w:snapToGrid w:val="0"/>
              <w:jc w:val="center"/>
              <w:rPr>
                <w:rFonts w:ascii="宋体-简" w:hAnsi="宋体-简" w:eastAsia="宋体-简" w:cs="宋体-简"/>
                <w:color w:val="auto"/>
                <w:kern w:val="0"/>
                <w:sz w:val="18"/>
                <w:szCs w:val="18"/>
                <w:highlight w:val="none"/>
              </w:rPr>
            </w:pPr>
          </w:p>
        </w:tc>
        <w:tc>
          <w:tcPr>
            <w:tcW w:w="1344" w:type="dxa"/>
            <w:vAlign w:val="center"/>
          </w:tcPr>
          <w:p w14:paraId="0B69D500">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形态</w:t>
            </w:r>
          </w:p>
        </w:tc>
        <w:tc>
          <w:tcPr>
            <w:tcW w:w="7586" w:type="dxa"/>
            <w:vAlign w:val="center"/>
          </w:tcPr>
          <w:p w14:paraId="393F246D">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机架式服务器，非刀片或高密度服务器产品，不高于4U，机箱上架深度不超过800mm，</w:t>
            </w:r>
            <w:r>
              <w:rPr>
                <w:rFonts w:ascii="Times New Roman" w:hAnsi="Times New Roman" w:eastAsia="宋体" w:cs="Times New Roman"/>
                <w:color w:val="auto"/>
                <w:sz w:val="24"/>
                <w:szCs w:val="24"/>
                <w:highlight w:val="none"/>
              </w:rPr>
              <w:t>或满足采购人机房上架条件</w:t>
            </w:r>
            <w:r>
              <w:rPr>
                <w:rFonts w:hint="eastAsia" w:ascii="Times New Roman" w:hAnsi="Times New Roman" w:eastAsia="宋体" w:cs="Times New Roman"/>
                <w:color w:val="auto"/>
                <w:sz w:val="24"/>
                <w:szCs w:val="24"/>
                <w:highlight w:val="none"/>
              </w:rPr>
              <w:t>；CPU主板与GPU主板分离式设计，</w:t>
            </w:r>
            <w:r>
              <w:rPr>
                <w:rFonts w:ascii="Times New Roman" w:hAnsi="Times New Roman" w:eastAsia="宋体" w:cs="Times New Roman"/>
                <w:color w:val="auto"/>
                <w:sz w:val="24"/>
                <w:szCs w:val="24"/>
                <w:highlight w:val="none"/>
              </w:rPr>
              <w:t>支持CPU、GPU、内存、存储、网络等主要部件维护、扩展或升级；支持等效的模块化维护能力</w:t>
            </w:r>
            <w:r>
              <w:rPr>
                <w:rFonts w:hint="eastAsia" w:ascii="Times New Roman" w:hAnsi="Times New Roman" w:eastAsia="宋体" w:cs="Times New Roman"/>
                <w:color w:val="auto"/>
                <w:sz w:val="24"/>
                <w:szCs w:val="24"/>
                <w:highlight w:val="none"/>
              </w:rPr>
              <w:t>。</w:t>
            </w:r>
          </w:p>
        </w:tc>
      </w:tr>
      <w:tr w14:paraId="77F0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47477BF3">
            <w:pPr>
              <w:widowControl/>
              <w:adjustRightInd w:val="0"/>
              <w:snapToGrid w:val="0"/>
              <w:jc w:val="center"/>
              <w:rPr>
                <w:rFonts w:ascii="宋体-简" w:hAnsi="宋体-简" w:eastAsia="宋体-简" w:cs="宋体-简"/>
                <w:color w:val="auto"/>
                <w:kern w:val="0"/>
                <w:sz w:val="18"/>
                <w:szCs w:val="18"/>
                <w:highlight w:val="none"/>
              </w:rPr>
            </w:pPr>
          </w:p>
        </w:tc>
        <w:tc>
          <w:tcPr>
            <w:tcW w:w="1344" w:type="dxa"/>
            <w:vAlign w:val="center"/>
          </w:tcPr>
          <w:p w14:paraId="0E2F8E55">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东文宋体" w:hAnsi="东文宋体" w:eastAsia="东文宋体" w:cs="东文宋体"/>
                <w:color w:val="auto"/>
                <w:highlight w:val="none"/>
              </w:rPr>
              <w:t>▲</w:t>
            </w:r>
            <w:r>
              <w:rPr>
                <w:rFonts w:hint="eastAsia" w:ascii="宋体" w:hAnsi="宋体" w:eastAsia="宋体" w:cs="宋体"/>
                <w:color w:val="auto"/>
                <w:kern w:val="0"/>
                <w:sz w:val="24"/>
                <w:szCs w:val="24"/>
                <w:highlight w:val="none"/>
              </w:rPr>
              <w:t>处理器</w:t>
            </w:r>
          </w:p>
        </w:tc>
        <w:tc>
          <w:tcPr>
            <w:tcW w:w="7586" w:type="dxa"/>
            <w:vAlign w:val="center"/>
          </w:tcPr>
          <w:p w14:paraId="3859E995">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配置≥</w:t>
            </w:r>
            <w:r>
              <w:rPr>
                <w:rFonts w:ascii="Times New Roman" w:hAnsi="Times New Roman" w:eastAsia="宋体" w:cs="Times New Roman"/>
                <w:color w:val="auto"/>
                <w:sz w:val="24"/>
                <w:szCs w:val="24"/>
                <w:highlight w:val="none"/>
              </w:rPr>
              <w:t>2颗</w:t>
            </w:r>
            <w:r>
              <w:rPr>
                <w:rFonts w:hint="eastAsia" w:ascii="Times New Roman" w:hAnsi="Times New Roman" w:eastAsia="宋体" w:cs="Times New Roman"/>
                <w:color w:val="auto"/>
                <w:sz w:val="24"/>
                <w:szCs w:val="24"/>
                <w:highlight w:val="none"/>
              </w:rPr>
              <w:t>X86</w:t>
            </w:r>
            <w:r>
              <w:rPr>
                <w:rFonts w:ascii="Times New Roman" w:hAnsi="Times New Roman" w:eastAsia="宋体" w:cs="Times New Roman"/>
                <w:color w:val="auto"/>
                <w:sz w:val="24"/>
                <w:szCs w:val="24"/>
                <w:highlight w:val="none"/>
              </w:rPr>
              <w:t>处理器，每颗CPU核心数≥</w:t>
            </w:r>
            <w:r>
              <w:rPr>
                <w:rFonts w:hint="eastAsia" w:ascii="Times New Roman" w:hAnsi="Times New Roman" w:eastAsia="宋体" w:cs="Times New Roman"/>
                <w:color w:val="auto"/>
                <w:sz w:val="24"/>
                <w:szCs w:val="24"/>
                <w:highlight w:val="none"/>
              </w:rPr>
              <w:t>32</w:t>
            </w:r>
            <w:r>
              <w:rPr>
                <w:rFonts w:ascii="Times New Roman" w:hAnsi="Times New Roman" w:eastAsia="宋体" w:cs="Times New Roman"/>
                <w:color w:val="auto"/>
                <w:sz w:val="24"/>
                <w:szCs w:val="24"/>
                <w:highlight w:val="none"/>
              </w:rPr>
              <w:t>核，每颗CPU主频≥</w:t>
            </w:r>
            <w:r>
              <w:rPr>
                <w:rFonts w:hint="eastAsia" w:ascii="Times New Roman" w:hAnsi="Times New Roman" w:eastAsia="宋体" w:cs="Times New Roman"/>
                <w:color w:val="auto"/>
                <w:sz w:val="24"/>
                <w:szCs w:val="24"/>
                <w:highlight w:val="none"/>
              </w:rPr>
              <w:t>2.1</w:t>
            </w:r>
            <w:r>
              <w:rPr>
                <w:rFonts w:ascii="Times New Roman" w:hAnsi="Times New Roman" w:eastAsia="宋体" w:cs="Times New Roman"/>
                <w:color w:val="auto"/>
                <w:sz w:val="24"/>
                <w:szCs w:val="24"/>
                <w:highlight w:val="none"/>
              </w:rPr>
              <w:t>GHz，每颗CPU三级缓存≥</w:t>
            </w:r>
            <w:r>
              <w:rPr>
                <w:rFonts w:hint="eastAsia" w:ascii="Times New Roman" w:hAnsi="Times New Roman" w:eastAsia="宋体" w:cs="Times New Roman"/>
                <w:color w:val="auto"/>
                <w:sz w:val="24"/>
                <w:szCs w:val="24"/>
                <w:highlight w:val="none"/>
              </w:rPr>
              <w:t>160</w:t>
            </w:r>
            <w:r>
              <w:rPr>
                <w:rFonts w:ascii="Times New Roman" w:hAnsi="Times New Roman" w:eastAsia="宋体" w:cs="Times New Roman"/>
                <w:color w:val="auto"/>
                <w:sz w:val="24"/>
                <w:szCs w:val="24"/>
                <w:highlight w:val="none"/>
              </w:rPr>
              <w:t>MB</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每颗CPU</w:t>
            </w:r>
            <w:r>
              <w:rPr>
                <w:rFonts w:hint="eastAsia" w:ascii="Times New Roman" w:hAnsi="Times New Roman" w:eastAsia="宋体" w:cs="Times New Roman"/>
                <w:color w:val="auto"/>
                <w:sz w:val="24"/>
                <w:szCs w:val="24"/>
                <w:highlight w:val="none"/>
              </w:rPr>
              <w:t>功耗≤270W</w:t>
            </w:r>
            <w:r>
              <w:rPr>
                <w:rFonts w:hint="eastAsia" w:ascii="Times New Roman" w:hAnsi="Times New Roman" w:eastAsia="宋体" w:cs="Times New Roman"/>
                <w:color w:val="auto"/>
                <w:sz w:val="24"/>
                <w:szCs w:val="24"/>
                <w:highlight w:val="none"/>
                <w:lang w:eastAsia="zh-CN"/>
              </w:rPr>
              <w:t>。</w:t>
            </w:r>
          </w:p>
        </w:tc>
      </w:tr>
      <w:tr w14:paraId="6A17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2D80F3A7">
            <w:pPr>
              <w:widowControl/>
              <w:adjustRightInd w:val="0"/>
              <w:snapToGrid w:val="0"/>
              <w:jc w:val="center"/>
              <w:rPr>
                <w:rFonts w:ascii="宋体-简" w:hAnsi="宋体-简" w:eastAsia="宋体-简" w:cs="宋体-简"/>
                <w:color w:val="auto"/>
                <w:kern w:val="0"/>
                <w:sz w:val="18"/>
                <w:szCs w:val="18"/>
                <w:highlight w:val="none"/>
              </w:rPr>
            </w:pPr>
          </w:p>
        </w:tc>
        <w:tc>
          <w:tcPr>
            <w:tcW w:w="1344" w:type="dxa"/>
            <w:vAlign w:val="center"/>
          </w:tcPr>
          <w:p w14:paraId="008125C1">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东文宋体" w:hAnsi="东文宋体" w:eastAsia="东文宋体" w:cs="东文宋体"/>
                <w:color w:val="auto"/>
                <w:highlight w:val="none"/>
              </w:rPr>
              <w:t>▲</w:t>
            </w:r>
            <w:r>
              <w:rPr>
                <w:rFonts w:hint="eastAsia" w:ascii="宋体" w:hAnsi="宋体" w:eastAsia="宋体" w:cs="宋体"/>
                <w:color w:val="auto"/>
                <w:kern w:val="0"/>
                <w:sz w:val="24"/>
                <w:szCs w:val="24"/>
                <w:highlight w:val="none"/>
              </w:rPr>
              <w:t>内存</w:t>
            </w:r>
          </w:p>
        </w:tc>
        <w:tc>
          <w:tcPr>
            <w:tcW w:w="7586" w:type="dxa"/>
            <w:vAlign w:val="center"/>
          </w:tcPr>
          <w:p w14:paraId="7FBE29DC">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配置≥10*32GB </w:t>
            </w:r>
            <w:r>
              <w:rPr>
                <w:rFonts w:ascii="Times New Roman" w:hAnsi="Times New Roman" w:eastAsia="宋体" w:cs="Times New Roman"/>
                <w:color w:val="auto"/>
                <w:sz w:val="24"/>
                <w:szCs w:val="24"/>
                <w:highlight w:val="none"/>
              </w:rPr>
              <w:t>DDR</w:t>
            </w:r>
            <w:r>
              <w:rPr>
                <w:rFonts w:hint="eastAsia" w:ascii="Times New Roman" w:hAnsi="Times New Roman" w:eastAsia="宋体" w:cs="Times New Roman"/>
                <w:color w:val="auto"/>
                <w:sz w:val="24"/>
                <w:szCs w:val="24"/>
                <w:highlight w:val="none"/>
              </w:rPr>
              <w:t>5</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48</w:t>
            </w:r>
            <w:r>
              <w:rPr>
                <w:rFonts w:ascii="Times New Roman" w:hAnsi="Times New Roman" w:eastAsia="宋体" w:cs="Times New Roman"/>
                <w:color w:val="auto"/>
                <w:sz w:val="24"/>
                <w:szCs w:val="24"/>
                <w:highlight w:val="none"/>
              </w:rPr>
              <w:t>00MHz ECC</w:t>
            </w:r>
            <w:r>
              <w:rPr>
                <w:rFonts w:hint="eastAsia" w:ascii="Times New Roman" w:hAnsi="Times New Roman" w:eastAsia="宋体" w:cs="Times New Roman"/>
                <w:color w:val="auto"/>
                <w:sz w:val="24"/>
                <w:szCs w:val="24"/>
                <w:highlight w:val="none"/>
              </w:rPr>
              <w:t>内存；</w:t>
            </w:r>
          </w:p>
          <w:p w14:paraId="28CDD928">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w:t>
            </w:r>
            <w:r>
              <w:rPr>
                <w:rFonts w:ascii="Times New Roman" w:hAnsi="Times New Roman" w:eastAsia="宋体" w:cs="Times New Roman"/>
                <w:color w:val="auto"/>
                <w:sz w:val="24"/>
                <w:szCs w:val="24"/>
                <w:highlight w:val="none"/>
              </w:rPr>
              <w:t>≥32</w:t>
            </w:r>
            <w:r>
              <w:rPr>
                <w:rFonts w:hint="eastAsia" w:ascii="Times New Roman" w:hAnsi="Times New Roman" w:eastAsia="宋体" w:cs="Times New Roman"/>
                <w:color w:val="auto"/>
                <w:sz w:val="24"/>
                <w:szCs w:val="24"/>
                <w:highlight w:val="none"/>
              </w:rPr>
              <w:t>个内存插槽，最大可支持</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4TB内存容量，支持内存ECC保护、内存镜像、内存热备</w:t>
            </w:r>
            <w:r>
              <w:rPr>
                <w:rFonts w:ascii="Times New Roman" w:hAnsi="Times New Roman" w:eastAsia="宋体" w:cs="Times New Roman"/>
                <w:color w:val="auto"/>
                <w:sz w:val="24"/>
                <w:szCs w:val="24"/>
                <w:highlight w:val="none"/>
              </w:rPr>
              <w:t>或同等可靠性功能</w:t>
            </w:r>
            <w:r>
              <w:rPr>
                <w:rFonts w:hint="eastAsia" w:ascii="Times New Roman" w:hAnsi="Times New Roman" w:eastAsia="宋体" w:cs="Times New Roman"/>
                <w:color w:val="auto"/>
                <w:sz w:val="24"/>
                <w:szCs w:val="24"/>
                <w:highlight w:val="none"/>
                <w:lang w:eastAsia="zh-CN"/>
              </w:rPr>
              <w:t>。</w:t>
            </w:r>
          </w:p>
        </w:tc>
      </w:tr>
      <w:tr w14:paraId="01754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15621A60">
            <w:pPr>
              <w:widowControl/>
              <w:adjustRightInd w:val="0"/>
              <w:snapToGrid w:val="0"/>
              <w:jc w:val="center"/>
              <w:rPr>
                <w:rFonts w:ascii="宋体-简" w:hAnsi="宋体-简" w:eastAsia="宋体-简" w:cs="宋体-简"/>
                <w:color w:val="auto"/>
                <w:kern w:val="0"/>
                <w:sz w:val="18"/>
                <w:szCs w:val="18"/>
                <w:highlight w:val="none"/>
              </w:rPr>
            </w:pPr>
          </w:p>
        </w:tc>
        <w:tc>
          <w:tcPr>
            <w:tcW w:w="1344" w:type="dxa"/>
            <w:vAlign w:val="center"/>
          </w:tcPr>
          <w:p w14:paraId="589CE5F2">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硬盘</w:t>
            </w:r>
          </w:p>
        </w:tc>
        <w:tc>
          <w:tcPr>
            <w:tcW w:w="7586" w:type="dxa"/>
            <w:vAlign w:val="center"/>
          </w:tcPr>
          <w:p w14:paraId="6DBBF9EF">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配置≥</w:t>
            </w:r>
            <w:r>
              <w:rPr>
                <w:rFonts w:hint="eastAsia" w:ascii="Times New Roman" w:hAnsi="Times New Roman" w:eastAsia="宋体" w:cs="Times New Roman"/>
                <w:color w:val="auto"/>
                <w:sz w:val="24"/>
                <w:szCs w:val="24"/>
                <w:highlight w:val="none"/>
              </w:rPr>
              <w:t>1块1.92T U.2 SSD硬盘，</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1块20T SATA HDD硬盘；</w:t>
            </w:r>
          </w:p>
          <w:p w14:paraId="063A1D62">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前置支持</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24个3.5寸或2.5寸热插拔硬盘，支持SAS/SATA/NVMe SSD混插</w:t>
            </w:r>
            <w:r>
              <w:rPr>
                <w:rFonts w:ascii="Times New Roman" w:hAnsi="Times New Roman" w:eastAsia="宋体" w:cs="Times New Roman"/>
                <w:color w:val="auto"/>
                <w:sz w:val="24"/>
                <w:szCs w:val="24"/>
                <w:highlight w:val="none"/>
              </w:rPr>
              <w:t>或同等扩展能力</w:t>
            </w:r>
            <w:r>
              <w:rPr>
                <w:rFonts w:hint="eastAsia" w:ascii="Times New Roman" w:hAnsi="Times New Roman" w:eastAsia="宋体" w:cs="Times New Roman"/>
                <w:color w:val="auto"/>
                <w:sz w:val="24"/>
                <w:szCs w:val="24"/>
                <w:highlight w:val="none"/>
                <w:lang w:eastAsia="zh-CN"/>
              </w:rPr>
              <w:t>。</w:t>
            </w:r>
          </w:p>
        </w:tc>
      </w:tr>
      <w:tr w14:paraId="390C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7506E6E9">
            <w:pPr>
              <w:widowControl/>
              <w:adjustRightInd w:val="0"/>
              <w:snapToGrid w:val="0"/>
              <w:jc w:val="center"/>
              <w:rPr>
                <w:rFonts w:ascii="宋体-简" w:hAnsi="宋体-简" w:eastAsia="宋体-简" w:cs="宋体-简"/>
                <w:color w:val="auto"/>
                <w:kern w:val="0"/>
                <w:sz w:val="18"/>
                <w:szCs w:val="18"/>
                <w:highlight w:val="none"/>
              </w:rPr>
            </w:pPr>
          </w:p>
        </w:tc>
        <w:tc>
          <w:tcPr>
            <w:tcW w:w="1344" w:type="dxa"/>
            <w:vAlign w:val="center"/>
          </w:tcPr>
          <w:p w14:paraId="4B661CC3">
            <w:pPr>
              <w:widowControl/>
              <w:adjustRightInd w:val="0"/>
              <w:snapToGrid w:val="0"/>
              <w:spacing w:line="360" w:lineRule="auto"/>
              <w:jc w:val="center"/>
              <w:rPr>
                <w:rFonts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rPr>
              <w:t>硬盘控制器</w:t>
            </w:r>
          </w:p>
        </w:tc>
        <w:tc>
          <w:tcPr>
            <w:tcW w:w="7586" w:type="dxa"/>
            <w:vAlign w:val="center"/>
          </w:tcPr>
          <w:p w14:paraId="518FB95C">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配置</w:t>
            </w:r>
            <w:r>
              <w:rPr>
                <w:rFonts w:ascii="Times New Roman" w:hAnsi="Times New Roman" w:eastAsia="宋体" w:cs="Times New Roman"/>
                <w:color w:val="auto"/>
                <w:sz w:val="24"/>
                <w:szCs w:val="24"/>
                <w:highlight w:val="none"/>
              </w:rPr>
              <w:t>≥1</w:t>
            </w:r>
            <w:r>
              <w:rPr>
                <w:rFonts w:hint="eastAsia" w:ascii="Times New Roman" w:hAnsi="Times New Roman" w:eastAsia="宋体" w:cs="Times New Roman"/>
                <w:color w:val="auto"/>
                <w:sz w:val="24"/>
                <w:szCs w:val="24"/>
                <w:highlight w:val="none"/>
              </w:rPr>
              <w:t>张8口Raid卡，</w:t>
            </w:r>
            <w:r>
              <w:rPr>
                <w:rFonts w:ascii="Times New Roman" w:hAnsi="Times New Roman" w:eastAsia="宋体" w:cs="Times New Roman"/>
                <w:color w:val="auto"/>
                <w:sz w:val="24"/>
                <w:szCs w:val="24"/>
                <w:highlight w:val="none"/>
              </w:rPr>
              <w:t>支持RAID 0/1/5/6/10或等效数据保护机制</w:t>
            </w:r>
            <w:r>
              <w:rPr>
                <w:rFonts w:hint="eastAsia" w:ascii="Times New Roman" w:hAnsi="Times New Roman" w:eastAsia="宋体" w:cs="Times New Roman"/>
                <w:color w:val="auto"/>
                <w:sz w:val="24"/>
                <w:szCs w:val="24"/>
                <w:highlight w:val="none"/>
                <w:lang w:eastAsia="zh-CN"/>
              </w:rPr>
              <w:t>。</w:t>
            </w:r>
          </w:p>
        </w:tc>
      </w:tr>
      <w:tr w14:paraId="5ABBF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7C25625A">
            <w:pPr>
              <w:widowControl/>
              <w:adjustRightInd w:val="0"/>
              <w:snapToGrid w:val="0"/>
              <w:jc w:val="center"/>
              <w:rPr>
                <w:rFonts w:ascii="宋体-简" w:hAnsi="宋体-简" w:eastAsia="宋体-简" w:cs="宋体-简"/>
                <w:color w:val="auto"/>
                <w:kern w:val="0"/>
                <w:sz w:val="18"/>
                <w:szCs w:val="18"/>
                <w:highlight w:val="none"/>
              </w:rPr>
            </w:pPr>
          </w:p>
        </w:tc>
        <w:tc>
          <w:tcPr>
            <w:tcW w:w="1344" w:type="dxa"/>
            <w:vAlign w:val="center"/>
          </w:tcPr>
          <w:p w14:paraId="22FCCDF6">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东文宋体" w:hAnsi="东文宋体" w:eastAsia="东文宋体" w:cs="东文宋体"/>
                <w:color w:val="auto"/>
                <w:highlight w:val="none"/>
              </w:rPr>
              <w:t>▲</w:t>
            </w:r>
            <w:r>
              <w:rPr>
                <w:rFonts w:hint="eastAsia" w:ascii="宋体" w:hAnsi="宋体" w:eastAsia="宋体" w:cs="宋体"/>
                <w:color w:val="auto"/>
                <w:kern w:val="0"/>
                <w:sz w:val="24"/>
                <w:szCs w:val="24"/>
                <w:highlight w:val="none"/>
              </w:rPr>
              <w:t>GPU</w:t>
            </w:r>
          </w:p>
        </w:tc>
        <w:tc>
          <w:tcPr>
            <w:tcW w:w="7586" w:type="dxa"/>
            <w:vAlign w:val="center"/>
          </w:tcPr>
          <w:p w14:paraId="7C8D6406">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配置</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4块G</w:t>
            </w:r>
            <w:r>
              <w:rPr>
                <w:rFonts w:ascii="Times New Roman" w:hAnsi="Times New Roman" w:eastAsia="宋体" w:cs="Times New Roman"/>
                <w:color w:val="auto"/>
                <w:sz w:val="24"/>
                <w:szCs w:val="24"/>
                <w:highlight w:val="none"/>
              </w:rPr>
              <w:t>PU</w:t>
            </w:r>
            <w:r>
              <w:rPr>
                <w:rFonts w:hint="eastAsia" w:ascii="Times New Roman" w:hAnsi="Times New Roman" w:eastAsia="宋体" w:cs="Times New Roman"/>
                <w:color w:val="auto"/>
                <w:sz w:val="24"/>
                <w:szCs w:val="24"/>
                <w:highlight w:val="none"/>
              </w:rPr>
              <w:t>算力卡</w:t>
            </w:r>
          </w:p>
          <w:p w14:paraId="050787F0">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单卡参数要求：</w:t>
            </w:r>
          </w:p>
          <w:p w14:paraId="23E02AC8">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FP</w:t>
            </w:r>
            <w:r>
              <w:rPr>
                <w:rFonts w:hint="eastAsia" w:ascii="Times New Roman" w:hAnsi="Times New Roman" w:eastAsia="宋体" w:cs="Times New Roman"/>
                <w:color w:val="auto"/>
                <w:sz w:val="24"/>
                <w:szCs w:val="24"/>
                <w:highlight w:val="none"/>
              </w:rPr>
              <w:t>32</w:t>
            </w:r>
            <w:r>
              <w:rPr>
                <w:rFonts w:ascii="Times New Roman" w:hAnsi="Times New Roman" w:eastAsia="宋体" w:cs="Times New Roman"/>
                <w:color w:val="auto"/>
                <w:sz w:val="24"/>
                <w:szCs w:val="24"/>
                <w:highlight w:val="none"/>
              </w:rPr>
              <w:t>算力≥</w:t>
            </w:r>
            <w:r>
              <w:rPr>
                <w:rFonts w:hint="eastAsia" w:ascii="Times New Roman" w:hAnsi="Times New Roman" w:eastAsia="宋体" w:cs="Times New Roman"/>
                <w:color w:val="auto"/>
                <w:sz w:val="24"/>
                <w:szCs w:val="24"/>
                <w:highlight w:val="none"/>
              </w:rPr>
              <w:t>59</w:t>
            </w:r>
            <w:r>
              <w:rPr>
                <w:rFonts w:ascii="Times New Roman" w:hAnsi="Times New Roman" w:eastAsia="宋体" w:cs="Times New Roman"/>
                <w:color w:val="auto"/>
                <w:sz w:val="24"/>
                <w:szCs w:val="24"/>
                <w:highlight w:val="none"/>
              </w:rPr>
              <w:t xml:space="preserve"> TFLOPS</w:t>
            </w:r>
          </w:p>
          <w:p w14:paraId="7AFAE0A3">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FP</w:t>
            </w:r>
            <w:r>
              <w:rPr>
                <w:rFonts w:ascii="Times New Roman" w:hAnsi="Times New Roman" w:eastAsia="宋体" w:cs="Times New Roman"/>
                <w:color w:val="auto"/>
                <w:sz w:val="24"/>
                <w:szCs w:val="24"/>
                <w:highlight w:val="none"/>
              </w:rPr>
              <w:t>16算力≥119 TFLOPS</w:t>
            </w:r>
          </w:p>
          <w:p w14:paraId="20309420">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显存容量≥48GB</w:t>
            </w:r>
          </w:p>
          <w:p w14:paraId="7AB150E4">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支持主流AI框架适配，包括但不限于PyTorch、TensorFlow等</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支持容器化部署</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支持灾害快速评估、轻量微调、AI辅助推演等应用场景</w:t>
            </w:r>
            <w:r>
              <w:rPr>
                <w:rFonts w:hint="eastAsia" w:ascii="Times New Roman" w:hAnsi="Times New Roman" w:eastAsia="宋体" w:cs="Times New Roman"/>
                <w:color w:val="auto"/>
                <w:sz w:val="24"/>
                <w:szCs w:val="24"/>
                <w:highlight w:val="none"/>
                <w:lang w:eastAsia="zh-CN"/>
              </w:rPr>
              <w:t>。</w:t>
            </w:r>
          </w:p>
        </w:tc>
      </w:tr>
      <w:tr w14:paraId="724D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783" w:type="dxa"/>
            <w:vMerge w:val="continue"/>
            <w:vAlign w:val="center"/>
          </w:tcPr>
          <w:p w14:paraId="56FAC0CB">
            <w:pPr>
              <w:widowControl/>
              <w:adjustRightInd w:val="0"/>
              <w:snapToGrid w:val="0"/>
              <w:jc w:val="center"/>
              <w:rPr>
                <w:rFonts w:ascii="宋体-简" w:hAnsi="宋体-简" w:eastAsia="宋体-简" w:cs="宋体-简"/>
                <w:color w:val="auto"/>
                <w:kern w:val="0"/>
                <w:sz w:val="18"/>
                <w:szCs w:val="18"/>
                <w:highlight w:val="none"/>
              </w:rPr>
            </w:pPr>
          </w:p>
        </w:tc>
        <w:tc>
          <w:tcPr>
            <w:tcW w:w="1344" w:type="dxa"/>
            <w:vAlign w:val="center"/>
          </w:tcPr>
          <w:p w14:paraId="1C5DA7E4">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网络</w:t>
            </w:r>
          </w:p>
        </w:tc>
        <w:tc>
          <w:tcPr>
            <w:tcW w:w="7586" w:type="dxa"/>
            <w:vAlign w:val="center"/>
          </w:tcPr>
          <w:p w14:paraId="19A4B154">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配置≥</w:t>
            </w:r>
            <w:r>
              <w:rPr>
                <w:rFonts w:hint="eastAsia" w:ascii="Times New Roman" w:hAnsi="Times New Roman" w:eastAsia="宋体" w:cs="Times New Roman"/>
                <w:color w:val="auto"/>
                <w:sz w:val="24"/>
                <w:szCs w:val="24"/>
                <w:highlight w:val="none"/>
              </w:rPr>
              <w:t>1个双口千兆以太网接口，</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1张双口2</w:t>
            </w:r>
            <w:r>
              <w:rPr>
                <w:rFonts w:ascii="Times New Roman" w:hAnsi="Times New Roman" w:eastAsia="宋体" w:cs="Times New Roman"/>
                <w:color w:val="auto"/>
                <w:sz w:val="24"/>
                <w:szCs w:val="24"/>
                <w:highlight w:val="none"/>
              </w:rPr>
              <w:t>00</w:t>
            </w:r>
            <w:r>
              <w:rPr>
                <w:rFonts w:hint="eastAsia" w:ascii="Times New Roman" w:hAnsi="Times New Roman" w:eastAsia="宋体" w:cs="Times New Roman"/>
                <w:color w:val="auto"/>
                <w:sz w:val="24"/>
                <w:szCs w:val="24"/>
                <w:highlight w:val="none"/>
              </w:rPr>
              <w:t>G</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HCA卡含模块，</w:t>
            </w:r>
            <w:r>
              <w:rPr>
                <w:rFonts w:ascii="Times New Roman" w:hAnsi="Times New Roman" w:eastAsia="宋体" w:cs="Times New Roman"/>
                <w:color w:val="auto"/>
                <w:sz w:val="24"/>
                <w:szCs w:val="24"/>
                <w:highlight w:val="none"/>
              </w:rPr>
              <w:t>含相应光模块或线缆</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支持RDMA或等效高性能通信能力</w:t>
            </w:r>
            <w:r>
              <w:rPr>
                <w:rFonts w:hint="eastAsia" w:ascii="Times New Roman" w:hAnsi="Times New Roman" w:eastAsia="宋体" w:cs="Times New Roman"/>
                <w:color w:val="auto"/>
                <w:sz w:val="24"/>
                <w:szCs w:val="24"/>
                <w:highlight w:val="none"/>
                <w:lang w:eastAsia="zh-CN"/>
              </w:rPr>
              <w:t>。</w:t>
            </w:r>
          </w:p>
        </w:tc>
      </w:tr>
      <w:tr w14:paraId="620D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83" w:type="dxa"/>
            <w:vMerge w:val="continue"/>
            <w:vAlign w:val="center"/>
          </w:tcPr>
          <w:p w14:paraId="6408404F">
            <w:pPr>
              <w:widowControl/>
              <w:adjustRightInd w:val="0"/>
              <w:snapToGrid w:val="0"/>
              <w:jc w:val="center"/>
              <w:rPr>
                <w:rFonts w:ascii="宋体-简" w:hAnsi="宋体-简" w:eastAsia="宋体-简" w:cs="宋体-简"/>
                <w:color w:val="auto"/>
                <w:kern w:val="0"/>
                <w:sz w:val="18"/>
                <w:szCs w:val="18"/>
                <w:highlight w:val="none"/>
              </w:rPr>
            </w:pPr>
          </w:p>
        </w:tc>
        <w:tc>
          <w:tcPr>
            <w:tcW w:w="1344" w:type="dxa"/>
            <w:vAlign w:val="center"/>
          </w:tcPr>
          <w:p w14:paraId="367EF95F">
            <w:pPr>
              <w:widowControl/>
              <w:adjustRightInd w:val="0"/>
              <w:snapToGrid w:val="0"/>
              <w:spacing w:line="360" w:lineRule="auto"/>
              <w:jc w:val="center"/>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PCIe扩展</w:t>
            </w:r>
          </w:p>
        </w:tc>
        <w:tc>
          <w:tcPr>
            <w:tcW w:w="7586" w:type="dxa"/>
            <w:vAlign w:val="center"/>
          </w:tcPr>
          <w:p w14:paraId="735DAAEB">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最大支持</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16个PCIe5.0 x16插槽</w:t>
            </w:r>
            <w:r>
              <w:rPr>
                <w:rFonts w:ascii="Times New Roman" w:hAnsi="Times New Roman" w:eastAsia="宋体" w:cs="Times New Roman"/>
                <w:color w:val="auto"/>
                <w:sz w:val="24"/>
                <w:szCs w:val="24"/>
                <w:highlight w:val="none"/>
              </w:rPr>
              <w:t>或同等扩展能力</w:t>
            </w:r>
            <w:r>
              <w:rPr>
                <w:rFonts w:hint="eastAsia" w:ascii="Times New Roman" w:hAnsi="Times New Roman" w:eastAsia="宋体" w:cs="Times New Roman"/>
                <w:color w:val="auto"/>
                <w:sz w:val="24"/>
                <w:szCs w:val="24"/>
                <w:highlight w:val="none"/>
                <w:lang w:eastAsia="zh-CN"/>
              </w:rPr>
              <w:t>。</w:t>
            </w:r>
          </w:p>
        </w:tc>
      </w:tr>
      <w:tr w14:paraId="25DD0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83" w:type="dxa"/>
            <w:vMerge w:val="continue"/>
            <w:vAlign w:val="center"/>
          </w:tcPr>
          <w:p w14:paraId="66F26172">
            <w:pPr>
              <w:widowControl/>
              <w:adjustRightInd w:val="0"/>
              <w:snapToGrid w:val="0"/>
              <w:jc w:val="center"/>
              <w:rPr>
                <w:rFonts w:ascii="宋体-简" w:hAnsi="宋体-简" w:eastAsia="宋体-简" w:cs="宋体-简"/>
                <w:color w:val="auto"/>
                <w:kern w:val="0"/>
                <w:sz w:val="18"/>
                <w:szCs w:val="18"/>
                <w:highlight w:val="none"/>
              </w:rPr>
            </w:pPr>
          </w:p>
        </w:tc>
        <w:tc>
          <w:tcPr>
            <w:tcW w:w="1344" w:type="dxa"/>
            <w:vAlign w:val="center"/>
          </w:tcPr>
          <w:p w14:paraId="18BF6CA3">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电源</w:t>
            </w:r>
          </w:p>
        </w:tc>
        <w:tc>
          <w:tcPr>
            <w:tcW w:w="7586" w:type="dxa"/>
            <w:vAlign w:val="center"/>
          </w:tcPr>
          <w:p w14:paraId="35B221FD">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配置</w:t>
            </w:r>
            <w:r>
              <w:rPr>
                <w:rFonts w:hint="eastAsia" w:ascii="Times New Roman" w:hAnsi="Times New Roman" w:eastAsia="宋体" w:cs="Times New Roman"/>
                <w:color w:val="auto"/>
                <w:sz w:val="24"/>
                <w:szCs w:val="24"/>
                <w:highlight w:val="none"/>
              </w:rPr>
              <w:t xml:space="preserve"> </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4*2200W</w:t>
            </w:r>
            <w:r>
              <w:rPr>
                <w:rFonts w:ascii="Times New Roman" w:hAnsi="Times New Roman" w:eastAsia="宋体" w:cs="Times New Roman"/>
                <w:color w:val="auto"/>
                <w:sz w:val="24"/>
                <w:szCs w:val="24"/>
                <w:highlight w:val="none"/>
              </w:rPr>
              <w:t>冗余</w:t>
            </w:r>
            <w:r>
              <w:rPr>
                <w:rFonts w:hint="eastAsia" w:ascii="Times New Roman" w:hAnsi="Times New Roman" w:eastAsia="宋体" w:cs="Times New Roman"/>
                <w:color w:val="auto"/>
                <w:sz w:val="24"/>
                <w:szCs w:val="24"/>
                <w:highlight w:val="none"/>
              </w:rPr>
              <w:t>电源，含</w:t>
            </w:r>
            <w:r>
              <w:rPr>
                <w:rFonts w:ascii="Times New Roman" w:hAnsi="Times New Roman" w:eastAsia="宋体" w:cs="Times New Roman"/>
                <w:color w:val="auto"/>
                <w:sz w:val="24"/>
                <w:szCs w:val="24"/>
                <w:highlight w:val="none"/>
              </w:rPr>
              <w:t>满足设备运行所需电源线</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支持冗余供电</w:t>
            </w:r>
            <w:r>
              <w:rPr>
                <w:rFonts w:hint="eastAsia" w:ascii="Times New Roman" w:hAnsi="Times New Roman" w:eastAsia="宋体" w:cs="Times New Roman"/>
                <w:color w:val="auto"/>
                <w:sz w:val="24"/>
                <w:szCs w:val="24"/>
                <w:highlight w:val="none"/>
                <w:lang w:eastAsia="zh-CN"/>
              </w:rPr>
              <w:t>。</w:t>
            </w:r>
          </w:p>
        </w:tc>
      </w:tr>
      <w:tr w14:paraId="3388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83" w:type="dxa"/>
            <w:vMerge w:val="continue"/>
            <w:vAlign w:val="center"/>
          </w:tcPr>
          <w:p w14:paraId="42F8E59D">
            <w:pPr>
              <w:widowControl/>
              <w:adjustRightInd w:val="0"/>
              <w:snapToGrid w:val="0"/>
              <w:jc w:val="center"/>
              <w:rPr>
                <w:rFonts w:ascii="宋体-简" w:hAnsi="宋体-简" w:eastAsia="宋体-简" w:cs="宋体-简"/>
                <w:color w:val="auto"/>
                <w:kern w:val="0"/>
                <w:sz w:val="18"/>
                <w:szCs w:val="18"/>
                <w:highlight w:val="none"/>
              </w:rPr>
            </w:pPr>
          </w:p>
        </w:tc>
        <w:tc>
          <w:tcPr>
            <w:tcW w:w="1344" w:type="dxa"/>
            <w:vAlign w:val="center"/>
          </w:tcPr>
          <w:p w14:paraId="4D856005">
            <w:pPr>
              <w:widowControl/>
              <w:adjustRightInd w:val="0"/>
              <w:snapToGrid w:val="0"/>
              <w:spacing w:line="360" w:lineRule="auto"/>
              <w:jc w:val="left"/>
              <w:rPr>
                <w:rFonts w:ascii="Times New Roman" w:hAnsi="Times New Roman" w:eastAsia="宋体" w:cs="Times New Roman"/>
                <w:color w:val="auto"/>
                <w:kern w:val="2"/>
                <w:sz w:val="24"/>
                <w:szCs w:val="24"/>
                <w:highlight w:val="none"/>
              </w:rPr>
            </w:pPr>
            <w:r>
              <w:rPr>
                <w:rFonts w:hint="default" w:ascii="Times New Roman" w:hAnsi="Times New Roman" w:eastAsia="宋体" w:cs="Times New Roman"/>
                <w:color w:val="auto"/>
                <w:sz w:val="24"/>
                <w:szCs w:val="24"/>
                <w:highlight w:val="none"/>
                <w:lang w:eastAsia="zh-CN"/>
              </w:rPr>
              <w:t>售后</w:t>
            </w:r>
            <w:r>
              <w:rPr>
                <w:rFonts w:hint="default" w:ascii="Times New Roman" w:hAnsi="Times New Roman" w:eastAsia="宋体" w:cs="Times New Roman"/>
                <w:color w:val="auto"/>
                <w:kern w:val="2"/>
                <w:sz w:val="24"/>
                <w:szCs w:val="24"/>
                <w:highlight w:val="none"/>
              </w:rPr>
              <w:t>服务</w:t>
            </w:r>
          </w:p>
        </w:tc>
        <w:tc>
          <w:tcPr>
            <w:tcW w:w="7586" w:type="dxa"/>
            <w:vAlign w:val="center"/>
          </w:tcPr>
          <w:p w14:paraId="080C0F23">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kern w:val="2"/>
                <w:sz w:val="24"/>
                <w:szCs w:val="24"/>
                <w:highlight w:val="none"/>
              </w:rPr>
              <w:t>提供原厂项目授权函</w:t>
            </w:r>
            <w:r>
              <w:rPr>
                <w:rFonts w:hint="default" w:ascii="Times New Roman" w:hAnsi="Times New Roman" w:eastAsia="宋体" w:cs="Times New Roman"/>
                <w:color w:val="auto"/>
                <w:kern w:val="2"/>
                <w:sz w:val="24"/>
                <w:szCs w:val="24"/>
                <w:highlight w:val="none"/>
                <w:lang w:eastAsia="zh-CN"/>
              </w:rPr>
              <w:t>和</w:t>
            </w:r>
            <w:r>
              <w:rPr>
                <w:rFonts w:ascii="Times New Roman" w:hAnsi="Times New Roman" w:eastAsia="宋体" w:cs="Times New Roman"/>
                <w:color w:val="auto"/>
                <w:kern w:val="2"/>
                <w:sz w:val="24"/>
                <w:szCs w:val="24"/>
                <w:highlight w:val="none"/>
              </w:rPr>
              <w:t>原厂</w:t>
            </w:r>
            <w:r>
              <w:rPr>
                <w:rFonts w:hint="eastAsia" w:ascii="Times New Roman" w:hAnsi="Times New Roman" w:eastAsia="宋体" w:cs="Times New Roman"/>
                <w:color w:val="auto"/>
                <w:sz w:val="24"/>
                <w:szCs w:val="24"/>
                <w:highlight w:val="none"/>
              </w:rPr>
              <w:t>不少于</w:t>
            </w:r>
            <w:r>
              <w:rPr>
                <w:rFonts w:ascii="Times New Roman" w:hAnsi="Times New Roman" w:eastAsia="宋体" w:cs="Times New Roman"/>
                <w:color w:val="auto"/>
                <w:sz w:val="24"/>
                <w:szCs w:val="24"/>
                <w:highlight w:val="none"/>
              </w:rPr>
              <w:t>3年免费上门</w:t>
            </w:r>
            <w:r>
              <w:rPr>
                <w:rFonts w:hint="default" w:ascii="Times New Roman" w:hAnsi="Times New Roman" w:eastAsia="宋体" w:cs="Times New Roman"/>
                <w:color w:val="auto"/>
                <w:sz w:val="24"/>
                <w:szCs w:val="24"/>
                <w:highlight w:val="none"/>
                <w:lang w:eastAsia="zh-CN"/>
              </w:rPr>
              <w:t>售后</w:t>
            </w:r>
            <w:r>
              <w:rPr>
                <w:rFonts w:ascii="Times New Roman" w:hAnsi="Times New Roman" w:eastAsia="宋体" w:cs="Times New Roman"/>
                <w:color w:val="auto"/>
                <w:sz w:val="24"/>
                <w:szCs w:val="24"/>
                <w:highlight w:val="none"/>
              </w:rPr>
              <w:t>服务</w:t>
            </w:r>
            <w:r>
              <w:rPr>
                <w:rFonts w:ascii="Times New Roman" w:hAnsi="Times New Roman" w:eastAsia="宋体" w:cs="Times New Roman"/>
                <w:color w:val="auto"/>
                <w:kern w:val="2"/>
                <w:sz w:val="24"/>
                <w:szCs w:val="24"/>
                <w:highlight w:val="none"/>
              </w:rPr>
              <w:t>承诺函</w:t>
            </w:r>
            <w:r>
              <w:rPr>
                <w:rFonts w:hint="default" w:ascii="Times New Roman" w:hAnsi="Times New Roman" w:eastAsia="宋体" w:cs="Times New Roman"/>
                <w:color w:val="auto"/>
                <w:kern w:val="2"/>
                <w:sz w:val="24"/>
                <w:szCs w:val="24"/>
                <w:highlight w:val="none"/>
              </w:rPr>
              <w:t>（</w:t>
            </w:r>
            <w:r>
              <w:rPr>
                <w:rFonts w:hint="default" w:ascii="Times New Roman" w:hAnsi="Times New Roman" w:eastAsia="宋体" w:cs="Times New Roman"/>
                <w:color w:val="auto"/>
                <w:sz w:val="24"/>
                <w:szCs w:val="24"/>
                <w:highlight w:val="none"/>
                <w:lang w:eastAsia="zh-CN"/>
              </w:rPr>
              <w:t>授权函和售后服务承诺函</w:t>
            </w:r>
            <w:r>
              <w:rPr>
                <w:rFonts w:hint="eastAsia" w:ascii="Times New Roman" w:hAnsi="Times New Roman" w:eastAsia="宋体" w:cs="Times New Roman"/>
                <w:color w:val="auto"/>
                <w:sz w:val="24"/>
                <w:szCs w:val="24"/>
                <w:highlight w:val="none"/>
                <w:lang w:eastAsia="zh-CN"/>
              </w:rPr>
              <w:t>格式自拟，</w:t>
            </w:r>
            <w:r>
              <w:rPr>
                <w:rFonts w:hint="default" w:ascii="Times New Roman" w:hAnsi="Times New Roman" w:eastAsia="宋体" w:cs="Times New Roman"/>
                <w:color w:val="auto"/>
                <w:sz w:val="24"/>
                <w:szCs w:val="24"/>
                <w:highlight w:val="none"/>
                <w:lang w:eastAsia="zh-CN"/>
              </w:rPr>
              <w:t>均需盖有原厂公章</w:t>
            </w:r>
            <w:r>
              <w:rPr>
                <w:rFonts w:ascii="Times New Roman" w:hAnsi="Times New Roman" w:eastAsia="宋体" w:cs="Times New Roman"/>
                <w:color w:val="auto"/>
                <w:kern w:val="2"/>
                <w:sz w:val="24"/>
                <w:szCs w:val="24"/>
                <w:highlight w:val="none"/>
              </w:rPr>
              <w:t>）</w:t>
            </w:r>
            <w:r>
              <w:rPr>
                <w:rFonts w:hint="default" w:ascii="Times New Roman" w:hAnsi="Times New Roman" w:eastAsia="宋体" w:cs="Times New Roman"/>
                <w:color w:val="auto"/>
                <w:kern w:val="2"/>
                <w:sz w:val="24"/>
                <w:szCs w:val="24"/>
                <w:highlight w:val="none"/>
                <w:lang w:eastAsia="zh-CN"/>
              </w:rPr>
              <w:t>。</w:t>
            </w:r>
          </w:p>
        </w:tc>
      </w:tr>
      <w:tr w14:paraId="45FD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83" w:type="dxa"/>
            <w:vMerge w:val="continue"/>
            <w:vAlign w:val="center"/>
          </w:tcPr>
          <w:p w14:paraId="1DAF39E3">
            <w:pPr>
              <w:widowControl/>
              <w:adjustRightInd w:val="0"/>
              <w:snapToGrid w:val="0"/>
              <w:jc w:val="center"/>
              <w:rPr>
                <w:rFonts w:ascii="宋体-简" w:hAnsi="宋体-简" w:eastAsia="宋体-简" w:cs="宋体-简"/>
                <w:color w:val="auto"/>
                <w:kern w:val="0"/>
                <w:sz w:val="18"/>
                <w:szCs w:val="18"/>
                <w:highlight w:val="none"/>
              </w:rPr>
            </w:pPr>
          </w:p>
        </w:tc>
        <w:tc>
          <w:tcPr>
            <w:tcW w:w="1344" w:type="dxa"/>
            <w:vAlign w:val="center"/>
          </w:tcPr>
          <w:p w14:paraId="052F8BE0">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业务应用要求</w:t>
            </w:r>
          </w:p>
        </w:tc>
        <w:tc>
          <w:tcPr>
            <w:tcW w:w="7586" w:type="dxa"/>
            <w:vAlign w:val="center"/>
          </w:tcPr>
          <w:p w14:paraId="5A0FD20C">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支持台风-暴雨-洪涝等典型灾害快速评估、风险识别等实时推理应用；</w:t>
            </w:r>
          </w:p>
          <w:p w14:paraId="2FEE37B1">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支持与灾害推演模型、AI分析模型、可视化应用等系统集成</w:t>
            </w:r>
            <w:r>
              <w:rPr>
                <w:rFonts w:hint="eastAsia" w:ascii="Times New Roman" w:hAnsi="Times New Roman" w:eastAsia="宋体" w:cs="Times New Roman"/>
                <w:color w:val="auto"/>
                <w:sz w:val="24"/>
                <w:szCs w:val="24"/>
                <w:highlight w:val="none"/>
              </w:rPr>
              <w:t>；</w:t>
            </w:r>
          </w:p>
          <w:p w14:paraId="10BBF2CF">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支持与集群管理软件、AI管理平台、集中式存储系统统一集成</w:t>
            </w:r>
            <w:r>
              <w:rPr>
                <w:rFonts w:hint="eastAsia" w:ascii="Times New Roman" w:hAnsi="Times New Roman" w:eastAsia="宋体" w:cs="Times New Roman"/>
                <w:color w:val="auto"/>
                <w:sz w:val="24"/>
                <w:szCs w:val="24"/>
                <w:highlight w:val="none"/>
              </w:rPr>
              <w:t>。</w:t>
            </w:r>
          </w:p>
        </w:tc>
      </w:tr>
    </w:tbl>
    <w:p w14:paraId="4C33580C">
      <w:pPr>
        <w:rPr>
          <w:rFonts w:ascii="宋体" w:hAnsi="宋体" w:eastAsia="宋体"/>
          <w:color w:val="auto"/>
          <w:sz w:val="28"/>
          <w:szCs w:val="28"/>
          <w:highlight w:val="none"/>
        </w:rPr>
      </w:pPr>
    </w:p>
    <w:p w14:paraId="2FB5BF3F">
      <w:pPr>
        <w:pStyle w:val="16"/>
        <w:numPr>
          <w:ilvl w:val="0"/>
          <w:numId w:val="1"/>
        </w:numPr>
        <w:ind w:firstLineChars="0"/>
        <w:rPr>
          <w:rFonts w:ascii="宋体" w:hAnsi="宋体" w:eastAsia="宋体"/>
          <w:b/>
          <w:color w:val="auto"/>
          <w:sz w:val="28"/>
          <w:szCs w:val="28"/>
          <w:highlight w:val="none"/>
        </w:rPr>
      </w:pPr>
      <w:r>
        <w:rPr>
          <w:rFonts w:ascii="宋体" w:hAnsi="宋体" w:eastAsia="宋体"/>
          <w:b/>
          <w:color w:val="auto"/>
          <w:sz w:val="28"/>
          <w:szCs w:val="28"/>
          <w:highlight w:val="none"/>
        </w:rPr>
        <w:t>配套</w:t>
      </w:r>
      <w:r>
        <w:rPr>
          <w:rFonts w:hint="eastAsia" w:ascii="宋体" w:hAnsi="宋体" w:eastAsia="宋体"/>
          <w:b/>
          <w:color w:val="auto"/>
          <w:sz w:val="28"/>
          <w:szCs w:val="28"/>
          <w:highlight w:val="none"/>
          <w:lang w:eastAsia="zh-CN"/>
        </w:rPr>
        <w:t>产品</w:t>
      </w:r>
      <w:r>
        <w:rPr>
          <w:rFonts w:ascii="宋体" w:hAnsi="宋体" w:eastAsia="宋体"/>
          <w:b/>
          <w:color w:val="auto"/>
          <w:sz w:val="28"/>
          <w:szCs w:val="28"/>
          <w:highlight w:val="none"/>
        </w:rPr>
        <w:t>技术</w:t>
      </w:r>
      <w:r>
        <w:rPr>
          <w:rFonts w:hint="eastAsia" w:ascii="宋体" w:hAnsi="宋体" w:eastAsia="宋体"/>
          <w:b/>
          <w:color w:val="auto"/>
          <w:sz w:val="28"/>
          <w:szCs w:val="28"/>
          <w:highlight w:val="none"/>
          <w:lang w:eastAsia="zh-CN"/>
        </w:rPr>
        <w:t>指标</w:t>
      </w:r>
      <w:r>
        <w:rPr>
          <w:rFonts w:ascii="宋体" w:hAnsi="宋体" w:eastAsia="宋体"/>
          <w:b/>
          <w:color w:val="auto"/>
          <w:sz w:val="28"/>
          <w:szCs w:val="28"/>
          <w:highlight w:val="none"/>
        </w:rPr>
        <w:t>要求</w:t>
      </w:r>
    </w:p>
    <w:p w14:paraId="068D7746">
      <w:pPr>
        <w:rPr>
          <w:rFonts w:ascii="宋体" w:hAnsi="宋体" w:eastAsia="宋体"/>
          <w:color w:val="auto"/>
          <w:sz w:val="28"/>
          <w:szCs w:val="28"/>
          <w:highlight w:val="none"/>
        </w:rPr>
      </w:pPr>
      <w:r>
        <w:rPr>
          <w:rFonts w:ascii="宋体" w:hAnsi="宋体" w:eastAsia="宋体"/>
          <w:color w:val="auto"/>
          <w:sz w:val="28"/>
          <w:szCs w:val="28"/>
          <w:highlight w:val="none"/>
        </w:rPr>
        <w:t>4</w:t>
      </w:r>
      <w:r>
        <w:rPr>
          <w:rFonts w:hint="eastAsia" w:ascii="宋体" w:hAnsi="宋体" w:eastAsia="宋体"/>
          <w:color w:val="auto"/>
          <w:sz w:val="28"/>
          <w:szCs w:val="28"/>
          <w:highlight w:val="none"/>
        </w:rPr>
        <w:t>.</w:t>
      </w:r>
      <w:r>
        <w:rPr>
          <w:rFonts w:ascii="宋体" w:hAnsi="宋体" w:eastAsia="宋体"/>
          <w:color w:val="auto"/>
          <w:sz w:val="28"/>
          <w:szCs w:val="28"/>
          <w:highlight w:val="none"/>
        </w:rPr>
        <w:t>1</w:t>
      </w:r>
      <w:r>
        <w:rPr>
          <w:rFonts w:hint="eastAsia" w:ascii="宋体" w:hAnsi="宋体" w:eastAsia="宋体"/>
          <w:color w:val="auto"/>
          <w:sz w:val="28"/>
          <w:szCs w:val="28"/>
          <w:highlight w:val="none"/>
        </w:rPr>
        <w:t>集中式存储系统</w:t>
      </w:r>
    </w:p>
    <w:tbl>
      <w:tblPr>
        <w:tblStyle w:val="9"/>
        <w:tblpPr w:leftFromText="180" w:rightFromText="180" w:vertAnchor="text" w:horzAnchor="margin" w:tblpY="308"/>
        <w:tblOverlap w:val="never"/>
        <w:tblW w:w="47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1596"/>
        <w:gridCol w:w="6961"/>
      </w:tblGrid>
      <w:tr w14:paraId="1113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59" w:type="pct"/>
            <w:shd w:val="clear" w:color="auto" w:fill="DBE5F1"/>
            <w:vAlign w:val="center"/>
          </w:tcPr>
          <w:p w14:paraId="106808F2">
            <w:pPr>
              <w:widowControl/>
              <w:adjustRightInd w:val="0"/>
              <w:snapToGrid w:val="0"/>
              <w:spacing w:line="360" w:lineRule="auto"/>
              <w:jc w:val="center"/>
              <w:rPr>
                <w:rFonts w:ascii="宋体-简" w:hAnsi="宋体-简" w:eastAsia="宋体-简" w:cs="宋体-简"/>
                <w:b/>
                <w:bCs/>
                <w:color w:val="auto"/>
                <w:kern w:val="0"/>
                <w:sz w:val="24"/>
                <w:szCs w:val="24"/>
                <w:highlight w:val="none"/>
              </w:rPr>
            </w:pPr>
            <w:r>
              <w:rPr>
                <w:rFonts w:hint="eastAsia" w:ascii="宋体-简" w:hAnsi="宋体-简" w:eastAsia="宋体-简" w:cs="宋体-简"/>
                <w:b/>
                <w:bCs/>
                <w:color w:val="auto"/>
                <w:kern w:val="0"/>
                <w:sz w:val="24"/>
                <w:szCs w:val="24"/>
                <w:highlight w:val="none"/>
              </w:rPr>
              <w:t>类别</w:t>
            </w:r>
          </w:p>
        </w:tc>
        <w:tc>
          <w:tcPr>
            <w:tcW w:w="847" w:type="pct"/>
            <w:shd w:val="clear" w:color="auto" w:fill="DBE5F1"/>
            <w:vAlign w:val="center"/>
          </w:tcPr>
          <w:p w14:paraId="5E81BC95">
            <w:pPr>
              <w:widowControl/>
              <w:adjustRightInd w:val="0"/>
              <w:snapToGrid w:val="0"/>
              <w:spacing w:line="360" w:lineRule="auto"/>
              <w:jc w:val="center"/>
              <w:rPr>
                <w:rFonts w:ascii="宋体-简" w:hAnsi="宋体-简" w:eastAsia="宋体-简" w:cs="宋体-简"/>
                <w:b/>
                <w:bCs/>
                <w:color w:val="auto"/>
                <w:kern w:val="0"/>
                <w:sz w:val="24"/>
                <w:szCs w:val="24"/>
                <w:highlight w:val="none"/>
              </w:rPr>
            </w:pPr>
            <w:r>
              <w:rPr>
                <w:rFonts w:hint="eastAsia" w:ascii="宋体-简" w:hAnsi="宋体-简" w:eastAsia="宋体-简" w:cs="宋体-简"/>
                <w:b/>
                <w:bCs/>
                <w:color w:val="auto"/>
                <w:kern w:val="0"/>
                <w:sz w:val="24"/>
                <w:szCs w:val="24"/>
                <w:highlight w:val="none"/>
                <w:lang w:eastAsia="zh-CN"/>
              </w:rPr>
              <w:t>技术</w:t>
            </w:r>
            <w:r>
              <w:rPr>
                <w:rFonts w:hint="eastAsia" w:ascii="宋体-简" w:hAnsi="宋体-简" w:eastAsia="宋体-简" w:cs="宋体-简"/>
                <w:b/>
                <w:bCs/>
                <w:color w:val="auto"/>
                <w:kern w:val="0"/>
                <w:sz w:val="24"/>
                <w:szCs w:val="24"/>
                <w:highlight w:val="none"/>
              </w:rPr>
              <w:t>指标</w:t>
            </w:r>
          </w:p>
        </w:tc>
        <w:tc>
          <w:tcPr>
            <w:tcW w:w="3694" w:type="pct"/>
            <w:shd w:val="clear" w:color="auto" w:fill="DBE5F1"/>
            <w:vAlign w:val="center"/>
          </w:tcPr>
          <w:p w14:paraId="43C88F31">
            <w:pPr>
              <w:widowControl/>
              <w:adjustRightInd w:val="0"/>
              <w:snapToGrid w:val="0"/>
              <w:spacing w:line="360" w:lineRule="auto"/>
              <w:jc w:val="center"/>
              <w:rPr>
                <w:rFonts w:ascii="宋体-简" w:hAnsi="宋体-简" w:eastAsia="宋体-简" w:cs="宋体-简"/>
                <w:b/>
                <w:bCs/>
                <w:color w:val="auto"/>
                <w:kern w:val="0"/>
                <w:sz w:val="24"/>
                <w:szCs w:val="24"/>
                <w:highlight w:val="none"/>
              </w:rPr>
            </w:pPr>
            <w:r>
              <w:rPr>
                <w:rFonts w:hint="eastAsia" w:ascii="宋体-简" w:hAnsi="宋体-简" w:eastAsia="宋体-简" w:cs="宋体-简"/>
                <w:b/>
                <w:bCs/>
                <w:color w:val="auto"/>
                <w:kern w:val="0"/>
                <w:sz w:val="24"/>
                <w:szCs w:val="24"/>
                <w:highlight w:val="none"/>
              </w:rPr>
              <w:t>技术</w:t>
            </w:r>
            <w:r>
              <w:rPr>
                <w:rFonts w:hint="eastAsia" w:ascii="宋体-简" w:hAnsi="宋体-简" w:eastAsia="宋体-简" w:cs="宋体-简"/>
                <w:b/>
                <w:bCs/>
                <w:color w:val="auto"/>
                <w:kern w:val="0"/>
                <w:sz w:val="24"/>
                <w:szCs w:val="24"/>
                <w:highlight w:val="none"/>
                <w:lang w:eastAsia="zh-CN"/>
              </w:rPr>
              <w:t>指标具体</w:t>
            </w:r>
            <w:r>
              <w:rPr>
                <w:rFonts w:hint="eastAsia" w:ascii="宋体-简" w:hAnsi="宋体-简" w:eastAsia="宋体-简" w:cs="宋体-简"/>
                <w:b/>
                <w:bCs/>
                <w:color w:val="auto"/>
                <w:kern w:val="0"/>
                <w:sz w:val="24"/>
                <w:szCs w:val="24"/>
                <w:highlight w:val="none"/>
              </w:rPr>
              <w:t>要求</w:t>
            </w:r>
          </w:p>
        </w:tc>
      </w:tr>
      <w:tr w14:paraId="3FA9D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59" w:type="pct"/>
            <w:vMerge w:val="restart"/>
            <w:shd w:val="clear" w:color="auto" w:fill="auto"/>
            <w:vAlign w:val="center"/>
          </w:tcPr>
          <w:p w14:paraId="3D0B3450">
            <w:pPr>
              <w:widowControl/>
              <w:adjustRightInd w:val="0"/>
              <w:snapToGrid w:val="0"/>
              <w:jc w:val="center"/>
              <w:rPr>
                <w:rFonts w:ascii="宋体-简" w:hAnsi="宋体-简" w:eastAsia="宋体-简" w:cs="宋体-简"/>
                <w:color w:val="auto"/>
                <w:kern w:val="0"/>
                <w:sz w:val="18"/>
                <w:szCs w:val="18"/>
                <w:highlight w:val="none"/>
              </w:rPr>
            </w:pPr>
            <w:r>
              <w:rPr>
                <w:rFonts w:hint="eastAsia" w:ascii="宋体" w:hAnsi="宋体" w:eastAsia="宋体" w:cs="宋体"/>
                <w:b/>
                <w:bCs/>
                <w:color w:val="auto"/>
                <w:kern w:val="0"/>
                <w:sz w:val="24"/>
                <w:szCs w:val="24"/>
                <w:highlight w:val="none"/>
              </w:rPr>
              <w:t>集中式存储</w:t>
            </w:r>
          </w:p>
        </w:tc>
        <w:tc>
          <w:tcPr>
            <w:tcW w:w="847" w:type="pct"/>
            <w:shd w:val="clear" w:color="auto" w:fill="auto"/>
            <w:vAlign w:val="center"/>
          </w:tcPr>
          <w:p w14:paraId="14744F86">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数量</w:t>
            </w:r>
          </w:p>
        </w:tc>
        <w:tc>
          <w:tcPr>
            <w:tcW w:w="3694" w:type="pct"/>
            <w:shd w:val="clear" w:color="auto" w:fill="auto"/>
            <w:vAlign w:val="center"/>
          </w:tcPr>
          <w:p w14:paraId="38475E0C">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1套</w:t>
            </w:r>
          </w:p>
        </w:tc>
      </w:tr>
      <w:tr w14:paraId="2DF0A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59" w:type="pct"/>
            <w:vMerge w:val="continue"/>
            <w:shd w:val="clear" w:color="auto" w:fill="auto"/>
            <w:vAlign w:val="center"/>
          </w:tcPr>
          <w:p w14:paraId="3CA7C98E">
            <w:pPr>
              <w:widowControl/>
              <w:adjustRightInd w:val="0"/>
              <w:snapToGrid w:val="0"/>
              <w:jc w:val="center"/>
              <w:rPr>
                <w:rFonts w:ascii="宋体-简" w:hAnsi="宋体-简" w:eastAsia="宋体-简" w:cs="宋体-简"/>
                <w:color w:val="auto"/>
                <w:kern w:val="0"/>
                <w:sz w:val="18"/>
                <w:szCs w:val="18"/>
                <w:highlight w:val="none"/>
              </w:rPr>
            </w:pPr>
          </w:p>
        </w:tc>
        <w:tc>
          <w:tcPr>
            <w:tcW w:w="847" w:type="pct"/>
            <w:shd w:val="clear" w:color="auto" w:fill="auto"/>
            <w:vAlign w:val="center"/>
          </w:tcPr>
          <w:p w14:paraId="58881868">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品牌要求</w:t>
            </w:r>
          </w:p>
        </w:tc>
        <w:tc>
          <w:tcPr>
            <w:tcW w:w="3694" w:type="pct"/>
            <w:shd w:val="clear" w:color="auto" w:fill="auto"/>
            <w:vAlign w:val="center"/>
          </w:tcPr>
          <w:p w14:paraId="38EA3516">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符合国家相关安全可靠、自主可控要求的</w:t>
            </w:r>
            <w:r>
              <w:rPr>
                <w:rFonts w:hint="eastAsia" w:ascii="Times New Roman" w:hAnsi="Times New Roman" w:eastAsia="宋体" w:cs="Times New Roman"/>
                <w:color w:val="auto"/>
                <w:sz w:val="24"/>
                <w:szCs w:val="24"/>
                <w:highlight w:val="none"/>
              </w:rPr>
              <w:t>国产品</w:t>
            </w:r>
            <w:r>
              <w:rPr>
                <w:rFonts w:ascii="Times New Roman" w:hAnsi="Times New Roman" w:eastAsia="宋体" w:cs="Times New Roman"/>
                <w:color w:val="auto"/>
                <w:sz w:val="24"/>
                <w:szCs w:val="24"/>
                <w:highlight w:val="none"/>
              </w:rPr>
              <w:t>牌</w:t>
            </w:r>
            <w:r>
              <w:rPr>
                <w:rFonts w:hint="eastAsia" w:ascii="Times New Roman" w:hAnsi="Times New Roman" w:eastAsia="宋体" w:cs="Times New Roman"/>
                <w:color w:val="auto"/>
                <w:sz w:val="24"/>
                <w:szCs w:val="24"/>
                <w:highlight w:val="none"/>
                <w:lang w:eastAsia="zh-CN"/>
              </w:rPr>
              <w:t>。</w:t>
            </w:r>
          </w:p>
        </w:tc>
      </w:tr>
      <w:tr w14:paraId="1441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59" w:type="pct"/>
            <w:vMerge w:val="continue"/>
            <w:shd w:val="clear" w:color="auto" w:fill="auto"/>
            <w:vAlign w:val="center"/>
          </w:tcPr>
          <w:p w14:paraId="7BCF68E0">
            <w:pPr>
              <w:widowControl/>
              <w:adjustRightInd w:val="0"/>
              <w:snapToGrid w:val="0"/>
              <w:jc w:val="center"/>
              <w:rPr>
                <w:rFonts w:ascii="宋体-简" w:hAnsi="宋体-简" w:eastAsia="宋体-简" w:cs="宋体-简"/>
                <w:color w:val="auto"/>
                <w:kern w:val="0"/>
                <w:sz w:val="18"/>
                <w:szCs w:val="18"/>
                <w:highlight w:val="none"/>
              </w:rPr>
            </w:pPr>
          </w:p>
        </w:tc>
        <w:tc>
          <w:tcPr>
            <w:tcW w:w="847" w:type="pct"/>
            <w:shd w:val="clear" w:color="auto" w:fill="auto"/>
            <w:vAlign w:val="center"/>
          </w:tcPr>
          <w:p w14:paraId="4A8F53CA">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东文宋体" w:hAnsi="东文宋体" w:eastAsia="东文宋体" w:cs="东文宋体"/>
                <w:color w:val="auto"/>
                <w:highlight w:val="none"/>
              </w:rPr>
              <w:t>▲</w:t>
            </w:r>
            <w:r>
              <w:rPr>
                <w:rFonts w:hint="eastAsia" w:ascii="宋体" w:hAnsi="宋体" w:eastAsia="宋体" w:cs="宋体"/>
                <w:color w:val="auto"/>
                <w:kern w:val="0"/>
                <w:sz w:val="24"/>
                <w:szCs w:val="24"/>
                <w:highlight w:val="none"/>
              </w:rPr>
              <w:t xml:space="preserve">控制器结构 </w:t>
            </w:r>
          </w:p>
        </w:tc>
        <w:tc>
          <w:tcPr>
            <w:tcW w:w="3694" w:type="pct"/>
            <w:shd w:val="clear" w:color="auto" w:fill="auto"/>
            <w:vAlign w:val="center"/>
          </w:tcPr>
          <w:p w14:paraId="015F7B28">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多控制器架构，64位X86架构多核处理器，控制器之间支持缓存镜像；配置</w:t>
            </w:r>
            <w:r>
              <w:rPr>
                <w:rFonts w:ascii="Times New Roman" w:hAnsi="Times New Roman" w:cs="Times New Roman"/>
                <w:color w:val="auto"/>
                <w:sz w:val="24"/>
                <w:szCs w:val="24"/>
                <w:highlight w:val="none"/>
              </w:rPr>
              <w:t>≥</w:t>
            </w:r>
            <w:r>
              <w:rPr>
                <w:rFonts w:hint="eastAsia" w:ascii="Times New Roman" w:hAnsi="Times New Roman" w:eastAsia="宋体" w:cs="Times New Roman"/>
                <w:color w:val="auto"/>
                <w:sz w:val="24"/>
                <w:szCs w:val="24"/>
                <w:highlight w:val="none"/>
              </w:rPr>
              <w:t xml:space="preserve">2个存储控制器，单机箱两控制器间采用PCI-E互联，最大支持 </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16控制器</w:t>
            </w:r>
            <w:r>
              <w:rPr>
                <w:rFonts w:hint="eastAsia" w:ascii="Times New Roman" w:hAnsi="Times New Roman" w:eastAsia="宋体" w:cs="Times New Roman"/>
                <w:color w:val="auto"/>
                <w:sz w:val="24"/>
                <w:szCs w:val="24"/>
                <w:highlight w:val="none"/>
                <w:lang w:eastAsia="zh-CN"/>
              </w:rPr>
              <w:t>。</w:t>
            </w:r>
          </w:p>
        </w:tc>
      </w:tr>
      <w:tr w14:paraId="2164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59" w:type="pct"/>
            <w:vMerge w:val="continue"/>
            <w:shd w:val="clear" w:color="auto" w:fill="auto"/>
            <w:vAlign w:val="center"/>
          </w:tcPr>
          <w:p w14:paraId="4019FD77">
            <w:pPr>
              <w:widowControl/>
              <w:adjustRightInd w:val="0"/>
              <w:snapToGrid w:val="0"/>
              <w:jc w:val="center"/>
              <w:rPr>
                <w:rFonts w:ascii="宋体-简" w:hAnsi="宋体-简" w:eastAsia="宋体-简" w:cs="宋体-简"/>
                <w:color w:val="auto"/>
                <w:kern w:val="0"/>
                <w:sz w:val="18"/>
                <w:szCs w:val="18"/>
                <w:highlight w:val="none"/>
              </w:rPr>
            </w:pPr>
          </w:p>
        </w:tc>
        <w:tc>
          <w:tcPr>
            <w:tcW w:w="847" w:type="pct"/>
            <w:shd w:val="clear" w:color="auto" w:fill="auto"/>
            <w:vAlign w:val="center"/>
          </w:tcPr>
          <w:p w14:paraId="5BCE2CEE">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东文宋体" w:hAnsi="东文宋体" w:eastAsia="东文宋体" w:cs="东文宋体"/>
                <w:color w:val="auto"/>
                <w:highlight w:val="none"/>
              </w:rPr>
              <w:t>▲</w:t>
            </w:r>
            <w:r>
              <w:rPr>
                <w:rFonts w:hint="eastAsia" w:ascii="宋体" w:hAnsi="宋体" w:eastAsia="宋体" w:cs="宋体"/>
                <w:color w:val="auto"/>
                <w:kern w:val="0"/>
                <w:sz w:val="24"/>
                <w:szCs w:val="24"/>
                <w:highlight w:val="none"/>
              </w:rPr>
              <w:t>Cache容量</w:t>
            </w:r>
          </w:p>
        </w:tc>
        <w:tc>
          <w:tcPr>
            <w:tcW w:w="3694" w:type="pct"/>
            <w:shd w:val="clear" w:color="auto" w:fill="auto"/>
            <w:vAlign w:val="center"/>
          </w:tcPr>
          <w:p w14:paraId="7B7E0C37">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双控制器配置</w:t>
            </w:r>
            <w:r>
              <w:rPr>
                <w:rFonts w:ascii="Times New Roman" w:hAnsi="Times New Roman" w:cs="Times New Roman"/>
                <w:color w:val="auto"/>
                <w:sz w:val="24"/>
                <w:szCs w:val="24"/>
                <w:highlight w:val="none"/>
              </w:rPr>
              <w:t>≥</w:t>
            </w:r>
            <w:r>
              <w:rPr>
                <w:rFonts w:hint="eastAsia" w:ascii="Times New Roman" w:hAnsi="Times New Roman" w:eastAsia="宋体" w:cs="Times New Roman"/>
                <w:color w:val="auto"/>
                <w:sz w:val="24"/>
                <w:szCs w:val="24"/>
                <w:highlight w:val="none"/>
              </w:rPr>
              <w:t>128GB Cache（缓存不包含SSD磁盘、高速Flash及NAS控制器缓存）</w:t>
            </w:r>
            <w:r>
              <w:rPr>
                <w:rFonts w:hint="eastAsia" w:ascii="Times New Roman" w:hAnsi="Times New Roman" w:eastAsia="宋体" w:cs="Times New Roman"/>
                <w:color w:val="auto"/>
                <w:sz w:val="24"/>
                <w:szCs w:val="24"/>
                <w:highlight w:val="none"/>
                <w:lang w:eastAsia="zh-CN"/>
              </w:rPr>
              <w:t>。</w:t>
            </w:r>
          </w:p>
        </w:tc>
      </w:tr>
      <w:tr w14:paraId="7AD0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59" w:type="pct"/>
            <w:vMerge w:val="continue"/>
            <w:shd w:val="clear" w:color="auto" w:fill="auto"/>
            <w:vAlign w:val="center"/>
          </w:tcPr>
          <w:p w14:paraId="0933771A">
            <w:pPr>
              <w:widowControl/>
              <w:adjustRightInd w:val="0"/>
              <w:snapToGrid w:val="0"/>
              <w:jc w:val="center"/>
              <w:rPr>
                <w:rFonts w:ascii="宋体-简" w:hAnsi="宋体-简" w:eastAsia="宋体-简" w:cs="宋体-简"/>
                <w:color w:val="auto"/>
                <w:kern w:val="0"/>
                <w:sz w:val="18"/>
                <w:szCs w:val="18"/>
                <w:highlight w:val="none"/>
              </w:rPr>
            </w:pPr>
          </w:p>
        </w:tc>
        <w:tc>
          <w:tcPr>
            <w:tcW w:w="847" w:type="pct"/>
            <w:shd w:val="clear" w:color="auto" w:fill="auto"/>
            <w:vAlign w:val="center"/>
          </w:tcPr>
          <w:p w14:paraId="0E0E2B3D">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东文宋体" w:hAnsi="东文宋体" w:eastAsia="东文宋体" w:cs="东文宋体"/>
                <w:color w:val="auto"/>
                <w:highlight w:val="none"/>
              </w:rPr>
              <w:t>▲</w:t>
            </w:r>
            <w:r>
              <w:rPr>
                <w:rFonts w:hint="eastAsia" w:ascii="宋体" w:hAnsi="宋体" w:eastAsia="宋体" w:cs="宋体"/>
                <w:color w:val="auto"/>
                <w:kern w:val="0"/>
                <w:sz w:val="24"/>
                <w:szCs w:val="24"/>
                <w:highlight w:val="none"/>
              </w:rPr>
              <w:t>磁盘</w:t>
            </w:r>
          </w:p>
        </w:tc>
        <w:tc>
          <w:tcPr>
            <w:tcW w:w="3694" w:type="pct"/>
            <w:shd w:val="clear" w:color="auto" w:fill="auto"/>
            <w:vAlign w:val="center"/>
          </w:tcPr>
          <w:p w14:paraId="6C135821">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配置</w:t>
            </w:r>
            <w:r>
              <w:rPr>
                <w:rFonts w:ascii="Times New Roman" w:hAnsi="Times New Roman" w:cs="Times New Roman"/>
                <w:color w:val="auto"/>
                <w:sz w:val="24"/>
                <w:szCs w:val="24"/>
                <w:highlight w:val="none"/>
              </w:rPr>
              <w:t>≥</w:t>
            </w:r>
            <w:r>
              <w:rPr>
                <w:rFonts w:hint="eastAsia" w:ascii="Times New Roman" w:hAnsi="Times New Roman" w:eastAsia="宋体" w:cs="Times New Roman"/>
                <w:color w:val="auto"/>
                <w:sz w:val="24"/>
                <w:szCs w:val="24"/>
                <w:highlight w:val="none"/>
              </w:rPr>
              <w:t>2*2.5寸 SAS 3.84TB SSD，</w:t>
            </w:r>
            <w:r>
              <w:rPr>
                <w:rFonts w:ascii="Times New Roman" w:hAnsi="Times New Roman" w:cs="Times New Roman"/>
                <w:color w:val="auto"/>
                <w:sz w:val="24"/>
                <w:szCs w:val="24"/>
                <w:highlight w:val="none"/>
              </w:rPr>
              <w:t>≥</w:t>
            </w:r>
            <w:r>
              <w:rPr>
                <w:rFonts w:hint="eastAsia" w:ascii="Times New Roman" w:hAnsi="Times New Roman" w:eastAsia="宋体" w:cs="Times New Roman"/>
                <w:color w:val="auto"/>
                <w:sz w:val="24"/>
                <w:szCs w:val="24"/>
                <w:highlight w:val="none"/>
              </w:rPr>
              <w:t>4*16TB 3.5吋7200转SAS硬盘，</w:t>
            </w:r>
            <w:r>
              <w:rPr>
                <w:rFonts w:ascii="Times New Roman" w:hAnsi="Times New Roman" w:eastAsia="宋体" w:cs="Times New Roman"/>
                <w:color w:val="auto"/>
                <w:sz w:val="24"/>
                <w:szCs w:val="24"/>
                <w:highlight w:val="none"/>
              </w:rPr>
              <w:t>支持后续容量扩展</w:t>
            </w:r>
            <w:r>
              <w:rPr>
                <w:rFonts w:hint="eastAsia" w:ascii="Times New Roman" w:hAnsi="Times New Roman" w:eastAsia="宋体" w:cs="Times New Roman"/>
                <w:color w:val="auto"/>
                <w:sz w:val="24"/>
                <w:szCs w:val="24"/>
                <w:highlight w:val="none"/>
                <w:lang w:eastAsia="zh-CN"/>
              </w:rPr>
              <w:t>。</w:t>
            </w:r>
          </w:p>
        </w:tc>
      </w:tr>
      <w:tr w14:paraId="46B7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59" w:type="pct"/>
            <w:vMerge w:val="continue"/>
            <w:shd w:val="clear" w:color="auto" w:fill="auto"/>
            <w:vAlign w:val="center"/>
          </w:tcPr>
          <w:p w14:paraId="5451F194">
            <w:pPr>
              <w:widowControl/>
              <w:adjustRightInd w:val="0"/>
              <w:snapToGrid w:val="0"/>
              <w:jc w:val="center"/>
              <w:rPr>
                <w:rFonts w:ascii="宋体-简" w:hAnsi="宋体-简" w:eastAsia="宋体-简" w:cs="宋体-简"/>
                <w:color w:val="auto"/>
                <w:kern w:val="0"/>
                <w:sz w:val="18"/>
                <w:szCs w:val="18"/>
                <w:highlight w:val="none"/>
              </w:rPr>
            </w:pPr>
          </w:p>
        </w:tc>
        <w:tc>
          <w:tcPr>
            <w:tcW w:w="847" w:type="pct"/>
            <w:shd w:val="clear" w:color="auto" w:fill="auto"/>
            <w:vAlign w:val="center"/>
          </w:tcPr>
          <w:p w14:paraId="3D28001E">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网络</w:t>
            </w:r>
          </w:p>
        </w:tc>
        <w:tc>
          <w:tcPr>
            <w:tcW w:w="3694" w:type="pct"/>
            <w:shd w:val="clear" w:color="auto" w:fill="auto"/>
            <w:vAlign w:val="center"/>
          </w:tcPr>
          <w:p w14:paraId="1AD89DB0">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板载</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4个1GbE、</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4个10GbE主机接口</w:t>
            </w:r>
            <w:r>
              <w:rPr>
                <w:rFonts w:hint="eastAsia" w:ascii="Times New Roman" w:hAnsi="Times New Roman" w:eastAsia="宋体" w:cs="Times New Roman"/>
                <w:color w:val="auto"/>
                <w:sz w:val="24"/>
                <w:szCs w:val="24"/>
                <w:highlight w:val="none"/>
                <w:lang w:eastAsia="zh-CN"/>
              </w:rPr>
              <w:t>；</w:t>
            </w:r>
          </w:p>
          <w:p w14:paraId="6346FA73">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配置</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2*4口32Gb FC 接口卡，</w:t>
            </w:r>
            <w:r>
              <w:rPr>
                <w:rFonts w:ascii="Times New Roman" w:hAnsi="Times New Roman" w:eastAsia="宋体" w:cs="Times New Roman"/>
                <w:color w:val="auto"/>
                <w:sz w:val="24"/>
                <w:szCs w:val="24"/>
                <w:highlight w:val="none"/>
              </w:rPr>
              <w:t>或提供满足本项目连接需求的等效高速存储接口</w:t>
            </w:r>
            <w:r>
              <w:rPr>
                <w:rFonts w:hint="eastAsia" w:ascii="Times New Roman" w:hAnsi="Times New Roman" w:eastAsia="宋体" w:cs="Times New Roman"/>
                <w:color w:val="auto"/>
                <w:sz w:val="24"/>
                <w:szCs w:val="24"/>
                <w:highlight w:val="none"/>
                <w:lang w:eastAsia="zh-CN"/>
              </w:rPr>
              <w:t>；</w:t>
            </w:r>
          </w:p>
          <w:p w14:paraId="4BCAF528">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支持NFS、SMB、iSCSI、FC等一种或多种存储访问协议，满足计算节点和业务系统访问需求</w:t>
            </w:r>
            <w:r>
              <w:rPr>
                <w:rFonts w:hint="eastAsia" w:ascii="Times New Roman" w:hAnsi="Times New Roman" w:eastAsia="宋体" w:cs="Times New Roman"/>
                <w:color w:val="auto"/>
                <w:sz w:val="24"/>
                <w:szCs w:val="24"/>
                <w:highlight w:val="none"/>
                <w:lang w:eastAsia="zh-CN"/>
              </w:rPr>
              <w:t>。</w:t>
            </w:r>
          </w:p>
        </w:tc>
      </w:tr>
      <w:tr w14:paraId="2D24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59" w:type="pct"/>
            <w:vMerge w:val="continue"/>
            <w:shd w:val="clear" w:color="auto" w:fill="auto"/>
            <w:vAlign w:val="center"/>
          </w:tcPr>
          <w:p w14:paraId="25AAA725">
            <w:pPr>
              <w:widowControl/>
              <w:adjustRightInd w:val="0"/>
              <w:snapToGrid w:val="0"/>
              <w:jc w:val="center"/>
              <w:rPr>
                <w:rFonts w:ascii="宋体-简" w:hAnsi="宋体-简" w:eastAsia="宋体-简" w:cs="宋体-简"/>
                <w:color w:val="auto"/>
                <w:kern w:val="0"/>
                <w:sz w:val="18"/>
                <w:szCs w:val="18"/>
                <w:highlight w:val="none"/>
              </w:rPr>
            </w:pPr>
          </w:p>
        </w:tc>
        <w:tc>
          <w:tcPr>
            <w:tcW w:w="847" w:type="pct"/>
            <w:shd w:val="clear" w:color="auto" w:fill="auto"/>
            <w:vAlign w:val="center"/>
          </w:tcPr>
          <w:p w14:paraId="28BFDBE4">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RAID级别</w:t>
            </w:r>
          </w:p>
        </w:tc>
        <w:tc>
          <w:tcPr>
            <w:tcW w:w="3694" w:type="pct"/>
            <w:shd w:val="clear" w:color="auto" w:fill="auto"/>
            <w:vAlign w:val="center"/>
          </w:tcPr>
          <w:p w14:paraId="4316AC13">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支持RAID 5/6/10、虚拟化RAID或等效数据保护机制</w:t>
            </w:r>
            <w:r>
              <w:rPr>
                <w:rFonts w:hint="eastAsia" w:ascii="Times New Roman" w:hAnsi="Times New Roman" w:eastAsia="宋体" w:cs="Times New Roman"/>
                <w:color w:val="auto"/>
                <w:sz w:val="24"/>
                <w:szCs w:val="24"/>
                <w:highlight w:val="none"/>
                <w:lang w:eastAsia="zh-CN"/>
              </w:rPr>
              <w:t>；</w:t>
            </w:r>
          </w:p>
          <w:p w14:paraId="5191D092">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w:t>
            </w:r>
            <w:r>
              <w:rPr>
                <w:rFonts w:ascii="Times New Roman" w:hAnsi="Times New Roman" w:eastAsia="宋体" w:cs="Times New Roman"/>
                <w:color w:val="auto"/>
                <w:sz w:val="24"/>
                <w:szCs w:val="24"/>
                <w:highlight w:val="none"/>
              </w:rPr>
              <w:t>持磁盘故障后的快速重构或等效故障恢复能力</w:t>
            </w:r>
            <w:r>
              <w:rPr>
                <w:rFonts w:hint="eastAsia" w:ascii="Times New Roman" w:hAnsi="Times New Roman" w:eastAsia="宋体" w:cs="Times New Roman"/>
                <w:color w:val="auto"/>
                <w:sz w:val="24"/>
                <w:szCs w:val="24"/>
                <w:highlight w:val="none"/>
                <w:lang w:eastAsia="zh-CN"/>
              </w:rPr>
              <w:t>。</w:t>
            </w:r>
          </w:p>
        </w:tc>
      </w:tr>
      <w:tr w14:paraId="1BAB7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59" w:type="pct"/>
            <w:vMerge w:val="continue"/>
            <w:shd w:val="clear" w:color="auto" w:fill="auto"/>
            <w:vAlign w:val="center"/>
          </w:tcPr>
          <w:p w14:paraId="5329A455">
            <w:pPr>
              <w:widowControl/>
              <w:adjustRightInd w:val="0"/>
              <w:snapToGrid w:val="0"/>
              <w:jc w:val="center"/>
              <w:rPr>
                <w:rFonts w:ascii="宋体-简" w:hAnsi="宋体-简" w:eastAsia="宋体-简" w:cs="宋体-简"/>
                <w:color w:val="auto"/>
                <w:kern w:val="0"/>
                <w:sz w:val="18"/>
                <w:szCs w:val="18"/>
                <w:highlight w:val="none"/>
              </w:rPr>
            </w:pPr>
          </w:p>
        </w:tc>
        <w:tc>
          <w:tcPr>
            <w:tcW w:w="847" w:type="pct"/>
            <w:shd w:val="clear" w:color="auto" w:fill="auto"/>
            <w:vAlign w:val="center"/>
          </w:tcPr>
          <w:p w14:paraId="771A3837">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可靠性</w:t>
            </w:r>
          </w:p>
        </w:tc>
        <w:tc>
          <w:tcPr>
            <w:tcW w:w="3694" w:type="pct"/>
            <w:shd w:val="clear" w:color="auto" w:fill="auto"/>
            <w:vAlign w:val="center"/>
          </w:tcPr>
          <w:p w14:paraId="62CFD550">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硬件部件采用全冗余无单点故障设计，控制器、电源、风扇支持在线热插拔</w:t>
            </w:r>
            <w:r>
              <w:rPr>
                <w:rFonts w:hint="eastAsia" w:ascii="Times New Roman" w:hAnsi="Times New Roman" w:eastAsia="宋体" w:cs="Times New Roman"/>
                <w:color w:val="auto"/>
                <w:sz w:val="24"/>
                <w:szCs w:val="24"/>
                <w:highlight w:val="none"/>
                <w:lang w:eastAsia="zh-CN"/>
              </w:rPr>
              <w:t>。</w:t>
            </w:r>
          </w:p>
        </w:tc>
      </w:tr>
      <w:tr w14:paraId="66B8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59" w:type="pct"/>
            <w:vMerge w:val="continue"/>
            <w:shd w:val="clear" w:color="auto" w:fill="auto"/>
            <w:vAlign w:val="center"/>
          </w:tcPr>
          <w:p w14:paraId="3A22063C">
            <w:pPr>
              <w:widowControl/>
              <w:adjustRightInd w:val="0"/>
              <w:snapToGrid w:val="0"/>
              <w:jc w:val="center"/>
              <w:rPr>
                <w:rFonts w:ascii="宋体-简" w:hAnsi="宋体-简" w:eastAsia="宋体-简" w:cs="宋体-简"/>
                <w:color w:val="auto"/>
                <w:kern w:val="0"/>
                <w:sz w:val="18"/>
                <w:szCs w:val="18"/>
                <w:highlight w:val="none"/>
              </w:rPr>
            </w:pPr>
          </w:p>
        </w:tc>
        <w:tc>
          <w:tcPr>
            <w:tcW w:w="847" w:type="pct"/>
            <w:shd w:val="clear" w:color="auto" w:fill="auto"/>
            <w:vAlign w:val="center"/>
          </w:tcPr>
          <w:p w14:paraId="494B9683">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快照功能</w:t>
            </w:r>
          </w:p>
        </w:tc>
        <w:tc>
          <w:tcPr>
            <w:tcW w:w="3694" w:type="pct"/>
            <w:shd w:val="clear" w:color="auto" w:fill="auto"/>
            <w:vAlign w:val="center"/>
          </w:tcPr>
          <w:p w14:paraId="160A99A7">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支持定时自动快照，快照策略可配置，支持分钟级或小时级快照策略</w:t>
            </w:r>
            <w:r>
              <w:rPr>
                <w:rFonts w:hint="eastAsia" w:ascii="Times New Roman" w:hAnsi="Times New Roman" w:eastAsia="宋体" w:cs="Times New Roman"/>
                <w:color w:val="auto"/>
                <w:sz w:val="24"/>
                <w:szCs w:val="24"/>
                <w:highlight w:val="none"/>
                <w:lang w:eastAsia="zh-CN"/>
              </w:rPr>
              <w:t>。</w:t>
            </w:r>
          </w:p>
        </w:tc>
      </w:tr>
      <w:tr w14:paraId="4CBB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59" w:type="pct"/>
            <w:vMerge w:val="continue"/>
            <w:shd w:val="clear" w:color="auto" w:fill="auto"/>
            <w:vAlign w:val="center"/>
          </w:tcPr>
          <w:p w14:paraId="20BA8AD4">
            <w:pPr>
              <w:widowControl/>
              <w:adjustRightInd w:val="0"/>
              <w:snapToGrid w:val="0"/>
              <w:spacing w:line="360" w:lineRule="auto"/>
              <w:jc w:val="center"/>
              <w:rPr>
                <w:rFonts w:ascii="宋体" w:hAnsi="宋体" w:eastAsia="宋体" w:cs="宋体"/>
                <w:color w:val="auto"/>
                <w:kern w:val="0"/>
                <w:sz w:val="24"/>
                <w:szCs w:val="24"/>
                <w:highlight w:val="none"/>
              </w:rPr>
            </w:pPr>
          </w:p>
        </w:tc>
        <w:tc>
          <w:tcPr>
            <w:tcW w:w="847" w:type="pct"/>
            <w:shd w:val="clear" w:color="auto" w:fill="auto"/>
            <w:vAlign w:val="center"/>
          </w:tcPr>
          <w:p w14:paraId="032C21DF">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管理方式</w:t>
            </w:r>
          </w:p>
        </w:tc>
        <w:tc>
          <w:tcPr>
            <w:tcW w:w="3694" w:type="pct"/>
            <w:shd w:val="clear" w:color="auto" w:fill="auto"/>
            <w:vAlign w:val="center"/>
          </w:tcPr>
          <w:p w14:paraId="0204CE1B">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支持通过图形化管理界面进行容量、快照、告警、性能等管理</w:t>
            </w:r>
            <w:r>
              <w:rPr>
                <w:rFonts w:hint="eastAsia" w:ascii="Times New Roman" w:hAnsi="Times New Roman" w:eastAsia="宋体" w:cs="Times New Roman"/>
                <w:color w:val="auto"/>
                <w:sz w:val="24"/>
                <w:szCs w:val="24"/>
                <w:highlight w:val="none"/>
                <w:lang w:eastAsia="zh-CN"/>
              </w:rPr>
              <w:t>。</w:t>
            </w:r>
          </w:p>
        </w:tc>
      </w:tr>
    </w:tbl>
    <w:p w14:paraId="7482BEA6">
      <w:pPr>
        <w:rPr>
          <w:rFonts w:ascii="宋体" w:hAnsi="宋体" w:eastAsia="宋体"/>
          <w:b/>
          <w:color w:val="auto"/>
          <w:sz w:val="28"/>
          <w:szCs w:val="28"/>
          <w:highlight w:val="none"/>
        </w:rPr>
      </w:pPr>
    </w:p>
    <w:p w14:paraId="6ACB79B6">
      <w:pPr>
        <w:rPr>
          <w:rFonts w:ascii="宋体" w:hAnsi="宋体" w:eastAsia="宋体"/>
          <w:color w:val="auto"/>
          <w:sz w:val="28"/>
          <w:szCs w:val="28"/>
          <w:highlight w:val="none"/>
        </w:rPr>
      </w:pPr>
      <w:r>
        <w:rPr>
          <w:rFonts w:hint="eastAsia" w:ascii="宋体" w:hAnsi="宋体" w:eastAsia="宋体"/>
          <w:color w:val="auto"/>
          <w:sz w:val="28"/>
          <w:szCs w:val="28"/>
          <w:highlight w:val="none"/>
        </w:rPr>
        <w:t>4</w:t>
      </w:r>
      <w:r>
        <w:rPr>
          <w:rFonts w:ascii="宋体" w:hAnsi="宋体" w:eastAsia="宋体"/>
          <w:color w:val="auto"/>
          <w:sz w:val="28"/>
          <w:szCs w:val="28"/>
          <w:highlight w:val="none"/>
        </w:rPr>
        <w:t xml:space="preserve">.2 </w:t>
      </w:r>
      <w:r>
        <w:rPr>
          <w:rFonts w:hint="eastAsia" w:ascii="宋体" w:hAnsi="宋体" w:eastAsia="宋体"/>
          <w:color w:val="auto"/>
          <w:sz w:val="28"/>
          <w:szCs w:val="28"/>
          <w:highlight w:val="none"/>
        </w:rPr>
        <w:t>集群管理软件</w:t>
      </w:r>
    </w:p>
    <w:tbl>
      <w:tblPr>
        <w:tblStyle w:val="9"/>
        <w:tblW w:w="501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1561"/>
        <w:gridCol w:w="7453"/>
      </w:tblGrid>
      <w:tr w14:paraId="56B7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shd w:val="clear" w:color="auto" w:fill="D9E2F3" w:themeFill="accent1" w:themeFillTint="33"/>
            <w:vAlign w:val="center"/>
          </w:tcPr>
          <w:p w14:paraId="28D53320">
            <w:pPr>
              <w:widowControl/>
              <w:adjustRightInd w:val="0"/>
              <w:snapToGrid w:val="0"/>
              <w:spacing w:line="360" w:lineRule="auto"/>
              <w:jc w:val="center"/>
              <w:rPr>
                <w:rFonts w:ascii="宋体-简" w:hAnsi="宋体-简" w:eastAsia="宋体-简" w:cs="宋体-简"/>
                <w:b/>
                <w:bCs/>
                <w:color w:val="auto"/>
                <w:kern w:val="0"/>
                <w:sz w:val="24"/>
                <w:szCs w:val="24"/>
                <w:highlight w:val="none"/>
              </w:rPr>
            </w:pPr>
            <w:bookmarkStart w:id="0" w:name="_Hlk98248096"/>
            <w:r>
              <w:rPr>
                <w:rFonts w:hint="eastAsia" w:ascii="宋体-简" w:hAnsi="宋体-简" w:eastAsia="宋体-简" w:cs="宋体-简"/>
                <w:b/>
                <w:bCs/>
                <w:color w:val="auto"/>
                <w:kern w:val="0"/>
                <w:sz w:val="24"/>
                <w:szCs w:val="24"/>
                <w:highlight w:val="none"/>
              </w:rPr>
              <w:t>类别</w:t>
            </w:r>
          </w:p>
        </w:tc>
        <w:tc>
          <w:tcPr>
            <w:tcW w:w="781" w:type="pct"/>
            <w:shd w:val="clear" w:color="auto" w:fill="D9E2F3" w:themeFill="accent1" w:themeFillTint="33"/>
            <w:vAlign w:val="center"/>
          </w:tcPr>
          <w:p w14:paraId="1DABB26A">
            <w:pPr>
              <w:widowControl/>
              <w:adjustRightInd w:val="0"/>
              <w:snapToGrid w:val="0"/>
              <w:spacing w:line="360" w:lineRule="auto"/>
              <w:jc w:val="center"/>
              <w:rPr>
                <w:rFonts w:hint="eastAsia" w:ascii="宋体-简" w:hAnsi="宋体-简" w:eastAsia="宋体-简" w:cs="宋体-简"/>
                <w:b/>
                <w:bCs/>
                <w:color w:val="auto"/>
                <w:kern w:val="0"/>
                <w:sz w:val="24"/>
                <w:szCs w:val="24"/>
                <w:highlight w:val="none"/>
              </w:rPr>
            </w:pPr>
            <w:r>
              <w:rPr>
                <w:rFonts w:hint="eastAsia" w:ascii="宋体-简" w:hAnsi="宋体-简" w:eastAsia="宋体-简" w:cs="宋体-简"/>
                <w:b/>
                <w:bCs/>
                <w:color w:val="auto"/>
                <w:kern w:val="0"/>
                <w:sz w:val="24"/>
                <w:szCs w:val="24"/>
                <w:highlight w:val="none"/>
                <w:lang w:eastAsia="zh-CN"/>
              </w:rPr>
              <w:t>技术指标</w:t>
            </w:r>
          </w:p>
        </w:tc>
        <w:tc>
          <w:tcPr>
            <w:tcW w:w="3728" w:type="pct"/>
            <w:shd w:val="clear" w:color="auto" w:fill="D9E2F3" w:themeFill="accent1" w:themeFillTint="33"/>
            <w:vAlign w:val="center"/>
          </w:tcPr>
          <w:p w14:paraId="7D8D8D87">
            <w:pPr>
              <w:widowControl/>
              <w:adjustRightInd w:val="0"/>
              <w:snapToGrid w:val="0"/>
              <w:spacing w:line="360" w:lineRule="auto"/>
              <w:jc w:val="center"/>
              <w:rPr>
                <w:rFonts w:ascii="宋体-简" w:hAnsi="宋体-简" w:eastAsia="宋体-简" w:cs="宋体-简"/>
                <w:b/>
                <w:bCs/>
                <w:color w:val="auto"/>
                <w:kern w:val="0"/>
                <w:sz w:val="24"/>
                <w:szCs w:val="24"/>
                <w:highlight w:val="none"/>
              </w:rPr>
            </w:pPr>
            <w:r>
              <w:rPr>
                <w:rFonts w:hint="eastAsia" w:ascii="宋体-简" w:hAnsi="宋体-简" w:eastAsia="宋体-简" w:cs="宋体-简"/>
                <w:b/>
                <w:bCs/>
                <w:color w:val="auto"/>
                <w:kern w:val="0"/>
                <w:sz w:val="24"/>
                <w:szCs w:val="24"/>
                <w:highlight w:val="none"/>
              </w:rPr>
              <w:t>技术</w:t>
            </w:r>
            <w:r>
              <w:rPr>
                <w:rFonts w:hint="eastAsia" w:ascii="宋体-简" w:hAnsi="宋体-简" w:eastAsia="宋体-简" w:cs="宋体-简"/>
                <w:b/>
                <w:bCs/>
                <w:color w:val="auto"/>
                <w:kern w:val="0"/>
                <w:sz w:val="24"/>
                <w:szCs w:val="24"/>
                <w:highlight w:val="none"/>
                <w:lang w:eastAsia="zh-CN"/>
              </w:rPr>
              <w:t>指标具体</w:t>
            </w:r>
            <w:r>
              <w:rPr>
                <w:rFonts w:hint="eastAsia" w:ascii="宋体-简" w:hAnsi="宋体-简" w:eastAsia="宋体-简" w:cs="宋体-简"/>
                <w:b/>
                <w:bCs/>
                <w:color w:val="auto"/>
                <w:kern w:val="0"/>
                <w:sz w:val="24"/>
                <w:szCs w:val="24"/>
                <w:highlight w:val="none"/>
              </w:rPr>
              <w:t>要求</w:t>
            </w:r>
          </w:p>
        </w:tc>
      </w:tr>
      <w:bookmarkEnd w:id="0"/>
      <w:tr w14:paraId="1427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restart"/>
            <w:tcBorders>
              <w:top w:val="single" w:color="auto" w:sz="4" w:space="0"/>
              <w:left w:val="single" w:color="auto" w:sz="4" w:space="0"/>
              <w:right w:val="single" w:color="auto" w:sz="4" w:space="0"/>
            </w:tcBorders>
            <w:shd w:val="clear" w:color="auto" w:fill="auto"/>
            <w:vAlign w:val="center"/>
          </w:tcPr>
          <w:p w14:paraId="4A74F352">
            <w:pPr>
              <w:widowControl/>
              <w:adjustRightInd w:val="0"/>
              <w:snapToGrid w:val="0"/>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基本要求</w:t>
            </w: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134BC10D">
            <w:pPr>
              <w:widowControl/>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品牌</w:t>
            </w:r>
            <w:r>
              <w:rPr>
                <w:rFonts w:hint="eastAsia" w:ascii="宋体" w:hAnsi="宋体" w:eastAsia="宋体" w:cs="宋体"/>
                <w:color w:val="auto"/>
                <w:kern w:val="0"/>
                <w:sz w:val="24"/>
                <w:szCs w:val="24"/>
                <w:highlight w:val="none"/>
                <w:lang w:eastAsia="zh-CN"/>
              </w:rPr>
              <w:t>要求</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062A371C">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符合国家相关安全可靠、自主可控要求的</w:t>
            </w:r>
            <w:r>
              <w:rPr>
                <w:rFonts w:hint="eastAsia" w:ascii="Times New Roman" w:hAnsi="Times New Roman" w:eastAsia="宋体" w:cs="Times New Roman"/>
                <w:color w:val="auto"/>
                <w:sz w:val="24"/>
                <w:szCs w:val="24"/>
                <w:highlight w:val="none"/>
              </w:rPr>
              <w:t>国产品</w:t>
            </w:r>
            <w:r>
              <w:rPr>
                <w:rFonts w:ascii="Times New Roman" w:hAnsi="Times New Roman" w:eastAsia="宋体" w:cs="Times New Roman"/>
                <w:color w:val="auto"/>
                <w:sz w:val="24"/>
                <w:szCs w:val="24"/>
                <w:highlight w:val="none"/>
              </w:rPr>
              <w:t>牌</w:t>
            </w:r>
            <w:r>
              <w:rPr>
                <w:rFonts w:hint="eastAsia" w:ascii="Times New Roman" w:hAnsi="Times New Roman" w:eastAsia="宋体" w:cs="Times New Roman"/>
                <w:color w:val="auto"/>
                <w:sz w:val="24"/>
                <w:szCs w:val="24"/>
                <w:highlight w:val="none"/>
                <w:lang w:eastAsia="zh-CN"/>
              </w:rPr>
              <w:t>。</w:t>
            </w:r>
          </w:p>
        </w:tc>
      </w:tr>
      <w:tr w14:paraId="4FAE4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continue"/>
            <w:tcBorders>
              <w:top w:val="single" w:color="auto" w:sz="4" w:space="0"/>
              <w:left w:val="single" w:color="auto" w:sz="4" w:space="0"/>
              <w:right w:val="single" w:color="auto" w:sz="4" w:space="0"/>
            </w:tcBorders>
            <w:shd w:val="clear" w:color="auto" w:fill="auto"/>
            <w:vAlign w:val="center"/>
          </w:tcPr>
          <w:p w14:paraId="7883DB0E">
            <w:pPr>
              <w:widowControl/>
              <w:adjustRightInd w:val="0"/>
              <w:snapToGrid w:val="0"/>
              <w:jc w:val="center"/>
              <w:rPr>
                <w:rFonts w:ascii="宋体" w:hAnsi="宋体" w:eastAsia="宋体" w:cs="宋体"/>
                <w:b/>
                <w:bCs/>
                <w:color w:val="auto"/>
                <w:kern w:val="0"/>
                <w:sz w:val="24"/>
                <w:szCs w:val="24"/>
                <w:highlight w:val="none"/>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73B8014F">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软件授权</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332624BE">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提供满足本项目使用所需的正版软件授权</w:t>
            </w:r>
            <w:r>
              <w:rPr>
                <w:rFonts w:hint="eastAsia" w:ascii="Times New Roman" w:hAnsi="Times New Roman" w:eastAsia="宋体" w:cs="Times New Roman"/>
                <w:color w:val="auto"/>
                <w:sz w:val="24"/>
                <w:szCs w:val="24"/>
                <w:highlight w:val="none"/>
                <w:lang w:eastAsia="zh-CN"/>
              </w:rPr>
              <w:t>。</w:t>
            </w:r>
          </w:p>
        </w:tc>
      </w:tr>
      <w:tr w14:paraId="671AF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continue"/>
            <w:tcBorders>
              <w:left w:val="single" w:color="auto" w:sz="4" w:space="0"/>
              <w:right w:val="single" w:color="auto" w:sz="4" w:space="0"/>
            </w:tcBorders>
            <w:shd w:val="clear" w:color="auto" w:fill="auto"/>
            <w:vAlign w:val="center"/>
          </w:tcPr>
          <w:p w14:paraId="664598C2">
            <w:pPr>
              <w:widowControl/>
              <w:adjustRightInd w:val="0"/>
              <w:snapToGrid w:val="0"/>
              <w:jc w:val="center"/>
              <w:rPr>
                <w:rFonts w:ascii="宋体" w:hAnsi="宋体" w:eastAsia="宋体" w:cs="宋体"/>
                <w:b/>
                <w:bCs/>
                <w:color w:val="auto"/>
                <w:kern w:val="0"/>
                <w:sz w:val="24"/>
                <w:szCs w:val="24"/>
                <w:highlight w:val="none"/>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28BE7A31">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软件界面</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661F194F">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支持中文界面，宜支持中英双语切换。</w:t>
            </w:r>
          </w:p>
        </w:tc>
      </w:tr>
      <w:tr w14:paraId="4DCE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9" w:type="pct"/>
            <w:vMerge w:val="continue"/>
            <w:tcBorders>
              <w:left w:val="single" w:color="auto" w:sz="4" w:space="0"/>
              <w:right w:val="single" w:color="auto" w:sz="4" w:space="0"/>
            </w:tcBorders>
            <w:shd w:val="clear" w:color="auto" w:fill="auto"/>
            <w:vAlign w:val="center"/>
          </w:tcPr>
          <w:p w14:paraId="412E3348">
            <w:pPr>
              <w:widowControl/>
              <w:adjustRightInd w:val="0"/>
              <w:snapToGrid w:val="0"/>
              <w:jc w:val="center"/>
              <w:rPr>
                <w:rFonts w:ascii="宋体" w:hAnsi="宋体" w:eastAsia="宋体" w:cs="宋体"/>
                <w:b/>
                <w:bCs/>
                <w:color w:val="auto"/>
                <w:kern w:val="0"/>
                <w:sz w:val="24"/>
                <w:szCs w:val="24"/>
                <w:highlight w:val="none"/>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27BD9B8A">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东文宋体" w:hAnsi="东文宋体" w:eastAsia="东文宋体" w:cs="东文宋体"/>
                <w:color w:val="auto"/>
                <w:highlight w:val="none"/>
              </w:rPr>
              <w:t>▲</w:t>
            </w:r>
            <w:r>
              <w:rPr>
                <w:rFonts w:hint="eastAsia" w:ascii="宋体" w:hAnsi="宋体" w:eastAsia="宋体" w:cs="宋体"/>
                <w:color w:val="auto"/>
                <w:kern w:val="0"/>
                <w:sz w:val="24"/>
                <w:szCs w:val="24"/>
                <w:highlight w:val="none"/>
              </w:rPr>
              <w:t>软件架构</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7BFF222A">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基于B/S架构实现，支持主流浏览器（如Firefox、Chrome等）访问。</w:t>
            </w:r>
          </w:p>
        </w:tc>
      </w:tr>
      <w:tr w14:paraId="1765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continue"/>
            <w:tcBorders>
              <w:left w:val="single" w:color="auto" w:sz="4" w:space="0"/>
              <w:right w:val="single" w:color="auto" w:sz="4" w:space="0"/>
            </w:tcBorders>
            <w:shd w:val="clear" w:color="auto" w:fill="auto"/>
            <w:vAlign w:val="center"/>
          </w:tcPr>
          <w:p w14:paraId="0B3C5F4E">
            <w:pPr>
              <w:widowControl/>
              <w:adjustRightInd w:val="0"/>
              <w:snapToGrid w:val="0"/>
              <w:jc w:val="center"/>
              <w:rPr>
                <w:rFonts w:ascii="宋体" w:hAnsi="宋体" w:eastAsia="宋体" w:cs="宋体"/>
                <w:b/>
                <w:bCs/>
                <w:color w:val="auto"/>
                <w:kern w:val="0"/>
                <w:sz w:val="24"/>
                <w:szCs w:val="24"/>
                <w:highlight w:val="none"/>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0EDE320F">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API接口</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0E375D0A">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提供标准二次开发接口RESTful API，满足进行个性化功能开发。</w:t>
            </w:r>
          </w:p>
        </w:tc>
      </w:tr>
      <w:tr w14:paraId="1EAE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continue"/>
            <w:tcBorders>
              <w:left w:val="single" w:color="auto" w:sz="4" w:space="0"/>
              <w:right w:val="single" w:color="auto" w:sz="4" w:space="0"/>
            </w:tcBorders>
            <w:shd w:val="clear" w:color="auto" w:fill="auto"/>
            <w:vAlign w:val="center"/>
          </w:tcPr>
          <w:p w14:paraId="5B3D3570">
            <w:pPr>
              <w:widowControl/>
              <w:adjustRightInd w:val="0"/>
              <w:snapToGrid w:val="0"/>
              <w:jc w:val="center"/>
              <w:rPr>
                <w:rFonts w:ascii="宋体" w:hAnsi="宋体" w:eastAsia="宋体" w:cs="宋体"/>
                <w:b/>
                <w:bCs/>
                <w:color w:val="auto"/>
                <w:kern w:val="0"/>
                <w:sz w:val="24"/>
                <w:szCs w:val="24"/>
                <w:highlight w:val="none"/>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692442B2">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服务高可用</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798D0D99">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支持系统弹性扩展和高可用，支持管理服务的双机热备，主从自动切换，确保业务服务稳定。</w:t>
            </w:r>
          </w:p>
        </w:tc>
      </w:tr>
      <w:tr w14:paraId="34F7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continue"/>
            <w:tcBorders>
              <w:left w:val="single" w:color="auto" w:sz="4" w:space="0"/>
              <w:right w:val="single" w:color="auto" w:sz="4" w:space="0"/>
            </w:tcBorders>
            <w:shd w:val="clear" w:color="auto" w:fill="auto"/>
            <w:vAlign w:val="center"/>
          </w:tcPr>
          <w:p w14:paraId="3E52FF28">
            <w:pPr>
              <w:widowControl/>
              <w:adjustRightInd w:val="0"/>
              <w:snapToGrid w:val="0"/>
              <w:jc w:val="center"/>
              <w:rPr>
                <w:rFonts w:ascii="宋体" w:hAnsi="宋体" w:eastAsia="宋体" w:cs="宋体"/>
                <w:b/>
                <w:bCs/>
                <w:color w:val="auto"/>
                <w:kern w:val="0"/>
                <w:sz w:val="24"/>
                <w:szCs w:val="24"/>
                <w:highlight w:val="none"/>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3B093CB9">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多架构支持</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447BC443">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支持调度X86、C86、ARM架构处理器</w:t>
            </w:r>
            <w:r>
              <w:rPr>
                <w:rFonts w:hint="eastAsia" w:ascii="Times New Roman" w:hAnsi="Times New Roman" w:eastAsia="宋体" w:cs="Times New Roman"/>
                <w:color w:val="auto"/>
                <w:sz w:val="24"/>
                <w:szCs w:val="24"/>
                <w:highlight w:val="none"/>
                <w:lang w:eastAsia="zh-CN"/>
              </w:rPr>
              <w:t>。</w:t>
            </w:r>
          </w:p>
        </w:tc>
      </w:tr>
      <w:tr w14:paraId="44F2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restart"/>
            <w:tcBorders>
              <w:top w:val="single" w:color="auto" w:sz="4" w:space="0"/>
              <w:left w:val="single" w:color="auto" w:sz="4" w:space="0"/>
              <w:right w:val="single" w:color="auto" w:sz="4" w:space="0"/>
            </w:tcBorders>
            <w:shd w:val="clear" w:color="auto" w:fill="auto"/>
            <w:vAlign w:val="center"/>
          </w:tcPr>
          <w:p w14:paraId="733DCD6B">
            <w:pPr>
              <w:widowControl/>
              <w:adjustRightInd w:val="0"/>
              <w:snapToGrid w:val="0"/>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统一门户</w:t>
            </w: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03D91DB5">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东文宋体" w:hAnsi="东文宋体" w:eastAsia="东文宋体" w:cs="东文宋体"/>
                <w:color w:val="auto"/>
                <w:highlight w:val="none"/>
              </w:rPr>
              <w:t>▲</w:t>
            </w:r>
            <w:r>
              <w:rPr>
                <w:rFonts w:hint="eastAsia" w:ascii="宋体" w:hAnsi="宋体" w:eastAsia="宋体" w:cs="宋体"/>
                <w:color w:val="auto"/>
                <w:kern w:val="0"/>
                <w:sz w:val="24"/>
                <w:szCs w:val="24"/>
                <w:highlight w:val="none"/>
              </w:rPr>
              <w:t>统一门户</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6C02628D">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提供计算服务运营能力，包括资源服务申请、资源审批、配额管理、数据管理、权限管理、分级管理、计费功能及集群自动化运维、集群运营状况分析等功能。可以实现科学计算、工程计算、人工智能等业务形态融合与门户统一。</w:t>
            </w:r>
          </w:p>
        </w:tc>
      </w:tr>
      <w:tr w14:paraId="3445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continue"/>
            <w:tcBorders>
              <w:left w:val="single" w:color="auto" w:sz="4" w:space="0"/>
              <w:right w:val="single" w:color="auto" w:sz="4" w:space="0"/>
            </w:tcBorders>
            <w:shd w:val="clear" w:color="auto" w:fill="auto"/>
            <w:vAlign w:val="center"/>
          </w:tcPr>
          <w:p w14:paraId="5150596E">
            <w:pPr>
              <w:widowControl/>
              <w:adjustRightInd w:val="0"/>
              <w:snapToGrid w:val="0"/>
              <w:jc w:val="center"/>
              <w:rPr>
                <w:rFonts w:ascii="宋体" w:hAnsi="宋体" w:eastAsia="宋体" w:cs="宋体"/>
                <w:b/>
                <w:bCs/>
                <w:color w:val="auto"/>
                <w:kern w:val="0"/>
                <w:sz w:val="24"/>
                <w:szCs w:val="24"/>
                <w:highlight w:val="none"/>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2FD32097">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资源管理</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67D3AC05">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支持对不同资源类型的申请进行审批，如试用资源、购买资源、资源配置变更、应用模版申请等类型；审批人在审批过程中可查看申请人信息、所需求资源信息、受理信息等</w:t>
            </w:r>
            <w:r>
              <w:rPr>
                <w:rFonts w:hint="eastAsia" w:ascii="Times New Roman" w:hAnsi="Times New Roman" w:eastAsia="宋体" w:cs="Times New Roman"/>
                <w:color w:val="auto"/>
                <w:sz w:val="24"/>
                <w:szCs w:val="24"/>
                <w:highlight w:val="none"/>
                <w:lang w:eastAsia="zh-CN"/>
              </w:rPr>
              <w:t>。</w:t>
            </w:r>
          </w:p>
        </w:tc>
      </w:tr>
      <w:tr w14:paraId="6F13D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continue"/>
            <w:tcBorders>
              <w:left w:val="single" w:color="auto" w:sz="4" w:space="0"/>
              <w:bottom w:val="single" w:color="auto" w:sz="4" w:space="0"/>
              <w:right w:val="single" w:color="auto" w:sz="4" w:space="0"/>
            </w:tcBorders>
            <w:shd w:val="clear" w:color="auto" w:fill="auto"/>
            <w:vAlign w:val="center"/>
          </w:tcPr>
          <w:p w14:paraId="455B41B3">
            <w:pPr>
              <w:widowControl/>
              <w:adjustRightInd w:val="0"/>
              <w:snapToGrid w:val="0"/>
              <w:jc w:val="center"/>
              <w:rPr>
                <w:rFonts w:ascii="宋体" w:hAnsi="宋体" w:eastAsia="宋体" w:cs="宋体"/>
                <w:b/>
                <w:bCs/>
                <w:color w:val="auto"/>
                <w:kern w:val="0"/>
                <w:sz w:val="24"/>
                <w:szCs w:val="24"/>
                <w:highlight w:val="none"/>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55CEEC0F">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资源上架</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15C4FEC9">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支持添加资源目录、方便用户在平台查看集群资源信息；</w:t>
            </w:r>
          </w:p>
          <w:p w14:paraId="3778732F">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支持灵活设置资源计费规则，不同资源可以设定不同的价格；</w:t>
            </w:r>
          </w:p>
          <w:p w14:paraId="5795D06B">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支持灵活设置资源服务类型，如共享型资源、独占型资源</w:t>
            </w:r>
            <w:r>
              <w:rPr>
                <w:rFonts w:hint="eastAsia" w:ascii="Times New Roman" w:hAnsi="Times New Roman" w:eastAsia="宋体" w:cs="Times New Roman"/>
                <w:color w:val="auto"/>
                <w:sz w:val="24"/>
                <w:szCs w:val="24"/>
                <w:highlight w:val="none"/>
                <w:lang w:eastAsia="zh-CN"/>
              </w:rPr>
              <w:t>。</w:t>
            </w:r>
          </w:p>
        </w:tc>
      </w:tr>
      <w:tr w14:paraId="6F9A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restart"/>
            <w:tcBorders>
              <w:top w:val="single" w:color="auto" w:sz="4" w:space="0"/>
              <w:left w:val="single" w:color="auto" w:sz="4" w:space="0"/>
              <w:right w:val="single" w:color="auto" w:sz="4" w:space="0"/>
            </w:tcBorders>
            <w:shd w:val="clear" w:color="auto" w:fill="auto"/>
            <w:vAlign w:val="center"/>
          </w:tcPr>
          <w:p w14:paraId="5677C8B2">
            <w:pPr>
              <w:widowControl/>
              <w:adjustRightInd w:val="0"/>
              <w:snapToGrid w:val="0"/>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科学计算/工程计算</w:t>
            </w: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02B67F71">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软件仓库</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65E25AAA">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提供本地软件仓库，集成HPC集群常用的各种开源和商业应用软件</w:t>
            </w:r>
            <w:r>
              <w:rPr>
                <w:rFonts w:hint="eastAsia" w:ascii="Times New Roman" w:hAnsi="Times New Roman" w:eastAsia="宋体" w:cs="Times New Roman"/>
                <w:color w:val="auto"/>
                <w:sz w:val="24"/>
                <w:szCs w:val="24"/>
                <w:highlight w:val="none"/>
                <w:lang w:eastAsia="zh-CN"/>
              </w:rPr>
              <w:t>；</w:t>
            </w:r>
          </w:p>
          <w:p w14:paraId="424D6135">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支持应用模版100+，业务场景更加灵活</w:t>
            </w:r>
            <w:r>
              <w:rPr>
                <w:rFonts w:hint="eastAsia" w:ascii="Times New Roman" w:hAnsi="Times New Roman" w:eastAsia="宋体" w:cs="Times New Roman"/>
                <w:color w:val="auto"/>
                <w:sz w:val="24"/>
                <w:szCs w:val="24"/>
                <w:highlight w:val="none"/>
                <w:lang w:eastAsia="zh-CN"/>
              </w:rPr>
              <w:t>；</w:t>
            </w:r>
          </w:p>
          <w:p w14:paraId="0F510796">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支持生命科学类软件工具 200+以上，材料模拟类软件工具 700+以上 ，气象海洋类软件工具120+以上、工业仿真类工具软件 120+以上</w:t>
            </w:r>
            <w:r>
              <w:rPr>
                <w:rFonts w:hint="eastAsia" w:ascii="Times New Roman" w:hAnsi="Times New Roman" w:eastAsia="宋体" w:cs="Times New Roman"/>
                <w:color w:val="auto"/>
                <w:sz w:val="24"/>
                <w:szCs w:val="24"/>
                <w:highlight w:val="none"/>
                <w:lang w:eastAsia="zh-CN"/>
              </w:rPr>
              <w:t>。</w:t>
            </w:r>
          </w:p>
        </w:tc>
      </w:tr>
      <w:tr w14:paraId="1A8C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continue"/>
            <w:tcBorders>
              <w:left w:val="single" w:color="auto" w:sz="4" w:space="0"/>
              <w:right w:val="single" w:color="auto" w:sz="4" w:space="0"/>
            </w:tcBorders>
            <w:shd w:val="clear" w:color="auto" w:fill="auto"/>
            <w:vAlign w:val="center"/>
          </w:tcPr>
          <w:p w14:paraId="6B3A3CA9">
            <w:pPr>
              <w:widowControl/>
              <w:adjustRightInd w:val="0"/>
              <w:snapToGrid w:val="0"/>
              <w:jc w:val="center"/>
              <w:rPr>
                <w:rFonts w:ascii="宋体" w:hAnsi="宋体" w:eastAsia="宋体" w:cs="宋体"/>
                <w:b/>
                <w:bCs/>
                <w:color w:val="auto"/>
                <w:kern w:val="0"/>
                <w:sz w:val="24"/>
                <w:szCs w:val="24"/>
                <w:highlight w:val="none"/>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4FE7BB93">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应用申请</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729A93B9">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支持用户订阅开通、申请开通应用Portal，应用申请开通后，支持模版提交、作业提交、图形提交等作业提交方式</w:t>
            </w:r>
            <w:r>
              <w:rPr>
                <w:rFonts w:hint="eastAsia" w:ascii="Times New Roman" w:hAnsi="Times New Roman" w:eastAsia="宋体" w:cs="Times New Roman"/>
                <w:color w:val="auto"/>
                <w:sz w:val="24"/>
                <w:szCs w:val="24"/>
                <w:highlight w:val="none"/>
                <w:lang w:eastAsia="zh-CN"/>
              </w:rPr>
              <w:t>。</w:t>
            </w:r>
          </w:p>
        </w:tc>
      </w:tr>
      <w:tr w14:paraId="4707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continue"/>
            <w:tcBorders>
              <w:left w:val="single" w:color="auto" w:sz="4" w:space="0"/>
              <w:right w:val="single" w:color="auto" w:sz="4" w:space="0"/>
            </w:tcBorders>
            <w:shd w:val="clear" w:color="auto" w:fill="auto"/>
            <w:vAlign w:val="center"/>
          </w:tcPr>
          <w:p w14:paraId="51085B3E">
            <w:pPr>
              <w:widowControl/>
              <w:adjustRightInd w:val="0"/>
              <w:snapToGrid w:val="0"/>
              <w:jc w:val="center"/>
              <w:rPr>
                <w:rFonts w:ascii="宋体" w:hAnsi="宋体" w:eastAsia="宋体" w:cs="宋体"/>
                <w:b/>
                <w:bCs/>
                <w:color w:val="auto"/>
                <w:kern w:val="0"/>
                <w:sz w:val="24"/>
                <w:szCs w:val="24"/>
                <w:highlight w:val="none"/>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0E7F357D">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历史作业管理</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3A969FB4">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支持基于Web的历史作业管理，允许浏览和下载工作目录下的文件。</w:t>
            </w:r>
          </w:p>
        </w:tc>
      </w:tr>
      <w:tr w14:paraId="5264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restart"/>
            <w:tcBorders>
              <w:top w:val="single" w:color="auto" w:sz="4" w:space="0"/>
              <w:left w:val="single" w:color="auto" w:sz="4" w:space="0"/>
              <w:right w:val="single" w:color="auto" w:sz="4" w:space="0"/>
            </w:tcBorders>
            <w:shd w:val="clear" w:color="auto" w:fill="auto"/>
            <w:vAlign w:val="center"/>
          </w:tcPr>
          <w:p w14:paraId="4DE59FE1">
            <w:pPr>
              <w:widowControl/>
              <w:adjustRightInd w:val="0"/>
              <w:snapToGrid w:val="0"/>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调度策略</w:t>
            </w: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24496F41">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先来先服务FCFS</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4CD3533B">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每次调度都是从排队作业队列中选择一个或多个最先进入该队列的作业。</w:t>
            </w:r>
          </w:p>
        </w:tc>
      </w:tr>
      <w:tr w14:paraId="67F6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continue"/>
            <w:tcBorders>
              <w:left w:val="single" w:color="auto" w:sz="4" w:space="0"/>
              <w:right w:val="single" w:color="auto" w:sz="4" w:space="0"/>
            </w:tcBorders>
            <w:shd w:val="clear" w:color="auto" w:fill="auto"/>
            <w:vAlign w:val="center"/>
          </w:tcPr>
          <w:p w14:paraId="529E022A">
            <w:pPr>
              <w:widowControl/>
              <w:adjustRightInd w:val="0"/>
              <w:snapToGrid w:val="0"/>
              <w:jc w:val="center"/>
              <w:rPr>
                <w:rFonts w:ascii="宋体" w:hAnsi="宋体" w:eastAsia="宋体" w:cs="宋体"/>
                <w:b/>
                <w:bCs/>
                <w:color w:val="auto"/>
                <w:kern w:val="0"/>
                <w:sz w:val="24"/>
                <w:szCs w:val="24"/>
                <w:highlight w:val="none"/>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19C3C243">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分区并行调度</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3A65E812">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多分区场景下，在执行作业调度时，系统自动根据分区之间节点复用情况，为无节点复用的分区创建独立调度线程，复用同一批节点的多个分区共用一个调度线程，消除调度上其他分区对资源独立分区的影响，提升作业的调度效率。</w:t>
            </w:r>
          </w:p>
        </w:tc>
      </w:tr>
      <w:tr w14:paraId="6CDA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continue"/>
            <w:tcBorders>
              <w:left w:val="single" w:color="auto" w:sz="4" w:space="0"/>
              <w:bottom w:val="single" w:color="auto" w:sz="4" w:space="0"/>
              <w:right w:val="single" w:color="auto" w:sz="4" w:space="0"/>
            </w:tcBorders>
            <w:shd w:val="clear" w:color="auto" w:fill="auto"/>
            <w:vAlign w:val="center"/>
          </w:tcPr>
          <w:p w14:paraId="4C964269">
            <w:pPr>
              <w:widowControl/>
              <w:adjustRightInd w:val="0"/>
              <w:snapToGrid w:val="0"/>
              <w:jc w:val="center"/>
              <w:rPr>
                <w:rFonts w:ascii="宋体" w:hAnsi="宋体" w:eastAsia="宋体" w:cs="宋体"/>
                <w:b/>
                <w:bCs/>
                <w:color w:val="auto"/>
                <w:kern w:val="0"/>
                <w:sz w:val="24"/>
                <w:szCs w:val="24"/>
                <w:highlight w:val="none"/>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43CACFBD">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公平份额</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55C7D57A">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支持基于用户User和账号Account的公平份额调度，使得不同的用户/账号可以相对均衡的使用系统的共享计算资源。</w:t>
            </w:r>
          </w:p>
        </w:tc>
      </w:tr>
      <w:tr w14:paraId="541E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restart"/>
            <w:tcBorders>
              <w:top w:val="single" w:color="auto" w:sz="4" w:space="0"/>
              <w:left w:val="single" w:color="auto" w:sz="4" w:space="0"/>
              <w:right w:val="single" w:color="auto" w:sz="4" w:space="0"/>
            </w:tcBorders>
            <w:shd w:val="clear" w:color="auto" w:fill="auto"/>
            <w:vAlign w:val="center"/>
          </w:tcPr>
          <w:p w14:paraId="1899CA20">
            <w:pPr>
              <w:widowControl/>
              <w:adjustRightInd w:val="0"/>
              <w:snapToGrid w:val="0"/>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运维管理</w:t>
            </w: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45FAFFC0">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大屏</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495586D0">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提供存储监控、作业监控、集群监控等大屏仪表盘，直观的展示集群运行情况、节点使用情况、作业状态、集群资产等数据</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br w:type="textWrapping"/>
            </w:r>
            <w:r>
              <w:rPr>
                <w:rFonts w:hint="eastAsia" w:ascii="Times New Roman" w:hAnsi="Times New Roman" w:eastAsia="宋体" w:cs="Times New Roman"/>
                <w:color w:val="auto"/>
                <w:sz w:val="24"/>
                <w:szCs w:val="24"/>
                <w:highlight w:val="none"/>
              </w:rPr>
              <w:t>支持远程开关机等操作</w:t>
            </w:r>
            <w:r>
              <w:rPr>
                <w:rFonts w:hint="eastAsia" w:ascii="Times New Roman" w:hAnsi="Times New Roman" w:eastAsia="宋体" w:cs="Times New Roman"/>
                <w:color w:val="auto"/>
                <w:sz w:val="24"/>
                <w:szCs w:val="24"/>
                <w:highlight w:val="none"/>
                <w:lang w:eastAsia="zh-CN"/>
              </w:rPr>
              <w:t>。</w:t>
            </w:r>
          </w:p>
        </w:tc>
      </w:tr>
      <w:tr w14:paraId="3A64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continue"/>
            <w:tcBorders>
              <w:left w:val="single" w:color="auto" w:sz="4" w:space="0"/>
              <w:right w:val="single" w:color="auto" w:sz="4" w:space="0"/>
            </w:tcBorders>
            <w:shd w:val="clear" w:color="auto" w:fill="auto"/>
            <w:vAlign w:val="center"/>
          </w:tcPr>
          <w:p w14:paraId="60C4C85D">
            <w:pPr>
              <w:widowControl/>
              <w:adjustRightInd w:val="0"/>
              <w:snapToGrid w:val="0"/>
              <w:jc w:val="center"/>
              <w:rPr>
                <w:rFonts w:ascii="宋体" w:hAnsi="宋体" w:cs="宋体"/>
                <w:b/>
                <w:bCs/>
                <w:color w:val="auto"/>
                <w:sz w:val="18"/>
                <w:szCs w:val="18"/>
                <w:highlight w:val="none"/>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4F62F3A9">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监控首页</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10519ECF">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支持集群负载，集群功耗，共享存储等统计分析</w:t>
            </w:r>
            <w:r>
              <w:rPr>
                <w:rFonts w:hint="eastAsia" w:ascii="Times New Roman" w:hAnsi="Times New Roman" w:eastAsia="宋体" w:cs="Times New Roman"/>
                <w:color w:val="auto"/>
                <w:sz w:val="24"/>
                <w:szCs w:val="24"/>
                <w:highlight w:val="none"/>
                <w:lang w:eastAsia="zh-CN"/>
              </w:rPr>
              <w:t>。</w:t>
            </w:r>
          </w:p>
        </w:tc>
      </w:tr>
      <w:tr w14:paraId="1460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9" w:type="pct"/>
            <w:vMerge w:val="continue"/>
            <w:tcBorders>
              <w:left w:val="single" w:color="auto" w:sz="4" w:space="0"/>
              <w:right w:val="single" w:color="auto" w:sz="4" w:space="0"/>
            </w:tcBorders>
            <w:shd w:val="clear" w:color="auto" w:fill="auto"/>
            <w:vAlign w:val="center"/>
          </w:tcPr>
          <w:p w14:paraId="6E269B8D">
            <w:pPr>
              <w:widowControl/>
              <w:adjustRightInd w:val="0"/>
              <w:snapToGrid w:val="0"/>
              <w:jc w:val="center"/>
              <w:rPr>
                <w:rFonts w:ascii="宋体" w:hAnsi="宋体" w:cs="宋体"/>
                <w:b/>
                <w:bCs/>
                <w:color w:val="auto"/>
                <w:sz w:val="18"/>
                <w:szCs w:val="18"/>
                <w:highlight w:val="none"/>
              </w:rPr>
            </w:pPr>
          </w:p>
        </w:tc>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14:paraId="22D48C4E">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流程管理</w:t>
            </w:r>
          </w:p>
        </w:tc>
        <w:tc>
          <w:tcPr>
            <w:tcW w:w="3728" w:type="pct"/>
            <w:tcBorders>
              <w:top w:val="single" w:color="auto" w:sz="4" w:space="0"/>
              <w:left w:val="single" w:color="auto" w:sz="4" w:space="0"/>
              <w:bottom w:val="single" w:color="auto" w:sz="4" w:space="0"/>
              <w:right w:val="single" w:color="auto" w:sz="4" w:space="0"/>
            </w:tcBorders>
            <w:shd w:val="clear" w:color="auto" w:fill="auto"/>
            <w:vAlign w:val="center"/>
          </w:tcPr>
          <w:p w14:paraId="3EB8C383">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支持用户按需以拖拽方式自定义流程，包括流程中每个环节的处理人、操作项等。</w:t>
            </w:r>
          </w:p>
        </w:tc>
      </w:tr>
    </w:tbl>
    <w:p w14:paraId="2FEDB963">
      <w:pPr>
        <w:rPr>
          <w:rFonts w:hint="eastAsia" w:ascii="宋体" w:hAnsi="宋体" w:eastAsia="宋体"/>
          <w:color w:val="auto"/>
          <w:sz w:val="28"/>
          <w:szCs w:val="28"/>
          <w:highlight w:val="none"/>
        </w:rPr>
      </w:pPr>
    </w:p>
    <w:p w14:paraId="42D08290">
      <w:pPr>
        <w:rPr>
          <w:rFonts w:ascii="宋体" w:hAnsi="宋体" w:eastAsia="宋体"/>
          <w:color w:val="auto"/>
          <w:sz w:val="28"/>
          <w:szCs w:val="28"/>
          <w:highlight w:val="none"/>
        </w:rPr>
      </w:pPr>
      <w:r>
        <w:rPr>
          <w:rFonts w:hint="eastAsia" w:ascii="宋体" w:hAnsi="宋体" w:eastAsia="宋体"/>
          <w:color w:val="auto"/>
          <w:sz w:val="28"/>
          <w:szCs w:val="28"/>
          <w:highlight w:val="none"/>
        </w:rPr>
        <w:t>4</w:t>
      </w:r>
      <w:r>
        <w:rPr>
          <w:rFonts w:ascii="宋体" w:hAnsi="宋体" w:eastAsia="宋体"/>
          <w:color w:val="auto"/>
          <w:sz w:val="28"/>
          <w:szCs w:val="28"/>
          <w:highlight w:val="none"/>
        </w:rPr>
        <w:t xml:space="preserve">.3 </w:t>
      </w:r>
      <w:r>
        <w:rPr>
          <w:rFonts w:hint="eastAsia" w:ascii="宋体" w:hAnsi="宋体" w:eastAsia="宋体"/>
          <w:color w:val="auto"/>
          <w:sz w:val="28"/>
          <w:szCs w:val="28"/>
          <w:highlight w:val="none"/>
        </w:rPr>
        <w:t>AI管理平台</w:t>
      </w:r>
    </w:p>
    <w:p w14:paraId="590C211B">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AI管理平台应支持AI模型训练、轻量化微调、推理部署、模型服务发布、资源监控和任务管理等能力。</w:t>
      </w:r>
    </w:p>
    <w:tbl>
      <w:tblPr>
        <w:tblStyle w:val="9"/>
        <w:tblW w:w="501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1195"/>
        <w:gridCol w:w="7612"/>
      </w:tblGrid>
      <w:tr w14:paraId="3894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93" w:type="pct"/>
            <w:shd w:val="clear" w:color="auto" w:fill="D9E2F3" w:themeFill="accent1" w:themeFillTint="33"/>
            <w:vAlign w:val="center"/>
          </w:tcPr>
          <w:p w14:paraId="4A2AFE64">
            <w:pPr>
              <w:widowControl/>
              <w:adjustRightInd w:val="0"/>
              <w:snapToGrid w:val="0"/>
              <w:spacing w:line="360" w:lineRule="auto"/>
              <w:jc w:val="center"/>
              <w:rPr>
                <w:rFonts w:ascii="宋体-简" w:hAnsi="宋体-简" w:eastAsia="宋体-简" w:cs="宋体-简"/>
                <w:b/>
                <w:bCs/>
                <w:color w:val="auto"/>
                <w:kern w:val="0"/>
                <w:sz w:val="24"/>
                <w:szCs w:val="24"/>
                <w:highlight w:val="none"/>
              </w:rPr>
            </w:pPr>
            <w:r>
              <w:rPr>
                <w:rFonts w:hint="eastAsia" w:ascii="宋体-简" w:hAnsi="宋体-简" w:eastAsia="宋体-简" w:cs="宋体-简"/>
                <w:b/>
                <w:bCs/>
                <w:color w:val="auto"/>
                <w:kern w:val="0"/>
                <w:sz w:val="24"/>
                <w:szCs w:val="24"/>
                <w:highlight w:val="none"/>
              </w:rPr>
              <w:t>类别</w:t>
            </w:r>
          </w:p>
        </w:tc>
        <w:tc>
          <w:tcPr>
            <w:tcW w:w="598" w:type="pct"/>
            <w:shd w:val="clear" w:color="auto" w:fill="D9E2F3" w:themeFill="accent1" w:themeFillTint="33"/>
            <w:vAlign w:val="center"/>
          </w:tcPr>
          <w:p w14:paraId="2A7BF817">
            <w:pPr>
              <w:widowControl/>
              <w:adjustRightInd w:val="0"/>
              <w:snapToGrid w:val="0"/>
              <w:spacing w:line="360" w:lineRule="auto"/>
              <w:jc w:val="center"/>
              <w:rPr>
                <w:rFonts w:ascii="宋体-简" w:hAnsi="宋体-简" w:eastAsia="宋体-简" w:cs="宋体-简"/>
                <w:b/>
                <w:bCs/>
                <w:color w:val="auto"/>
                <w:kern w:val="0"/>
                <w:sz w:val="24"/>
                <w:szCs w:val="24"/>
                <w:highlight w:val="none"/>
              </w:rPr>
            </w:pPr>
            <w:r>
              <w:rPr>
                <w:rFonts w:hint="eastAsia" w:ascii="宋体-简" w:hAnsi="宋体-简" w:eastAsia="宋体-简" w:cs="宋体-简"/>
                <w:b/>
                <w:bCs/>
                <w:color w:val="auto"/>
                <w:kern w:val="0"/>
                <w:sz w:val="24"/>
                <w:szCs w:val="24"/>
                <w:highlight w:val="none"/>
                <w:lang w:eastAsia="zh-CN"/>
              </w:rPr>
              <w:t>技术</w:t>
            </w:r>
            <w:r>
              <w:rPr>
                <w:rFonts w:hint="eastAsia" w:ascii="宋体-简" w:hAnsi="宋体-简" w:eastAsia="宋体-简" w:cs="宋体-简"/>
                <w:b/>
                <w:bCs/>
                <w:color w:val="auto"/>
                <w:kern w:val="0"/>
                <w:sz w:val="24"/>
                <w:szCs w:val="24"/>
                <w:highlight w:val="none"/>
              </w:rPr>
              <w:t>指标</w:t>
            </w:r>
          </w:p>
        </w:tc>
        <w:tc>
          <w:tcPr>
            <w:tcW w:w="3807" w:type="pct"/>
            <w:shd w:val="clear" w:color="auto" w:fill="D9E2F3" w:themeFill="accent1" w:themeFillTint="33"/>
            <w:vAlign w:val="center"/>
          </w:tcPr>
          <w:p w14:paraId="1A3E8A17">
            <w:pPr>
              <w:widowControl/>
              <w:adjustRightInd w:val="0"/>
              <w:snapToGrid w:val="0"/>
              <w:spacing w:line="360" w:lineRule="auto"/>
              <w:jc w:val="center"/>
              <w:rPr>
                <w:rFonts w:ascii="宋体-简" w:hAnsi="宋体-简" w:eastAsia="宋体-简" w:cs="宋体-简"/>
                <w:b/>
                <w:bCs/>
                <w:color w:val="auto"/>
                <w:kern w:val="0"/>
                <w:sz w:val="24"/>
                <w:szCs w:val="24"/>
                <w:highlight w:val="none"/>
              </w:rPr>
            </w:pPr>
            <w:r>
              <w:rPr>
                <w:rFonts w:hint="eastAsia" w:ascii="宋体-简" w:hAnsi="宋体-简" w:eastAsia="宋体-简" w:cs="宋体-简"/>
                <w:b/>
                <w:bCs/>
                <w:color w:val="auto"/>
                <w:kern w:val="0"/>
                <w:sz w:val="24"/>
                <w:szCs w:val="24"/>
                <w:highlight w:val="none"/>
              </w:rPr>
              <w:t>技术</w:t>
            </w:r>
            <w:r>
              <w:rPr>
                <w:rFonts w:hint="eastAsia" w:ascii="宋体-简" w:hAnsi="宋体-简" w:eastAsia="宋体-简" w:cs="宋体-简"/>
                <w:b/>
                <w:bCs/>
                <w:color w:val="auto"/>
                <w:kern w:val="0"/>
                <w:sz w:val="24"/>
                <w:szCs w:val="24"/>
                <w:highlight w:val="none"/>
                <w:lang w:eastAsia="zh-CN"/>
              </w:rPr>
              <w:t>指标具体</w:t>
            </w:r>
            <w:r>
              <w:rPr>
                <w:rFonts w:hint="eastAsia" w:ascii="宋体-简" w:hAnsi="宋体-简" w:eastAsia="宋体-简" w:cs="宋体-简"/>
                <w:b/>
                <w:bCs/>
                <w:color w:val="auto"/>
                <w:kern w:val="0"/>
                <w:sz w:val="24"/>
                <w:szCs w:val="24"/>
                <w:highlight w:val="none"/>
              </w:rPr>
              <w:t>要求</w:t>
            </w:r>
          </w:p>
        </w:tc>
      </w:tr>
      <w:tr w14:paraId="406B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3" w:type="pct"/>
            <w:vMerge w:val="restart"/>
            <w:shd w:val="clear" w:color="auto" w:fill="auto"/>
            <w:vAlign w:val="center"/>
          </w:tcPr>
          <w:p w14:paraId="7C27DE44">
            <w:pPr>
              <w:widowControl/>
              <w:adjustRightInd w:val="0"/>
              <w:snapToGrid w:val="0"/>
              <w:jc w:val="center"/>
              <w:rPr>
                <w:rFonts w:ascii="宋体-简" w:hAnsi="宋体-简" w:eastAsia="宋体-简" w:cs="宋体-简"/>
                <w:color w:val="auto"/>
                <w:kern w:val="0"/>
                <w:sz w:val="18"/>
                <w:szCs w:val="18"/>
                <w:highlight w:val="none"/>
              </w:rPr>
            </w:pPr>
            <w:r>
              <w:rPr>
                <w:rFonts w:hint="eastAsia" w:ascii="宋体" w:hAnsi="宋体" w:eastAsia="宋体" w:cs="宋体"/>
                <w:b/>
                <w:bCs/>
                <w:color w:val="auto"/>
                <w:kern w:val="0"/>
                <w:sz w:val="24"/>
                <w:szCs w:val="24"/>
                <w:highlight w:val="none"/>
              </w:rPr>
              <w:t>AI管理平台</w:t>
            </w:r>
          </w:p>
        </w:tc>
        <w:tc>
          <w:tcPr>
            <w:tcW w:w="598" w:type="pct"/>
            <w:shd w:val="clear" w:color="auto" w:fill="auto"/>
            <w:vAlign w:val="center"/>
          </w:tcPr>
          <w:p w14:paraId="078B1F64">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东文宋体" w:hAnsi="东文宋体" w:eastAsia="东文宋体" w:cs="东文宋体"/>
                <w:color w:val="auto"/>
                <w:highlight w:val="none"/>
              </w:rPr>
              <w:t>▲</w:t>
            </w:r>
            <w:r>
              <w:rPr>
                <w:rFonts w:hint="eastAsia" w:ascii="宋体" w:hAnsi="宋体" w:eastAsia="宋体" w:cs="宋体"/>
                <w:color w:val="auto"/>
                <w:kern w:val="0"/>
                <w:sz w:val="24"/>
                <w:szCs w:val="24"/>
                <w:highlight w:val="none"/>
              </w:rPr>
              <w:t>大模型对话服务</w:t>
            </w:r>
          </w:p>
        </w:tc>
        <w:tc>
          <w:tcPr>
            <w:tcW w:w="3807" w:type="pct"/>
            <w:shd w:val="clear" w:color="auto" w:fill="auto"/>
            <w:vAlign w:val="center"/>
          </w:tcPr>
          <w:p w14:paraId="00D9FF1C">
            <w:pPr>
              <w:widowControl/>
              <w:adjustRightInd w:val="0"/>
              <w:snapToGrid w:val="0"/>
              <w:spacing w:line="360" w:lineRule="auto"/>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支持多轮对话，提供会话记录管理能力；支持对话重新生成、复制、删除等能力。</w:t>
            </w:r>
          </w:p>
        </w:tc>
      </w:tr>
      <w:tr w14:paraId="2399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593" w:type="pct"/>
            <w:vMerge w:val="continue"/>
            <w:shd w:val="clear" w:color="auto" w:fill="auto"/>
            <w:vAlign w:val="center"/>
          </w:tcPr>
          <w:p w14:paraId="6E1D3C2B">
            <w:pPr>
              <w:adjustRightInd w:val="0"/>
              <w:snapToGrid w:val="0"/>
              <w:jc w:val="center"/>
              <w:rPr>
                <w:rFonts w:ascii="宋体-简" w:hAnsi="宋体-简" w:eastAsia="宋体-简" w:cs="宋体-简"/>
                <w:color w:val="auto"/>
                <w:kern w:val="0"/>
                <w:sz w:val="18"/>
                <w:szCs w:val="18"/>
                <w:highlight w:val="none"/>
              </w:rPr>
            </w:pPr>
          </w:p>
        </w:tc>
        <w:tc>
          <w:tcPr>
            <w:tcW w:w="598" w:type="pct"/>
            <w:shd w:val="clear" w:color="auto" w:fill="auto"/>
            <w:vAlign w:val="center"/>
          </w:tcPr>
          <w:p w14:paraId="66E0C842">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训练任务创建</w:t>
            </w:r>
          </w:p>
        </w:tc>
        <w:tc>
          <w:tcPr>
            <w:tcW w:w="3807" w:type="pct"/>
            <w:shd w:val="clear" w:color="auto" w:fill="auto"/>
            <w:vAlign w:val="center"/>
          </w:tcPr>
          <w:p w14:paraId="0A02667B">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基于docker容器的模型训练功能。对TensorFlow、PyTorch等框架提供在线模型编辑功能，用户可自定义训练使用的框架版本，容器数量，GPU数量，内存，GPU型号等资源，并且可以实时查看训练日志，监控各容器内资源使用状况</w:t>
            </w:r>
            <w:r>
              <w:rPr>
                <w:rFonts w:hint="eastAsia" w:ascii="Times New Roman" w:hAnsi="Times New Roman" w:eastAsia="宋体" w:cs="Times New Roman"/>
                <w:color w:val="auto"/>
                <w:sz w:val="24"/>
                <w:szCs w:val="24"/>
                <w:highlight w:val="none"/>
                <w:lang w:eastAsia="zh-CN"/>
              </w:rPr>
              <w:t>。</w:t>
            </w:r>
          </w:p>
        </w:tc>
      </w:tr>
      <w:tr w14:paraId="459D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593" w:type="pct"/>
            <w:vMerge w:val="continue"/>
            <w:shd w:val="clear" w:color="auto" w:fill="auto"/>
            <w:vAlign w:val="center"/>
          </w:tcPr>
          <w:p w14:paraId="7CAF99D2">
            <w:pPr>
              <w:adjustRightInd w:val="0"/>
              <w:snapToGrid w:val="0"/>
              <w:jc w:val="center"/>
              <w:rPr>
                <w:rFonts w:ascii="宋体-简" w:hAnsi="宋体-简" w:eastAsia="宋体-简" w:cs="宋体-简"/>
                <w:color w:val="auto"/>
                <w:kern w:val="0"/>
                <w:sz w:val="18"/>
                <w:szCs w:val="18"/>
                <w:highlight w:val="none"/>
              </w:rPr>
            </w:pPr>
          </w:p>
        </w:tc>
        <w:tc>
          <w:tcPr>
            <w:tcW w:w="598" w:type="pct"/>
            <w:shd w:val="clear" w:color="auto" w:fill="auto"/>
            <w:vAlign w:val="center"/>
          </w:tcPr>
          <w:p w14:paraId="1ED56DD1">
            <w:pPr>
              <w:widowControl/>
              <w:adjustRightInd w:val="0"/>
              <w:snapToGrid w:val="0"/>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多调度兼容</w:t>
            </w:r>
          </w:p>
        </w:tc>
        <w:tc>
          <w:tcPr>
            <w:tcW w:w="3807" w:type="pct"/>
            <w:shd w:val="clear" w:color="auto" w:fill="auto"/>
            <w:vAlign w:val="center"/>
          </w:tcPr>
          <w:p w14:paraId="31C8E213">
            <w:pPr>
              <w:widowControl/>
              <w:adjustRightInd w:val="0"/>
              <w:snapToGrid w:val="0"/>
              <w:spacing w:line="360" w:lineRule="auto"/>
              <w:jc w:val="left"/>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支持选择K8S等云原生调度器或者Slurm等高性能计算调度器作为调度引擎，适配不同的业务场景</w:t>
            </w:r>
            <w:r>
              <w:rPr>
                <w:rFonts w:hint="eastAsia" w:ascii="Times New Roman" w:hAnsi="Times New Roman" w:eastAsia="宋体" w:cs="Times New Roman"/>
                <w:color w:val="auto"/>
                <w:sz w:val="24"/>
                <w:szCs w:val="24"/>
                <w:highlight w:val="none"/>
                <w:lang w:eastAsia="zh-CN"/>
              </w:rPr>
              <w:t>。</w:t>
            </w:r>
          </w:p>
        </w:tc>
      </w:tr>
    </w:tbl>
    <w:p w14:paraId="7ABAEE9D">
      <w:pPr>
        <w:numPr>
          <w:ilvl w:val="-1"/>
          <w:numId w:val="0"/>
        </w:numPr>
        <w:ind w:left="0" w:firstLine="0"/>
        <w:rPr>
          <w:rFonts w:ascii="宋体" w:hAnsi="宋体" w:eastAsia="宋体"/>
          <w:color w:val="auto"/>
          <w:sz w:val="28"/>
          <w:szCs w:val="28"/>
          <w:highlight w:val="none"/>
        </w:rPr>
      </w:pPr>
    </w:p>
    <w:p w14:paraId="3F3987CC">
      <w:pPr>
        <w:numPr>
          <w:ilvl w:val="0"/>
          <w:numId w:val="1"/>
        </w:numPr>
        <w:ind w:left="0" w:firstLine="0"/>
        <w:rPr>
          <w:rFonts w:ascii="宋体" w:hAnsi="宋体" w:eastAsia="宋体"/>
          <w:color w:val="auto"/>
          <w:sz w:val="28"/>
          <w:szCs w:val="28"/>
          <w:highlight w:val="none"/>
        </w:rPr>
      </w:pPr>
      <w:r>
        <w:rPr>
          <w:rFonts w:hint="eastAsia" w:ascii="宋体" w:hAnsi="宋体" w:eastAsia="宋体"/>
          <w:color w:val="auto"/>
          <w:sz w:val="28"/>
          <w:szCs w:val="28"/>
          <w:highlight w:val="none"/>
        </w:rPr>
        <w:t>售后服务要求</w:t>
      </w:r>
    </w:p>
    <w:p w14:paraId="351A0EC0">
      <w:pPr>
        <w:widowControl/>
        <w:adjustRightInd w:val="0"/>
        <w:snapToGrid w:val="0"/>
        <w:spacing w:line="360" w:lineRule="auto"/>
        <w:ind w:firstLine="480" w:firstLineChars="200"/>
        <w:jc w:val="left"/>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提供</w:t>
      </w:r>
      <w:r>
        <w:rPr>
          <w:rFonts w:hint="eastAsia" w:ascii="Times New Roman" w:hAnsi="Times New Roman" w:eastAsia="宋体" w:cs="Times New Roman"/>
          <w:color w:val="auto"/>
          <w:sz w:val="24"/>
          <w:szCs w:val="24"/>
          <w:highlight w:val="none"/>
        </w:rPr>
        <w:t>自货物按合同规定验收合格之日起不短于36个月的免费质保</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质保期内设备出现的质量问题，卖方应在收到客户通知后负责对货物进行修复、替换或补足。在前述期限内，经卖方和客户双方协商一致后也可由买方和客户自行修补货物缺陷，由此产生的相关费用由卖方承担。卖方应向买方和客户员工提供设备运行、操作、维修和维护有关的培训，买方或客户无须另行支付费用。</w:t>
      </w:r>
    </w:p>
    <w:p w14:paraId="3DD3A90B">
      <w:pPr>
        <w:widowControl/>
        <w:adjustRightInd w:val="0"/>
        <w:snapToGrid w:val="0"/>
        <w:spacing w:line="360" w:lineRule="auto"/>
        <w:ind w:firstLine="480" w:firstLineChars="200"/>
        <w:jc w:val="left"/>
        <w:rPr>
          <w:rFonts w:ascii="Times New Roman" w:hAnsi="Times New Roman" w:eastAsia="宋体" w:cs="Times New Roman"/>
          <w:color w:val="auto"/>
          <w:sz w:val="24"/>
          <w:szCs w:val="24"/>
          <w:highlight w:val="none"/>
        </w:rPr>
      </w:pPr>
    </w:p>
    <w:p w14:paraId="254E267C">
      <w:pPr>
        <w:numPr>
          <w:ilvl w:val="0"/>
          <w:numId w:val="1"/>
        </w:numPr>
        <w:rPr>
          <w:rFonts w:ascii="宋体" w:hAnsi="宋体" w:eastAsia="宋体"/>
          <w:color w:val="auto"/>
          <w:sz w:val="28"/>
          <w:szCs w:val="28"/>
          <w:highlight w:val="none"/>
        </w:rPr>
      </w:pPr>
      <w:r>
        <w:rPr>
          <w:rFonts w:hint="eastAsia" w:ascii="宋体" w:hAnsi="宋体" w:eastAsia="宋体"/>
          <w:color w:val="auto"/>
          <w:sz w:val="28"/>
          <w:szCs w:val="28"/>
          <w:highlight w:val="none"/>
        </w:rPr>
        <w:t>设备安装与团队要求</w:t>
      </w:r>
    </w:p>
    <w:p w14:paraId="0EE502A8">
      <w:pPr>
        <w:widowControl/>
        <w:adjustRightInd w:val="0"/>
        <w:snapToGrid w:val="0"/>
        <w:spacing w:line="360" w:lineRule="auto"/>
        <w:ind w:firstLine="480" w:firstLineChars="200"/>
        <w:jc w:val="left"/>
        <w:rPr>
          <w:rFonts w:ascii="Times New Roman" w:hAnsi="Times New Roman" w:eastAsia="宋体" w:cs="Times New Roman"/>
          <w:color w:val="auto"/>
          <w:sz w:val="24"/>
          <w:szCs w:val="24"/>
          <w:highlight w:val="none"/>
          <w:lang w:bidi="ar"/>
        </w:rPr>
      </w:pPr>
      <w:r>
        <w:rPr>
          <w:rFonts w:hint="eastAsia" w:ascii="Times New Roman" w:hAnsi="Times New Roman" w:eastAsia="宋体" w:cs="Times New Roman"/>
          <w:color w:val="auto"/>
          <w:sz w:val="24"/>
          <w:szCs w:val="24"/>
          <w:highlight w:val="none"/>
          <w:lang w:bidi="ar"/>
        </w:rPr>
        <w:t>为规范本次“</w:t>
      </w:r>
      <w:r>
        <w:rPr>
          <w:rFonts w:ascii="Times New Roman" w:hAnsi="Times New Roman" w:eastAsia="宋体" w:cs="Times New Roman"/>
          <w:color w:val="auto"/>
          <w:sz w:val="24"/>
          <w:szCs w:val="24"/>
          <w:highlight w:val="none"/>
        </w:rPr>
        <w:t>城市多灾害仿真与AI训练推理需求的高性能算力平台</w:t>
      </w:r>
      <w:r>
        <w:rPr>
          <w:rFonts w:hint="eastAsia"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bidi="ar"/>
        </w:rPr>
        <w:t>部署项目实施管理，保障项目高质量、安全、按期完成，明确项目实施标准：</w:t>
      </w:r>
    </w:p>
    <w:p w14:paraId="57738DD5">
      <w:pPr>
        <w:widowControl/>
        <w:numPr>
          <w:ilvl w:val="0"/>
          <w:numId w:val="6"/>
        </w:numPr>
        <w:adjustRightInd w:val="0"/>
        <w:snapToGrid w:val="0"/>
        <w:spacing w:line="360" w:lineRule="auto"/>
        <w:ind w:firstLine="480" w:firstLineChars="200"/>
        <w:jc w:val="left"/>
        <w:rPr>
          <w:rFonts w:ascii="Times New Roman" w:hAnsi="Times New Roman" w:eastAsia="宋体" w:cs="Times New Roman"/>
          <w:color w:val="auto"/>
          <w:sz w:val="24"/>
          <w:szCs w:val="24"/>
          <w:highlight w:val="none"/>
          <w:lang w:bidi="ar"/>
        </w:rPr>
      </w:pPr>
      <w:r>
        <w:rPr>
          <w:rFonts w:hint="eastAsia" w:ascii="Times New Roman" w:hAnsi="Times New Roman" w:eastAsia="宋体" w:cs="Times New Roman"/>
          <w:color w:val="auto"/>
          <w:sz w:val="24"/>
          <w:szCs w:val="24"/>
          <w:highlight w:val="none"/>
          <w:lang w:bidi="ar"/>
        </w:rPr>
        <w:t>团队配置要求</w:t>
      </w:r>
    </w:p>
    <w:p w14:paraId="653FC933">
      <w:pPr>
        <w:widowControl/>
        <w:numPr>
          <w:ilvl w:val="255"/>
          <w:numId w:val="0"/>
        </w:numPr>
        <w:adjustRightInd w:val="0"/>
        <w:snapToGrid w:val="0"/>
        <w:spacing w:line="360" w:lineRule="auto"/>
        <w:ind w:firstLine="480" w:firstLineChars="200"/>
        <w:jc w:val="left"/>
        <w:rPr>
          <w:rFonts w:ascii="Times New Roman" w:hAnsi="Times New Roman" w:eastAsia="宋体" w:cs="Times New Roman"/>
          <w:color w:val="auto"/>
          <w:sz w:val="24"/>
          <w:szCs w:val="24"/>
          <w:highlight w:val="none"/>
          <w:lang w:bidi="ar"/>
        </w:rPr>
      </w:pPr>
      <w:r>
        <w:rPr>
          <w:rFonts w:hint="eastAsia" w:ascii="Times New Roman" w:hAnsi="Times New Roman" w:eastAsia="宋体" w:cs="Times New Roman"/>
          <w:color w:val="auto"/>
          <w:sz w:val="24"/>
          <w:szCs w:val="24"/>
          <w:highlight w:val="none"/>
          <w:lang w:bidi="ar"/>
        </w:rPr>
        <w:t>投标单位须保障项目部署、调试、上线全流程工作稳定推进，具体要求如下：</w:t>
      </w:r>
    </w:p>
    <w:p w14:paraId="390F52D8">
      <w:pPr>
        <w:widowControl/>
        <w:numPr>
          <w:ilvl w:val="1"/>
          <w:numId w:val="6"/>
        </w:numPr>
        <w:adjustRightInd w:val="0"/>
        <w:snapToGrid w:val="0"/>
        <w:spacing w:line="360" w:lineRule="auto"/>
        <w:ind w:firstLine="480" w:firstLineChars="200"/>
        <w:jc w:val="left"/>
        <w:rPr>
          <w:rFonts w:ascii="Times New Roman" w:hAnsi="Times New Roman" w:eastAsia="宋体" w:cs="Times New Roman"/>
          <w:color w:val="auto"/>
          <w:sz w:val="24"/>
          <w:szCs w:val="24"/>
          <w:highlight w:val="none"/>
          <w:lang w:bidi="ar"/>
        </w:rPr>
      </w:pPr>
      <w:r>
        <w:rPr>
          <w:rFonts w:hint="eastAsia" w:ascii="Times New Roman" w:hAnsi="Times New Roman" w:eastAsia="宋体" w:cs="Times New Roman"/>
          <w:color w:val="auto"/>
          <w:sz w:val="24"/>
          <w:szCs w:val="24"/>
          <w:highlight w:val="none"/>
          <w:lang w:bidi="ar"/>
        </w:rPr>
        <w:t>团队架构配置：团队人员配置不少于7人，包含</w:t>
      </w:r>
      <w:r>
        <w:rPr>
          <w:rFonts w:ascii="Times New Roman" w:hAnsi="Times New Roman" w:eastAsia="宋体" w:cs="Times New Roman"/>
          <w:color w:val="auto"/>
          <w:sz w:val="24"/>
          <w:szCs w:val="24"/>
          <w:highlight w:val="none"/>
          <w:lang w:bidi="ar"/>
        </w:rPr>
        <w:t>1名项目经理、2名服务器</w:t>
      </w:r>
      <w:r>
        <w:rPr>
          <w:rFonts w:hint="eastAsia" w:ascii="Times New Roman" w:hAnsi="Times New Roman" w:eastAsia="宋体" w:cs="Times New Roman"/>
          <w:color w:val="auto"/>
          <w:sz w:val="24"/>
          <w:szCs w:val="24"/>
          <w:highlight w:val="none"/>
          <w:lang w:bidi="ar"/>
        </w:rPr>
        <w:t>专家、</w:t>
      </w:r>
      <w:r>
        <w:rPr>
          <w:rFonts w:ascii="Times New Roman" w:hAnsi="Times New Roman" w:eastAsia="宋体" w:cs="Times New Roman"/>
          <w:color w:val="auto"/>
          <w:sz w:val="24"/>
          <w:szCs w:val="24"/>
          <w:highlight w:val="none"/>
          <w:lang w:bidi="ar"/>
        </w:rPr>
        <w:t>1名</w:t>
      </w:r>
      <w:r>
        <w:rPr>
          <w:rFonts w:hint="eastAsia" w:ascii="Times New Roman" w:hAnsi="Times New Roman" w:eastAsia="宋体" w:cs="Times New Roman"/>
          <w:color w:val="auto"/>
          <w:sz w:val="24"/>
          <w:szCs w:val="24"/>
          <w:highlight w:val="none"/>
          <w:lang w:bidi="ar"/>
        </w:rPr>
        <w:t>存储专家</w:t>
      </w:r>
      <w:r>
        <w:rPr>
          <w:rFonts w:ascii="Times New Roman" w:hAnsi="Times New Roman" w:eastAsia="宋体" w:cs="Times New Roman"/>
          <w:color w:val="auto"/>
          <w:sz w:val="24"/>
          <w:szCs w:val="24"/>
          <w:highlight w:val="none"/>
          <w:lang w:bidi="ar"/>
        </w:rPr>
        <w:t>、</w:t>
      </w:r>
      <w:r>
        <w:rPr>
          <w:rFonts w:hint="eastAsia" w:ascii="Times New Roman" w:hAnsi="Times New Roman" w:eastAsia="宋体" w:cs="Times New Roman"/>
          <w:color w:val="auto"/>
          <w:sz w:val="24"/>
          <w:szCs w:val="24"/>
          <w:highlight w:val="none"/>
          <w:lang w:bidi="ar"/>
        </w:rPr>
        <w:t>1名交付专家</w:t>
      </w:r>
      <w:r>
        <w:rPr>
          <w:rFonts w:ascii="Times New Roman" w:hAnsi="Times New Roman" w:eastAsia="宋体" w:cs="Times New Roman"/>
          <w:color w:val="auto"/>
          <w:sz w:val="24"/>
          <w:szCs w:val="24"/>
          <w:highlight w:val="none"/>
          <w:lang w:bidi="ar"/>
        </w:rPr>
        <w:t>、</w:t>
      </w:r>
      <w:r>
        <w:rPr>
          <w:rFonts w:hint="eastAsia" w:ascii="Times New Roman" w:hAnsi="Times New Roman" w:eastAsia="宋体" w:cs="Times New Roman"/>
          <w:color w:val="auto"/>
          <w:sz w:val="24"/>
          <w:szCs w:val="24"/>
          <w:highlight w:val="none"/>
          <w:lang w:bidi="ar"/>
        </w:rPr>
        <w:t>1名售后工程师及1名网络专家；人员岗位分工明确、权责清晰，可覆盖方案设计、部署实施、测试调优、安全管控、验收交付、售后运维全流程工作。</w:t>
      </w:r>
    </w:p>
    <w:p w14:paraId="2E3B8266">
      <w:pPr>
        <w:widowControl/>
        <w:numPr>
          <w:ilvl w:val="1"/>
          <w:numId w:val="6"/>
        </w:numPr>
        <w:adjustRightInd w:val="0"/>
        <w:snapToGrid w:val="0"/>
        <w:spacing w:line="360" w:lineRule="auto"/>
        <w:ind w:firstLine="480" w:firstLineChars="200"/>
        <w:jc w:val="left"/>
        <w:rPr>
          <w:rFonts w:ascii="Times New Roman" w:hAnsi="Times New Roman" w:eastAsia="宋体" w:cs="Times New Roman"/>
          <w:color w:val="auto"/>
          <w:sz w:val="24"/>
          <w:szCs w:val="24"/>
          <w:highlight w:val="none"/>
          <w:lang w:bidi="ar"/>
        </w:rPr>
      </w:pPr>
      <w:r>
        <w:rPr>
          <w:rFonts w:hint="eastAsia" w:ascii="Times New Roman" w:hAnsi="Times New Roman" w:eastAsia="宋体" w:cs="Times New Roman"/>
          <w:color w:val="auto"/>
          <w:sz w:val="24"/>
          <w:szCs w:val="24"/>
          <w:highlight w:val="none"/>
          <w:lang w:bidi="ar"/>
        </w:rPr>
        <w:t>服务要求：项目部署实施、上线调试及初验阶段，核心技术人员须配合招标方完成环境对接、问题整改、功能调优，确保集群部署进度与质量。</w:t>
      </w:r>
    </w:p>
    <w:p w14:paraId="5CF1D72A">
      <w:pPr>
        <w:widowControl/>
        <w:numPr>
          <w:ilvl w:val="1"/>
          <w:numId w:val="6"/>
        </w:numPr>
        <w:adjustRightInd w:val="0"/>
        <w:snapToGrid w:val="0"/>
        <w:spacing w:line="360" w:lineRule="auto"/>
        <w:ind w:firstLine="480" w:firstLineChars="200"/>
        <w:jc w:val="left"/>
        <w:rPr>
          <w:rFonts w:ascii="Times New Roman" w:hAnsi="Times New Roman" w:eastAsia="宋体" w:cs="Times New Roman"/>
          <w:color w:val="auto"/>
          <w:sz w:val="24"/>
          <w:szCs w:val="24"/>
          <w:highlight w:val="none"/>
          <w:lang w:bidi="ar"/>
        </w:rPr>
      </w:pPr>
      <w:r>
        <w:rPr>
          <w:rFonts w:hint="eastAsia" w:ascii="Times New Roman" w:hAnsi="Times New Roman" w:eastAsia="宋体" w:cs="Times New Roman"/>
          <w:color w:val="auto"/>
          <w:sz w:val="24"/>
          <w:szCs w:val="24"/>
          <w:highlight w:val="none"/>
          <w:lang w:bidi="ar"/>
        </w:rPr>
        <w:t>团队佐证材料：投标时须提交完整的项目团队架构表、人员清单，明确各人员岗位职责、服务周期，所有资料加盖投标单位公章，作为投标评审及履约核查依据。</w:t>
      </w:r>
    </w:p>
    <w:p w14:paraId="44F0B2D8">
      <w:pPr>
        <w:widowControl/>
        <w:numPr>
          <w:ilvl w:val="0"/>
          <w:numId w:val="6"/>
        </w:numPr>
        <w:adjustRightInd w:val="0"/>
        <w:snapToGrid w:val="0"/>
        <w:spacing w:line="360" w:lineRule="auto"/>
        <w:ind w:firstLine="480" w:firstLineChars="200"/>
        <w:jc w:val="left"/>
        <w:rPr>
          <w:rFonts w:ascii="Times New Roman" w:hAnsi="Times New Roman" w:eastAsia="宋体" w:cs="Times New Roman"/>
          <w:color w:val="auto"/>
          <w:sz w:val="24"/>
          <w:szCs w:val="24"/>
          <w:highlight w:val="none"/>
          <w:lang w:bidi="ar"/>
        </w:rPr>
      </w:pPr>
      <w:r>
        <w:rPr>
          <w:rFonts w:hint="eastAsia" w:ascii="Times New Roman" w:hAnsi="Times New Roman" w:eastAsia="宋体" w:cs="Times New Roman"/>
          <w:color w:val="auto"/>
          <w:sz w:val="24"/>
          <w:szCs w:val="24"/>
          <w:highlight w:val="none"/>
          <w:lang w:bidi="ar"/>
        </w:rPr>
        <w:t>人员要求</w:t>
      </w:r>
    </w:p>
    <w:p w14:paraId="70BB95A0">
      <w:pPr>
        <w:widowControl/>
        <w:adjustRightInd w:val="0"/>
        <w:snapToGrid w:val="0"/>
        <w:spacing w:line="360" w:lineRule="auto"/>
        <w:ind w:left="420" w:leftChars="200" w:firstLine="480" w:firstLineChars="200"/>
        <w:jc w:val="left"/>
        <w:rPr>
          <w:rFonts w:ascii="Times New Roman" w:hAnsi="Times New Roman" w:eastAsia="宋体" w:cs="Times New Roman"/>
          <w:color w:val="auto"/>
          <w:sz w:val="24"/>
          <w:szCs w:val="24"/>
          <w:highlight w:val="none"/>
          <w:lang w:bidi="ar"/>
        </w:rPr>
      </w:pPr>
      <w:r>
        <w:rPr>
          <w:rFonts w:ascii="Times New Roman" w:hAnsi="Times New Roman" w:eastAsia="宋体" w:cs="Times New Roman"/>
          <w:color w:val="auto"/>
          <w:sz w:val="24"/>
          <w:szCs w:val="24"/>
          <w:highlight w:val="none"/>
          <w:lang w:bidi="ar"/>
        </w:rPr>
        <w:t>本项目所有进场实施人员须具备专业从业</w:t>
      </w:r>
      <w:r>
        <w:rPr>
          <w:rFonts w:hint="eastAsia" w:ascii="Times New Roman" w:hAnsi="Times New Roman" w:eastAsia="宋体" w:cs="Times New Roman"/>
          <w:color w:val="auto"/>
          <w:sz w:val="24"/>
          <w:szCs w:val="24"/>
          <w:highlight w:val="none"/>
          <w:lang w:eastAsia="zh-CN" w:bidi="ar"/>
        </w:rPr>
        <w:t>要求</w:t>
      </w:r>
      <w:r>
        <w:rPr>
          <w:rFonts w:ascii="Times New Roman" w:hAnsi="Times New Roman" w:eastAsia="宋体" w:cs="Times New Roman"/>
          <w:color w:val="auto"/>
          <w:sz w:val="24"/>
          <w:szCs w:val="24"/>
          <w:highlight w:val="none"/>
          <w:lang w:bidi="ar"/>
        </w:rPr>
        <w:t>与实操经验，无不良从业记录，满足集群高可用部署、故障处置的专业要求</w:t>
      </w:r>
      <w:r>
        <w:rPr>
          <w:rFonts w:hint="eastAsia" w:ascii="Times New Roman" w:hAnsi="Times New Roman" w:eastAsia="宋体" w:cs="Times New Roman"/>
          <w:color w:val="auto"/>
          <w:sz w:val="24"/>
          <w:szCs w:val="24"/>
          <w:highlight w:val="none"/>
          <w:lang w:bidi="ar"/>
        </w:rPr>
        <w:t>通用要求</w:t>
      </w:r>
      <w:r>
        <w:rPr>
          <w:rFonts w:hint="eastAsia" w:ascii="Times New Roman" w:hAnsi="Times New Roman" w:eastAsia="宋体" w:cs="Times New Roman"/>
          <w:color w:val="auto"/>
          <w:sz w:val="24"/>
          <w:szCs w:val="24"/>
          <w:highlight w:val="none"/>
          <w:lang w:eastAsia="zh-CN" w:bidi="ar"/>
        </w:rPr>
        <w:t>。</w:t>
      </w:r>
      <w:r>
        <w:rPr>
          <w:rFonts w:hint="eastAsia" w:ascii="Times New Roman" w:hAnsi="Times New Roman" w:eastAsia="宋体" w:cs="Times New Roman"/>
          <w:color w:val="auto"/>
          <w:sz w:val="24"/>
          <w:szCs w:val="24"/>
          <w:highlight w:val="none"/>
          <w:lang w:bidi="ar"/>
        </w:rPr>
        <w:t>投标时须完整提交所有团队人员身份证，所有材料加盖投标单位公章。</w:t>
      </w:r>
    </w:p>
    <w:p w14:paraId="63C65CD8">
      <w:pPr>
        <w:widowControl/>
        <w:numPr>
          <w:ilvl w:val="0"/>
          <w:numId w:val="6"/>
        </w:numPr>
        <w:adjustRightInd w:val="0"/>
        <w:snapToGrid w:val="0"/>
        <w:spacing w:line="360" w:lineRule="auto"/>
        <w:ind w:firstLine="480" w:firstLineChars="200"/>
        <w:jc w:val="left"/>
        <w:rPr>
          <w:rFonts w:ascii="Times New Roman" w:hAnsi="Times New Roman" w:eastAsia="宋体" w:cs="Times New Roman"/>
          <w:color w:val="auto"/>
          <w:sz w:val="24"/>
          <w:szCs w:val="24"/>
          <w:highlight w:val="none"/>
          <w:lang w:bidi="ar"/>
        </w:rPr>
      </w:pPr>
      <w:r>
        <w:rPr>
          <w:rFonts w:hint="eastAsia" w:ascii="Times New Roman" w:hAnsi="Times New Roman" w:eastAsia="宋体" w:cs="Times New Roman"/>
          <w:color w:val="auto"/>
          <w:sz w:val="24"/>
          <w:szCs w:val="24"/>
          <w:highlight w:val="none"/>
          <w:lang w:bidi="ar"/>
        </w:rPr>
        <w:t>安全责任要求</w:t>
      </w:r>
    </w:p>
    <w:p w14:paraId="6667736D">
      <w:pPr>
        <w:widowControl/>
        <w:numPr>
          <w:ilvl w:val="255"/>
          <w:numId w:val="0"/>
        </w:numPr>
        <w:adjustRightInd w:val="0"/>
        <w:snapToGrid w:val="0"/>
        <w:spacing w:line="360" w:lineRule="auto"/>
        <w:ind w:firstLine="480" w:firstLineChars="200"/>
        <w:jc w:val="left"/>
        <w:rPr>
          <w:rFonts w:ascii="Times New Roman" w:hAnsi="Times New Roman" w:eastAsia="宋体" w:cs="Times New Roman"/>
          <w:color w:val="auto"/>
          <w:sz w:val="24"/>
          <w:szCs w:val="24"/>
          <w:highlight w:val="none"/>
          <w:lang w:bidi="ar"/>
        </w:rPr>
      </w:pPr>
      <w:r>
        <w:rPr>
          <w:rFonts w:hint="eastAsia" w:ascii="Times New Roman" w:hAnsi="Times New Roman" w:eastAsia="宋体" w:cs="Times New Roman"/>
          <w:color w:val="auto"/>
          <w:sz w:val="24"/>
          <w:szCs w:val="24"/>
          <w:highlight w:val="none"/>
          <w:lang w:bidi="ar"/>
        </w:rPr>
        <w:t>投标单位承担本项目实施全流程、全维度安全主体责任，严格遵守国家网络安全、数据安全及机房管理相关法规规范。施工期间须规范操作，杜绝机房、设备、人员安全事故，承担全部施工安全损失。全程负责服务器集群系统加固、漏洞修复、访问管控、网络防护，防范各类网络攻击与安全风险。严格落实数据安全与保密制度，严禁泄露、篡改、丢失甲方涉密及业务数据，全员签订保密协议。建立</w:t>
      </w:r>
      <w:r>
        <w:rPr>
          <w:rFonts w:ascii="Times New Roman" w:hAnsi="Times New Roman" w:eastAsia="宋体" w:cs="Times New Roman"/>
          <w:color w:val="auto"/>
          <w:sz w:val="24"/>
          <w:szCs w:val="24"/>
          <w:highlight w:val="none"/>
          <w:lang w:bidi="ar"/>
        </w:rPr>
        <w:t>7×24小时安全应急机制，故障</w:t>
      </w:r>
      <w:r>
        <w:rPr>
          <w:rFonts w:hint="eastAsia" w:ascii="Times New Roman" w:hAnsi="Times New Roman" w:eastAsia="宋体" w:cs="Times New Roman"/>
          <w:color w:val="auto"/>
          <w:sz w:val="24"/>
          <w:szCs w:val="24"/>
          <w:highlight w:val="none"/>
          <w:lang w:bidi="ar"/>
        </w:rPr>
        <w:t>2小时响应、</w:t>
      </w:r>
      <w:r>
        <w:rPr>
          <w:rFonts w:ascii="Times New Roman" w:hAnsi="Times New Roman" w:eastAsia="宋体" w:cs="Times New Roman"/>
          <w:color w:val="auto"/>
          <w:sz w:val="24"/>
          <w:szCs w:val="24"/>
          <w:highlight w:val="none"/>
          <w:lang w:bidi="ar"/>
        </w:rPr>
        <w:t>4小时处置、24小时复盘整改。</w:t>
      </w:r>
    </w:p>
    <w:p w14:paraId="68D3BCF0">
      <w:pPr>
        <w:widowControl/>
        <w:adjustRightInd w:val="0"/>
        <w:snapToGrid w:val="0"/>
        <w:spacing w:line="360" w:lineRule="auto"/>
        <w:ind w:firstLine="480" w:firstLineChars="200"/>
        <w:jc w:val="left"/>
        <w:rPr>
          <w:rFonts w:ascii="宋体" w:hAnsi="宋体" w:eastAsia="宋体"/>
          <w:color w:val="auto"/>
          <w:sz w:val="28"/>
          <w:szCs w:val="28"/>
          <w:highlight w:val="none"/>
        </w:rPr>
      </w:pPr>
      <w:r>
        <w:rPr>
          <w:rFonts w:ascii="Times New Roman" w:hAnsi="Times New Roman" w:eastAsia="宋体" w:cs="Times New Roman"/>
          <w:color w:val="auto"/>
          <w:sz w:val="24"/>
          <w:szCs w:val="24"/>
          <w:highlight w:val="none"/>
          <w:lang w:bidi="ar"/>
        </w:rPr>
        <w:t>在</w:t>
      </w:r>
      <w:r>
        <w:rPr>
          <w:rFonts w:hint="eastAsia" w:ascii="Times New Roman" w:hAnsi="Times New Roman" w:eastAsia="宋体" w:cs="Times New Roman"/>
          <w:color w:val="auto"/>
          <w:sz w:val="24"/>
          <w:szCs w:val="24"/>
          <w:highlight w:val="none"/>
          <w:lang w:bidi="ar"/>
        </w:rPr>
        <w:t>项目实施过程中，卖方项目组团队应遵从买方工作安排，接受买方的监督和检查。针对卖方未按要求完成工作或工作不达标等情况，买方有权下达《整改通知书》并要求进行整改及签字，若下达</w:t>
      </w:r>
      <w:r>
        <w:rPr>
          <w:rFonts w:ascii="Times New Roman" w:hAnsi="Times New Roman" w:eastAsia="宋体" w:cs="Times New Roman"/>
          <w:color w:val="auto"/>
          <w:sz w:val="24"/>
          <w:szCs w:val="24"/>
          <w:highlight w:val="none"/>
          <w:lang w:bidi="ar"/>
        </w:rPr>
        <w:t>2次《整改通知书》仍然不整改的，买方有权要求卖方更换能胜任工作要求的项目团队成员。</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等线 Light">
    <w:altName w:val="方正小标宋简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宋体-简">
    <w:altName w:val="Noto Serif CJK SC"/>
    <w:panose1 w:val="00000000000000000000"/>
    <w:charset w:val="00"/>
    <w:family w:val="auto"/>
    <w:pitch w:val="default"/>
    <w:sig w:usb0="00000000" w:usb1="00000000" w:usb2="00000000" w:usb3="00000000" w:csb0="00000000" w:csb1="00000000"/>
  </w:font>
  <w:font w:name="Noto Serif CJK SC">
    <w:panose1 w:val="02020400000000000000"/>
    <w:charset w:val="86"/>
    <w:family w:val="auto"/>
    <w:pitch w:val="default"/>
    <w:sig w:usb0="30000083" w:usb1="2BDF3C10" w:usb2="00000016" w:usb3="00000000" w:csb0="602E0107" w:csb1="00000000"/>
  </w:font>
  <w:font w:name="东文宋体">
    <w:altName w:val="Noto Serif CJK SC"/>
    <w:panose1 w:val="00000000000000000000"/>
    <w:charset w:val="00"/>
    <w:family w:val="auto"/>
    <w:pitch w:val="default"/>
    <w:sig w:usb0="00000000" w:usb1="00000000" w:usb2="00000000" w:usb3="00000000" w:csb0="00000000" w:csb1="00000000"/>
  </w:font>
  <w:font w:name="Segoe UI">
    <w:altName w:val="Noto Naskh Arabic"/>
    <w:panose1 w:val="020B0502040204020203"/>
    <w:charset w:val="00"/>
    <w:family w:val="swiss"/>
    <w:pitch w:val="default"/>
    <w:sig w:usb0="00000000" w:usb1="00000000" w:usb2="00000009" w:usb3="00000000" w:csb0="000001FF" w:csb1="00000000"/>
  </w:font>
  <w:font w:name="Noto Naskh Arabic">
    <w:panose1 w:val="020B0502040504020204"/>
    <w:charset w:val="00"/>
    <w:family w:val="auto"/>
    <w:pitch w:val="default"/>
    <w:sig w:usb0="80002003" w:usb1="80002000" w:usb2="00000008" w:usb3="00000000" w:csb0="00000041" w:csb1="00080000"/>
  </w:font>
  <w:font w:name="等线">
    <w:altName w:val="Noto Sans CJK SC"/>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 w:name="等线 Light">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CESI黑体-GB13000">
    <w:panose1 w:val="02000500000000000000"/>
    <w:charset w:val="86"/>
    <w:family w:val="auto"/>
    <w:pitch w:val="default"/>
    <w:sig w:usb0="800002BF" w:usb1="38CF7CF8"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B51ACB"/>
    <w:multiLevelType w:val="multilevel"/>
    <w:tmpl w:val="0CB51ACB"/>
    <w:lvl w:ilvl="0" w:tentative="0">
      <w:start w:val="1"/>
      <w:numFmt w:val="decimal"/>
      <w:lvlText w:val="%1)"/>
      <w:lvlJc w:val="left"/>
      <w:pPr>
        <w:ind w:left="780" w:hanging="420"/>
      </w:pPr>
      <w:rPr>
        <w:rFonts w:hint="default"/>
        <w:sz w:val="24"/>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1">
    <w:nsid w:val="1805C2D2"/>
    <w:multiLevelType w:val="multilevel"/>
    <w:tmpl w:val="1805C2D2"/>
    <w:lvl w:ilvl="0" w:tentative="0">
      <w:start w:val="1"/>
      <w:numFmt w:val="decimal"/>
      <w:suff w:val="nothing"/>
      <w:lvlText w:val="%1、"/>
      <w:lvlJc w:val="left"/>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
    <w:nsid w:val="565B3872"/>
    <w:multiLevelType w:val="multilevel"/>
    <w:tmpl w:val="565B3872"/>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4F562B"/>
    <w:multiLevelType w:val="multilevel"/>
    <w:tmpl w:val="5A4F562B"/>
    <w:lvl w:ilvl="0" w:tentative="0">
      <w:start w:val="1"/>
      <w:numFmt w:val="decimal"/>
      <w:lvlText w:val="%1)"/>
      <w:lvlJc w:val="left"/>
      <w:pPr>
        <w:ind w:left="780" w:hanging="420"/>
      </w:pPr>
      <w:rPr>
        <w:rFonts w:hint="default"/>
        <w:sz w:val="24"/>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4">
    <w:nsid w:val="6E9940EF"/>
    <w:multiLevelType w:val="multilevel"/>
    <w:tmpl w:val="6E9940EF"/>
    <w:lvl w:ilvl="0" w:tentative="0">
      <w:start w:val="1"/>
      <w:numFmt w:val="decimal"/>
      <w:lvlText w:val="%1)"/>
      <w:lvlJc w:val="left"/>
      <w:pPr>
        <w:ind w:left="780" w:hanging="420"/>
      </w:pPr>
      <w:rPr>
        <w:rFonts w:hint="default"/>
        <w:sz w:val="24"/>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abstractNum w:abstractNumId="5">
    <w:nsid w:val="7691583F"/>
    <w:multiLevelType w:val="multilevel"/>
    <w:tmpl w:val="7691583F"/>
    <w:lvl w:ilvl="0" w:tentative="0">
      <w:start w:val="1"/>
      <w:numFmt w:val="decimal"/>
      <w:lvlText w:val="%1)"/>
      <w:lvlJc w:val="left"/>
      <w:pPr>
        <w:ind w:left="780" w:hanging="420"/>
      </w:pPr>
      <w:rPr>
        <w:rFonts w:hint="default"/>
        <w:sz w:val="24"/>
      </w:rPr>
    </w:lvl>
    <w:lvl w:ilvl="1" w:tentative="0">
      <w:start w:val="1"/>
      <w:numFmt w:val="bullet"/>
      <w:lvlText w:val=""/>
      <w:lvlJc w:val="left"/>
      <w:pPr>
        <w:ind w:left="1200" w:hanging="420"/>
      </w:pPr>
      <w:rPr>
        <w:rFonts w:hint="default" w:ascii="Wingdings" w:hAnsi="Wingdings"/>
      </w:rPr>
    </w:lvl>
    <w:lvl w:ilvl="2" w:tentative="0">
      <w:start w:val="1"/>
      <w:numFmt w:val="bullet"/>
      <w:lvlText w:val=""/>
      <w:lvlJc w:val="left"/>
      <w:pPr>
        <w:ind w:left="1620" w:hanging="420"/>
      </w:pPr>
      <w:rPr>
        <w:rFonts w:hint="default" w:ascii="Wingdings" w:hAnsi="Wingdings"/>
      </w:rPr>
    </w:lvl>
    <w:lvl w:ilvl="3" w:tentative="0">
      <w:start w:val="1"/>
      <w:numFmt w:val="bullet"/>
      <w:lvlText w:val=""/>
      <w:lvlJc w:val="left"/>
      <w:pPr>
        <w:ind w:left="2040" w:hanging="420"/>
      </w:pPr>
      <w:rPr>
        <w:rFonts w:hint="default" w:ascii="Wingdings" w:hAnsi="Wingdings"/>
      </w:rPr>
    </w:lvl>
    <w:lvl w:ilvl="4" w:tentative="0">
      <w:start w:val="1"/>
      <w:numFmt w:val="bullet"/>
      <w:lvlText w:val=""/>
      <w:lvlJc w:val="left"/>
      <w:pPr>
        <w:ind w:left="2460" w:hanging="420"/>
      </w:pPr>
      <w:rPr>
        <w:rFonts w:hint="default" w:ascii="Wingdings" w:hAnsi="Wingdings"/>
      </w:rPr>
    </w:lvl>
    <w:lvl w:ilvl="5" w:tentative="0">
      <w:start w:val="1"/>
      <w:numFmt w:val="bullet"/>
      <w:lvlText w:val=""/>
      <w:lvlJc w:val="left"/>
      <w:pPr>
        <w:ind w:left="2880" w:hanging="420"/>
      </w:pPr>
      <w:rPr>
        <w:rFonts w:hint="default" w:ascii="Wingdings" w:hAnsi="Wingdings"/>
      </w:rPr>
    </w:lvl>
    <w:lvl w:ilvl="6" w:tentative="0">
      <w:start w:val="1"/>
      <w:numFmt w:val="bullet"/>
      <w:lvlText w:val=""/>
      <w:lvlJc w:val="left"/>
      <w:pPr>
        <w:ind w:left="3300" w:hanging="420"/>
      </w:pPr>
      <w:rPr>
        <w:rFonts w:hint="default" w:ascii="Wingdings" w:hAnsi="Wingdings"/>
      </w:rPr>
    </w:lvl>
    <w:lvl w:ilvl="7" w:tentative="0">
      <w:start w:val="1"/>
      <w:numFmt w:val="bullet"/>
      <w:lvlText w:val=""/>
      <w:lvlJc w:val="left"/>
      <w:pPr>
        <w:ind w:left="3720" w:hanging="420"/>
      </w:pPr>
      <w:rPr>
        <w:rFonts w:hint="default" w:ascii="Wingdings" w:hAnsi="Wingdings"/>
      </w:rPr>
    </w:lvl>
    <w:lvl w:ilvl="8" w:tentative="0">
      <w:start w:val="1"/>
      <w:numFmt w:val="bullet"/>
      <w:lvlText w:val=""/>
      <w:lvlJc w:val="left"/>
      <w:pPr>
        <w:ind w:left="4140" w:hanging="420"/>
      </w:pPr>
      <w:rPr>
        <w:rFonts w:hint="default" w:ascii="Wingdings" w:hAnsi="Wingdings"/>
      </w:r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1D8"/>
    <w:rsid w:val="000A7111"/>
    <w:rsid w:val="001C230E"/>
    <w:rsid w:val="001C38E0"/>
    <w:rsid w:val="001F69E6"/>
    <w:rsid w:val="002B3E2D"/>
    <w:rsid w:val="0031445A"/>
    <w:rsid w:val="003649D0"/>
    <w:rsid w:val="00465ABF"/>
    <w:rsid w:val="004A5E61"/>
    <w:rsid w:val="00513E71"/>
    <w:rsid w:val="0053426B"/>
    <w:rsid w:val="00536EF0"/>
    <w:rsid w:val="00544B41"/>
    <w:rsid w:val="0055642A"/>
    <w:rsid w:val="005E220F"/>
    <w:rsid w:val="00617D81"/>
    <w:rsid w:val="0064594B"/>
    <w:rsid w:val="00683575"/>
    <w:rsid w:val="00891C55"/>
    <w:rsid w:val="008A6B35"/>
    <w:rsid w:val="008F2B1F"/>
    <w:rsid w:val="009009C2"/>
    <w:rsid w:val="009A7BA1"/>
    <w:rsid w:val="009D6394"/>
    <w:rsid w:val="009D7B67"/>
    <w:rsid w:val="00AA07A4"/>
    <w:rsid w:val="00AD4A94"/>
    <w:rsid w:val="00B42F01"/>
    <w:rsid w:val="00B47F5C"/>
    <w:rsid w:val="00BD41FB"/>
    <w:rsid w:val="00BF2689"/>
    <w:rsid w:val="00C512EF"/>
    <w:rsid w:val="00C541D8"/>
    <w:rsid w:val="00C815B0"/>
    <w:rsid w:val="00C96AE8"/>
    <w:rsid w:val="00DC508F"/>
    <w:rsid w:val="00DF4A1E"/>
    <w:rsid w:val="00DF565C"/>
    <w:rsid w:val="00E22B96"/>
    <w:rsid w:val="00F9129E"/>
    <w:rsid w:val="1018149F"/>
    <w:rsid w:val="16616393"/>
    <w:rsid w:val="167CD148"/>
    <w:rsid w:val="1BF7EAC4"/>
    <w:rsid w:val="2A4E7E92"/>
    <w:rsid w:val="2B7BFE45"/>
    <w:rsid w:val="3FF597C7"/>
    <w:rsid w:val="3FFD2AD5"/>
    <w:rsid w:val="42AF21C4"/>
    <w:rsid w:val="568C352D"/>
    <w:rsid w:val="6F7D28FB"/>
    <w:rsid w:val="737602F0"/>
    <w:rsid w:val="75FC78D4"/>
    <w:rsid w:val="7BF7E69D"/>
    <w:rsid w:val="7DEEAA52"/>
    <w:rsid w:val="7DFF4872"/>
    <w:rsid w:val="9F5D7523"/>
    <w:rsid w:val="CF7FD738"/>
    <w:rsid w:val="E1F993D7"/>
    <w:rsid w:val="EACBAADD"/>
    <w:rsid w:val="ECB5B90C"/>
    <w:rsid w:val="ECDF86A5"/>
    <w:rsid w:val="EDEDABD5"/>
    <w:rsid w:val="EFFFF896"/>
    <w:rsid w:val="F6F95B9D"/>
    <w:rsid w:val="F6FD1C67"/>
    <w:rsid w:val="F7BBEA37"/>
    <w:rsid w:val="F8F9D9D8"/>
    <w:rsid w:val="FEFB9404"/>
    <w:rsid w:val="FF3DFF18"/>
    <w:rsid w:val="FFAA710C"/>
    <w:rsid w:val="FFB7D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alloon Text"/>
    <w:basedOn w:val="1"/>
    <w:link w:val="19"/>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标题 1 字符"/>
    <w:basedOn w:val="11"/>
    <w:link w:val="2"/>
    <w:qFormat/>
    <w:uiPriority w:val="9"/>
    <w:rPr>
      <w:rFonts w:ascii="宋体" w:hAnsi="宋体" w:eastAsia="宋体" w:cs="宋体"/>
      <w:b/>
      <w:bCs/>
      <w:kern w:val="36"/>
      <w:sz w:val="48"/>
      <w:szCs w:val="48"/>
    </w:rPr>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页眉 字符"/>
    <w:basedOn w:val="11"/>
    <w:link w:val="7"/>
    <w:qFormat/>
    <w:uiPriority w:val="99"/>
    <w:rPr>
      <w:sz w:val="18"/>
      <w:szCs w:val="18"/>
    </w:rPr>
  </w:style>
  <w:style w:type="character" w:customStyle="1" w:styleId="18">
    <w:name w:val="页脚 字符"/>
    <w:basedOn w:val="11"/>
    <w:link w:val="6"/>
    <w:qFormat/>
    <w:uiPriority w:val="99"/>
    <w:rPr>
      <w:sz w:val="18"/>
      <w:szCs w:val="18"/>
    </w:rPr>
  </w:style>
  <w:style w:type="character" w:customStyle="1" w:styleId="19">
    <w:name w:val="批注框文本 字符"/>
    <w:basedOn w:val="11"/>
    <w:link w:val="5"/>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954</Words>
  <Characters>5443</Characters>
  <Lines>45</Lines>
  <Paragraphs>12</Paragraphs>
  <TotalTime>48</TotalTime>
  <ScaleCrop>false</ScaleCrop>
  <LinksUpToDate>false</LinksUpToDate>
  <CharactersWithSpaces>6385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2026-06-06T18:59:00Z</dcterms:created>
  <dc:creator>DELL</dc:creator>
  <cp:lastModifiedBy>李修辞</cp:lastModifiedBy>
  <dcterms:modified xsi:type="dcterms:W3CDTF">2026-07-29T11:36:55Z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2B78DDA86C10477D8F9771412B0BEA32_13</vt:lpwstr>
  </property>
  <property fmtid="{D5CDD505-2E9C-101B-9397-08002B2CF9AE}" pid="4" name="KSOTemplateDocerSaveRecord">
    <vt:lpwstr>eyJoZGlkIjoiOTgzOWIyY2FhMDliMWZjZTEzYjY2ZmQ0MWU3ZjlmYmMiLCJ1c2VySWQiOiIzNDY5ODUwMTIifQ==</vt:lpwstr>
  </property>
</Properties>
</file>