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20AE1">
      <w:pPr>
        <w:spacing w:before="240" w:after="240" w:line="240" w:lineRule="auto"/>
        <w:jc w:val="center"/>
        <w:rPr>
          <w:rFonts w:ascii="Times New Roman" w:hAnsi="Times New Roman" w:eastAsia="微软雅黑" w:cs="Times New Roman"/>
          <w:b/>
          <w:sz w:val="52"/>
        </w:rPr>
      </w:pPr>
      <w:r>
        <w:rPr>
          <w:rFonts w:ascii="Times New Roman" w:hAnsi="Times New Roman" w:eastAsia="微软雅黑" w:cs="Times New Roman"/>
          <w:b/>
          <w:sz w:val="52"/>
        </w:rPr>
        <w:t>上海市众仁慈善服务中心</w:t>
      </w:r>
    </w:p>
    <w:p w14:paraId="0588008E">
      <w:pPr>
        <w:spacing w:before="240" w:after="240" w:line="240" w:lineRule="auto"/>
        <w:jc w:val="center"/>
        <w:rPr>
          <w:rFonts w:ascii="Times New Roman" w:hAnsi="Times New Roman" w:eastAsia="微软雅黑" w:cs="Times New Roman"/>
          <w:b/>
          <w:sz w:val="52"/>
        </w:rPr>
      </w:pPr>
      <w:r>
        <w:rPr>
          <w:rFonts w:ascii="Times New Roman" w:hAnsi="Times New Roman" w:eastAsia="微软雅黑" w:cs="Times New Roman"/>
          <w:b/>
          <w:sz w:val="52"/>
        </w:rPr>
        <w:t>养老综合管理大系统建设项目</w:t>
      </w:r>
    </w:p>
    <w:p w14:paraId="4D89FE82">
      <w:pPr>
        <w:spacing w:before="240" w:after="240" w:line="240" w:lineRule="auto"/>
        <w:jc w:val="center"/>
        <w:rPr>
          <w:rFonts w:ascii="Times New Roman" w:hAnsi="Times New Roman" w:eastAsia="微软雅黑" w:cs="Times New Roman"/>
          <w:b/>
          <w:sz w:val="52"/>
        </w:rPr>
      </w:pPr>
      <w:r>
        <w:rPr>
          <w:rFonts w:ascii="Times New Roman" w:hAnsi="Times New Roman" w:eastAsia="微软雅黑" w:cs="Times New Roman"/>
          <w:b/>
          <w:sz w:val="52"/>
        </w:rPr>
        <w:t>招标需求</w:t>
      </w:r>
    </w:p>
    <w:p w14:paraId="41F5A089">
      <w:pPr>
        <w:numPr>
          <w:ilvl w:val="0"/>
          <w:numId w:val="1"/>
        </w:numPr>
        <w:spacing w:before="320" w:after="120" w:line="288" w:lineRule="auto"/>
        <w:ind w:firstLine="0"/>
        <w:outlineLvl w:val="1"/>
        <w:rPr>
          <w:rFonts w:ascii="Times New Roman" w:hAnsi="Times New Roman" w:eastAsia="黑体" w:cs="Times New Roman"/>
          <w:b/>
          <w:sz w:val="32"/>
          <w:szCs w:val="32"/>
        </w:rPr>
      </w:pPr>
      <w:bookmarkStart w:id="0" w:name="heading_1"/>
      <w:r>
        <w:rPr>
          <w:rFonts w:ascii="Times New Roman" w:hAnsi="Times New Roman" w:eastAsia="黑体" w:cs="Times New Roman"/>
          <w:b/>
          <w:sz w:val="32"/>
          <w:szCs w:val="32"/>
        </w:rPr>
        <w:t>项目概况</w:t>
      </w:r>
      <w:bookmarkEnd w:id="0"/>
    </w:p>
    <w:p w14:paraId="071C8369">
      <w:pPr>
        <w:numPr>
          <w:ilvl w:val="0"/>
          <w:numId w:val="2"/>
        </w:numPr>
        <w:spacing w:before="300" w:after="120" w:line="288" w:lineRule="auto"/>
        <w:outlineLvl w:val="2"/>
        <w:rPr>
          <w:rFonts w:ascii="Times New Roman" w:hAnsi="Times New Roman" w:eastAsia="等线" w:cs="Times New Roman"/>
          <w:b/>
          <w:sz w:val="28"/>
          <w:szCs w:val="28"/>
        </w:rPr>
      </w:pPr>
      <w:bookmarkStart w:id="1" w:name="heading_2"/>
      <w:r>
        <w:rPr>
          <w:rFonts w:ascii="Times New Roman" w:hAnsi="Times New Roman" w:eastAsia="等线" w:cs="Times New Roman"/>
          <w:b/>
          <w:sz w:val="28"/>
          <w:szCs w:val="28"/>
        </w:rPr>
        <w:t>项目背景&amp;现状</w:t>
      </w:r>
      <w:bookmarkEnd w:id="1"/>
    </w:p>
    <w:p w14:paraId="6BEA0C3D">
      <w:pPr>
        <w:spacing w:before="120" w:after="12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上海市已进入深度老龄化社会，养老服务数字化、智能化转型成为必然趋势。上海市众仁慈善服务中心作为市属养老机构，目前存在日常照护记录依赖纸质台账、跨部门信息协同困难、信息化基础设施薄弱等问题，与国家及上海市智慧养老相关政策要求存在显著差距。为落实相关智慧养老、养老机构品质提升政策要求，打造市级智慧养老机构，亟需建设养老综合管理大系统。</w:t>
      </w:r>
    </w:p>
    <w:p w14:paraId="0CE469BD">
      <w:pPr>
        <w:numPr>
          <w:ilvl w:val="0"/>
          <w:numId w:val="2"/>
        </w:numPr>
        <w:spacing w:before="300" w:after="120" w:line="288" w:lineRule="auto"/>
        <w:outlineLvl w:val="2"/>
        <w:rPr>
          <w:rFonts w:ascii="Times New Roman" w:hAnsi="Times New Roman" w:eastAsia="等线" w:cs="Times New Roman"/>
          <w:b/>
          <w:sz w:val="30"/>
        </w:rPr>
      </w:pPr>
      <w:bookmarkStart w:id="2" w:name="heading_3"/>
      <w:r>
        <w:rPr>
          <w:rFonts w:ascii="Times New Roman" w:hAnsi="Times New Roman" w:eastAsia="等线" w:cs="Times New Roman"/>
          <w:b/>
          <w:sz w:val="30"/>
        </w:rPr>
        <w:t>建设期限</w:t>
      </w:r>
      <w:bookmarkEnd w:id="2"/>
    </w:p>
    <w:p w14:paraId="31B92897">
      <w:pPr>
        <w:spacing w:before="120" w:after="120" w:line="360" w:lineRule="auto"/>
        <w:ind w:firstLine="480" w:firstLineChars="200"/>
        <w:jc w:val="both"/>
        <w:rPr>
          <w:rFonts w:ascii="Times New Roman" w:hAnsi="Times New Roman" w:eastAsia="宋体" w:cs="Times New Roman"/>
          <w:sz w:val="24"/>
          <w:szCs w:val="24"/>
        </w:rPr>
      </w:pPr>
      <w:bookmarkStart w:id="20" w:name="_GoBack"/>
      <w:bookmarkEnd w:id="20"/>
      <w:r>
        <w:rPr>
          <w:rFonts w:hint="eastAsia" w:ascii="Times New Roman" w:hAnsi="Times New Roman" w:eastAsia="宋体" w:cs="Times New Roman"/>
          <w:sz w:val="24"/>
          <w:szCs w:val="24"/>
        </w:rPr>
        <w:t>自合同签订之日起至2026年12月15号前完成项目实施（含1个月的试运行），并通过验收。</w:t>
      </w:r>
    </w:p>
    <w:p w14:paraId="2756F3C9">
      <w:pPr>
        <w:numPr>
          <w:ilvl w:val="0"/>
          <w:numId w:val="2"/>
        </w:numPr>
        <w:spacing w:before="300" w:after="120" w:line="288" w:lineRule="auto"/>
        <w:outlineLvl w:val="2"/>
        <w:rPr>
          <w:rFonts w:ascii="Times New Roman" w:hAnsi="Times New Roman" w:eastAsia="等线" w:cs="Times New Roman"/>
          <w:b/>
          <w:sz w:val="30"/>
        </w:rPr>
      </w:pPr>
      <w:bookmarkStart w:id="3" w:name="heading_4"/>
      <w:r>
        <w:rPr>
          <w:rFonts w:ascii="Times New Roman" w:hAnsi="Times New Roman" w:eastAsia="等线" w:cs="Times New Roman"/>
          <w:b/>
          <w:sz w:val="30"/>
        </w:rPr>
        <w:t>建设地点</w:t>
      </w:r>
      <w:bookmarkEnd w:id="3"/>
    </w:p>
    <w:p w14:paraId="4DD33212">
      <w:pPr>
        <w:spacing w:before="120" w:after="12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上海市众仁慈善服务中心下辖三个园区：众仁公寓（嘉定区南翔镇众仁路1号）、众仁老人乐园（嘉定区菊园新区平城路160号）、众仁老年养护院（嘉定区菊园新区胜竹路1655号）</w:t>
      </w:r>
    </w:p>
    <w:p w14:paraId="14B0A8E3">
      <w:pPr>
        <w:numPr>
          <w:ilvl w:val="0"/>
          <w:numId w:val="2"/>
        </w:numPr>
        <w:spacing w:before="300" w:after="120" w:line="288" w:lineRule="auto"/>
        <w:outlineLvl w:val="2"/>
        <w:rPr>
          <w:rFonts w:ascii="Times New Roman" w:hAnsi="Times New Roman" w:eastAsia="等线" w:cs="Times New Roman"/>
          <w:b/>
          <w:sz w:val="30"/>
        </w:rPr>
      </w:pPr>
      <w:bookmarkStart w:id="4" w:name="heading_11"/>
      <w:r>
        <w:rPr>
          <w:rFonts w:ascii="Times New Roman" w:hAnsi="Times New Roman" w:eastAsia="等线" w:cs="Times New Roman"/>
          <w:b/>
          <w:sz w:val="30"/>
        </w:rPr>
        <w:t>是否按</w:t>
      </w:r>
      <w:r>
        <w:rPr>
          <w:rFonts w:hint="eastAsia" w:ascii="Times New Roman" w:hAnsi="Times New Roman" w:eastAsia="等线" w:cs="Times New Roman"/>
          <w:b/>
          <w:sz w:val="30"/>
          <w:lang w:eastAsia="zh-CN"/>
        </w:rPr>
        <w:t>XC</w:t>
      </w:r>
      <w:r>
        <w:rPr>
          <w:rFonts w:ascii="Times New Roman" w:hAnsi="Times New Roman" w:eastAsia="等线" w:cs="Times New Roman"/>
          <w:b/>
          <w:sz w:val="30"/>
        </w:rPr>
        <w:t>要求建设</w:t>
      </w:r>
      <w:bookmarkEnd w:id="4"/>
    </w:p>
    <w:p w14:paraId="584BD405">
      <w:pPr>
        <w:spacing w:before="120" w:after="12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是</w:t>
      </w:r>
    </w:p>
    <w:p w14:paraId="7011AF90">
      <w:pPr>
        <w:numPr>
          <w:ilvl w:val="0"/>
          <w:numId w:val="2"/>
        </w:numPr>
        <w:spacing w:before="300" w:after="120" w:line="288" w:lineRule="auto"/>
        <w:outlineLvl w:val="2"/>
        <w:rPr>
          <w:rFonts w:ascii="Times New Roman" w:hAnsi="Times New Roman" w:eastAsia="等线" w:cs="Times New Roman"/>
          <w:b/>
          <w:sz w:val="30"/>
        </w:rPr>
      </w:pPr>
      <w:bookmarkStart w:id="5" w:name="heading_12"/>
      <w:r>
        <w:rPr>
          <w:rFonts w:ascii="Times New Roman" w:hAnsi="Times New Roman" w:eastAsia="等线" w:cs="Times New Roman"/>
          <w:b/>
          <w:sz w:val="30"/>
        </w:rPr>
        <w:t>是否采用低代码建设</w:t>
      </w:r>
      <w:bookmarkEnd w:id="5"/>
    </w:p>
    <w:p w14:paraId="718908CB">
      <w:pPr>
        <w:spacing w:before="120" w:after="12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否</w:t>
      </w:r>
    </w:p>
    <w:p w14:paraId="312339BA">
      <w:pPr>
        <w:numPr>
          <w:ilvl w:val="0"/>
          <w:numId w:val="1"/>
        </w:numPr>
        <w:spacing w:before="320" w:after="120" w:line="288" w:lineRule="auto"/>
        <w:ind w:firstLine="0"/>
        <w:outlineLvl w:val="1"/>
        <w:rPr>
          <w:rFonts w:ascii="Times New Roman" w:hAnsi="Times New Roman" w:eastAsia="黑体" w:cs="Times New Roman"/>
          <w:b/>
          <w:sz w:val="32"/>
          <w:szCs w:val="32"/>
        </w:rPr>
      </w:pPr>
      <w:bookmarkStart w:id="6" w:name="heading_14"/>
      <w:r>
        <w:rPr>
          <w:rFonts w:ascii="Times New Roman" w:hAnsi="Times New Roman" w:eastAsia="黑体" w:cs="Times New Roman"/>
          <w:b/>
          <w:sz w:val="32"/>
          <w:szCs w:val="32"/>
        </w:rPr>
        <w:t>建设目标</w:t>
      </w:r>
      <w:bookmarkEnd w:id="6"/>
    </w:p>
    <w:p w14:paraId="2F6A504A">
      <w:pPr>
        <w:spacing w:before="120" w:after="12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通过构建功能全面、高效便捷的养老综合管理大系统，整合人事、出入院、护理、医务、收费等功能模块，实现养老服务全流程数字化管理；初步实现管理规范化、老人养护智能化；完成与市级政务云、上海市养老服务平台的数据对接，形成“数据互通、资源统筹、服务协同”的智慧养老管理体系。</w:t>
      </w:r>
    </w:p>
    <w:p w14:paraId="1C96F7CF">
      <w:pPr>
        <w:numPr>
          <w:ilvl w:val="0"/>
          <w:numId w:val="1"/>
        </w:numPr>
        <w:spacing w:before="320" w:after="120" w:line="288" w:lineRule="auto"/>
        <w:ind w:firstLine="0"/>
        <w:outlineLvl w:val="1"/>
        <w:rPr>
          <w:rFonts w:ascii="Times New Roman" w:hAnsi="Times New Roman" w:eastAsia="黑体" w:cs="Times New Roman"/>
          <w:b/>
          <w:sz w:val="32"/>
          <w:szCs w:val="32"/>
        </w:rPr>
      </w:pPr>
      <w:bookmarkStart w:id="7" w:name="heading_15"/>
      <w:r>
        <w:rPr>
          <w:rFonts w:ascii="Times New Roman" w:hAnsi="Times New Roman" w:eastAsia="黑体" w:cs="Times New Roman"/>
          <w:b/>
          <w:sz w:val="32"/>
          <w:szCs w:val="32"/>
        </w:rPr>
        <w:t>项目建设内容</w:t>
      </w:r>
      <w:bookmarkEnd w:id="7"/>
    </w:p>
    <w:p w14:paraId="66AD7A44">
      <w:pPr>
        <w:spacing w:before="120" w:after="12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本项目基于上海市电子政务云部署，采用国产正版软件构建</w:t>
      </w:r>
      <w:r>
        <w:rPr>
          <w:rFonts w:hint="eastAsia" w:ascii="Times New Roman" w:hAnsi="Times New Roman" w:eastAsia="宋体" w:cs="Times New Roman"/>
          <w:sz w:val="24"/>
          <w:szCs w:val="24"/>
          <w:lang w:eastAsia="zh-CN"/>
        </w:rPr>
        <w:t>XC</w:t>
      </w:r>
      <w:r>
        <w:rPr>
          <w:rFonts w:ascii="Times New Roman" w:hAnsi="Times New Roman" w:eastAsia="宋体" w:cs="Times New Roman"/>
          <w:sz w:val="24"/>
          <w:szCs w:val="24"/>
        </w:rPr>
        <w:t>适配环境，实现三个园区网络互联互通，同时完成数据治理、区块链上链、安全建设及备份系统搭建。</w:t>
      </w:r>
    </w:p>
    <w:p w14:paraId="28387A24">
      <w:pPr>
        <w:spacing w:before="120" w:after="120" w:line="360" w:lineRule="auto"/>
        <w:ind w:firstLine="480" w:firstLineChars="20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投标人应采用成熟、稳定、开放的企业级应用架构，确保系统具备高可用、高并发处理及良好的可扩展性。系统间接口应采用开放、标准的协议实现松耦合集成与数据交换。所采用的技术路线应能良好运行于招标文件规定的</w:t>
      </w:r>
      <w:r>
        <w:rPr>
          <w:rFonts w:hint="eastAsia" w:ascii="Times New Roman" w:hAnsi="Times New Roman" w:eastAsia="宋体" w:cs="Times New Roman"/>
          <w:sz w:val="24"/>
          <w:szCs w:val="24"/>
          <w:lang w:eastAsia="zh-CN"/>
        </w:rPr>
        <w:t>XC</w:t>
      </w:r>
      <w:r>
        <w:rPr>
          <w:rFonts w:hint="eastAsia" w:ascii="Times New Roman" w:hAnsi="Times New Roman" w:eastAsia="宋体" w:cs="Times New Roman"/>
          <w:sz w:val="24"/>
          <w:szCs w:val="24"/>
        </w:rPr>
        <w:t>环境之上，并提供相应的兼容性证明或承诺。</w:t>
      </w:r>
    </w:p>
    <w:p w14:paraId="19B27F16">
      <w:pPr>
        <w:spacing w:before="120" w:after="12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项目建设软件开发内容如下：</w:t>
      </w:r>
    </w:p>
    <w:tbl>
      <w:tblPr>
        <w:tblStyle w:val="6"/>
        <w:tblW w:w="5000" w:type="pct"/>
        <w:tblInd w:w="0" w:type="dxa"/>
        <w:tblLayout w:type="autofit"/>
        <w:tblCellMar>
          <w:top w:w="0" w:type="dxa"/>
          <w:left w:w="108" w:type="dxa"/>
          <w:bottom w:w="0" w:type="dxa"/>
          <w:right w:w="108" w:type="dxa"/>
        </w:tblCellMar>
      </w:tblPr>
      <w:tblGrid>
        <w:gridCol w:w="528"/>
        <w:gridCol w:w="704"/>
        <w:gridCol w:w="6329"/>
        <w:gridCol w:w="951"/>
        <w:gridCol w:w="9"/>
      </w:tblGrid>
      <w:tr w14:paraId="1406E8B9">
        <w:tblPrEx>
          <w:tblCellMar>
            <w:top w:w="0" w:type="dxa"/>
            <w:left w:w="108" w:type="dxa"/>
            <w:bottom w:w="0" w:type="dxa"/>
            <w:right w:w="108" w:type="dxa"/>
          </w:tblCellMar>
        </w:tblPrEx>
        <w:trPr>
          <w:gridAfter w:val="1"/>
          <w:wAfter w:w="5" w:type="pct"/>
          <w:trHeight w:val="20" w:hRule="atLeast"/>
          <w:tblHeader/>
        </w:trPr>
        <w:tc>
          <w:tcPr>
            <w:tcW w:w="310" w:type="pct"/>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6FC237D2">
            <w:pPr>
              <w:spacing w:after="0" w:line="240" w:lineRule="auto"/>
              <w:jc w:val="center"/>
              <w:rPr>
                <w:rFonts w:hint="eastAsia" w:ascii="等线" w:hAnsi="等线" w:eastAsia="等线" w:cs="等线"/>
                <w:b/>
                <w:bCs/>
                <w:color w:val="000000"/>
                <w:sz w:val="22"/>
                <w:szCs w:val="22"/>
              </w:rPr>
            </w:pPr>
            <w:r>
              <w:rPr>
                <w:rFonts w:hint="eastAsia" w:ascii="等线" w:hAnsi="等线" w:eastAsia="等线" w:cs="等线"/>
                <w:b/>
                <w:bCs/>
                <w:color w:val="000000"/>
                <w:sz w:val="22"/>
                <w:szCs w:val="22"/>
              </w:rPr>
              <w:t>序号</w:t>
            </w:r>
          </w:p>
        </w:tc>
        <w:tc>
          <w:tcPr>
            <w:tcW w:w="413" w:type="pct"/>
            <w:tcBorders>
              <w:top w:val="single" w:color="000000" w:sz="4" w:space="0"/>
              <w:left w:val="nil"/>
              <w:bottom w:val="single" w:color="000000" w:sz="4" w:space="0"/>
              <w:right w:val="single" w:color="000000" w:sz="4" w:space="0"/>
            </w:tcBorders>
            <w:shd w:val="clear" w:color="auto" w:fill="D8D8D8" w:themeFill="background1" w:themeFillShade="D9"/>
            <w:vAlign w:val="center"/>
          </w:tcPr>
          <w:p w14:paraId="08E46269">
            <w:pPr>
              <w:spacing w:after="0" w:line="240" w:lineRule="auto"/>
              <w:jc w:val="center"/>
              <w:rPr>
                <w:rFonts w:hint="eastAsia" w:ascii="等线" w:hAnsi="等线" w:eastAsia="等线" w:cs="等线"/>
                <w:b/>
                <w:bCs/>
                <w:color w:val="000000"/>
                <w:sz w:val="22"/>
                <w:szCs w:val="22"/>
              </w:rPr>
            </w:pPr>
            <w:r>
              <w:rPr>
                <w:rFonts w:hint="eastAsia" w:ascii="等线" w:hAnsi="等线" w:eastAsia="等线" w:cs="等线"/>
                <w:b/>
                <w:bCs/>
                <w:color w:val="000000"/>
                <w:sz w:val="22"/>
                <w:szCs w:val="22"/>
              </w:rPr>
              <w:t>功能名称</w:t>
            </w:r>
          </w:p>
        </w:tc>
        <w:tc>
          <w:tcPr>
            <w:tcW w:w="3714" w:type="pct"/>
            <w:tcBorders>
              <w:top w:val="single" w:color="000000" w:sz="4" w:space="0"/>
              <w:left w:val="nil"/>
              <w:bottom w:val="single" w:color="000000" w:sz="4" w:space="0"/>
              <w:right w:val="single" w:color="000000" w:sz="4" w:space="0"/>
            </w:tcBorders>
            <w:shd w:val="clear" w:color="auto" w:fill="D8D8D8" w:themeFill="background1" w:themeFillShade="D9"/>
            <w:vAlign w:val="center"/>
          </w:tcPr>
          <w:p w14:paraId="3CA01802">
            <w:pPr>
              <w:spacing w:after="0" w:line="240" w:lineRule="auto"/>
              <w:jc w:val="center"/>
              <w:rPr>
                <w:rFonts w:hint="eastAsia" w:ascii="等线" w:hAnsi="等线" w:eastAsia="等线" w:cs="等线"/>
                <w:b/>
                <w:bCs/>
                <w:color w:val="000000"/>
                <w:sz w:val="22"/>
                <w:szCs w:val="22"/>
              </w:rPr>
            </w:pPr>
            <w:r>
              <w:rPr>
                <w:rFonts w:hint="eastAsia" w:ascii="等线" w:hAnsi="等线" w:eastAsia="等线" w:cs="等线"/>
                <w:b/>
                <w:bCs/>
                <w:color w:val="000000"/>
                <w:sz w:val="22"/>
                <w:szCs w:val="22"/>
              </w:rPr>
              <w:t>功能描述</w:t>
            </w:r>
          </w:p>
        </w:tc>
        <w:tc>
          <w:tcPr>
            <w:tcW w:w="558" w:type="pct"/>
            <w:tcBorders>
              <w:top w:val="single" w:color="000000" w:sz="4" w:space="0"/>
              <w:left w:val="nil"/>
              <w:bottom w:val="single" w:color="000000" w:sz="4" w:space="0"/>
              <w:right w:val="single" w:color="000000" w:sz="4" w:space="0"/>
            </w:tcBorders>
            <w:shd w:val="clear" w:color="auto" w:fill="D8D8D8" w:themeFill="background1" w:themeFillShade="D9"/>
            <w:vAlign w:val="center"/>
          </w:tcPr>
          <w:p w14:paraId="393EDF03">
            <w:pPr>
              <w:spacing w:after="0" w:line="240" w:lineRule="auto"/>
              <w:jc w:val="center"/>
              <w:rPr>
                <w:rFonts w:hint="eastAsia" w:ascii="等线" w:hAnsi="等线" w:eastAsia="等线" w:cs="等线"/>
                <w:b/>
                <w:bCs/>
                <w:color w:val="000000"/>
                <w:sz w:val="22"/>
                <w:szCs w:val="22"/>
              </w:rPr>
            </w:pPr>
            <w:r>
              <w:rPr>
                <w:rFonts w:hint="eastAsia" w:ascii="等线" w:hAnsi="等线" w:eastAsia="等线" w:cs="等线"/>
                <w:b/>
                <w:bCs/>
                <w:color w:val="000000"/>
                <w:sz w:val="22"/>
                <w:szCs w:val="22"/>
              </w:rPr>
              <w:t>参考工作量</w:t>
            </w:r>
          </w:p>
          <w:p w14:paraId="64C5D19A">
            <w:pPr>
              <w:spacing w:after="0" w:line="240" w:lineRule="auto"/>
              <w:jc w:val="center"/>
              <w:rPr>
                <w:rFonts w:hint="eastAsia" w:ascii="等线" w:hAnsi="等线" w:eastAsia="等线" w:cs="等线"/>
                <w:b/>
                <w:bCs/>
                <w:color w:val="000000"/>
                <w:sz w:val="22"/>
                <w:szCs w:val="22"/>
              </w:rPr>
            </w:pPr>
            <w:r>
              <w:rPr>
                <w:rFonts w:hint="eastAsia" w:ascii="等线" w:hAnsi="等线" w:eastAsia="等线" w:cs="等线"/>
                <w:b/>
                <w:bCs/>
                <w:color w:val="000000"/>
                <w:sz w:val="22"/>
                <w:szCs w:val="22"/>
              </w:rPr>
              <w:t>(人月)</w:t>
            </w:r>
          </w:p>
        </w:tc>
      </w:tr>
      <w:tr w14:paraId="66DCA95A">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1ACAA2">
            <w:pPr>
              <w:spacing w:after="0" w:line="240" w:lineRule="auto"/>
              <w:jc w:val="both"/>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1、人事管理</w:t>
            </w:r>
          </w:p>
        </w:tc>
      </w:tr>
      <w:tr w14:paraId="3AE7CA98">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3A59CF3E">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c>
          <w:tcPr>
            <w:tcW w:w="413" w:type="pct"/>
            <w:tcBorders>
              <w:top w:val="nil"/>
              <w:left w:val="nil"/>
              <w:bottom w:val="single" w:color="000000" w:sz="4" w:space="0"/>
              <w:right w:val="single" w:color="000000" w:sz="4" w:space="0"/>
            </w:tcBorders>
            <w:shd w:val="clear" w:color="auto" w:fill="auto"/>
            <w:vAlign w:val="center"/>
          </w:tcPr>
          <w:p w14:paraId="2270466E">
            <w:pPr>
              <w:spacing w:after="0" w:line="240" w:lineRule="auto"/>
              <w:jc w:val="center"/>
              <w:rPr>
                <w:rFonts w:hint="eastAsia" w:ascii="等线" w:hAnsi="等线" w:eastAsia="等线" w:cs="等线"/>
                <w:b/>
                <w:bCs/>
                <w:color w:val="000000"/>
                <w:szCs w:val="21"/>
              </w:rPr>
            </w:pPr>
            <w:r>
              <w:rPr>
                <w:rFonts w:hint="eastAsia" w:ascii="等线" w:hAnsi="等线" w:eastAsia="等线" w:cs="等线"/>
                <w:b/>
                <w:bCs/>
                <w:color w:val="000000"/>
                <w:szCs w:val="21"/>
              </w:rPr>
              <w:t>员工信息</w:t>
            </w:r>
          </w:p>
        </w:tc>
        <w:tc>
          <w:tcPr>
            <w:tcW w:w="3714" w:type="pct"/>
            <w:tcBorders>
              <w:top w:val="nil"/>
              <w:left w:val="nil"/>
              <w:bottom w:val="single" w:color="000000" w:sz="4" w:space="0"/>
              <w:right w:val="single" w:color="000000" w:sz="4" w:space="0"/>
            </w:tcBorders>
            <w:shd w:val="clear" w:color="auto" w:fill="auto"/>
            <w:vAlign w:val="center"/>
          </w:tcPr>
          <w:p w14:paraId="484AB9AF">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包含员工信息（在编/非编）、证书管理（健康证）、员工合同（在编/非编）。</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员工信息：集中管理员工基础档案（姓名、岗位、部门等）、工作履历、联系方式、家庭信息等；支持信息录入/修改、一键生成花名册，并可按条件筛选导出数据。权限分级管控，确保不同角色仅查看权限内信息。</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员工合同管理：用于劳动合同/协议的归档管理。员工合同录入后自动跟踪合同期限，到期前触发提醒避免漏签。支持分类存储（如劳务合同、保密协议等），支持检索历史版本</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证书管理：统一归集员工各类资质证书（学历、职称、健康证等），记录有效期并设置到期预警，通过预设提醒周期（例如到期前一个月）自动通知更新。支持员工通过移动端上传证书并在线审核更新。可统计持证情况辅助岗位合规化检查。</w:t>
            </w:r>
          </w:p>
        </w:tc>
        <w:tc>
          <w:tcPr>
            <w:tcW w:w="558" w:type="pct"/>
            <w:tcBorders>
              <w:top w:val="nil"/>
              <w:left w:val="nil"/>
              <w:bottom w:val="single" w:color="000000" w:sz="4" w:space="0"/>
              <w:right w:val="single" w:color="000000" w:sz="4" w:space="0"/>
            </w:tcBorders>
            <w:shd w:val="clear" w:color="auto" w:fill="auto"/>
            <w:vAlign w:val="center"/>
          </w:tcPr>
          <w:p w14:paraId="75C2529A">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0DFBFE59">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6953EB61">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2</w:t>
            </w:r>
          </w:p>
        </w:tc>
        <w:tc>
          <w:tcPr>
            <w:tcW w:w="413" w:type="pct"/>
            <w:tcBorders>
              <w:top w:val="nil"/>
              <w:left w:val="nil"/>
              <w:bottom w:val="single" w:color="000000" w:sz="4" w:space="0"/>
              <w:right w:val="single" w:color="000000" w:sz="4" w:space="0"/>
            </w:tcBorders>
            <w:shd w:val="clear" w:color="auto" w:fill="auto"/>
            <w:vAlign w:val="center"/>
          </w:tcPr>
          <w:p w14:paraId="5379D0FD">
            <w:pPr>
              <w:spacing w:after="0" w:line="240" w:lineRule="auto"/>
              <w:jc w:val="center"/>
              <w:rPr>
                <w:rFonts w:hint="eastAsia" w:ascii="等线" w:hAnsi="等线" w:eastAsia="等线" w:cs="等线"/>
                <w:b/>
                <w:bCs/>
                <w:color w:val="000000"/>
                <w:szCs w:val="21"/>
              </w:rPr>
            </w:pPr>
            <w:r>
              <w:rPr>
                <w:rFonts w:hint="eastAsia" w:ascii="等线" w:hAnsi="等线" w:eastAsia="等线" w:cs="等线"/>
                <w:b/>
                <w:bCs/>
                <w:color w:val="000000"/>
                <w:szCs w:val="21"/>
              </w:rPr>
              <w:t>薪资管理</w:t>
            </w:r>
          </w:p>
        </w:tc>
        <w:tc>
          <w:tcPr>
            <w:tcW w:w="3714" w:type="pct"/>
            <w:tcBorders>
              <w:top w:val="nil"/>
              <w:left w:val="nil"/>
              <w:bottom w:val="single" w:color="000000" w:sz="4" w:space="0"/>
              <w:right w:val="single" w:color="000000" w:sz="4" w:space="0"/>
            </w:tcBorders>
            <w:shd w:val="clear" w:color="auto" w:fill="auto"/>
            <w:vAlign w:val="center"/>
          </w:tcPr>
          <w:p w14:paraId="03535135">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包含基础薪资、绩效管理、奖金管理、社保管理、福利包管理和薪资统计。只用于计算非编人员的薪资。</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基础薪资：根据岗位职级、合同约定等自动核算员工底薪，支持调薪流程审批（如晋升/工龄涨薪），关联考勤扣减（如缺勤扣款），数据实时同步薪资统计模块。</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绩效管理：设定绩效考核规则，自动抓取业绩数据或人工评分，生成绩效等级及对应系数。结果联动基础薪资与奖金计算，支持员工查看绩效明细及申诉，数据归档备查。</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奖金管理：自定义奖金类型（如年终奖、项目奖）和惩罚规则，按规则（部门/个人达标率）自动核算金额，支持批量导入或手动调整。</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社保管理：自动按地区政策计算五险一金基数及比例，支持增减员批量申报，生成缴费明细。关联薪资模块代扣代缴，异常数据（如基数超限）预警提醒，报表一键导出备查。</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福利包管理：灵活配置福利选项（如餐补、交通卡、商业保险），统计福利成本、使用情况，关联预算控制，支持福利发放记录查询及抵扣个税。</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薪资统计：汇总底薪、绩效、奖金、社保代扣等数据，计算出每个人的应发薪资。支持按部门/个人/时间段统计人力成本，生成可视化报表（如薪资涨幅趋势）。</w:t>
            </w:r>
          </w:p>
        </w:tc>
        <w:tc>
          <w:tcPr>
            <w:tcW w:w="558" w:type="pct"/>
            <w:tcBorders>
              <w:top w:val="nil"/>
              <w:left w:val="nil"/>
              <w:bottom w:val="single" w:color="000000" w:sz="4" w:space="0"/>
              <w:right w:val="single" w:color="000000" w:sz="4" w:space="0"/>
            </w:tcBorders>
            <w:shd w:val="clear" w:color="auto" w:fill="auto"/>
            <w:vAlign w:val="center"/>
          </w:tcPr>
          <w:p w14:paraId="2E5F02D2">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2</w:t>
            </w:r>
          </w:p>
        </w:tc>
      </w:tr>
      <w:tr w14:paraId="5823CC33">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594E76">
            <w:pPr>
              <w:spacing w:after="0" w:line="240" w:lineRule="auto"/>
              <w:jc w:val="both"/>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2、出入院管理</w:t>
            </w:r>
          </w:p>
        </w:tc>
      </w:tr>
      <w:tr w14:paraId="2406549D">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705D975E">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c>
          <w:tcPr>
            <w:tcW w:w="413" w:type="pct"/>
            <w:tcBorders>
              <w:top w:val="nil"/>
              <w:left w:val="nil"/>
              <w:bottom w:val="single" w:color="000000" w:sz="4" w:space="0"/>
              <w:right w:val="single" w:color="000000" w:sz="4" w:space="0"/>
            </w:tcBorders>
            <w:shd w:val="clear" w:color="auto" w:fill="auto"/>
            <w:vAlign w:val="center"/>
          </w:tcPr>
          <w:p w14:paraId="5184DEFE">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入院管理</w:t>
            </w:r>
          </w:p>
        </w:tc>
        <w:tc>
          <w:tcPr>
            <w:tcW w:w="3714" w:type="pct"/>
            <w:tcBorders>
              <w:top w:val="nil"/>
              <w:left w:val="nil"/>
              <w:bottom w:val="single" w:color="000000" w:sz="4" w:space="0"/>
              <w:right w:val="single" w:color="000000" w:sz="4" w:space="0"/>
            </w:tcBorders>
            <w:shd w:val="clear" w:color="auto" w:fill="auto"/>
            <w:vAlign w:val="center"/>
          </w:tcPr>
          <w:p w14:paraId="716B9B33">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包含轮候记录、入住申请、入住调访、入住审批、入院记录、新入院老人跟踪服务记录。</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轮候记录：在机构满员满床时，提供老人轮候功能，在有床位空闲时，轮候老人根据先后顺序依次进行入住申请流程。</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入住申请：支持家属或老人线下提交入住申请，填写基本信息（年龄、健康情况等），自动生成申请编号并跟进流程进度。</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入住调访：护理人员实地或远程调访老人，记录生活能力、病史、特殊需求等，形成评估报告。支持上传照片、视频佐证，数据同步供审批模块参考。</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入住审批：根据调访报告及床位情况，由负责人进行审批，支持自动生成合同模板。审批通过后，系统分配床位并通知家属缴费及入院时间。</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入院记录：详细登记老人入院信息（如健康档案、紧急联系人、护理级别），分配专属护理组及生活用品，同步生成电子档案。支持打印床头卡、用药清单等。</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新入院老人跟踪服务记录：设定7-30天跟踪周期，记录老人适应情况（如饮食、睡眠、情绪）、护理措施调整及家属反馈。异常问题（如突发疾病）自动预警，支持生成适应期报告，确保照护服务及时优化。</w:t>
            </w:r>
          </w:p>
        </w:tc>
        <w:tc>
          <w:tcPr>
            <w:tcW w:w="558" w:type="pct"/>
            <w:tcBorders>
              <w:top w:val="nil"/>
              <w:left w:val="nil"/>
              <w:bottom w:val="single" w:color="000000" w:sz="4" w:space="0"/>
              <w:right w:val="single" w:color="000000" w:sz="4" w:space="0"/>
            </w:tcBorders>
            <w:shd w:val="clear" w:color="auto" w:fill="auto"/>
            <w:vAlign w:val="center"/>
          </w:tcPr>
          <w:p w14:paraId="482DE711">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2</w:t>
            </w:r>
          </w:p>
        </w:tc>
      </w:tr>
      <w:tr w14:paraId="02987139">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21E8D1EB">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2</w:t>
            </w:r>
          </w:p>
        </w:tc>
        <w:tc>
          <w:tcPr>
            <w:tcW w:w="413" w:type="pct"/>
            <w:tcBorders>
              <w:top w:val="nil"/>
              <w:left w:val="nil"/>
              <w:bottom w:val="single" w:color="000000" w:sz="4" w:space="0"/>
              <w:right w:val="single" w:color="000000" w:sz="4" w:space="0"/>
            </w:tcBorders>
            <w:shd w:val="clear" w:color="auto" w:fill="auto"/>
            <w:vAlign w:val="center"/>
          </w:tcPr>
          <w:p w14:paraId="7BC9F7C3">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评估管理</w:t>
            </w:r>
          </w:p>
        </w:tc>
        <w:tc>
          <w:tcPr>
            <w:tcW w:w="3714" w:type="pct"/>
            <w:tcBorders>
              <w:top w:val="nil"/>
              <w:left w:val="nil"/>
              <w:bottom w:val="single" w:color="000000" w:sz="4" w:space="0"/>
              <w:right w:val="single" w:color="000000" w:sz="4" w:space="0"/>
            </w:tcBorders>
            <w:shd w:val="clear" w:color="auto" w:fill="auto"/>
            <w:vAlign w:val="center"/>
          </w:tcPr>
          <w:p w14:paraId="0E32FA6A">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包含养老服务需求评估、首次服务项目确认、服务项目变更确认。</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养老服务需求评估：对应评估人员通过标准化评估表（如健康状态、自理能力、心理需求）分析老人照护等级和具体照护项目，系统根据收集到的数据生成评估报告并匹配建议服务项（如每日护理频次、康复项目）。该服务项可根据老人身体情况变化而实时更新，为前端护理员给老人提供服务时进行参考。</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首次服务项目确认：根据老人评估表，生成个性化老人服务，从修饰洗浴、穿脱衣、如厕排泄、压疮护理、移动、物品整理、用药、膳食、洗涤等角度提供个性化服务，同步到护理人员的手持pad端。护理人员对老人进行服务时，通过手持pad端扫描床位信息，并通过床位绑定老人获知老人所应享有的个性化服务内容，以此提供服务，并记录响应工作量。</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服务项目变更确认：老人健康状况变化时，发起变更申请（如升级医疗护理、新增理疗项目），重新评估后更新老人服务项目。需医生在医嘱中进行更改服务项目和等级，系统留存变更原因、审批记录及执行时间。</w:t>
            </w:r>
          </w:p>
        </w:tc>
        <w:tc>
          <w:tcPr>
            <w:tcW w:w="558" w:type="pct"/>
            <w:tcBorders>
              <w:top w:val="nil"/>
              <w:left w:val="nil"/>
              <w:bottom w:val="single" w:color="000000" w:sz="4" w:space="0"/>
              <w:right w:val="single" w:color="000000" w:sz="4" w:space="0"/>
            </w:tcBorders>
            <w:shd w:val="clear" w:color="auto" w:fill="auto"/>
            <w:vAlign w:val="center"/>
          </w:tcPr>
          <w:p w14:paraId="54BD70AD">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2</w:t>
            </w:r>
          </w:p>
        </w:tc>
      </w:tr>
      <w:tr w14:paraId="3098BDF3">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2D3C390D">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3</w:t>
            </w:r>
          </w:p>
        </w:tc>
        <w:tc>
          <w:tcPr>
            <w:tcW w:w="413" w:type="pct"/>
            <w:tcBorders>
              <w:top w:val="nil"/>
              <w:left w:val="nil"/>
              <w:bottom w:val="single" w:color="000000" w:sz="4" w:space="0"/>
              <w:right w:val="single" w:color="000000" w:sz="4" w:space="0"/>
            </w:tcBorders>
            <w:shd w:val="clear" w:color="auto" w:fill="auto"/>
            <w:vAlign w:val="center"/>
          </w:tcPr>
          <w:p w14:paraId="7A657B0B">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在院管理</w:t>
            </w:r>
          </w:p>
        </w:tc>
        <w:tc>
          <w:tcPr>
            <w:tcW w:w="3714" w:type="pct"/>
            <w:tcBorders>
              <w:top w:val="nil"/>
              <w:left w:val="nil"/>
              <w:bottom w:val="single" w:color="000000" w:sz="4" w:space="0"/>
              <w:right w:val="single" w:color="000000" w:sz="4" w:space="0"/>
            </w:tcBorders>
            <w:shd w:val="clear" w:color="auto" w:fill="auto"/>
            <w:vAlign w:val="center"/>
          </w:tcPr>
          <w:p w14:paraId="222E453E">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包含新入院老人跟进观察记录、床位更换记录、老人人数对照表、住院回访记录表、老人跌倒检测。</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新入院老人跟进观察记录：每日记录老人饮食、睡眠、情绪等适应情况，护理团队按7-30天周期动态调整护理措施（如增加陪护频次、调整活动安排），异常指标（如拒食、失眠）自动形成适应期电子档案供多部门调阅。‌</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床位更换记录：支持床位调整，记录更换原因，同步更新电子档案中的床位号、护理组信息，并通知餐饮、医疗等部门调整服务内容。</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老人人数对照表：实时统计在院总人数（含请假、住院等状态），按房间/区域生成可视化分布图，每日自动对比登记数据与实际查房人数，异常差异（如未登记离院）自动提醒，支持导出月度人数波动趋势报表。</w:t>
            </w:r>
          </w:p>
        </w:tc>
        <w:tc>
          <w:tcPr>
            <w:tcW w:w="558" w:type="pct"/>
            <w:tcBorders>
              <w:top w:val="nil"/>
              <w:left w:val="nil"/>
              <w:bottom w:val="single" w:color="000000" w:sz="4" w:space="0"/>
              <w:right w:val="single" w:color="000000" w:sz="4" w:space="0"/>
            </w:tcBorders>
            <w:shd w:val="clear" w:color="auto" w:fill="auto"/>
            <w:vAlign w:val="center"/>
          </w:tcPr>
          <w:p w14:paraId="642312E5">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3AA68747">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6EBBD630">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4</w:t>
            </w:r>
          </w:p>
        </w:tc>
        <w:tc>
          <w:tcPr>
            <w:tcW w:w="413" w:type="pct"/>
            <w:tcBorders>
              <w:top w:val="nil"/>
              <w:left w:val="nil"/>
              <w:bottom w:val="single" w:color="000000" w:sz="4" w:space="0"/>
              <w:right w:val="single" w:color="000000" w:sz="4" w:space="0"/>
            </w:tcBorders>
            <w:shd w:val="clear" w:color="auto" w:fill="auto"/>
            <w:vAlign w:val="center"/>
          </w:tcPr>
          <w:p w14:paraId="3714D125">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退住管理</w:t>
            </w:r>
          </w:p>
        </w:tc>
        <w:tc>
          <w:tcPr>
            <w:tcW w:w="3714" w:type="pct"/>
            <w:tcBorders>
              <w:top w:val="nil"/>
              <w:left w:val="nil"/>
              <w:bottom w:val="single" w:color="000000" w:sz="4" w:space="0"/>
              <w:right w:val="single" w:color="000000" w:sz="4" w:space="0"/>
            </w:tcBorders>
            <w:shd w:val="clear" w:color="auto" w:fill="auto"/>
            <w:vAlign w:val="center"/>
          </w:tcPr>
          <w:p w14:paraId="34A84CE3">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包含老人离院记录、住养老人出院（死亡）流转/终结表。</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老人离院记录：记录老人正常离院流程，包括家属申请离院、费用结算、物品交接等。自动关联在院期间档案，标注离院时间、原因（如回家、转院）及经办人，支持电子签名确认手续完成，数据归档后分类保存，便于后续查询或导出离院统计报表。</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住养老人出院（死亡）流转/终结表：处理老人因出院或死亡终止服务的情况，自动关联医疗记录（如死亡证明、出院小结），生成终结表记录事件详情（时间、原因、对接医院/家属）、遗物交接清单及财务清算结果。需家属签字确认并封存档案，同步关闭床位、终止服务项目，确保流程合规且数据可追溯。</w:t>
            </w:r>
          </w:p>
        </w:tc>
        <w:tc>
          <w:tcPr>
            <w:tcW w:w="558" w:type="pct"/>
            <w:tcBorders>
              <w:top w:val="nil"/>
              <w:left w:val="nil"/>
              <w:bottom w:val="single" w:color="000000" w:sz="4" w:space="0"/>
              <w:right w:val="single" w:color="000000" w:sz="4" w:space="0"/>
            </w:tcBorders>
            <w:shd w:val="clear" w:color="auto" w:fill="auto"/>
            <w:vAlign w:val="center"/>
          </w:tcPr>
          <w:p w14:paraId="379A6F24">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269DE0EA">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A08869">
            <w:pPr>
              <w:spacing w:after="0" w:line="240" w:lineRule="auto"/>
              <w:jc w:val="both"/>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3、护理管理</w:t>
            </w:r>
          </w:p>
        </w:tc>
      </w:tr>
      <w:tr w14:paraId="066FBF9B">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11CA3066">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c>
          <w:tcPr>
            <w:tcW w:w="413" w:type="pct"/>
            <w:tcBorders>
              <w:top w:val="nil"/>
              <w:left w:val="nil"/>
              <w:bottom w:val="single" w:color="000000" w:sz="4" w:space="0"/>
              <w:right w:val="single" w:color="000000" w:sz="4" w:space="0"/>
            </w:tcBorders>
            <w:shd w:val="clear" w:color="auto" w:fill="auto"/>
            <w:vAlign w:val="center"/>
          </w:tcPr>
          <w:p w14:paraId="14AF8629">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老人服务</w:t>
            </w:r>
          </w:p>
        </w:tc>
        <w:tc>
          <w:tcPr>
            <w:tcW w:w="3714" w:type="pct"/>
            <w:tcBorders>
              <w:top w:val="nil"/>
              <w:left w:val="nil"/>
              <w:bottom w:val="single" w:color="000000" w:sz="4" w:space="0"/>
              <w:right w:val="single" w:color="000000" w:sz="4" w:space="0"/>
            </w:tcBorders>
            <w:shd w:val="clear" w:color="auto" w:fill="auto"/>
            <w:vAlign w:val="center"/>
          </w:tcPr>
          <w:p w14:paraId="2CBA82DA">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包含老人护理记录、束缚带使用记录、老人请假、个人卫生、淋浴记录、翻身记录、鼻饲记录、老人每日巡查、新入住老人七天记录。</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老人护理记录：每日通过移动随诊包到老人床前对老人进行日常健康测量。随诊包包含记录体温、血压、血糖、血氧、心电/心率等基础健康信息的检测，并且支持与系统及时更新，计入老人健康信息。异常数据将会直接标红。</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束缚带使用记录：严格记录使用束缚带的原因（如防跌倒、防拔管）、医生审批时间及家属知情同意书，标注使用起止时间和护理员签字，数据关联护理计划并定期复核。</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老人请假：家属或老人通过护理员线上提交请假申请（事由、离院时间），自动关联门口人脸识别系统，告知门卫外出老人名单。销假时登记返院状态并更新床位状态，逾期未归自动通知紧急联系人。</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个人卫生：记录每日口腔清洁、剃须、剪指甲等卫生执行情况，发现皮肤破损、压疮等异常时拍照上传并触发护理方案调整，支持生成月度卫生达标率统计表。</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淋浴记录：标注每周洗澡时间、水温及协助人员，老人拒绝洗澡时需填写原因（如身体不适），记录皮肤状态（如干燥、湿疹）。</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翻身记录：为卧床老人设定翻身时间提醒（如每2小时一次），护理员使用手持端PDA扫描后确认执行并记录姿势（左侧/右侧/平躺），系统自动记录老人翻身后的姿势，并且到时提醒护理员翻回等服务。后台自动统计压疮风险指数并生成翻身频次报告。</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鼻饲记录：详细记录每次鼻饲时间、食物种类及用量，异常反应（如呕吐、腹胀）实时推送医生，支持导出每日营养摄入报表。</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老人每日巡查：按房间分组巡查，记录夜间睡眠、情绪及安全情况（如门窗、电器隐患），发现异常分级上报（如跌倒送医、情绪低落），生成巡查问题闭环处理清单。</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新入住老人七天记录：重点跟踪首周饮食适应、社交参与及健康指标，每日填写适应评分（1-5分），动态调整护理强度（如增加心理疏导），7天后生成适应期总结报告。</w:t>
            </w:r>
          </w:p>
        </w:tc>
        <w:tc>
          <w:tcPr>
            <w:tcW w:w="558" w:type="pct"/>
            <w:tcBorders>
              <w:top w:val="nil"/>
              <w:left w:val="nil"/>
              <w:bottom w:val="single" w:color="000000" w:sz="4" w:space="0"/>
              <w:right w:val="single" w:color="000000" w:sz="4" w:space="0"/>
            </w:tcBorders>
            <w:shd w:val="clear" w:color="auto" w:fill="auto"/>
            <w:vAlign w:val="center"/>
          </w:tcPr>
          <w:p w14:paraId="0A3AA244">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3353C4D0">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081659EE">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2</w:t>
            </w:r>
          </w:p>
        </w:tc>
        <w:tc>
          <w:tcPr>
            <w:tcW w:w="413" w:type="pct"/>
            <w:tcBorders>
              <w:top w:val="nil"/>
              <w:left w:val="nil"/>
              <w:bottom w:val="single" w:color="000000" w:sz="4" w:space="0"/>
              <w:right w:val="single" w:color="000000" w:sz="4" w:space="0"/>
            </w:tcBorders>
            <w:shd w:val="clear" w:color="auto" w:fill="auto"/>
            <w:vAlign w:val="center"/>
          </w:tcPr>
          <w:p w14:paraId="5C84B0EA">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老人康复</w:t>
            </w:r>
          </w:p>
        </w:tc>
        <w:tc>
          <w:tcPr>
            <w:tcW w:w="3714" w:type="pct"/>
            <w:tcBorders>
              <w:top w:val="nil"/>
              <w:left w:val="nil"/>
              <w:bottom w:val="single" w:color="000000" w:sz="4" w:space="0"/>
              <w:right w:val="single" w:color="000000" w:sz="4" w:space="0"/>
            </w:tcBorders>
            <w:shd w:val="clear" w:color="auto" w:fill="auto"/>
            <w:vAlign w:val="center"/>
          </w:tcPr>
          <w:p w14:paraId="6983D659">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包含病历模版、治疗记录。</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病历模版：内置标准化康复病历模板（含病史、评估结果、康复目标），根据老人情况，直接套用应用不同模板。也可直接根据特殊情况新建模板。模板内包含主诉、临床诊断、功能诊断、治疗项目等。在病情简单或者重复的情况下直接套用模板既可以填写主要信息，方便医师快速填写康复病历。</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治疗记录：康复治疗流程如上图，详细记录每次康复治疗内容（如时长、强度、患者反应），自动生成周/月康复进度对比图，并生成小结方便医生制定下次治疗计划。</w:t>
            </w:r>
          </w:p>
        </w:tc>
        <w:tc>
          <w:tcPr>
            <w:tcW w:w="558" w:type="pct"/>
            <w:tcBorders>
              <w:top w:val="nil"/>
              <w:left w:val="nil"/>
              <w:bottom w:val="single" w:color="000000" w:sz="4" w:space="0"/>
              <w:right w:val="single" w:color="000000" w:sz="4" w:space="0"/>
            </w:tcBorders>
            <w:shd w:val="clear" w:color="auto" w:fill="auto"/>
            <w:vAlign w:val="center"/>
          </w:tcPr>
          <w:p w14:paraId="01C31044">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3CA1BF12">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2FB23DAD">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3</w:t>
            </w:r>
          </w:p>
        </w:tc>
        <w:tc>
          <w:tcPr>
            <w:tcW w:w="413" w:type="pct"/>
            <w:tcBorders>
              <w:top w:val="nil"/>
              <w:left w:val="nil"/>
              <w:bottom w:val="single" w:color="000000" w:sz="4" w:space="0"/>
              <w:right w:val="single" w:color="000000" w:sz="4" w:space="0"/>
            </w:tcBorders>
            <w:shd w:val="clear" w:color="auto" w:fill="auto"/>
            <w:vAlign w:val="center"/>
          </w:tcPr>
          <w:p w14:paraId="63F4E5B8">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护理员服务</w:t>
            </w:r>
          </w:p>
        </w:tc>
        <w:tc>
          <w:tcPr>
            <w:tcW w:w="3714" w:type="pct"/>
            <w:tcBorders>
              <w:top w:val="nil"/>
              <w:left w:val="nil"/>
              <w:bottom w:val="single" w:color="000000" w:sz="4" w:space="0"/>
              <w:right w:val="single" w:color="000000" w:sz="4" w:space="0"/>
            </w:tcBorders>
            <w:shd w:val="clear" w:color="auto" w:fill="auto"/>
            <w:vAlign w:val="center"/>
          </w:tcPr>
          <w:p w14:paraId="451DB5CF">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包含老人护理量记录、智能看护、护理员服务时长记录、护理区交接报告、利器集中管理记录、护理员护理量记录、认知障碍管理功能。</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老人护理量记录：通过护理员手持PDA端扫描NFC标识记录老人服务项目，统计老人每日基础护理次数（如喂饭、翻身、清洁），自动生成护理强度排名，并且支持按周/月导出生成护理量报表。</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智能看护：使用相应设备（如床头毫米波监护设备）监测老人活动轨迹（如离床超时、跌倒），出现异常自动弹窗提醒护理员，联动智能设备获取心率/呼吸数据，生成风险预警报告。</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护理员服务时长记录：护理员持手持PDA端扫描NFC标识记录老人服务项目，系统通过计算获得每个护理员的具体服务时长，并形成相应的报表以供导出分析。</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护理区交接报告：护理员持手持PDA端交班时填写重点老人状态（如用药变化、情绪异常）、待办事项， APP自动转为下一人登录状态，并提示未完成事项清单。</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利器集中管理记录：护理员持手持PDA端登记针头、剪刀等利器领取/归还时间及数量，遗失时触发追溯并记录责任人。</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巡视管理：护理员手持PDA端，每日定时扫描房门NFC标识对老人方便进行巡视，检查老人状态，若发生意外情况及时上报处理。</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护理员护理量记录：护理员持手持PDA统计护理员个人每日服务项目及次数（如协助如厕10次、喂药5次）。方便后台进行护理量的导出统计。</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认知障碍管理：根据认知功能障碍测评，制定对认知症老人的具体康复治疗手段。认知功能测评从自我认知、生活常识、逻辑判断、记忆力等多个方面进行测评，查看老人的认知障碍属于五大类的哪一种分类。根据不同类型进行针对性治疗，例如药物、物理、高压氧等方式开具医嘱。</w:t>
            </w:r>
          </w:p>
        </w:tc>
        <w:tc>
          <w:tcPr>
            <w:tcW w:w="558" w:type="pct"/>
            <w:tcBorders>
              <w:top w:val="nil"/>
              <w:left w:val="nil"/>
              <w:bottom w:val="single" w:color="000000" w:sz="4" w:space="0"/>
              <w:right w:val="single" w:color="000000" w:sz="4" w:space="0"/>
            </w:tcBorders>
            <w:shd w:val="clear" w:color="auto" w:fill="auto"/>
            <w:vAlign w:val="center"/>
          </w:tcPr>
          <w:p w14:paraId="1FD4AA9B">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2</w:t>
            </w:r>
          </w:p>
        </w:tc>
      </w:tr>
      <w:tr w14:paraId="713E9EFF">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242BE950">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4</w:t>
            </w:r>
          </w:p>
        </w:tc>
        <w:tc>
          <w:tcPr>
            <w:tcW w:w="413" w:type="pct"/>
            <w:tcBorders>
              <w:top w:val="nil"/>
              <w:left w:val="nil"/>
              <w:bottom w:val="single" w:color="000000" w:sz="4" w:space="0"/>
              <w:right w:val="single" w:color="000000" w:sz="4" w:space="0"/>
            </w:tcBorders>
            <w:shd w:val="clear" w:color="auto" w:fill="auto"/>
            <w:vAlign w:val="center"/>
          </w:tcPr>
          <w:p w14:paraId="43A25863">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护理员消毒</w:t>
            </w:r>
          </w:p>
        </w:tc>
        <w:tc>
          <w:tcPr>
            <w:tcW w:w="3714" w:type="pct"/>
            <w:tcBorders>
              <w:top w:val="nil"/>
              <w:left w:val="nil"/>
              <w:bottom w:val="single" w:color="000000" w:sz="4" w:space="0"/>
              <w:right w:val="single" w:color="000000" w:sz="4" w:space="0"/>
            </w:tcBorders>
            <w:shd w:val="clear" w:color="auto" w:fill="auto"/>
            <w:vAlign w:val="center"/>
          </w:tcPr>
          <w:p w14:paraId="46259BE4">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包含脸盆/脚盆消毒记录、便器消毒记录、房间消毒、活动用品消毒记录、口杯/毛巾消毒记录、抹布/拖布消毒记录、微波炉/冰箱消毒记录、洗衣机/衣物盛器消毒记录、众仁乐园公共区域消毒记录、乐园精打扫记录、众仁乐园楼面消毒记录功能。</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脸盆/脚盆消毒记录：护理员持手持PDA记录每位老人专属盆具的消毒时间，逾期未消毒将会进行提醒。</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便器消毒记录：护理员持手持PDA记录便器消毒工作，形成如下报表。每日都需消毒，逾期将会进行提醒。</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房间消毒：护理员持手持PDA记录设定每日紫外线消毒的开始时间和结束时间，临时消毒（如呕吐物处理）需拍照补充记录原因。</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活动用品消毒记录：护理员持手持PDA记录棋牌、健身器材等公共物品的消毒工作，逾期未消毒将会进行提醒。</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口杯/毛巾消毒记录：护理员持手持PDA记录老人个人杯具、毛巾的高温消毒时间，逾期未消毒将会进行提醒。</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抹布/拖布消毒记录：护理员持手持PDA记录分区使用不同颜色抹布消毒液浸泡时长及更换时间，逾期未消毒将会进行提醒。</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微波炉/冰箱消毒记录：护理员持手持PDA记录每周定点提醒清理冰箱过期食品并消毒内壁，微波炉每日加热后通风除味记录，拍照上传至后勤管理端备查。</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洗衣服/衣物盛器消毒记录：护理员持手持PDA记录洗衣机高温洗程执行情况及消毒剂添加量，盛脏衣的篮筐每日紫外线照射，数据关联洗衣房卫生台账。</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终末消毒记录：老人过世/离院/转床后，对所在床位进行的标准化终末消毒流程，包括空气、地面、床垫等全部设施和耗材的处理消毒，以备下一个老人入住。</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众仁乐园公共区域消毒记录：护理员持手持PDA记录众仁乐园公共区域按区域（如走廊、餐厅、活动室）排班消毒，未完成地区将会标识提醒。</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乐园精打扫记录：根据老人精打扫要求，护理员持手持PDA记录对空气、地面、窗帘等地区进行精打扫的工作情况，完成后需老人签字。</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众仁乐园楼面消毒记录：按楼层记录每日84消毒液喷洒时间及浓度比例，公共扶手、电梯按钮擦拭消毒纳入护理员巡查任务清单。</w:t>
            </w:r>
          </w:p>
        </w:tc>
        <w:tc>
          <w:tcPr>
            <w:tcW w:w="558" w:type="pct"/>
            <w:tcBorders>
              <w:top w:val="nil"/>
              <w:left w:val="nil"/>
              <w:bottom w:val="single" w:color="000000" w:sz="4" w:space="0"/>
              <w:right w:val="single" w:color="000000" w:sz="4" w:space="0"/>
            </w:tcBorders>
            <w:shd w:val="clear" w:color="auto" w:fill="auto"/>
            <w:vAlign w:val="center"/>
          </w:tcPr>
          <w:p w14:paraId="2BDA5012">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2</w:t>
            </w:r>
          </w:p>
        </w:tc>
      </w:tr>
      <w:tr w14:paraId="035F6CBD">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0A66A263">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5</w:t>
            </w:r>
          </w:p>
        </w:tc>
        <w:tc>
          <w:tcPr>
            <w:tcW w:w="413" w:type="pct"/>
            <w:tcBorders>
              <w:top w:val="nil"/>
              <w:left w:val="nil"/>
              <w:bottom w:val="single" w:color="000000" w:sz="4" w:space="0"/>
              <w:right w:val="single" w:color="000000" w:sz="4" w:space="0"/>
            </w:tcBorders>
            <w:shd w:val="clear" w:color="auto" w:fill="auto"/>
            <w:vAlign w:val="center"/>
          </w:tcPr>
          <w:p w14:paraId="1E706C49">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护理风险评估</w:t>
            </w:r>
          </w:p>
        </w:tc>
        <w:tc>
          <w:tcPr>
            <w:tcW w:w="3714" w:type="pct"/>
            <w:tcBorders>
              <w:top w:val="nil"/>
              <w:left w:val="nil"/>
              <w:bottom w:val="single" w:color="000000" w:sz="4" w:space="0"/>
              <w:right w:val="single" w:color="000000" w:sz="4" w:space="0"/>
            </w:tcBorders>
            <w:shd w:val="clear" w:color="auto" w:fill="auto"/>
            <w:vAlign w:val="center"/>
          </w:tcPr>
          <w:p w14:paraId="59F6E876">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基于养老机构“九防”（防噎食、防跌倒、防压疮、防烫伤、防走失、防坠床、防他伤/自伤、防食品药品误食、防文娱活动意外）规范，构建智能化风险筛查与预警体系，采用《老年人服务安全风险评估表》‌，针对九类风险设计动态问卷，联动体征数据，进行智能风险建模与分级。</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防噎食：通过既往史和“洼田氏饮水实验”对老人进行噎食的评判，并根据牙齿、食道的情况观察，多项检查量化评分，根据不同的评分等级制定对应的看护计划。例如建立防噎食老人名单、床边放置防噎食警示标识，标识放置醒目、规范。集中用餐，或在工作人员视野监控下用餐。劝导老人进食时要细嚼慢咽，勿嬉笑。将馒头、煮鸡蛋、蛋糕等干点浸泡过汤/水或捣碎后再食等。</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防跌倒：通过跌倒既往史、评估平衡状态，意识状态，疾病情况，服药情况和其他综合情况进行量化评分，根据不同的评分等级制定对应的看护计划，例如床边放置警示标识，放置醒目、规范。建立防跌倒对象名单和相应的护理措施，重点看护。老年人在起床、行走、如厕等情形时，可按需配备助行器具并提醒老年人正确使用，或由护理人员协助等。</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防压疮：通过对感知能力、潮湿情况、活动能力、移动能力、摩擦力和剪切力、营养摄取能力进行量化评分，根据不同的评分等级制定对应的看护计划，例如建立防压疮老人名单、床边放置警示标识，标识放置醒目、规范。有压疮登记本，记录压疮发生的时间及局部皮肤情况，应包括皮肤是否干燥、完好， 颜色有无改变，有无破损，尿片衣被等是否干燥平整等。</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防烫伤：通过对既往史、视力情况、疾病史、药物情况、神志等进行量化评分，根据不同的评分等级制定对应的看护计划。例如床边放置警示标识。建立防烫伤老人名单和相应的护理措施，重点看护。热水器上锁管理，定时开放，热水瓶定点放置。为老人洗漱、洗澡、床上擦浴前，先调节好水温。护理员掌握热水袋适应症及禁忌症，使用方法正确等。</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防走失：通过对既往史、疾病史、心里状态、异常言行进行量化评分，根据不同的评分等级制定对应的看护计划。例如床边放置警示标识。建立防走失老人名单和相应的护理措施，重点看护。安排在重度照护区，做到24h视眼下监护，做好分级护理。当班人员要明确分工，加强巡视，巡视时间可不定时，避免老人掌握规律，应床边交接班等。</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防坠床：通过对既往史、神志、相关疾病、使用药物等进行量化评分，根据不同的评分等级制定对应的看护计划。例如床边放置警示标识。建立防坠床老人名单和相应的护理措施，重点看护。呼叫器放在老人可及处，及时回应呼叫。老人常用物品（如水杯）放在易取之处。对有坠床风险的老人，护理人员应勤巡视、细观察，及时提供服务， 睡眠时拉好床护栏等。</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防他伤/自伤：通过对既往史、疾病史、近期负性生活事件、心里状态、异常言行进行量化评分，根据不同的评分等级制定对应的看护计划。例如床边放置警示标识。建立防他伤/自伤老人名单和相应的护理措施，重点看护。高风险的老年人应24h重点监护，做好分区管理，防意外发生。及时满足老人的合理需求，避免与老人发生正面冲突，减少诱发因素等。</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防食品药品误食：通过对视力情况、既往史、疾病史等量化评分，根据不同的评分等级制定对应的看护计划。例如床边放置警示标识。建立防食品药品误食老人名单和相应的护理措施，重点看护。定期检查老人物品，防止过期或霉变。发现第三方带入物品不适合老人，做好沟通并请带回。提供服药管理服务，外配药需有医嘱，拒收过期药或零星散药等。</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防文娱活动意外：通过对行动能力、视觉能力、沟通能力、服务安全风险、任职情况、疾病情况进行量化评分，根据不同的评分等级制定对应的看护计划。例如床边放置警示标识。建立防文娱活动意外老人名单和相应的护理措施，重点看护。活动时间不宜过长(兴趣小组活动不宜超过1小时，大型活动以1~1.5小时为宜)。活动前了解老人身体情况、制定活动名单、与老人做好解释沟通等。</w:t>
            </w:r>
          </w:p>
        </w:tc>
        <w:tc>
          <w:tcPr>
            <w:tcW w:w="558" w:type="pct"/>
            <w:tcBorders>
              <w:top w:val="nil"/>
              <w:left w:val="nil"/>
              <w:bottom w:val="single" w:color="000000" w:sz="4" w:space="0"/>
              <w:right w:val="single" w:color="000000" w:sz="4" w:space="0"/>
            </w:tcBorders>
            <w:shd w:val="clear" w:color="auto" w:fill="auto"/>
            <w:vAlign w:val="center"/>
          </w:tcPr>
          <w:p w14:paraId="7040DCB1">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2</w:t>
            </w:r>
          </w:p>
        </w:tc>
      </w:tr>
      <w:tr w14:paraId="4C8A1527">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7EDB3AA4">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6</w:t>
            </w:r>
          </w:p>
        </w:tc>
        <w:tc>
          <w:tcPr>
            <w:tcW w:w="413" w:type="pct"/>
            <w:tcBorders>
              <w:top w:val="nil"/>
              <w:left w:val="nil"/>
              <w:bottom w:val="single" w:color="000000" w:sz="4" w:space="0"/>
              <w:right w:val="single" w:color="000000" w:sz="4" w:space="0"/>
            </w:tcBorders>
            <w:shd w:val="clear" w:color="auto" w:fill="auto"/>
            <w:vAlign w:val="center"/>
          </w:tcPr>
          <w:p w14:paraId="3B659752">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照护计划管理</w:t>
            </w:r>
          </w:p>
        </w:tc>
        <w:tc>
          <w:tcPr>
            <w:tcW w:w="3714" w:type="pct"/>
            <w:tcBorders>
              <w:top w:val="nil"/>
              <w:left w:val="nil"/>
              <w:bottom w:val="single" w:color="000000" w:sz="4" w:space="0"/>
              <w:right w:val="single" w:color="000000" w:sz="4" w:space="0"/>
            </w:tcBorders>
            <w:shd w:val="clear" w:color="auto" w:fill="auto"/>
            <w:vAlign w:val="center"/>
          </w:tcPr>
          <w:p w14:paraId="436AF470">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照护计划管理功能模块是基于科学化、个性化的养老服务理念设计的综合性管理体系。该模块通过标准化评估问卷，对老人的生理机能、慢性病管理、认知障碍程度及心理状态进行精准画像，形成多维度的健康档案数据库。依托跨专业协作机制，系统自动触发护理部、医疗团队、康复师、心理咨询师及社工的多学科会诊流程，通过智能算法交叉分析评估结果，生成涵盖基础护理、医疗干预、认知训练、情感支持等领域的动态服务方案。</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在计划定制层面，支持对服务项目进行颗粒化参数设置：例如针对失智老人的防走失夜间巡查可设定为每30分钟一次，糖尿病患者的餐后血糖监测可匹配餐饮时段定点执行，康复训练则依据患者耐受度划分晨间低强度/午后强化训练双阶段。系统内置的预警模型可实时追踪服务效果，当老人身体指标波动或认知评估分值下降时，自动推送计划调整建议，如增加防跌倒训练频次、引入音乐疗法时段等。同时提供可视化排班看板，支持按服务类型、执行人员资质、紧急程度等多维度调配资源，确保服务供给与老人需求曲线的精准匹配。该模块通过数字化手段实现了从评估到执行的闭环管理，为构建“一人一策”的动态照护体系提供智能化支撑。</w:t>
            </w:r>
          </w:p>
        </w:tc>
        <w:tc>
          <w:tcPr>
            <w:tcW w:w="558" w:type="pct"/>
            <w:tcBorders>
              <w:top w:val="nil"/>
              <w:left w:val="nil"/>
              <w:bottom w:val="single" w:color="000000" w:sz="4" w:space="0"/>
              <w:right w:val="single" w:color="000000" w:sz="4" w:space="0"/>
            </w:tcBorders>
            <w:shd w:val="clear" w:color="auto" w:fill="auto"/>
            <w:vAlign w:val="center"/>
          </w:tcPr>
          <w:p w14:paraId="793049BF">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6E516CD3">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5A613E">
            <w:pPr>
              <w:spacing w:after="0" w:line="240" w:lineRule="auto"/>
              <w:jc w:val="both"/>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4、医务管理</w:t>
            </w:r>
          </w:p>
        </w:tc>
      </w:tr>
      <w:tr w14:paraId="54D3B0FD">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44C8CAAC">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c>
          <w:tcPr>
            <w:tcW w:w="413" w:type="pct"/>
            <w:tcBorders>
              <w:top w:val="nil"/>
              <w:left w:val="nil"/>
              <w:bottom w:val="single" w:color="000000" w:sz="4" w:space="0"/>
              <w:right w:val="single" w:color="000000" w:sz="4" w:space="0"/>
            </w:tcBorders>
            <w:shd w:val="clear" w:color="auto" w:fill="auto"/>
            <w:vAlign w:val="center"/>
          </w:tcPr>
          <w:p w14:paraId="6613F13D">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医嘱管理</w:t>
            </w:r>
          </w:p>
        </w:tc>
        <w:tc>
          <w:tcPr>
            <w:tcW w:w="3714" w:type="pct"/>
            <w:tcBorders>
              <w:top w:val="nil"/>
              <w:left w:val="nil"/>
              <w:bottom w:val="single" w:color="000000" w:sz="4" w:space="0"/>
              <w:right w:val="single" w:color="000000" w:sz="4" w:space="0"/>
            </w:tcBorders>
            <w:shd w:val="clear" w:color="auto" w:fill="auto"/>
            <w:vAlign w:val="center"/>
          </w:tcPr>
          <w:p w14:paraId="261A9950">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包含长期医嘱管理、临时医嘱管理、医嘱执行管理、医嘱终止管理、特殊饮食单、门诊日志。</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长期医嘱管理：查看老人开具的医嘱情况，医嘱分为治疗记录、医嘱用药、泌尿系统医嘱、护理等级、饮食、九防、药物过敏、生命体征、其他九种。治疗记录主要用于外部医院/药房对老人执行的相关治疗措施和开具用药情况；医嘱用药主要是医师对老人当前的情况进行用药处方的开具，其包括了药品名称、用药数量、用药单位、药品规格、用药途径（口服、肌注等）、用药次数、次用量、用法提示、用药时段和星期关联等信息；泌尿系统医嘱主要是针对老人泌尿系统疾病的相关医嘱治疗方案，例如留置导尿、更换集尿袋、更换导尿管、膀胱冲洗等；护理等级主要是针对老人当前情况进行护理等级的变更；饮食主要是针对老人当前情况选择适合的饮食，比如普通饮食、半流质饮食、低糖饮食、低盐低脂饮食、是否留置胃管等；十防是对需要进行十防的老人进行十防保护和执行不同安全保护措施，包括肢体接触、非肢体接触、皮椅保护、安全带保护等；药物过敏是记录常用的药物过敏史，包括青霉素、头孢类、阿奇霉素、磺胺类、克林霉素、链霉素等；生命体征包括记录体温、呼吸频率、心率、血压等；其他包括一些医嘱项目，比如吸氧、饭后测血糖、物理降温、医院会诊等。所有医嘱开具之后将会以上图的流程方式交给护士/护理员确认后执行。</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临时医嘱管理：针对突发状况（如发烧需退烧药、伤口临时换药），快速创建一次性医嘱（具体作用与长期医嘱类似，但需要立刻执行），通知护理员立即执行。</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医嘱执行管理：全程跟踪每条医嘱的实际执行状态：记录护理员执行时间、用药剂量，异常操作自动预警并通知护士复查。</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医嘱终止管理：医生判断可停止医嘱时（如病情好转停药），系统自动停用相关任务，同步取消护理员提醒，并记录终止原因。</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特殊饮食单：按医嘱定制老人饮食（如糖尿病低糖餐、术后流食），联动食堂生成专属餐单，记录每餐实际进食情况。</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门诊日志：记录医生每日巡查或家属约诊的诊疗信息，支持快速调取历史病历开药。</w:t>
            </w:r>
          </w:p>
        </w:tc>
        <w:tc>
          <w:tcPr>
            <w:tcW w:w="558" w:type="pct"/>
            <w:tcBorders>
              <w:top w:val="nil"/>
              <w:left w:val="nil"/>
              <w:bottom w:val="single" w:color="000000" w:sz="4" w:space="0"/>
              <w:right w:val="single" w:color="000000" w:sz="4" w:space="0"/>
            </w:tcBorders>
            <w:shd w:val="clear" w:color="auto" w:fill="auto"/>
            <w:vAlign w:val="center"/>
          </w:tcPr>
          <w:p w14:paraId="657857F8">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2</w:t>
            </w:r>
          </w:p>
        </w:tc>
      </w:tr>
      <w:tr w14:paraId="2BB498B8">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5839C954">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2</w:t>
            </w:r>
          </w:p>
        </w:tc>
        <w:tc>
          <w:tcPr>
            <w:tcW w:w="413" w:type="pct"/>
            <w:tcBorders>
              <w:top w:val="nil"/>
              <w:left w:val="nil"/>
              <w:bottom w:val="single" w:color="000000" w:sz="4" w:space="0"/>
              <w:right w:val="single" w:color="000000" w:sz="4" w:space="0"/>
            </w:tcBorders>
            <w:shd w:val="clear" w:color="auto" w:fill="auto"/>
            <w:vAlign w:val="center"/>
          </w:tcPr>
          <w:p w14:paraId="3BED792D">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日常检查</w:t>
            </w:r>
          </w:p>
        </w:tc>
        <w:tc>
          <w:tcPr>
            <w:tcW w:w="3714" w:type="pct"/>
            <w:tcBorders>
              <w:top w:val="nil"/>
              <w:left w:val="nil"/>
              <w:bottom w:val="single" w:color="000000" w:sz="4" w:space="0"/>
              <w:right w:val="single" w:color="000000" w:sz="4" w:space="0"/>
            </w:tcBorders>
            <w:shd w:val="clear" w:color="auto" w:fill="auto"/>
            <w:vAlign w:val="center"/>
          </w:tcPr>
          <w:p w14:paraId="204E8F23">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包括日常检查、血压记录。</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日常检查：每日通过移动随诊包到老人床前对老人进行日常健康测量。随诊包包含记录体温、血压、血糖、血氧、心电/心率等基础健康信息的检测，并且支持与系统及时更新，计入老人健康信息。</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血压记录：由护理员每日对应检测的老人进行血压监测并且记录，根据医嘱进行每次多次测试并使用PDA记录入系统，如有特殊变化将会提示医生及时采取针对性医嘱。</w:t>
            </w:r>
          </w:p>
        </w:tc>
        <w:tc>
          <w:tcPr>
            <w:tcW w:w="558" w:type="pct"/>
            <w:tcBorders>
              <w:top w:val="nil"/>
              <w:left w:val="nil"/>
              <w:bottom w:val="single" w:color="000000" w:sz="4" w:space="0"/>
              <w:right w:val="single" w:color="000000" w:sz="4" w:space="0"/>
            </w:tcBorders>
            <w:shd w:val="clear" w:color="auto" w:fill="auto"/>
            <w:vAlign w:val="center"/>
          </w:tcPr>
          <w:p w14:paraId="00D5F8C0">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16F06E7E">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4A53A2CF">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3</w:t>
            </w:r>
          </w:p>
        </w:tc>
        <w:tc>
          <w:tcPr>
            <w:tcW w:w="413" w:type="pct"/>
            <w:tcBorders>
              <w:top w:val="nil"/>
              <w:left w:val="nil"/>
              <w:bottom w:val="single" w:color="000000" w:sz="4" w:space="0"/>
              <w:right w:val="single" w:color="000000" w:sz="4" w:space="0"/>
            </w:tcBorders>
            <w:shd w:val="clear" w:color="auto" w:fill="auto"/>
            <w:vAlign w:val="center"/>
          </w:tcPr>
          <w:p w14:paraId="0599CDFC">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健康档案管理</w:t>
            </w:r>
          </w:p>
        </w:tc>
        <w:tc>
          <w:tcPr>
            <w:tcW w:w="3714" w:type="pct"/>
            <w:tcBorders>
              <w:top w:val="nil"/>
              <w:left w:val="nil"/>
              <w:bottom w:val="single" w:color="000000" w:sz="4" w:space="0"/>
              <w:right w:val="single" w:color="000000" w:sz="4" w:space="0"/>
            </w:tcBorders>
            <w:shd w:val="clear" w:color="auto" w:fill="auto"/>
            <w:vAlign w:val="center"/>
          </w:tcPr>
          <w:p w14:paraId="787FF231">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包含首次入园健康记录和健康档案。</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首次入园健康记录：记录老人入住时的详细健康信息，包括基础疾病、过敏史、用药清单、体检报告（如血压/血糖/认知能力）、疫苗接种情况等，为制定个性化护理方案提供依据。</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健康档案：记录老人入住前的病史和入住时检查的身体各项数据，包括体格检查和实验室检查及特殊检查，并且给出初步诊断与诊疗计划，作为老人服务的基本依据。其中，病史包括：住宿、现病史、既往史、个人史、过敏史、婚育史、自理能力、家族史。体格检查包括：生命体征、一般状况、皮肤粘膜、全身浅表淋巴结、头颅、眼、耳、鼻、口腔、颈部、甲状腺、胸廓、胸壁、肺部、心脏、腹部、肝脏、胆囊、脾脏肾脏、肛门、直肠及外生殖器、脊柱、四肢、生理反射、病理反射。实验室检查及特殊检查包括：血常规、C反应蛋白、尿常规、粪常规、血脂、葡萄糖、糖化血红蛋白、肝功能、肾功能、电解质、乙肝二对半、B超、心电图、x线胸片、CT、核磁共振、骨密度、X线摄片、其他。结合以上各项数据，最后可得出完整的健康档案报告，并可以打印。</w:t>
            </w:r>
          </w:p>
        </w:tc>
        <w:tc>
          <w:tcPr>
            <w:tcW w:w="558" w:type="pct"/>
            <w:tcBorders>
              <w:top w:val="nil"/>
              <w:left w:val="nil"/>
              <w:bottom w:val="single" w:color="000000" w:sz="4" w:space="0"/>
              <w:right w:val="single" w:color="000000" w:sz="4" w:space="0"/>
            </w:tcBorders>
            <w:shd w:val="clear" w:color="auto" w:fill="auto"/>
            <w:vAlign w:val="center"/>
          </w:tcPr>
          <w:p w14:paraId="5F7B4419">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79AD9192">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20CB9178">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4</w:t>
            </w:r>
          </w:p>
        </w:tc>
        <w:tc>
          <w:tcPr>
            <w:tcW w:w="413" w:type="pct"/>
            <w:tcBorders>
              <w:top w:val="nil"/>
              <w:left w:val="nil"/>
              <w:bottom w:val="single" w:color="000000" w:sz="4" w:space="0"/>
              <w:right w:val="single" w:color="000000" w:sz="4" w:space="0"/>
            </w:tcBorders>
            <w:shd w:val="clear" w:color="auto" w:fill="auto"/>
            <w:vAlign w:val="center"/>
          </w:tcPr>
          <w:p w14:paraId="3C987D30">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病程录</w:t>
            </w:r>
          </w:p>
        </w:tc>
        <w:tc>
          <w:tcPr>
            <w:tcW w:w="3714" w:type="pct"/>
            <w:tcBorders>
              <w:top w:val="nil"/>
              <w:left w:val="nil"/>
              <w:bottom w:val="single" w:color="000000" w:sz="4" w:space="0"/>
              <w:right w:val="single" w:color="000000" w:sz="4" w:space="0"/>
            </w:tcBorders>
            <w:shd w:val="clear" w:color="auto" w:fill="auto"/>
            <w:vAlign w:val="center"/>
          </w:tcPr>
          <w:p w14:paraId="4107770D">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用于记录老人入院后的身体疾病变化，包括症状、体征的变化。按对应要求，病程录在入院前三天每天填写一次，之后每月一次，有特殊情况将会增加记录频次。</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病程录需记录老人的体温、脉搏、呼吸、血压、体格检查、各类情况下的血糖、老人配合检查程度、其他实验室检查等数据，以当前体征数据为基础，结合健康档案里的疾病诊断和处理意见，并且关联近期的长期/临时医嘱、医生交接班、阶段小节的内容，综合分析生成一份完整的病程录报告。</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病程录报告需结合病例特点应当在对病史、体格检查和辅助检查进行全面分析、归纳和整理后写出本病例特征，包括阳性发现和具有鉴别诊断意义的阴性症状和体征等。</w:t>
            </w:r>
          </w:p>
        </w:tc>
        <w:tc>
          <w:tcPr>
            <w:tcW w:w="558" w:type="pct"/>
            <w:tcBorders>
              <w:top w:val="nil"/>
              <w:left w:val="nil"/>
              <w:bottom w:val="single" w:color="000000" w:sz="4" w:space="0"/>
              <w:right w:val="single" w:color="000000" w:sz="4" w:space="0"/>
            </w:tcBorders>
            <w:shd w:val="clear" w:color="auto" w:fill="auto"/>
            <w:vAlign w:val="center"/>
          </w:tcPr>
          <w:p w14:paraId="566EF4AE">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5B7EFA16">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12B6907E">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5</w:t>
            </w:r>
          </w:p>
        </w:tc>
        <w:tc>
          <w:tcPr>
            <w:tcW w:w="413" w:type="pct"/>
            <w:tcBorders>
              <w:top w:val="nil"/>
              <w:left w:val="nil"/>
              <w:bottom w:val="single" w:color="000000" w:sz="4" w:space="0"/>
              <w:right w:val="single" w:color="000000" w:sz="4" w:space="0"/>
            </w:tcBorders>
            <w:shd w:val="clear" w:color="auto" w:fill="auto"/>
            <w:vAlign w:val="center"/>
          </w:tcPr>
          <w:p w14:paraId="00D1EE65">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告知书管理</w:t>
            </w:r>
          </w:p>
        </w:tc>
        <w:tc>
          <w:tcPr>
            <w:tcW w:w="3714" w:type="pct"/>
            <w:tcBorders>
              <w:top w:val="nil"/>
              <w:left w:val="nil"/>
              <w:bottom w:val="single" w:color="000000" w:sz="4" w:space="0"/>
              <w:right w:val="single" w:color="000000" w:sz="4" w:space="0"/>
            </w:tcBorders>
            <w:shd w:val="clear" w:color="auto" w:fill="auto"/>
            <w:vAlign w:val="center"/>
          </w:tcPr>
          <w:p w14:paraId="10B34A26">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包括病情告知书管理、老人自行服药承诺书、委托发药物约定记录、输液告知书。</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病情告知书管理：记录老人详细病情（如症状、诊断结果、治疗方案），同步向家属导出书面通知并签字确认。</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老人自行服药承诺书：签署协议明确自行服药责任归属（如药物管理风险、用药错误后果），要求老人承诺按医嘱服药并接受定期核查。‌</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委托发药物约定记录：对需代管药品的老人签订代发协议（如服务级别、费用标准），记录药品接收、发放及清点过程（如每周核对有效期）。‌</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输液告知书：书面说明输液操作流程、潜在风险（如过敏反应）及紧急预案，需家属签字同意后执行，同步存档操作记录。‌</w:t>
            </w:r>
          </w:p>
        </w:tc>
        <w:tc>
          <w:tcPr>
            <w:tcW w:w="558" w:type="pct"/>
            <w:tcBorders>
              <w:top w:val="nil"/>
              <w:left w:val="nil"/>
              <w:bottom w:val="single" w:color="000000" w:sz="4" w:space="0"/>
              <w:right w:val="single" w:color="000000" w:sz="4" w:space="0"/>
            </w:tcBorders>
            <w:shd w:val="clear" w:color="auto" w:fill="auto"/>
            <w:vAlign w:val="center"/>
          </w:tcPr>
          <w:p w14:paraId="493042C9">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0105E736">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314D1714">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6</w:t>
            </w:r>
          </w:p>
        </w:tc>
        <w:tc>
          <w:tcPr>
            <w:tcW w:w="413" w:type="pct"/>
            <w:tcBorders>
              <w:top w:val="nil"/>
              <w:left w:val="nil"/>
              <w:bottom w:val="single" w:color="000000" w:sz="4" w:space="0"/>
              <w:right w:val="single" w:color="000000" w:sz="4" w:space="0"/>
            </w:tcBorders>
            <w:shd w:val="clear" w:color="auto" w:fill="auto"/>
            <w:vAlign w:val="center"/>
          </w:tcPr>
          <w:p w14:paraId="757B221E">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药物阳性总览</w:t>
            </w:r>
          </w:p>
        </w:tc>
        <w:tc>
          <w:tcPr>
            <w:tcW w:w="3714" w:type="pct"/>
            <w:tcBorders>
              <w:top w:val="nil"/>
              <w:left w:val="nil"/>
              <w:bottom w:val="single" w:color="000000" w:sz="4" w:space="0"/>
              <w:right w:val="single" w:color="000000" w:sz="4" w:space="0"/>
            </w:tcBorders>
            <w:shd w:val="clear" w:color="auto" w:fill="auto"/>
            <w:vAlign w:val="center"/>
          </w:tcPr>
          <w:p w14:paraId="0FD8E086">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集中管理老人用药过敏及不良反应记录（如青霉素过敏、降压药引发低血压等），与药品信息与医生用药医嘱联动，药品信息需关联阳性类别；在医生开具用药医嘱涉及不良反应的列表药品时，及时弹出对应老人的用药过敏情况，以防开具过敏药品造成医药事故。</w:t>
            </w:r>
          </w:p>
        </w:tc>
        <w:tc>
          <w:tcPr>
            <w:tcW w:w="558" w:type="pct"/>
            <w:tcBorders>
              <w:top w:val="nil"/>
              <w:left w:val="nil"/>
              <w:bottom w:val="single" w:color="000000" w:sz="4" w:space="0"/>
              <w:right w:val="single" w:color="000000" w:sz="4" w:space="0"/>
            </w:tcBorders>
            <w:shd w:val="clear" w:color="auto" w:fill="auto"/>
            <w:vAlign w:val="center"/>
          </w:tcPr>
          <w:p w14:paraId="0E2A1F78">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2E07AB95">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5A83A0F6">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7</w:t>
            </w:r>
          </w:p>
        </w:tc>
        <w:tc>
          <w:tcPr>
            <w:tcW w:w="413" w:type="pct"/>
            <w:tcBorders>
              <w:top w:val="nil"/>
              <w:left w:val="nil"/>
              <w:bottom w:val="single" w:color="000000" w:sz="4" w:space="0"/>
              <w:right w:val="single" w:color="000000" w:sz="4" w:space="0"/>
            </w:tcBorders>
            <w:shd w:val="clear" w:color="auto" w:fill="auto"/>
            <w:vAlign w:val="center"/>
          </w:tcPr>
          <w:p w14:paraId="06C2ECDE">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安全保护用具</w:t>
            </w:r>
          </w:p>
        </w:tc>
        <w:tc>
          <w:tcPr>
            <w:tcW w:w="3714" w:type="pct"/>
            <w:tcBorders>
              <w:top w:val="nil"/>
              <w:left w:val="nil"/>
              <w:bottom w:val="single" w:color="000000" w:sz="4" w:space="0"/>
              <w:right w:val="single" w:color="000000" w:sz="4" w:space="0"/>
            </w:tcBorders>
            <w:shd w:val="clear" w:color="auto" w:fill="auto"/>
            <w:vAlign w:val="center"/>
          </w:tcPr>
          <w:p w14:paraId="7F05A403">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包含安全保护用具使用知情同意书和安全保护用具使用记录表。</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安全保护用具使用知情同意书：书面说明用具类型（如约束带、防护床栏）、使用原因（防跌倒/自伤）及潜在风险，需家属或老人签字同意方可启用。</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安全保护用具使用记录表：详细记录用具使用时间、操作人员、老人状态（如情绪/体征变化）、解除时间及异常情况（如皮肤擦伤），支持定期核查（如每日检查用具安全性）和数据分析（如高频使用场景统计）。‌</w:t>
            </w:r>
          </w:p>
        </w:tc>
        <w:tc>
          <w:tcPr>
            <w:tcW w:w="558" w:type="pct"/>
            <w:tcBorders>
              <w:top w:val="nil"/>
              <w:left w:val="nil"/>
              <w:bottom w:val="single" w:color="000000" w:sz="4" w:space="0"/>
              <w:right w:val="single" w:color="000000" w:sz="4" w:space="0"/>
            </w:tcBorders>
            <w:shd w:val="clear" w:color="auto" w:fill="auto"/>
            <w:vAlign w:val="center"/>
          </w:tcPr>
          <w:p w14:paraId="1671FD1B">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6480465C">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774E447F">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8</w:t>
            </w:r>
          </w:p>
        </w:tc>
        <w:tc>
          <w:tcPr>
            <w:tcW w:w="413" w:type="pct"/>
            <w:tcBorders>
              <w:top w:val="nil"/>
              <w:left w:val="nil"/>
              <w:bottom w:val="single" w:color="000000" w:sz="4" w:space="0"/>
              <w:right w:val="single" w:color="000000" w:sz="4" w:space="0"/>
            </w:tcBorders>
            <w:shd w:val="clear" w:color="auto" w:fill="auto"/>
            <w:vAlign w:val="center"/>
          </w:tcPr>
          <w:p w14:paraId="10A6C662">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康复管理</w:t>
            </w:r>
          </w:p>
        </w:tc>
        <w:tc>
          <w:tcPr>
            <w:tcW w:w="3714" w:type="pct"/>
            <w:tcBorders>
              <w:top w:val="nil"/>
              <w:left w:val="nil"/>
              <w:bottom w:val="single" w:color="000000" w:sz="4" w:space="0"/>
              <w:right w:val="single" w:color="000000" w:sz="4" w:space="0"/>
            </w:tcBorders>
            <w:shd w:val="clear" w:color="auto" w:fill="auto"/>
            <w:vAlign w:val="center"/>
          </w:tcPr>
          <w:p w14:paraId="69155605">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包含治疗评定管理、康复治疗排单、耗材管理、器械消毒、桌面消毒。</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治疗评定管理：对老人的身体状况进行评定，需要从多个角度量化评定判断当前老人是否可以适合进行康复治疗，以及康复治疗的频率和程度。在经过本次治疗后是否需要进行更改下次治疗周期。</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康复治疗排单：能分配康复项目（如针灸、肌力训练）的时间、治疗师及房间，避免冲突（如老人时间重叠），支持紧急插单或临时调班提醒。</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‌耗材管理：登记医疗耗材（如纱布、棉签）的入库、领用及库存量，设置效期预警（如提前3个月提醒更换）。</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器械消毒：记录器械消毒流程，生成消毒报告备查。‌</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桌面消毒：定时提醒护理区域桌面消毒（如每日2次），通过扫码打卡记录操作人员、时间及消毒剂类型。</w:t>
            </w:r>
          </w:p>
        </w:tc>
        <w:tc>
          <w:tcPr>
            <w:tcW w:w="558" w:type="pct"/>
            <w:tcBorders>
              <w:top w:val="nil"/>
              <w:left w:val="nil"/>
              <w:bottom w:val="single" w:color="000000" w:sz="4" w:space="0"/>
              <w:right w:val="single" w:color="000000" w:sz="4" w:space="0"/>
            </w:tcBorders>
            <w:shd w:val="clear" w:color="auto" w:fill="auto"/>
            <w:vAlign w:val="center"/>
          </w:tcPr>
          <w:p w14:paraId="7291F566">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2B606C58">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28181E73">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9</w:t>
            </w:r>
          </w:p>
        </w:tc>
        <w:tc>
          <w:tcPr>
            <w:tcW w:w="413" w:type="pct"/>
            <w:tcBorders>
              <w:top w:val="nil"/>
              <w:left w:val="nil"/>
              <w:bottom w:val="single" w:color="000000" w:sz="4" w:space="0"/>
              <w:right w:val="single" w:color="000000" w:sz="4" w:space="0"/>
            </w:tcBorders>
            <w:shd w:val="clear" w:color="auto" w:fill="auto"/>
            <w:vAlign w:val="center"/>
          </w:tcPr>
          <w:p w14:paraId="4054F240">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温湿度管理</w:t>
            </w:r>
          </w:p>
        </w:tc>
        <w:tc>
          <w:tcPr>
            <w:tcW w:w="3714" w:type="pct"/>
            <w:tcBorders>
              <w:top w:val="nil"/>
              <w:left w:val="nil"/>
              <w:bottom w:val="single" w:color="000000" w:sz="4" w:space="0"/>
              <w:right w:val="single" w:color="000000" w:sz="4" w:space="0"/>
            </w:tcBorders>
            <w:shd w:val="clear" w:color="auto" w:fill="auto"/>
            <w:vAlign w:val="center"/>
          </w:tcPr>
          <w:p w14:paraId="15DE5E3D">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记录老人房间内的温湿度变化，结合季节变化调整对应的服务内容，在必要时（例如梅雨季节）采取防潮防湿和防寒防暑措施。</w:t>
            </w:r>
          </w:p>
        </w:tc>
        <w:tc>
          <w:tcPr>
            <w:tcW w:w="558" w:type="pct"/>
            <w:tcBorders>
              <w:top w:val="nil"/>
              <w:left w:val="nil"/>
              <w:bottom w:val="single" w:color="000000" w:sz="4" w:space="0"/>
              <w:right w:val="single" w:color="000000" w:sz="4" w:space="0"/>
            </w:tcBorders>
            <w:shd w:val="clear" w:color="auto" w:fill="auto"/>
            <w:vAlign w:val="center"/>
          </w:tcPr>
          <w:p w14:paraId="0ED20D99">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4E5C1E10">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2D292391">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10</w:t>
            </w:r>
          </w:p>
        </w:tc>
        <w:tc>
          <w:tcPr>
            <w:tcW w:w="413" w:type="pct"/>
            <w:tcBorders>
              <w:top w:val="nil"/>
              <w:left w:val="nil"/>
              <w:bottom w:val="single" w:color="000000" w:sz="4" w:space="0"/>
              <w:right w:val="single" w:color="000000" w:sz="4" w:space="0"/>
            </w:tcBorders>
            <w:shd w:val="clear" w:color="auto" w:fill="auto"/>
            <w:vAlign w:val="center"/>
          </w:tcPr>
          <w:p w14:paraId="1E4642FA">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阶段小结</w:t>
            </w:r>
          </w:p>
        </w:tc>
        <w:tc>
          <w:tcPr>
            <w:tcW w:w="3714" w:type="pct"/>
            <w:tcBorders>
              <w:top w:val="nil"/>
              <w:left w:val="nil"/>
              <w:bottom w:val="single" w:color="000000" w:sz="4" w:space="0"/>
              <w:right w:val="single" w:color="000000" w:sz="4" w:space="0"/>
            </w:tcBorders>
            <w:shd w:val="clear" w:color="auto" w:fill="auto"/>
            <w:vAlign w:val="center"/>
          </w:tcPr>
          <w:p w14:paraId="0884275F">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记录老人阶段身体的整体情况，包括身体检查指数和疾病发展情况，以及用药、膳食护理记录等等，基本为一年内老人身体的整体发展情况，为下一年老人的护理服务和医疗支撑做基础总结和展望。</w:t>
            </w:r>
          </w:p>
        </w:tc>
        <w:tc>
          <w:tcPr>
            <w:tcW w:w="558" w:type="pct"/>
            <w:tcBorders>
              <w:top w:val="nil"/>
              <w:left w:val="nil"/>
              <w:bottom w:val="single" w:color="000000" w:sz="4" w:space="0"/>
              <w:right w:val="single" w:color="000000" w:sz="4" w:space="0"/>
            </w:tcBorders>
            <w:shd w:val="clear" w:color="auto" w:fill="auto"/>
            <w:vAlign w:val="center"/>
          </w:tcPr>
          <w:p w14:paraId="50E723FA">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2B7D4D7D">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3EFA2966">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11</w:t>
            </w:r>
          </w:p>
        </w:tc>
        <w:tc>
          <w:tcPr>
            <w:tcW w:w="413" w:type="pct"/>
            <w:tcBorders>
              <w:top w:val="nil"/>
              <w:left w:val="nil"/>
              <w:bottom w:val="single" w:color="000000" w:sz="4" w:space="0"/>
              <w:right w:val="single" w:color="000000" w:sz="4" w:space="0"/>
            </w:tcBorders>
            <w:shd w:val="clear" w:color="auto" w:fill="auto"/>
            <w:vAlign w:val="center"/>
          </w:tcPr>
          <w:p w14:paraId="1E1302E0">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口服药管理</w:t>
            </w:r>
          </w:p>
        </w:tc>
        <w:tc>
          <w:tcPr>
            <w:tcW w:w="3714" w:type="pct"/>
            <w:tcBorders>
              <w:top w:val="nil"/>
              <w:left w:val="nil"/>
              <w:bottom w:val="single" w:color="000000" w:sz="4" w:space="0"/>
              <w:right w:val="single" w:color="000000" w:sz="4" w:space="0"/>
            </w:tcBorders>
            <w:shd w:val="clear" w:color="auto" w:fill="auto"/>
            <w:vAlign w:val="center"/>
          </w:tcPr>
          <w:p w14:paraId="5A621687">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记录老人的口服药的用药情况，严格控制服药间隔，防止滥用和漏服。同步记录用药信息，包括药品的开具时间和有效期以及用药量等数据以备查。</w:t>
            </w:r>
          </w:p>
        </w:tc>
        <w:tc>
          <w:tcPr>
            <w:tcW w:w="558" w:type="pct"/>
            <w:tcBorders>
              <w:top w:val="nil"/>
              <w:left w:val="nil"/>
              <w:bottom w:val="single" w:color="000000" w:sz="4" w:space="0"/>
              <w:right w:val="single" w:color="000000" w:sz="4" w:space="0"/>
            </w:tcBorders>
            <w:shd w:val="clear" w:color="auto" w:fill="auto"/>
            <w:vAlign w:val="center"/>
          </w:tcPr>
          <w:p w14:paraId="00071A01">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59F1A01B">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011285F0">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12</w:t>
            </w:r>
          </w:p>
        </w:tc>
        <w:tc>
          <w:tcPr>
            <w:tcW w:w="413" w:type="pct"/>
            <w:tcBorders>
              <w:top w:val="nil"/>
              <w:left w:val="nil"/>
              <w:bottom w:val="single" w:color="000000" w:sz="4" w:space="0"/>
              <w:right w:val="single" w:color="000000" w:sz="4" w:space="0"/>
            </w:tcBorders>
            <w:shd w:val="clear" w:color="auto" w:fill="auto"/>
            <w:vAlign w:val="center"/>
          </w:tcPr>
          <w:p w14:paraId="3EA8FAEA">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药房管理</w:t>
            </w:r>
          </w:p>
        </w:tc>
        <w:tc>
          <w:tcPr>
            <w:tcW w:w="3714" w:type="pct"/>
            <w:tcBorders>
              <w:top w:val="nil"/>
              <w:left w:val="nil"/>
              <w:bottom w:val="single" w:color="000000" w:sz="4" w:space="0"/>
              <w:right w:val="single" w:color="000000" w:sz="4" w:space="0"/>
            </w:tcBorders>
            <w:shd w:val="clear" w:color="auto" w:fill="auto"/>
            <w:vAlign w:val="center"/>
          </w:tcPr>
          <w:p w14:paraId="73AEBBB9">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包括药品管理、外配药管理、委托发放药物的规定、药房进药、给药单、药品有效期提醒、药房盘点、药房损耗、药房消毒、药房统计。</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药品管理：系统化记录药品基础信息（如药品名称、生产厂家、规格、批号、效期、适应症及存储条件等），支持扫描条形码或手动录入，确保信息完整可查。</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外配药管理：对接外部药房配药需求（如特殊处方药），登记外配药品名称、剂量及配送进度，同步审核处方并标记退换药流程。</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委托发放药物的规定：家属或老人代领药物时需提交委托书，核验身份后发放，记录代领人、药品明细及签字，禁止代领高危药品（如麻醉类）。</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药房进药：审核</w:t>
            </w:r>
            <w:r>
              <w:rPr>
                <w:rFonts w:hint="eastAsia" w:ascii="Times New Roman" w:hAnsi="Times New Roman" w:cs="Times New Roman"/>
                <w:b w:val="0"/>
                <w:bCs w:val="0"/>
                <w:color w:val="000000"/>
                <w:szCs w:val="21"/>
                <w:lang w:eastAsia="zh-CN"/>
              </w:rPr>
              <w:t>投标人</w:t>
            </w:r>
            <w:r>
              <w:rPr>
                <w:rFonts w:hint="default" w:ascii="Times New Roman" w:hAnsi="Times New Roman" w:cs="Times New Roman"/>
                <w:b w:val="0"/>
                <w:bCs w:val="0"/>
                <w:color w:val="000000"/>
                <w:szCs w:val="21"/>
              </w:rPr>
              <w:t>资质并采购药品，验收时核对效期、包装完整性，生成采购清单并触发库存预警（如低于最低存量自动提醒）。</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给药单：按医嘱生成每日发药清单（如药品名称、剂量），同步打印或推送至护理端，标记已发药状态避免重复。</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药品有效期提醒：记录药品效期，提前3个月预警临期药品（如弹窗提示），锁定过期药品禁止发放。</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药房盘点：药房定期清点库存，核对系统数据与实际数量，标记差异原因（如损耗或录入错误），生成盘点报告并追溯责任人。</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药房损耗：记录药品损耗类型（如破损、过期）、数量及责任人，分类统计损耗率并优化管理。</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药房消毒：每日定时消毒药房台面、货架及设备，记录消毒时间、药剂类型及操作人。</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药房统计：汇总药品使用量、周转率及成本，生成采购分析（如高频药品清单）、损耗报表，支持预算制定及政策调整。</w:t>
            </w:r>
          </w:p>
        </w:tc>
        <w:tc>
          <w:tcPr>
            <w:tcW w:w="558" w:type="pct"/>
            <w:tcBorders>
              <w:top w:val="nil"/>
              <w:left w:val="nil"/>
              <w:bottom w:val="single" w:color="000000" w:sz="4" w:space="0"/>
              <w:right w:val="single" w:color="000000" w:sz="4" w:space="0"/>
            </w:tcBorders>
            <w:shd w:val="clear" w:color="auto" w:fill="auto"/>
            <w:vAlign w:val="center"/>
          </w:tcPr>
          <w:p w14:paraId="11648FE9">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2</w:t>
            </w:r>
          </w:p>
        </w:tc>
      </w:tr>
      <w:tr w14:paraId="1A885812">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25980A12">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13</w:t>
            </w:r>
          </w:p>
        </w:tc>
        <w:tc>
          <w:tcPr>
            <w:tcW w:w="413" w:type="pct"/>
            <w:tcBorders>
              <w:top w:val="nil"/>
              <w:left w:val="nil"/>
              <w:bottom w:val="single" w:color="000000" w:sz="4" w:space="0"/>
              <w:right w:val="single" w:color="000000" w:sz="4" w:space="0"/>
            </w:tcBorders>
            <w:shd w:val="clear" w:color="auto" w:fill="auto"/>
            <w:vAlign w:val="center"/>
          </w:tcPr>
          <w:p w14:paraId="54C71B58">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慢性病管理</w:t>
            </w:r>
          </w:p>
        </w:tc>
        <w:tc>
          <w:tcPr>
            <w:tcW w:w="3714" w:type="pct"/>
            <w:tcBorders>
              <w:top w:val="nil"/>
              <w:left w:val="nil"/>
              <w:bottom w:val="single" w:color="000000" w:sz="4" w:space="0"/>
              <w:right w:val="single" w:color="000000" w:sz="4" w:space="0"/>
            </w:tcBorders>
            <w:shd w:val="clear" w:color="auto" w:fill="auto"/>
            <w:vAlign w:val="center"/>
          </w:tcPr>
          <w:p w14:paraId="7570F1C2">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包含高血压、糖尿病等相关慢性病的记录，主要记录高血压和糖尿病两类老人的病情发展情况，如定期的血压血糖监测和饮食的调整，对应安排低糖低脂餐和适当运动，协助慢性病老人控制病情。</w:t>
            </w:r>
          </w:p>
        </w:tc>
        <w:tc>
          <w:tcPr>
            <w:tcW w:w="558" w:type="pct"/>
            <w:tcBorders>
              <w:top w:val="nil"/>
              <w:left w:val="nil"/>
              <w:bottom w:val="single" w:color="000000" w:sz="4" w:space="0"/>
              <w:right w:val="single" w:color="000000" w:sz="4" w:space="0"/>
            </w:tcBorders>
            <w:shd w:val="clear" w:color="auto" w:fill="auto"/>
            <w:vAlign w:val="center"/>
          </w:tcPr>
          <w:p w14:paraId="08F783CF">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37AA7394">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7BA76308">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14</w:t>
            </w:r>
          </w:p>
        </w:tc>
        <w:tc>
          <w:tcPr>
            <w:tcW w:w="413" w:type="pct"/>
            <w:tcBorders>
              <w:top w:val="nil"/>
              <w:left w:val="nil"/>
              <w:bottom w:val="single" w:color="000000" w:sz="4" w:space="0"/>
              <w:right w:val="single" w:color="000000" w:sz="4" w:space="0"/>
            </w:tcBorders>
            <w:shd w:val="clear" w:color="auto" w:fill="auto"/>
            <w:vAlign w:val="center"/>
          </w:tcPr>
          <w:p w14:paraId="5F8F2875">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医务室管理</w:t>
            </w:r>
          </w:p>
        </w:tc>
        <w:tc>
          <w:tcPr>
            <w:tcW w:w="3714" w:type="pct"/>
            <w:tcBorders>
              <w:top w:val="nil"/>
              <w:left w:val="nil"/>
              <w:bottom w:val="single" w:color="000000" w:sz="4" w:space="0"/>
              <w:right w:val="single" w:color="000000" w:sz="4" w:space="0"/>
            </w:tcBorders>
            <w:shd w:val="clear" w:color="auto" w:fill="auto"/>
            <w:vAlign w:val="center"/>
          </w:tcPr>
          <w:p w14:paraId="121008C4">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包含医务室查房、应急预案、污水排放、消毒记录和工作量统计。</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医务室查房：每日定时巡查老人健康状况（如体温、血压、用药反应），记录异常症状并即时处理。</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应急预案：预设突发情况应对流程（如心脏骤停、跌倒骨折），明确分工（如谁负责急救、谁联系医院），定期演练并更新预案。</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污水排放：按医疗废水处理标准消毒。污水（如投药比例、静置时间），记录排放时间、操作人及检测结果。</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消毒记录：每日登记医务室消毒区域（如诊疗台、地面）、消毒剂类型及作用时间以备查。</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工作量统计：自动汇总医护人员工作内容（如接诊人数、配药次数、护理时长），生成月度效率报表。</w:t>
            </w:r>
          </w:p>
        </w:tc>
        <w:tc>
          <w:tcPr>
            <w:tcW w:w="558" w:type="pct"/>
            <w:tcBorders>
              <w:top w:val="nil"/>
              <w:left w:val="nil"/>
              <w:bottom w:val="single" w:color="000000" w:sz="4" w:space="0"/>
              <w:right w:val="single" w:color="000000" w:sz="4" w:space="0"/>
            </w:tcBorders>
            <w:shd w:val="clear" w:color="auto" w:fill="auto"/>
            <w:vAlign w:val="center"/>
          </w:tcPr>
          <w:p w14:paraId="0C2D0F23">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0D6BD8DF">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2120C1A5">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15</w:t>
            </w:r>
          </w:p>
        </w:tc>
        <w:tc>
          <w:tcPr>
            <w:tcW w:w="413" w:type="pct"/>
            <w:tcBorders>
              <w:top w:val="nil"/>
              <w:left w:val="nil"/>
              <w:bottom w:val="single" w:color="000000" w:sz="4" w:space="0"/>
              <w:right w:val="single" w:color="000000" w:sz="4" w:space="0"/>
            </w:tcBorders>
            <w:shd w:val="clear" w:color="auto" w:fill="auto"/>
            <w:vAlign w:val="center"/>
          </w:tcPr>
          <w:p w14:paraId="00B1985C">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统计报表</w:t>
            </w:r>
          </w:p>
        </w:tc>
        <w:tc>
          <w:tcPr>
            <w:tcW w:w="3714" w:type="pct"/>
            <w:tcBorders>
              <w:top w:val="nil"/>
              <w:left w:val="nil"/>
              <w:bottom w:val="single" w:color="000000" w:sz="4" w:space="0"/>
              <w:right w:val="single" w:color="000000" w:sz="4" w:space="0"/>
            </w:tcBorders>
            <w:shd w:val="clear" w:color="auto" w:fill="auto"/>
            <w:vAlign w:val="center"/>
          </w:tcPr>
          <w:p w14:paraId="382EA47D">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包含药房信息、日常检查统计、病程录统计、外配药统计、饮食变化统计、康复统计、医嘱统计、厨房统计、门诊统计。</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药房信息：汇总药品入库量、消耗量、库存余量及效期预警，分析用药趋势，改良保存方案。</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日常检查统计：记录每日健康巡查数据（如血压、血糖异常次数），生成月度健康趋势图，定位高风险老人。</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病程录统计：整合老人病历记录（如症状变化、用药调整），统计疾病类型及治疗周期，辅助医生调整方案。</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外配药统计：追踪外配药品数量、退换药频率及供应商评价，确保合规性并降低配药差错率。</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饮食变化统计：分析老人饮食调整记录（如低盐、流食需求），统计营养摄入达标率，联动后勤部门优化菜谱。</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康复统计：汇总康复训练项目参与度及效果（如行动能力改善比例），评估康复计划有效性。</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医嘱统计：归类医生开嘱内容（如用药、护理要求），统计执行率及异常反馈，确保医嘱落实。</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厨房统计：记录食材消耗、餐食浪费量及老人饮食反馈，控制成本并调整食谱满足需求。</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门诊统计：统计就诊人次、常见病症类型及康复消耗，优化医务室资源配置。</w:t>
            </w:r>
          </w:p>
        </w:tc>
        <w:tc>
          <w:tcPr>
            <w:tcW w:w="558" w:type="pct"/>
            <w:tcBorders>
              <w:top w:val="nil"/>
              <w:left w:val="nil"/>
              <w:bottom w:val="single" w:color="000000" w:sz="4" w:space="0"/>
              <w:right w:val="single" w:color="000000" w:sz="4" w:space="0"/>
            </w:tcBorders>
            <w:shd w:val="clear" w:color="auto" w:fill="auto"/>
            <w:vAlign w:val="center"/>
          </w:tcPr>
          <w:p w14:paraId="7069298C">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257E73CE">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6BA3F9">
            <w:pPr>
              <w:spacing w:after="0" w:line="240" w:lineRule="auto"/>
              <w:jc w:val="both"/>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5、收费管理</w:t>
            </w:r>
          </w:p>
        </w:tc>
      </w:tr>
      <w:tr w14:paraId="14F0E8C7">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7F2D727C">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c>
          <w:tcPr>
            <w:tcW w:w="413" w:type="pct"/>
            <w:tcBorders>
              <w:top w:val="nil"/>
              <w:left w:val="nil"/>
              <w:bottom w:val="single" w:color="000000" w:sz="4" w:space="0"/>
              <w:right w:val="single" w:color="000000" w:sz="4" w:space="0"/>
            </w:tcBorders>
            <w:shd w:val="clear" w:color="auto" w:fill="auto"/>
            <w:vAlign w:val="center"/>
          </w:tcPr>
          <w:p w14:paraId="0D8DF849">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结算管理</w:t>
            </w:r>
          </w:p>
        </w:tc>
        <w:tc>
          <w:tcPr>
            <w:tcW w:w="3714" w:type="pct"/>
            <w:tcBorders>
              <w:top w:val="nil"/>
              <w:left w:val="nil"/>
              <w:bottom w:val="single" w:color="000000" w:sz="4" w:space="0"/>
              <w:right w:val="single" w:color="000000" w:sz="4" w:space="0"/>
            </w:tcBorders>
            <w:shd w:val="clear" w:color="auto" w:fill="auto"/>
            <w:vAlign w:val="center"/>
          </w:tcPr>
          <w:p w14:paraId="1A7AB81A">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包含费用结算和结算报表功能。</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费用结算：提供周期/整体结算功能，用于计算老人在院期间产生的所有费用进行计算和结算，包括生活费、住养费及其他增值服务费。并支持导出打印，给老人及其家属有据可查。</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结算报表：按要求按日期对一段时间范围内进行统计产生的财务费用和应收费用收缴情况，可以根据不同的类型（床位费、膳食费）和不同日期进行筛选统计。</w:t>
            </w:r>
          </w:p>
        </w:tc>
        <w:tc>
          <w:tcPr>
            <w:tcW w:w="558" w:type="pct"/>
            <w:tcBorders>
              <w:top w:val="nil"/>
              <w:left w:val="nil"/>
              <w:bottom w:val="single" w:color="000000" w:sz="4" w:space="0"/>
              <w:right w:val="single" w:color="000000" w:sz="4" w:space="0"/>
            </w:tcBorders>
            <w:shd w:val="clear" w:color="auto" w:fill="auto"/>
            <w:vAlign w:val="center"/>
          </w:tcPr>
          <w:p w14:paraId="70F57E08">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03F701B2">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791ED51C">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2</w:t>
            </w:r>
          </w:p>
        </w:tc>
        <w:tc>
          <w:tcPr>
            <w:tcW w:w="413" w:type="pct"/>
            <w:tcBorders>
              <w:top w:val="nil"/>
              <w:left w:val="nil"/>
              <w:bottom w:val="single" w:color="000000" w:sz="4" w:space="0"/>
              <w:right w:val="single" w:color="000000" w:sz="4" w:space="0"/>
            </w:tcBorders>
            <w:shd w:val="clear" w:color="auto" w:fill="auto"/>
            <w:vAlign w:val="center"/>
          </w:tcPr>
          <w:p w14:paraId="2EE28391">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账单明细</w:t>
            </w:r>
          </w:p>
        </w:tc>
        <w:tc>
          <w:tcPr>
            <w:tcW w:w="3714" w:type="pct"/>
            <w:tcBorders>
              <w:top w:val="nil"/>
              <w:left w:val="nil"/>
              <w:bottom w:val="single" w:color="000000" w:sz="4" w:space="0"/>
              <w:right w:val="single" w:color="000000" w:sz="4" w:space="0"/>
            </w:tcBorders>
            <w:shd w:val="clear" w:color="auto" w:fill="auto"/>
            <w:vAlign w:val="center"/>
          </w:tcPr>
          <w:p w14:paraId="42DE16D6">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提供所有待付/已付账单的明细情况，详细记录日期、金额、交易对象等信息，形成连续可追溯的财务轨迹。包括退费（老人退费）和支出（物资采购）所产生的账单，系统自动生成带时间戳的明细条目，可以按类型和日期进行分类筛选导出。</w:t>
            </w:r>
          </w:p>
        </w:tc>
        <w:tc>
          <w:tcPr>
            <w:tcW w:w="558" w:type="pct"/>
            <w:tcBorders>
              <w:top w:val="nil"/>
              <w:left w:val="nil"/>
              <w:bottom w:val="single" w:color="000000" w:sz="4" w:space="0"/>
              <w:right w:val="single" w:color="000000" w:sz="4" w:space="0"/>
            </w:tcBorders>
            <w:shd w:val="clear" w:color="auto" w:fill="auto"/>
            <w:vAlign w:val="center"/>
          </w:tcPr>
          <w:p w14:paraId="5D1EDC51">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5EB10C88">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3608BD37">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3</w:t>
            </w:r>
          </w:p>
        </w:tc>
        <w:tc>
          <w:tcPr>
            <w:tcW w:w="413" w:type="pct"/>
            <w:tcBorders>
              <w:top w:val="nil"/>
              <w:left w:val="nil"/>
              <w:bottom w:val="single" w:color="000000" w:sz="4" w:space="0"/>
              <w:right w:val="single" w:color="000000" w:sz="4" w:space="0"/>
            </w:tcBorders>
            <w:shd w:val="clear" w:color="auto" w:fill="auto"/>
            <w:vAlign w:val="center"/>
          </w:tcPr>
          <w:p w14:paraId="084FBFA0">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收支明细</w:t>
            </w:r>
          </w:p>
        </w:tc>
        <w:tc>
          <w:tcPr>
            <w:tcW w:w="3714" w:type="pct"/>
            <w:tcBorders>
              <w:top w:val="nil"/>
              <w:left w:val="nil"/>
              <w:bottom w:val="single" w:color="000000" w:sz="4" w:space="0"/>
              <w:right w:val="single" w:color="000000" w:sz="4" w:space="0"/>
            </w:tcBorders>
            <w:shd w:val="clear" w:color="auto" w:fill="auto"/>
            <w:vAlign w:val="center"/>
          </w:tcPr>
          <w:p w14:paraId="76770C07">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系统的展示一段时间内所有的费用收支台账，可根据不同的时间段、不同的费项、产生费用的类别（收入/支出），以及产生费用的空间（楼宇、楼层、房间）进行筛选。</w:t>
            </w:r>
          </w:p>
        </w:tc>
        <w:tc>
          <w:tcPr>
            <w:tcW w:w="558" w:type="pct"/>
            <w:tcBorders>
              <w:top w:val="nil"/>
              <w:left w:val="nil"/>
              <w:bottom w:val="single" w:color="000000" w:sz="4" w:space="0"/>
              <w:right w:val="single" w:color="000000" w:sz="4" w:space="0"/>
            </w:tcBorders>
            <w:shd w:val="clear" w:color="auto" w:fill="auto"/>
            <w:vAlign w:val="center"/>
          </w:tcPr>
          <w:p w14:paraId="50155D81">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2C7E1EA3">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493AA21C">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4</w:t>
            </w:r>
          </w:p>
        </w:tc>
        <w:tc>
          <w:tcPr>
            <w:tcW w:w="413" w:type="pct"/>
            <w:tcBorders>
              <w:top w:val="nil"/>
              <w:left w:val="nil"/>
              <w:bottom w:val="single" w:color="000000" w:sz="4" w:space="0"/>
              <w:right w:val="single" w:color="000000" w:sz="4" w:space="0"/>
            </w:tcBorders>
            <w:shd w:val="clear" w:color="auto" w:fill="auto"/>
            <w:vAlign w:val="center"/>
          </w:tcPr>
          <w:p w14:paraId="6969EACE">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收入查询</w:t>
            </w:r>
          </w:p>
        </w:tc>
        <w:tc>
          <w:tcPr>
            <w:tcW w:w="3714" w:type="pct"/>
            <w:tcBorders>
              <w:top w:val="nil"/>
              <w:left w:val="nil"/>
              <w:bottom w:val="single" w:color="000000" w:sz="4" w:space="0"/>
              <w:right w:val="single" w:color="000000" w:sz="4" w:space="0"/>
            </w:tcBorders>
            <w:shd w:val="clear" w:color="auto" w:fill="auto"/>
            <w:vAlign w:val="center"/>
          </w:tcPr>
          <w:p w14:paraId="1F61CA7D">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包括日收入查询和月收费统计功能。</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日收入查询：提供不同的筛选条件下当日收入查询，用于对比。例如一个片区、一栋楼宇、一个楼层等，根据对比，找寻具体收入变化原因。</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月收费统计：按月进行总共收费情况的统计，可根据每个月单独进行统计，对比每个月的费用收缴情况和变化。可对收费项目维度、空间维度、老人信息维度进行分别统计对比，查找收费/欠缴变化比例原因。</w:t>
            </w:r>
          </w:p>
        </w:tc>
        <w:tc>
          <w:tcPr>
            <w:tcW w:w="558" w:type="pct"/>
            <w:tcBorders>
              <w:top w:val="nil"/>
              <w:left w:val="nil"/>
              <w:bottom w:val="single" w:color="000000" w:sz="4" w:space="0"/>
              <w:right w:val="single" w:color="000000" w:sz="4" w:space="0"/>
            </w:tcBorders>
            <w:shd w:val="clear" w:color="auto" w:fill="auto"/>
            <w:vAlign w:val="center"/>
          </w:tcPr>
          <w:p w14:paraId="05A1D53C">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5B8B1B06">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7D6A23C2">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5</w:t>
            </w:r>
          </w:p>
        </w:tc>
        <w:tc>
          <w:tcPr>
            <w:tcW w:w="413" w:type="pct"/>
            <w:tcBorders>
              <w:top w:val="nil"/>
              <w:left w:val="nil"/>
              <w:bottom w:val="single" w:color="000000" w:sz="4" w:space="0"/>
              <w:right w:val="single" w:color="000000" w:sz="4" w:space="0"/>
            </w:tcBorders>
            <w:shd w:val="clear" w:color="auto" w:fill="auto"/>
            <w:vAlign w:val="center"/>
          </w:tcPr>
          <w:p w14:paraId="6BEAD3CB">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押金管理</w:t>
            </w:r>
          </w:p>
        </w:tc>
        <w:tc>
          <w:tcPr>
            <w:tcW w:w="3714" w:type="pct"/>
            <w:tcBorders>
              <w:top w:val="nil"/>
              <w:left w:val="nil"/>
              <w:bottom w:val="single" w:color="000000" w:sz="4" w:space="0"/>
              <w:right w:val="single" w:color="000000" w:sz="4" w:space="0"/>
            </w:tcBorders>
            <w:shd w:val="clear" w:color="auto" w:fill="auto"/>
            <w:vAlign w:val="center"/>
          </w:tcPr>
          <w:p w14:paraId="2ACBF893">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包括老人押金管理和押金月报表。</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老人押金管理：记录押金的缴纳、退还及利息计算，生成押金账户流水台账。</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押金月报表：统计每个月月收费里押金部分的收入，并且生成报表可供导出。</w:t>
            </w:r>
          </w:p>
        </w:tc>
        <w:tc>
          <w:tcPr>
            <w:tcW w:w="558" w:type="pct"/>
            <w:tcBorders>
              <w:top w:val="nil"/>
              <w:left w:val="nil"/>
              <w:bottom w:val="single" w:color="000000" w:sz="4" w:space="0"/>
              <w:right w:val="single" w:color="000000" w:sz="4" w:space="0"/>
            </w:tcBorders>
            <w:shd w:val="clear" w:color="auto" w:fill="auto"/>
            <w:vAlign w:val="center"/>
          </w:tcPr>
          <w:p w14:paraId="6E0BF38B">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1141DA9A">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02989504">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6</w:t>
            </w:r>
          </w:p>
        </w:tc>
        <w:tc>
          <w:tcPr>
            <w:tcW w:w="413" w:type="pct"/>
            <w:tcBorders>
              <w:top w:val="nil"/>
              <w:left w:val="nil"/>
              <w:bottom w:val="single" w:color="000000" w:sz="4" w:space="0"/>
              <w:right w:val="single" w:color="000000" w:sz="4" w:space="0"/>
            </w:tcBorders>
            <w:shd w:val="clear" w:color="auto" w:fill="auto"/>
            <w:vAlign w:val="center"/>
          </w:tcPr>
          <w:p w14:paraId="32997A25">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仓库成本管理</w:t>
            </w:r>
          </w:p>
        </w:tc>
        <w:tc>
          <w:tcPr>
            <w:tcW w:w="3714" w:type="pct"/>
            <w:tcBorders>
              <w:top w:val="nil"/>
              <w:left w:val="nil"/>
              <w:bottom w:val="single" w:color="000000" w:sz="4" w:space="0"/>
              <w:right w:val="single" w:color="000000" w:sz="4" w:space="0"/>
            </w:tcBorders>
            <w:shd w:val="clear" w:color="auto" w:fill="auto"/>
            <w:vAlign w:val="center"/>
          </w:tcPr>
          <w:p w14:paraId="44EFA00E">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使用多层报表穿透，实现对仓库成本进行管理。从仓库月统计金额台账入手，包含仓库每个自然月或者设定的日期内统计的物品进出情况，加上进库金额列举一个金额台账。可进行点击后进入到单月明细金额台账，并可进一步向下穿透到单项物资的当月进出情况，根据出库/入库情况分别关联不同的进货单采购单和物资领用单。并且根据关联到的相关单据可以查询其他分项单项的物资情况。</w:t>
            </w:r>
          </w:p>
        </w:tc>
        <w:tc>
          <w:tcPr>
            <w:tcW w:w="558" w:type="pct"/>
            <w:tcBorders>
              <w:top w:val="nil"/>
              <w:left w:val="nil"/>
              <w:bottom w:val="single" w:color="000000" w:sz="4" w:space="0"/>
              <w:right w:val="single" w:color="000000" w:sz="4" w:space="0"/>
            </w:tcBorders>
            <w:shd w:val="clear" w:color="auto" w:fill="auto"/>
            <w:vAlign w:val="center"/>
          </w:tcPr>
          <w:p w14:paraId="37DC15EC">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0.5</w:t>
            </w:r>
          </w:p>
        </w:tc>
      </w:tr>
      <w:tr w14:paraId="5C107791">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266BED96">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7</w:t>
            </w:r>
          </w:p>
        </w:tc>
        <w:tc>
          <w:tcPr>
            <w:tcW w:w="413" w:type="pct"/>
            <w:tcBorders>
              <w:top w:val="nil"/>
              <w:left w:val="nil"/>
              <w:bottom w:val="single" w:color="000000" w:sz="4" w:space="0"/>
              <w:right w:val="single" w:color="000000" w:sz="4" w:space="0"/>
            </w:tcBorders>
            <w:shd w:val="clear" w:color="auto" w:fill="auto"/>
            <w:vAlign w:val="center"/>
          </w:tcPr>
          <w:p w14:paraId="15864A58">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物料收发存月报表</w:t>
            </w:r>
          </w:p>
        </w:tc>
        <w:tc>
          <w:tcPr>
            <w:tcW w:w="3714" w:type="pct"/>
            <w:tcBorders>
              <w:top w:val="nil"/>
              <w:left w:val="nil"/>
              <w:bottom w:val="single" w:color="000000" w:sz="4" w:space="0"/>
              <w:right w:val="single" w:color="000000" w:sz="4" w:space="0"/>
            </w:tcBorders>
            <w:shd w:val="clear" w:color="auto" w:fill="auto"/>
            <w:vAlign w:val="center"/>
          </w:tcPr>
          <w:p w14:paraId="5BDEC3F2">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根据物料申请领用，采购和存储状态，根据不同的大分类统计成月报表，并提供对比导出，完善物资采购计划。</w:t>
            </w:r>
          </w:p>
        </w:tc>
        <w:tc>
          <w:tcPr>
            <w:tcW w:w="558" w:type="pct"/>
            <w:tcBorders>
              <w:top w:val="nil"/>
              <w:left w:val="nil"/>
              <w:bottom w:val="single" w:color="000000" w:sz="4" w:space="0"/>
              <w:right w:val="single" w:color="000000" w:sz="4" w:space="0"/>
            </w:tcBorders>
            <w:shd w:val="clear" w:color="auto" w:fill="auto"/>
            <w:vAlign w:val="center"/>
          </w:tcPr>
          <w:p w14:paraId="0C0FFAAD">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0.5</w:t>
            </w:r>
          </w:p>
        </w:tc>
      </w:tr>
      <w:tr w14:paraId="55538B63">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C7E2C5">
            <w:pPr>
              <w:spacing w:after="0" w:line="240" w:lineRule="auto"/>
              <w:jc w:val="both"/>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6、后勤管理</w:t>
            </w:r>
          </w:p>
        </w:tc>
      </w:tr>
      <w:tr w14:paraId="7DB8D727">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01173D7E">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c>
          <w:tcPr>
            <w:tcW w:w="413" w:type="pct"/>
            <w:tcBorders>
              <w:top w:val="nil"/>
              <w:left w:val="nil"/>
              <w:bottom w:val="single" w:color="000000" w:sz="4" w:space="0"/>
              <w:right w:val="single" w:color="000000" w:sz="4" w:space="0"/>
            </w:tcBorders>
            <w:shd w:val="clear" w:color="auto" w:fill="auto"/>
            <w:vAlign w:val="center"/>
          </w:tcPr>
          <w:p w14:paraId="739ECD28">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维修管理</w:t>
            </w:r>
          </w:p>
        </w:tc>
        <w:tc>
          <w:tcPr>
            <w:tcW w:w="3714" w:type="pct"/>
            <w:tcBorders>
              <w:top w:val="nil"/>
              <w:left w:val="nil"/>
              <w:bottom w:val="single" w:color="000000" w:sz="4" w:space="0"/>
              <w:right w:val="single" w:color="000000" w:sz="4" w:space="0"/>
            </w:tcBorders>
            <w:shd w:val="clear" w:color="auto" w:fill="auto"/>
            <w:vAlign w:val="center"/>
          </w:tcPr>
          <w:p w14:paraId="2E317530">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包含维修分类管理、物料分类管理、报修管理、维修管理。</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维修分类管理：维修的基础分类字典管理，按水电、设备等类型预设标准化流程，并且设置对应派单规则，根据不同类型报修通知不同类型的维修人员，快速匹配维修流程。</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物料分类管理：维修物料的配件分级建档（如灯泡、电池），关联库存预警，避免缺货延误影响维修。</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报修管理：员工通过客户端（例如护理员端）和网页端，分别录入报修情况（例如报修地点，损坏情况，紧急程度等）进行报修，并通过预设功能自动匹配维修人员，紧急时可通知保安封锁现场。维修完毕后由报修人录入修理情况，形成回访闭环。</w:t>
            </w:r>
            <w:r>
              <w:rPr>
                <w:rFonts w:hint="default" w:ascii="Times New Roman" w:hAnsi="Times New Roman" w:cs="Times New Roman"/>
                <w:b w:val="0"/>
                <w:bCs w:val="0"/>
                <w:color w:val="000000"/>
                <w:szCs w:val="21"/>
              </w:rPr>
              <w:br w:type="textWrapping"/>
            </w:r>
            <w:r>
              <w:rPr>
                <w:rFonts w:hint="default" w:ascii="Times New Roman" w:hAnsi="Times New Roman" w:cs="Times New Roman"/>
                <w:b w:val="0"/>
                <w:bCs w:val="0"/>
                <w:color w:val="000000"/>
                <w:szCs w:val="21"/>
              </w:rPr>
              <w:t>维修管理：记录维修具体情况，并且记录接单时间、维修时间和完毕时间等具体信息，可统计用料和具体维修时间。</w:t>
            </w:r>
          </w:p>
        </w:tc>
        <w:tc>
          <w:tcPr>
            <w:tcW w:w="558" w:type="pct"/>
            <w:tcBorders>
              <w:top w:val="nil"/>
              <w:left w:val="nil"/>
              <w:bottom w:val="single" w:color="000000" w:sz="4" w:space="0"/>
              <w:right w:val="single" w:color="000000" w:sz="4" w:space="0"/>
            </w:tcBorders>
            <w:shd w:val="clear" w:color="auto" w:fill="auto"/>
            <w:vAlign w:val="center"/>
          </w:tcPr>
          <w:p w14:paraId="3A6988FB">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72B9B4A8">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3722E86E">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2</w:t>
            </w:r>
          </w:p>
        </w:tc>
        <w:tc>
          <w:tcPr>
            <w:tcW w:w="413" w:type="pct"/>
            <w:tcBorders>
              <w:top w:val="nil"/>
              <w:left w:val="nil"/>
              <w:bottom w:val="single" w:color="000000" w:sz="4" w:space="0"/>
              <w:right w:val="single" w:color="000000" w:sz="4" w:space="0"/>
            </w:tcBorders>
            <w:shd w:val="clear" w:color="auto" w:fill="auto"/>
            <w:vAlign w:val="center"/>
          </w:tcPr>
          <w:p w14:paraId="513BA824">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物资管理</w:t>
            </w:r>
          </w:p>
        </w:tc>
        <w:tc>
          <w:tcPr>
            <w:tcW w:w="3714" w:type="pct"/>
            <w:tcBorders>
              <w:top w:val="nil"/>
              <w:left w:val="nil"/>
              <w:bottom w:val="single" w:color="000000" w:sz="4" w:space="0"/>
              <w:right w:val="single" w:color="000000" w:sz="4" w:space="0"/>
            </w:tcBorders>
            <w:shd w:val="clear" w:color="auto" w:fill="auto"/>
            <w:vAlign w:val="center"/>
          </w:tcPr>
          <w:p w14:paraId="78AE414B">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包含员工物资领用申请、物资采购申请、仓库管理、供应商管理、采购入库管理、物品退库管理、物品过期查询、仓库物品调拨。员工物资领用申请：员工在线填写领用需求，通过审批后自动扣减库存，如上图流程，记录可追溯。物资采购申请：库存不足时触发申请，一键生成采购计划，流程如上图，审批后直连供应商。仓库管理：多个仓库独立统计，员工领用时优先选择对应的仓库，目前主要分为菊园仓库和南翔仓库两项。供应商管理：对供应商进行统一管理，新增供应商需进行资质审核流程，比价选优，动态评估履约能力，通过审批后才能成为采购可选供应商。采购入库管理：在物资不够或定期采购的情况下，由专人进行采购并根据采购单验收入库，自动同步库存数据，生成电子台账。物品退库管理：对未使用的物资进行扫码退库，自动恢复库存并标记状态（如未拆封/已拆封）。物品过期查询：在入库时需填写物品过期时间（如存在过期时间），根据采购单智能识别不同批次的相同物资，保证先进先出，预警提醒优先使用，避免浪费。仓库物品调拨：员工需要的物资在当前仓库缺乏但另外的仓库有物资的情况下，通过跨仓库在线申请调拨，库存自动增减，确保资源高效流转。</w:t>
            </w:r>
          </w:p>
        </w:tc>
        <w:tc>
          <w:tcPr>
            <w:tcW w:w="558" w:type="pct"/>
            <w:tcBorders>
              <w:top w:val="nil"/>
              <w:left w:val="nil"/>
              <w:bottom w:val="single" w:color="000000" w:sz="4" w:space="0"/>
              <w:right w:val="single" w:color="000000" w:sz="4" w:space="0"/>
            </w:tcBorders>
            <w:shd w:val="clear" w:color="auto" w:fill="auto"/>
            <w:vAlign w:val="center"/>
          </w:tcPr>
          <w:p w14:paraId="500BE0BE">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1D2C12EC">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5496DA">
            <w:pPr>
              <w:spacing w:after="0" w:line="240" w:lineRule="auto"/>
              <w:jc w:val="both"/>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7、膳食管理</w:t>
            </w:r>
          </w:p>
        </w:tc>
      </w:tr>
      <w:tr w14:paraId="7F22C893">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3EDEA686">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c>
          <w:tcPr>
            <w:tcW w:w="413" w:type="pct"/>
            <w:tcBorders>
              <w:top w:val="nil"/>
              <w:left w:val="nil"/>
              <w:bottom w:val="single" w:color="000000" w:sz="4" w:space="0"/>
              <w:right w:val="single" w:color="000000" w:sz="4" w:space="0"/>
            </w:tcBorders>
            <w:shd w:val="clear" w:color="auto" w:fill="auto"/>
            <w:vAlign w:val="center"/>
          </w:tcPr>
          <w:p w14:paraId="7EA744C2">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膳食采购</w:t>
            </w:r>
          </w:p>
        </w:tc>
        <w:tc>
          <w:tcPr>
            <w:tcW w:w="3714" w:type="pct"/>
            <w:tcBorders>
              <w:top w:val="nil"/>
              <w:left w:val="nil"/>
              <w:bottom w:val="single" w:color="000000" w:sz="4" w:space="0"/>
              <w:right w:val="single" w:color="000000" w:sz="4" w:space="0"/>
            </w:tcBorders>
            <w:shd w:val="clear" w:color="auto" w:fill="auto"/>
            <w:vAlign w:val="center"/>
          </w:tcPr>
          <w:p w14:paraId="7205BDC2">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提供根据库存和预设菜谱自动生成采购清单，由专人采购完成后录入系统，对应采购价格和采购量数据自动生成统计报表，供财务部门核查。</w:t>
            </w:r>
          </w:p>
        </w:tc>
        <w:tc>
          <w:tcPr>
            <w:tcW w:w="558" w:type="pct"/>
            <w:tcBorders>
              <w:top w:val="nil"/>
              <w:left w:val="nil"/>
              <w:bottom w:val="single" w:color="000000" w:sz="4" w:space="0"/>
              <w:right w:val="single" w:color="000000" w:sz="4" w:space="0"/>
            </w:tcBorders>
            <w:shd w:val="clear" w:color="auto" w:fill="auto"/>
            <w:vAlign w:val="center"/>
          </w:tcPr>
          <w:p w14:paraId="614DC245">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0AB51709">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7475A4BD">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2</w:t>
            </w:r>
          </w:p>
        </w:tc>
        <w:tc>
          <w:tcPr>
            <w:tcW w:w="413" w:type="pct"/>
            <w:tcBorders>
              <w:top w:val="nil"/>
              <w:left w:val="nil"/>
              <w:bottom w:val="single" w:color="000000" w:sz="4" w:space="0"/>
              <w:right w:val="single" w:color="000000" w:sz="4" w:space="0"/>
            </w:tcBorders>
            <w:shd w:val="clear" w:color="auto" w:fill="auto"/>
            <w:vAlign w:val="center"/>
          </w:tcPr>
          <w:p w14:paraId="603DD1E2">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菜谱管理</w:t>
            </w:r>
          </w:p>
        </w:tc>
        <w:tc>
          <w:tcPr>
            <w:tcW w:w="3714" w:type="pct"/>
            <w:tcBorders>
              <w:top w:val="nil"/>
              <w:left w:val="nil"/>
              <w:bottom w:val="single" w:color="000000" w:sz="4" w:space="0"/>
              <w:right w:val="single" w:color="000000" w:sz="4" w:space="0"/>
            </w:tcBorders>
            <w:shd w:val="clear" w:color="auto" w:fill="auto"/>
            <w:vAlign w:val="center"/>
          </w:tcPr>
          <w:p w14:paraId="3EA9A23E">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相关负责人需提前一周定制菜谱内容，根据不同的类型分为老人菜谱、职工菜谱和小锅菜菜谱。老人菜谱需每天设置菜谱名称，类型，并且制定早餐、午餐和晚餐，不同类型菜谱单独记录，如普餐、低脂低糖餐、流质餐等等。职工菜谱需设置每日菜谱名称、类型，也有三顿餐。小锅菜包含饮食类型、菜品名称、单价和厨师姓名，老人根据需要可进行点餐。</w:t>
            </w:r>
          </w:p>
        </w:tc>
        <w:tc>
          <w:tcPr>
            <w:tcW w:w="558" w:type="pct"/>
            <w:tcBorders>
              <w:top w:val="nil"/>
              <w:left w:val="nil"/>
              <w:bottom w:val="single" w:color="000000" w:sz="4" w:space="0"/>
              <w:right w:val="single" w:color="000000" w:sz="4" w:space="0"/>
            </w:tcBorders>
            <w:shd w:val="clear" w:color="auto" w:fill="auto"/>
            <w:vAlign w:val="center"/>
          </w:tcPr>
          <w:p w14:paraId="0CC207E2">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5B0CC2F1">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60417502">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3</w:t>
            </w:r>
          </w:p>
        </w:tc>
        <w:tc>
          <w:tcPr>
            <w:tcW w:w="413" w:type="pct"/>
            <w:tcBorders>
              <w:top w:val="nil"/>
              <w:left w:val="nil"/>
              <w:bottom w:val="single" w:color="000000" w:sz="4" w:space="0"/>
              <w:right w:val="single" w:color="000000" w:sz="4" w:space="0"/>
            </w:tcBorders>
            <w:shd w:val="clear" w:color="auto" w:fill="auto"/>
            <w:vAlign w:val="center"/>
          </w:tcPr>
          <w:p w14:paraId="4A32A52B">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老人用餐</w:t>
            </w:r>
          </w:p>
        </w:tc>
        <w:tc>
          <w:tcPr>
            <w:tcW w:w="3714" w:type="pct"/>
            <w:tcBorders>
              <w:top w:val="nil"/>
              <w:left w:val="nil"/>
              <w:bottom w:val="single" w:color="000000" w:sz="4" w:space="0"/>
              <w:right w:val="single" w:color="000000" w:sz="4" w:space="0"/>
            </w:tcBorders>
            <w:shd w:val="clear" w:color="auto" w:fill="auto"/>
            <w:vAlign w:val="center"/>
          </w:tcPr>
          <w:p w14:paraId="13F73B7D">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护理人员通过手持PDA端记录用餐情况（如剩余量、过敏反馈），异常情况将在未来健康检查时自动提醒医生优化膳食方案。</w:t>
            </w:r>
          </w:p>
        </w:tc>
        <w:tc>
          <w:tcPr>
            <w:tcW w:w="558" w:type="pct"/>
            <w:tcBorders>
              <w:top w:val="nil"/>
              <w:left w:val="nil"/>
              <w:bottom w:val="single" w:color="000000" w:sz="4" w:space="0"/>
              <w:right w:val="single" w:color="000000" w:sz="4" w:space="0"/>
            </w:tcBorders>
            <w:shd w:val="clear" w:color="auto" w:fill="auto"/>
            <w:vAlign w:val="center"/>
          </w:tcPr>
          <w:p w14:paraId="0EB1EE39">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0.5</w:t>
            </w:r>
          </w:p>
        </w:tc>
      </w:tr>
      <w:tr w14:paraId="1A14C516">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139F8746">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4</w:t>
            </w:r>
          </w:p>
        </w:tc>
        <w:tc>
          <w:tcPr>
            <w:tcW w:w="413" w:type="pct"/>
            <w:tcBorders>
              <w:top w:val="nil"/>
              <w:left w:val="nil"/>
              <w:bottom w:val="single" w:color="000000" w:sz="4" w:space="0"/>
              <w:right w:val="single" w:color="000000" w:sz="4" w:space="0"/>
            </w:tcBorders>
            <w:shd w:val="clear" w:color="auto" w:fill="auto"/>
            <w:vAlign w:val="center"/>
          </w:tcPr>
          <w:p w14:paraId="6A15353C">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老人点餐</w:t>
            </w:r>
          </w:p>
        </w:tc>
        <w:tc>
          <w:tcPr>
            <w:tcW w:w="3714" w:type="pct"/>
            <w:tcBorders>
              <w:top w:val="nil"/>
              <w:left w:val="nil"/>
              <w:bottom w:val="single" w:color="000000" w:sz="4" w:space="0"/>
              <w:right w:val="single" w:color="000000" w:sz="4" w:space="0"/>
            </w:tcBorders>
            <w:shd w:val="clear" w:color="auto" w:fill="auto"/>
            <w:vAlign w:val="center"/>
          </w:tcPr>
          <w:p w14:paraId="4AA83076">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老人通过护理员进行点餐操作，包括常规餐品和小锅菜，常规餐品联动老人医嘱，按规则限定普通饮食菜谱或特殊（低盐低脂等）菜谱。</w:t>
            </w:r>
          </w:p>
        </w:tc>
        <w:tc>
          <w:tcPr>
            <w:tcW w:w="558" w:type="pct"/>
            <w:tcBorders>
              <w:top w:val="nil"/>
              <w:left w:val="nil"/>
              <w:bottom w:val="single" w:color="000000" w:sz="4" w:space="0"/>
              <w:right w:val="single" w:color="000000" w:sz="4" w:space="0"/>
            </w:tcBorders>
            <w:shd w:val="clear" w:color="auto" w:fill="auto"/>
            <w:vAlign w:val="center"/>
          </w:tcPr>
          <w:p w14:paraId="31580DC3">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0.5</w:t>
            </w:r>
          </w:p>
        </w:tc>
      </w:tr>
      <w:tr w14:paraId="034D4D67">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29D9AF44">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5</w:t>
            </w:r>
          </w:p>
        </w:tc>
        <w:tc>
          <w:tcPr>
            <w:tcW w:w="413" w:type="pct"/>
            <w:tcBorders>
              <w:top w:val="nil"/>
              <w:left w:val="nil"/>
              <w:bottom w:val="single" w:color="000000" w:sz="4" w:space="0"/>
              <w:right w:val="single" w:color="000000" w:sz="4" w:space="0"/>
            </w:tcBorders>
            <w:shd w:val="clear" w:color="auto" w:fill="auto"/>
            <w:vAlign w:val="center"/>
          </w:tcPr>
          <w:p w14:paraId="1F25881D">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特殊饮食汇总</w:t>
            </w:r>
          </w:p>
        </w:tc>
        <w:tc>
          <w:tcPr>
            <w:tcW w:w="3714" w:type="pct"/>
            <w:tcBorders>
              <w:top w:val="nil"/>
              <w:left w:val="nil"/>
              <w:bottom w:val="single" w:color="000000" w:sz="4" w:space="0"/>
              <w:right w:val="single" w:color="000000" w:sz="4" w:space="0"/>
            </w:tcBorders>
            <w:shd w:val="clear" w:color="auto" w:fill="auto"/>
            <w:vAlign w:val="center"/>
          </w:tcPr>
          <w:p w14:paraId="7DE39427">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本功能通过数字化手段实现健康膳食管理的全流程闭环，依托智能算法对特殊膳食数据进行多维度分析及可视化呈现。系统每日自动抓取低糖、低脂等健康菜谱的消费数据，包括菜品点击率、实际摄入量、用户健康指标关联度等核心参数，支持按周/月生成带动态筛选条件的交互式仪表盘。</w:t>
            </w:r>
          </w:p>
        </w:tc>
        <w:tc>
          <w:tcPr>
            <w:tcW w:w="558" w:type="pct"/>
            <w:tcBorders>
              <w:top w:val="nil"/>
              <w:left w:val="nil"/>
              <w:bottom w:val="single" w:color="000000" w:sz="4" w:space="0"/>
              <w:right w:val="single" w:color="000000" w:sz="4" w:space="0"/>
            </w:tcBorders>
            <w:shd w:val="clear" w:color="auto" w:fill="auto"/>
            <w:vAlign w:val="center"/>
          </w:tcPr>
          <w:p w14:paraId="1EB79149">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0.5</w:t>
            </w:r>
          </w:p>
        </w:tc>
      </w:tr>
      <w:tr w14:paraId="3E628D57">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9F1E84">
            <w:pPr>
              <w:spacing w:after="0" w:line="240" w:lineRule="auto"/>
              <w:jc w:val="both"/>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8、社工管理</w:t>
            </w:r>
          </w:p>
        </w:tc>
      </w:tr>
      <w:tr w14:paraId="31B85D4C">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65D515D9">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c>
          <w:tcPr>
            <w:tcW w:w="413" w:type="pct"/>
            <w:tcBorders>
              <w:top w:val="nil"/>
              <w:left w:val="nil"/>
              <w:bottom w:val="single" w:color="000000" w:sz="4" w:space="0"/>
              <w:right w:val="single" w:color="000000" w:sz="4" w:space="0"/>
            </w:tcBorders>
            <w:shd w:val="clear" w:color="auto" w:fill="auto"/>
            <w:vAlign w:val="center"/>
          </w:tcPr>
          <w:p w14:paraId="3AB41E78">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活动计划</w:t>
            </w:r>
          </w:p>
        </w:tc>
        <w:tc>
          <w:tcPr>
            <w:tcW w:w="3714" w:type="pct"/>
            <w:tcBorders>
              <w:top w:val="nil"/>
              <w:left w:val="nil"/>
              <w:bottom w:val="single" w:color="000000" w:sz="4" w:space="0"/>
              <w:right w:val="single" w:color="000000" w:sz="4" w:space="0"/>
            </w:tcBorders>
            <w:shd w:val="clear" w:color="auto" w:fill="auto"/>
            <w:vAlign w:val="center"/>
          </w:tcPr>
          <w:p w14:paraId="2B01A601">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为未来将要举办的活动提供计划支撑，从资金支持、现场情况、活动目标、活动人数等各方面记录将来活动的准备情况，与大型活动模块联动，保障活动进行。</w:t>
            </w:r>
          </w:p>
        </w:tc>
        <w:tc>
          <w:tcPr>
            <w:tcW w:w="558" w:type="pct"/>
            <w:tcBorders>
              <w:top w:val="nil"/>
              <w:left w:val="nil"/>
              <w:bottom w:val="single" w:color="000000" w:sz="4" w:space="0"/>
              <w:right w:val="single" w:color="000000" w:sz="4" w:space="0"/>
            </w:tcBorders>
            <w:shd w:val="clear" w:color="auto" w:fill="auto"/>
            <w:vAlign w:val="center"/>
          </w:tcPr>
          <w:p w14:paraId="794A47FB">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138975E0">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08E002DB">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2</w:t>
            </w:r>
          </w:p>
        </w:tc>
        <w:tc>
          <w:tcPr>
            <w:tcW w:w="413" w:type="pct"/>
            <w:tcBorders>
              <w:top w:val="nil"/>
              <w:left w:val="nil"/>
              <w:bottom w:val="single" w:color="000000" w:sz="4" w:space="0"/>
              <w:right w:val="single" w:color="000000" w:sz="4" w:space="0"/>
            </w:tcBorders>
            <w:shd w:val="clear" w:color="auto" w:fill="auto"/>
            <w:vAlign w:val="center"/>
          </w:tcPr>
          <w:p w14:paraId="14DA41A9">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大型活动</w:t>
            </w:r>
          </w:p>
        </w:tc>
        <w:tc>
          <w:tcPr>
            <w:tcW w:w="3714" w:type="pct"/>
            <w:tcBorders>
              <w:top w:val="nil"/>
              <w:left w:val="nil"/>
              <w:bottom w:val="single" w:color="000000" w:sz="4" w:space="0"/>
              <w:right w:val="single" w:color="000000" w:sz="4" w:space="0"/>
            </w:tcBorders>
            <w:shd w:val="clear" w:color="auto" w:fill="auto"/>
            <w:vAlign w:val="center"/>
          </w:tcPr>
          <w:p w14:paraId="1415A96B">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根据上述功能导入的情况（也可直接录入活动内容），记录整个活动的完整情况。包括但不限于现场签到、活动照片/视频、活动情况，突发情况和事后处理情况等，并录入活动预算使用记录，保障活动记录完整。</w:t>
            </w:r>
          </w:p>
        </w:tc>
        <w:tc>
          <w:tcPr>
            <w:tcW w:w="558" w:type="pct"/>
            <w:tcBorders>
              <w:top w:val="nil"/>
              <w:left w:val="nil"/>
              <w:bottom w:val="single" w:color="000000" w:sz="4" w:space="0"/>
              <w:right w:val="single" w:color="000000" w:sz="4" w:space="0"/>
            </w:tcBorders>
            <w:shd w:val="clear" w:color="auto" w:fill="auto"/>
            <w:vAlign w:val="center"/>
          </w:tcPr>
          <w:p w14:paraId="1E112A1E">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r w14:paraId="78CC120F">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7BD5F6">
            <w:pPr>
              <w:spacing w:after="0" w:line="240" w:lineRule="auto"/>
              <w:jc w:val="both"/>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9、系统设置</w:t>
            </w:r>
          </w:p>
        </w:tc>
      </w:tr>
      <w:tr w14:paraId="4C59DBBE">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47DDC588">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c>
          <w:tcPr>
            <w:tcW w:w="413" w:type="pct"/>
            <w:tcBorders>
              <w:top w:val="nil"/>
              <w:left w:val="nil"/>
              <w:bottom w:val="single" w:color="000000" w:sz="4" w:space="0"/>
              <w:right w:val="single" w:color="000000" w:sz="4" w:space="0"/>
            </w:tcBorders>
            <w:shd w:val="clear" w:color="auto" w:fill="auto"/>
            <w:vAlign w:val="center"/>
          </w:tcPr>
          <w:p w14:paraId="21EFC474">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账号管理</w:t>
            </w:r>
          </w:p>
        </w:tc>
        <w:tc>
          <w:tcPr>
            <w:tcW w:w="3714" w:type="pct"/>
            <w:tcBorders>
              <w:top w:val="nil"/>
              <w:left w:val="nil"/>
              <w:bottom w:val="single" w:color="000000" w:sz="4" w:space="0"/>
              <w:right w:val="single" w:color="000000" w:sz="4" w:space="0"/>
            </w:tcBorders>
            <w:shd w:val="clear" w:color="auto" w:fill="auto"/>
            <w:vAlign w:val="center"/>
          </w:tcPr>
          <w:p w14:paraId="06506C03">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统一创建/禁用员工账号，通过帐号名和密码进行前端登录，包括网页端和小程序/移动端等数据，密码输入错误三次自动锁死防暴力破解</w:t>
            </w:r>
          </w:p>
        </w:tc>
        <w:tc>
          <w:tcPr>
            <w:tcW w:w="558" w:type="pct"/>
            <w:tcBorders>
              <w:top w:val="nil"/>
              <w:left w:val="nil"/>
              <w:bottom w:val="single" w:color="000000" w:sz="4" w:space="0"/>
              <w:right w:val="single" w:color="000000" w:sz="4" w:space="0"/>
            </w:tcBorders>
            <w:shd w:val="clear" w:color="auto" w:fill="auto"/>
            <w:vAlign w:val="center"/>
          </w:tcPr>
          <w:p w14:paraId="564C68B5">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0.5</w:t>
            </w:r>
          </w:p>
        </w:tc>
      </w:tr>
      <w:tr w14:paraId="57590512">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2E4FE8C2">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2</w:t>
            </w:r>
          </w:p>
        </w:tc>
        <w:tc>
          <w:tcPr>
            <w:tcW w:w="413" w:type="pct"/>
            <w:tcBorders>
              <w:top w:val="nil"/>
              <w:left w:val="nil"/>
              <w:bottom w:val="single" w:color="000000" w:sz="4" w:space="0"/>
              <w:right w:val="single" w:color="000000" w:sz="4" w:space="0"/>
            </w:tcBorders>
            <w:shd w:val="clear" w:color="auto" w:fill="auto"/>
            <w:vAlign w:val="center"/>
          </w:tcPr>
          <w:p w14:paraId="4AA1210F">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角色管理</w:t>
            </w:r>
          </w:p>
        </w:tc>
        <w:tc>
          <w:tcPr>
            <w:tcW w:w="3714" w:type="pct"/>
            <w:tcBorders>
              <w:top w:val="nil"/>
              <w:left w:val="nil"/>
              <w:bottom w:val="single" w:color="000000" w:sz="4" w:space="0"/>
              <w:right w:val="single" w:color="000000" w:sz="4" w:space="0"/>
            </w:tcBorders>
            <w:shd w:val="clear" w:color="auto" w:fill="auto"/>
            <w:vAlign w:val="center"/>
          </w:tcPr>
          <w:p w14:paraId="227E1A56">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通过角色设置帐号的权限，不同的帐号对应相同的角色可拥有相同的权限，预设“社工”“护士”“管理员”等角色权限（如仅查看或编辑），一键批量授权，角色中包含菜单、按钮和数据权限，可自定义进行配置。</w:t>
            </w:r>
          </w:p>
        </w:tc>
        <w:tc>
          <w:tcPr>
            <w:tcW w:w="558" w:type="pct"/>
            <w:tcBorders>
              <w:top w:val="nil"/>
              <w:left w:val="nil"/>
              <w:bottom w:val="single" w:color="000000" w:sz="4" w:space="0"/>
              <w:right w:val="single" w:color="000000" w:sz="4" w:space="0"/>
            </w:tcBorders>
            <w:shd w:val="clear" w:color="auto" w:fill="auto"/>
            <w:vAlign w:val="center"/>
          </w:tcPr>
          <w:p w14:paraId="5AC51F92">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0.5</w:t>
            </w:r>
          </w:p>
        </w:tc>
      </w:tr>
      <w:tr w14:paraId="6B775152">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0D246600">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3</w:t>
            </w:r>
          </w:p>
        </w:tc>
        <w:tc>
          <w:tcPr>
            <w:tcW w:w="413" w:type="pct"/>
            <w:tcBorders>
              <w:top w:val="nil"/>
              <w:left w:val="nil"/>
              <w:bottom w:val="single" w:color="000000" w:sz="4" w:space="0"/>
              <w:right w:val="single" w:color="000000" w:sz="4" w:space="0"/>
            </w:tcBorders>
            <w:shd w:val="clear" w:color="auto" w:fill="auto"/>
            <w:vAlign w:val="center"/>
          </w:tcPr>
          <w:p w14:paraId="4869B50A">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日志</w:t>
            </w:r>
          </w:p>
        </w:tc>
        <w:tc>
          <w:tcPr>
            <w:tcW w:w="3714" w:type="pct"/>
            <w:tcBorders>
              <w:top w:val="nil"/>
              <w:left w:val="nil"/>
              <w:bottom w:val="single" w:color="000000" w:sz="4" w:space="0"/>
              <w:right w:val="single" w:color="000000" w:sz="4" w:space="0"/>
            </w:tcBorders>
            <w:shd w:val="clear" w:color="auto" w:fill="auto"/>
            <w:vAlign w:val="center"/>
          </w:tcPr>
          <w:p w14:paraId="1A530C76">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自动记录账号登录、数据修改等操作痕迹，便于追溯问题或审计合规性，保障系统安全透明。</w:t>
            </w:r>
          </w:p>
        </w:tc>
        <w:tc>
          <w:tcPr>
            <w:tcW w:w="558" w:type="pct"/>
            <w:tcBorders>
              <w:top w:val="nil"/>
              <w:left w:val="nil"/>
              <w:bottom w:val="single" w:color="000000" w:sz="4" w:space="0"/>
              <w:right w:val="single" w:color="000000" w:sz="4" w:space="0"/>
            </w:tcBorders>
            <w:shd w:val="clear" w:color="auto" w:fill="auto"/>
            <w:vAlign w:val="center"/>
          </w:tcPr>
          <w:p w14:paraId="7F11DDCF">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0.5</w:t>
            </w:r>
          </w:p>
        </w:tc>
      </w:tr>
      <w:tr w14:paraId="01875EBB">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5B77B232">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4</w:t>
            </w:r>
          </w:p>
        </w:tc>
        <w:tc>
          <w:tcPr>
            <w:tcW w:w="413" w:type="pct"/>
            <w:tcBorders>
              <w:top w:val="nil"/>
              <w:left w:val="nil"/>
              <w:bottom w:val="single" w:color="000000" w:sz="4" w:space="0"/>
              <w:right w:val="single" w:color="000000" w:sz="4" w:space="0"/>
            </w:tcBorders>
            <w:shd w:val="clear" w:color="auto" w:fill="auto"/>
            <w:vAlign w:val="center"/>
          </w:tcPr>
          <w:p w14:paraId="19FC084D">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家属端设置</w:t>
            </w:r>
          </w:p>
        </w:tc>
        <w:tc>
          <w:tcPr>
            <w:tcW w:w="3714" w:type="pct"/>
            <w:tcBorders>
              <w:top w:val="nil"/>
              <w:left w:val="nil"/>
              <w:bottom w:val="single" w:color="000000" w:sz="4" w:space="0"/>
              <w:right w:val="single" w:color="000000" w:sz="4" w:space="0"/>
            </w:tcBorders>
            <w:shd w:val="clear" w:color="auto" w:fill="auto"/>
            <w:vAlign w:val="center"/>
          </w:tcPr>
          <w:p w14:paraId="74D7272B">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灵活更改家属端权限，审核家属权限，并关联老人出院记录，及时注销。</w:t>
            </w:r>
          </w:p>
        </w:tc>
        <w:tc>
          <w:tcPr>
            <w:tcW w:w="558" w:type="pct"/>
            <w:tcBorders>
              <w:top w:val="nil"/>
              <w:left w:val="nil"/>
              <w:bottom w:val="single" w:color="000000" w:sz="4" w:space="0"/>
              <w:right w:val="single" w:color="000000" w:sz="4" w:space="0"/>
            </w:tcBorders>
            <w:shd w:val="clear" w:color="auto" w:fill="auto"/>
            <w:vAlign w:val="center"/>
          </w:tcPr>
          <w:p w14:paraId="7D069B79">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0.5</w:t>
            </w:r>
          </w:p>
        </w:tc>
      </w:tr>
      <w:tr w14:paraId="6E29A99D">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4149E375">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5</w:t>
            </w:r>
          </w:p>
        </w:tc>
        <w:tc>
          <w:tcPr>
            <w:tcW w:w="413" w:type="pct"/>
            <w:tcBorders>
              <w:top w:val="nil"/>
              <w:left w:val="nil"/>
              <w:bottom w:val="single" w:color="000000" w:sz="4" w:space="0"/>
              <w:right w:val="single" w:color="000000" w:sz="4" w:space="0"/>
            </w:tcBorders>
            <w:shd w:val="clear" w:color="auto" w:fill="auto"/>
            <w:vAlign w:val="center"/>
          </w:tcPr>
          <w:p w14:paraId="4AA7C9D5">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密码应用接口</w:t>
            </w:r>
          </w:p>
        </w:tc>
        <w:tc>
          <w:tcPr>
            <w:tcW w:w="3714" w:type="pct"/>
            <w:tcBorders>
              <w:top w:val="nil"/>
              <w:left w:val="nil"/>
              <w:bottom w:val="single" w:color="000000" w:sz="4" w:space="0"/>
              <w:right w:val="single" w:color="000000" w:sz="4" w:space="0"/>
            </w:tcBorders>
            <w:shd w:val="clear" w:color="auto" w:fill="auto"/>
            <w:vAlign w:val="center"/>
          </w:tcPr>
          <w:p w14:paraId="21F6DCE1">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实现本次开发的养老综合管理大系统的密码应用接口开发工作。</w:t>
            </w:r>
          </w:p>
        </w:tc>
        <w:tc>
          <w:tcPr>
            <w:tcW w:w="558" w:type="pct"/>
            <w:tcBorders>
              <w:top w:val="nil"/>
              <w:left w:val="nil"/>
              <w:bottom w:val="single" w:color="000000" w:sz="4" w:space="0"/>
              <w:right w:val="single" w:color="000000" w:sz="4" w:space="0"/>
            </w:tcBorders>
            <w:shd w:val="clear" w:color="auto" w:fill="auto"/>
            <w:vAlign w:val="center"/>
          </w:tcPr>
          <w:p w14:paraId="168457D1">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2</w:t>
            </w:r>
          </w:p>
        </w:tc>
      </w:tr>
      <w:tr w14:paraId="3B9D695F">
        <w:tblPrEx>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5CF12F">
            <w:pPr>
              <w:spacing w:after="0" w:line="240" w:lineRule="auto"/>
              <w:jc w:val="both"/>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10、移动端应用&amp;展示</w:t>
            </w:r>
          </w:p>
        </w:tc>
      </w:tr>
      <w:tr w14:paraId="4748774E">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20E03E6D">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c>
          <w:tcPr>
            <w:tcW w:w="413" w:type="pct"/>
            <w:tcBorders>
              <w:top w:val="nil"/>
              <w:left w:val="nil"/>
              <w:bottom w:val="single" w:color="000000" w:sz="4" w:space="0"/>
              <w:right w:val="single" w:color="000000" w:sz="4" w:space="0"/>
            </w:tcBorders>
            <w:shd w:val="clear" w:color="auto" w:fill="auto"/>
            <w:vAlign w:val="center"/>
          </w:tcPr>
          <w:p w14:paraId="55C79810">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护理员端APP</w:t>
            </w:r>
          </w:p>
        </w:tc>
        <w:tc>
          <w:tcPr>
            <w:tcW w:w="3714" w:type="pct"/>
            <w:tcBorders>
              <w:top w:val="nil"/>
              <w:left w:val="nil"/>
              <w:bottom w:val="single" w:color="000000" w:sz="4" w:space="0"/>
              <w:right w:val="single" w:color="000000" w:sz="4" w:space="0"/>
            </w:tcBorders>
            <w:shd w:val="clear" w:color="auto" w:fill="auto"/>
            <w:vAlign w:val="center"/>
          </w:tcPr>
          <w:p w14:paraId="65218E0E">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护理员用手持PDA运行APP端，用于护理员各类工作所需，包含待办工作、内部消息、呼叫信息、老人点餐、老人加餐、洗衣房消毒、巡护记录、老人外出、老人局势消毒、每日巡查、利器管控、新入住跟进观察、注射记录、衣被清洗晾晒、臭氧机消毒、终末消毒、安全保护用具观察、鼻饲记录、老人衣物换洗、利器管理、新入住老人、护理培训、台账记录、增值服务、随手拍、交接班等功能</w:t>
            </w:r>
          </w:p>
        </w:tc>
        <w:tc>
          <w:tcPr>
            <w:tcW w:w="558" w:type="pct"/>
            <w:tcBorders>
              <w:top w:val="nil"/>
              <w:left w:val="nil"/>
              <w:bottom w:val="single" w:color="000000" w:sz="4" w:space="0"/>
              <w:right w:val="single" w:color="000000" w:sz="4" w:space="0"/>
            </w:tcBorders>
            <w:shd w:val="clear" w:color="auto" w:fill="auto"/>
            <w:vAlign w:val="center"/>
          </w:tcPr>
          <w:p w14:paraId="53538CAC">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0.5</w:t>
            </w:r>
          </w:p>
        </w:tc>
      </w:tr>
      <w:tr w14:paraId="376A7F1D">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4215B67D">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2</w:t>
            </w:r>
          </w:p>
        </w:tc>
        <w:tc>
          <w:tcPr>
            <w:tcW w:w="413" w:type="pct"/>
            <w:tcBorders>
              <w:top w:val="nil"/>
              <w:left w:val="nil"/>
              <w:bottom w:val="single" w:color="000000" w:sz="4" w:space="0"/>
              <w:right w:val="single" w:color="000000" w:sz="4" w:space="0"/>
            </w:tcBorders>
            <w:shd w:val="clear" w:color="auto" w:fill="auto"/>
            <w:vAlign w:val="center"/>
          </w:tcPr>
          <w:p w14:paraId="5606BA5E">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家属端微信小程序</w:t>
            </w:r>
          </w:p>
        </w:tc>
        <w:tc>
          <w:tcPr>
            <w:tcW w:w="3714" w:type="pct"/>
            <w:tcBorders>
              <w:top w:val="nil"/>
              <w:left w:val="nil"/>
              <w:bottom w:val="single" w:color="000000" w:sz="4" w:space="0"/>
              <w:right w:val="single" w:color="000000" w:sz="4" w:space="0"/>
            </w:tcBorders>
            <w:shd w:val="clear" w:color="auto" w:fill="auto"/>
            <w:vAlign w:val="center"/>
          </w:tcPr>
          <w:p w14:paraId="5B2883A2">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提供家属查看老人居住，以及家属给老人请假等功能</w:t>
            </w:r>
          </w:p>
        </w:tc>
        <w:tc>
          <w:tcPr>
            <w:tcW w:w="558" w:type="pct"/>
            <w:tcBorders>
              <w:top w:val="nil"/>
              <w:left w:val="nil"/>
              <w:bottom w:val="single" w:color="000000" w:sz="4" w:space="0"/>
              <w:right w:val="single" w:color="000000" w:sz="4" w:space="0"/>
            </w:tcBorders>
            <w:shd w:val="clear" w:color="auto" w:fill="auto"/>
            <w:vAlign w:val="center"/>
          </w:tcPr>
          <w:p w14:paraId="3C4ED5BD">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0.5</w:t>
            </w:r>
          </w:p>
        </w:tc>
      </w:tr>
      <w:tr w14:paraId="4B38C678">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0B9B5202">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3</w:t>
            </w:r>
          </w:p>
        </w:tc>
        <w:tc>
          <w:tcPr>
            <w:tcW w:w="413" w:type="pct"/>
            <w:tcBorders>
              <w:top w:val="nil"/>
              <w:left w:val="nil"/>
              <w:bottom w:val="single" w:color="000000" w:sz="4" w:space="0"/>
              <w:right w:val="single" w:color="000000" w:sz="4" w:space="0"/>
            </w:tcBorders>
            <w:shd w:val="clear" w:color="auto" w:fill="auto"/>
            <w:vAlign w:val="center"/>
          </w:tcPr>
          <w:p w14:paraId="60A5BB5D">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老人个人综合档案</w:t>
            </w:r>
          </w:p>
        </w:tc>
        <w:tc>
          <w:tcPr>
            <w:tcW w:w="3714" w:type="pct"/>
            <w:tcBorders>
              <w:top w:val="nil"/>
              <w:left w:val="nil"/>
              <w:bottom w:val="single" w:color="000000" w:sz="4" w:space="0"/>
              <w:right w:val="single" w:color="000000" w:sz="4" w:space="0"/>
            </w:tcBorders>
            <w:shd w:val="clear" w:color="auto" w:fill="auto"/>
            <w:vAlign w:val="center"/>
          </w:tcPr>
          <w:p w14:paraId="5111D82B">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提供老人自己查看综合情况档案，活力老人可自己定制服务（如请假，点餐，预约康复治疗）</w:t>
            </w:r>
          </w:p>
        </w:tc>
        <w:tc>
          <w:tcPr>
            <w:tcW w:w="558" w:type="pct"/>
            <w:tcBorders>
              <w:top w:val="nil"/>
              <w:left w:val="nil"/>
              <w:bottom w:val="single" w:color="000000" w:sz="4" w:space="0"/>
              <w:right w:val="single" w:color="000000" w:sz="4" w:space="0"/>
            </w:tcBorders>
            <w:shd w:val="clear" w:color="auto" w:fill="auto"/>
            <w:vAlign w:val="center"/>
          </w:tcPr>
          <w:p w14:paraId="349ECD5A">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0.5</w:t>
            </w:r>
          </w:p>
        </w:tc>
      </w:tr>
      <w:tr w14:paraId="59251328">
        <w:tblPrEx>
          <w:tblCellMar>
            <w:top w:w="0" w:type="dxa"/>
            <w:left w:w="108" w:type="dxa"/>
            <w:bottom w:w="0" w:type="dxa"/>
            <w:right w:w="108" w:type="dxa"/>
          </w:tblCellMar>
        </w:tblPrEx>
        <w:trPr>
          <w:gridAfter w:val="1"/>
          <w:wAfter w:w="5" w:type="pct"/>
          <w:trHeight w:val="20"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5C22BC17">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4</w:t>
            </w:r>
          </w:p>
        </w:tc>
        <w:tc>
          <w:tcPr>
            <w:tcW w:w="413" w:type="pct"/>
            <w:tcBorders>
              <w:top w:val="nil"/>
              <w:left w:val="nil"/>
              <w:bottom w:val="single" w:color="000000" w:sz="4" w:space="0"/>
              <w:right w:val="single" w:color="000000" w:sz="4" w:space="0"/>
            </w:tcBorders>
            <w:shd w:val="clear" w:color="auto" w:fill="auto"/>
            <w:vAlign w:val="center"/>
          </w:tcPr>
          <w:p w14:paraId="3B9697AC">
            <w:pPr>
              <w:spacing w:after="0" w:line="240" w:lineRule="auto"/>
              <w:jc w:val="center"/>
              <w:rPr>
                <w:rFonts w:hint="default" w:ascii="等线" w:hAnsi="等线" w:eastAsia="等线" w:cs="等线"/>
                <w:b/>
                <w:bCs/>
                <w:color w:val="000000"/>
                <w:szCs w:val="21"/>
              </w:rPr>
            </w:pPr>
            <w:r>
              <w:rPr>
                <w:rFonts w:hint="default" w:ascii="等线" w:hAnsi="等线" w:eastAsia="等线" w:cs="等线"/>
                <w:b/>
                <w:bCs/>
                <w:color w:val="000000"/>
                <w:szCs w:val="21"/>
              </w:rPr>
              <w:t>可视化数据大屏</w:t>
            </w:r>
          </w:p>
        </w:tc>
        <w:tc>
          <w:tcPr>
            <w:tcW w:w="3714" w:type="pct"/>
            <w:tcBorders>
              <w:top w:val="nil"/>
              <w:left w:val="nil"/>
              <w:bottom w:val="single" w:color="000000" w:sz="4" w:space="0"/>
              <w:right w:val="single" w:color="000000" w:sz="4" w:space="0"/>
            </w:tcBorders>
            <w:shd w:val="clear" w:color="auto" w:fill="auto"/>
            <w:vAlign w:val="center"/>
          </w:tcPr>
          <w:p w14:paraId="1B4568BE">
            <w:pPr>
              <w:keepNext w:val="0"/>
              <w:keepLines w:val="0"/>
              <w:pageBreakBefore w:val="0"/>
              <w:widowControl/>
              <w:kinsoku/>
              <w:wordWrap/>
              <w:overflowPunct/>
              <w:topLinePunct w:val="0"/>
              <w:autoSpaceDE/>
              <w:autoSpaceDN/>
              <w:bidi w:val="0"/>
              <w:adjustRightInd/>
              <w:snapToGrid/>
              <w:spacing w:before="120" w:after="120" w:line="240" w:lineRule="exact"/>
              <w:jc w:val="both"/>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通过大屏，展示整个机构的全面情况，包括服务人员、服务次数、人员配比、老人年龄分布、护理等级分布、风险评估、需求评估、照护计划、出入院情况（月）、开放床位数、入住老人数、入住率、食堂膳食满意度、天气、温度、本周活动参与率情况、活动类型占比、楼层/区域交接班情况、本月家属送药情况，在院比例，护理等级人数比等可视化数据。</w:t>
            </w:r>
          </w:p>
        </w:tc>
        <w:tc>
          <w:tcPr>
            <w:tcW w:w="558" w:type="pct"/>
            <w:tcBorders>
              <w:top w:val="nil"/>
              <w:left w:val="nil"/>
              <w:bottom w:val="single" w:color="000000" w:sz="4" w:space="0"/>
              <w:right w:val="single" w:color="000000" w:sz="4" w:space="0"/>
            </w:tcBorders>
            <w:shd w:val="clear" w:color="auto" w:fill="auto"/>
            <w:vAlign w:val="center"/>
          </w:tcPr>
          <w:p w14:paraId="50D010E5">
            <w:pPr>
              <w:spacing w:after="0" w:line="24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r>
    </w:tbl>
    <w:p w14:paraId="7FC30215"/>
    <w:p w14:paraId="48BBBEF3">
      <w:pPr>
        <w:numPr>
          <w:ilvl w:val="0"/>
          <w:numId w:val="1"/>
        </w:numPr>
        <w:spacing w:before="320" w:after="120" w:line="288" w:lineRule="auto"/>
        <w:ind w:firstLine="0"/>
        <w:outlineLvl w:val="1"/>
        <w:rPr>
          <w:rFonts w:ascii="Times New Roman" w:hAnsi="Times New Roman" w:eastAsia="黑体" w:cs="Times New Roman"/>
          <w:b/>
          <w:sz w:val="32"/>
          <w:szCs w:val="32"/>
        </w:rPr>
      </w:pPr>
      <w:bookmarkStart w:id="8" w:name="heading_21"/>
      <w:r>
        <w:rPr>
          <w:rFonts w:ascii="Times New Roman" w:hAnsi="Times New Roman" w:eastAsia="黑体" w:cs="Times New Roman"/>
          <w:b/>
          <w:sz w:val="32"/>
          <w:szCs w:val="32"/>
        </w:rPr>
        <w:t>其他工作要求</w:t>
      </w:r>
      <w:bookmarkEnd w:id="8"/>
    </w:p>
    <w:p w14:paraId="6599441F">
      <w:pPr>
        <w:numPr>
          <w:ilvl w:val="0"/>
          <w:numId w:val="3"/>
        </w:numPr>
        <w:spacing w:before="300" w:after="120" w:line="288" w:lineRule="auto"/>
        <w:outlineLvl w:val="2"/>
        <w:rPr>
          <w:rFonts w:ascii="Times New Roman" w:hAnsi="Times New Roman" w:eastAsia="等线" w:cs="Times New Roman"/>
          <w:b/>
          <w:sz w:val="30"/>
        </w:rPr>
      </w:pPr>
      <w:bookmarkStart w:id="9" w:name="heading_22"/>
      <w:r>
        <w:rPr>
          <w:rFonts w:ascii="Times New Roman" w:hAnsi="Times New Roman" w:eastAsia="等线" w:cs="Times New Roman"/>
          <w:b/>
          <w:sz w:val="30"/>
        </w:rPr>
        <w:t>售后服务要求</w:t>
      </w:r>
      <w:bookmarkEnd w:id="9"/>
    </w:p>
    <w:p w14:paraId="43D73CEB">
      <w:pPr>
        <w:spacing w:before="120" w:after="12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本项目从系统整体验收合格之日起1年内提供7*24小时免费技术支持和售后服务，1年后进入有偿维护期。</w:t>
      </w:r>
    </w:p>
    <w:p w14:paraId="3348CD2D">
      <w:pPr>
        <w:spacing w:before="120" w:after="12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质保期内，</w:t>
      </w:r>
      <w:r>
        <w:rPr>
          <w:rFonts w:hint="eastAsia" w:ascii="Times New Roman" w:hAnsi="Times New Roman" w:eastAsia="宋体" w:cs="Times New Roman"/>
          <w:sz w:val="24"/>
          <w:szCs w:val="24"/>
          <w:lang w:eastAsia="zh-CN"/>
        </w:rPr>
        <w:t>投标人</w:t>
      </w:r>
      <w:r>
        <w:rPr>
          <w:rFonts w:ascii="Times New Roman" w:hAnsi="Times New Roman" w:eastAsia="宋体" w:cs="Times New Roman"/>
          <w:sz w:val="24"/>
          <w:szCs w:val="24"/>
        </w:rPr>
        <w:t>提供免费的系统维护、功能升级。</w:t>
      </w:r>
    </w:p>
    <w:p w14:paraId="0AF40DF8">
      <w:pPr>
        <w:spacing w:before="120" w:after="12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质保期内，</w:t>
      </w:r>
      <w:r>
        <w:rPr>
          <w:rFonts w:hint="eastAsia" w:ascii="Times New Roman" w:hAnsi="Times New Roman" w:eastAsia="宋体" w:cs="Times New Roman"/>
          <w:sz w:val="24"/>
          <w:szCs w:val="24"/>
          <w:lang w:eastAsia="zh-CN"/>
        </w:rPr>
        <w:t>投标人</w:t>
      </w:r>
      <w:r>
        <w:rPr>
          <w:rFonts w:ascii="Times New Roman" w:hAnsi="Times New Roman" w:eastAsia="宋体" w:cs="Times New Roman"/>
          <w:sz w:val="24"/>
          <w:szCs w:val="24"/>
        </w:rPr>
        <w:t>每季度对系统进行一次全面巡检并提交正式巡检报告，每年根据建设单位需求及行业政策变化完成一次系统升级优化；负责保障系统安全、稳定、可靠运行，运行维护范围涵盖本项目所有软件模块。</w:t>
      </w:r>
    </w:p>
    <w:p w14:paraId="4FC895AB">
      <w:pPr>
        <w:numPr>
          <w:ilvl w:val="0"/>
          <w:numId w:val="3"/>
        </w:numPr>
        <w:spacing w:before="300" w:after="120" w:line="288" w:lineRule="auto"/>
        <w:outlineLvl w:val="2"/>
        <w:rPr>
          <w:rFonts w:ascii="Times New Roman" w:hAnsi="Times New Roman" w:eastAsia="等线" w:cs="Times New Roman"/>
          <w:b/>
          <w:sz w:val="30"/>
        </w:rPr>
      </w:pPr>
      <w:bookmarkStart w:id="10" w:name="heading_23"/>
      <w:r>
        <w:rPr>
          <w:rFonts w:ascii="Times New Roman" w:hAnsi="Times New Roman" w:eastAsia="等线" w:cs="Times New Roman"/>
          <w:b/>
          <w:sz w:val="30"/>
        </w:rPr>
        <w:t>应急响应要求</w:t>
      </w:r>
      <w:bookmarkEnd w:id="10"/>
    </w:p>
    <w:p w14:paraId="5D22B243">
      <w:pPr>
        <w:spacing w:before="120" w:after="120" w:line="360" w:lineRule="auto"/>
        <w:ind w:firstLine="480" w:firstLineChars="200"/>
        <w:jc w:val="both"/>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投标人</w:t>
      </w:r>
      <w:r>
        <w:rPr>
          <w:rFonts w:ascii="Times New Roman" w:hAnsi="Times New Roman" w:eastAsia="宋体" w:cs="Times New Roman"/>
          <w:sz w:val="24"/>
          <w:szCs w:val="24"/>
        </w:rPr>
        <w:t>对系统故障提供7*24小时实时响应，接到故障报修通知后1小时内响应，专业工程师4小时内到达现场。特殊故障与采购人沟通协商后制定解决方案并处理。</w:t>
      </w:r>
    </w:p>
    <w:p w14:paraId="171D98D2">
      <w:pPr>
        <w:numPr>
          <w:ilvl w:val="0"/>
          <w:numId w:val="3"/>
        </w:numPr>
        <w:spacing w:before="300" w:after="120" w:line="288" w:lineRule="auto"/>
        <w:outlineLvl w:val="2"/>
        <w:rPr>
          <w:rFonts w:ascii="Times New Roman" w:hAnsi="Times New Roman" w:eastAsia="等线" w:cs="Times New Roman"/>
          <w:b/>
          <w:sz w:val="30"/>
        </w:rPr>
      </w:pPr>
      <w:bookmarkStart w:id="11" w:name="heading_25"/>
      <w:r>
        <w:rPr>
          <w:rFonts w:ascii="Times New Roman" w:hAnsi="Times New Roman" w:eastAsia="等线" w:cs="Times New Roman"/>
          <w:b/>
          <w:sz w:val="30"/>
        </w:rPr>
        <w:t>培训要求</w:t>
      </w:r>
      <w:bookmarkEnd w:id="11"/>
    </w:p>
    <w:p w14:paraId="657C7A04">
      <w:pPr>
        <w:spacing w:before="120" w:after="120" w:line="360" w:lineRule="auto"/>
        <w:ind w:firstLine="480" w:firstLineChars="200"/>
        <w:jc w:val="both"/>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投标人</w:t>
      </w:r>
      <w:r>
        <w:rPr>
          <w:rFonts w:ascii="Times New Roman" w:hAnsi="Times New Roman" w:eastAsia="宋体" w:cs="Times New Roman"/>
          <w:sz w:val="24"/>
          <w:szCs w:val="24"/>
        </w:rPr>
        <w:t>为采购人提供</w:t>
      </w:r>
      <w:r>
        <w:rPr>
          <w:rFonts w:ascii="Times New Roman" w:hAnsi="Times New Roman" w:eastAsia="等线" w:cs="Times New Roman"/>
          <w:b/>
          <w:bCs/>
          <w:sz w:val="24"/>
          <w:szCs w:val="24"/>
        </w:rPr>
        <w:t>系统操作</w:t>
      </w:r>
      <w:r>
        <w:rPr>
          <w:rFonts w:hint="eastAsia" w:ascii="Times New Roman" w:hAnsi="Times New Roman" w:eastAsia="等线" w:cs="Times New Roman"/>
          <w:b/>
          <w:bCs/>
          <w:sz w:val="24"/>
          <w:szCs w:val="24"/>
        </w:rPr>
        <w:t>、</w:t>
      </w:r>
      <w:r>
        <w:rPr>
          <w:rFonts w:ascii="Times New Roman" w:hAnsi="Times New Roman" w:eastAsia="等线" w:cs="Times New Roman"/>
          <w:b/>
          <w:bCs/>
          <w:sz w:val="24"/>
          <w:szCs w:val="24"/>
        </w:rPr>
        <w:t>安全管理</w:t>
      </w:r>
      <w:r>
        <w:rPr>
          <w:rFonts w:hint="eastAsia" w:ascii="Times New Roman" w:hAnsi="Times New Roman" w:eastAsia="等线" w:cs="Times New Roman"/>
          <w:b/>
          <w:bCs/>
          <w:sz w:val="24"/>
          <w:szCs w:val="24"/>
        </w:rPr>
        <w:t>等</w:t>
      </w:r>
      <w:r>
        <w:rPr>
          <w:rFonts w:ascii="Times New Roman" w:hAnsi="Times New Roman" w:eastAsia="宋体" w:cs="Times New Roman"/>
          <w:sz w:val="24"/>
          <w:szCs w:val="24"/>
        </w:rPr>
        <w:t>专项培训，制定详细培训方案，在12个月质保期内提供不少于2次现场集中培训，同时提供线上终身答疑培训服务。</w:t>
      </w:r>
    </w:p>
    <w:p w14:paraId="7361E176">
      <w:pPr>
        <w:numPr>
          <w:ilvl w:val="0"/>
          <w:numId w:val="4"/>
        </w:numPr>
        <w:spacing w:before="120" w:after="12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开展分层次培训，覆盖管理岗、操作岗、维护岗人员，每次培训后组织考核测试，评估培训成果并提交培训总结报告。</w:t>
      </w:r>
    </w:p>
    <w:p w14:paraId="0D136F4B">
      <w:pPr>
        <w:numPr>
          <w:ilvl w:val="0"/>
          <w:numId w:val="4"/>
        </w:numPr>
        <w:spacing w:before="120" w:after="12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提供配套培训教材（纸质+电子）、培训环境和高水平讲师，确保一般用户掌握基础操作，信息管理员掌握日常应用维护。</w:t>
      </w:r>
    </w:p>
    <w:p w14:paraId="3DA15ACD">
      <w:pPr>
        <w:numPr>
          <w:ilvl w:val="0"/>
          <w:numId w:val="4"/>
        </w:numPr>
        <w:spacing w:before="120" w:after="12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培训完成后建立培训档案，记录参训人员、考核结果，根据采购人需求可开展针对性复训。</w:t>
      </w:r>
    </w:p>
    <w:p w14:paraId="72253A0B">
      <w:pPr>
        <w:numPr>
          <w:ilvl w:val="0"/>
          <w:numId w:val="3"/>
        </w:numPr>
        <w:spacing w:before="300" w:after="120" w:line="288" w:lineRule="auto"/>
        <w:outlineLvl w:val="2"/>
        <w:rPr>
          <w:rFonts w:ascii="Times New Roman" w:hAnsi="Times New Roman" w:eastAsia="等线" w:cs="Times New Roman"/>
          <w:b/>
          <w:sz w:val="30"/>
        </w:rPr>
      </w:pPr>
      <w:bookmarkStart w:id="12" w:name="heading_26"/>
      <w:r>
        <w:rPr>
          <w:rFonts w:ascii="Times New Roman" w:hAnsi="Times New Roman" w:eastAsia="等线" w:cs="Times New Roman"/>
          <w:b/>
          <w:sz w:val="30"/>
        </w:rPr>
        <w:t>验收要求</w:t>
      </w:r>
      <w:bookmarkEnd w:id="12"/>
    </w:p>
    <w:p w14:paraId="1930B474">
      <w:pPr>
        <w:spacing w:before="120" w:after="12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本项目验收分</w:t>
      </w:r>
      <w:r>
        <w:rPr>
          <w:rFonts w:ascii="Times New Roman" w:hAnsi="Times New Roman" w:eastAsia="等线" w:cs="Times New Roman"/>
          <w:b/>
          <w:bCs/>
          <w:sz w:val="24"/>
          <w:szCs w:val="24"/>
        </w:rPr>
        <w:t>阶段性验收</w:t>
      </w:r>
      <w:r>
        <w:rPr>
          <w:rFonts w:ascii="Times New Roman" w:hAnsi="Times New Roman" w:eastAsia="宋体" w:cs="Times New Roman"/>
          <w:sz w:val="24"/>
          <w:szCs w:val="24"/>
        </w:rPr>
        <w:t>和</w:t>
      </w:r>
      <w:r>
        <w:rPr>
          <w:rFonts w:ascii="Times New Roman" w:hAnsi="Times New Roman" w:eastAsia="等线" w:cs="Times New Roman"/>
          <w:b/>
          <w:bCs/>
          <w:sz w:val="24"/>
          <w:szCs w:val="24"/>
        </w:rPr>
        <w:t>整体验收</w:t>
      </w:r>
      <w:r>
        <w:rPr>
          <w:rFonts w:ascii="Times New Roman" w:hAnsi="Times New Roman" w:eastAsia="宋体" w:cs="Times New Roman"/>
          <w:sz w:val="24"/>
          <w:szCs w:val="24"/>
        </w:rPr>
        <w:t>，整体验收包含初验和终验环节，验收标准严格遵循本采购需求及国家相关行业标准。</w:t>
      </w:r>
    </w:p>
    <w:p w14:paraId="7C8794BD">
      <w:pPr>
        <w:numPr>
          <w:ilvl w:val="0"/>
          <w:numId w:val="5"/>
        </w:numPr>
        <w:spacing w:before="120" w:after="12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阶段性验收包括系统开发完成验收、硬件安装调试验收、接口开发验收，每阶段完成后</w:t>
      </w:r>
      <w:r>
        <w:rPr>
          <w:rFonts w:hint="eastAsia" w:ascii="Times New Roman" w:hAnsi="Times New Roman" w:eastAsia="宋体" w:cs="Times New Roman"/>
          <w:sz w:val="24"/>
          <w:szCs w:val="24"/>
          <w:lang w:eastAsia="zh-CN"/>
        </w:rPr>
        <w:t>投标人</w:t>
      </w:r>
      <w:r>
        <w:rPr>
          <w:rFonts w:ascii="Times New Roman" w:hAnsi="Times New Roman" w:eastAsia="宋体" w:cs="Times New Roman"/>
          <w:sz w:val="24"/>
          <w:szCs w:val="24"/>
        </w:rPr>
        <w:t>提交验收申请，采购人5个工作日内组织验收，验收通过后方可进入下一阶段。</w:t>
      </w:r>
    </w:p>
    <w:p w14:paraId="78620540">
      <w:pPr>
        <w:numPr>
          <w:ilvl w:val="0"/>
          <w:numId w:val="5"/>
        </w:numPr>
        <w:spacing w:before="120" w:after="12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整体初验前，</w:t>
      </w:r>
      <w:r>
        <w:rPr>
          <w:rFonts w:hint="eastAsia" w:ascii="Times New Roman" w:hAnsi="Times New Roman" w:eastAsia="宋体" w:cs="Times New Roman"/>
          <w:sz w:val="24"/>
          <w:szCs w:val="24"/>
          <w:lang w:eastAsia="zh-CN"/>
        </w:rPr>
        <w:t>投标人</w:t>
      </w:r>
      <w:r>
        <w:rPr>
          <w:rFonts w:ascii="Times New Roman" w:hAnsi="Times New Roman" w:eastAsia="宋体" w:cs="Times New Roman"/>
          <w:sz w:val="24"/>
          <w:szCs w:val="24"/>
        </w:rPr>
        <w:t>完成所有软硬件安装、系统调试及全功能测试，确保系统达到约定标准，以书面形式递交初验通知书，采购人5个工作日内确定初验日期。</w:t>
      </w:r>
    </w:p>
    <w:p w14:paraId="63706C59">
      <w:pPr>
        <w:numPr>
          <w:ilvl w:val="0"/>
          <w:numId w:val="5"/>
        </w:numPr>
        <w:spacing w:before="120" w:after="12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初验时，</w:t>
      </w:r>
      <w:r>
        <w:rPr>
          <w:rFonts w:hint="eastAsia" w:ascii="Times New Roman" w:hAnsi="Times New Roman" w:eastAsia="宋体" w:cs="Times New Roman"/>
          <w:sz w:val="24"/>
          <w:szCs w:val="24"/>
          <w:lang w:eastAsia="zh-CN"/>
        </w:rPr>
        <w:t>投标人</w:t>
      </w:r>
      <w:r>
        <w:rPr>
          <w:rFonts w:ascii="Times New Roman" w:hAnsi="Times New Roman" w:eastAsia="宋体" w:cs="Times New Roman"/>
          <w:sz w:val="24"/>
          <w:szCs w:val="24"/>
        </w:rPr>
        <w:t>需提供《用户需求说明书》《系统设计说明书》《测试报告》《用户使用手册》等软件文档及可安装程序文件（纸质+电子），同时提供硬件检测报告、安全自查报告，文档及文件验收通过视为初验通过；若存在缺陷，</w:t>
      </w:r>
      <w:r>
        <w:rPr>
          <w:rFonts w:hint="eastAsia" w:ascii="Times New Roman" w:hAnsi="Times New Roman" w:eastAsia="宋体" w:cs="Times New Roman"/>
          <w:sz w:val="24"/>
          <w:szCs w:val="24"/>
          <w:lang w:eastAsia="zh-CN"/>
        </w:rPr>
        <w:t>投标人</w:t>
      </w:r>
      <w:r>
        <w:rPr>
          <w:rFonts w:ascii="Times New Roman" w:hAnsi="Times New Roman" w:eastAsia="宋体" w:cs="Times New Roman"/>
          <w:sz w:val="24"/>
          <w:szCs w:val="24"/>
        </w:rPr>
        <w:t>按采购人书面报告要求15日内完成整改并重新初验，整改费用由</w:t>
      </w:r>
      <w:r>
        <w:rPr>
          <w:rFonts w:hint="eastAsia" w:ascii="Times New Roman" w:hAnsi="Times New Roman" w:eastAsia="宋体" w:cs="Times New Roman"/>
          <w:sz w:val="24"/>
          <w:szCs w:val="24"/>
          <w:lang w:eastAsia="zh-CN"/>
        </w:rPr>
        <w:t>投标人</w:t>
      </w:r>
      <w:r>
        <w:rPr>
          <w:rFonts w:ascii="Times New Roman" w:hAnsi="Times New Roman" w:eastAsia="宋体" w:cs="Times New Roman"/>
          <w:sz w:val="24"/>
          <w:szCs w:val="24"/>
        </w:rPr>
        <w:t>自行承担。</w:t>
      </w:r>
    </w:p>
    <w:p w14:paraId="6AF97529">
      <w:pPr>
        <w:numPr>
          <w:ilvl w:val="0"/>
          <w:numId w:val="5"/>
        </w:numPr>
        <w:spacing w:before="120" w:after="12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初验通过后，</w:t>
      </w:r>
      <w:r>
        <w:rPr>
          <w:rFonts w:hint="eastAsia" w:ascii="Times New Roman" w:hAnsi="Times New Roman" w:eastAsia="宋体" w:cs="Times New Roman"/>
          <w:sz w:val="24"/>
          <w:szCs w:val="24"/>
          <w:lang w:eastAsia="zh-CN"/>
        </w:rPr>
        <w:t>投标人</w:t>
      </w:r>
      <w:r>
        <w:rPr>
          <w:rFonts w:ascii="Times New Roman" w:hAnsi="Times New Roman" w:eastAsia="宋体" w:cs="Times New Roman"/>
          <w:sz w:val="24"/>
          <w:szCs w:val="24"/>
        </w:rPr>
        <w:t>提供不少于30天的系统试运行现场驻场服务，解决试运行期间的各类问题，完善系统功能。</w:t>
      </w:r>
    </w:p>
    <w:p w14:paraId="7F109622">
      <w:pPr>
        <w:numPr>
          <w:ilvl w:val="0"/>
          <w:numId w:val="5"/>
        </w:numPr>
        <w:spacing w:before="120" w:after="12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试运行期满且系统运行正常，</w:t>
      </w:r>
      <w:r>
        <w:rPr>
          <w:rFonts w:hint="eastAsia" w:ascii="Times New Roman" w:hAnsi="Times New Roman" w:eastAsia="宋体" w:cs="Times New Roman"/>
          <w:sz w:val="24"/>
          <w:szCs w:val="24"/>
          <w:lang w:eastAsia="zh-CN"/>
        </w:rPr>
        <w:t>投标人</w:t>
      </w:r>
      <w:r>
        <w:rPr>
          <w:rFonts w:ascii="Times New Roman" w:hAnsi="Times New Roman" w:eastAsia="宋体" w:cs="Times New Roman"/>
          <w:sz w:val="24"/>
          <w:szCs w:val="24"/>
        </w:rPr>
        <w:t>书面通知采购人申请终验，</w:t>
      </w:r>
      <w:r>
        <w:rPr>
          <w:rFonts w:hint="eastAsia" w:ascii="Times New Roman" w:hAnsi="Times New Roman" w:eastAsia="宋体" w:cs="Times New Roman"/>
          <w:sz w:val="24"/>
          <w:szCs w:val="24"/>
          <w:lang w:eastAsia="zh-CN"/>
        </w:rPr>
        <w:t>投标人</w:t>
      </w:r>
      <w:r>
        <w:rPr>
          <w:rFonts w:ascii="Times New Roman" w:hAnsi="Times New Roman" w:eastAsia="宋体" w:cs="Times New Roman"/>
          <w:sz w:val="24"/>
          <w:szCs w:val="24"/>
        </w:rPr>
        <w:t>需提供项目竣工报告、安全测评报告、密码评测报告等完整验收资料。</w:t>
      </w:r>
    </w:p>
    <w:p w14:paraId="3A5C9A73">
      <w:pPr>
        <w:numPr>
          <w:ilvl w:val="0"/>
          <w:numId w:val="5"/>
        </w:numPr>
        <w:spacing w:before="120" w:after="12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若因</w:t>
      </w:r>
      <w:r>
        <w:rPr>
          <w:rFonts w:hint="eastAsia" w:ascii="Times New Roman" w:hAnsi="Times New Roman" w:eastAsia="宋体" w:cs="Times New Roman"/>
          <w:sz w:val="24"/>
          <w:szCs w:val="24"/>
          <w:lang w:eastAsia="zh-CN"/>
        </w:rPr>
        <w:t>投标人</w:t>
      </w:r>
      <w:r>
        <w:rPr>
          <w:rFonts w:ascii="Times New Roman" w:hAnsi="Times New Roman" w:eastAsia="宋体" w:cs="Times New Roman"/>
          <w:sz w:val="24"/>
          <w:szCs w:val="24"/>
        </w:rPr>
        <w:t>原因未通过终验，</w:t>
      </w:r>
      <w:r>
        <w:rPr>
          <w:rFonts w:hint="eastAsia" w:ascii="Times New Roman" w:hAnsi="Times New Roman" w:eastAsia="宋体" w:cs="Times New Roman"/>
          <w:sz w:val="24"/>
          <w:szCs w:val="24"/>
          <w:lang w:eastAsia="zh-CN"/>
        </w:rPr>
        <w:t>投标人</w:t>
      </w:r>
      <w:r>
        <w:rPr>
          <w:rFonts w:ascii="Times New Roman" w:hAnsi="Times New Roman" w:eastAsia="宋体" w:cs="Times New Roman"/>
          <w:sz w:val="24"/>
          <w:szCs w:val="24"/>
        </w:rPr>
        <w:t>需无条件排除缺陷直至符合验收标准，产生的所有费用由</w:t>
      </w:r>
      <w:r>
        <w:rPr>
          <w:rFonts w:hint="eastAsia" w:ascii="Times New Roman" w:hAnsi="Times New Roman" w:eastAsia="宋体" w:cs="Times New Roman"/>
          <w:sz w:val="24"/>
          <w:szCs w:val="24"/>
          <w:lang w:eastAsia="zh-CN"/>
        </w:rPr>
        <w:t>投标人</w:t>
      </w:r>
      <w:r>
        <w:rPr>
          <w:rFonts w:ascii="Times New Roman" w:hAnsi="Times New Roman" w:eastAsia="宋体" w:cs="Times New Roman"/>
          <w:sz w:val="24"/>
          <w:szCs w:val="24"/>
        </w:rPr>
        <w:t>承担；若因采购人原因导致系统故障，</w:t>
      </w:r>
      <w:r>
        <w:rPr>
          <w:rFonts w:hint="eastAsia" w:ascii="Times New Roman" w:hAnsi="Times New Roman" w:eastAsia="宋体" w:cs="Times New Roman"/>
          <w:sz w:val="24"/>
          <w:szCs w:val="24"/>
          <w:lang w:eastAsia="zh-CN"/>
        </w:rPr>
        <w:t>投标人</w:t>
      </w:r>
      <w:r>
        <w:rPr>
          <w:rFonts w:ascii="Times New Roman" w:hAnsi="Times New Roman" w:eastAsia="宋体" w:cs="Times New Roman"/>
          <w:sz w:val="24"/>
          <w:szCs w:val="24"/>
        </w:rPr>
        <w:t>配合排除问题。</w:t>
      </w:r>
    </w:p>
    <w:p w14:paraId="0D9E109C">
      <w:pPr>
        <w:numPr>
          <w:ilvl w:val="0"/>
          <w:numId w:val="5"/>
        </w:numPr>
        <w:spacing w:before="120" w:after="12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如本项目连续3次验收未通过（含初验、终验），采购人有权解除合同，并追究</w:t>
      </w:r>
      <w:r>
        <w:rPr>
          <w:rFonts w:hint="eastAsia" w:ascii="Times New Roman" w:hAnsi="Times New Roman" w:eastAsia="宋体" w:cs="Times New Roman"/>
          <w:sz w:val="24"/>
          <w:szCs w:val="24"/>
          <w:lang w:eastAsia="zh-CN"/>
        </w:rPr>
        <w:t>投标人</w:t>
      </w:r>
      <w:r>
        <w:rPr>
          <w:rFonts w:ascii="Times New Roman" w:hAnsi="Times New Roman" w:eastAsia="宋体" w:cs="Times New Roman"/>
          <w:sz w:val="24"/>
          <w:szCs w:val="24"/>
        </w:rPr>
        <w:t>的违约责任。</w:t>
      </w:r>
    </w:p>
    <w:p w14:paraId="03EFFA8E">
      <w:pPr>
        <w:numPr>
          <w:ilvl w:val="0"/>
          <w:numId w:val="3"/>
        </w:numPr>
        <w:spacing w:before="300" w:after="120" w:line="288" w:lineRule="auto"/>
        <w:outlineLvl w:val="2"/>
        <w:rPr>
          <w:rFonts w:ascii="Times New Roman" w:hAnsi="Times New Roman" w:eastAsia="等线" w:cs="Times New Roman"/>
          <w:b/>
          <w:sz w:val="30"/>
        </w:rPr>
      </w:pPr>
      <w:bookmarkStart w:id="13" w:name="heading_27"/>
      <w:r>
        <w:rPr>
          <w:rFonts w:ascii="Times New Roman" w:hAnsi="Times New Roman" w:eastAsia="等线" w:cs="Times New Roman"/>
          <w:b/>
          <w:sz w:val="30"/>
        </w:rPr>
        <w:t>进度要求</w:t>
      </w:r>
      <w:bookmarkEnd w:id="13"/>
    </w:p>
    <w:p w14:paraId="286BD0CF">
      <w:pPr>
        <w:spacing w:before="120" w:after="12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本项目总建设周期为6个月，自合同签订之日起计算，分为5个阶段，</w:t>
      </w:r>
      <w:r>
        <w:rPr>
          <w:rFonts w:hint="eastAsia" w:ascii="Times New Roman" w:hAnsi="Times New Roman" w:eastAsia="宋体" w:cs="Times New Roman"/>
          <w:sz w:val="24"/>
          <w:szCs w:val="24"/>
          <w:lang w:eastAsia="zh-CN"/>
        </w:rPr>
        <w:t>投标人</w:t>
      </w:r>
      <w:r>
        <w:rPr>
          <w:rFonts w:ascii="Times New Roman" w:hAnsi="Times New Roman" w:eastAsia="宋体" w:cs="Times New Roman"/>
          <w:sz w:val="24"/>
          <w:szCs w:val="24"/>
        </w:rPr>
        <w:t>需制定详细的进度计划表，按采购人要求调整细化，各阶段时间节点及工作内容如下：</w:t>
      </w:r>
    </w:p>
    <w:p w14:paraId="4B366A05">
      <w:pPr>
        <w:numPr>
          <w:ilvl w:val="0"/>
          <w:numId w:val="6"/>
        </w:numPr>
        <w:spacing w:before="120" w:after="12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第一阶段（1个月）：完成现场勘查、需求调研与分析，输出《需求规格说明书》《系统总体设计方案》，通过采购人评审；</w:t>
      </w:r>
    </w:p>
    <w:p w14:paraId="018E0CF9">
      <w:pPr>
        <w:numPr>
          <w:ilvl w:val="0"/>
          <w:numId w:val="6"/>
        </w:numPr>
        <w:spacing w:before="120" w:after="12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第二阶段（2个月）：完成系统软件开发、硬件采购与智能终端适配，完成区块链上链模块及市级平台接口开发；</w:t>
      </w:r>
    </w:p>
    <w:p w14:paraId="4194670D">
      <w:pPr>
        <w:numPr>
          <w:ilvl w:val="0"/>
          <w:numId w:val="6"/>
        </w:numPr>
        <w:spacing w:before="120" w:after="12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第三阶段（1个月）：完成软硬件部署、系统联调及安全产品配置，完成政务云网络对接，开展内部测试；</w:t>
      </w:r>
    </w:p>
    <w:p w14:paraId="75423935">
      <w:pPr>
        <w:numPr>
          <w:ilvl w:val="0"/>
          <w:numId w:val="6"/>
        </w:numPr>
        <w:spacing w:before="120" w:after="12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第四阶段（0.5个月）：完成系统试运行、问题整改及安全测评、密码评测，提交初验申请；</w:t>
      </w:r>
    </w:p>
    <w:p w14:paraId="0899A99B">
      <w:pPr>
        <w:numPr>
          <w:ilvl w:val="0"/>
          <w:numId w:val="6"/>
        </w:numPr>
        <w:spacing w:before="120" w:after="12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第五阶段（0.5个月）：完成初验、试运行优化，提交终验申请，配合采购人完成整体终验。</w:t>
      </w:r>
    </w:p>
    <w:p w14:paraId="0A0C62D3">
      <w:pPr>
        <w:numPr>
          <w:ilvl w:val="0"/>
          <w:numId w:val="3"/>
        </w:numPr>
        <w:spacing w:before="300" w:after="120" w:line="288" w:lineRule="auto"/>
        <w:outlineLvl w:val="2"/>
        <w:rPr>
          <w:rFonts w:ascii="Times New Roman" w:hAnsi="Times New Roman" w:eastAsia="等线" w:cs="Times New Roman"/>
          <w:b/>
          <w:sz w:val="30"/>
        </w:rPr>
      </w:pPr>
      <w:bookmarkStart w:id="14" w:name="heading_28"/>
      <w:r>
        <w:rPr>
          <w:rFonts w:ascii="Times New Roman" w:hAnsi="Times New Roman" w:eastAsia="等线" w:cs="Times New Roman"/>
          <w:b/>
          <w:sz w:val="30"/>
        </w:rPr>
        <w:t>项目团队及驻场人员要求</w:t>
      </w:r>
      <w:bookmarkEnd w:id="14"/>
    </w:p>
    <w:p w14:paraId="1837DF05">
      <w:pPr>
        <w:spacing w:before="260" w:after="120" w:line="288" w:lineRule="auto"/>
        <w:outlineLvl w:val="3"/>
        <w:rPr>
          <w:rFonts w:ascii="Times New Roman" w:hAnsi="Times New Roman" w:cs="Times New Roman"/>
        </w:rPr>
      </w:pPr>
      <w:bookmarkStart w:id="15" w:name="heading_29"/>
      <w:r>
        <w:rPr>
          <w:rFonts w:ascii="Times New Roman" w:hAnsi="Times New Roman" w:eastAsia="等线" w:cs="Times New Roman"/>
          <w:b/>
          <w:sz w:val="28"/>
        </w:rPr>
        <w:t>（1）项目实施团队要求</w:t>
      </w:r>
      <w:bookmarkEnd w:id="15"/>
    </w:p>
    <w:p w14:paraId="3273764B">
      <w:pPr>
        <w:spacing w:before="120" w:after="12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投标人须针对本项目提供</w:t>
      </w:r>
      <w:r>
        <w:rPr>
          <w:rFonts w:ascii="Times New Roman" w:hAnsi="Times New Roman" w:eastAsia="宋体" w:cs="Times New Roman"/>
          <w:b/>
          <w:bCs/>
          <w:sz w:val="24"/>
          <w:szCs w:val="24"/>
          <w:u w:val="single"/>
        </w:rPr>
        <w:t>不少于13</w:t>
      </w:r>
      <w:r>
        <w:rPr>
          <w:rFonts w:ascii="Times New Roman" w:hAnsi="Times New Roman" w:eastAsia="宋体" w:cs="Times New Roman"/>
          <w:b/>
          <w:bCs/>
          <w:color w:val="auto"/>
          <w:sz w:val="24"/>
          <w:szCs w:val="24"/>
          <w:u w:val="single"/>
        </w:rPr>
        <w:t>人</w:t>
      </w:r>
      <w:r>
        <w:rPr>
          <w:rFonts w:ascii="Times New Roman" w:hAnsi="Times New Roman" w:eastAsia="宋体" w:cs="Times New Roman"/>
          <w:sz w:val="24"/>
          <w:szCs w:val="24"/>
        </w:rPr>
        <w:t>的项目实施核心团队，所有成员为投标人正式员工，提供近12个月社保缴纳证明，项目实施期间核心成员不得擅自更换，如需更换需经采购人书面同意。</w:t>
      </w:r>
    </w:p>
    <w:tbl>
      <w:tblPr>
        <w:tblStyle w:val="6"/>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56"/>
        <w:gridCol w:w="2106"/>
        <w:gridCol w:w="1020"/>
        <w:gridCol w:w="3020"/>
        <w:gridCol w:w="1020"/>
      </w:tblGrid>
      <w:tr w14:paraId="498A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jc w:val="center"/>
        </w:trPr>
        <w:tc>
          <w:tcPr>
            <w:tcW w:w="1456" w:type="dxa"/>
            <w:tcMar>
              <w:top w:w="60" w:type="dxa"/>
              <w:left w:w="120" w:type="dxa"/>
              <w:bottom w:w="30" w:type="dxa"/>
              <w:right w:w="120" w:type="dxa"/>
            </w:tcMar>
            <w:vAlign w:val="center"/>
          </w:tcPr>
          <w:p w14:paraId="128DECEC">
            <w:pPr>
              <w:snapToGrid w:val="0"/>
              <w:spacing w:before="120" w:after="120" w:line="240" w:lineRule="auto"/>
              <w:jc w:val="center"/>
              <w:rPr>
                <w:rFonts w:ascii="Times New Roman" w:hAnsi="Times New Roman" w:eastAsia="等线" w:cs="Times New Roman"/>
                <w:b/>
                <w:sz w:val="22"/>
              </w:rPr>
            </w:pPr>
            <w:r>
              <w:rPr>
                <w:rFonts w:ascii="Times New Roman" w:hAnsi="Times New Roman" w:eastAsia="等线" w:cs="Times New Roman"/>
                <w:b/>
                <w:sz w:val="22"/>
              </w:rPr>
              <w:t>角色</w:t>
            </w:r>
          </w:p>
        </w:tc>
        <w:tc>
          <w:tcPr>
            <w:tcW w:w="2106" w:type="dxa"/>
            <w:tcMar>
              <w:top w:w="60" w:type="dxa"/>
              <w:left w:w="120" w:type="dxa"/>
              <w:bottom w:w="30" w:type="dxa"/>
              <w:right w:w="120" w:type="dxa"/>
            </w:tcMar>
            <w:vAlign w:val="center"/>
          </w:tcPr>
          <w:p w14:paraId="69C6CCC2">
            <w:pPr>
              <w:snapToGrid w:val="0"/>
              <w:spacing w:before="120" w:after="120" w:line="240" w:lineRule="auto"/>
              <w:jc w:val="center"/>
              <w:rPr>
                <w:rFonts w:ascii="Times New Roman" w:hAnsi="Times New Roman" w:eastAsia="等线" w:cs="Times New Roman"/>
                <w:b/>
                <w:sz w:val="22"/>
              </w:rPr>
            </w:pPr>
            <w:r>
              <w:rPr>
                <w:rFonts w:ascii="Times New Roman" w:hAnsi="Times New Roman" w:eastAsia="等线" w:cs="Times New Roman"/>
                <w:b/>
                <w:sz w:val="22"/>
              </w:rPr>
              <w:t>主要职责</w:t>
            </w:r>
          </w:p>
        </w:tc>
        <w:tc>
          <w:tcPr>
            <w:tcW w:w="1020" w:type="dxa"/>
            <w:tcMar>
              <w:top w:w="60" w:type="dxa"/>
              <w:left w:w="120" w:type="dxa"/>
              <w:bottom w:w="30" w:type="dxa"/>
              <w:right w:w="120" w:type="dxa"/>
            </w:tcMar>
            <w:vAlign w:val="center"/>
          </w:tcPr>
          <w:p w14:paraId="0AAA2312">
            <w:pPr>
              <w:snapToGrid w:val="0"/>
              <w:spacing w:before="120" w:after="120" w:line="240" w:lineRule="auto"/>
              <w:jc w:val="center"/>
              <w:rPr>
                <w:rFonts w:ascii="Times New Roman" w:hAnsi="Times New Roman" w:eastAsia="等线" w:cs="Times New Roman"/>
                <w:b/>
                <w:sz w:val="22"/>
              </w:rPr>
            </w:pPr>
            <w:r>
              <w:rPr>
                <w:rFonts w:ascii="Times New Roman" w:hAnsi="Times New Roman" w:eastAsia="等线" w:cs="Times New Roman"/>
                <w:b/>
                <w:sz w:val="22"/>
              </w:rPr>
              <w:t>人员</w:t>
            </w:r>
          </w:p>
          <w:p w14:paraId="3C100EEE">
            <w:pPr>
              <w:snapToGrid w:val="0"/>
              <w:spacing w:before="120" w:after="120" w:line="240" w:lineRule="auto"/>
              <w:jc w:val="center"/>
              <w:rPr>
                <w:rFonts w:ascii="Times New Roman" w:hAnsi="Times New Roman" w:eastAsia="等线" w:cs="Times New Roman"/>
                <w:b/>
                <w:sz w:val="22"/>
              </w:rPr>
            </w:pPr>
            <w:r>
              <w:rPr>
                <w:rFonts w:ascii="Times New Roman" w:hAnsi="Times New Roman" w:eastAsia="等线" w:cs="Times New Roman"/>
                <w:b/>
                <w:sz w:val="22"/>
              </w:rPr>
              <w:t>数量</w:t>
            </w:r>
          </w:p>
        </w:tc>
        <w:tc>
          <w:tcPr>
            <w:tcW w:w="3020" w:type="dxa"/>
            <w:tcMar>
              <w:top w:w="60" w:type="dxa"/>
              <w:left w:w="120" w:type="dxa"/>
              <w:bottom w:w="30" w:type="dxa"/>
              <w:right w:w="120" w:type="dxa"/>
            </w:tcMar>
            <w:vAlign w:val="center"/>
          </w:tcPr>
          <w:p w14:paraId="4F198C70">
            <w:pPr>
              <w:snapToGrid w:val="0"/>
              <w:spacing w:before="120" w:after="120" w:line="240" w:lineRule="auto"/>
              <w:jc w:val="center"/>
              <w:rPr>
                <w:rFonts w:ascii="Times New Roman" w:hAnsi="Times New Roman" w:eastAsia="等线" w:cs="Times New Roman"/>
                <w:b/>
                <w:sz w:val="22"/>
              </w:rPr>
            </w:pPr>
            <w:r>
              <w:rPr>
                <w:rFonts w:ascii="Times New Roman" w:hAnsi="Times New Roman" w:eastAsia="等线" w:cs="Times New Roman"/>
                <w:b/>
                <w:sz w:val="22"/>
              </w:rPr>
              <w:t>人员要求</w:t>
            </w:r>
          </w:p>
        </w:tc>
        <w:tc>
          <w:tcPr>
            <w:tcW w:w="1020" w:type="dxa"/>
            <w:tcMar>
              <w:top w:w="60" w:type="dxa"/>
              <w:left w:w="120" w:type="dxa"/>
              <w:bottom w:w="30" w:type="dxa"/>
              <w:right w:w="120" w:type="dxa"/>
            </w:tcMar>
            <w:vAlign w:val="center"/>
          </w:tcPr>
          <w:p w14:paraId="222D8592">
            <w:pPr>
              <w:snapToGrid w:val="0"/>
              <w:spacing w:before="120" w:after="120" w:line="240" w:lineRule="auto"/>
              <w:jc w:val="center"/>
              <w:rPr>
                <w:rFonts w:ascii="Times New Roman" w:hAnsi="Times New Roman" w:eastAsia="等线" w:cs="Times New Roman"/>
                <w:b/>
                <w:sz w:val="22"/>
              </w:rPr>
            </w:pPr>
            <w:r>
              <w:rPr>
                <w:rFonts w:ascii="Times New Roman" w:hAnsi="Times New Roman" w:eastAsia="等线" w:cs="Times New Roman"/>
                <w:b/>
                <w:sz w:val="22"/>
              </w:rPr>
              <w:t>驻场</w:t>
            </w:r>
          </w:p>
          <w:p w14:paraId="476A068F">
            <w:pPr>
              <w:snapToGrid w:val="0"/>
              <w:spacing w:before="120" w:after="120" w:line="240" w:lineRule="auto"/>
              <w:jc w:val="center"/>
              <w:rPr>
                <w:rFonts w:ascii="Times New Roman" w:hAnsi="Times New Roman" w:eastAsia="等线" w:cs="Times New Roman"/>
                <w:b/>
                <w:sz w:val="22"/>
              </w:rPr>
            </w:pPr>
            <w:r>
              <w:rPr>
                <w:rFonts w:ascii="Times New Roman" w:hAnsi="Times New Roman" w:eastAsia="等线" w:cs="Times New Roman"/>
                <w:b/>
                <w:sz w:val="22"/>
              </w:rPr>
              <w:t>要求</w:t>
            </w:r>
          </w:p>
        </w:tc>
      </w:tr>
      <w:tr w14:paraId="584F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456" w:type="dxa"/>
            <w:tcMar>
              <w:top w:w="60" w:type="dxa"/>
              <w:left w:w="120" w:type="dxa"/>
              <w:bottom w:w="30" w:type="dxa"/>
              <w:right w:w="120" w:type="dxa"/>
            </w:tcMar>
            <w:vAlign w:val="center"/>
          </w:tcPr>
          <w:p w14:paraId="5F349F4C">
            <w:pPr>
              <w:snapToGrid w:val="0"/>
              <w:spacing w:before="120" w:after="120" w:line="240" w:lineRule="auto"/>
              <w:jc w:val="center"/>
              <w:rPr>
                <w:rFonts w:ascii="Times New Roman" w:hAnsi="Times New Roman" w:eastAsia="等线" w:cs="Times New Roman"/>
                <w:sz w:val="22"/>
              </w:rPr>
            </w:pPr>
            <w:r>
              <w:rPr>
                <w:rFonts w:ascii="Times New Roman" w:hAnsi="Times New Roman" w:eastAsia="等线" w:cs="Times New Roman"/>
                <w:sz w:val="22"/>
              </w:rPr>
              <w:t>项目经理</w:t>
            </w:r>
          </w:p>
        </w:tc>
        <w:tc>
          <w:tcPr>
            <w:tcW w:w="2106" w:type="dxa"/>
            <w:tcMar>
              <w:top w:w="60" w:type="dxa"/>
              <w:left w:w="120" w:type="dxa"/>
              <w:bottom w:w="30" w:type="dxa"/>
              <w:right w:w="120" w:type="dxa"/>
            </w:tcMar>
            <w:vAlign w:val="center"/>
          </w:tcPr>
          <w:p w14:paraId="00D0009A">
            <w:pPr>
              <w:snapToGrid w:val="0"/>
              <w:spacing w:before="120" w:after="120" w:line="240" w:lineRule="auto"/>
              <w:jc w:val="both"/>
              <w:rPr>
                <w:rFonts w:ascii="Times New Roman" w:hAnsi="Times New Roman" w:eastAsia="等线" w:cs="Times New Roman"/>
                <w:sz w:val="22"/>
              </w:rPr>
            </w:pPr>
            <w:r>
              <w:rPr>
                <w:rFonts w:ascii="Times New Roman" w:hAnsi="Times New Roman" w:eastAsia="等线" w:cs="Times New Roman"/>
                <w:sz w:val="22"/>
              </w:rPr>
              <w:t>负责项目整体管理、质量和进度控制，协调各方资源</w:t>
            </w:r>
          </w:p>
        </w:tc>
        <w:tc>
          <w:tcPr>
            <w:tcW w:w="1020" w:type="dxa"/>
            <w:tcMar>
              <w:top w:w="60" w:type="dxa"/>
              <w:left w:w="120" w:type="dxa"/>
              <w:bottom w:w="30" w:type="dxa"/>
              <w:right w:w="120" w:type="dxa"/>
            </w:tcMar>
            <w:vAlign w:val="center"/>
          </w:tcPr>
          <w:p w14:paraId="46B3CD31">
            <w:pPr>
              <w:snapToGrid w:val="0"/>
              <w:spacing w:before="120" w:after="120" w:line="240" w:lineRule="auto"/>
              <w:jc w:val="center"/>
              <w:rPr>
                <w:rFonts w:ascii="Times New Roman" w:hAnsi="Times New Roman" w:eastAsia="等线" w:cs="Times New Roman"/>
                <w:sz w:val="22"/>
              </w:rPr>
            </w:pPr>
            <w:r>
              <w:rPr>
                <w:rFonts w:ascii="Times New Roman" w:hAnsi="Times New Roman" w:eastAsia="等线" w:cs="Times New Roman"/>
                <w:sz w:val="22"/>
              </w:rPr>
              <w:t>1人</w:t>
            </w:r>
          </w:p>
        </w:tc>
        <w:tc>
          <w:tcPr>
            <w:tcW w:w="3020" w:type="dxa"/>
            <w:tcMar>
              <w:top w:w="60" w:type="dxa"/>
              <w:left w:w="120" w:type="dxa"/>
              <w:bottom w:w="30" w:type="dxa"/>
              <w:right w:w="120" w:type="dxa"/>
            </w:tcMar>
            <w:vAlign w:val="center"/>
          </w:tcPr>
          <w:p w14:paraId="7AD3A1F2">
            <w:pPr>
              <w:snapToGrid w:val="0"/>
              <w:spacing w:before="120" w:after="120" w:line="240" w:lineRule="auto"/>
              <w:jc w:val="both"/>
              <w:rPr>
                <w:rFonts w:ascii="Times New Roman" w:hAnsi="Times New Roman" w:eastAsia="等线" w:cs="Times New Roman"/>
                <w:sz w:val="22"/>
              </w:rPr>
            </w:pPr>
            <w:r>
              <w:rPr>
                <w:rFonts w:ascii="Times New Roman" w:hAnsi="Times New Roman" w:eastAsia="等线" w:cs="Times New Roman"/>
                <w:sz w:val="22"/>
              </w:rPr>
              <w:t>具备高级信息系统项目管理师（软考）证书，近3年担任过至少1个</w:t>
            </w:r>
            <w:r>
              <w:rPr>
                <w:rFonts w:hint="eastAsia" w:ascii="Times New Roman" w:hAnsi="Times New Roman" w:eastAsia="等线" w:cs="Times New Roman"/>
                <w:sz w:val="22"/>
                <w:lang w:val="en-US" w:eastAsia="zh-CN"/>
              </w:rPr>
              <w:t>政务类</w:t>
            </w:r>
            <w:r>
              <w:rPr>
                <w:rFonts w:ascii="Times New Roman" w:hAnsi="Times New Roman" w:eastAsia="等线" w:cs="Times New Roman"/>
                <w:sz w:val="22"/>
              </w:rPr>
              <w:t>信息化建设项目项目经理</w:t>
            </w:r>
          </w:p>
        </w:tc>
        <w:tc>
          <w:tcPr>
            <w:tcW w:w="1020" w:type="dxa"/>
            <w:tcMar>
              <w:top w:w="60" w:type="dxa"/>
              <w:left w:w="120" w:type="dxa"/>
              <w:bottom w:w="30" w:type="dxa"/>
              <w:right w:w="120" w:type="dxa"/>
            </w:tcMar>
            <w:vAlign w:val="center"/>
          </w:tcPr>
          <w:p w14:paraId="348A1686">
            <w:pPr>
              <w:snapToGrid w:val="0"/>
              <w:spacing w:before="120" w:after="120" w:line="240" w:lineRule="auto"/>
              <w:jc w:val="center"/>
              <w:rPr>
                <w:rFonts w:hint="eastAsia" w:ascii="Times New Roman" w:hAnsi="Times New Roman" w:eastAsia="等线" w:cs="Times New Roman"/>
                <w:sz w:val="22"/>
                <w:lang w:val="en-US" w:eastAsia="zh-CN"/>
              </w:rPr>
            </w:pPr>
            <w:r>
              <w:rPr>
                <w:rFonts w:hint="eastAsia" w:ascii="Times New Roman" w:hAnsi="Times New Roman" w:eastAsia="等线" w:cs="Times New Roman"/>
                <w:sz w:val="22"/>
                <w:lang w:val="en-US" w:eastAsia="zh-CN"/>
              </w:rPr>
              <w:t>无需</w:t>
            </w:r>
          </w:p>
          <w:p w14:paraId="192C6C9D">
            <w:pPr>
              <w:snapToGrid w:val="0"/>
              <w:spacing w:before="120" w:after="120" w:line="240" w:lineRule="auto"/>
              <w:jc w:val="center"/>
              <w:rPr>
                <w:rFonts w:hint="default" w:ascii="Times New Roman" w:hAnsi="Times New Roman" w:eastAsia="等线" w:cs="Times New Roman"/>
                <w:sz w:val="22"/>
                <w:lang w:val="en-US" w:eastAsia="zh-CN"/>
              </w:rPr>
            </w:pPr>
            <w:r>
              <w:rPr>
                <w:rFonts w:hint="eastAsia" w:ascii="Times New Roman" w:hAnsi="Times New Roman" w:eastAsia="等线" w:cs="Times New Roman"/>
                <w:sz w:val="22"/>
                <w:lang w:val="en-US" w:eastAsia="zh-CN"/>
              </w:rPr>
              <w:t>驻场</w:t>
            </w:r>
          </w:p>
        </w:tc>
      </w:tr>
      <w:tr w14:paraId="7CB6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456" w:type="dxa"/>
            <w:tcMar>
              <w:top w:w="60" w:type="dxa"/>
              <w:left w:w="120" w:type="dxa"/>
              <w:bottom w:w="30" w:type="dxa"/>
              <w:right w:w="120" w:type="dxa"/>
            </w:tcMar>
            <w:vAlign w:val="center"/>
          </w:tcPr>
          <w:p w14:paraId="7D4B5CB2">
            <w:pPr>
              <w:snapToGrid w:val="0"/>
              <w:spacing w:before="120" w:after="120" w:line="240" w:lineRule="auto"/>
              <w:jc w:val="center"/>
              <w:rPr>
                <w:rFonts w:ascii="Times New Roman" w:hAnsi="Times New Roman" w:eastAsia="等线" w:cs="Times New Roman"/>
                <w:sz w:val="22"/>
              </w:rPr>
            </w:pPr>
            <w:r>
              <w:rPr>
                <w:rFonts w:ascii="Times New Roman" w:hAnsi="Times New Roman" w:eastAsia="等线" w:cs="Times New Roman"/>
                <w:sz w:val="22"/>
              </w:rPr>
              <w:t>技术负责人</w:t>
            </w:r>
          </w:p>
        </w:tc>
        <w:tc>
          <w:tcPr>
            <w:tcW w:w="2106" w:type="dxa"/>
            <w:tcMar>
              <w:top w:w="60" w:type="dxa"/>
              <w:left w:w="120" w:type="dxa"/>
              <w:bottom w:w="30" w:type="dxa"/>
              <w:right w:w="120" w:type="dxa"/>
            </w:tcMar>
            <w:vAlign w:val="center"/>
          </w:tcPr>
          <w:p w14:paraId="4F301558">
            <w:pPr>
              <w:snapToGrid w:val="0"/>
              <w:spacing w:before="120" w:after="120" w:line="240" w:lineRule="auto"/>
              <w:jc w:val="both"/>
              <w:rPr>
                <w:rFonts w:ascii="Times New Roman" w:hAnsi="Times New Roman" w:eastAsia="等线" w:cs="Times New Roman"/>
                <w:sz w:val="22"/>
              </w:rPr>
            </w:pPr>
            <w:r>
              <w:rPr>
                <w:rFonts w:ascii="Times New Roman" w:hAnsi="Times New Roman" w:eastAsia="等线" w:cs="Times New Roman"/>
                <w:sz w:val="22"/>
              </w:rPr>
              <w:t>负责系统技术架构设计、技术难题解决，把控开发质量</w:t>
            </w:r>
          </w:p>
        </w:tc>
        <w:tc>
          <w:tcPr>
            <w:tcW w:w="1020" w:type="dxa"/>
            <w:tcMar>
              <w:top w:w="60" w:type="dxa"/>
              <w:left w:w="120" w:type="dxa"/>
              <w:bottom w:w="30" w:type="dxa"/>
              <w:right w:w="120" w:type="dxa"/>
            </w:tcMar>
            <w:vAlign w:val="center"/>
          </w:tcPr>
          <w:p w14:paraId="02AFB467">
            <w:pPr>
              <w:snapToGrid w:val="0"/>
              <w:spacing w:before="120" w:after="120" w:line="240" w:lineRule="auto"/>
              <w:jc w:val="center"/>
              <w:rPr>
                <w:rFonts w:ascii="Times New Roman" w:hAnsi="Times New Roman" w:eastAsia="等线" w:cs="Times New Roman"/>
                <w:sz w:val="22"/>
              </w:rPr>
            </w:pPr>
            <w:r>
              <w:rPr>
                <w:rFonts w:ascii="Times New Roman" w:hAnsi="Times New Roman" w:eastAsia="等线" w:cs="Times New Roman"/>
                <w:sz w:val="22"/>
              </w:rPr>
              <w:t>1人</w:t>
            </w:r>
          </w:p>
        </w:tc>
        <w:tc>
          <w:tcPr>
            <w:tcW w:w="3020" w:type="dxa"/>
            <w:tcMar>
              <w:top w:w="60" w:type="dxa"/>
              <w:left w:w="120" w:type="dxa"/>
              <w:bottom w:w="30" w:type="dxa"/>
              <w:right w:w="120" w:type="dxa"/>
            </w:tcMar>
            <w:vAlign w:val="center"/>
          </w:tcPr>
          <w:p w14:paraId="29A88852">
            <w:pPr>
              <w:snapToGrid w:val="0"/>
              <w:spacing w:before="120" w:after="120" w:line="240" w:lineRule="auto"/>
              <w:jc w:val="both"/>
              <w:rPr>
                <w:rFonts w:ascii="Times New Roman" w:hAnsi="Times New Roman" w:eastAsia="等线" w:cs="Times New Roman"/>
                <w:sz w:val="22"/>
              </w:rPr>
            </w:pPr>
            <w:r>
              <w:rPr>
                <w:rFonts w:ascii="Times New Roman" w:hAnsi="Times New Roman" w:eastAsia="等线" w:cs="Times New Roman"/>
                <w:sz w:val="22"/>
              </w:rPr>
              <w:t>5年以上信息化系统开发经验，熟悉国产软硬件及</w:t>
            </w:r>
            <w:r>
              <w:rPr>
                <w:rFonts w:hint="eastAsia" w:ascii="Times New Roman" w:hAnsi="Times New Roman" w:eastAsia="等线" w:cs="Times New Roman"/>
                <w:sz w:val="22"/>
                <w:lang w:eastAsia="zh-CN"/>
              </w:rPr>
              <w:t>XC</w:t>
            </w:r>
            <w:r>
              <w:rPr>
                <w:rFonts w:ascii="Times New Roman" w:hAnsi="Times New Roman" w:eastAsia="等线" w:cs="Times New Roman"/>
                <w:sz w:val="22"/>
              </w:rPr>
              <w:t>适配</w:t>
            </w:r>
          </w:p>
        </w:tc>
        <w:tc>
          <w:tcPr>
            <w:tcW w:w="1020" w:type="dxa"/>
            <w:tcMar>
              <w:top w:w="60" w:type="dxa"/>
              <w:left w:w="120" w:type="dxa"/>
              <w:bottom w:w="30" w:type="dxa"/>
              <w:right w:w="120" w:type="dxa"/>
            </w:tcMar>
            <w:vAlign w:val="center"/>
          </w:tcPr>
          <w:p w14:paraId="2E2EB408">
            <w:pPr>
              <w:snapToGrid w:val="0"/>
              <w:spacing w:before="120" w:after="120" w:line="240" w:lineRule="auto"/>
              <w:jc w:val="center"/>
              <w:rPr>
                <w:rFonts w:hint="eastAsia" w:ascii="Times New Roman" w:hAnsi="Times New Roman" w:eastAsia="等线" w:cs="Times New Roman"/>
                <w:sz w:val="22"/>
                <w:lang w:val="en-US" w:eastAsia="zh-CN"/>
              </w:rPr>
            </w:pPr>
            <w:r>
              <w:rPr>
                <w:rFonts w:hint="eastAsia" w:ascii="Times New Roman" w:hAnsi="Times New Roman" w:eastAsia="等线" w:cs="Times New Roman"/>
                <w:sz w:val="22"/>
                <w:lang w:val="en-US" w:eastAsia="zh-CN"/>
              </w:rPr>
              <w:t>无需</w:t>
            </w:r>
          </w:p>
          <w:p w14:paraId="62FD726A">
            <w:pPr>
              <w:snapToGrid w:val="0"/>
              <w:spacing w:before="120" w:after="120" w:line="240" w:lineRule="auto"/>
              <w:jc w:val="center"/>
              <w:rPr>
                <w:rFonts w:ascii="Times New Roman" w:hAnsi="Times New Roman" w:eastAsia="等线" w:cs="Times New Roman"/>
                <w:sz w:val="22"/>
              </w:rPr>
            </w:pPr>
            <w:r>
              <w:rPr>
                <w:rFonts w:hint="eastAsia" w:ascii="Times New Roman" w:hAnsi="Times New Roman" w:eastAsia="等线" w:cs="Times New Roman"/>
                <w:sz w:val="22"/>
                <w:lang w:val="en-US" w:eastAsia="zh-CN"/>
              </w:rPr>
              <w:t>驻场</w:t>
            </w:r>
          </w:p>
        </w:tc>
      </w:tr>
      <w:tr w14:paraId="2504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456" w:type="dxa"/>
            <w:tcMar>
              <w:top w:w="60" w:type="dxa"/>
              <w:left w:w="120" w:type="dxa"/>
              <w:bottom w:w="30" w:type="dxa"/>
              <w:right w:w="120" w:type="dxa"/>
            </w:tcMar>
            <w:vAlign w:val="center"/>
          </w:tcPr>
          <w:p w14:paraId="74B18B19">
            <w:pPr>
              <w:snapToGrid w:val="0"/>
              <w:spacing w:before="120" w:after="120" w:line="240" w:lineRule="auto"/>
              <w:jc w:val="center"/>
              <w:rPr>
                <w:rFonts w:ascii="Times New Roman" w:hAnsi="Times New Roman" w:eastAsia="等线" w:cs="Times New Roman"/>
                <w:sz w:val="22"/>
              </w:rPr>
            </w:pPr>
            <w:r>
              <w:rPr>
                <w:rFonts w:ascii="Times New Roman" w:hAnsi="Times New Roman" w:eastAsia="等线" w:cs="Times New Roman"/>
                <w:sz w:val="22"/>
              </w:rPr>
              <w:t>系统分析师</w:t>
            </w:r>
          </w:p>
        </w:tc>
        <w:tc>
          <w:tcPr>
            <w:tcW w:w="2106" w:type="dxa"/>
            <w:tcMar>
              <w:top w:w="60" w:type="dxa"/>
              <w:left w:w="120" w:type="dxa"/>
              <w:bottom w:w="30" w:type="dxa"/>
              <w:right w:w="120" w:type="dxa"/>
            </w:tcMar>
            <w:vAlign w:val="center"/>
          </w:tcPr>
          <w:p w14:paraId="5A32288E">
            <w:pPr>
              <w:snapToGrid w:val="0"/>
              <w:spacing w:before="120" w:after="120" w:line="240" w:lineRule="auto"/>
              <w:jc w:val="both"/>
              <w:rPr>
                <w:rFonts w:ascii="Times New Roman" w:hAnsi="Times New Roman" w:eastAsia="等线" w:cs="Times New Roman"/>
                <w:sz w:val="22"/>
              </w:rPr>
            </w:pPr>
            <w:r>
              <w:rPr>
                <w:rFonts w:ascii="Times New Roman" w:hAnsi="Times New Roman" w:eastAsia="等线" w:cs="Times New Roman"/>
                <w:sz w:val="22"/>
              </w:rPr>
              <w:t>负责需求调研、需求分析，输出设计文档</w:t>
            </w:r>
          </w:p>
        </w:tc>
        <w:tc>
          <w:tcPr>
            <w:tcW w:w="1020" w:type="dxa"/>
            <w:tcMar>
              <w:top w:w="60" w:type="dxa"/>
              <w:left w:w="120" w:type="dxa"/>
              <w:bottom w:w="30" w:type="dxa"/>
              <w:right w:w="120" w:type="dxa"/>
            </w:tcMar>
            <w:vAlign w:val="center"/>
          </w:tcPr>
          <w:p w14:paraId="514AADC5">
            <w:pPr>
              <w:snapToGrid w:val="0"/>
              <w:spacing w:before="120" w:after="120" w:line="240" w:lineRule="auto"/>
              <w:jc w:val="center"/>
              <w:rPr>
                <w:rFonts w:ascii="Times New Roman" w:hAnsi="Times New Roman" w:eastAsia="等线" w:cs="Times New Roman"/>
                <w:sz w:val="22"/>
              </w:rPr>
            </w:pPr>
            <w:r>
              <w:rPr>
                <w:rFonts w:hint="eastAsia" w:ascii="Times New Roman" w:hAnsi="Times New Roman" w:eastAsia="等线" w:cs="Times New Roman"/>
                <w:sz w:val="22"/>
                <w:lang w:val="en-US" w:eastAsia="zh-CN"/>
              </w:rPr>
              <w:t>1</w:t>
            </w:r>
            <w:r>
              <w:rPr>
                <w:rFonts w:ascii="Times New Roman" w:hAnsi="Times New Roman" w:eastAsia="等线" w:cs="Times New Roman"/>
                <w:sz w:val="22"/>
              </w:rPr>
              <w:t>人</w:t>
            </w:r>
          </w:p>
        </w:tc>
        <w:tc>
          <w:tcPr>
            <w:tcW w:w="3020" w:type="dxa"/>
            <w:tcMar>
              <w:top w:w="60" w:type="dxa"/>
              <w:left w:w="120" w:type="dxa"/>
              <w:bottom w:w="30" w:type="dxa"/>
              <w:right w:w="120" w:type="dxa"/>
            </w:tcMar>
            <w:vAlign w:val="center"/>
          </w:tcPr>
          <w:p w14:paraId="38F944C5">
            <w:pPr>
              <w:snapToGrid w:val="0"/>
              <w:spacing w:before="120" w:after="120" w:line="240" w:lineRule="auto"/>
              <w:jc w:val="both"/>
              <w:rPr>
                <w:rFonts w:ascii="Times New Roman" w:hAnsi="Times New Roman" w:eastAsia="等线" w:cs="Times New Roman"/>
                <w:sz w:val="22"/>
              </w:rPr>
            </w:pPr>
            <w:r>
              <w:rPr>
                <w:rFonts w:ascii="Times New Roman" w:hAnsi="Times New Roman" w:eastAsia="等线" w:cs="Times New Roman"/>
                <w:sz w:val="22"/>
              </w:rPr>
              <w:t>3年以上政务系统分析经验，熟悉养老服务业务流程</w:t>
            </w:r>
          </w:p>
        </w:tc>
        <w:tc>
          <w:tcPr>
            <w:tcW w:w="1020" w:type="dxa"/>
            <w:tcMar>
              <w:top w:w="60" w:type="dxa"/>
              <w:left w:w="120" w:type="dxa"/>
              <w:bottom w:w="30" w:type="dxa"/>
              <w:right w:w="120" w:type="dxa"/>
            </w:tcMar>
            <w:vAlign w:val="center"/>
          </w:tcPr>
          <w:p w14:paraId="7AAD2E8F">
            <w:pPr>
              <w:snapToGrid w:val="0"/>
              <w:spacing w:before="120" w:after="120" w:line="240" w:lineRule="auto"/>
              <w:jc w:val="center"/>
              <w:rPr>
                <w:rFonts w:hint="eastAsia" w:ascii="Times New Roman" w:hAnsi="Times New Roman" w:eastAsia="等线" w:cs="Times New Roman"/>
                <w:sz w:val="22"/>
                <w:lang w:val="en-US" w:eastAsia="zh-CN"/>
              </w:rPr>
            </w:pPr>
            <w:r>
              <w:rPr>
                <w:rFonts w:hint="eastAsia" w:ascii="Times New Roman" w:hAnsi="Times New Roman" w:eastAsia="等线" w:cs="Times New Roman"/>
                <w:sz w:val="22"/>
                <w:lang w:val="en-US" w:eastAsia="zh-CN"/>
              </w:rPr>
              <w:t>无需</w:t>
            </w:r>
          </w:p>
          <w:p w14:paraId="4DF1B154">
            <w:pPr>
              <w:snapToGrid w:val="0"/>
              <w:spacing w:before="120" w:after="120" w:line="240" w:lineRule="auto"/>
              <w:jc w:val="center"/>
              <w:rPr>
                <w:rFonts w:ascii="Times New Roman" w:hAnsi="Times New Roman" w:eastAsia="等线" w:cs="Times New Roman"/>
                <w:sz w:val="22"/>
              </w:rPr>
            </w:pPr>
            <w:r>
              <w:rPr>
                <w:rFonts w:hint="eastAsia" w:ascii="Times New Roman" w:hAnsi="Times New Roman" w:eastAsia="等线" w:cs="Times New Roman"/>
                <w:sz w:val="22"/>
                <w:lang w:val="en-US" w:eastAsia="zh-CN"/>
              </w:rPr>
              <w:t>驻场</w:t>
            </w:r>
          </w:p>
        </w:tc>
      </w:tr>
      <w:tr w14:paraId="653E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456" w:type="dxa"/>
            <w:tcMar>
              <w:top w:w="60" w:type="dxa"/>
              <w:left w:w="120" w:type="dxa"/>
              <w:bottom w:w="30" w:type="dxa"/>
              <w:right w:w="120" w:type="dxa"/>
            </w:tcMar>
            <w:vAlign w:val="center"/>
          </w:tcPr>
          <w:p w14:paraId="3028037D">
            <w:pPr>
              <w:snapToGrid w:val="0"/>
              <w:spacing w:before="120" w:after="120" w:line="240" w:lineRule="auto"/>
              <w:jc w:val="center"/>
              <w:rPr>
                <w:rFonts w:ascii="Times New Roman" w:hAnsi="Times New Roman" w:eastAsia="等线" w:cs="Times New Roman"/>
                <w:sz w:val="22"/>
              </w:rPr>
            </w:pPr>
            <w:r>
              <w:rPr>
                <w:rFonts w:ascii="Times New Roman" w:hAnsi="Times New Roman" w:eastAsia="等线" w:cs="Times New Roman"/>
                <w:sz w:val="22"/>
              </w:rPr>
              <w:t>软件开发工程师</w:t>
            </w:r>
          </w:p>
        </w:tc>
        <w:tc>
          <w:tcPr>
            <w:tcW w:w="2106" w:type="dxa"/>
            <w:tcMar>
              <w:top w:w="60" w:type="dxa"/>
              <w:left w:w="120" w:type="dxa"/>
              <w:bottom w:w="30" w:type="dxa"/>
              <w:right w:w="120" w:type="dxa"/>
            </w:tcMar>
            <w:vAlign w:val="center"/>
          </w:tcPr>
          <w:p w14:paraId="0A1AACDA">
            <w:pPr>
              <w:snapToGrid w:val="0"/>
              <w:spacing w:before="120" w:after="120" w:line="240" w:lineRule="auto"/>
              <w:jc w:val="both"/>
              <w:rPr>
                <w:rFonts w:ascii="Times New Roman" w:hAnsi="Times New Roman" w:eastAsia="等线" w:cs="Times New Roman"/>
                <w:sz w:val="22"/>
              </w:rPr>
            </w:pPr>
            <w:r>
              <w:rPr>
                <w:rFonts w:ascii="Times New Roman" w:hAnsi="Times New Roman" w:eastAsia="等线" w:cs="Times New Roman"/>
                <w:sz w:val="22"/>
              </w:rPr>
              <w:t>负责系统模块开发、接口开发及联调</w:t>
            </w:r>
          </w:p>
        </w:tc>
        <w:tc>
          <w:tcPr>
            <w:tcW w:w="1020" w:type="dxa"/>
            <w:tcMar>
              <w:top w:w="60" w:type="dxa"/>
              <w:left w:w="120" w:type="dxa"/>
              <w:bottom w:w="30" w:type="dxa"/>
              <w:right w:w="120" w:type="dxa"/>
            </w:tcMar>
            <w:vAlign w:val="center"/>
          </w:tcPr>
          <w:p w14:paraId="3C65E3E3">
            <w:pPr>
              <w:snapToGrid w:val="0"/>
              <w:spacing w:before="120" w:after="120" w:line="240" w:lineRule="auto"/>
              <w:jc w:val="center"/>
              <w:rPr>
                <w:rFonts w:ascii="Times New Roman" w:hAnsi="Times New Roman" w:eastAsia="等线" w:cs="Times New Roman"/>
                <w:sz w:val="22"/>
              </w:rPr>
            </w:pPr>
            <w:r>
              <w:rPr>
                <w:rFonts w:hint="eastAsia" w:ascii="Times New Roman" w:hAnsi="Times New Roman" w:eastAsia="等线" w:cs="Times New Roman"/>
                <w:sz w:val="22"/>
                <w:lang w:val="en-US" w:eastAsia="zh-CN"/>
              </w:rPr>
              <w:t>8</w:t>
            </w:r>
            <w:r>
              <w:rPr>
                <w:rFonts w:ascii="Times New Roman" w:hAnsi="Times New Roman" w:eastAsia="等线" w:cs="Times New Roman"/>
                <w:sz w:val="22"/>
              </w:rPr>
              <w:t>人</w:t>
            </w:r>
          </w:p>
        </w:tc>
        <w:tc>
          <w:tcPr>
            <w:tcW w:w="3020" w:type="dxa"/>
            <w:tcMar>
              <w:top w:w="60" w:type="dxa"/>
              <w:left w:w="120" w:type="dxa"/>
              <w:bottom w:w="30" w:type="dxa"/>
              <w:right w:w="120" w:type="dxa"/>
            </w:tcMar>
            <w:vAlign w:val="center"/>
          </w:tcPr>
          <w:p w14:paraId="2BE45A40">
            <w:pPr>
              <w:snapToGrid w:val="0"/>
              <w:spacing w:before="120" w:after="120" w:line="240" w:lineRule="auto"/>
              <w:jc w:val="both"/>
              <w:rPr>
                <w:rFonts w:ascii="Times New Roman" w:hAnsi="Times New Roman" w:eastAsia="等线" w:cs="Times New Roman"/>
                <w:sz w:val="22"/>
              </w:rPr>
            </w:pPr>
            <w:r>
              <w:rPr>
                <w:rFonts w:ascii="Times New Roman" w:hAnsi="Times New Roman" w:eastAsia="等线" w:cs="Times New Roman"/>
                <w:sz w:val="22"/>
              </w:rPr>
              <w:t>熟悉J2EE框架、国产数据库</w:t>
            </w:r>
            <w:r>
              <w:rPr>
                <w:rFonts w:hint="eastAsia" w:ascii="Times New Roman" w:hAnsi="Times New Roman" w:eastAsia="等线" w:cs="Times New Roman"/>
                <w:sz w:val="22"/>
                <w:lang w:eastAsia="zh-CN"/>
              </w:rPr>
              <w:t>，具</w:t>
            </w:r>
            <w:r>
              <w:rPr>
                <w:rFonts w:ascii="Times New Roman" w:hAnsi="Times New Roman" w:eastAsia="等线" w:cs="Times New Roman"/>
                <w:sz w:val="22"/>
              </w:rPr>
              <w:t>有</w:t>
            </w:r>
            <w:r>
              <w:rPr>
                <w:rFonts w:hint="eastAsia" w:ascii="Times New Roman" w:hAnsi="Times New Roman" w:eastAsia="等线" w:cs="Times New Roman"/>
                <w:sz w:val="22"/>
                <w:lang w:val="en-US" w:eastAsia="zh-CN"/>
              </w:rPr>
              <w:t>XC开发</w:t>
            </w:r>
            <w:r>
              <w:rPr>
                <w:rFonts w:ascii="Times New Roman" w:hAnsi="Times New Roman" w:eastAsia="等线" w:cs="Times New Roman"/>
                <w:sz w:val="22"/>
              </w:rPr>
              <w:t>/数据对接开发经验优先</w:t>
            </w:r>
          </w:p>
        </w:tc>
        <w:tc>
          <w:tcPr>
            <w:tcW w:w="1020" w:type="dxa"/>
            <w:tcMar>
              <w:top w:w="60" w:type="dxa"/>
              <w:left w:w="120" w:type="dxa"/>
              <w:bottom w:w="30" w:type="dxa"/>
              <w:right w:w="120" w:type="dxa"/>
            </w:tcMar>
            <w:vAlign w:val="center"/>
          </w:tcPr>
          <w:p w14:paraId="5EA27294">
            <w:pPr>
              <w:snapToGrid w:val="0"/>
              <w:spacing w:before="120" w:after="120" w:line="240" w:lineRule="auto"/>
              <w:jc w:val="center"/>
              <w:rPr>
                <w:rFonts w:hint="eastAsia" w:ascii="Times New Roman" w:hAnsi="Times New Roman" w:eastAsia="等线" w:cs="Times New Roman"/>
                <w:sz w:val="22"/>
                <w:lang w:val="en-US" w:eastAsia="zh-CN"/>
              </w:rPr>
            </w:pPr>
            <w:r>
              <w:rPr>
                <w:rFonts w:hint="eastAsia" w:ascii="Times New Roman" w:hAnsi="Times New Roman" w:eastAsia="等线" w:cs="Times New Roman"/>
                <w:sz w:val="22"/>
                <w:lang w:val="en-US" w:eastAsia="zh-CN"/>
              </w:rPr>
              <w:t>无需</w:t>
            </w:r>
          </w:p>
          <w:p w14:paraId="345BB774">
            <w:pPr>
              <w:snapToGrid w:val="0"/>
              <w:spacing w:before="120" w:after="120" w:line="240" w:lineRule="auto"/>
              <w:jc w:val="center"/>
              <w:rPr>
                <w:rFonts w:ascii="Times New Roman" w:hAnsi="Times New Roman" w:eastAsia="等线" w:cs="Times New Roman"/>
                <w:sz w:val="22"/>
              </w:rPr>
            </w:pPr>
            <w:r>
              <w:rPr>
                <w:rFonts w:hint="eastAsia" w:ascii="Times New Roman" w:hAnsi="Times New Roman" w:eastAsia="等线" w:cs="Times New Roman"/>
                <w:sz w:val="22"/>
                <w:lang w:val="en-US" w:eastAsia="zh-CN"/>
              </w:rPr>
              <w:t>驻场</w:t>
            </w:r>
          </w:p>
        </w:tc>
      </w:tr>
      <w:tr w14:paraId="3800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456" w:type="dxa"/>
            <w:tcMar>
              <w:top w:w="60" w:type="dxa"/>
              <w:left w:w="120" w:type="dxa"/>
              <w:bottom w:w="30" w:type="dxa"/>
              <w:right w:w="120" w:type="dxa"/>
            </w:tcMar>
            <w:vAlign w:val="center"/>
          </w:tcPr>
          <w:p w14:paraId="60C47275">
            <w:pPr>
              <w:snapToGrid w:val="0"/>
              <w:spacing w:before="120" w:after="120" w:line="240" w:lineRule="auto"/>
              <w:jc w:val="center"/>
              <w:rPr>
                <w:rFonts w:ascii="Times New Roman" w:hAnsi="Times New Roman" w:eastAsia="等线" w:cs="Times New Roman"/>
                <w:sz w:val="22"/>
              </w:rPr>
            </w:pPr>
            <w:bookmarkStart w:id="16" w:name="heading_30"/>
            <w:r>
              <w:rPr>
                <w:rFonts w:hint="eastAsia" w:ascii="Times New Roman" w:hAnsi="Times New Roman" w:eastAsia="等线" w:cs="Times New Roman"/>
                <w:sz w:val="22"/>
              </w:rPr>
              <w:t>实施工程师</w:t>
            </w:r>
          </w:p>
        </w:tc>
        <w:tc>
          <w:tcPr>
            <w:tcW w:w="2106" w:type="dxa"/>
            <w:tcMar>
              <w:top w:w="60" w:type="dxa"/>
              <w:left w:w="120" w:type="dxa"/>
              <w:bottom w:w="30" w:type="dxa"/>
              <w:right w:w="120" w:type="dxa"/>
            </w:tcMar>
            <w:vAlign w:val="center"/>
          </w:tcPr>
          <w:p w14:paraId="6DFA240B">
            <w:pPr>
              <w:snapToGrid w:val="0"/>
              <w:spacing w:before="120" w:after="120" w:line="240" w:lineRule="auto"/>
              <w:jc w:val="both"/>
              <w:rPr>
                <w:rFonts w:ascii="Times New Roman" w:hAnsi="Times New Roman" w:eastAsia="等线" w:cs="Times New Roman"/>
                <w:sz w:val="22"/>
              </w:rPr>
            </w:pPr>
            <w:r>
              <w:rPr>
                <w:rFonts w:hint="eastAsia" w:ascii="Times New Roman" w:hAnsi="Times New Roman" w:eastAsia="等线" w:cs="Times New Roman"/>
                <w:sz w:val="22"/>
              </w:rPr>
              <w:t>负责项目实施部署</w:t>
            </w:r>
          </w:p>
        </w:tc>
        <w:tc>
          <w:tcPr>
            <w:tcW w:w="1020" w:type="dxa"/>
            <w:tcMar>
              <w:top w:w="60" w:type="dxa"/>
              <w:left w:w="120" w:type="dxa"/>
              <w:bottom w:w="30" w:type="dxa"/>
              <w:right w:w="120" w:type="dxa"/>
            </w:tcMar>
            <w:vAlign w:val="center"/>
          </w:tcPr>
          <w:p w14:paraId="14C3ECC5">
            <w:pPr>
              <w:snapToGrid w:val="0"/>
              <w:spacing w:before="120" w:after="120" w:line="240" w:lineRule="auto"/>
              <w:jc w:val="center"/>
              <w:rPr>
                <w:rFonts w:ascii="Times New Roman" w:hAnsi="Times New Roman" w:eastAsia="等线" w:cs="Times New Roman"/>
                <w:sz w:val="22"/>
              </w:rPr>
            </w:pPr>
            <w:r>
              <w:rPr>
                <w:rFonts w:hint="eastAsia" w:ascii="Times New Roman" w:hAnsi="Times New Roman" w:eastAsia="等线" w:cs="Times New Roman"/>
                <w:sz w:val="22"/>
              </w:rPr>
              <w:t>2人</w:t>
            </w:r>
          </w:p>
        </w:tc>
        <w:tc>
          <w:tcPr>
            <w:tcW w:w="3020" w:type="dxa"/>
            <w:tcMar>
              <w:top w:w="60" w:type="dxa"/>
              <w:left w:w="120" w:type="dxa"/>
              <w:bottom w:w="30" w:type="dxa"/>
              <w:right w:w="120" w:type="dxa"/>
            </w:tcMar>
            <w:vAlign w:val="center"/>
          </w:tcPr>
          <w:p w14:paraId="3B5857A8">
            <w:pPr>
              <w:snapToGrid w:val="0"/>
              <w:spacing w:before="120" w:after="120" w:line="240" w:lineRule="auto"/>
              <w:jc w:val="both"/>
              <w:rPr>
                <w:rFonts w:ascii="Times New Roman" w:hAnsi="Times New Roman" w:eastAsia="等线" w:cs="Times New Roman"/>
                <w:sz w:val="22"/>
              </w:rPr>
            </w:pPr>
            <w:r>
              <w:rPr>
                <w:rFonts w:hint="eastAsia" w:ascii="Times New Roman" w:hAnsi="Times New Roman" w:eastAsia="等线" w:cs="Times New Roman"/>
                <w:sz w:val="22"/>
              </w:rPr>
              <w:t>大学本科及以上学历，具有相关项目的技术负责经验</w:t>
            </w:r>
          </w:p>
        </w:tc>
        <w:tc>
          <w:tcPr>
            <w:tcW w:w="1020" w:type="dxa"/>
            <w:tcMar>
              <w:top w:w="60" w:type="dxa"/>
              <w:left w:w="120" w:type="dxa"/>
              <w:bottom w:w="30" w:type="dxa"/>
              <w:right w:w="120" w:type="dxa"/>
            </w:tcMar>
            <w:vAlign w:val="center"/>
          </w:tcPr>
          <w:p w14:paraId="17B47494">
            <w:pPr>
              <w:snapToGrid w:val="0"/>
              <w:spacing w:before="120" w:after="120" w:line="240" w:lineRule="auto"/>
              <w:jc w:val="center"/>
              <w:rPr>
                <w:rFonts w:hint="eastAsia" w:ascii="Times New Roman" w:hAnsi="Times New Roman" w:eastAsia="等线" w:cs="Times New Roman"/>
                <w:sz w:val="22"/>
                <w:lang w:val="en-US" w:eastAsia="zh-CN"/>
              </w:rPr>
            </w:pPr>
            <w:r>
              <w:rPr>
                <w:rFonts w:hint="eastAsia" w:ascii="Times New Roman" w:hAnsi="Times New Roman" w:eastAsia="等线" w:cs="Times New Roman"/>
                <w:sz w:val="22"/>
                <w:lang w:val="en-US" w:eastAsia="zh-CN"/>
              </w:rPr>
              <w:t>无需</w:t>
            </w:r>
          </w:p>
          <w:p w14:paraId="40AB53FF">
            <w:pPr>
              <w:snapToGrid w:val="0"/>
              <w:spacing w:before="120" w:after="120" w:line="240" w:lineRule="auto"/>
              <w:jc w:val="center"/>
              <w:rPr>
                <w:rFonts w:ascii="Times New Roman" w:hAnsi="Times New Roman" w:eastAsia="等线" w:cs="Times New Roman"/>
                <w:sz w:val="22"/>
              </w:rPr>
            </w:pPr>
            <w:r>
              <w:rPr>
                <w:rFonts w:hint="eastAsia" w:ascii="Times New Roman" w:hAnsi="Times New Roman" w:eastAsia="等线" w:cs="Times New Roman"/>
                <w:sz w:val="22"/>
                <w:lang w:val="en-US" w:eastAsia="zh-CN"/>
              </w:rPr>
              <w:t>驻场</w:t>
            </w:r>
          </w:p>
        </w:tc>
      </w:tr>
    </w:tbl>
    <w:p w14:paraId="2A4ABBAE">
      <w:pPr>
        <w:spacing w:before="260" w:after="120" w:line="288" w:lineRule="auto"/>
        <w:outlineLvl w:val="3"/>
        <w:rPr>
          <w:rFonts w:ascii="Times New Roman" w:hAnsi="Times New Roman" w:cs="Times New Roman"/>
        </w:rPr>
      </w:pPr>
      <w:r>
        <w:rPr>
          <w:rFonts w:ascii="Times New Roman" w:hAnsi="Times New Roman" w:eastAsia="等线" w:cs="Times New Roman"/>
          <w:b/>
          <w:sz w:val="28"/>
        </w:rPr>
        <w:t>（2）质保期支撑团队要求</w:t>
      </w:r>
      <w:bookmarkEnd w:id="16"/>
    </w:p>
    <w:p w14:paraId="100EBFCE">
      <w:pPr>
        <w:spacing w:before="120" w:after="12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投标人须针对本项目提供</w:t>
      </w:r>
      <w:r>
        <w:rPr>
          <w:rFonts w:ascii="Times New Roman" w:hAnsi="Times New Roman" w:eastAsia="宋体" w:cs="Times New Roman"/>
          <w:b/>
          <w:bCs/>
          <w:sz w:val="24"/>
          <w:szCs w:val="24"/>
          <w:u w:val="single"/>
        </w:rPr>
        <w:t>不少于4人</w:t>
      </w:r>
      <w:r>
        <w:rPr>
          <w:rFonts w:ascii="Times New Roman" w:hAnsi="Times New Roman" w:eastAsia="宋体" w:cs="Times New Roman"/>
          <w:sz w:val="24"/>
          <w:szCs w:val="24"/>
        </w:rPr>
        <w:t>的质保期支撑团队，其中技术经理1人、产品经理1人、技术工程师不少于2人，所有成员为投标人正式员工，提供近一个季度社保缴纳证明，具备</w:t>
      </w:r>
      <w:r>
        <w:rPr>
          <w:rFonts w:hint="eastAsia" w:ascii="Times New Roman" w:hAnsi="Times New Roman" w:eastAsia="宋体" w:cs="Times New Roman"/>
          <w:sz w:val="24"/>
          <w:szCs w:val="24"/>
          <w:lang w:eastAsia="zh-CN"/>
        </w:rPr>
        <w:t>信息</w:t>
      </w:r>
      <w:r>
        <w:rPr>
          <w:rFonts w:ascii="Times New Roman" w:hAnsi="Times New Roman" w:eastAsia="宋体" w:cs="Times New Roman"/>
          <w:sz w:val="24"/>
          <w:szCs w:val="24"/>
        </w:rPr>
        <w:t>系统维护及国产软硬件适配能力。</w:t>
      </w:r>
    </w:p>
    <w:tbl>
      <w:tblPr>
        <w:tblStyle w:val="6"/>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40"/>
        <w:gridCol w:w="2468"/>
        <w:gridCol w:w="1020"/>
        <w:gridCol w:w="2844"/>
        <w:gridCol w:w="1655"/>
      </w:tblGrid>
      <w:tr w14:paraId="55C6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jc w:val="center"/>
        </w:trPr>
        <w:tc>
          <w:tcPr>
            <w:tcW w:w="1240" w:type="dxa"/>
            <w:tcMar>
              <w:top w:w="60" w:type="dxa"/>
              <w:left w:w="120" w:type="dxa"/>
              <w:bottom w:w="30" w:type="dxa"/>
              <w:right w:w="120" w:type="dxa"/>
            </w:tcMar>
            <w:vAlign w:val="center"/>
          </w:tcPr>
          <w:p w14:paraId="20E10127">
            <w:pPr>
              <w:keepNext/>
              <w:snapToGrid w:val="0"/>
              <w:spacing w:before="120" w:after="120" w:line="240" w:lineRule="auto"/>
              <w:jc w:val="center"/>
              <w:rPr>
                <w:rFonts w:ascii="Times New Roman" w:hAnsi="Times New Roman" w:eastAsia="等线" w:cs="Times New Roman"/>
                <w:b/>
                <w:sz w:val="22"/>
              </w:rPr>
            </w:pPr>
            <w:r>
              <w:rPr>
                <w:rFonts w:ascii="Times New Roman" w:hAnsi="Times New Roman" w:eastAsia="等线" w:cs="Times New Roman"/>
                <w:b/>
                <w:sz w:val="22"/>
              </w:rPr>
              <w:t>角色</w:t>
            </w:r>
          </w:p>
        </w:tc>
        <w:tc>
          <w:tcPr>
            <w:tcW w:w="0" w:type="auto"/>
            <w:tcMar>
              <w:top w:w="60" w:type="dxa"/>
              <w:left w:w="120" w:type="dxa"/>
              <w:bottom w:w="30" w:type="dxa"/>
              <w:right w:w="120" w:type="dxa"/>
            </w:tcMar>
            <w:vAlign w:val="center"/>
          </w:tcPr>
          <w:p w14:paraId="72F5FB4C">
            <w:pPr>
              <w:keepNext/>
              <w:snapToGrid w:val="0"/>
              <w:spacing w:before="120" w:after="120" w:line="240" w:lineRule="auto"/>
              <w:jc w:val="center"/>
              <w:rPr>
                <w:rFonts w:ascii="Times New Roman" w:hAnsi="Times New Roman" w:eastAsia="等线" w:cs="Times New Roman"/>
                <w:b/>
                <w:sz w:val="22"/>
              </w:rPr>
            </w:pPr>
            <w:r>
              <w:rPr>
                <w:rFonts w:ascii="Times New Roman" w:hAnsi="Times New Roman" w:eastAsia="等线" w:cs="Times New Roman"/>
                <w:b/>
                <w:sz w:val="22"/>
              </w:rPr>
              <w:t>主要职责</w:t>
            </w:r>
          </w:p>
        </w:tc>
        <w:tc>
          <w:tcPr>
            <w:tcW w:w="1020" w:type="dxa"/>
            <w:tcMar>
              <w:top w:w="60" w:type="dxa"/>
              <w:left w:w="120" w:type="dxa"/>
              <w:bottom w:w="30" w:type="dxa"/>
              <w:right w:w="120" w:type="dxa"/>
            </w:tcMar>
            <w:vAlign w:val="center"/>
          </w:tcPr>
          <w:p w14:paraId="61B69369">
            <w:pPr>
              <w:keepNext/>
              <w:snapToGrid w:val="0"/>
              <w:spacing w:before="120" w:after="120" w:line="240" w:lineRule="auto"/>
              <w:jc w:val="center"/>
              <w:rPr>
                <w:rFonts w:ascii="Times New Roman" w:hAnsi="Times New Roman" w:eastAsia="等线" w:cs="Times New Roman"/>
                <w:b/>
                <w:sz w:val="22"/>
              </w:rPr>
            </w:pPr>
            <w:r>
              <w:rPr>
                <w:rFonts w:ascii="Times New Roman" w:hAnsi="Times New Roman" w:eastAsia="等线" w:cs="Times New Roman"/>
                <w:b/>
                <w:sz w:val="22"/>
              </w:rPr>
              <w:t>人员</w:t>
            </w:r>
          </w:p>
          <w:p w14:paraId="34420647">
            <w:pPr>
              <w:keepNext/>
              <w:snapToGrid w:val="0"/>
              <w:spacing w:before="120" w:after="120" w:line="240" w:lineRule="auto"/>
              <w:jc w:val="center"/>
              <w:rPr>
                <w:rFonts w:ascii="Times New Roman" w:hAnsi="Times New Roman" w:eastAsia="等线" w:cs="Times New Roman"/>
                <w:b/>
                <w:sz w:val="22"/>
              </w:rPr>
            </w:pPr>
            <w:r>
              <w:rPr>
                <w:rFonts w:ascii="Times New Roman" w:hAnsi="Times New Roman" w:eastAsia="等线" w:cs="Times New Roman"/>
                <w:b/>
                <w:sz w:val="22"/>
              </w:rPr>
              <w:t>数量</w:t>
            </w:r>
          </w:p>
        </w:tc>
        <w:tc>
          <w:tcPr>
            <w:tcW w:w="0" w:type="auto"/>
            <w:tcMar>
              <w:top w:w="60" w:type="dxa"/>
              <w:left w:w="120" w:type="dxa"/>
              <w:bottom w:w="30" w:type="dxa"/>
              <w:right w:w="120" w:type="dxa"/>
            </w:tcMar>
            <w:vAlign w:val="center"/>
          </w:tcPr>
          <w:p w14:paraId="63F7912E">
            <w:pPr>
              <w:keepNext/>
              <w:snapToGrid w:val="0"/>
              <w:spacing w:before="120" w:after="120" w:line="240" w:lineRule="auto"/>
              <w:jc w:val="center"/>
              <w:rPr>
                <w:rFonts w:ascii="Times New Roman" w:hAnsi="Times New Roman" w:eastAsia="等线" w:cs="Times New Roman"/>
                <w:b/>
                <w:sz w:val="22"/>
              </w:rPr>
            </w:pPr>
            <w:r>
              <w:rPr>
                <w:rFonts w:ascii="Times New Roman" w:hAnsi="Times New Roman" w:eastAsia="等线" w:cs="Times New Roman"/>
                <w:b/>
                <w:sz w:val="22"/>
              </w:rPr>
              <w:t>人员要求</w:t>
            </w:r>
          </w:p>
        </w:tc>
        <w:tc>
          <w:tcPr>
            <w:tcW w:w="1655" w:type="dxa"/>
            <w:tcMar>
              <w:top w:w="60" w:type="dxa"/>
              <w:left w:w="120" w:type="dxa"/>
              <w:bottom w:w="30" w:type="dxa"/>
              <w:right w:w="120" w:type="dxa"/>
            </w:tcMar>
            <w:vAlign w:val="center"/>
          </w:tcPr>
          <w:p w14:paraId="2B89852D">
            <w:pPr>
              <w:keepNext/>
              <w:snapToGrid w:val="0"/>
              <w:spacing w:before="120" w:after="120" w:line="240" w:lineRule="auto"/>
              <w:jc w:val="center"/>
              <w:rPr>
                <w:rFonts w:ascii="Times New Roman" w:hAnsi="Times New Roman" w:eastAsia="等线" w:cs="Times New Roman"/>
                <w:b/>
                <w:sz w:val="22"/>
              </w:rPr>
            </w:pPr>
            <w:r>
              <w:rPr>
                <w:rFonts w:ascii="Times New Roman" w:hAnsi="Times New Roman" w:eastAsia="等线" w:cs="Times New Roman"/>
                <w:b/>
                <w:sz w:val="22"/>
              </w:rPr>
              <w:t>驻场要求</w:t>
            </w:r>
          </w:p>
        </w:tc>
      </w:tr>
      <w:tr w14:paraId="76D7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40" w:type="dxa"/>
            <w:tcMar>
              <w:top w:w="60" w:type="dxa"/>
              <w:left w:w="120" w:type="dxa"/>
              <w:bottom w:w="30" w:type="dxa"/>
              <w:right w:w="120" w:type="dxa"/>
            </w:tcMar>
            <w:vAlign w:val="center"/>
          </w:tcPr>
          <w:p w14:paraId="4A658E30">
            <w:pPr>
              <w:keepNext/>
              <w:snapToGrid w:val="0"/>
              <w:spacing w:before="120" w:after="120" w:line="240" w:lineRule="auto"/>
              <w:jc w:val="center"/>
              <w:rPr>
                <w:rFonts w:ascii="Times New Roman" w:hAnsi="Times New Roman" w:eastAsia="等线" w:cs="Times New Roman"/>
                <w:sz w:val="22"/>
              </w:rPr>
            </w:pPr>
            <w:r>
              <w:rPr>
                <w:rFonts w:ascii="Times New Roman" w:hAnsi="Times New Roman" w:eastAsia="等线" w:cs="Times New Roman"/>
                <w:sz w:val="22"/>
              </w:rPr>
              <w:t>技术经理</w:t>
            </w:r>
          </w:p>
        </w:tc>
        <w:tc>
          <w:tcPr>
            <w:tcW w:w="0" w:type="auto"/>
            <w:tcMar>
              <w:top w:w="60" w:type="dxa"/>
              <w:left w:w="120" w:type="dxa"/>
              <w:bottom w:w="30" w:type="dxa"/>
              <w:right w:w="120" w:type="dxa"/>
            </w:tcMar>
            <w:vAlign w:val="center"/>
          </w:tcPr>
          <w:p w14:paraId="350CA2B3">
            <w:pPr>
              <w:keepNext/>
              <w:snapToGrid w:val="0"/>
              <w:spacing w:before="120" w:after="120" w:line="240" w:lineRule="auto"/>
              <w:rPr>
                <w:rFonts w:ascii="Times New Roman" w:hAnsi="Times New Roman" w:eastAsia="等线" w:cs="Times New Roman"/>
                <w:sz w:val="22"/>
              </w:rPr>
            </w:pPr>
            <w:r>
              <w:rPr>
                <w:rFonts w:ascii="Times New Roman" w:hAnsi="Times New Roman" w:eastAsia="等线" w:cs="Times New Roman"/>
                <w:sz w:val="22"/>
              </w:rPr>
              <w:t>负责质保期内系统整体技术维护，统筹故障处理</w:t>
            </w:r>
          </w:p>
        </w:tc>
        <w:tc>
          <w:tcPr>
            <w:tcW w:w="1020" w:type="dxa"/>
            <w:tcMar>
              <w:top w:w="60" w:type="dxa"/>
              <w:left w:w="120" w:type="dxa"/>
              <w:bottom w:w="30" w:type="dxa"/>
              <w:right w:w="120" w:type="dxa"/>
            </w:tcMar>
            <w:vAlign w:val="center"/>
          </w:tcPr>
          <w:p w14:paraId="40CA9002">
            <w:pPr>
              <w:keepNext/>
              <w:snapToGrid w:val="0"/>
              <w:spacing w:before="120" w:after="120" w:line="240" w:lineRule="auto"/>
              <w:jc w:val="center"/>
              <w:rPr>
                <w:rFonts w:ascii="Times New Roman" w:hAnsi="Times New Roman" w:eastAsia="等线" w:cs="Times New Roman"/>
                <w:sz w:val="22"/>
              </w:rPr>
            </w:pPr>
            <w:r>
              <w:rPr>
                <w:rFonts w:ascii="Times New Roman" w:hAnsi="Times New Roman" w:eastAsia="等线" w:cs="Times New Roman"/>
                <w:sz w:val="22"/>
              </w:rPr>
              <w:t>1人</w:t>
            </w:r>
          </w:p>
        </w:tc>
        <w:tc>
          <w:tcPr>
            <w:tcW w:w="0" w:type="auto"/>
            <w:tcMar>
              <w:top w:w="60" w:type="dxa"/>
              <w:left w:w="120" w:type="dxa"/>
              <w:bottom w:w="30" w:type="dxa"/>
              <w:right w:w="120" w:type="dxa"/>
            </w:tcMar>
            <w:vAlign w:val="center"/>
          </w:tcPr>
          <w:p w14:paraId="3603748B">
            <w:pPr>
              <w:keepNext/>
              <w:snapToGrid w:val="0"/>
              <w:spacing w:before="120" w:after="120" w:line="240" w:lineRule="auto"/>
              <w:rPr>
                <w:rFonts w:ascii="Times New Roman" w:hAnsi="Times New Roman" w:eastAsia="等线" w:cs="Times New Roman"/>
                <w:sz w:val="22"/>
              </w:rPr>
            </w:pPr>
            <w:r>
              <w:rPr>
                <w:rFonts w:ascii="Times New Roman" w:hAnsi="Times New Roman" w:eastAsia="等线" w:cs="Times New Roman"/>
                <w:sz w:val="22"/>
              </w:rPr>
              <w:t>具备</w:t>
            </w:r>
            <w:r>
              <w:rPr>
                <w:rFonts w:hint="eastAsia" w:ascii="Times New Roman" w:hAnsi="Times New Roman" w:eastAsia="等线" w:cs="Times New Roman"/>
                <w:sz w:val="22"/>
                <w:highlight w:val="none"/>
                <w:lang w:eastAsia="zh-CN"/>
              </w:rPr>
              <w:t>信息化业务</w:t>
            </w:r>
            <w:r>
              <w:rPr>
                <w:rFonts w:ascii="Times New Roman" w:hAnsi="Times New Roman" w:eastAsia="等线" w:cs="Times New Roman"/>
                <w:sz w:val="22"/>
              </w:rPr>
              <w:t>，熟悉等保及密码应用要求</w:t>
            </w:r>
          </w:p>
        </w:tc>
        <w:tc>
          <w:tcPr>
            <w:tcW w:w="1655" w:type="dxa"/>
            <w:tcMar>
              <w:top w:w="60" w:type="dxa"/>
              <w:left w:w="120" w:type="dxa"/>
              <w:bottom w:w="30" w:type="dxa"/>
              <w:right w:w="120" w:type="dxa"/>
            </w:tcMar>
            <w:vAlign w:val="center"/>
          </w:tcPr>
          <w:p w14:paraId="031AA3F5">
            <w:pPr>
              <w:snapToGrid w:val="0"/>
              <w:spacing w:before="120" w:after="120" w:line="240" w:lineRule="auto"/>
              <w:jc w:val="center"/>
              <w:rPr>
                <w:rFonts w:hint="eastAsia" w:ascii="Times New Roman" w:hAnsi="Times New Roman" w:eastAsia="等线" w:cs="Times New Roman"/>
                <w:sz w:val="22"/>
                <w:lang w:val="en-US" w:eastAsia="zh-CN"/>
              </w:rPr>
            </w:pPr>
            <w:r>
              <w:rPr>
                <w:rFonts w:hint="eastAsia" w:ascii="Times New Roman" w:hAnsi="Times New Roman" w:eastAsia="等线" w:cs="Times New Roman"/>
                <w:sz w:val="22"/>
                <w:lang w:val="en-US" w:eastAsia="zh-CN"/>
              </w:rPr>
              <w:t>无需</w:t>
            </w:r>
          </w:p>
          <w:p w14:paraId="3BA2744C">
            <w:pPr>
              <w:keepNext/>
              <w:snapToGrid w:val="0"/>
              <w:spacing w:before="120" w:after="120" w:line="240" w:lineRule="auto"/>
              <w:jc w:val="center"/>
              <w:rPr>
                <w:rFonts w:ascii="Times New Roman" w:hAnsi="Times New Roman" w:eastAsia="等线" w:cs="Times New Roman"/>
                <w:sz w:val="22"/>
              </w:rPr>
            </w:pPr>
            <w:r>
              <w:rPr>
                <w:rFonts w:hint="eastAsia" w:ascii="Times New Roman" w:hAnsi="Times New Roman" w:eastAsia="等线" w:cs="Times New Roman"/>
                <w:sz w:val="22"/>
                <w:lang w:val="en-US" w:eastAsia="zh-CN"/>
              </w:rPr>
              <w:t>驻场</w:t>
            </w:r>
          </w:p>
        </w:tc>
      </w:tr>
      <w:tr w14:paraId="0E80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40" w:type="dxa"/>
            <w:tcMar>
              <w:top w:w="60" w:type="dxa"/>
              <w:left w:w="120" w:type="dxa"/>
              <w:bottom w:w="30" w:type="dxa"/>
              <w:right w:w="120" w:type="dxa"/>
            </w:tcMar>
            <w:vAlign w:val="center"/>
          </w:tcPr>
          <w:p w14:paraId="45565EF5">
            <w:pPr>
              <w:keepNext/>
              <w:snapToGrid w:val="0"/>
              <w:spacing w:before="120" w:after="120" w:line="240" w:lineRule="auto"/>
              <w:jc w:val="center"/>
              <w:rPr>
                <w:rFonts w:ascii="Times New Roman" w:hAnsi="Times New Roman" w:eastAsia="等线" w:cs="Times New Roman"/>
                <w:sz w:val="22"/>
              </w:rPr>
            </w:pPr>
            <w:r>
              <w:rPr>
                <w:rFonts w:ascii="Times New Roman" w:hAnsi="Times New Roman" w:eastAsia="等线" w:cs="Times New Roman"/>
                <w:sz w:val="22"/>
              </w:rPr>
              <w:t>产品经理</w:t>
            </w:r>
          </w:p>
        </w:tc>
        <w:tc>
          <w:tcPr>
            <w:tcW w:w="0" w:type="auto"/>
            <w:tcMar>
              <w:top w:w="60" w:type="dxa"/>
              <w:left w:w="120" w:type="dxa"/>
              <w:bottom w:w="30" w:type="dxa"/>
              <w:right w:w="120" w:type="dxa"/>
            </w:tcMar>
            <w:vAlign w:val="center"/>
          </w:tcPr>
          <w:p w14:paraId="1D85BB31">
            <w:pPr>
              <w:keepNext/>
              <w:snapToGrid w:val="0"/>
              <w:spacing w:before="120" w:after="120" w:line="240" w:lineRule="auto"/>
              <w:rPr>
                <w:rFonts w:ascii="Times New Roman" w:hAnsi="Times New Roman" w:eastAsia="等线" w:cs="Times New Roman"/>
                <w:sz w:val="22"/>
              </w:rPr>
            </w:pPr>
            <w:r>
              <w:rPr>
                <w:rFonts w:ascii="Times New Roman" w:hAnsi="Times New Roman" w:eastAsia="等线" w:cs="Times New Roman"/>
                <w:sz w:val="22"/>
              </w:rPr>
              <w:t>负责质保期内系统功能优化，对接采购人需求</w:t>
            </w:r>
          </w:p>
        </w:tc>
        <w:tc>
          <w:tcPr>
            <w:tcW w:w="1020" w:type="dxa"/>
            <w:tcMar>
              <w:top w:w="60" w:type="dxa"/>
              <w:left w:w="120" w:type="dxa"/>
              <w:bottom w:w="30" w:type="dxa"/>
              <w:right w:w="120" w:type="dxa"/>
            </w:tcMar>
            <w:vAlign w:val="center"/>
          </w:tcPr>
          <w:p w14:paraId="2E6B06A4">
            <w:pPr>
              <w:keepNext/>
              <w:snapToGrid w:val="0"/>
              <w:spacing w:before="120" w:after="120" w:line="240" w:lineRule="auto"/>
              <w:jc w:val="center"/>
              <w:rPr>
                <w:rFonts w:ascii="Times New Roman" w:hAnsi="Times New Roman" w:eastAsia="等线" w:cs="Times New Roman"/>
                <w:sz w:val="22"/>
              </w:rPr>
            </w:pPr>
            <w:r>
              <w:rPr>
                <w:rFonts w:ascii="Times New Roman" w:hAnsi="Times New Roman" w:eastAsia="等线" w:cs="Times New Roman"/>
                <w:sz w:val="22"/>
              </w:rPr>
              <w:t>1人</w:t>
            </w:r>
          </w:p>
        </w:tc>
        <w:tc>
          <w:tcPr>
            <w:tcW w:w="0" w:type="auto"/>
            <w:tcMar>
              <w:top w:w="60" w:type="dxa"/>
              <w:left w:w="120" w:type="dxa"/>
              <w:bottom w:w="30" w:type="dxa"/>
              <w:right w:w="120" w:type="dxa"/>
            </w:tcMar>
            <w:vAlign w:val="center"/>
          </w:tcPr>
          <w:p w14:paraId="5AEA9220">
            <w:pPr>
              <w:keepNext/>
              <w:snapToGrid w:val="0"/>
              <w:spacing w:before="120" w:after="120" w:line="240" w:lineRule="auto"/>
              <w:rPr>
                <w:rFonts w:ascii="Times New Roman" w:hAnsi="Times New Roman" w:eastAsia="等线" w:cs="Times New Roman"/>
                <w:sz w:val="22"/>
              </w:rPr>
            </w:pPr>
            <w:r>
              <w:rPr>
                <w:rFonts w:ascii="Times New Roman" w:hAnsi="Times New Roman" w:eastAsia="等线" w:cs="Times New Roman"/>
                <w:sz w:val="22"/>
              </w:rPr>
              <w:t>熟悉</w:t>
            </w:r>
            <w:r>
              <w:rPr>
                <w:rFonts w:hint="eastAsia" w:ascii="Times New Roman" w:hAnsi="Times New Roman" w:eastAsia="等线" w:cs="Times New Roman"/>
                <w:sz w:val="22"/>
                <w:highlight w:val="none"/>
                <w:lang w:eastAsia="zh-CN"/>
              </w:rPr>
              <w:t>信息化业务</w:t>
            </w:r>
            <w:r>
              <w:rPr>
                <w:rFonts w:ascii="Times New Roman" w:hAnsi="Times New Roman" w:eastAsia="等线" w:cs="Times New Roman"/>
                <w:sz w:val="22"/>
              </w:rPr>
              <w:t>，具备产品需求梳理及优化能力</w:t>
            </w:r>
          </w:p>
        </w:tc>
        <w:tc>
          <w:tcPr>
            <w:tcW w:w="1655" w:type="dxa"/>
            <w:tcMar>
              <w:top w:w="60" w:type="dxa"/>
              <w:left w:w="120" w:type="dxa"/>
              <w:bottom w:w="30" w:type="dxa"/>
              <w:right w:w="120" w:type="dxa"/>
            </w:tcMar>
            <w:vAlign w:val="center"/>
          </w:tcPr>
          <w:p w14:paraId="09909BC3">
            <w:pPr>
              <w:snapToGrid w:val="0"/>
              <w:spacing w:before="120" w:after="120" w:line="240" w:lineRule="auto"/>
              <w:jc w:val="center"/>
              <w:rPr>
                <w:rFonts w:hint="eastAsia" w:ascii="Times New Roman" w:hAnsi="Times New Roman" w:eastAsia="等线" w:cs="Times New Roman"/>
                <w:sz w:val="22"/>
                <w:lang w:val="en-US" w:eastAsia="zh-CN"/>
              </w:rPr>
            </w:pPr>
            <w:r>
              <w:rPr>
                <w:rFonts w:hint="eastAsia" w:ascii="Times New Roman" w:hAnsi="Times New Roman" w:eastAsia="等线" w:cs="Times New Roman"/>
                <w:sz w:val="22"/>
                <w:lang w:val="en-US" w:eastAsia="zh-CN"/>
              </w:rPr>
              <w:t>无需</w:t>
            </w:r>
          </w:p>
          <w:p w14:paraId="4D47164B">
            <w:pPr>
              <w:keepNext/>
              <w:snapToGrid w:val="0"/>
              <w:spacing w:before="120" w:after="120" w:line="240" w:lineRule="auto"/>
              <w:jc w:val="center"/>
              <w:rPr>
                <w:rFonts w:ascii="Times New Roman" w:hAnsi="Times New Roman" w:eastAsia="等线" w:cs="Times New Roman"/>
                <w:sz w:val="22"/>
              </w:rPr>
            </w:pPr>
            <w:r>
              <w:rPr>
                <w:rFonts w:hint="eastAsia" w:ascii="Times New Roman" w:hAnsi="Times New Roman" w:eastAsia="等线" w:cs="Times New Roman"/>
                <w:sz w:val="22"/>
                <w:lang w:val="en-US" w:eastAsia="zh-CN"/>
              </w:rPr>
              <w:t>驻场</w:t>
            </w:r>
          </w:p>
        </w:tc>
      </w:tr>
      <w:tr w14:paraId="0758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40" w:type="dxa"/>
            <w:tcMar>
              <w:top w:w="60" w:type="dxa"/>
              <w:left w:w="120" w:type="dxa"/>
              <w:bottom w:w="30" w:type="dxa"/>
              <w:right w:w="120" w:type="dxa"/>
            </w:tcMar>
            <w:vAlign w:val="center"/>
          </w:tcPr>
          <w:p w14:paraId="6A68039F">
            <w:pPr>
              <w:keepNext/>
              <w:snapToGrid w:val="0"/>
              <w:spacing w:before="120" w:after="120" w:line="240" w:lineRule="auto"/>
              <w:jc w:val="center"/>
              <w:rPr>
                <w:rFonts w:ascii="Times New Roman" w:hAnsi="Times New Roman" w:eastAsia="等线" w:cs="Times New Roman"/>
                <w:sz w:val="22"/>
              </w:rPr>
            </w:pPr>
            <w:r>
              <w:rPr>
                <w:rFonts w:ascii="Times New Roman" w:hAnsi="Times New Roman" w:eastAsia="等线" w:cs="Times New Roman"/>
                <w:sz w:val="22"/>
              </w:rPr>
              <w:t>技术工程师</w:t>
            </w:r>
          </w:p>
        </w:tc>
        <w:tc>
          <w:tcPr>
            <w:tcW w:w="2468" w:type="dxa"/>
            <w:tcMar>
              <w:top w:w="60" w:type="dxa"/>
              <w:left w:w="120" w:type="dxa"/>
              <w:bottom w:w="30" w:type="dxa"/>
              <w:right w:w="120" w:type="dxa"/>
            </w:tcMar>
            <w:vAlign w:val="center"/>
          </w:tcPr>
          <w:p w14:paraId="335FCC2B">
            <w:pPr>
              <w:keepNext/>
              <w:snapToGrid w:val="0"/>
              <w:spacing w:before="120" w:after="120" w:line="240" w:lineRule="auto"/>
              <w:rPr>
                <w:rFonts w:ascii="Times New Roman" w:hAnsi="Times New Roman" w:eastAsia="等线" w:cs="Times New Roman"/>
                <w:sz w:val="22"/>
              </w:rPr>
            </w:pPr>
            <w:r>
              <w:rPr>
                <w:rFonts w:ascii="Times New Roman" w:hAnsi="Times New Roman" w:eastAsia="等线" w:cs="Times New Roman"/>
                <w:sz w:val="22"/>
              </w:rPr>
              <w:t>负责系统日常维护、硬件维修、现场巡检</w:t>
            </w:r>
          </w:p>
        </w:tc>
        <w:tc>
          <w:tcPr>
            <w:tcW w:w="1020" w:type="dxa"/>
            <w:tcMar>
              <w:top w:w="60" w:type="dxa"/>
              <w:left w:w="120" w:type="dxa"/>
              <w:bottom w:w="30" w:type="dxa"/>
              <w:right w:w="120" w:type="dxa"/>
            </w:tcMar>
            <w:vAlign w:val="center"/>
          </w:tcPr>
          <w:p w14:paraId="7D286C8D">
            <w:pPr>
              <w:keepNext/>
              <w:snapToGrid w:val="0"/>
              <w:spacing w:before="120" w:after="120" w:line="240" w:lineRule="auto"/>
              <w:jc w:val="center"/>
              <w:rPr>
                <w:rFonts w:ascii="Times New Roman" w:hAnsi="Times New Roman" w:eastAsia="等线" w:cs="Times New Roman"/>
                <w:sz w:val="22"/>
              </w:rPr>
            </w:pPr>
            <w:r>
              <w:rPr>
                <w:rFonts w:ascii="Times New Roman" w:hAnsi="Times New Roman" w:eastAsia="等线" w:cs="Times New Roman"/>
                <w:sz w:val="22"/>
              </w:rPr>
              <w:t>2人</w:t>
            </w:r>
          </w:p>
        </w:tc>
        <w:tc>
          <w:tcPr>
            <w:tcW w:w="2844" w:type="dxa"/>
            <w:tcMar>
              <w:top w:w="60" w:type="dxa"/>
              <w:left w:w="120" w:type="dxa"/>
              <w:bottom w:w="30" w:type="dxa"/>
              <w:right w:w="120" w:type="dxa"/>
            </w:tcMar>
            <w:vAlign w:val="center"/>
          </w:tcPr>
          <w:p w14:paraId="12D962BF">
            <w:pPr>
              <w:keepNext/>
              <w:snapToGrid w:val="0"/>
              <w:spacing w:before="120" w:after="120" w:line="240" w:lineRule="auto"/>
              <w:rPr>
                <w:rFonts w:ascii="Times New Roman" w:hAnsi="Times New Roman" w:eastAsia="等线" w:cs="Times New Roman"/>
                <w:sz w:val="22"/>
              </w:rPr>
            </w:pPr>
            <w:r>
              <w:rPr>
                <w:rFonts w:ascii="Times New Roman" w:hAnsi="Times New Roman" w:eastAsia="等线" w:cs="Times New Roman"/>
                <w:sz w:val="22"/>
              </w:rPr>
              <w:t>熟悉系统开发及硬件调试，具备快速故障排查能力</w:t>
            </w:r>
          </w:p>
        </w:tc>
        <w:tc>
          <w:tcPr>
            <w:tcW w:w="1655" w:type="dxa"/>
            <w:tcMar>
              <w:top w:w="60" w:type="dxa"/>
              <w:left w:w="120" w:type="dxa"/>
              <w:bottom w:w="30" w:type="dxa"/>
              <w:right w:w="120" w:type="dxa"/>
            </w:tcMar>
            <w:vAlign w:val="center"/>
          </w:tcPr>
          <w:p w14:paraId="27B8AF92">
            <w:pPr>
              <w:snapToGrid w:val="0"/>
              <w:spacing w:before="120" w:after="120" w:line="240" w:lineRule="auto"/>
              <w:jc w:val="center"/>
              <w:rPr>
                <w:rFonts w:hint="eastAsia" w:ascii="Times New Roman" w:hAnsi="Times New Roman" w:eastAsia="等线" w:cs="Times New Roman"/>
                <w:sz w:val="22"/>
                <w:lang w:val="en-US" w:eastAsia="zh-CN"/>
              </w:rPr>
            </w:pPr>
            <w:r>
              <w:rPr>
                <w:rFonts w:hint="eastAsia" w:ascii="Times New Roman" w:hAnsi="Times New Roman" w:eastAsia="等线" w:cs="Times New Roman"/>
                <w:sz w:val="22"/>
                <w:lang w:val="en-US" w:eastAsia="zh-CN"/>
              </w:rPr>
              <w:t>无需</w:t>
            </w:r>
          </w:p>
          <w:p w14:paraId="778EFD36">
            <w:pPr>
              <w:keepNext/>
              <w:snapToGrid w:val="0"/>
              <w:spacing w:before="120" w:after="120" w:line="240" w:lineRule="auto"/>
              <w:jc w:val="center"/>
              <w:rPr>
                <w:rFonts w:ascii="Times New Roman" w:hAnsi="Times New Roman" w:eastAsia="等线" w:cs="Times New Roman"/>
                <w:sz w:val="22"/>
              </w:rPr>
            </w:pPr>
            <w:r>
              <w:rPr>
                <w:rFonts w:hint="eastAsia" w:ascii="Times New Roman" w:hAnsi="Times New Roman" w:eastAsia="等线" w:cs="Times New Roman"/>
                <w:sz w:val="22"/>
                <w:lang w:val="en-US" w:eastAsia="zh-CN"/>
              </w:rPr>
              <w:t>驻场</w:t>
            </w:r>
          </w:p>
        </w:tc>
      </w:tr>
    </w:tbl>
    <w:p w14:paraId="71B4CB4A">
      <w:pPr>
        <w:spacing w:before="120" w:after="120" w:line="360" w:lineRule="auto"/>
        <w:ind w:firstLine="480" w:firstLineChars="200"/>
        <w:jc w:val="both"/>
        <w:rPr>
          <w:rFonts w:ascii="Times New Roman" w:hAnsi="Times New Roman" w:eastAsia="宋体" w:cs="Times New Roman"/>
          <w:sz w:val="24"/>
          <w:szCs w:val="24"/>
        </w:rPr>
      </w:pPr>
    </w:p>
    <w:p w14:paraId="3FE7BC03">
      <w:pPr>
        <w:numPr>
          <w:ilvl w:val="0"/>
          <w:numId w:val="3"/>
        </w:numPr>
        <w:spacing w:before="300" w:after="120" w:line="288" w:lineRule="auto"/>
        <w:outlineLvl w:val="2"/>
        <w:rPr>
          <w:rFonts w:ascii="Times New Roman" w:hAnsi="Times New Roman" w:eastAsia="等线" w:cs="Times New Roman"/>
          <w:b/>
          <w:sz w:val="30"/>
        </w:rPr>
      </w:pPr>
      <w:bookmarkStart w:id="17" w:name="heading_32"/>
      <w:r>
        <w:rPr>
          <w:rFonts w:ascii="Times New Roman" w:hAnsi="Times New Roman" w:eastAsia="等线" w:cs="Times New Roman"/>
          <w:b/>
          <w:sz w:val="30"/>
        </w:rPr>
        <w:t>等级保护要求</w:t>
      </w:r>
      <w:bookmarkEnd w:id="17"/>
    </w:p>
    <w:p w14:paraId="382488BF">
      <w:pPr>
        <w:spacing w:before="120" w:after="12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本项目信息系统按照</w:t>
      </w:r>
      <w:r>
        <w:rPr>
          <w:rFonts w:ascii="Times New Roman" w:hAnsi="Times New Roman" w:eastAsia="宋体" w:cs="Times New Roman"/>
          <w:b/>
          <w:sz w:val="24"/>
          <w:szCs w:val="24"/>
        </w:rPr>
        <w:t>网络安全等级保护2.0第二级</w:t>
      </w:r>
      <w:r>
        <w:rPr>
          <w:rFonts w:ascii="Times New Roman" w:hAnsi="Times New Roman" w:eastAsia="宋体" w:cs="Times New Roman"/>
          <w:sz w:val="24"/>
          <w:szCs w:val="24"/>
        </w:rPr>
        <w:t>标准进行建设、测评及运维，</w:t>
      </w:r>
      <w:r>
        <w:rPr>
          <w:rFonts w:hint="eastAsia" w:ascii="Times New Roman" w:hAnsi="Times New Roman" w:eastAsia="宋体" w:cs="Times New Roman"/>
          <w:sz w:val="24"/>
          <w:szCs w:val="24"/>
          <w:lang w:eastAsia="zh-CN"/>
        </w:rPr>
        <w:t>投标人</w:t>
      </w:r>
      <w:r>
        <w:rPr>
          <w:rFonts w:ascii="Times New Roman" w:hAnsi="Times New Roman" w:eastAsia="宋体" w:cs="Times New Roman"/>
          <w:sz w:val="24"/>
          <w:szCs w:val="24"/>
        </w:rPr>
        <w:t>需配合采购人完成等保二级备案及测评工作，确保系统符合等保二级各项要求。</w:t>
      </w:r>
    </w:p>
    <w:p w14:paraId="6C9ED011">
      <w:pPr>
        <w:numPr>
          <w:ilvl w:val="0"/>
          <w:numId w:val="3"/>
        </w:numPr>
        <w:spacing w:before="300" w:after="120" w:line="288" w:lineRule="auto"/>
        <w:outlineLvl w:val="2"/>
        <w:rPr>
          <w:rFonts w:ascii="Times New Roman" w:hAnsi="Times New Roman" w:eastAsia="等线" w:cs="Times New Roman"/>
          <w:b/>
          <w:sz w:val="30"/>
        </w:rPr>
      </w:pPr>
      <w:bookmarkStart w:id="18" w:name="heading_33"/>
      <w:r>
        <w:rPr>
          <w:rFonts w:ascii="Times New Roman" w:hAnsi="Times New Roman" w:eastAsia="等线" w:cs="Times New Roman"/>
          <w:b/>
          <w:sz w:val="30"/>
        </w:rPr>
        <w:t>商用密码应用需求</w:t>
      </w:r>
      <w:bookmarkEnd w:id="18"/>
    </w:p>
    <w:p w14:paraId="23A0FD5C">
      <w:pPr>
        <w:spacing w:before="120" w:after="12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本项目需完成商用密码应用相关评测，</w:t>
      </w:r>
      <w:r>
        <w:rPr>
          <w:rFonts w:hint="eastAsia" w:ascii="Times New Roman" w:hAnsi="Times New Roman" w:eastAsia="宋体" w:cs="Times New Roman"/>
          <w:sz w:val="24"/>
          <w:szCs w:val="24"/>
          <w:lang w:eastAsia="zh-CN"/>
        </w:rPr>
        <w:t>投标人</w:t>
      </w:r>
      <w:r>
        <w:rPr>
          <w:rFonts w:ascii="Times New Roman" w:hAnsi="Times New Roman" w:eastAsia="宋体" w:cs="Times New Roman"/>
          <w:sz w:val="24"/>
          <w:szCs w:val="24"/>
        </w:rPr>
        <w:t>需适配部署签名验签、可信密码、身份认证、数字证书等商用密码服务，所有密码服务与应用系统深度融合；针对系统重要数据、可执行程序、用户访问控制信息实施密码保护，保障数据的机密性、完整性和不可抵赖性，确保密码应用符合国家及上海市相关规范要求。</w:t>
      </w:r>
    </w:p>
    <w:p w14:paraId="72247C86">
      <w:pPr>
        <w:numPr>
          <w:ilvl w:val="0"/>
          <w:numId w:val="3"/>
        </w:numPr>
        <w:spacing w:before="300" w:after="120" w:line="288" w:lineRule="auto"/>
        <w:outlineLvl w:val="2"/>
        <w:rPr>
          <w:rFonts w:ascii="Times New Roman" w:hAnsi="Times New Roman" w:eastAsia="等线" w:cs="Times New Roman"/>
          <w:b/>
          <w:sz w:val="30"/>
        </w:rPr>
      </w:pPr>
      <w:bookmarkStart w:id="19" w:name="heading_34"/>
      <w:r>
        <w:rPr>
          <w:rFonts w:ascii="Times New Roman" w:hAnsi="Times New Roman" w:eastAsia="等线" w:cs="Times New Roman"/>
          <w:b/>
          <w:sz w:val="30"/>
        </w:rPr>
        <w:t>技术文件要求</w:t>
      </w:r>
      <w:bookmarkEnd w:id="19"/>
    </w:p>
    <w:p w14:paraId="7CCA132B">
      <w:pPr>
        <w:spacing w:before="120" w:after="12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投标人在项目建设及质保期内提供的书面技术资料需全面、完整、详细，确保系统正常运行所需的管理、运营及维护，提供全套技术文件纸介质3套以及电子文件1套，至少包含：</w:t>
      </w:r>
    </w:p>
    <w:p w14:paraId="6F4E4770">
      <w:pPr>
        <w:numPr>
          <w:ilvl w:val="0"/>
          <w:numId w:val="7"/>
        </w:numPr>
        <w:spacing w:before="120" w:after="12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系统说明文件（含系统架构、功能介绍、部署环境等）；</w:t>
      </w:r>
    </w:p>
    <w:p w14:paraId="29178668">
      <w:pPr>
        <w:numPr>
          <w:ilvl w:val="0"/>
          <w:numId w:val="7"/>
        </w:numPr>
        <w:spacing w:before="120" w:after="12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技术手册（含安装、测试、操作、维护、故障排除等）；</w:t>
      </w:r>
    </w:p>
    <w:p w14:paraId="068BFADB">
      <w:pPr>
        <w:numPr>
          <w:ilvl w:val="0"/>
          <w:numId w:val="7"/>
        </w:numPr>
        <w:spacing w:before="120" w:after="12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项目文档：《软件需求说明书》《系统总体设计说明书》《系统详细设计说明书》《应用软件功能清单》《测试报告》《部署文档》；</w:t>
      </w:r>
    </w:p>
    <w:p w14:paraId="43236A71">
      <w:pPr>
        <w:numPr>
          <w:ilvl w:val="0"/>
          <w:numId w:val="7"/>
        </w:numPr>
        <w:spacing w:before="120" w:after="12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验收资料：《项目竣工报告》《安全测评报告》《密码评测报告》；</w:t>
      </w:r>
    </w:p>
    <w:p w14:paraId="40B74472">
      <w:pPr>
        <w:numPr>
          <w:ilvl w:val="0"/>
          <w:numId w:val="7"/>
        </w:numPr>
        <w:spacing w:before="120" w:after="120"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培训资料：《用户操作手册》《硬件使用手册》《安全管理手册》。</w:t>
      </w:r>
    </w:p>
    <w:p w14:paraId="57CA917C">
      <w:pPr>
        <w:spacing w:before="120" w:after="120" w:line="360" w:lineRule="auto"/>
        <w:jc w:val="both"/>
        <w:rPr>
          <w:rFonts w:ascii="Times New Roman" w:hAnsi="Times New Roman" w:eastAsia="宋体" w:cs="Times New Roman"/>
          <w:sz w:val="24"/>
          <w:szCs w:val="24"/>
        </w:rPr>
      </w:pPr>
    </w:p>
    <w:sectPr>
      <w:headerReference r:id="rId5" w:type="default"/>
      <w:footerReference r:id="rId6" w:type="default"/>
      <w:pgSz w:w="11905" w:h="16840"/>
      <w:pgMar w:top="1440" w:right="1800" w:bottom="1440" w:left="180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57719">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10F7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510F7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FE2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551F9E"/>
    <w:multiLevelType w:val="singleLevel"/>
    <w:tmpl w:val="89551F9E"/>
    <w:lvl w:ilvl="0" w:tentative="0">
      <w:start w:val="1"/>
      <w:numFmt w:val="decimal"/>
      <w:lvlText w:val="%1)"/>
      <w:lvlJc w:val="left"/>
      <w:pPr>
        <w:ind w:left="425" w:hanging="425"/>
      </w:pPr>
      <w:rPr>
        <w:rFonts w:hint="default"/>
      </w:rPr>
    </w:lvl>
  </w:abstractNum>
  <w:abstractNum w:abstractNumId="1">
    <w:nsid w:val="B796FF91"/>
    <w:multiLevelType w:val="singleLevel"/>
    <w:tmpl w:val="B796FF91"/>
    <w:lvl w:ilvl="0" w:tentative="0">
      <w:start w:val="1"/>
      <w:numFmt w:val="decimal"/>
      <w:lvlText w:val="%1)"/>
      <w:lvlJc w:val="left"/>
      <w:pPr>
        <w:ind w:left="425" w:hanging="425"/>
      </w:pPr>
      <w:rPr>
        <w:rFonts w:hint="default"/>
      </w:rPr>
    </w:lvl>
  </w:abstractNum>
  <w:abstractNum w:abstractNumId="2">
    <w:nsid w:val="C33F4A74"/>
    <w:multiLevelType w:val="singleLevel"/>
    <w:tmpl w:val="C33F4A74"/>
    <w:lvl w:ilvl="0" w:tentative="0">
      <w:start w:val="1"/>
      <w:numFmt w:val="decimal"/>
      <w:lvlText w:val="%1."/>
      <w:lvlJc w:val="left"/>
      <w:pPr>
        <w:ind w:left="425" w:hanging="425"/>
      </w:pPr>
      <w:rPr>
        <w:rFonts w:hint="default"/>
      </w:rPr>
    </w:lvl>
  </w:abstractNum>
  <w:abstractNum w:abstractNumId="3">
    <w:nsid w:val="098929FB"/>
    <w:multiLevelType w:val="singleLevel"/>
    <w:tmpl w:val="098929FB"/>
    <w:lvl w:ilvl="0" w:tentative="0">
      <w:start w:val="1"/>
      <w:numFmt w:val="decimal"/>
      <w:lvlText w:val="%1."/>
      <w:lvlJc w:val="left"/>
      <w:pPr>
        <w:ind w:left="425" w:hanging="425"/>
      </w:pPr>
      <w:rPr>
        <w:rFonts w:hint="default"/>
      </w:rPr>
    </w:lvl>
  </w:abstractNum>
  <w:abstractNum w:abstractNumId="4">
    <w:nsid w:val="28EFE769"/>
    <w:multiLevelType w:val="singleLevel"/>
    <w:tmpl w:val="28EFE769"/>
    <w:lvl w:ilvl="0" w:tentative="0">
      <w:start w:val="1"/>
      <w:numFmt w:val="chineseCounting"/>
      <w:suff w:val="nothing"/>
      <w:lvlText w:val="%1、"/>
      <w:lvlJc w:val="left"/>
      <w:pPr>
        <w:ind w:left="0" w:firstLine="420"/>
      </w:pPr>
      <w:rPr>
        <w:rFonts w:hint="eastAsia"/>
      </w:rPr>
    </w:lvl>
  </w:abstractNum>
  <w:abstractNum w:abstractNumId="5">
    <w:nsid w:val="6AB8F201"/>
    <w:multiLevelType w:val="singleLevel"/>
    <w:tmpl w:val="6AB8F201"/>
    <w:lvl w:ilvl="0" w:tentative="0">
      <w:start w:val="1"/>
      <w:numFmt w:val="bullet"/>
      <w:lvlText w:val=""/>
      <w:lvlJc w:val="left"/>
      <w:pPr>
        <w:ind w:left="420" w:hanging="420"/>
      </w:pPr>
      <w:rPr>
        <w:rFonts w:hint="default" w:ascii="Wingdings" w:hAnsi="Wingdings"/>
      </w:rPr>
    </w:lvl>
  </w:abstractNum>
  <w:abstractNum w:abstractNumId="6">
    <w:nsid w:val="6DB30FB2"/>
    <w:multiLevelType w:val="singleLevel"/>
    <w:tmpl w:val="6DB30FB2"/>
    <w:lvl w:ilvl="0" w:tentative="0">
      <w:start w:val="1"/>
      <w:numFmt w:val="decimal"/>
      <w:lvlText w:val="%1)"/>
      <w:lvlJc w:val="left"/>
      <w:pPr>
        <w:ind w:left="425" w:hanging="425"/>
      </w:pPr>
      <w:rPr>
        <w:rFonts w:hint="default"/>
      </w:rPr>
    </w:lvl>
  </w:abstractNum>
  <w:num w:numId="1">
    <w:abstractNumId w:val="4"/>
  </w:num>
  <w:num w:numId="2">
    <w:abstractNumId w:val="3"/>
  </w:num>
  <w:num w:numId="3">
    <w:abstractNumId w:val="2"/>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YmIxNzI4ZGQ3ZWQ1ZDA0YzA0YjM3YjI4NzdkMWUifQ=="/>
  </w:docVars>
  <w:rsids>
    <w:rsidRoot w:val="00483BA6"/>
    <w:rsid w:val="00032AD0"/>
    <w:rsid w:val="000F156E"/>
    <w:rsid w:val="00144772"/>
    <w:rsid w:val="00363C0A"/>
    <w:rsid w:val="003E76E0"/>
    <w:rsid w:val="00483BA6"/>
    <w:rsid w:val="00594D1A"/>
    <w:rsid w:val="006677CF"/>
    <w:rsid w:val="00C3367B"/>
    <w:rsid w:val="00D729A5"/>
    <w:rsid w:val="00DB6933"/>
    <w:rsid w:val="148701AF"/>
    <w:rsid w:val="25BC4D80"/>
    <w:rsid w:val="2B0C0F7B"/>
    <w:rsid w:val="2B2E74A5"/>
    <w:rsid w:val="31EF007A"/>
    <w:rsid w:val="32C65EB4"/>
    <w:rsid w:val="376F3EFE"/>
    <w:rsid w:val="37C86B9A"/>
    <w:rsid w:val="4F376970"/>
    <w:rsid w:val="50556919"/>
    <w:rsid w:val="513F4757"/>
    <w:rsid w:val="52F203B0"/>
    <w:rsid w:val="57DF36AE"/>
    <w:rsid w:val="5DD30EAD"/>
    <w:rsid w:val="6AB74FE9"/>
    <w:rsid w:val="6ECC3DEA"/>
    <w:rsid w:val="73C117A4"/>
    <w:rsid w:val="76F62BC9"/>
    <w:rsid w:val="78380EBF"/>
    <w:rsid w:val="79E662D4"/>
    <w:rsid w:val="7CAC2FEF"/>
    <w:rsid w:val="E69FF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style>
  <w:style w:type="paragraph" w:styleId="3">
    <w:name w:val="Balloon Text"/>
    <w:basedOn w:val="1"/>
    <w:link w:val="11"/>
    <w:qFormat/>
    <w:uiPriority w:val="0"/>
    <w:pPr>
      <w:spacing w:after="0" w:line="240" w:lineRule="auto"/>
    </w:pPr>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annotation subject"/>
    <w:basedOn w:val="2"/>
    <w:next w:val="2"/>
    <w:link w:val="10"/>
    <w:qFormat/>
    <w:uiPriority w:val="0"/>
    <w:rPr>
      <w:b/>
      <w:bCs/>
    </w:rPr>
  </w:style>
  <w:style w:type="character" w:styleId="8">
    <w:name w:val="annotation reference"/>
    <w:basedOn w:val="7"/>
    <w:qFormat/>
    <w:uiPriority w:val="0"/>
    <w:rPr>
      <w:sz w:val="21"/>
      <w:szCs w:val="21"/>
    </w:rPr>
  </w:style>
  <w:style w:type="character" w:customStyle="1" w:styleId="9">
    <w:name w:val="批注文字 字符"/>
    <w:basedOn w:val="7"/>
    <w:link w:val="2"/>
    <w:qFormat/>
    <w:uiPriority w:val="0"/>
    <w:rPr>
      <w:sz w:val="21"/>
      <w:szCs w:val="22"/>
    </w:rPr>
  </w:style>
  <w:style w:type="character" w:customStyle="1" w:styleId="10">
    <w:name w:val="批注主题 字符"/>
    <w:basedOn w:val="9"/>
    <w:link w:val="5"/>
    <w:qFormat/>
    <w:uiPriority w:val="0"/>
    <w:rPr>
      <w:b/>
      <w:bCs/>
      <w:sz w:val="21"/>
      <w:szCs w:val="22"/>
    </w:rPr>
  </w:style>
  <w:style w:type="character" w:customStyle="1" w:styleId="11">
    <w:name w:val="批注框文本 字符"/>
    <w:basedOn w:val="7"/>
    <w:link w:val="3"/>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811</Words>
  <Characters>838</Characters>
  <Lines>162</Lines>
  <Paragraphs>45</Paragraphs>
  <TotalTime>286</TotalTime>
  <ScaleCrop>false</ScaleCrop>
  <LinksUpToDate>false</LinksUpToDate>
  <CharactersWithSpaces>838</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2026-03-14T08:45:00Z</dcterms:created>
  <dc:creator>Apache POI</dc:creator>
  <cp:lastModifiedBy>李修辞</cp:lastModifiedBy>
  <dcterms:modified xsi:type="dcterms:W3CDTF">2026-04-07T10:15:43Z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eyJoZGlkIjoiNDFmMTEzMmQ1OTFhMTg0MzQ1MzlkZjJmZDA2Zjk1MzIiLCJ1c2VySWQiOiIxMzYwOTUwMjEzIn0=</vt:lpwstr>
  </property>
  <property fmtid="{D5CDD505-2E9C-101B-9397-08002B2CF9AE}" pid="3" name="KSOProductBuildVer">
    <vt:lpwstr>2052-12.8.2.18605</vt:lpwstr>
  </property>
  <property fmtid="{D5CDD505-2E9C-101B-9397-08002B2CF9AE}" pid="4" name="ICV">
    <vt:lpwstr>D5C8E4BB04BC4A23809DB989C4A35594_13</vt:lpwstr>
  </property>
</Properties>
</file>