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0795421">
      <w:pPr>
        <w:pStyle w:val="20"/>
        <w:spacing w:after="0" w:line="360" w:lineRule="auto"/>
        <w:ind w:left="0" w:leftChars="0" w:firstLine="0" w:firstLineChars="0"/>
        <w:jc w:val="center"/>
        <w:rPr>
          <w:rFonts w:hint="default" w:eastAsia="仿宋"/>
          <w:sz w:val="44"/>
          <w:szCs w:val="44"/>
        </w:rPr>
      </w:pPr>
      <w:r>
        <w:rPr>
          <w:rFonts w:ascii="仿宋" w:hAnsi="仿宋" w:eastAsia="仿宋"/>
          <w:b/>
          <w:bCs/>
          <w:color w:val="auto"/>
          <w:sz w:val="44"/>
          <w:szCs w:val="44"/>
        </w:rPr>
        <w:t>上海文学馆项目陈列布展（一标）采购需求</w:t>
      </w:r>
    </w:p>
    <w:p w14:paraId="2D296AF2">
      <w:pPr>
        <w:pStyle w:val="2"/>
        <w:spacing w:before="0" w:after="0" w:line="360" w:lineRule="auto"/>
        <w:rPr>
          <w:rFonts w:hint="default" w:ascii="仿宋" w:hAnsi="仿宋" w:eastAsia="仿宋"/>
          <w:color w:val="auto"/>
          <w:sz w:val="28"/>
          <w:szCs w:val="28"/>
        </w:rPr>
      </w:pPr>
      <w:r>
        <w:rPr>
          <w:rFonts w:ascii="仿宋" w:hAnsi="仿宋" w:eastAsia="仿宋"/>
          <w:color w:val="auto"/>
          <w:sz w:val="28"/>
          <w:szCs w:val="28"/>
        </w:rPr>
        <w:t>第一章 项目概述</w:t>
      </w:r>
    </w:p>
    <w:p w14:paraId="0B7498B1">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1.1 项目背景</w:t>
      </w:r>
    </w:p>
    <w:p w14:paraId="207AB8B7">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上海文学馆是上海城市公共文化服务体系的重要组成部分，是展现上海文化软实力与城市精神气质的重要载体。文学馆建设旨在传承中华优秀传统文化，弘扬海派文化精神，打造新时代上海文化高地。项目选址于虹口区武进路与罗浮路交叉口东约六十米，地处上海文学精神核心地带，地理位置优越，文化底蕴深厚。</w:t>
      </w:r>
    </w:p>
    <w:p w14:paraId="396DA079">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上海作为中国近现代文学的重镇，汇聚了鲁迅、巴金、茅盾等众多文学名家，其文学创作历程浓缩了中国文学现代化的演变过程。上海文学馆的建设，不仅是对这段辉煌文学史的总结与致敬，更是推动当代文学创新发展的战略举措。项目的实施将形成上海文学记忆的集中展示平台和城市精神传播的重要窗口。</w:t>
      </w:r>
    </w:p>
    <w:p w14:paraId="6CD72161">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本项目依托上海文学研究成果与城市文化建设战略，旨在通过空间重构与内容策划，构建一个集展示、交流、收藏、研究为一体的文学综合体，体现“以文塑城、以文惠民、以文铸魂”的时代精神，满足公众日益增长的精神文化需求。</w:t>
      </w:r>
    </w:p>
    <w:p w14:paraId="79138332">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1.2 项目意义</w:t>
      </w:r>
    </w:p>
    <w:p w14:paraId="61454961">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上海文学馆的建设意义体现在以下几个方面：</w:t>
      </w:r>
    </w:p>
    <w:p w14:paraId="59706651">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一是文化传承的历史意义。文学馆通过系统展示上海文学的发展脉络、重要人物与代表作品，保存文学档案与实物资料，形成城市文学基因的文化记忆库。项目建成后，将成为新时代传承与弘扬中华优秀文化的重要阵地。</w:t>
      </w:r>
    </w:p>
    <w:p w14:paraId="336E8F2D">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二是精神引领的社会意义。文学是城市精神的灯塔。文学馆将以创新的展陈手段激发公众的文学热情，推动全民阅读与文化普及，为建设学习型社会提供精神动力。</w:t>
      </w:r>
    </w:p>
    <w:p w14:paraId="78352053">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三是产业联动的经济意义。作为集阅读体验、文学教育、文化展示于一体的综合性文化空间，文学馆将与出版、影视、文旅等相关产业形成协同效应，促进文化消费，提升城市文化品牌价值。</w:t>
      </w:r>
    </w:p>
    <w:p w14:paraId="1AD098D7">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四是城市形象的国际意义。上海文学馆以其独特的海派文化魅力，将成为展示中国当代文化自信的重要窗口，推动上海建设成为具有国际影响力的文化名城。</w:t>
      </w:r>
    </w:p>
    <w:p w14:paraId="59EFED33">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1.3 建设目标</w:t>
      </w:r>
    </w:p>
    <w:p w14:paraId="2161DCA3">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项目总体目标是打造“文学阅读、体验、传播”的文化地标，形成“展示上海文学发展历程、研究文学思想成果、推广阅读文化理念、孵化文学创作成果”的综合平台。</w:t>
      </w:r>
    </w:p>
    <w:p w14:paraId="3EFA5C2C">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建设目标包括：</w:t>
      </w:r>
      <w:r>
        <w:rPr>
          <w:color w:val="auto"/>
        </w:rPr>
        <w:br w:type="textWrapping"/>
      </w:r>
      <w:r>
        <w:rPr>
          <w:rFonts w:ascii="仿宋" w:hAnsi="仿宋" w:eastAsia="仿宋"/>
          <w:color w:val="auto"/>
          <w:sz w:val="28"/>
          <w:szCs w:val="28"/>
        </w:rPr>
        <w:t>（1）空间目标：优化展示空间布局，完善动线设计，实现功能分区明确、空间流畅有序、观展体验舒适的整体效果。</w:t>
      </w:r>
      <w:r>
        <w:rPr>
          <w:color w:val="auto"/>
        </w:rPr>
        <w:br w:type="textWrapping"/>
      </w:r>
      <w:r>
        <w:rPr>
          <w:rFonts w:ascii="仿宋" w:hAnsi="仿宋" w:eastAsia="仿宋"/>
          <w:color w:val="auto"/>
          <w:sz w:val="28"/>
          <w:szCs w:val="28"/>
        </w:rPr>
        <w:t>（2）内容目标：着重突出文学与城市发展、文学与时代呼应、文学与世界互动的包容、开放、丰富的上海文学内容和理念。</w:t>
      </w:r>
      <w:r>
        <w:rPr>
          <w:color w:val="auto"/>
        </w:rPr>
        <w:br w:type="textWrapping"/>
      </w:r>
      <w:r>
        <w:rPr>
          <w:rFonts w:ascii="仿宋" w:hAnsi="仿宋" w:eastAsia="仿宋"/>
          <w:color w:val="auto"/>
          <w:sz w:val="28"/>
          <w:szCs w:val="28"/>
        </w:rPr>
        <w:t>（3）技术目标：引入先进的多媒体展示技术、智能导览系统、数字化文献管理与虚拟交互体验，打造智慧型文学展馆。</w:t>
      </w:r>
      <w:r>
        <w:rPr>
          <w:color w:val="auto"/>
        </w:rPr>
        <w:br w:type="textWrapping"/>
      </w:r>
      <w:r>
        <w:rPr>
          <w:rFonts w:ascii="仿宋" w:hAnsi="仿宋" w:eastAsia="仿宋"/>
          <w:color w:val="auto"/>
          <w:sz w:val="28"/>
          <w:szCs w:val="28"/>
        </w:rPr>
        <w:t>（4）运营目标：形成“常设展 + 临展 + 文学阅读 +文学活动”的复合运营体系，增强展馆活力，实现文化传播与社会效益的双赢。</w:t>
      </w:r>
      <w:r>
        <w:rPr>
          <w:color w:val="auto"/>
        </w:rPr>
        <w:br w:type="textWrapping"/>
      </w:r>
      <w:r>
        <w:rPr>
          <w:rFonts w:ascii="仿宋" w:hAnsi="仿宋" w:eastAsia="仿宋"/>
          <w:color w:val="auto"/>
          <w:sz w:val="28"/>
          <w:szCs w:val="28"/>
        </w:rPr>
        <w:t>（5）社会目标：通过展陈内容与公共活动的有机结合，适应时代特点，讲好上海的文学故事，赓续城市文脉，提升公众文化素养与城市文化影响力。</w:t>
      </w:r>
    </w:p>
    <w:p w14:paraId="6B672771">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1.4 功能定位</w:t>
      </w:r>
    </w:p>
    <w:p w14:paraId="42EF8E8A">
      <w:pPr>
        <w:pStyle w:val="17"/>
        <w:spacing w:before="0" w:beforeAutospacing="0" w:after="0" w:afterAutospacing="0" w:line="360" w:lineRule="auto"/>
        <w:rPr>
          <w:rStyle w:val="24"/>
          <w:rFonts w:hint="default" w:ascii="仿宋" w:hAnsi="仿宋" w:eastAsia="仿宋"/>
          <w:color w:val="auto"/>
          <w:sz w:val="28"/>
          <w:szCs w:val="28"/>
        </w:rPr>
      </w:pPr>
      <w:r>
        <w:rPr>
          <w:rFonts w:ascii="仿宋" w:hAnsi="仿宋" w:eastAsia="仿宋"/>
          <w:color w:val="auto"/>
          <w:sz w:val="28"/>
          <w:szCs w:val="28"/>
        </w:rPr>
        <w:t>上海文学馆定位为集展示、交流、研究、收藏与数字化转化于一体的综合性文学博物馆。</w:t>
      </w:r>
    </w:p>
    <w:p w14:paraId="27E4592E">
      <w:pPr>
        <w:pStyle w:val="17"/>
        <w:spacing w:before="0" w:beforeAutospacing="0" w:after="0" w:afterAutospacing="0" w:line="360" w:lineRule="auto"/>
        <w:rPr>
          <w:rStyle w:val="24"/>
          <w:rFonts w:hint="default" w:ascii="仿宋" w:hAnsi="仿宋" w:eastAsia="仿宋"/>
          <w:color w:val="auto"/>
          <w:sz w:val="28"/>
          <w:szCs w:val="28"/>
        </w:rPr>
      </w:pPr>
      <w:r>
        <w:rPr>
          <w:rStyle w:val="24"/>
          <w:rFonts w:ascii="仿宋" w:hAnsi="仿宋" w:eastAsia="仿宋"/>
          <w:color w:val="auto"/>
          <w:sz w:val="28"/>
          <w:szCs w:val="28"/>
        </w:rPr>
        <w:t>展示功能</w:t>
      </w:r>
      <w:r>
        <w:rPr>
          <w:rFonts w:ascii="仿宋" w:hAnsi="仿宋" w:eastAsia="仿宋"/>
          <w:color w:val="auto"/>
          <w:sz w:val="28"/>
          <w:szCs w:val="28"/>
        </w:rPr>
        <w:t>：全面呈现上海文学发展的历史进程与代表人物作品，构建文学时空景观。通过大量特别展览（主题展）展现当代文学成果和公众关注的文学热点。</w:t>
      </w:r>
    </w:p>
    <w:p w14:paraId="4CB8060A">
      <w:pPr>
        <w:pStyle w:val="17"/>
        <w:spacing w:before="0" w:beforeAutospacing="0" w:after="0" w:afterAutospacing="0" w:line="360" w:lineRule="auto"/>
        <w:rPr>
          <w:rStyle w:val="24"/>
          <w:rFonts w:hint="default" w:ascii="仿宋" w:hAnsi="仿宋" w:eastAsia="仿宋"/>
          <w:color w:val="auto"/>
          <w:sz w:val="28"/>
          <w:szCs w:val="28"/>
        </w:rPr>
      </w:pPr>
      <w:r>
        <w:rPr>
          <w:rStyle w:val="24"/>
          <w:rFonts w:ascii="仿宋" w:hAnsi="仿宋" w:eastAsia="仿宋"/>
          <w:color w:val="auto"/>
          <w:sz w:val="28"/>
          <w:szCs w:val="28"/>
        </w:rPr>
        <w:t>交流功能</w:t>
      </w:r>
      <w:r>
        <w:rPr>
          <w:rFonts w:ascii="仿宋" w:hAnsi="仿宋" w:eastAsia="仿宋"/>
          <w:color w:val="auto"/>
          <w:sz w:val="28"/>
          <w:szCs w:val="28"/>
        </w:rPr>
        <w:t>：面向全社会，开放文学课程、讲座。举办文学论坛、作家见面会、国际研讨会等，打造市民体验、共享的中外文学交流平台。</w:t>
      </w:r>
    </w:p>
    <w:p w14:paraId="00590F2F">
      <w:pPr>
        <w:pStyle w:val="17"/>
        <w:spacing w:before="0" w:beforeAutospacing="0" w:after="0" w:afterAutospacing="0" w:line="360" w:lineRule="auto"/>
        <w:rPr>
          <w:rStyle w:val="24"/>
          <w:rFonts w:hint="default" w:ascii="仿宋" w:hAnsi="仿宋" w:eastAsia="仿宋"/>
          <w:color w:val="auto"/>
          <w:sz w:val="28"/>
          <w:szCs w:val="28"/>
        </w:rPr>
      </w:pPr>
      <w:r>
        <w:rPr>
          <w:rStyle w:val="24"/>
          <w:rFonts w:ascii="仿宋" w:hAnsi="仿宋" w:eastAsia="仿宋"/>
          <w:color w:val="auto"/>
          <w:sz w:val="28"/>
          <w:szCs w:val="28"/>
        </w:rPr>
        <w:t>研究功能</w:t>
      </w:r>
      <w:r>
        <w:rPr>
          <w:rFonts w:ascii="仿宋" w:hAnsi="仿宋" w:eastAsia="仿宋"/>
          <w:color w:val="auto"/>
          <w:sz w:val="28"/>
          <w:szCs w:val="28"/>
        </w:rPr>
        <w:t>：整合文学档案、作家手稿与出版文献资源，为学者与公众提供研究支持。</w:t>
      </w:r>
    </w:p>
    <w:p w14:paraId="2159D0E6">
      <w:pPr>
        <w:pStyle w:val="17"/>
        <w:spacing w:before="0" w:beforeAutospacing="0" w:after="0" w:afterAutospacing="0" w:line="360" w:lineRule="auto"/>
        <w:rPr>
          <w:rStyle w:val="24"/>
          <w:rFonts w:hint="default" w:ascii="仿宋" w:hAnsi="仿宋" w:eastAsia="仿宋"/>
          <w:color w:val="auto"/>
          <w:sz w:val="28"/>
          <w:szCs w:val="28"/>
        </w:rPr>
      </w:pPr>
      <w:r>
        <w:rPr>
          <w:rStyle w:val="24"/>
          <w:rFonts w:ascii="仿宋" w:hAnsi="仿宋" w:eastAsia="仿宋"/>
          <w:color w:val="auto"/>
          <w:sz w:val="28"/>
          <w:szCs w:val="28"/>
        </w:rPr>
        <w:t>收藏功能：</w:t>
      </w:r>
      <w:r>
        <w:rPr>
          <w:rStyle w:val="24"/>
          <w:rFonts w:ascii="仿宋" w:hAnsi="仿宋" w:eastAsia="仿宋"/>
          <w:b w:val="0"/>
          <w:bCs w:val="0"/>
          <w:color w:val="auto"/>
          <w:sz w:val="28"/>
          <w:szCs w:val="28"/>
        </w:rPr>
        <w:t>系统收藏上海文学相关的手稿、文献、影像及实物资料，完成重要资料的数字化转化，构建系统化的城市文学档案库。</w:t>
      </w:r>
    </w:p>
    <w:p w14:paraId="574081F5">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1.5 展馆主题</w:t>
      </w:r>
    </w:p>
    <w:p w14:paraId="3EDFD998">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植根本土文化，融合世界思潮，传播时代“强音”，推出文学经典。</w:t>
      </w:r>
    </w:p>
    <w:p w14:paraId="25FD7E06">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1.6 展陈理念</w:t>
      </w:r>
    </w:p>
    <w:p w14:paraId="7BE6E64B">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上海文学馆的展陈理念以“创新、开放、体验 ”为核心，注重传统文学与当代科技的融合，强化观众的沉浸体验与参与感。</w:t>
      </w:r>
    </w:p>
    <w:p w14:paraId="5FDDBBAA">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展陈以“人、文、城”的关系为主线，运用多媒体、互动装置、AI技术、AR/VR等新媒介手段，让观众穿越时空与文学大师对话，感受文学的思想温度与创造力量。</w:t>
      </w:r>
    </w:p>
    <w:p w14:paraId="120E4FA4">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主要理念包括：</w:t>
      </w:r>
    </w:p>
    <w:p w14:paraId="1598BBC7">
      <w:pPr>
        <w:pStyle w:val="17"/>
        <w:spacing w:before="0" w:beforeAutospacing="0" w:after="0" w:afterAutospacing="0" w:line="360" w:lineRule="auto"/>
        <w:rPr>
          <w:rStyle w:val="24"/>
          <w:rFonts w:hint="default" w:ascii="仿宋" w:hAnsi="仿宋" w:eastAsia="仿宋"/>
          <w:color w:val="auto"/>
          <w:sz w:val="28"/>
          <w:szCs w:val="28"/>
        </w:rPr>
      </w:pPr>
      <w:r>
        <w:rPr>
          <w:rStyle w:val="24"/>
          <w:rFonts w:ascii="仿宋" w:hAnsi="仿宋" w:eastAsia="仿宋"/>
          <w:color w:val="auto"/>
          <w:sz w:val="28"/>
          <w:szCs w:val="28"/>
        </w:rPr>
        <w:t>创新性</w:t>
      </w:r>
      <w:r>
        <w:rPr>
          <w:rFonts w:ascii="仿宋" w:hAnsi="仿宋" w:eastAsia="仿宋"/>
          <w:color w:val="auto"/>
          <w:sz w:val="28"/>
          <w:szCs w:val="28"/>
        </w:rPr>
        <w:t>：突破静态展示模式，引入沉浸式、交互式叙事结构，使文学展览成为“触摸未来的实验室”。构建文学与观众、历史与现实的多维对话空间，形成“永不落幕的文学展览”。</w:t>
      </w:r>
    </w:p>
    <w:p w14:paraId="491F2258">
      <w:pPr>
        <w:pStyle w:val="17"/>
        <w:spacing w:before="0" w:beforeAutospacing="0" w:after="0" w:afterAutospacing="0" w:line="360" w:lineRule="auto"/>
        <w:rPr>
          <w:rStyle w:val="24"/>
          <w:rFonts w:hint="default" w:ascii="仿宋" w:hAnsi="仿宋" w:eastAsia="仿宋"/>
          <w:color w:val="auto"/>
          <w:sz w:val="28"/>
          <w:szCs w:val="28"/>
        </w:rPr>
      </w:pPr>
      <w:r>
        <w:rPr>
          <w:rStyle w:val="24"/>
          <w:rFonts w:ascii="仿宋" w:hAnsi="仿宋" w:eastAsia="仿宋"/>
          <w:color w:val="auto"/>
          <w:sz w:val="28"/>
          <w:szCs w:val="28"/>
        </w:rPr>
        <w:t>开放性</w:t>
      </w:r>
      <w:r>
        <w:rPr>
          <w:rFonts w:ascii="仿宋" w:hAnsi="仿宋" w:eastAsia="仿宋"/>
          <w:color w:val="auto"/>
          <w:sz w:val="28"/>
          <w:szCs w:val="28"/>
        </w:rPr>
        <w:t>：融合古典文学、现代文学与网络文学，构建多元化文学景观，体现上海文学的兼容并蓄，以及上海与“世界”，“世界”在上海的交融与互动。</w:t>
      </w:r>
    </w:p>
    <w:p w14:paraId="67A5EC17">
      <w:pPr>
        <w:pStyle w:val="17"/>
        <w:spacing w:before="0" w:beforeAutospacing="0" w:after="0" w:afterAutospacing="0" w:line="360" w:lineRule="auto"/>
        <w:rPr>
          <w:rStyle w:val="24"/>
          <w:rFonts w:hint="default" w:ascii="仿宋" w:hAnsi="仿宋" w:eastAsia="仿宋"/>
          <w:color w:val="auto"/>
          <w:sz w:val="28"/>
          <w:szCs w:val="28"/>
        </w:rPr>
      </w:pPr>
      <w:r>
        <w:rPr>
          <w:rStyle w:val="24"/>
          <w:rFonts w:ascii="仿宋" w:hAnsi="仿宋" w:eastAsia="仿宋"/>
          <w:color w:val="auto"/>
          <w:sz w:val="28"/>
          <w:szCs w:val="28"/>
        </w:rPr>
        <w:t>体验感</w:t>
      </w:r>
      <w:r>
        <w:rPr>
          <w:rFonts w:ascii="仿宋" w:hAnsi="仿宋" w:eastAsia="仿宋"/>
          <w:color w:val="auto"/>
          <w:sz w:val="28"/>
          <w:szCs w:val="28"/>
        </w:rPr>
        <w:t>：全馆为一个公众对文学体验的真实/虚拟空间，是文学阅读的平台，以数字赋能，实现馆藏文献、研究资料和最新文学信息内容的可检索、可利用，增强公众的获得感。</w:t>
      </w:r>
    </w:p>
    <w:p w14:paraId="4F8EA5E3">
      <w:pPr>
        <w:pStyle w:val="17"/>
        <w:spacing w:before="0" w:beforeAutospacing="0" w:after="0" w:afterAutospacing="0" w:line="360" w:lineRule="auto"/>
        <w:rPr>
          <w:rStyle w:val="24"/>
          <w:rFonts w:hint="default" w:ascii="仿宋" w:hAnsi="仿宋" w:eastAsia="仿宋"/>
          <w:color w:val="auto"/>
          <w:sz w:val="28"/>
          <w:szCs w:val="28"/>
        </w:rPr>
      </w:pPr>
      <w:r>
        <w:rPr>
          <w:rStyle w:val="24"/>
          <w:rFonts w:ascii="仿宋" w:hAnsi="仿宋" w:eastAsia="仿宋"/>
          <w:color w:val="auto"/>
          <w:sz w:val="28"/>
          <w:szCs w:val="28"/>
        </w:rPr>
        <w:t>参与感</w:t>
      </w:r>
      <w:r>
        <w:rPr>
          <w:rFonts w:ascii="仿宋" w:hAnsi="仿宋" w:eastAsia="仿宋"/>
          <w:color w:val="auto"/>
          <w:sz w:val="28"/>
          <w:szCs w:val="28"/>
        </w:rPr>
        <w:t>：设置互动体验区、创作分享区与公众投稿平台，让观众从“旁观者”转变为“参与者”。</w:t>
      </w:r>
    </w:p>
    <w:p w14:paraId="731B1F81">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通过多媒体技术的深度融合与空间叙事设计的创新应用，上海文学馆将以现代科技手段重新激活文学经典，让“阅读”成为可体验的文化事件，让“文学”成为城市精神的具象化表达。数字多媒体内容是上海文学馆展陈体系的重要组成部分，与文献实物共同构成展览的核心叙事主题，而非附属展示或技术补充。在上海文学馆，多媒体展项将直接承担文学史叙事、人物关系呈现、城市文学空间建构、知识检索与公共教育等关键功能，其策划、制作与系统搭建须与展陈方案同步推进、整体设计。</w:t>
      </w:r>
    </w:p>
    <w:p w14:paraId="47B42FCA">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1.7 项目实施主要内容与范围</w:t>
      </w:r>
    </w:p>
    <w:p w14:paraId="2413AA6F">
      <w:pPr>
        <w:spacing w:line="360" w:lineRule="auto"/>
        <w:rPr>
          <w:rFonts w:hint="default" w:ascii="仿宋" w:hAnsi="仿宋" w:eastAsia="仿宋"/>
          <w:color w:val="auto"/>
          <w:sz w:val="28"/>
          <w:szCs w:val="28"/>
        </w:rPr>
      </w:pPr>
      <w:r>
        <w:rPr>
          <w:rFonts w:ascii="仿宋" w:hAnsi="仿宋" w:eastAsia="仿宋"/>
          <w:color w:val="auto"/>
          <w:sz w:val="28"/>
          <w:szCs w:val="28"/>
        </w:rPr>
        <w:t>（1）上海文学馆项目陈列布展（一标）：主要包括虹口区武进路453号/455号/457号/江西北路418号一层和二层</w:t>
      </w:r>
    </w:p>
    <w:p w14:paraId="7F17B823">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江西北路418号一层为序厅与尾厅，承担观众进出、导览、休息等功能；</w:t>
      </w:r>
    </w:p>
    <w:p w14:paraId="29316E17">
      <w:pPr>
        <w:autoSpaceDE w:val="0"/>
        <w:autoSpaceDN w:val="0"/>
        <w:adjustRightInd w:val="0"/>
        <w:spacing w:line="360" w:lineRule="auto"/>
        <w:jc w:val="left"/>
        <w:rPr>
          <w:rFonts w:hint="default" w:ascii="仿宋" w:hAnsi="仿宋" w:eastAsia="仿宋"/>
          <w:color w:val="auto"/>
          <w:sz w:val="28"/>
          <w:szCs w:val="28"/>
        </w:rPr>
      </w:pPr>
      <w:r>
        <w:rPr>
          <w:rFonts w:ascii="仿宋" w:hAnsi="仿宋" w:eastAsia="仿宋"/>
          <w:color w:val="auto"/>
          <w:sz w:val="28"/>
          <w:szCs w:val="28"/>
        </w:rPr>
        <w:t>江西北路418号二层为“上海文学星光厅（海上文学大家常设展）”和“海上书房”，分别为常设展与特别展览区，兼具展示与交流功能；</w:t>
      </w:r>
    </w:p>
    <w:p w14:paraId="3F294A00">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武进路453号/455号/457号附属文保建筑为“巴金图书馆”和“服务导引区”，分别承担展览展示、交流活动与游客服务职能。</w:t>
      </w:r>
    </w:p>
    <w:p w14:paraId="7D2282F1">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1.8本项目投标范围（具体范围及面积见附件二）</w:t>
      </w:r>
    </w:p>
    <w:p w14:paraId="0AF77EB5">
      <w:pPr>
        <w:spacing w:line="360" w:lineRule="auto"/>
        <w:rPr>
          <w:rFonts w:hint="default" w:ascii="仿宋" w:hAnsi="仿宋" w:eastAsia="仿宋"/>
          <w:color w:val="auto"/>
          <w:sz w:val="28"/>
          <w:szCs w:val="28"/>
        </w:rPr>
      </w:pPr>
      <w:r>
        <w:rPr>
          <w:rFonts w:ascii="仿宋" w:hAnsi="仿宋" w:eastAsia="仿宋"/>
          <w:color w:val="auto"/>
          <w:sz w:val="28"/>
          <w:szCs w:val="28"/>
        </w:rPr>
        <w:t>投标人应根据采购人的要求，编撰展陈设计方案，并负责展示厅布展设计、制作、布展施工及布展综合事务协调总包服务（包括但不限于以下内容）：</w:t>
      </w:r>
    </w:p>
    <w:p w14:paraId="16766407">
      <w:pPr>
        <w:spacing w:line="360" w:lineRule="auto"/>
        <w:rPr>
          <w:rFonts w:hint="default" w:ascii="仿宋" w:hAnsi="仿宋" w:eastAsia="仿宋"/>
          <w:color w:val="auto"/>
          <w:sz w:val="28"/>
          <w:szCs w:val="28"/>
        </w:rPr>
      </w:pPr>
      <w:r>
        <w:rPr>
          <w:rFonts w:ascii="仿宋" w:hAnsi="仿宋" w:eastAsia="仿宋"/>
          <w:color w:val="auto"/>
          <w:sz w:val="28"/>
          <w:szCs w:val="28"/>
        </w:rPr>
        <w:t>（1）陈列布展方案设计；</w:t>
      </w:r>
    </w:p>
    <w:p w14:paraId="70465981">
      <w:pPr>
        <w:spacing w:line="360" w:lineRule="auto"/>
        <w:rPr>
          <w:rFonts w:hint="default" w:ascii="仿宋" w:hAnsi="仿宋" w:eastAsia="仿宋"/>
          <w:color w:val="auto"/>
          <w:sz w:val="28"/>
          <w:szCs w:val="28"/>
        </w:rPr>
      </w:pPr>
      <w:r>
        <w:rPr>
          <w:rFonts w:ascii="仿宋" w:hAnsi="仿宋" w:eastAsia="仿宋"/>
          <w:color w:val="auto"/>
          <w:sz w:val="28"/>
          <w:szCs w:val="28"/>
        </w:rPr>
        <w:t>（2）陈列制作及施工费用（本项目范围内的所有陈列制作及相关费用，包括但不限于以下内容）</w:t>
      </w:r>
    </w:p>
    <w:p w14:paraId="61D65D07">
      <w:pPr>
        <w:spacing w:line="360" w:lineRule="auto"/>
        <w:rPr>
          <w:rFonts w:hint="default" w:ascii="仿宋" w:hAnsi="仿宋" w:eastAsia="仿宋"/>
          <w:color w:val="auto"/>
          <w:sz w:val="28"/>
          <w:szCs w:val="28"/>
        </w:rPr>
      </w:pPr>
      <w:r>
        <w:rPr>
          <w:rFonts w:ascii="仿宋" w:hAnsi="仿宋" w:eastAsia="仿宋"/>
          <w:color w:val="auto"/>
          <w:sz w:val="28"/>
          <w:szCs w:val="28"/>
        </w:rPr>
        <w:t>1、背景墙、版面及相关道具、美工等设计、制作。</w:t>
      </w:r>
    </w:p>
    <w:p w14:paraId="1F85673A">
      <w:pPr>
        <w:spacing w:line="360" w:lineRule="auto"/>
        <w:rPr>
          <w:rFonts w:hint="default" w:ascii="仿宋" w:hAnsi="仿宋" w:eastAsia="仿宋"/>
          <w:color w:val="auto"/>
          <w:sz w:val="28"/>
          <w:szCs w:val="28"/>
        </w:rPr>
      </w:pPr>
      <w:r>
        <w:rPr>
          <w:rFonts w:ascii="仿宋" w:hAnsi="仿宋" w:eastAsia="仿宋"/>
          <w:color w:val="auto"/>
          <w:sz w:val="28"/>
          <w:szCs w:val="28"/>
        </w:rPr>
        <w:t>2、电气安装：弱电管线、动力及照明配电箱安装等。</w:t>
      </w:r>
    </w:p>
    <w:p w14:paraId="7868C75B">
      <w:pPr>
        <w:spacing w:line="360" w:lineRule="auto"/>
        <w:rPr>
          <w:rFonts w:hint="default" w:ascii="仿宋" w:hAnsi="仿宋" w:eastAsia="仿宋"/>
          <w:color w:val="auto"/>
          <w:sz w:val="28"/>
          <w:szCs w:val="28"/>
        </w:rPr>
      </w:pPr>
      <w:r>
        <w:rPr>
          <w:rFonts w:ascii="仿宋" w:hAnsi="仿宋" w:eastAsia="仿宋"/>
          <w:color w:val="auto"/>
          <w:sz w:val="28"/>
          <w:szCs w:val="28"/>
        </w:rPr>
        <w:t>3、展陈灯光设计：专业博物馆或展馆展陈灯具,光源系统。</w:t>
      </w:r>
    </w:p>
    <w:p w14:paraId="2AEAB73C">
      <w:pPr>
        <w:spacing w:line="360" w:lineRule="auto"/>
        <w:rPr>
          <w:rFonts w:hint="default" w:ascii="仿宋" w:hAnsi="仿宋" w:eastAsia="仿宋"/>
          <w:color w:val="auto"/>
          <w:sz w:val="28"/>
          <w:szCs w:val="28"/>
        </w:rPr>
      </w:pPr>
      <w:r>
        <w:rPr>
          <w:rFonts w:ascii="仿宋" w:hAnsi="仿宋" w:eastAsia="仿宋"/>
          <w:color w:val="auto"/>
          <w:sz w:val="28"/>
          <w:szCs w:val="28"/>
        </w:rPr>
        <w:t>4、专业展柜：专业博物馆或展馆展柜系统。</w:t>
      </w:r>
    </w:p>
    <w:p w14:paraId="04B3EF31">
      <w:pPr>
        <w:spacing w:line="360" w:lineRule="auto"/>
        <w:rPr>
          <w:rFonts w:hint="default" w:ascii="仿宋" w:hAnsi="仿宋" w:eastAsia="仿宋"/>
          <w:color w:val="auto"/>
          <w:sz w:val="28"/>
          <w:szCs w:val="28"/>
        </w:rPr>
      </w:pPr>
      <w:r>
        <w:rPr>
          <w:rFonts w:ascii="仿宋" w:hAnsi="仿宋" w:eastAsia="仿宋"/>
          <w:color w:val="auto"/>
          <w:sz w:val="28"/>
          <w:szCs w:val="28"/>
        </w:rPr>
        <w:t>5、美工布展：平面美术展板、托架、说明牌制作等。</w:t>
      </w:r>
    </w:p>
    <w:p w14:paraId="36081731">
      <w:pPr>
        <w:spacing w:line="360" w:lineRule="auto"/>
        <w:rPr>
          <w:rFonts w:hint="default" w:ascii="仿宋" w:hAnsi="仿宋" w:eastAsia="仿宋"/>
          <w:color w:val="auto"/>
          <w:sz w:val="28"/>
          <w:szCs w:val="28"/>
        </w:rPr>
      </w:pPr>
      <w:r>
        <w:rPr>
          <w:rFonts w:ascii="仿宋" w:hAnsi="仿宋" w:eastAsia="仿宋"/>
          <w:color w:val="auto"/>
          <w:sz w:val="28"/>
          <w:szCs w:val="28"/>
        </w:rPr>
        <w:t>6、展项、艺术品、场景、展品仿制的创作及制作。</w:t>
      </w:r>
    </w:p>
    <w:p w14:paraId="790621B9">
      <w:pPr>
        <w:spacing w:line="360" w:lineRule="auto"/>
        <w:rPr>
          <w:rFonts w:hint="default" w:ascii="仿宋" w:hAnsi="仿宋" w:eastAsia="仿宋"/>
          <w:color w:val="auto"/>
          <w:sz w:val="28"/>
          <w:szCs w:val="28"/>
        </w:rPr>
      </w:pPr>
      <w:r>
        <w:rPr>
          <w:rFonts w:ascii="仿宋" w:hAnsi="仿宋" w:eastAsia="仿宋"/>
          <w:color w:val="auto"/>
          <w:sz w:val="28"/>
          <w:szCs w:val="28"/>
        </w:rPr>
        <w:t>7、多媒体展项工作包含与展陈大纲相匹配的硬件设备采购、安装及集成，以及与之配套的定制化多媒体数字内容制作。该制作需基于展陈大纲进行整体策划与开发，涵盖但不限于展览内容主题影像、互动程序、数据可视化、作家影像拍摄与记录、历史空间与城市街区的实景拍摄与影像合成、展览中的数据查询系统开发等内容，并确保多媒体系统与展陈空间、参观动线及照明环境实现整体协同设计。</w:t>
      </w:r>
    </w:p>
    <w:p w14:paraId="71ED0578">
      <w:pPr>
        <w:spacing w:line="360" w:lineRule="auto"/>
        <w:rPr>
          <w:rFonts w:hint="default" w:ascii="仿宋" w:hAnsi="仿宋" w:eastAsia="仿宋"/>
          <w:color w:val="auto"/>
          <w:sz w:val="28"/>
          <w:szCs w:val="28"/>
        </w:rPr>
      </w:pPr>
      <w:r>
        <w:rPr>
          <w:rFonts w:ascii="仿宋" w:hAnsi="仿宋" w:eastAsia="仿宋"/>
          <w:color w:val="auto"/>
          <w:sz w:val="28"/>
          <w:szCs w:val="28"/>
        </w:rPr>
        <w:t>8、展厅内导览标识系统。</w:t>
      </w:r>
    </w:p>
    <w:p w14:paraId="39FFE41A">
      <w:pPr>
        <w:spacing w:line="360" w:lineRule="auto"/>
        <w:rPr>
          <w:rFonts w:hint="default" w:ascii="仿宋" w:hAnsi="仿宋" w:eastAsia="仿宋"/>
          <w:color w:val="auto"/>
          <w:sz w:val="28"/>
          <w:szCs w:val="28"/>
        </w:rPr>
      </w:pPr>
      <w:r>
        <w:rPr>
          <w:rFonts w:ascii="仿宋" w:hAnsi="仿宋" w:eastAsia="仿宋"/>
          <w:color w:val="auto"/>
          <w:sz w:val="28"/>
          <w:szCs w:val="28"/>
        </w:rPr>
        <w:t>9、特别展览区：含内容设计和呈现方式，需配基本展示设施、吊画轨道等辅助设施、专业灯光、展柜等特别展览区必备的展陈设施。展柜设计应考虑展品存取方便、安全可靠，制作优良、经久耐用。设备和产品的设计、生产、和安装必须符合国家有关规范和标准，以保证展品的安全及观众参观的舒适性。相关设备和产品应具备较高的标准化程度，便于安装和拓展其他功能，并保证配套有完善的售后服务。</w:t>
      </w:r>
    </w:p>
    <w:p w14:paraId="214F4CE0">
      <w:pPr>
        <w:pStyle w:val="20"/>
        <w:ind w:left="420"/>
        <w:rPr>
          <w:rFonts w:hint="default"/>
        </w:rPr>
      </w:pPr>
    </w:p>
    <w:p w14:paraId="1F64A009">
      <w:pPr>
        <w:pStyle w:val="2"/>
        <w:spacing w:before="0" w:after="0" w:line="360" w:lineRule="auto"/>
        <w:rPr>
          <w:rFonts w:hint="default" w:ascii="仿宋" w:hAnsi="仿宋" w:eastAsia="仿宋"/>
          <w:color w:val="auto"/>
          <w:sz w:val="28"/>
          <w:szCs w:val="28"/>
        </w:rPr>
      </w:pPr>
      <w:r>
        <w:rPr>
          <w:rFonts w:ascii="仿宋" w:hAnsi="仿宋" w:eastAsia="仿宋"/>
          <w:color w:val="auto"/>
          <w:sz w:val="28"/>
          <w:szCs w:val="28"/>
        </w:rPr>
        <w:t>第二章 设计原则与总体要求</w:t>
      </w:r>
    </w:p>
    <w:p w14:paraId="6C81D7C4">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2.1 设计原则</w:t>
      </w:r>
    </w:p>
    <w:p w14:paraId="78DA3FAA">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投标人应参考采购人提供的“附件1：上海文学馆展览大纲”、“附件2：展馆建筑平面图”的内容，在总体设计中遵循以下原则：</w:t>
      </w:r>
    </w:p>
    <w:p w14:paraId="07FABEDD">
      <w:pPr>
        <w:pStyle w:val="17"/>
        <w:numPr>
          <w:ilvl w:val="0"/>
          <w:numId w:val="1"/>
        </w:numPr>
        <w:spacing w:before="0" w:beforeAutospacing="0" w:after="0" w:afterAutospacing="0" w:line="360" w:lineRule="auto"/>
        <w:ind w:hanging="11"/>
        <w:rPr>
          <w:rFonts w:hint="default" w:ascii="仿宋" w:hAnsi="仿宋" w:eastAsia="仿宋"/>
          <w:color w:val="auto"/>
          <w:sz w:val="28"/>
          <w:szCs w:val="28"/>
        </w:rPr>
      </w:pPr>
      <w:r>
        <w:rPr>
          <w:rStyle w:val="24"/>
          <w:rFonts w:ascii="仿宋" w:hAnsi="仿宋" w:eastAsia="仿宋"/>
          <w:color w:val="auto"/>
          <w:sz w:val="28"/>
          <w:szCs w:val="28"/>
        </w:rPr>
        <w:t>系统性原则</w:t>
      </w:r>
      <w:r>
        <w:rPr>
          <w:rFonts w:ascii="仿宋" w:hAnsi="仿宋" w:eastAsia="仿宋"/>
          <w:color w:val="auto"/>
          <w:sz w:val="28"/>
          <w:szCs w:val="28"/>
        </w:rPr>
        <w:t>：展陈空间、展陈内容、技术系统、照明环境、导览标识、安防与消防系统等须形成统一整体，确保设计方案协调一致。</w:t>
      </w:r>
      <w:r>
        <w:rPr>
          <w:color w:val="auto"/>
        </w:rPr>
        <w:br w:type="textWrapping"/>
      </w:r>
      <w:r>
        <w:rPr>
          <w:rFonts w:ascii="仿宋" w:hAnsi="仿宋" w:eastAsia="仿宋"/>
          <w:color w:val="auto"/>
          <w:sz w:val="28"/>
          <w:szCs w:val="28"/>
        </w:rPr>
        <w:t>（2）</w:t>
      </w:r>
      <w:r>
        <w:rPr>
          <w:rStyle w:val="24"/>
          <w:rFonts w:ascii="仿宋" w:hAnsi="仿宋" w:eastAsia="仿宋"/>
          <w:color w:val="auto"/>
          <w:sz w:val="28"/>
          <w:szCs w:val="28"/>
        </w:rPr>
        <w:t>创新性原则</w:t>
      </w:r>
      <w:r>
        <w:rPr>
          <w:rFonts w:ascii="仿宋" w:hAnsi="仿宋" w:eastAsia="仿宋"/>
          <w:color w:val="auto"/>
          <w:sz w:val="28"/>
          <w:szCs w:val="28"/>
        </w:rPr>
        <w:t>：采用新技术、新材料、新形式，打造集智慧化、数字化与艺术化于一体的现代化文学展馆。</w:t>
      </w:r>
      <w:r>
        <w:rPr>
          <w:color w:val="auto"/>
        </w:rPr>
        <w:br w:type="textWrapping"/>
      </w:r>
      <w:r>
        <w:rPr>
          <w:rFonts w:ascii="仿宋" w:hAnsi="仿宋" w:eastAsia="仿宋"/>
          <w:color w:val="auto"/>
          <w:sz w:val="28"/>
          <w:szCs w:val="28"/>
        </w:rPr>
        <w:t>（3）</w:t>
      </w:r>
      <w:r>
        <w:rPr>
          <w:rStyle w:val="24"/>
          <w:rFonts w:ascii="仿宋" w:hAnsi="仿宋" w:eastAsia="仿宋"/>
          <w:color w:val="auto"/>
          <w:sz w:val="28"/>
          <w:szCs w:val="28"/>
        </w:rPr>
        <w:t>人本性原则</w:t>
      </w:r>
      <w:r>
        <w:rPr>
          <w:rFonts w:ascii="仿宋" w:hAnsi="仿宋" w:eastAsia="仿宋"/>
          <w:color w:val="auto"/>
          <w:sz w:val="28"/>
          <w:szCs w:val="28"/>
        </w:rPr>
        <w:t>：以观众体验为核心，注重参观流线、动线舒适性与交互性，体现以人为本的设计理念。</w:t>
      </w:r>
      <w:r>
        <w:rPr>
          <w:color w:val="auto"/>
        </w:rPr>
        <w:br w:type="textWrapping"/>
      </w:r>
      <w:r>
        <w:rPr>
          <w:rFonts w:ascii="仿宋" w:hAnsi="仿宋" w:eastAsia="仿宋"/>
          <w:color w:val="auto"/>
          <w:sz w:val="28"/>
          <w:szCs w:val="28"/>
        </w:rPr>
        <w:t>（4）</w:t>
      </w:r>
      <w:r>
        <w:rPr>
          <w:rStyle w:val="24"/>
          <w:rFonts w:ascii="仿宋" w:hAnsi="仿宋" w:eastAsia="仿宋"/>
          <w:color w:val="auto"/>
          <w:sz w:val="28"/>
          <w:szCs w:val="28"/>
        </w:rPr>
        <w:t>安全性原则</w:t>
      </w:r>
      <w:r>
        <w:rPr>
          <w:rFonts w:ascii="仿宋" w:hAnsi="仿宋" w:eastAsia="仿宋"/>
          <w:color w:val="auto"/>
          <w:sz w:val="28"/>
          <w:szCs w:val="28"/>
        </w:rPr>
        <w:t>：严格遵守国家安全、消防、文保及建筑规范，确保观众安全与展品保护。</w:t>
      </w:r>
      <w:r>
        <w:rPr>
          <w:color w:val="auto"/>
        </w:rPr>
        <w:br w:type="textWrapping"/>
      </w:r>
      <w:r>
        <w:rPr>
          <w:rFonts w:ascii="仿宋" w:hAnsi="仿宋" w:eastAsia="仿宋"/>
          <w:color w:val="auto"/>
          <w:sz w:val="28"/>
          <w:szCs w:val="28"/>
        </w:rPr>
        <w:t>（5）</w:t>
      </w:r>
      <w:r>
        <w:rPr>
          <w:rStyle w:val="24"/>
          <w:rFonts w:ascii="仿宋" w:hAnsi="仿宋" w:eastAsia="仿宋"/>
          <w:color w:val="auto"/>
          <w:sz w:val="28"/>
          <w:szCs w:val="28"/>
        </w:rPr>
        <w:t>可持续性原则</w:t>
      </w:r>
      <w:r>
        <w:rPr>
          <w:rFonts w:ascii="仿宋" w:hAnsi="仿宋" w:eastAsia="仿宋"/>
          <w:color w:val="auto"/>
          <w:sz w:val="28"/>
          <w:szCs w:val="28"/>
        </w:rPr>
        <w:t>：强调节能环保、材料可再利用与设备可维护性，实现展馆运营的可持续发展。</w:t>
      </w:r>
    </w:p>
    <w:p w14:paraId="71B370FE">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2.2 设计要求</w:t>
      </w:r>
    </w:p>
    <w:p w14:paraId="2B4FB14E">
      <w:pPr>
        <w:pStyle w:val="17"/>
        <w:numPr>
          <w:ilvl w:val="0"/>
          <w:numId w:val="2"/>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整体设计创意及风格要求大气简洁、时代与文化特色鲜明、并结合现代元素，构思新颖、亮点突出。（具有前瞻性、持续性）</w:t>
      </w:r>
    </w:p>
    <w:p w14:paraId="39722DC9">
      <w:pPr>
        <w:pStyle w:val="17"/>
        <w:numPr>
          <w:ilvl w:val="0"/>
          <w:numId w:val="2"/>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设计中需体现兼顾社会经济效益，采用限额设计。设计过程中，应该充分考虑在本项目社会效益的基础上兼顾设计与展品制作成本，维护费用和运营费用等经济因素。</w:t>
      </w:r>
    </w:p>
    <w:p w14:paraId="39132ADA">
      <w:pPr>
        <w:pStyle w:val="17"/>
        <w:numPr>
          <w:ilvl w:val="0"/>
          <w:numId w:val="2"/>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在保证每个展区主题鲜明的同时，应充分考虑各展区之间的相互关系，形成科学合理的整体范围、系统设计。</w:t>
      </w:r>
    </w:p>
    <w:p w14:paraId="1AE984C2">
      <w:pPr>
        <w:pStyle w:val="17"/>
        <w:numPr>
          <w:ilvl w:val="0"/>
          <w:numId w:val="2"/>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结合展示内容，布局互动项目，增加观众参与性，互动项目要求与展示内容紧密相关，力求创新，注重知识性与趣味性的有机结合。形式设计要做到将展览内容的丰富性与展览方式的多样化、现代化和技术化有机结合起来，形象深刻地揭示展览的主题和内涵。</w:t>
      </w:r>
    </w:p>
    <w:p w14:paraId="6422B162">
      <w:pPr>
        <w:pStyle w:val="17"/>
        <w:numPr>
          <w:ilvl w:val="0"/>
          <w:numId w:val="2"/>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所有展陈素材在保持史料原真度的前提下，须经过符合展陈效果的提升处理。</w:t>
      </w:r>
    </w:p>
    <w:p w14:paraId="0A3E371D">
      <w:pPr>
        <w:pStyle w:val="17"/>
        <w:numPr>
          <w:ilvl w:val="0"/>
          <w:numId w:val="2"/>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要根据展览传播目的和展览内容，科学设计展品摆放（实物展品、辅助展品），合理安排展览信息，使观众轻松接受展览要传递的内容和信息。</w:t>
      </w:r>
    </w:p>
    <w:p w14:paraId="3482E2CF">
      <w:pPr>
        <w:pStyle w:val="17"/>
        <w:numPr>
          <w:ilvl w:val="0"/>
          <w:numId w:val="2"/>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展厅环境设计和气氛营造要庄重、大气，与建筑空间、展览内容完美结合，相互呼应，相得益彰，浑然一体。既要能起到烘托展示内容的作用，又能为观众创造一个舒适、和谐和温馨的参观环境。</w:t>
      </w:r>
    </w:p>
    <w:p w14:paraId="413B0D19">
      <w:pPr>
        <w:pStyle w:val="17"/>
        <w:numPr>
          <w:ilvl w:val="0"/>
          <w:numId w:val="2"/>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展柜、辅助展品及装饰材料的取材要讲究低碳环保；注意善于利用材质的肌理和质感来映衬展览的内容，增强展览的艺术表现力；展柜、辅助展品的制作和工艺要严谨精细，有技术和安全的支撑和保障。</w:t>
      </w:r>
    </w:p>
    <w:p w14:paraId="0F33356B">
      <w:pPr>
        <w:pStyle w:val="17"/>
        <w:numPr>
          <w:ilvl w:val="0"/>
          <w:numId w:val="2"/>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设计图中要对陈展亮点进行设计并说明。</w:t>
      </w:r>
    </w:p>
    <w:p w14:paraId="40D5624D">
      <w:pPr>
        <w:pStyle w:val="17"/>
        <w:numPr>
          <w:ilvl w:val="0"/>
          <w:numId w:val="2"/>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设计创意要求</w:t>
      </w:r>
    </w:p>
    <w:p w14:paraId="00A99E06">
      <w:pPr>
        <w:pStyle w:val="17"/>
        <w:spacing w:before="0" w:beforeAutospacing="0" w:after="0" w:afterAutospacing="0" w:line="360" w:lineRule="auto"/>
        <w:jc w:val="both"/>
        <w:rPr>
          <w:rFonts w:hint="default" w:ascii="仿宋" w:hAnsi="仿宋" w:eastAsia="仿宋"/>
          <w:color w:val="auto"/>
          <w:sz w:val="28"/>
          <w:szCs w:val="28"/>
        </w:rPr>
      </w:pPr>
      <w:r>
        <w:rPr>
          <w:rFonts w:ascii="仿宋" w:hAnsi="仿宋" w:eastAsia="仿宋"/>
          <w:color w:val="auto"/>
          <w:sz w:val="28"/>
          <w:szCs w:val="28"/>
        </w:rPr>
        <w:t>1、展陈设计要完美体现主题内容，调动各种陈列艺术语言，为陈列主题服务，坚持创新，陈列手段新颖、独特，具有强烈的艺术感染力历史震撼力和视觉冲击力。</w:t>
      </w:r>
    </w:p>
    <w:p w14:paraId="748B992A">
      <w:pPr>
        <w:pStyle w:val="17"/>
        <w:spacing w:before="0" w:beforeAutospacing="0" w:after="0" w:afterAutospacing="0" w:line="360" w:lineRule="auto"/>
        <w:jc w:val="both"/>
        <w:rPr>
          <w:rFonts w:hint="default" w:ascii="仿宋" w:hAnsi="仿宋" w:eastAsia="仿宋"/>
          <w:color w:val="auto"/>
          <w:sz w:val="28"/>
          <w:szCs w:val="28"/>
        </w:rPr>
      </w:pPr>
      <w:r>
        <w:rPr>
          <w:rFonts w:ascii="仿宋" w:hAnsi="仿宋" w:eastAsia="仿宋"/>
          <w:color w:val="auto"/>
          <w:sz w:val="28"/>
          <w:szCs w:val="28"/>
        </w:rPr>
        <w:t>2、设计重点突出、展线合理且节奏感强，每个展厅有若干个展示亮点。</w:t>
      </w:r>
    </w:p>
    <w:p w14:paraId="18382244">
      <w:pPr>
        <w:pStyle w:val="17"/>
        <w:spacing w:before="0" w:beforeAutospacing="0" w:after="0" w:afterAutospacing="0" w:line="360" w:lineRule="auto"/>
        <w:jc w:val="both"/>
        <w:rPr>
          <w:rFonts w:hint="default" w:ascii="仿宋" w:hAnsi="仿宋" w:eastAsia="仿宋"/>
          <w:color w:val="auto"/>
          <w:sz w:val="28"/>
          <w:szCs w:val="28"/>
        </w:rPr>
      </w:pPr>
      <w:r>
        <w:rPr>
          <w:rFonts w:ascii="仿宋" w:hAnsi="仿宋" w:eastAsia="仿宋"/>
          <w:color w:val="auto"/>
          <w:sz w:val="28"/>
          <w:szCs w:val="28"/>
        </w:rPr>
        <w:t>3、设计应充分体现“以人为本”的原则，充分考虑不同观众群体的特性，陈设既要追求高雅的审美情趣，又要具有满足各类人群需求的普适性和大众性；</w:t>
      </w:r>
    </w:p>
    <w:p w14:paraId="0CE6AA25">
      <w:pPr>
        <w:pStyle w:val="17"/>
        <w:spacing w:before="0" w:beforeAutospacing="0" w:after="0" w:afterAutospacing="0" w:line="360" w:lineRule="auto"/>
        <w:jc w:val="both"/>
        <w:rPr>
          <w:rFonts w:hint="default" w:ascii="仿宋" w:hAnsi="仿宋" w:eastAsia="仿宋"/>
          <w:color w:val="auto"/>
          <w:sz w:val="28"/>
          <w:szCs w:val="28"/>
        </w:rPr>
      </w:pPr>
      <w:r>
        <w:rPr>
          <w:rFonts w:ascii="仿宋" w:hAnsi="仿宋" w:eastAsia="仿宋"/>
          <w:color w:val="auto"/>
          <w:sz w:val="28"/>
          <w:szCs w:val="28"/>
        </w:rPr>
        <w:t>4、在充分考虑经济合理性、耐用性的前提下，合理运用声、光、电、AI、AR/VR/MR等前沿技术，对陈列的重点、亮点部分加以体现，增加展示的趣味性与互动性。在展示设计中，总体应强调把观众的注意力吸引到展品上，在展示形式设计上注意“度”的把握，装饰应避免过于繁杂，防止喧宾夺主。</w:t>
      </w:r>
    </w:p>
    <w:p w14:paraId="5E118293">
      <w:pPr>
        <w:pStyle w:val="3"/>
        <w:spacing w:before="0" w:after="0" w:line="360" w:lineRule="auto"/>
        <w:rPr>
          <w:rFonts w:hint="default" w:ascii="仿宋" w:hAnsi="仿宋" w:eastAsia="仿宋"/>
          <w:color w:val="auto"/>
          <w:sz w:val="28"/>
          <w:szCs w:val="28"/>
          <w:highlight w:val="none"/>
        </w:rPr>
      </w:pPr>
      <w:r>
        <w:rPr>
          <w:rFonts w:hint="default" w:ascii="仿宋" w:hAnsi="仿宋" w:eastAsia="仿宋"/>
          <w:color w:val="auto"/>
          <w:sz w:val="28"/>
          <w:szCs w:val="28"/>
          <w:highlight w:val="none"/>
        </w:rPr>
        <w:t xml:space="preserve">2.3 </w:t>
      </w:r>
      <w:r>
        <w:rPr>
          <w:rFonts w:ascii="仿宋" w:hAnsi="仿宋" w:eastAsia="仿宋"/>
          <w:color w:val="auto"/>
          <w:sz w:val="28"/>
          <w:szCs w:val="28"/>
          <w:highlight w:val="none"/>
        </w:rPr>
        <w:t>本次投标设计方案需提供成果</w:t>
      </w:r>
    </w:p>
    <w:p w14:paraId="77586C47">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投标人根据理解，提交能最大限度展现自身实力和设计思想的设计说明书与设计图纸，包括但不限于：</w:t>
      </w:r>
    </w:p>
    <w:p w14:paraId="1F918737">
      <w:pPr>
        <w:pStyle w:val="17"/>
        <w:numPr>
          <w:ilvl w:val="0"/>
          <w:numId w:val="3"/>
        </w:numPr>
        <w:spacing w:before="0" w:beforeAutospacing="0" w:after="0" w:afterAutospacing="0" w:line="360" w:lineRule="auto"/>
        <w:rPr>
          <w:rFonts w:hint="default" w:ascii="仿宋" w:hAnsi="仿宋" w:eastAsia="仿宋"/>
          <w:color w:val="auto"/>
          <w:sz w:val="28"/>
          <w:szCs w:val="28"/>
          <w:highlight w:val="none"/>
        </w:rPr>
      </w:pPr>
      <w:r>
        <w:rPr>
          <w:rFonts w:ascii="仿宋" w:hAnsi="仿宋" w:eastAsia="仿宋"/>
          <w:color w:val="auto"/>
          <w:sz w:val="28"/>
          <w:szCs w:val="28"/>
          <w:highlight w:val="none"/>
        </w:rPr>
        <w:t>全馆布局与参观流线等直接表达方案思路的设计分析图</w:t>
      </w:r>
    </w:p>
    <w:p w14:paraId="3613EF3B">
      <w:pPr>
        <w:pStyle w:val="17"/>
        <w:numPr>
          <w:ilvl w:val="0"/>
          <w:numId w:val="3"/>
        </w:numPr>
        <w:spacing w:before="0" w:beforeAutospacing="0" w:after="0" w:afterAutospacing="0" w:line="360" w:lineRule="auto"/>
        <w:rPr>
          <w:rFonts w:hint="default" w:ascii="仿宋" w:hAnsi="仿宋" w:eastAsia="仿宋"/>
          <w:color w:val="auto"/>
          <w:sz w:val="28"/>
          <w:szCs w:val="28"/>
          <w:highlight w:val="none"/>
        </w:rPr>
      </w:pPr>
      <w:r>
        <w:rPr>
          <w:rFonts w:ascii="仿宋" w:hAnsi="仿宋" w:eastAsia="仿宋"/>
          <w:color w:val="auto"/>
          <w:sz w:val="28"/>
          <w:szCs w:val="28"/>
          <w:highlight w:val="none"/>
        </w:rPr>
        <w:t>总平面布置图、总效果图</w:t>
      </w:r>
    </w:p>
    <w:p w14:paraId="58FC1FFF">
      <w:pPr>
        <w:pStyle w:val="17"/>
        <w:numPr>
          <w:ilvl w:val="0"/>
          <w:numId w:val="3"/>
        </w:numPr>
        <w:spacing w:before="0" w:beforeAutospacing="0" w:after="0" w:afterAutospacing="0" w:line="360" w:lineRule="auto"/>
        <w:rPr>
          <w:rFonts w:hint="default" w:ascii="仿宋" w:hAnsi="仿宋" w:eastAsia="仿宋"/>
          <w:color w:val="auto"/>
          <w:sz w:val="28"/>
          <w:szCs w:val="28"/>
          <w:highlight w:val="none"/>
        </w:rPr>
      </w:pPr>
      <w:r>
        <w:rPr>
          <w:rFonts w:ascii="仿宋" w:hAnsi="仿宋" w:eastAsia="仿宋"/>
          <w:color w:val="auto"/>
          <w:sz w:val="28"/>
          <w:szCs w:val="28"/>
          <w:highlight w:val="none"/>
        </w:rPr>
        <w:t>各展区平面布置图、各展区效果图（视点和数量自定）</w:t>
      </w:r>
    </w:p>
    <w:p w14:paraId="32C62546">
      <w:pPr>
        <w:pStyle w:val="17"/>
        <w:numPr>
          <w:ilvl w:val="0"/>
          <w:numId w:val="3"/>
        </w:numPr>
        <w:spacing w:before="0" w:beforeAutospacing="0" w:after="0" w:afterAutospacing="0" w:line="360" w:lineRule="auto"/>
        <w:rPr>
          <w:rFonts w:hint="default" w:ascii="仿宋" w:hAnsi="仿宋" w:eastAsia="仿宋"/>
          <w:color w:val="auto"/>
          <w:sz w:val="28"/>
          <w:szCs w:val="28"/>
          <w:highlight w:val="none"/>
        </w:rPr>
      </w:pPr>
      <w:r>
        <w:rPr>
          <w:rFonts w:ascii="仿宋" w:hAnsi="仿宋" w:eastAsia="仿宋"/>
          <w:color w:val="auto"/>
          <w:sz w:val="28"/>
          <w:szCs w:val="28"/>
          <w:highlight w:val="none"/>
        </w:rPr>
        <w:t>轴测图、立面图</w:t>
      </w:r>
    </w:p>
    <w:p w14:paraId="211D1300">
      <w:pPr>
        <w:pStyle w:val="17"/>
        <w:numPr>
          <w:ilvl w:val="0"/>
          <w:numId w:val="3"/>
        </w:numPr>
        <w:spacing w:before="0" w:beforeAutospacing="0" w:after="0" w:afterAutospacing="0" w:line="360" w:lineRule="auto"/>
        <w:rPr>
          <w:rFonts w:hint="default" w:ascii="仿宋" w:hAnsi="仿宋" w:eastAsia="仿宋"/>
          <w:color w:val="auto"/>
          <w:sz w:val="28"/>
          <w:szCs w:val="28"/>
          <w:highlight w:val="none"/>
        </w:rPr>
      </w:pPr>
      <w:r>
        <w:rPr>
          <w:rFonts w:ascii="仿宋" w:hAnsi="仿宋" w:eastAsia="仿宋"/>
          <w:color w:val="auto"/>
          <w:sz w:val="28"/>
          <w:szCs w:val="28"/>
          <w:highlight w:val="none"/>
        </w:rPr>
        <w:t>展品（实物）摆放方式（技术）示意图</w:t>
      </w:r>
    </w:p>
    <w:p w14:paraId="75198D58">
      <w:pPr>
        <w:pStyle w:val="17"/>
        <w:numPr>
          <w:ilvl w:val="0"/>
          <w:numId w:val="3"/>
        </w:numPr>
        <w:spacing w:before="0" w:beforeAutospacing="0" w:after="0" w:afterAutospacing="0" w:line="360" w:lineRule="auto"/>
        <w:rPr>
          <w:rFonts w:hint="default" w:ascii="仿宋" w:hAnsi="仿宋" w:eastAsia="仿宋"/>
          <w:color w:val="auto"/>
          <w:sz w:val="28"/>
          <w:szCs w:val="28"/>
          <w:highlight w:val="none"/>
        </w:rPr>
      </w:pPr>
      <w:r>
        <w:rPr>
          <w:rFonts w:ascii="仿宋" w:hAnsi="仿宋" w:eastAsia="仿宋"/>
          <w:color w:val="auto"/>
          <w:sz w:val="28"/>
          <w:szCs w:val="28"/>
          <w:highlight w:val="none"/>
        </w:rPr>
        <w:t>照明技术方案（参照和符合博物馆照明标准）</w:t>
      </w:r>
    </w:p>
    <w:p w14:paraId="0C6D0C46">
      <w:pPr>
        <w:pStyle w:val="17"/>
        <w:numPr>
          <w:ilvl w:val="0"/>
          <w:numId w:val="3"/>
        </w:numPr>
        <w:spacing w:before="0" w:beforeAutospacing="0" w:after="0" w:afterAutospacing="0" w:line="360" w:lineRule="auto"/>
        <w:rPr>
          <w:rFonts w:hint="default" w:ascii="仿宋" w:hAnsi="仿宋" w:eastAsia="仿宋"/>
          <w:color w:val="auto"/>
          <w:sz w:val="28"/>
          <w:szCs w:val="28"/>
          <w:highlight w:val="none"/>
        </w:rPr>
      </w:pPr>
      <w:r>
        <w:rPr>
          <w:rFonts w:ascii="仿宋" w:hAnsi="仿宋" w:eastAsia="仿宋"/>
          <w:color w:val="auto"/>
          <w:sz w:val="28"/>
          <w:szCs w:val="28"/>
          <w:highlight w:val="none"/>
        </w:rPr>
        <w:t>专业展柜技术方案（参照和符合博物馆展柜标准）</w:t>
      </w:r>
    </w:p>
    <w:p w14:paraId="6AFA96A4">
      <w:pPr>
        <w:pStyle w:val="3"/>
        <w:adjustRightInd w:val="0"/>
        <w:snapToGrid w:val="0"/>
        <w:spacing w:before="0" w:after="0" w:line="360" w:lineRule="auto"/>
        <w:rPr>
          <w:rFonts w:hint="default" w:ascii="仿宋" w:hAnsi="仿宋" w:eastAsia="仿宋"/>
          <w:color w:val="auto"/>
          <w:sz w:val="28"/>
          <w:szCs w:val="28"/>
        </w:rPr>
      </w:pPr>
      <w:r>
        <w:rPr>
          <w:rFonts w:ascii="仿宋" w:hAnsi="仿宋" w:eastAsia="仿宋"/>
          <w:color w:val="auto"/>
          <w:sz w:val="28"/>
          <w:szCs w:val="28"/>
        </w:rPr>
        <w:t>2.4 总体技术要求</w:t>
      </w:r>
    </w:p>
    <w:p w14:paraId="730A04E5">
      <w:pPr>
        <w:pStyle w:val="17"/>
        <w:adjustRightInd w:val="0"/>
        <w:snapToGrid w:val="0"/>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w:t>
      </w:r>
      <w:r>
        <w:rPr>
          <w:rStyle w:val="24"/>
          <w:rFonts w:ascii="仿宋" w:hAnsi="仿宋" w:eastAsia="仿宋"/>
          <w:color w:val="auto"/>
          <w:sz w:val="28"/>
          <w:szCs w:val="28"/>
        </w:rPr>
        <w:t>照明系统</w:t>
      </w:r>
      <w:r>
        <w:rPr>
          <w:rFonts w:ascii="仿宋" w:hAnsi="仿宋" w:eastAsia="仿宋"/>
          <w:color w:val="auto"/>
          <w:sz w:val="28"/>
          <w:szCs w:val="28"/>
        </w:rPr>
        <w:t>：采用高显色LED灯具，CRI≥95，重点照明与背景照明分路控制，预设场景模式。</w:t>
      </w:r>
      <w:r>
        <w:rPr>
          <w:color w:val="auto"/>
        </w:rPr>
        <w:br w:type="textWrapping"/>
      </w:r>
      <w:r>
        <w:rPr>
          <w:rFonts w:ascii="仿宋" w:hAnsi="仿宋" w:eastAsia="仿宋"/>
          <w:color w:val="auto"/>
          <w:sz w:val="28"/>
          <w:szCs w:val="28"/>
        </w:rPr>
        <w:t>（2）</w:t>
      </w:r>
      <w:r>
        <w:rPr>
          <w:rStyle w:val="24"/>
          <w:rFonts w:ascii="仿宋" w:hAnsi="仿宋" w:eastAsia="仿宋"/>
          <w:color w:val="auto"/>
          <w:sz w:val="28"/>
          <w:szCs w:val="28"/>
        </w:rPr>
        <w:t>多媒体系统</w:t>
      </w:r>
      <w:r>
        <w:rPr>
          <w:rFonts w:ascii="仿宋" w:hAnsi="仿宋" w:eastAsia="仿宋"/>
          <w:color w:val="auto"/>
          <w:sz w:val="28"/>
          <w:szCs w:val="28"/>
        </w:rPr>
        <w:t>：采用模块化设计，满足不同展项内容更新需求，兼容投影、LED拼接屏等形式并按展项需求考虑互动性。</w:t>
      </w:r>
    </w:p>
    <w:p w14:paraId="0CF7C63A">
      <w:pPr>
        <w:pStyle w:val="17"/>
        <w:adjustRightInd w:val="0"/>
        <w:snapToGrid w:val="0"/>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w:t>
      </w:r>
      <w:r>
        <w:rPr>
          <w:rStyle w:val="24"/>
          <w:rFonts w:ascii="仿宋" w:hAnsi="仿宋" w:eastAsia="仿宋"/>
          <w:color w:val="auto"/>
          <w:sz w:val="28"/>
          <w:szCs w:val="28"/>
        </w:rPr>
        <w:t>展柜系统</w:t>
      </w:r>
      <w:r>
        <w:rPr>
          <w:rFonts w:ascii="仿宋" w:hAnsi="仿宋" w:eastAsia="仿宋"/>
          <w:color w:val="auto"/>
          <w:sz w:val="28"/>
          <w:szCs w:val="28"/>
        </w:rPr>
        <w:t>：防紫外、防尘、防潮，符合文物展陈标准，展示纸制品原件的展柜需符合国家文物局要求的恒温恒湿标准。</w:t>
      </w:r>
      <w:r>
        <w:rPr>
          <w:color w:val="auto"/>
        </w:rPr>
        <w:br w:type="textWrapping"/>
      </w:r>
      <w:r>
        <w:rPr>
          <w:rFonts w:ascii="仿宋" w:hAnsi="仿宋" w:eastAsia="仿宋"/>
          <w:color w:val="auto"/>
          <w:sz w:val="28"/>
          <w:szCs w:val="28"/>
        </w:rPr>
        <w:t>（4）</w:t>
      </w:r>
      <w:r>
        <w:rPr>
          <w:rStyle w:val="24"/>
          <w:rFonts w:ascii="仿宋" w:hAnsi="仿宋" w:eastAsia="仿宋"/>
          <w:color w:val="auto"/>
          <w:sz w:val="28"/>
          <w:szCs w:val="28"/>
        </w:rPr>
        <w:t>导览系统</w:t>
      </w:r>
      <w:r>
        <w:rPr>
          <w:rFonts w:ascii="仿宋" w:hAnsi="仿宋" w:eastAsia="仿宋"/>
          <w:color w:val="auto"/>
          <w:sz w:val="28"/>
          <w:szCs w:val="28"/>
        </w:rPr>
        <w:t>：提供二维码、语音讲解及数字导览；支持中英文切换及无障碍辅助功能。</w:t>
      </w:r>
      <w:r>
        <w:rPr>
          <w:rFonts w:hint="default" w:ascii="仿宋" w:hAnsi="仿宋" w:eastAsia="仿宋"/>
          <w:color w:val="auto"/>
          <w:sz w:val="28"/>
          <w:szCs w:val="28"/>
        </w:rPr>
        <w:br w:type="textWrapping"/>
      </w:r>
      <w:r>
        <w:rPr>
          <w:rFonts w:ascii="仿宋" w:hAnsi="仿宋" w:eastAsia="仿宋"/>
          <w:color w:val="auto"/>
          <w:sz w:val="28"/>
          <w:szCs w:val="28"/>
        </w:rPr>
        <w:t>（5）</w:t>
      </w:r>
      <w:r>
        <w:rPr>
          <w:rStyle w:val="24"/>
          <w:rFonts w:ascii="仿宋" w:hAnsi="仿宋" w:eastAsia="仿宋"/>
          <w:color w:val="auto"/>
          <w:sz w:val="28"/>
          <w:szCs w:val="28"/>
        </w:rPr>
        <w:t>信息化系统</w:t>
      </w:r>
      <w:r>
        <w:rPr>
          <w:rFonts w:ascii="仿宋" w:hAnsi="仿宋" w:eastAsia="仿宋"/>
          <w:color w:val="auto"/>
          <w:sz w:val="28"/>
          <w:szCs w:val="28"/>
        </w:rPr>
        <w:t>：实现中控平台统一管理，涵盖照明、多媒体等。</w:t>
      </w:r>
      <w:r>
        <w:rPr>
          <w:color w:val="auto"/>
        </w:rPr>
        <w:br w:type="textWrapping"/>
      </w:r>
      <w:r>
        <w:rPr>
          <w:rFonts w:ascii="仿宋" w:hAnsi="仿宋" w:eastAsia="仿宋"/>
          <w:color w:val="auto"/>
          <w:sz w:val="28"/>
          <w:szCs w:val="28"/>
        </w:rPr>
        <w:t>（6）</w:t>
      </w:r>
      <w:r>
        <w:rPr>
          <w:rStyle w:val="24"/>
          <w:rFonts w:ascii="仿宋" w:hAnsi="仿宋" w:eastAsia="仿宋"/>
          <w:color w:val="auto"/>
          <w:sz w:val="28"/>
          <w:szCs w:val="28"/>
        </w:rPr>
        <w:t>环保要求</w:t>
      </w:r>
      <w:r>
        <w:rPr>
          <w:rFonts w:ascii="仿宋" w:hAnsi="仿宋" w:eastAsia="仿宋"/>
          <w:color w:val="auto"/>
          <w:sz w:val="28"/>
          <w:szCs w:val="28"/>
        </w:rPr>
        <w:t>：材料符合国家E1级环保标准，低VOC、低甲醛；安装施工全过程控制粉尘与噪音污染。</w:t>
      </w:r>
    </w:p>
    <w:p w14:paraId="6A64D332">
      <w:pPr>
        <w:pStyle w:val="17"/>
        <w:adjustRightInd w:val="0"/>
        <w:snapToGrid w:val="0"/>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（7）</w:t>
      </w:r>
      <w:r>
        <w:rPr>
          <w:rFonts w:ascii="仿宋" w:hAnsi="仿宋" w:eastAsia="仿宋"/>
          <w:b/>
          <w:bCs/>
          <w:color w:val="auto"/>
          <w:sz w:val="28"/>
          <w:szCs w:val="28"/>
        </w:rPr>
        <w:t>弱电系统：</w:t>
      </w:r>
      <w:r>
        <w:rPr>
          <w:rFonts w:ascii="仿宋" w:hAnsi="仿宋" w:eastAsia="仿宋"/>
          <w:color w:val="auto"/>
          <w:sz w:val="28"/>
          <w:szCs w:val="28"/>
        </w:rPr>
        <w:t>数码及电子产品应具备前瞻性与先进性，所有设备需经过甲方二次确认方可用于现场 。</w:t>
      </w:r>
    </w:p>
    <w:p w14:paraId="70464FDA">
      <w:pPr>
        <w:pStyle w:val="2"/>
        <w:spacing w:before="0" w:after="0" w:line="360" w:lineRule="auto"/>
        <w:rPr>
          <w:rFonts w:hint="default" w:ascii="仿宋" w:hAnsi="仿宋" w:eastAsia="仿宋"/>
          <w:color w:val="auto"/>
          <w:sz w:val="28"/>
          <w:szCs w:val="28"/>
        </w:rPr>
      </w:pPr>
      <w:r>
        <w:rPr>
          <w:rFonts w:ascii="仿宋" w:hAnsi="仿宋" w:eastAsia="仿宋"/>
          <w:color w:val="auto"/>
          <w:sz w:val="28"/>
          <w:szCs w:val="28"/>
        </w:rPr>
        <w:t>第三章 展区建设内容与设计要求</w:t>
      </w:r>
    </w:p>
    <w:p w14:paraId="0A792905">
      <w:pPr>
        <w:pStyle w:val="2"/>
        <w:spacing w:before="0" w:after="0" w:line="360" w:lineRule="auto"/>
        <w:rPr>
          <w:rFonts w:hint="default" w:ascii="仿宋" w:hAnsi="仿宋" w:eastAsia="仿宋"/>
          <w:color w:val="auto"/>
          <w:sz w:val="28"/>
          <w:szCs w:val="28"/>
        </w:rPr>
      </w:pPr>
      <w:r>
        <w:rPr>
          <w:rFonts w:ascii="仿宋" w:hAnsi="仿宋" w:eastAsia="仿宋"/>
          <w:color w:val="auto"/>
          <w:sz w:val="28"/>
          <w:szCs w:val="28"/>
        </w:rPr>
        <w:t>上海文学馆项目陈列布展（一标）：</w:t>
      </w:r>
    </w:p>
    <w:p w14:paraId="1F65B381">
      <w:pPr>
        <w:spacing w:line="360" w:lineRule="auto"/>
        <w:rPr>
          <w:rFonts w:hint="default" w:ascii="仿宋" w:hAnsi="仿宋" w:eastAsia="仿宋"/>
          <w:color w:val="auto"/>
          <w:sz w:val="28"/>
          <w:szCs w:val="28"/>
        </w:rPr>
      </w:pPr>
      <w:r>
        <w:rPr>
          <w:rFonts w:ascii="仿宋" w:hAnsi="仿宋" w:eastAsia="仿宋"/>
          <w:color w:val="auto"/>
          <w:kern w:val="0"/>
          <w:sz w:val="28"/>
          <w:szCs w:val="28"/>
        </w:rPr>
        <w:t>主要包括虹口区武进路453号/455号/457号/江西北路418号一层和二层项目的概念方案设计、深化设计，陈列布展的实施。范围包括:展陈美工制作、数字多媒体展项制作、专业照明采购、艺术展项制作、专业展柜采购、辅助道具制作，布展配套服务等工作。</w:t>
      </w:r>
    </w:p>
    <w:p w14:paraId="4264E3C5">
      <w:pPr>
        <w:pStyle w:val="2"/>
        <w:spacing w:before="0" w:after="0" w:line="360" w:lineRule="auto"/>
        <w:rPr>
          <w:rFonts w:hint="default" w:ascii="仿宋" w:hAnsi="仿宋" w:eastAsia="仿宋"/>
          <w:color w:val="auto"/>
          <w:kern w:val="36"/>
          <w:sz w:val="28"/>
          <w:szCs w:val="28"/>
        </w:rPr>
      </w:pPr>
      <w:r>
        <w:rPr>
          <w:rStyle w:val="24"/>
          <w:rFonts w:ascii="仿宋" w:hAnsi="仿宋" w:eastAsia="仿宋"/>
          <w:b/>
          <w:bCs/>
          <w:color w:val="auto"/>
          <w:sz w:val="28"/>
          <w:szCs w:val="28"/>
        </w:rPr>
        <w:t>3.1江西北路</w:t>
      </w:r>
      <w:r>
        <w:rPr>
          <w:rStyle w:val="24"/>
          <w:rFonts w:hint="default" w:ascii="仿宋" w:hAnsi="仿宋" w:eastAsia="仿宋"/>
          <w:b/>
          <w:bCs/>
          <w:color w:val="auto"/>
          <w:sz w:val="28"/>
          <w:szCs w:val="28"/>
        </w:rPr>
        <w:t>418</w:t>
      </w:r>
      <w:r>
        <w:rPr>
          <w:rStyle w:val="24"/>
          <w:rFonts w:ascii="仿宋" w:hAnsi="仿宋" w:eastAsia="仿宋"/>
          <w:b/>
          <w:bCs/>
          <w:color w:val="auto"/>
          <w:sz w:val="28"/>
          <w:szCs w:val="28"/>
        </w:rPr>
        <w:t>号一层（序厅和尾厅）。</w:t>
      </w:r>
      <w:r>
        <w:rPr>
          <w:rFonts w:ascii="仿宋" w:hAnsi="仿宋" w:eastAsia="仿宋"/>
          <w:color w:val="auto"/>
          <w:kern w:val="36"/>
          <w:sz w:val="28"/>
          <w:szCs w:val="28"/>
        </w:rPr>
        <w:t xml:space="preserve"> </w:t>
      </w:r>
    </w:p>
    <w:p w14:paraId="5F12DE90">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江西北路418号一层作为上海文学馆的首尾空间，承担观众的</w:t>
      </w:r>
      <w:r>
        <w:rPr>
          <w:rStyle w:val="24"/>
          <w:rFonts w:ascii="仿宋" w:hAnsi="仿宋" w:eastAsia="仿宋"/>
          <w:color w:val="auto"/>
          <w:sz w:val="28"/>
          <w:szCs w:val="28"/>
        </w:rPr>
        <w:t>进出、集散、导览、休憩与服务</w:t>
      </w:r>
      <w:r>
        <w:rPr>
          <w:rFonts w:ascii="仿宋" w:hAnsi="仿宋" w:eastAsia="仿宋"/>
          <w:color w:val="auto"/>
          <w:sz w:val="28"/>
          <w:szCs w:val="28"/>
        </w:rPr>
        <w:t>等功能，是全馆叙事的起点与终点。序厅负责引导观众从城市现实步入文学精神世界，尾厅则承载情绪回收、体验延展与纪念输出，构成完整的文学体验闭环。</w:t>
      </w:r>
    </w:p>
    <w:p w14:paraId="7933F2C6">
      <w:pPr>
        <w:pStyle w:val="3"/>
        <w:spacing w:before="0" w:after="0" w:line="360" w:lineRule="auto"/>
        <w:rPr>
          <w:rFonts w:hint="default" w:ascii="仿宋" w:hAnsi="仿宋" w:eastAsia="仿宋"/>
          <w:b w:val="0"/>
          <w:color w:val="auto"/>
          <w:sz w:val="28"/>
          <w:szCs w:val="28"/>
        </w:rPr>
      </w:pPr>
      <w:r>
        <w:rPr>
          <w:rStyle w:val="24"/>
          <w:rFonts w:ascii="仿宋" w:hAnsi="仿宋" w:eastAsia="仿宋"/>
          <w:b/>
          <w:bCs w:val="0"/>
          <w:color w:val="auto"/>
          <w:sz w:val="28"/>
          <w:szCs w:val="28"/>
        </w:rPr>
        <w:t>3.1.1 展示主题</w:t>
      </w:r>
    </w:p>
    <w:p w14:paraId="23CE94D1">
      <w:pPr>
        <w:pStyle w:val="3"/>
        <w:spacing w:before="0" w:after="0" w:line="360" w:lineRule="auto"/>
        <w:rPr>
          <w:rStyle w:val="24"/>
          <w:rFonts w:hint="default"/>
          <w:b w:val="0"/>
          <w:bCs w:val="0"/>
        </w:rPr>
      </w:pPr>
      <w:r>
        <w:rPr>
          <w:rStyle w:val="24"/>
          <w:rFonts w:ascii="仿宋" w:hAnsi="仿宋" w:eastAsia="仿宋"/>
          <w:b w:val="0"/>
          <w:bCs w:val="0"/>
          <w:color w:val="auto"/>
          <w:sz w:val="28"/>
          <w:szCs w:val="28"/>
        </w:rPr>
        <w:t>（</w:t>
      </w:r>
      <w:r>
        <w:rPr>
          <w:rStyle w:val="24"/>
          <w:rFonts w:hint="default" w:ascii="仿宋" w:hAnsi="仿宋" w:eastAsia="仿宋"/>
          <w:b w:val="0"/>
          <w:bCs w:val="0"/>
          <w:color w:val="auto"/>
          <w:sz w:val="28"/>
          <w:szCs w:val="28"/>
        </w:rPr>
        <w:t>1）序厅主题：上海之最</w:t>
      </w:r>
    </w:p>
    <w:p w14:paraId="56A96AD3">
      <w:pPr>
        <w:spacing w:line="360" w:lineRule="auto"/>
        <w:rPr>
          <w:rFonts w:hint="default" w:ascii="仿宋" w:hAnsi="仿宋" w:eastAsia="仿宋"/>
          <w:color w:val="auto"/>
          <w:sz w:val="28"/>
          <w:szCs w:val="28"/>
        </w:rPr>
      </w:pPr>
      <w:r>
        <w:rPr>
          <w:rFonts w:ascii="仿宋" w:hAnsi="仿宋" w:eastAsia="仿宋"/>
          <w:color w:val="auto"/>
          <w:sz w:val="28"/>
          <w:szCs w:val="28"/>
        </w:rPr>
        <w:t>建立观众对“上海是文学之城”的初步认识。序厅是整个文学叙事的“前言”，具有文化导入、气质呈现与体验预备的作用。</w:t>
      </w:r>
    </w:p>
    <w:p w14:paraId="3F84260C">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序厅的主题强调：</w:t>
      </w:r>
    </w:p>
    <w:p w14:paraId="483E36C3">
      <w:pPr>
        <w:widowControl/>
        <w:spacing w:line="360" w:lineRule="auto"/>
        <w:jc w:val="left"/>
        <w:rPr>
          <w:rFonts w:hint="default" w:ascii="仿宋" w:hAnsi="仿宋" w:eastAsia="仿宋" w:cs="仿宋"/>
          <w:sz w:val="28"/>
          <w:szCs w:val="28"/>
        </w:rPr>
      </w:pPr>
      <w:r>
        <w:rPr>
          <w:rFonts w:ascii="仿宋" w:hAnsi="仿宋" w:eastAsia="仿宋" w:cs="仿宋"/>
          <w:kern w:val="0"/>
          <w:sz w:val="28"/>
          <w:szCs w:val="28"/>
          <w:lang w:bidi="ar"/>
        </w:rPr>
        <w:t xml:space="preserve">1、上海文学馆logo（详见附件）、主形象 </w:t>
      </w:r>
    </w:p>
    <w:p w14:paraId="69CEB554">
      <w:pPr>
        <w:widowControl/>
        <w:spacing w:line="360" w:lineRule="auto"/>
        <w:jc w:val="left"/>
        <w:rPr>
          <w:rFonts w:hint="default" w:ascii="仿宋" w:hAnsi="仿宋" w:eastAsia="仿宋" w:cs="仿宋"/>
          <w:kern w:val="0"/>
          <w:sz w:val="28"/>
          <w:szCs w:val="28"/>
          <w:lang w:bidi="ar"/>
        </w:rPr>
      </w:pPr>
      <w:r>
        <w:rPr>
          <w:rFonts w:ascii="仿宋" w:hAnsi="仿宋" w:eastAsia="仿宋" w:cs="仿宋"/>
          <w:kern w:val="0"/>
          <w:sz w:val="28"/>
          <w:szCs w:val="28"/>
          <w:lang w:bidi="ar"/>
        </w:rPr>
        <w:t>2、入馆标志性装置</w:t>
      </w:r>
    </w:p>
    <w:p w14:paraId="52760A67">
      <w:pPr>
        <w:widowControl/>
        <w:spacing w:line="360" w:lineRule="auto"/>
        <w:jc w:val="left"/>
        <w:rPr>
          <w:rFonts w:hint="default" w:ascii="仿宋" w:hAnsi="仿宋" w:eastAsia="仿宋" w:cs="仿宋"/>
          <w:kern w:val="0"/>
          <w:sz w:val="28"/>
          <w:szCs w:val="28"/>
          <w:lang w:bidi="ar"/>
        </w:rPr>
      </w:pPr>
      <w:r>
        <w:rPr>
          <w:rFonts w:ascii="仿宋" w:hAnsi="仿宋" w:eastAsia="仿宋" w:cs="仿宋"/>
          <w:kern w:val="0"/>
          <w:sz w:val="28"/>
          <w:szCs w:val="28"/>
          <w:lang w:bidi="ar"/>
        </w:rPr>
        <w:t xml:space="preserve">3、数据查询机：[上海文学辞典] </w:t>
      </w:r>
    </w:p>
    <w:p w14:paraId="58352C0C">
      <w:pPr>
        <w:spacing w:line="360" w:lineRule="auto"/>
        <w:rPr>
          <w:rFonts w:hint="default" w:ascii="仿宋" w:hAnsi="仿宋" w:eastAsia="仿宋" w:cs="仿宋"/>
          <w:kern w:val="0"/>
          <w:sz w:val="28"/>
          <w:szCs w:val="28"/>
          <w:lang w:bidi="ar"/>
        </w:rPr>
      </w:pPr>
      <w:r>
        <w:rPr>
          <w:rFonts w:ascii="仿宋" w:hAnsi="仿宋" w:eastAsia="仿宋" w:cs="仿宋"/>
          <w:kern w:val="0"/>
          <w:sz w:val="28"/>
          <w:szCs w:val="28"/>
          <w:lang w:bidi="ar"/>
        </w:rPr>
        <w:t>4、满足安检、服务台、读者服务功能</w:t>
      </w:r>
    </w:p>
    <w:p w14:paraId="0EE4ADD6">
      <w:pPr>
        <w:spacing w:line="360" w:lineRule="auto"/>
        <w:rPr>
          <w:rFonts w:hint="default" w:ascii="仿宋" w:hAnsi="仿宋" w:eastAsia="仿宋" w:cs="仿宋"/>
          <w:kern w:val="0"/>
          <w:sz w:val="28"/>
          <w:szCs w:val="28"/>
          <w:lang w:bidi="ar"/>
        </w:rPr>
      </w:pPr>
      <w:r>
        <w:rPr>
          <w:rFonts w:ascii="仿宋" w:hAnsi="仿宋" w:eastAsia="仿宋" w:cs="仿宋"/>
          <w:kern w:val="0"/>
          <w:sz w:val="28"/>
          <w:szCs w:val="28"/>
          <w:lang w:bidi="ar"/>
        </w:rPr>
        <w:t>5、上海文学馆导览视频：实景拍摄+动画制作</w:t>
      </w:r>
    </w:p>
    <w:p w14:paraId="5A103FDA">
      <w:pPr>
        <w:pStyle w:val="3"/>
        <w:spacing w:before="0" w:after="0" w:line="360" w:lineRule="auto"/>
        <w:rPr>
          <w:rStyle w:val="24"/>
          <w:rFonts w:hint="default" w:ascii="仿宋" w:hAnsi="仿宋" w:eastAsia="仿宋"/>
          <w:b w:val="0"/>
          <w:bCs w:val="0"/>
          <w:color w:val="auto"/>
          <w:sz w:val="28"/>
          <w:szCs w:val="28"/>
        </w:rPr>
      </w:pPr>
      <w:r>
        <w:rPr>
          <w:rStyle w:val="24"/>
          <w:rFonts w:ascii="仿宋" w:hAnsi="仿宋" w:eastAsia="仿宋"/>
          <w:b w:val="0"/>
          <w:bCs w:val="0"/>
          <w:color w:val="auto"/>
          <w:sz w:val="28"/>
          <w:szCs w:val="28"/>
        </w:rPr>
        <w:t>（</w:t>
      </w:r>
      <w:r>
        <w:rPr>
          <w:rStyle w:val="24"/>
          <w:rFonts w:hint="default" w:ascii="仿宋" w:hAnsi="仿宋" w:eastAsia="仿宋"/>
          <w:b w:val="0"/>
          <w:bCs w:val="0"/>
          <w:color w:val="auto"/>
          <w:sz w:val="28"/>
          <w:szCs w:val="28"/>
        </w:rPr>
        <w:t>2）尾厅</w:t>
      </w:r>
    </w:p>
    <w:p w14:paraId="76C87BD7">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尾厅空间承担休闲休憩、读者服务等配套功能。</w:t>
      </w:r>
    </w:p>
    <w:p w14:paraId="540EF1A1">
      <w:pPr>
        <w:pStyle w:val="3"/>
        <w:spacing w:before="0" w:after="0" w:line="360" w:lineRule="auto"/>
        <w:rPr>
          <w:rFonts w:hint="default" w:ascii="仿宋" w:hAnsi="仿宋" w:eastAsia="仿宋"/>
          <w:b w:val="0"/>
          <w:color w:val="auto"/>
          <w:sz w:val="28"/>
          <w:szCs w:val="28"/>
        </w:rPr>
      </w:pPr>
      <w:r>
        <w:rPr>
          <w:rStyle w:val="24"/>
          <w:rFonts w:ascii="仿宋" w:hAnsi="仿宋" w:eastAsia="仿宋"/>
          <w:b/>
          <w:bCs w:val="0"/>
          <w:color w:val="auto"/>
          <w:sz w:val="28"/>
          <w:szCs w:val="28"/>
        </w:rPr>
        <w:t>3.1.2 空间设计要求</w:t>
      </w:r>
    </w:p>
    <w:p w14:paraId="076B6DEB">
      <w:pPr>
        <w:pStyle w:val="3"/>
        <w:spacing w:before="0" w:after="0" w:line="360" w:lineRule="auto"/>
        <w:rPr>
          <w:rStyle w:val="24"/>
          <w:rFonts w:hint="default" w:ascii="仿宋" w:hAnsi="仿宋" w:eastAsia="仿宋"/>
          <w:b w:val="0"/>
          <w:bCs w:val="0"/>
          <w:color w:val="auto"/>
          <w:sz w:val="28"/>
          <w:szCs w:val="28"/>
        </w:rPr>
      </w:pPr>
      <w:r>
        <w:rPr>
          <w:rStyle w:val="24"/>
          <w:rFonts w:ascii="仿宋" w:hAnsi="仿宋" w:eastAsia="仿宋"/>
          <w:b w:val="0"/>
          <w:bCs w:val="0"/>
          <w:color w:val="auto"/>
          <w:sz w:val="28"/>
          <w:szCs w:val="28"/>
        </w:rPr>
        <w:t>（</w:t>
      </w:r>
      <w:r>
        <w:rPr>
          <w:rStyle w:val="24"/>
          <w:rFonts w:hint="default" w:ascii="仿宋" w:hAnsi="仿宋" w:eastAsia="仿宋"/>
          <w:b w:val="0"/>
          <w:bCs w:val="0"/>
          <w:color w:val="auto"/>
          <w:sz w:val="28"/>
          <w:szCs w:val="28"/>
        </w:rPr>
        <w:t>1）序</w:t>
      </w:r>
      <w:r>
        <w:rPr>
          <w:rStyle w:val="24"/>
          <w:rFonts w:ascii="仿宋" w:hAnsi="仿宋" w:eastAsia="仿宋"/>
          <w:b w:val="0"/>
          <w:bCs w:val="0"/>
          <w:color w:val="auto"/>
          <w:sz w:val="28"/>
          <w:szCs w:val="28"/>
        </w:rPr>
        <w:t>厅空间设计要求</w:t>
      </w:r>
    </w:p>
    <w:p w14:paraId="0C457FF3">
      <w:pPr>
        <w:pStyle w:val="17"/>
        <w:spacing w:before="0" w:beforeAutospacing="0" w:after="0" w:afterAutospacing="0" w:line="360" w:lineRule="auto"/>
        <w:rPr>
          <w:rFonts w:hint="default" w:ascii="仿宋" w:hAnsi="仿宋" w:eastAsia="仿宋"/>
          <w:color w:val="auto"/>
          <w:sz w:val="28"/>
        </w:rPr>
      </w:pPr>
      <w:r>
        <w:rPr>
          <w:rFonts w:hint="default" w:ascii="仿宋" w:hAnsi="仿宋" w:eastAsia="仿宋"/>
          <w:color w:val="auto"/>
          <w:sz w:val="28"/>
        </w:rPr>
        <w:t>序厅作为入口，展示核心内容为“上海之最”，是观众进馆后的第一感觉，应出现上海文学馆的logo、主形象，搭配装置艺术和数据查询系统。设计上需在突出空间的迎宾性与引导性</w:t>
      </w:r>
      <w:r>
        <w:rPr>
          <w:rFonts w:hint="default" w:ascii="仿宋" w:hAnsi="仿宋" w:eastAsia="仿宋"/>
          <w:color w:val="auto"/>
          <w:sz w:val="28"/>
          <w:szCs w:val="28"/>
        </w:rPr>
        <w:t>的同时</w:t>
      </w:r>
      <w:r>
        <w:rPr>
          <w:rFonts w:hint="default" w:ascii="仿宋" w:hAnsi="仿宋" w:eastAsia="仿宋"/>
          <w:color w:val="auto"/>
          <w:sz w:val="28"/>
        </w:rPr>
        <w:t>，</w:t>
      </w:r>
      <w:r>
        <w:rPr>
          <w:rFonts w:hint="default" w:ascii="仿宋" w:hAnsi="仿宋" w:eastAsia="仿宋"/>
          <w:color w:val="auto"/>
          <w:sz w:val="28"/>
          <w:szCs w:val="28"/>
        </w:rPr>
        <w:t>营造一个轻盈、流动、可沉浸的文学序厅体验，</w:t>
      </w:r>
      <w:r>
        <w:rPr>
          <w:rFonts w:hint="default" w:ascii="仿宋" w:hAnsi="仿宋" w:eastAsia="仿宋"/>
          <w:color w:val="auto"/>
          <w:sz w:val="28"/>
        </w:rPr>
        <w:t>使观众在进入瞬间感受到文学馆的整体格调。</w:t>
      </w:r>
    </w:p>
    <w:p w14:paraId="4109B0C5">
      <w:pPr>
        <w:pStyle w:val="17"/>
        <w:spacing w:before="0" w:beforeAutospacing="0" w:after="0" w:afterAutospacing="0" w:line="360" w:lineRule="auto"/>
        <w:rPr>
          <w:rFonts w:hint="default" w:ascii="仿宋" w:hAnsi="仿宋" w:eastAsia="仿宋"/>
          <w:color w:val="auto"/>
          <w:sz w:val="28"/>
        </w:rPr>
      </w:pPr>
      <w:r>
        <w:rPr>
          <w:rFonts w:hint="default" w:ascii="仿宋" w:hAnsi="仿宋" w:eastAsia="仿宋"/>
          <w:color w:val="auto"/>
          <w:sz w:val="28"/>
        </w:rPr>
        <w:t>空间设计原则包括：</w:t>
      </w:r>
    </w:p>
    <w:p w14:paraId="406436AF">
      <w:pPr>
        <w:spacing w:line="360" w:lineRule="auto"/>
        <w:rPr>
          <w:rFonts w:hint="default" w:ascii="仿宋" w:hAnsi="仿宋" w:eastAsia="仿宋"/>
          <w:color w:val="auto"/>
          <w:sz w:val="28"/>
          <w:szCs w:val="28"/>
          <w:lang w:bidi="ar"/>
        </w:rPr>
      </w:pPr>
      <w:r>
        <w:rPr>
          <w:rFonts w:hint="default" w:ascii="仿宋" w:hAnsi="仿宋" w:eastAsia="仿宋"/>
          <w:color w:val="auto"/>
          <w:sz w:val="28"/>
          <w:szCs w:val="28"/>
          <w:lang w:bidi="ar"/>
        </w:rPr>
        <w:t>1、建立清晰、友好的观众引导体系。安检、服务台、寄存柜等必要功能设施结合绿植统一设计，减少功能设施的突兀感；</w:t>
      </w:r>
    </w:p>
    <w:p w14:paraId="3F01F59F">
      <w:pPr>
        <w:spacing w:line="360" w:lineRule="auto"/>
        <w:rPr>
          <w:rFonts w:hint="default" w:ascii="仿宋" w:hAnsi="仿宋" w:eastAsia="仿宋"/>
          <w:color w:val="auto"/>
          <w:sz w:val="28"/>
          <w:szCs w:val="28"/>
          <w:lang w:bidi="ar"/>
        </w:rPr>
      </w:pPr>
      <w:r>
        <w:rPr>
          <w:rFonts w:hint="default" w:ascii="仿宋" w:hAnsi="仿宋" w:eastAsia="仿宋"/>
          <w:color w:val="auto"/>
          <w:sz w:val="28"/>
          <w:szCs w:val="28"/>
          <w:lang w:bidi="ar"/>
        </w:rPr>
        <w:t>2、营造具有上海文学气质的整体氛围；</w:t>
      </w:r>
    </w:p>
    <w:p w14:paraId="523662D1">
      <w:pPr>
        <w:spacing w:line="360" w:lineRule="auto"/>
        <w:rPr>
          <w:rFonts w:hint="default" w:ascii="仿宋" w:hAnsi="仿宋" w:eastAsia="仿宋"/>
          <w:color w:val="auto"/>
          <w:sz w:val="28"/>
          <w:szCs w:val="28"/>
          <w:lang w:bidi="ar"/>
        </w:rPr>
      </w:pPr>
      <w:r>
        <w:rPr>
          <w:rFonts w:hint="default" w:ascii="仿宋" w:hAnsi="仿宋" w:eastAsia="仿宋"/>
          <w:color w:val="auto"/>
          <w:sz w:val="28"/>
          <w:szCs w:val="28"/>
          <w:lang w:bidi="ar"/>
        </w:rPr>
        <w:t>3、控制实体结构量感，引入自然光或模拟天光，营造通透、明亮的空间基调，从视觉上拓宽原本展厅的视觉效果；</w:t>
      </w:r>
    </w:p>
    <w:p w14:paraId="50A38991">
      <w:pPr>
        <w:spacing w:line="360" w:lineRule="auto"/>
        <w:rPr>
          <w:rFonts w:hint="default" w:ascii="仿宋" w:hAnsi="仿宋" w:eastAsia="仿宋"/>
          <w:color w:val="auto"/>
          <w:sz w:val="28"/>
          <w:szCs w:val="28"/>
          <w:lang w:bidi="ar"/>
        </w:rPr>
      </w:pPr>
      <w:r>
        <w:rPr>
          <w:rFonts w:hint="default" w:ascii="仿宋" w:hAnsi="仿宋" w:eastAsia="仿宋"/>
          <w:color w:val="auto"/>
          <w:sz w:val="28"/>
          <w:szCs w:val="28"/>
          <w:lang w:bidi="ar"/>
        </w:rPr>
        <w:t>4、反映上海及其文学创作的现代感、流动感，创作“可进入、可共情”的当代艺术装置，使观众从进入瞬间即成为“叙事的一部分”;</w:t>
      </w:r>
    </w:p>
    <w:p w14:paraId="0FA5E352">
      <w:pPr>
        <w:spacing w:line="360" w:lineRule="auto"/>
        <w:rPr>
          <w:rFonts w:hint="default" w:ascii="仿宋" w:hAnsi="仿宋" w:eastAsia="仿宋"/>
          <w:color w:val="auto"/>
          <w:sz w:val="28"/>
          <w:szCs w:val="24"/>
        </w:rPr>
      </w:pPr>
      <w:r>
        <w:rPr>
          <w:rFonts w:hint="default" w:ascii="仿宋" w:hAnsi="仿宋" w:eastAsia="仿宋"/>
          <w:color w:val="auto"/>
          <w:sz w:val="28"/>
          <w:szCs w:val="28"/>
          <w:lang w:bidi="ar"/>
        </w:rPr>
        <w:t>5、需考虑休</w:t>
      </w:r>
      <w:r>
        <w:rPr>
          <w:rFonts w:hint="default" w:ascii="仿宋" w:hAnsi="仿宋" w:eastAsia="仿宋"/>
          <w:color w:val="auto"/>
          <w:sz w:val="28"/>
          <w:szCs w:val="24"/>
        </w:rPr>
        <w:t>息区的设置，形成可容纳集散、等候、导览等多重服务需求的空间弹性。</w:t>
      </w:r>
    </w:p>
    <w:p w14:paraId="2B005170">
      <w:pPr>
        <w:pStyle w:val="17"/>
        <w:spacing w:before="0" w:beforeAutospacing="0" w:after="0" w:afterAutospacing="0" w:line="360" w:lineRule="auto"/>
        <w:rPr>
          <w:rFonts w:hint="default" w:ascii="仿宋" w:hAnsi="仿宋" w:eastAsia="仿宋"/>
          <w:color w:val="auto"/>
          <w:sz w:val="28"/>
        </w:rPr>
      </w:pPr>
      <w:r>
        <w:rPr>
          <w:rFonts w:hint="default" w:ascii="仿宋" w:hAnsi="仿宋" w:eastAsia="仿宋"/>
          <w:color w:val="auto"/>
          <w:sz w:val="28"/>
        </w:rPr>
        <w:t>整体风格应体现出上海文学之最这个展陈核心。</w:t>
      </w:r>
    </w:p>
    <w:p w14:paraId="65C6EAB1">
      <w:pPr>
        <w:pStyle w:val="3"/>
        <w:spacing w:before="0" w:after="0" w:line="360" w:lineRule="auto"/>
        <w:rPr>
          <w:rStyle w:val="24"/>
          <w:rFonts w:hint="default" w:ascii="仿宋" w:hAnsi="仿宋" w:eastAsia="仿宋"/>
          <w:b w:val="0"/>
          <w:bCs w:val="0"/>
          <w:color w:val="auto"/>
          <w:sz w:val="28"/>
          <w:szCs w:val="28"/>
        </w:rPr>
      </w:pPr>
      <w:r>
        <w:rPr>
          <w:rStyle w:val="24"/>
          <w:rFonts w:hint="default" w:ascii="仿宋" w:hAnsi="仿宋" w:eastAsia="仿宋"/>
          <w:b w:val="0"/>
          <w:bCs w:val="0"/>
          <w:color w:val="auto"/>
          <w:sz w:val="28"/>
          <w:szCs w:val="28"/>
        </w:rPr>
        <w:t>（2）尾厅空间设计要求</w:t>
      </w:r>
    </w:p>
    <w:p w14:paraId="44B325D1">
      <w:pPr>
        <w:pStyle w:val="17"/>
        <w:spacing w:before="0" w:beforeAutospacing="0" w:after="0" w:afterAutospacing="0" w:line="360" w:lineRule="auto"/>
        <w:rPr>
          <w:rFonts w:hint="default" w:ascii="仿宋" w:hAnsi="仿宋" w:eastAsia="仿宋"/>
          <w:color w:val="auto"/>
          <w:sz w:val="28"/>
          <w:szCs w:val="28"/>
        </w:rPr>
      </w:pPr>
      <w:r>
        <w:rPr>
          <w:rFonts w:hint="default" w:ascii="仿宋" w:hAnsi="仿宋" w:eastAsia="仿宋"/>
          <w:color w:val="auto"/>
          <w:sz w:val="28"/>
          <w:szCs w:val="28"/>
        </w:rPr>
        <w:t>尾厅作为展览体验的结束区，空间小，需考虑艺术装置和灯光的层次，以及多媒体配合。尾厅还需设置专门的</w:t>
      </w:r>
      <w:r>
        <w:rPr>
          <w:rFonts w:ascii="仿宋" w:hAnsi="仿宋" w:eastAsia="仿宋"/>
          <w:color w:val="auto"/>
          <w:sz w:val="28"/>
          <w:szCs w:val="28"/>
        </w:rPr>
        <w:t>休闲和读者服务</w:t>
      </w:r>
      <w:r>
        <w:rPr>
          <w:rFonts w:hint="default" w:ascii="仿宋" w:hAnsi="仿宋" w:eastAsia="仿宋"/>
          <w:color w:val="auto"/>
          <w:sz w:val="28"/>
          <w:szCs w:val="28"/>
        </w:rPr>
        <w:t>功能区。</w:t>
      </w:r>
    </w:p>
    <w:p w14:paraId="035BF28F">
      <w:pPr>
        <w:pStyle w:val="17"/>
        <w:spacing w:before="0" w:beforeAutospacing="0" w:after="0" w:afterAutospacing="0" w:line="360" w:lineRule="auto"/>
        <w:rPr>
          <w:rFonts w:hint="default" w:ascii="仿宋" w:hAnsi="仿宋" w:eastAsia="仿宋"/>
          <w:color w:val="auto"/>
          <w:sz w:val="28"/>
        </w:rPr>
      </w:pPr>
      <w:r>
        <w:rPr>
          <w:rFonts w:hint="default" w:ascii="仿宋" w:hAnsi="仿宋" w:eastAsia="仿宋"/>
          <w:color w:val="auto"/>
          <w:sz w:val="28"/>
        </w:rPr>
        <w:t>空间设计原则包括：</w:t>
      </w:r>
    </w:p>
    <w:p w14:paraId="4E90ECA7">
      <w:pPr>
        <w:spacing w:line="360" w:lineRule="auto"/>
        <w:rPr>
          <w:rFonts w:hint="default" w:ascii="仿宋" w:hAnsi="仿宋" w:eastAsia="仿宋"/>
          <w:color w:val="auto"/>
          <w:sz w:val="28"/>
          <w:szCs w:val="28"/>
          <w:lang w:bidi="ar"/>
        </w:rPr>
      </w:pPr>
      <w:r>
        <w:rPr>
          <w:rFonts w:hint="default" w:ascii="仿宋" w:hAnsi="仿宋" w:eastAsia="仿宋"/>
          <w:color w:val="auto"/>
          <w:sz w:val="28"/>
          <w:szCs w:val="28"/>
          <w:lang w:bidi="ar"/>
        </w:rPr>
        <w:t>1、强调聚合与内敛感，营造被文学世界温柔包裹的安全感与归宿感。</w:t>
      </w:r>
    </w:p>
    <w:p w14:paraId="4560D353">
      <w:pPr>
        <w:spacing w:line="360" w:lineRule="auto"/>
        <w:rPr>
          <w:rFonts w:hint="default" w:ascii="仿宋" w:hAnsi="仿宋" w:eastAsia="仿宋"/>
          <w:color w:val="auto"/>
          <w:sz w:val="28"/>
          <w:szCs w:val="28"/>
          <w:lang w:bidi="ar"/>
        </w:rPr>
      </w:pPr>
      <w:r>
        <w:rPr>
          <w:rFonts w:hint="default" w:ascii="仿宋" w:hAnsi="仿宋" w:eastAsia="仿宋"/>
          <w:color w:val="auto"/>
          <w:sz w:val="28"/>
          <w:szCs w:val="28"/>
          <w:lang w:bidi="ar"/>
        </w:rPr>
        <w:t>2、设置休憩区，确保空间具有停留、回顾的属性；</w:t>
      </w:r>
    </w:p>
    <w:p w14:paraId="14802A0F">
      <w:pPr>
        <w:spacing w:line="360" w:lineRule="auto"/>
        <w:rPr>
          <w:rFonts w:hint="default" w:ascii="仿宋" w:hAnsi="仿宋" w:eastAsia="仿宋"/>
          <w:color w:val="auto"/>
          <w:sz w:val="28"/>
          <w:szCs w:val="28"/>
          <w:lang w:bidi="ar"/>
        </w:rPr>
      </w:pPr>
      <w:r>
        <w:rPr>
          <w:rFonts w:hint="default" w:ascii="仿宋" w:hAnsi="仿宋" w:eastAsia="仿宋"/>
          <w:color w:val="auto"/>
          <w:sz w:val="28"/>
          <w:szCs w:val="28"/>
          <w:lang w:bidi="ar"/>
        </w:rPr>
        <w:t>3、通往现实世界的“过渡缓冲区”，通过互动体验让观众可回味；</w:t>
      </w:r>
    </w:p>
    <w:p w14:paraId="647627ED">
      <w:pPr>
        <w:spacing w:line="360" w:lineRule="auto"/>
        <w:rPr>
          <w:rFonts w:hint="default" w:ascii="仿宋" w:hAnsi="仿宋" w:eastAsia="仿宋"/>
          <w:color w:val="auto"/>
          <w:sz w:val="28"/>
          <w:szCs w:val="28"/>
          <w:lang w:bidi="ar"/>
        </w:rPr>
      </w:pPr>
      <w:r>
        <w:rPr>
          <w:rFonts w:hint="default" w:ascii="仿宋" w:hAnsi="仿宋" w:eastAsia="仿宋"/>
          <w:color w:val="auto"/>
          <w:sz w:val="28"/>
          <w:szCs w:val="28"/>
          <w:lang w:bidi="ar"/>
        </w:rPr>
        <w:t>4、与序厅风格保持整体性与呼应关系，共同构成完整而富有张力的叙事循环；</w:t>
      </w:r>
    </w:p>
    <w:p w14:paraId="60CDB158">
      <w:pPr>
        <w:spacing w:line="360" w:lineRule="auto"/>
        <w:rPr>
          <w:rFonts w:hint="default" w:ascii="仿宋" w:hAnsi="仿宋" w:eastAsia="仿宋"/>
          <w:color w:val="auto"/>
          <w:sz w:val="28"/>
          <w:szCs w:val="28"/>
        </w:rPr>
      </w:pPr>
      <w:r>
        <w:rPr>
          <w:rFonts w:hint="default" w:ascii="仿宋" w:hAnsi="仿宋" w:eastAsia="仿宋"/>
          <w:color w:val="auto"/>
          <w:sz w:val="28"/>
          <w:szCs w:val="28"/>
          <w:lang w:bidi="ar"/>
        </w:rPr>
        <w:t>5、动线顺畅自然，与出口衔接流畅。</w:t>
      </w:r>
    </w:p>
    <w:p w14:paraId="3BB99165">
      <w:pPr>
        <w:spacing w:line="360" w:lineRule="auto"/>
        <w:rPr>
          <w:rFonts w:hint="default" w:ascii="仿宋" w:hAnsi="仿宋" w:eastAsia="仿宋"/>
          <w:color w:val="auto"/>
          <w:sz w:val="28"/>
          <w:szCs w:val="28"/>
        </w:rPr>
      </w:pPr>
      <w:r>
        <w:rPr>
          <w:rFonts w:ascii="仿宋" w:hAnsi="仿宋" w:eastAsia="仿宋"/>
          <w:color w:val="auto"/>
          <w:sz w:val="28"/>
          <w:szCs w:val="28"/>
        </w:rPr>
        <w:t>6、</w:t>
      </w:r>
      <w:r>
        <w:rPr>
          <w:rFonts w:hint="default" w:ascii="仿宋" w:hAnsi="仿宋" w:eastAsia="仿宋"/>
          <w:color w:val="auto"/>
          <w:sz w:val="28"/>
          <w:szCs w:val="28"/>
        </w:rPr>
        <w:t>整体氛围侧重亲和、温暖与文化延续感。</w:t>
      </w:r>
    </w:p>
    <w:p w14:paraId="064F00AF">
      <w:pPr>
        <w:pStyle w:val="2"/>
        <w:spacing w:before="0" w:after="0" w:line="360" w:lineRule="auto"/>
        <w:rPr>
          <w:rFonts w:hint="default" w:ascii="仿宋" w:hAnsi="仿宋" w:eastAsia="仿宋"/>
          <w:color w:val="auto"/>
          <w:sz w:val="28"/>
          <w:szCs w:val="28"/>
        </w:rPr>
      </w:pPr>
      <w:r>
        <w:rPr>
          <w:rStyle w:val="24"/>
          <w:rFonts w:ascii="仿宋" w:hAnsi="仿宋" w:eastAsia="仿宋"/>
          <w:b/>
          <w:bCs/>
          <w:color w:val="auto"/>
          <w:sz w:val="28"/>
          <w:szCs w:val="28"/>
        </w:rPr>
        <w:t>3.2 江西北路418号二层（海上书房、上海文学星光厅）</w:t>
      </w:r>
    </w:p>
    <w:p w14:paraId="060C6066">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二层由“上海文学星光厅”和“海上书房”和“过渡长廊”构成，承担常设展示、特别展览区展示与文学交流活动的复合功能。空间需在“文学史叙事”与“阅读体验共享”之间形成平衡，使观众既能获得系统性的文学知识，也能在舒适环境中阅读、交流与思考。</w:t>
      </w:r>
    </w:p>
    <w:p w14:paraId="391246F7">
      <w:pPr>
        <w:pStyle w:val="3"/>
        <w:spacing w:before="0" w:after="0" w:line="360" w:lineRule="auto"/>
        <w:rPr>
          <w:rFonts w:hint="default" w:ascii="仿宋" w:hAnsi="仿宋" w:eastAsia="仿宋"/>
          <w:b w:val="0"/>
          <w:color w:val="auto"/>
          <w:sz w:val="28"/>
          <w:szCs w:val="28"/>
        </w:rPr>
      </w:pPr>
      <w:r>
        <w:rPr>
          <w:rStyle w:val="24"/>
          <w:rFonts w:ascii="仿宋" w:hAnsi="仿宋" w:eastAsia="仿宋"/>
          <w:b/>
          <w:bCs w:val="0"/>
          <w:color w:val="auto"/>
          <w:sz w:val="28"/>
          <w:szCs w:val="28"/>
        </w:rPr>
        <w:t>3.2.1 展示主题</w:t>
      </w:r>
    </w:p>
    <w:p w14:paraId="205F66D5">
      <w:pPr>
        <w:widowControl/>
        <w:numPr>
          <w:ilvl w:val="255"/>
          <w:numId w:val="0"/>
        </w:numPr>
        <w:spacing w:line="360" w:lineRule="auto"/>
        <w:ind w:left="0" w:firstLine="0"/>
        <w:jc w:val="left"/>
        <w:rPr>
          <w:rFonts w:hint="default" w:ascii="仿宋" w:hAnsi="仿宋" w:eastAsia="仿宋"/>
          <w:color w:val="auto"/>
          <w:kern w:val="0"/>
          <w:sz w:val="28"/>
          <w:szCs w:val="28"/>
        </w:rPr>
      </w:pPr>
      <w:r>
        <w:rPr>
          <w:rStyle w:val="24"/>
          <w:rFonts w:ascii="仿宋" w:hAnsi="仿宋" w:eastAsia="仿宋"/>
          <w:color w:val="auto"/>
          <w:sz w:val="28"/>
          <w:szCs w:val="28"/>
        </w:rPr>
        <w:t>（</w:t>
      </w:r>
      <w:r>
        <w:rPr>
          <w:rStyle w:val="24"/>
          <w:rFonts w:hint="default" w:ascii="仿宋" w:hAnsi="仿宋" w:eastAsia="仿宋"/>
          <w:color w:val="auto"/>
          <w:sz w:val="28"/>
          <w:szCs w:val="28"/>
        </w:rPr>
        <w:t>1</w:t>
      </w:r>
      <w:r>
        <w:rPr>
          <w:rStyle w:val="24"/>
          <w:rFonts w:ascii="仿宋" w:hAnsi="仿宋" w:eastAsia="仿宋"/>
          <w:color w:val="auto"/>
          <w:sz w:val="28"/>
          <w:szCs w:val="28"/>
        </w:rPr>
        <w:t>）海上书房主题（特别展览区1）：海上文学大家著作版本与手稿展</w:t>
      </w:r>
    </w:p>
    <w:p w14:paraId="59959479">
      <w:pPr>
        <w:widowControl/>
        <w:numPr>
          <w:ilvl w:val="255"/>
          <w:numId w:val="0"/>
        </w:numPr>
        <w:spacing w:line="360" w:lineRule="auto"/>
        <w:ind w:firstLine="560" w:firstLineChars="200"/>
        <w:jc w:val="left"/>
        <w:rPr>
          <w:rFonts w:hint="default" w:ascii="仿宋" w:hAnsi="仿宋" w:eastAsia="仿宋"/>
          <w:color w:val="auto"/>
          <w:kern w:val="0"/>
          <w:sz w:val="28"/>
          <w:szCs w:val="28"/>
        </w:rPr>
      </w:pPr>
      <w:r>
        <w:rPr>
          <w:rFonts w:ascii="仿宋" w:hAnsi="仿宋" w:eastAsia="仿宋"/>
          <w:color w:val="auto"/>
          <w:kern w:val="0"/>
          <w:sz w:val="28"/>
          <w:szCs w:val="28"/>
        </w:rPr>
        <w:t>文学馆 vip 接待室和精品主题展览举办的空间，展示上海文学大家的实物展品，以及文学馆重要藏品的数字化展示。</w:t>
      </w:r>
    </w:p>
    <w:p w14:paraId="09A6B1F3">
      <w:pPr>
        <w:pStyle w:val="3"/>
        <w:spacing w:before="0" w:after="0" w:line="360" w:lineRule="auto"/>
        <w:rPr>
          <w:rStyle w:val="24"/>
          <w:rFonts w:hint="default" w:ascii="仿宋" w:hAnsi="仿宋" w:eastAsia="仿宋"/>
          <w:b w:val="0"/>
          <w:bCs w:val="0"/>
          <w:color w:val="auto"/>
          <w:sz w:val="28"/>
          <w:szCs w:val="28"/>
        </w:rPr>
      </w:pPr>
      <w:r>
        <w:rPr>
          <w:rStyle w:val="24"/>
          <w:rFonts w:ascii="仿宋" w:hAnsi="仿宋" w:eastAsia="仿宋"/>
          <w:b w:val="0"/>
          <w:bCs w:val="0"/>
          <w:color w:val="auto"/>
          <w:sz w:val="28"/>
          <w:szCs w:val="28"/>
        </w:rPr>
        <w:t>（2）</w:t>
      </w:r>
      <w:r>
        <w:rPr>
          <w:rStyle w:val="24"/>
          <w:rFonts w:hint="default" w:ascii="仿宋" w:hAnsi="仿宋" w:eastAsia="仿宋"/>
          <w:b w:val="0"/>
          <w:bCs w:val="0"/>
          <w:color w:val="auto"/>
          <w:sz w:val="28"/>
          <w:szCs w:val="28"/>
        </w:rPr>
        <w:t>上海文学星光厅主题</w:t>
      </w:r>
      <w:r>
        <w:rPr>
          <w:rStyle w:val="24"/>
          <w:rFonts w:ascii="仿宋" w:hAnsi="仿宋" w:eastAsia="仿宋"/>
          <w:b/>
          <w:bCs/>
          <w:color w:val="auto"/>
          <w:sz w:val="28"/>
          <w:szCs w:val="28"/>
        </w:rPr>
        <w:t>（特别展览区</w:t>
      </w:r>
      <w:r>
        <w:rPr>
          <w:rStyle w:val="24"/>
          <w:rFonts w:hint="default" w:ascii="仿宋" w:hAnsi="仿宋" w:eastAsia="仿宋"/>
          <w:b/>
          <w:bCs/>
          <w:color w:val="auto"/>
          <w:sz w:val="28"/>
          <w:szCs w:val="28"/>
        </w:rPr>
        <w:t>2</w:t>
      </w:r>
      <w:r>
        <w:rPr>
          <w:rStyle w:val="24"/>
          <w:rFonts w:ascii="仿宋" w:hAnsi="仿宋" w:eastAsia="仿宋"/>
          <w:b/>
          <w:bCs/>
          <w:color w:val="auto"/>
          <w:sz w:val="28"/>
          <w:szCs w:val="28"/>
        </w:rPr>
        <w:t>）</w:t>
      </w:r>
      <w:r>
        <w:rPr>
          <w:rStyle w:val="24"/>
          <w:rFonts w:hint="default" w:ascii="仿宋" w:hAnsi="仿宋" w:eastAsia="仿宋"/>
          <w:b w:val="0"/>
          <w:bCs w:val="0"/>
          <w:color w:val="auto"/>
          <w:sz w:val="28"/>
          <w:szCs w:val="28"/>
        </w:rPr>
        <w:t>：</w:t>
      </w:r>
      <w:r>
        <w:rPr>
          <w:rStyle w:val="24"/>
          <w:rFonts w:ascii="仿宋" w:hAnsi="仿宋" w:eastAsia="仿宋"/>
          <w:b w:val="0"/>
          <w:bCs w:val="0"/>
          <w:color w:val="auto"/>
          <w:sz w:val="28"/>
          <w:szCs w:val="28"/>
        </w:rPr>
        <w:t>上海文学漫游展</w:t>
      </w:r>
    </w:p>
    <w:p w14:paraId="0B1F350A">
      <w:pPr>
        <w:pStyle w:val="17"/>
        <w:spacing w:before="0" w:beforeAutospacing="0" w:after="0" w:afterAutospacing="0" w:line="360" w:lineRule="auto"/>
        <w:ind w:firstLine="560" w:firstLineChars="200"/>
        <w:rPr>
          <w:rFonts w:hint="default" w:ascii="仿宋" w:hAnsi="仿宋" w:eastAsia="仿宋"/>
          <w:color w:val="auto"/>
          <w:sz w:val="28"/>
          <w:szCs w:val="28"/>
          <w:lang w:bidi="ar"/>
        </w:rPr>
      </w:pPr>
      <w:r>
        <w:rPr>
          <w:rFonts w:ascii="仿宋" w:hAnsi="仿宋" w:eastAsia="仿宋"/>
          <w:color w:val="auto"/>
          <w:sz w:val="28"/>
          <w:szCs w:val="28"/>
          <w:lang w:bidi="ar"/>
        </w:rPr>
        <w:t xml:space="preserve">上海文学大家的专题展陈，代表近现代文学的“上海高度”。利用数字技术复现、还原上海城市样貌、重要作家故居、重要文学家的交游和文学活动等，通过震撼的视觉冲击力达到展现上海文学星光璀璨的目的，造成观者对上海文学高度的初始印象。 </w:t>
      </w:r>
    </w:p>
    <w:p w14:paraId="3C474A57">
      <w:pPr>
        <w:widowControl/>
        <w:tabs>
          <w:tab w:val="left" w:pos="720"/>
        </w:tabs>
        <w:spacing w:line="360" w:lineRule="auto"/>
        <w:ind w:firstLine="560" w:firstLineChars="200"/>
        <w:jc w:val="left"/>
        <w:rPr>
          <w:rStyle w:val="24"/>
          <w:rFonts w:hint="default" w:ascii="仿宋" w:hAnsi="仿宋" w:eastAsia="仿宋"/>
          <w:color w:val="auto"/>
          <w:sz w:val="28"/>
          <w:szCs w:val="28"/>
        </w:rPr>
      </w:pPr>
      <w:r>
        <w:rPr>
          <w:rFonts w:ascii="仿宋" w:hAnsi="仿宋" w:eastAsia="仿宋"/>
          <w:color w:val="auto"/>
          <w:kern w:val="0"/>
          <w:sz w:val="28"/>
          <w:szCs w:val="28"/>
          <w:lang w:bidi="ar"/>
        </w:rPr>
        <w:t xml:space="preserve">是上海文学馆的数字展厅，一方面是常设展的一部分，另一方面发挥数字展厅多功能多层次的特点，可变为作为特别展览区推出展览。 </w:t>
      </w:r>
    </w:p>
    <w:p w14:paraId="3E97E915">
      <w:pPr>
        <w:widowControl/>
        <w:spacing w:line="360" w:lineRule="auto"/>
        <w:jc w:val="left"/>
        <w:rPr>
          <w:rFonts w:hint="default" w:ascii="仿宋" w:hAnsi="仿宋" w:eastAsia="仿宋"/>
          <w:color w:val="auto"/>
          <w:kern w:val="0"/>
          <w:sz w:val="28"/>
          <w:szCs w:val="28"/>
        </w:rPr>
      </w:pPr>
      <w:r>
        <w:rPr>
          <w:rStyle w:val="24"/>
          <w:rFonts w:ascii="仿宋" w:hAnsi="仿宋" w:eastAsia="仿宋"/>
          <w:b w:val="0"/>
          <w:color w:val="auto"/>
          <w:sz w:val="28"/>
          <w:szCs w:val="28"/>
        </w:rPr>
        <w:t>（3）</w:t>
      </w:r>
      <w:r>
        <w:rPr>
          <w:rStyle w:val="24"/>
          <w:rFonts w:ascii="仿宋" w:hAnsi="仿宋" w:eastAsia="仿宋"/>
          <w:color w:val="auto"/>
          <w:sz w:val="28"/>
          <w:szCs w:val="28"/>
        </w:rPr>
        <w:t>过渡长廊：</w:t>
      </w:r>
      <w:r>
        <w:rPr>
          <w:rFonts w:ascii="仿宋" w:hAnsi="仿宋" w:eastAsia="仿宋"/>
          <w:color w:val="auto"/>
          <w:kern w:val="0"/>
          <w:sz w:val="28"/>
          <w:szCs w:val="28"/>
        </w:rPr>
        <w:t>位于“海上书房”和“星光厅”之间，是连接两个区域的过渡区，两面由透明玻璃组成，阳光充足。可设定为休闲体验区，让参观者在此阅读、休闲、打卡等。</w:t>
      </w:r>
    </w:p>
    <w:p w14:paraId="205D7328">
      <w:pPr>
        <w:pStyle w:val="3"/>
        <w:spacing w:before="0" w:after="0" w:line="360" w:lineRule="auto"/>
        <w:rPr>
          <w:rStyle w:val="24"/>
          <w:rFonts w:hint="default"/>
          <w:b/>
          <w:bCs w:val="0"/>
        </w:rPr>
      </w:pPr>
      <w:r>
        <w:rPr>
          <w:rStyle w:val="24"/>
          <w:rFonts w:ascii="仿宋" w:hAnsi="仿宋" w:eastAsia="仿宋"/>
          <w:b/>
          <w:bCs w:val="0"/>
          <w:color w:val="auto"/>
          <w:sz w:val="28"/>
          <w:szCs w:val="28"/>
        </w:rPr>
        <w:t>3.2.2 空间设计要求</w:t>
      </w:r>
    </w:p>
    <w:p w14:paraId="70EC490F">
      <w:pPr>
        <w:pStyle w:val="3"/>
        <w:spacing w:before="0" w:after="0" w:line="360" w:lineRule="auto"/>
        <w:rPr>
          <w:rStyle w:val="24"/>
          <w:rFonts w:hint="default" w:ascii="仿宋" w:hAnsi="仿宋" w:eastAsia="仿宋"/>
          <w:b w:val="0"/>
          <w:bCs w:val="0"/>
          <w:color w:val="auto"/>
          <w:sz w:val="28"/>
          <w:szCs w:val="28"/>
        </w:rPr>
      </w:pPr>
      <w:r>
        <w:rPr>
          <w:rStyle w:val="24"/>
          <w:rFonts w:ascii="仿宋" w:hAnsi="仿宋" w:eastAsia="仿宋"/>
          <w:b/>
          <w:bCs w:val="0"/>
          <w:color w:val="auto"/>
          <w:sz w:val="28"/>
          <w:szCs w:val="28"/>
        </w:rPr>
        <w:t>（</w:t>
      </w:r>
      <w:r>
        <w:rPr>
          <w:rStyle w:val="24"/>
          <w:rFonts w:hint="default" w:ascii="仿宋" w:hAnsi="仿宋" w:eastAsia="仿宋"/>
          <w:b/>
          <w:bCs w:val="0"/>
          <w:color w:val="auto"/>
          <w:sz w:val="28"/>
          <w:szCs w:val="28"/>
        </w:rPr>
        <w:t>1</w:t>
      </w:r>
      <w:r>
        <w:rPr>
          <w:rStyle w:val="24"/>
          <w:rFonts w:ascii="仿宋" w:hAnsi="仿宋" w:eastAsia="仿宋"/>
          <w:b/>
          <w:bCs w:val="0"/>
          <w:color w:val="auto"/>
          <w:sz w:val="28"/>
          <w:szCs w:val="28"/>
        </w:rPr>
        <w:t>）</w:t>
      </w:r>
      <w:r>
        <w:rPr>
          <w:rStyle w:val="24"/>
          <w:rFonts w:hint="default" w:ascii="仿宋" w:hAnsi="仿宋" w:eastAsia="仿宋"/>
          <w:b/>
          <w:bCs w:val="0"/>
          <w:color w:val="auto"/>
          <w:sz w:val="28"/>
          <w:szCs w:val="28"/>
        </w:rPr>
        <w:t>海上书房空间设计要求</w:t>
      </w:r>
    </w:p>
    <w:p w14:paraId="73FD4335">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海上书房</w:t>
      </w:r>
      <w:r>
        <w:rPr>
          <w:rFonts w:ascii="仿宋" w:hAnsi="仿宋" w:eastAsia="仿宋"/>
          <w:color w:val="auto"/>
          <w:sz w:val="28"/>
          <w:szCs w:val="28"/>
          <w:lang w:bidi="ar"/>
        </w:rPr>
        <w:t>打造为多功能复合空间</w:t>
      </w:r>
      <w:r>
        <w:rPr>
          <w:rFonts w:ascii="仿宋" w:hAnsi="仿宋" w:eastAsia="仿宋"/>
          <w:color w:val="auto"/>
          <w:sz w:val="28"/>
          <w:szCs w:val="28"/>
        </w:rPr>
        <w:t>，分为</w:t>
      </w:r>
      <w:r>
        <w:rPr>
          <w:rFonts w:hint="default" w:ascii="仿宋" w:hAnsi="仿宋" w:eastAsia="仿宋"/>
          <w:color w:val="auto"/>
          <w:sz w:val="28"/>
          <w:szCs w:val="28"/>
        </w:rPr>
        <w:t>展示空间，读者阅览空间，文学馆vip 接待室和小型交流活动、仪式举办的空间。</w:t>
      </w:r>
    </w:p>
    <w:p w14:paraId="3243FE41">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设计原则包括：</w:t>
      </w:r>
    </w:p>
    <w:p w14:paraId="2F42EFFB">
      <w:pPr>
        <w:tabs>
          <w:tab w:val="left" w:pos="720"/>
        </w:tabs>
        <w:spacing w:line="360" w:lineRule="auto"/>
        <w:rPr>
          <w:rFonts w:hint="default" w:ascii="仿宋" w:hAnsi="仿宋" w:eastAsia="仿宋"/>
          <w:color w:val="auto"/>
          <w:sz w:val="28"/>
          <w:szCs w:val="28"/>
          <w:lang w:bidi="ar"/>
        </w:rPr>
      </w:pPr>
      <w:r>
        <w:rPr>
          <w:rFonts w:ascii="仿宋" w:hAnsi="仿宋" w:eastAsia="仿宋"/>
          <w:color w:val="auto"/>
          <w:sz w:val="28"/>
          <w:szCs w:val="28"/>
          <w:lang w:bidi="ar"/>
        </w:rPr>
        <w:t>1、营造自然、舒适、安静的阅读氛围；</w:t>
      </w:r>
    </w:p>
    <w:p w14:paraId="7121251D">
      <w:pPr>
        <w:tabs>
          <w:tab w:val="left" w:pos="720"/>
        </w:tabs>
        <w:spacing w:line="360" w:lineRule="auto"/>
        <w:rPr>
          <w:rFonts w:hint="default" w:ascii="仿宋" w:hAnsi="仿宋" w:eastAsia="仿宋"/>
          <w:color w:val="auto"/>
          <w:sz w:val="28"/>
          <w:szCs w:val="28"/>
          <w:lang w:bidi="ar"/>
        </w:rPr>
      </w:pPr>
      <w:r>
        <w:rPr>
          <w:rFonts w:ascii="仿宋" w:hAnsi="仿宋" w:eastAsia="仿宋"/>
          <w:color w:val="auto"/>
          <w:sz w:val="28"/>
          <w:szCs w:val="28"/>
          <w:lang w:bidi="ar"/>
        </w:rPr>
        <w:t>2、需配合灯光和绿植；</w:t>
      </w:r>
    </w:p>
    <w:p w14:paraId="4342BD22">
      <w:pPr>
        <w:tabs>
          <w:tab w:val="left" w:pos="720"/>
        </w:tabs>
        <w:spacing w:line="360" w:lineRule="auto"/>
        <w:rPr>
          <w:rFonts w:hint="default" w:ascii="仿宋" w:hAnsi="仿宋" w:eastAsia="仿宋"/>
          <w:color w:val="auto"/>
          <w:sz w:val="28"/>
          <w:szCs w:val="28"/>
          <w:lang w:bidi="ar"/>
        </w:rPr>
      </w:pPr>
      <w:r>
        <w:rPr>
          <w:rFonts w:ascii="仿宋" w:hAnsi="仿宋" w:eastAsia="仿宋"/>
          <w:color w:val="auto"/>
          <w:sz w:val="28"/>
          <w:szCs w:val="28"/>
          <w:lang w:bidi="ar"/>
        </w:rPr>
        <w:t>3、兼容静态阅读与小型文学交流活动，数字化展示要求能够尽可能还原实物质感；</w:t>
      </w:r>
    </w:p>
    <w:p w14:paraId="1D838841">
      <w:pPr>
        <w:tabs>
          <w:tab w:val="left" w:pos="720"/>
        </w:tabs>
        <w:spacing w:line="360" w:lineRule="auto"/>
        <w:rPr>
          <w:rFonts w:hint="default" w:ascii="仿宋" w:hAnsi="仿宋" w:eastAsia="仿宋"/>
          <w:color w:val="auto"/>
          <w:sz w:val="28"/>
          <w:szCs w:val="28"/>
          <w:lang w:bidi="ar"/>
        </w:rPr>
      </w:pPr>
      <w:r>
        <w:rPr>
          <w:rFonts w:ascii="仿宋" w:hAnsi="仿宋" w:eastAsia="仿宋"/>
          <w:color w:val="auto"/>
          <w:sz w:val="28"/>
          <w:szCs w:val="28"/>
          <w:lang w:bidi="ar"/>
        </w:rPr>
        <w:t>4、保持空间灵活性，可适应多种文学主题或特别展览需求；</w:t>
      </w:r>
    </w:p>
    <w:p w14:paraId="1A54D6EE">
      <w:pPr>
        <w:tabs>
          <w:tab w:val="left" w:pos="720"/>
        </w:tabs>
        <w:spacing w:line="360" w:lineRule="auto"/>
        <w:rPr>
          <w:rFonts w:hint="default" w:ascii="仿宋" w:hAnsi="仿宋" w:eastAsia="仿宋"/>
          <w:color w:val="auto"/>
          <w:sz w:val="28"/>
          <w:szCs w:val="28"/>
          <w:lang w:bidi="ar"/>
        </w:rPr>
      </w:pPr>
      <w:r>
        <w:rPr>
          <w:rFonts w:ascii="仿宋" w:hAnsi="仿宋" w:eastAsia="仿宋"/>
          <w:color w:val="auto"/>
          <w:sz w:val="28"/>
          <w:szCs w:val="28"/>
          <w:lang w:bidi="ar"/>
        </w:rPr>
        <w:t>5、在视觉上体现温度、亲和力与人文气息；</w:t>
      </w:r>
    </w:p>
    <w:p w14:paraId="3491C2A3">
      <w:pPr>
        <w:tabs>
          <w:tab w:val="left" w:pos="720"/>
        </w:tabs>
        <w:spacing w:line="360" w:lineRule="auto"/>
        <w:rPr>
          <w:rFonts w:hint="default" w:ascii="仿宋" w:hAnsi="仿宋" w:eastAsia="仿宋"/>
          <w:color w:val="auto"/>
          <w:sz w:val="28"/>
          <w:szCs w:val="28"/>
          <w:lang w:bidi="ar"/>
        </w:rPr>
      </w:pPr>
      <w:r>
        <w:rPr>
          <w:rFonts w:ascii="仿宋" w:hAnsi="仿宋" w:eastAsia="仿宋"/>
          <w:color w:val="auto"/>
          <w:sz w:val="28"/>
          <w:szCs w:val="28"/>
          <w:lang w:bidi="ar"/>
        </w:rPr>
        <w:t>6、使阅读、展示与交流三者自然融合。</w:t>
      </w:r>
    </w:p>
    <w:p w14:paraId="1C9C04D7">
      <w:pPr>
        <w:tabs>
          <w:tab w:val="left" w:pos="720"/>
        </w:tabs>
        <w:spacing w:line="360" w:lineRule="auto"/>
        <w:rPr>
          <w:rFonts w:hint="default" w:ascii="仿宋" w:hAnsi="仿宋" w:eastAsia="仿宋"/>
          <w:color w:val="auto"/>
          <w:sz w:val="28"/>
          <w:szCs w:val="28"/>
        </w:rPr>
      </w:pPr>
      <w:r>
        <w:rPr>
          <w:rFonts w:ascii="仿宋" w:hAnsi="仿宋" w:eastAsia="仿宋"/>
          <w:color w:val="auto"/>
          <w:sz w:val="28"/>
          <w:szCs w:val="28"/>
          <w:lang w:bidi="ar"/>
        </w:rPr>
        <w:t>7、</w:t>
      </w:r>
      <w:r>
        <w:rPr>
          <w:rFonts w:ascii="仿宋" w:hAnsi="仿宋" w:eastAsia="仿宋"/>
          <w:color w:val="auto"/>
          <w:sz w:val="28"/>
          <w:szCs w:val="28"/>
        </w:rPr>
        <w:t>海上书房需成为全馆最具“文学生活感”的空间之一。</w:t>
      </w:r>
    </w:p>
    <w:p w14:paraId="150854AB">
      <w:pPr>
        <w:pStyle w:val="3"/>
        <w:spacing w:before="0" w:after="0" w:line="360" w:lineRule="auto"/>
        <w:rPr>
          <w:rStyle w:val="24"/>
          <w:rFonts w:hint="default" w:ascii="仿宋" w:hAnsi="仿宋" w:eastAsia="仿宋"/>
          <w:b w:val="0"/>
          <w:bCs w:val="0"/>
          <w:color w:val="auto"/>
          <w:sz w:val="28"/>
          <w:szCs w:val="28"/>
        </w:rPr>
      </w:pPr>
      <w:r>
        <w:rPr>
          <w:rStyle w:val="24"/>
          <w:rFonts w:ascii="仿宋" w:hAnsi="仿宋" w:eastAsia="仿宋"/>
          <w:b/>
          <w:bCs w:val="0"/>
          <w:color w:val="auto"/>
          <w:sz w:val="28"/>
          <w:szCs w:val="28"/>
        </w:rPr>
        <w:t>（2）</w:t>
      </w:r>
      <w:r>
        <w:rPr>
          <w:rStyle w:val="24"/>
          <w:rFonts w:hint="default" w:ascii="仿宋" w:hAnsi="仿宋" w:eastAsia="仿宋"/>
          <w:b w:val="0"/>
          <w:bCs w:val="0"/>
          <w:color w:val="auto"/>
          <w:sz w:val="28"/>
          <w:szCs w:val="28"/>
        </w:rPr>
        <w:t>上海文学星光厅空间设计要求</w:t>
      </w:r>
    </w:p>
    <w:p w14:paraId="497D0922">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星光厅应</w:t>
      </w:r>
      <w:r>
        <w:rPr>
          <w:rFonts w:hint="default" w:ascii="仿宋" w:hAnsi="仿宋" w:eastAsia="仿宋"/>
          <w:color w:val="auto"/>
          <w:sz w:val="28"/>
          <w:szCs w:val="28"/>
        </w:rPr>
        <w:t>以数字虚拟技术，打造以上海文学人物为核心的城市文学故事漫游（现实/历史双频），实现在虚拟空间中与文学大家在各种转角处相遇。这是文学馆里的city walk，也是“游历”和体验式的文学教育课堂。在这张大的上海作家居住地、生活地地图上，可以分屏分组添加内容，最后实现全域内作家覆盖。分层次制作方面，首先是所选定的文学大家，实现居住地、生活经历、重要作品等数字化呈现；其次是普通级别作家基本信息纳入，再今后馆藏条件和研究深入不断增加和补入</w:t>
      </w:r>
      <w:r>
        <w:rPr>
          <w:rFonts w:ascii="仿宋" w:hAnsi="仿宋" w:eastAsia="仿宋"/>
          <w:color w:val="auto"/>
          <w:sz w:val="28"/>
          <w:szCs w:val="28"/>
        </w:rPr>
        <w:t>。</w:t>
      </w:r>
      <w:r>
        <w:rPr>
          <w:rFonts w:hint="default" w:ascii="仿宋" w:hAnsi="仿宋" w:eastAsia="仿宋"/>
          <w:color w:val="auto"/>
          <w:sz w:val="28"/>
          <w:szCs w:val="28"/>
        </w:rPr>
        <w:t>上海城市地理的展示，不仅仅限于作家故居这个层面，还包括上海重要的文学出版机构、文学活动场所等等，以实现立体的上海人文地理。</w:t>
      </w:r>
    </w:p>
    <w:p w14:paraId="1A27BBEF">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设计原则包括：</w:t>
      </w:r>
    </w:p>
    <w:p w14:paraId="616F1899">
      <w:pPr>
        <w:spacing w:line="360" w:lineRule="auto"/>
        <w:rPr>
          <w:rFonts w:hint="default" w:ascii="仿宋" w:hAnsi="仿宋" w:eastAsia="仿宋"/>
          <w:color w:val="auto"/>
          <w:sz w:val="28"/>
          <w:szCs w:val="28"/>
          <w:lang w:bidi="ar"/>
        </w:rPr>
      </w:pPr>
      <w:r>
        <w:rPr>
          <w:rFonts w:ascii="仿宋" w:hAnsi="仿宋" w:eastAsia="仿宋"/>
          <w:color w:val="auto"/>
          <w:sz w:val="28"/>
          <w:szCs w:val="28"/>
          <w:lang w:bidi="ar"/>
        </w:rPr>
        <w:t>1、利用数字技术，复现、 还原上海城市样貌、作家故居，以此展示文学大家的创作成就、上海文学的实力；</w:t>
      </w:r>
    </w:p>
    <w:p w14:paraId="38AFEECD">
      <w:pPr>
        <w:spacing w:line="360" w:lineRule="auto"/>
        <w:rPr>
          <w:rFonts w:hint="default" w:ascii="仿宋" w:hAnsi="仿宋" w:eastAsia="仿宋"/>
          <w:color w:val="auto"/>
          <w:sz w:val="28"/>
          <w:szCs w:val="28"/>
          <w:lang w:bidi="ar"/>
        </w:rPr>
      </w:pPr>
      <w:r>
        <w:rPr>
          <w:rFonts w:ascii="仿宋" w:hAnsi="仿宋" w:eastAsia="仿宋"/>
          <w:color w:val="auto"/>
          <w:sz w:val="28"/>
          <w:szCs w:val="28"/>
          <w:lang w:bidi="ar"/>
        </w:rPr>
        <w:t>2、在不同时期根据不同主题，打造上海文学馆数字展厅，一方面作为海上大家常设展的基本设备，另外一方面可以发挥数字展厅多功能多层次的特点作特别展览区推出展览；</w:t>
      </w:r>
    </w:p>
    <w:p w14:paraId="05FC84C3">
      <w:pPr>
        <w:tabs>
          <w:tab w:val="left" w:pos="720"/>
        </w:tabs>
        <w:spacing w:line="360" w:lineRule="auto"/>
        <w:rPr>
          <w:rFonts w:hint="default" w:ascii="仿宋" w:hAnsi="仿宋" w:eastAsia="仿宋"/>
          <w:color w:val="auto"/>
          <w:sz w:val="28"/>
          <w:szCs w:val="28"/>
          <w:lang w:bidi="ar"/>
        </w:rPr>
      </w:pPr>
      <w:r>
        <w:rPr>
          <w:rFonts w:ascii="仿宋" w:hAnsi="仿宋" w:eastAsia="仿宋"/>
          <w:color w:val="auto"/>
          <w:sz w:val="28"/>
          <w:szCs w:val="28"/>
          <w:lang w:bidi="ar"/>
        </w:rPr>
        <w:t>3、展示内容具有可增、可补的预留；</w:t>
      </w:r>
    </w:p>
    <w:p w14:paraId="75730D15">
      <w:pPr>
        <w:tabs>
          <w:tab w:val="left" w:pos="720"/>
        </w:tabs>
        <w:spacing w:line="360" w:lineRule="auto"/>
        <w:rPr>
          <w:rFonts w:hint="default" w:ascii="仿宋" w:hAnsi="仿宋" w:eastAsia="仿宋"/>
          <w:color w:val="auto"/>
          <w:sz w:val="28"/>
          <w:szCs w:val="28"/>
          <w:lang w:bidi="ar"/>
        </w:rPr>
      </w:pPr>
      <w:r>
        <w:rPr>
          <w:rFonts w:ascii="仿宋" w:hAnsi="仿宋" w:eastAsia="仿宋"/>
          <w:color w:val="auto"/>
          <w:sz w:val="28"/>
          <w:szCs w:val="28"/>
          <w:lang w:bidi="ar"/>
        </w:rPr>
        <w:t>4、空间整体感强，具视觉冲击力；</w:t>
      </w:r>
    </w:p>
    <w:p w14:paraId="6E8E27CA">
      <w:pPr>
        <w:tabs>
          <w:tab w:val="left" w:pos="720"/>
        </w:tabs>
        <w:spacing w:line="360" w:lineRule="auto"/>
        <w:rPr>
          <w:rFonts w:hint="default" w:ascii="仿宋" w:hAnsi="仿宋" w:eastAsia="仿宋"/>
          <w:color w:val="auto"/>
          <w:sz w:val="28"/>
          <w:szCs w:val="28"/>
          <w:lang w:bidi="ar"/>
        </w:rPr>
      </w:pPr>
      <w:r>
        <w:rPr>
          <w:rFonts w:ascii="仿宋" w:hAnsi="仿宋" w:eastAsia="仿宋"/>
          <w:color w:val="auto"/>
          <w:sz w:val="28"/>
          <w:szCs w:val="28"/>
          <w:lang w:bidi="ar"/>
        </w:rPr>
        <w:t>5、营造适合思考与停留的环境；</w:t>
      </w:r>
    </w:p>
    <w:p w14:paraId="7C8AAD3C">
      <w:pPr>
        <w:tabs>
          <w:tab w:val="left" w:pos="720"/>
        </w:tabs>
        <w:spacing w:line="360" w:lineRule="auto"/>
        <w:rPr>
          <w:rFonts w:hint="default" w:ascii="仿宋" w:hAnsi="仿宋" w:eastAsia="仿宋"/>
          <w:color w:val="auto"/>
          <w:sz w:val="28"/>
          <w:szCs w:val="28"/>
          <w:lang w:bidi="ar"/>
        </w:rPr>
      </w:pPr>
      <w:r>
        <w:rPr>
          <w:rFonts w:ascii="仿宋" w:hAnsi="仿宋" w:eastAsia="仿宋"/>
          <w:color w:val="auto"/>
          <w:sz w:val="28"/>
          <w:szCs w:val="28"/>
          <w:lang w:bidi="ar"/>
        </w:rPr>
        <w:t>6、使观众可停留、可休息、可互动；</w:t>
      </w:r>
    </w:p>
    <w:p w14:paraId="7E1DE2FA">
      <w:pPr>
        <w:tabs>
          <w:tab w:val="left" w:pos="720"/>
        </w:tabs>
        <w:spacing w:line="360" w:lineRule="auto"/>
        <w:rPr>
          <w:rFonts w:hint="default" w:ascii="仿宋" w:hAnsi="仿宋" w:eastAsia="仿宋"/>
          <w:color w:val="auto"/>
          <w:sz w:val="28"/>
          <w:szCs w:val="28"/>
          <w:lang w:bidi="ar"/>
        </w:rPr>
      </w:pPr>
      <w:r>
        <w:rPr>
          <w:rFonts w:ascii="仿宋" w:hAnsi="仿宋" w:eastAsia="仿宋"/>
          <w:color w:val="auto"/>
          <w:sz w:val="28"/>
          <w:szCs w:val="28"/>
          <w:lang w:bidi="ar"/>
        </w:rPr>
        <w:t>7、空间可变化、可重组。</w:t>
      </w:r>
    </w:p>
    <w:p w14:paraId="73F390DE">
      <w:pPr>
        <w:pStyle w:val="17"/>
        <w:spacing w:line="360" w:lineRule="auto"/>
        <w:rPr>
          <w:rFonts w:hint="default" w:ascii="仿宋" w:hAnsi="仿宋" w:eastAsia="仿宋"/>
          <w:color w:val="auto"/>
          <w:sz w:val="28"/>
          <w:szCs w:val="28"/>
        </w:rPr>
      </w:pPr>
      <w:r>
        <w:rPr>
          <w:rFonts w:ascii="仿宋" w:hAnsi="仿宋" w:eastAsia="仿宋"/>
          <w:color w:val="auto"/>
          <w:sz w:val="28"/>
          <w:szCs w:val="28"/>
        </w:rPr>
        <w:t>星光厅作为</w:t>
      </w:r>
      <w:r>
        <w:rPr>
          <w:rFonts w:hint="default" w:ascii="仿宋" w:hAnsi="仿宋" w:eastAsia="仿宋"/>
          <w:color w:val="auto"/>
          <w:sz w:val="28"/>
          <w:szCs w:val="28"/>
        </w:rPr>
        <w:t>上海文学大家的</w:t>
      </w:r>
      <w:r>
        <w:rPr>
          <w:rFonts w:ascii="仿宋" w:hAnsi="仿宋" w:eastAsia="仿宋"/>
          <w:color w:val="auto"/>
          <w:sz w:val="28"/>
          <w:szCs w:val="28"/>
        </w:rPr>
        <w:t>专题</w:t>
      </w:r>
      <w:r>
        <w:rPr>
          <w:rFonts w:hint="default" w:ascii="仿宋" w:hAnsi="仿宋" w:eastAsia="仿宋"/>
          <w:color w:val="auto"/>
          <w:sz w:val="28"/>
          <w:szCs w:val="28"/>
        </w:rPr>
        <w:t>展陈</w:t>
      </w:r>
      <w:r>
        <w:rPr>
          <w:rFonts w:ascii="仿宋" w:hAnsi="仿宋" w:eastAsia="仿宋"/>
          <w:color w:val="auto"/>
          <w:sz w:val="28"/>
          <w:szCs w:val="28"/>
        </w:rPr>
        <w:t>区域，需要具备先进的、多维度的、震撼的数字化展陈体验。</w:t>
      </w:r>
    </w:p>
    <w:p w14:paraId="49145C61">
      <w:pPr>
        <w:widowControl/>
        <w:spacing w:line="360" w:lineRule="auto"/>
        <w:jc w:val="left"/>
        <w:rPr>
          <w:rStyle w:val="24"/>
          <w:rFonts w:hint="default" w:ascii="仿宋" w:hAnsi="仿宋" w:eastAsia="仿宋"/>
          <w:bCs w:val="0"/>
          <w:color w:val="auto"/>
          <w:kern w:val="0"/>
          <w:sz w:val="28"/>
          <w:szCs w:val="28"/>
          <w:lang w:bidi="ar"/>
        </w:rPr>
      </w:pPr>
      <w:r>
        <w:rPr>
          <w:rStyle w:val="24"/>
          <w:rFonts w:ascii="仿宋" w:hAnsi="仿宋" w:eastAsia="仿宋"/>
          <w:bCs w:val="0"/>
          <w:color w:val="auto"/>
          <w:kern w:val="0"/>
          <w:sz w:val="28"/>
          <w:szCs w:val="28"/>
          <w:lang w:bidi="ar"/>
        </w:rPr>
        <w:t>（3）“过渡长廊”空间设计要求</w:t>
      </w:r>
    </w:p>
    <w:p w14:paraId="4C37D02C">
      <w:pPr>
        <w:pStyle w:val="17"/>
        <w:spacing w:before="0" w:beforeAutospacing="0" w:after="0" w:afterAutospacing="0" w:line="360" w:lineRule="auto"/>
        <w:ind w:firstLine="560" w:firstLineChars="200"/>
        <w:rPr>
          <w:rFonts w:hint="default" w:ascii="仿宋" w:hAnsi="仿宋" w:eastAsia="仿宋"/>
          <w:color w:val="auto"/>
          <w:sz w:val="28"/>
          <w:szCs w:val="28"/>
          <w:lang w:bidi="ar"/>
        </w:rPr>
      </w:pPr>
      <w:r>
        <w:rPr>
          <w:rStyle w:val="24"/>
          <w:rFonts w:ascii="仿宋" w:hAnsi="仿宋" w:eastAsia="仿宋"/>
          <w:b w:val="0"/>
          <w:bCs w:val="0"/>
          <w:color w:val="auto"/>
          <w:sz w:val="28"/>
          <w:szCs w:val="28"/>
          <w:lang w:bidi="ar"/>
        </w:rPr>
        <w:t>考虑两个厅风格的衔接和过渡，考虑由传统展陈区域向数字虚拟空间的转换等因素。</w:t>
      </w:r>
    </w:p>
    <w:p w14:paraId="4EE9C3CA">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设计原则包括：</w:t>
      </w:r>
    </w:p>
    <w:p w14:paraId="56C000DE">
      <w:pPr>
        <w:spacing w:line="360" w:lineRule="auto"/>
        <w:rPr>
          <w:rFonts w:hint="default" w:ascii="仿宋" w:hAnsi="仿宋" w:eastAsia="仿宋"/>
          <w:color w:val="auto"/>
          <w:sz w:val="28"/>
          <w:szCs w:val="28"/>
          <w:lang w:bidi="ar"/>
        </w:rPr>
      </w:pPr>
      <w:r>
        <w:rPr>
          <w:rFonts w:ascii="仿宋" w:hAnsi="仿宋" w:eastAsia="仿宋"/>
          <w:color w:val="auto"/>
          <w:sz w:val="28"/>
          <w:szCs w:val="28"/>
          <w:lang w:bidi="ar"/>
        </w:rPr>
        <w:t>1、本区域位于“海上书房”和“星光厅”之间，是连接两个区域的过渡区，两面由透明玻璃组成，阳光充足，将光影变化融于设计中。</w:t>
      </w:r>
    </w:p>
    <w:p w14:paraId="42A527B6">
      <w:pPr>
        <w:spacing w:line="360" w:lineRule="auto"/>
        <w:rPr>
          <w:rFonts w:hint="default" w:ascii="仿宋" w:hAnsi="仿宋" w:eastAsia="仿宋"/>
          <w:color w:val="auto"/>
          <w:sz w:val="28"/>
          <w:szCs w:val="28"/>
          <w:lang w:bidi="ar"/>
        </w:rPr>
      </w:pPr>
      <w:r>
        <w:rPr>
          <w:rFonts w:ascii="仿宋" w:hAnsi="仿宋" w:eastAsia="仿宋"/>
          <w:color w:val="auto"/>
          <w:sz w:val="28"/>
          <w:szCs w:val="28"/>
          <w:lang w:bidi="ar"/>
        </w:rPr>
        <w:t>2、可设定为休闲体验区，让参观者在此阅读、休闲、打卡等。</w:t>
      </w:r>
    </w:p>
    <w:p w14:paraId="16E9CA36">
      <w:pPr>
        <w:spacing w:line="360" w:lineRule="auto"/>
        <w:rPr>
          <w:rFonts w:hint="default" w:ascii="仿宋" w:hAnsi="仿宋" w:eastAsia="仿宋"/>
          <w:color w:val="auto"/>
          <w:sz w:val="28"/>
          <w:szCs w:val="28"/>
          <w:lang w:bidi="ar"/>
        </w:rPr>
      </w:pPr>
      <w:r>
        <w:rPr>
          <w:rFonts w:ascii="仿宋" w:hAnsi="仿宋" w:eastAsia="仿宋"/>
          <w:color w:val="auto"/>
          <w:sz w:val="28"/>
          <w:szCs w:val="28"/>
          <w:lang w:bidi="ar"/>
        </w:rPr>
        <w:t>3、保证舒适的通行功能。</w:t>
      </w:r>
    </w:p>
    <w:p w14:paraId="71E62538">
      <w:pPr>
        <w:pStyle w:val="3"/>
        <w:spacing w:before="0" w:after="0" w:line="360" w:lineRule="auto"/>
        <w:rPr>
          <w:rStyle w:val="24"/>
          <w:rFonts w:hint="default" w:ascii="仿宋" w:hAnsi="仿宋" w:eastAsia="仿宋"/>
          <w:b/>
          <w:bCs/>
          <w:color w:val="auto"/>
          <w:sz w:val="28"/>
          <w:szCs w:val="28"/>
        </w:rPr>
      </w:pPr>
      <w:r>
        <w:rPr>
          <w:rStyle w:val="24"/>
          <w:rFonts w:ascii="仿宋" w:hAnsi="仿宋" w:eastAsia="仿宋"/>
          <w:b/>
          <w:bCs/>
          <w:color w:val="auto"/>
          <w:sz w:val="28"/>
          <w:szCs w:val="28"/>
        </w:rPr>
        <w:t xml:space="preserve">3.3 </w:t>
      </w:r>
      <w:r>
        <w:rPr>
          <w:rFonts w:ascii="仿宋" w:hAnsi="仿宋" w:eastAsia="仿宋"/>
          <w:color w:val="auto"/>
          <w:kern w:val="0"/>
          <w:sz w:val="28"/>
          <w:szCs w:val="28"/>
        </w:rPr>
        <w:t>武进路453号/455号/457号巴金图书馆、服务导引区</w:t>
      </w:r>
    </w:p>
    <w:p w14:paraId="32AFC7F6">
      <w:pPr>
        <w:pStyle w:val="3"/>
        <w:spacing w:before="0" w:after="0" w:line="360" w:lineRule="auto"/>
        <w:rPr>
          <w:rFonts w:hint="default" w:ascii="仿宋" w:hAnsi="仿宋" w:eastAsia="仿宋"/>
          <w:b w:val="0"/>
          <w:bCs w:val="0"/>
          <w:color w:val="auto"/>
          <w:sz w:val="28"/>
          <w:szCs w:val="28"/>
        </w:rPr>
      </w:pPr>
      <w:r>
        <w:rPr>
          <w:rStyle w:val="24"/>
          <w:rFonts w:ascii="仿宋" w:hAnsi="仿宋" w:eastAsia="仿宋"/>
          <w:b/>
          <w:bCs w:val="0"/>
          <w:color w:val="auto"/>
          <w:sz w:val="28"/>
          <w:szCs w:val="28"/>
        </w:rPr>
        <w:t xml:space="preserve">3.3.1 </w:t>
      </w:r>
      <w:r>
        <w:rPr>
          <w:rStyle w:val="24"/>
          <w:rFonts w:ascii="仿宋" w:hAnsi="仿宋" w:eastAsia="仿宋"/>
          <w:b/>
          <w:bCs/>
          <w:color w:val="auto"/>
          <w:sz w:val="28"/>
          <w:szCs w:val="28"/>
        </w:rPr>
        <w:t>展示主题</w:t>
      </w:r>
    </w:p>
    <w:p w14:paraId="744CC150">
      <w:pPr>
        <w:pStyle w:val="3"/>
        <w:spacing w:before="0" w:after="0" w:line="360" w:lineRule="auto"/>
        <w:rPr>
          <w:rStyle w:val="24"/>
          <w:rFonts w:hint="default" w:ascii="仿宋" w:hAnsi="仿宋" w:eastAsia="仿宋"/>
          <w:b/>
          <w:bCs w:val="0"/>
          <w:color w:val="auto"/>
          <w:sz w:val="28"/>
          <w:szCs w:val="28"/>
        </w:rPr>
      </w:pPr>
      <w:r>
        <w:rPr>
          <w:rStyle w:val="24"/>
          <w:rFonts w:ascii="仿宋" w:hAnsi="仿宋" w:eastAsia="仿宋"/>
          <w:b w:val="0"/>
          <w:bCs w:val="0"/>
          <w:color w:val="auto"/>
          <w:sz w:val="28"/>
          <w:szCs w:val="28"/>
        </w:rPr>
        <w:t>（</w:t>
      </w:r>
      <w:r>
        <w:rPr>
          <w:rStyle w:val="24"/>
          <w:rFonts w:hint="default" w:ascii="仿宋" w:hAnsi="仿宋" w:eastAsia="仿宋"/>
          <w:b w:val="0"/>
          <w:bCs w:val="0"/>
          <w:color w:val="auto"/>
          <w:sz w:val="28"/>
          <w:szCs w:val="28"/>
        </w:rPr>
        <w:t>1）巴金图书馆</w:t>
      </w:r>
      <w:r>
        <w:rPr>
          <w:rStyle w:val="24"/>
          <w:rFonts w:ascii="仿宋" w:hAnsi="仿宋" w:eastAsia="仿宋"/>
          <w:b/>
          <w:bCs w:val="0"/>
          <w:color w:val="auto"/>
          <w:sz w:val="28"/>
          <w:szCs w:val="28"/>
        </w:rPr>
        <w:t>（特别展览区5）</w:t>
      </w:r>
    </w:p>
    <w:p w14:paraId="6AD13C2B">
      <w:pPr>
        <w:widowControl/>
        <w:ind w:firstLine="560" w:firstLineChars="200"/>
        <w:jc w:val="left"/>
        <w:rPr>
          <w:rFonts w:hint="default" w:ascii="仿宋" w:hAnsi="仿宋" w:eastAsia="仿宋" w:cs="仿宋"/>
          <w:kern w:val="0"/>
          <w:sz w:val="28"/>
          <w:szCs w:val="28"/>
          <w:lang w:bidi="ar"/>
        </w:rPr>
      </w:pPr>
      <w:r>
        <w:rPr>
          <w:rFonts w:hint="default" w:ascii="仿宋" w:hAnsi="仿宋" w:eastAsia="仿宋" w:cs="仿宋"/>
          <w:kern w:val="0"/>
          <w:sz w:val="28"/>
          <w:szCs w:val="28"/>
          <w:lang w:bidi="ar"/>
        </w:rPr>
        <w:t>1、</w:t>
      </w:r>
      <w:r>
        <w:rPr>
          <w:rFonts w:ascii="仿宋" w:hAnsi="仿宋" w:eastAsia="仿宋" w:cs="仿宋"/>
          <w:kern w:val="0"/>
          <w:sz w:val="28"/>
          <w:szCs w:val="28"/>
          <w:lang w:bidi="ar"/>
        </w:rPr>
        <w:t>巴金与上海图片文献展</w:t>
      </w:r>
    </w:p>
    <w:p w14:paraId="6A4650F6">
      <w:pPr>
        <w:widowControl/>
        <w:spacing w:line="360" w:lineRule="auto"/>
        <w:ind w:firstLine="560" w:firstLineChars="200"/>
        <w:jc w:val="left"/>
        <w:rPr>
          <w:rStyle w:val="24"/>
          <w:rFonts w:hint="default" w:cs="仿宋"/>
          <w:bCs w:val="0"/>
        </w:rPr>
      </w:pPr>
      <w:r>
        <w:rPr>
          <w:rFonts w:hint="default" w:ascii="仿宋" w:hAnsi="仿宋" w:eastAsia="仿宋" w:cs="仿宋"/>
          <w:kern w:val="0"/>
          <w:sz w:val="28"/>
          <w:szCs w:val="28"/>
          <w:lang w:bidi="ar"/>
        </w:rPr>
        <w:t>2、</w:t>
      </w:r>
      <w:r>
        <w:rPr>
          <w:rFonts w:ascii="仿宋" w:hAnsi="仿宋" w:eastAsia="仿宋" w:cs="仿宋"/>
          <w:kern w:val="0"/>
          <w:sz w:val="28"/>
          <w:szCs w:val="28"/>
          <w:lang w:bidi="ar"/>
        </w:rPr>
        <w:t>薪传——鲁迅与巴金图片文献展</w:t>
      </w:r>
    </w:p>
    <w:p w14:paraId="6D8FDC53">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展示巴金及其他现当代作家的文学成就与生平事迹，依托展览、文化活动等多元形式，并融入数字技术赋能升级，让文学展示与体验更贴合现代审美与传播需求，增强互动性与沉浸式感受。</w:t>
      </w:r>
    </w:p>
    <w:p w14:paraId="3D02E524">
      <w:pPr>
        <w:pStyle w:val="17"/>
        <w:spacing w:before="0" w:beforeAutospacing="0" w:after="0" w:afterAutospacing="0" w:line="360" w:lineRule="auto"/>
        <w:rPr>
          <w:rFonts w:hint="default" w:ascii="仿宋" w:hAnsi="仿宋" w:eastAsia="仿宋"/>
          <w:b/>
          <w:color w:val="auto"/>
          <w:sz w:val="28"/>
          <w:szCs w:val="28"/>
        </w:rPr>
      </w:pPr>
      <w:r>
        <w:rPr>
          <w:rFonts w:ascii="仿宋" w:hAnsi="仿宋" w:eastAsia="仿宋"/>
          <w:b/>
          <w:color w:val="auto"/>
          <w:sz w:val="28"/>
          <w:szCs w:val="28"/>
        </w:rPr>
        <w:t>（2）服务导引区</w:t>
      </w:r>
    </w:p>
    <w:p w14:paraId="17D0423A">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面向公众，是文学馆和图书馆的服务中心与文化运营支点</w:t>
      </w:r>
    </w:p>
    <w:p w14:paraId="2FDED7E2">
      <w:pPr>
        <w:pStyle w:val="3"/>
        <w:spacing w:before="0" w:after="0" w:line="360" w:lineRule="auto"/>
        <w:rPr>
          <w:rFonts w:hint="default" w:ascii="仿宋" w:hAnsi="仿宋" w:eastAsia="仿宋"/>
          <w:b w:val="0"/>
          <w:bCs w:val="0"/>
          <w:color w:val="auto"/>
          <w:sz w:val="28"/>
          <w:szCs w:val="28"/>
        </w:rPr>
      </w:pPr>
      <w:r>
        <w:rPr>
          <w:rStyle w:val="24"/>
          <w:rFonts w:ascii="仿宋" w:hAnsi="仿宋" w:eastAsia="仿宋"/>
          <w:b/>
          <w:bCs/>
          <w:color w:val="auto"/>
          <w:sz w:val="28"/>
          <w:szCs w:val="28"/>
        </w:rPr>
        <w:t>3.3.2 空间设计要求</w:t>
      </w:r>
    </w:p>
    <w:p w14:paraId="7F9A9330">
      <w:pPr>
        <w:pStyle w:val="3"/>
        <w:spacing w:before="0" w:after="0" w:line="360" w:lineRule="auto"/>
        <w:rPr>
          <w:rStyle w:val="24"/>
          <w:rFonts w:hint="default"/>
          <w:b w:val="0"/>
          <w:bCs w:val="0"/>
        </w:rPr>
      </w:pPr>
      <w:r>
        <w:rPr>
          <w:rStyle w:val="24"/>
          <w:rFonts w:ascii="仿宋" w:hAnsi="仿宋" w:eastAsia="仿宋"/>
          <w:b w:val="0"/>
          <w:bCs w:val="0"/>
          <w:color w:val="auto"/>
          <w:sz w:val="28"/>
          <w:szCs w:val="28"/>
        </w:rPr>
        <w:t>（</w:t>
      </w:r>
      <w:r>
        <w:rPr>
          <w:rStyle w:val="24"/>
          <w:rFonts w:hint="default" w:ascii="仿宋" w:hAnsi="仿宋" w:eastAsia="仿宋"/>
          <w:b w:val="0"/>
          <w:bCs w:val="0"/>
          <w:color w:val="auto"/>
          <w:sz w:val="28"/>
          <w:szCs w:val="28"/>
        </w:rPr>
        <w:t>1）巴金图书馆空间设计要求</w:t>
      </w:r>
    </w:p>
    <w:p w14:paraId="169BDFDF">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巴金图书馆应不改变空间的基本格局，以陈列设计融入建筑本体的为基础的设计风格，搭配适当的灯光和多媒体设备，为老建筑增色添彩，体现文保建筑的历史价值。</w:t>
      </w:r>
    </w:p>
    <w:p w14:paraId="5E39A10A">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设计原则包括：</w:t>
      </w:r>
    </w:p>
    <w:p w14:paraId="7BF1E94A">
      <w:pPr>
        <w:tabs>
          <w:tab w:val="left" w:pos="720"/>
        </w:tabs>
        <w:spacing w:line="360" w:lineRule="auto"/>
        <w:rPr>
          <w:rFonts w:hint="default" w:ascii="仿宋" w:hAnsi="仿宋" w:eastAsia="仿宋"/>
          <w:color w:val="auto"/>
          <w:sz w:val="28"/>
          <w:szCs w:val="28"/>
        </w:rPr>
      </w:pPr>
      <w:r>
        <w:rPr>
          <w:rFonts w:ascii="仿宋" w:hAnsi="仿宋" w:eastAsia="仿宋"/>
          <w:color w:val="auto"/>
          <w:sz w:val="28"/>
          <w:szCs w:val="28"/>
        </w:rPr>
        <w:t>1、尊重原有建筑风貌与结构；</w:t>
      </w:r>
    </w:p>
    <w:p w14:paraId="7FF47839">
      <w:pPr>
        <w:tabs>
          <w:tab w:val="left" w:pos="720"/>
        </w:tabs>
        <w:spacing w:line="360" w:lineRule="auto"/>
        <w:rPr>
          <w:rFonts w:hint="default" w:ascii="仿宋" w:hAnsi="仿宋" w:eastAsia="仿宋"/>
          <w:color w:val="auto"/>
          <w:sz w:val="28"/>
          <w:szCs w:val="28"/>
        </w:rPr>
      </w:pPr>
      <w:r>
        <w:rPr>
          <w:rFonts w:ascii="仿宋" w:hAnsi="仿宋" w:eastAsia="仿宋"/>
          <w:color w:val="auto"/>
          <w:sz w:val="28"/>
          <w:szCs w:val="28"/>
        </w:rPr>
        <w:t>2、营造安静、舒适的文学活动与公共阅读空间；</w:t>
      </w:r>
    </w:p>
    <w:p w14:paraId="62DEACD0">
      <w:pPr>
        <w:tabs>
          <w:tab w:val="left" w:pos="720"/>
        </w:tabs>
        <w:spacing w:line="360" w:lineRule="auto"/>
        <w:rPr>
          <w:rFonts w:hint="default" w:ascii="仿宋" w:hAnsi="仿宋" w:eastAsia="仿宋"/>
          <w:color w:val="auto"/>
          <w:sz w:val="28"/>
          <w:szCs w:val="28"/>
        </w:rPr>
      </w:pPr>
      <w:r>
        <w:rPr>
          <w:rFonts w:ascii="仿宋" w:hAnsi="仿宋" w:eastAsia="仿宋"/>
          <w:color w:val="auto"/>
          <w:sz w:val="28"/>
          <w:szCs w:val="28"/>
        </w:rPr>
        <w:t>3、专业的灯光和符合空间气质的展柜配合；</w:t>
      </w:r>
    </w:p>
    <w:p w14:paraId="76F4D720">
      <w:pPr>
        <w:tabs>
          <w:tab w:val="left" w:pos="720"/>
        </w:tabs>
        <w:spacing w:line="360" w:lineRule="auto"/>
        <w:rPr>
          <w:rFonts w:hint="default" w:ascii="仿宋" w:hAnsi="仿宋" w:eastAsia="仿宋"/>
          <w:color w:val="auto"/>
          <w:sz w:val="28"/>
          <w:szCs w:val="28"/>
        </w:rPr>
      </w:pPr>
      <w:r>
        <w:rPr>
          <w:rFonts w:ascii="仿宋" w:hAnsi="仿宋" w:eastAsia="仿宋"/>
          <w:color w:val="auto"/>
          <w:sz w:val="28"/>
          <w:szCs w:val="28"/>
        </w:rPr>
        <w:t>4、多媒体互动及展示设备的配合，全力打造与线上平台相链接的数字阅读体验空间；</w:t>
      </w:r>
    </w:p>
    <w:p w14:paraId="27526DF7">
      <w:pPr>
        <w:tabs>
          <w:tab w:val="left" w:pos="720"/>
        </w:tabs>
        <w:spacing w:line="360" w:lineRule="auto"/>
        <w:rPr>
          <w:rFonts w:hint="default" w:ascii="仿宋" w:hAnsi="仿宋" w:eastAsia="仿宋"/>
          <w:color w:val="auto"/>
          <w:sz w:val="28"/>
          <w:szCs w:val="28"/>
        </w:rPr>
      </w:pPr>
      <w:r>
        <w:rPr>
          <w:rFonts w:ascii="仿宋" w:hAnsi="仿宋" w:eastAsia="仿宋"/>
          <w:color w:val="auto"/>
          <w:sz w:val="28"/>
          <w:szCs w:val="28"/>
        </w:rPr>
        <w:t>5、保持通风、透气与空间舒适度；</w:t>
      </w:r>
    </w:p>
    <w:p w14:paraId="52FB6083">
      <w:pPr>
        <w:tabs>
          <w:tab w:val="left" w:pos="720"/>
        </w:tabs>
        <w:spacing w:line="360" w:lineRule="auto"/>
        <w:rPr>
          <w:rFonts w:hint="default" w:ascii="仿宋" w:hAnsi="仿宋" w:eastAsia="仿宋"/>
          <w:color w:val="auto"/>
          <w:sz w:val="28"/>
          <w:szCs w:val="28"/>
        </w:rPr>
      </w:pPr>
      <w:r>
        <w:rPr>
          <w:rFonts w:ascii="仿宋" w:hAnsi="仿宋" w:eastAsia="仿宋"/>
          <w:color w:val="auto"/>
          <w:sz w:val="28"/>
          <w:szCs w:val="28"/>
        </w:rPr>
        <w:t>6、建筑修缮与空间更新以“可逆性”为原则，部分空间灵活可变；</w:t>
      </w:r>
    </w:p>
    <w:p w14:paraId="6C0FBB15">
      <w:pPr>
        <w:tabs>
          <w:tab w:val="left" w:pos="720"/>
        </w:tabs>
        <w:spacing w:line="360" w:lineRule="auto"/>
        <w:rPr>
          <w:rFonts w:hint="default" w:ascii="仿宋" w:hAnsi="仿宋" w:eastAsia="仿宋"/>
          <w:color w:val="auto"/>
          <w:sz w:val="28"/>
          <w:szCs w:val="28"/>
        </w:rPr>
      </w:pPr>
      <w:r>
        <w:rPr>
          <w:rFonts w:ascii="仿宋" w:hAnsi="仿宋" w:eastAsia="仿宋"/>
          <w:color w:val="auto"/>
          <w:sz w:val="28"/>
          <w:szCs w:val="28"/>
        </w:rPr>
        <w:t>7、人性化设计，考虑到老人、小孩、残障人士等不同群体的体验；</w:t>
      </w:r>
    </w:p>
    <w:p w14:paraId="5B577A22">
      <w:pPr>
        <w:tabs>
          <w:tab w:val="left" w:pos="720"/>
        </w:tabs>
        <w:spacing w:line="360" w:lineRule="auto"/>
        <w:rPr>
          <w:rFonts w:hint="default" w:ascii="仿宋" w:hAnsi="仿宋" w:eastAsia="仿宋"/>
          <w:color w:val="auto"/>
          <w:sz w:val="28"/>
          <w:szCs w:val="28"/>
        </w:rPr>
      </w:pPr>
      <w:r>
        <w:rPr>
          <w:rFonts w:ascii="仿宋" w:hAnsi="仿宋" w:eastAsia="仿宋"/>
          <w:color w:val="auto"/>
          <w:sz w:val="28"/>
          <w:szCs w:val="28"/>
        </w:rPr>
        <w:t>8、天井空间景观精致、层次丰富，养护可持续。</w:t>
      </w:r>
    </w:p>
    <w:p w14:paraId="47FC34A7">
      <w:pPr>
        <w:tabs>
          <w:tab w:val="left" w:pos="720"/>
        </w:tabs>
        <w:spacing w:line="360" w:lineRule="auto"/>
        <w:rPr>
          <w:rFonts w:hint="default" w:ascii="仿宋" w:hAnsi="仿宋" w:eastAsia="仿宋"/>
          <w:color w:val="auto"/>
          <w:sz w:val="28"/>
          <w:szCs w:val="28"/>
        </w:rPr>
      </w:pPr>
      <w:r>
        <w:rPr>
          <w:rFonts w:ascii="仿宋" w:hAnsi="仿宋" w:eastAsia="仿宋"/>
          <w:color w:val="auto"/>
          <w:sz w:val="28"/>
          <w:szCs w:val="28"/>
        </w:rPr>
        <w:t>9、整体应呈现一种朴素、舒适且富有文化沉淀的文学气质。</w:t>
      </w:r>
    </w:p>
    <w:p w14:paraId="758D0C8D">
      <w:pPr>
        <w:pStyle w:val="3"/>
        <w:spacing w:before="0" w:after="0" w:line="360" w:lineRule="auto"/>
        <w:rPr>
          <w:rStyle w:val="24"/>
          <w:rFonts w:hint="default"/>
          <w:b w:val="0"/>
          <w:bCs w:val="0"/>
        </w:rPr>
      </w:pPr>
      <w:r>
        <w:rPr>
          <w:rStyle w:val="24"/>
          <w:rFonts w:ascii="仿宋" w:hAnsi="仿宋" w:eastAsia="仿宋"/>
          <w:b w:val="0"/>
          <w:bCs w:val="0"/>
          <w:color w:val="auto"/>
          <w:sz w:val="28"/>
          <w:szCs w:val="28"/>
        </w:rPr>
        <w:t>（</w:t>
      </w:r>
      <w:r>
        <w:rPr>
          <w:rStyle w:val="24"/>
          <w:rFonts w:hint="default" w:ascii="仿宋" w:hAnsi="仿宋" w:eastAsia="仿宋"/>
          <w:b w:val="0"/>
          <w:bCs w:val="0"/>
          <w:color w:val="auto"/>
          <w:sz w:val="28"/>
          <w:szCs w:val="28"/>
        </w:rPr>
        <w:t>2）服务</w:t>
      </w:r>
      <w:r>
        <w:rPr>
          <w:rStyle w:val="24"/>
          <w:rFonts w:ascii="仿宋" w:hAnsi="仿宋" w:eastAsia="仿宋"/>
          <w:b w:val="0"/>
          <w:bCs w:val="0"/>
          <w:color w:val="auto"/>
          <w:sz w:val="28"/>
          <w:szCs w:val="28"/>
        </w:rPr>
        <w:t>导引区空间设计要求</w:t>
      </w:r>
    </w:p>
    <w:p w14:paraId="795979DE">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服务导引区需呈现舒适、友好与高效的公共服务特征，具有良好的空间可达性与开放性。</w:t>
      </w:r>
    </w:p>
    <w:p w14:paraId="259BD2DB">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设计原则包括：</w:t>
      </w:r>
    </w:p>
    <w:p w14:paraId="6009D960">
      <w:pPr>
        <w:tabs>
          <w:tab w:val="left" w:pos="720"/>
        </w:tabs>
        <w:spacing w:line="360" w:lineRule="auto"/>
        <w:rPr>
          <w:rFonts w:hint="default" w:ascii="仿宋" w:hAnsi="仿宋" w:eastAsia="仿宋"/>
          <w:color w:val="auto"/>
          <w:kern w:val="0"/>
          <w:sz w:val="28"/>
          <w:szCs w:val="28"/>
        </w:rPr>
      </w:pPr>
      <w:r>
        <w:rPr>
          <w:rFonts w:ascii="仿宋" w:hAnsi="仿宋" w:eastAsia="仿宋"/>
          <w:color w:val="auto"/>
          <w:sz w:val="28"/>
          <w:szCs w:val="28"/>
        </w:rPr>
        <w:t>1、</w:t>
      </w:r>
      <w:r>
        <w:rPr>
          <w:rFonts w:ascii="仿宋" w:hAnsi="仿宋" w:eastAsia="仿宋"/>
          <w:color w:val="auto"/>
          <w:kern w:val="0"/>
          <w:sz w:val="28"/>
          <w:szCs w:val="28"/>
        </w:rPr>
        <w:t>打造开放流动、清晰易懂的服务动线；</w:t>
      </w:r>
    </w:p>
    <w:p w14:paraId="33D6C3ED">
      <w:pPr>
        <w:tabs>
          <w:tab w:val="left" w:pos="720"/>
        </w:tabs>
        <w:spacing w:line="360" w:lineRule="auto"/>
        <w:rPr>
          <w:rFonts w:hint="default" w:ascii="仿宋" w:hAnsi="仿宋" w:eastAsia="仿宋"/>
          <w:color w:val="auto"/>
          <w:kern w:val="0"/>
          <w:sz w:val="28"/>
          <w:szCs w:val="28"/>
        </w:rPr>
      </w:pPr>
      <w:r>
        <w:rPr>
          <w:rFonts w:ascii="仿宋" w:hAnsi="仿宋" w:eastAsia="仿宋"/>
          <w:color w:val="auto"/>
          <w:sz w:val="28"/>
          <w:szCs w:val="28"/>
        </w:rPr>
        <w:t>2、</w:t>
      </w:r>
      <w:r>
        <w:rPr>
          <w:rFonts w:ascii="仿宋" w:hAnsi="仿宋" w:eastAsia="仿宋"/>
          <w:color w:val="auto"/>
          <w:kern w:val="0"/>
          <w:sz w:val="28"/>
          <w:szCs w:val="28"/>
        </w:rPr>
        <w:t>提供舒适的休憩环境与人性化服务体验；</w:t>
      </w:r>
    </w:p>
    <w:p w14:paraId="005B0959">
      <w:pPr>
        <w:tabs>
          <w:tab w:val="left" w:pos="720"/>
        </w:tabs>
        <w:spacing w:line="360" w:lineRule="auto"/>
        <w:rPr>
          <w:rFonts w:hint="default" w:ascii="仿宋" w:hAnsi="仿宋" w:eastAsia="仿宋"/>
          <w:color w:val="auto"/>
          <w:kern w:val="0"/>
          <w:sz w:val="28"/>
          <w:szCs w:val="28"/>
        </w:rPr>
      </w:pPr>
      <w:r>
        <w:rPr>
          <w:rFonts w:ascii="仿宋" w:hAnsi="仿宋" w:eastAsia="仿宋"/>
          <w:color w:val="auto"/>
          <w:sz w:val="28"/>
          <w:szCs w:val="28"/>
        </w:rPr>
        <w:t>3、</w:t>
      </w:r>
      <w:r>
        <w:rPr>
          <w:rFonts w:ascii="仿宋" w:hAnsi="仿宋" w:eastAsia="仿宋"/>
          <w:color w:val="auto"/>
          <w:kern w:val="0"/>
          <w:sz w:val="28"/>
          <w:szCs w:val="28"/>
        </w:rPr>
        <w:t>形成与主展区相协调的整体视觉风格；</w:t>
      </w:r>
    </w:p>
    <w:p w14:paraId="5E3EA4F5">
      <w:pPr>
        <w:tabs>
          <w:tab w:val="left" w:pos="720"/>
        </w:tabs>
        <w:spacing w:line="360" w:lineRule="auto"/>
        <w:rPr>
          <w:rFonts w:hint="default" w:ascii="仿宋" w:hAnsi="仿宋" w:eastAsia="仿宋"/>
          <w:color w:val="auto"/>
          <w:kern w:val="0"/>
          <w:sz w:val="28"/>
          <w:szCs w:val="28"/>
        </w:rPr>
      </w:pPr>
      <w:r>
        <w:rPr>
          <w:rFonts w:ascii="仿宋" w:hAnsi="仿宋" w:eastAsia="仿宋"/>
          <w:color w:val="auto"/>
          <w:sz w:val="28"/>
          <w:szCs w:val="28"/>
        </w:rPr>
        <w:t>4、</w:t>
      </w:r>
      <w:r>
        <w:rPr>
          <w:rFonts w:ascii="仿宋" w:hAnsi="仿宋" w:eastAsia="仿宋"/>
          <w:color w:val="auto"/>
          <w:kern w:val="0"/>
          <w:sz w:val="28"/>
          <w:szCs w:val="28"/>
        </w:rPr>
        <w:t>在有限空间内实现灵活运营与维护便利；</w:t>
      </w:r>
    </w:p>
    <w:p w14:paraId="7C29BC01">
      <w:pPr>
        <w:tabs>
          <w:tab w:val="left" w:pos="720"/>
        </w:tabs>
        <w:spacing w:line="360" w:lineRule="auto"/>
        <w:rPr>
          <w:rFonts w:hint="default" w:ascii="仿宋" w:hAnsi="仿宋" w:eastAsia="仿宋"/>
          <w:color w:val="auto"/>
          <w:kern w:val="0"/>
          <w:sz w:val="28"/>
          <w:szCs w:val="28"/>
        </w:rPr>
      </w:pPr>
      <w:r>
        <w:rPr>
          <w:rFonts w:ascii="仿宋" w:hAnsi="仿宋" w:eastAsia="仿宋"/>
          <w:color w:val="auto"/>
          <w:sz w:val="28"/>
          <w:szCs w:val="28"/>
        </w:rPr>
        <w:t>5、</w:t>
      </w:r>
      <w:r>
        <w:rPr>
          <w:rFonts w:ascii="仿宋" w:hAnsi="仿宋" w:eastAsia="仿宋"/>
          <w:color w:val="auto"/>
          <w:kern w:val="0"/>
          <w:sz w:val="28"/>
          <w:szCs w:val="28"/>
        </w:rPr>
        <w:t>保证良好的声环境、光环境与公共舒适度；</w:t>
      </w:r>
    </w:p>
    <w:p w14:paraId="03A37E12">
      <w:pPr>
        <w:tabs>
          <w:tab w:val="left" w:pos="720"/>
        </w:tabs>
        <w:spacing w:line="360" w:lineRule="auto"/>
        <w:rPr>
          <w:rFonts w:hint="default" w:ascii="仿宋" w:hAnsi="仿宋" w:eastAsia="仿宋"/>
          <w:color w:val="auto"/>
          <w:kern w:val="0"/>
          <w:sz w:val="28"/>
          <w:szCs w:val="28"/>
        </w:rPr>
      </w:pPr>
      <w:r>
        <w:rPr>
          <w:rFonts w:ascii="仿宋" w:hAnsi="仿宋" w:eastAsia="仿宋"/>
          <w:color w:val="auto"/>
          <w:sz w:val="28"/>
          <w:szCs w:val="28"/>
        </w:rPr>
        <w:t>6、</w:t>
      </w:r>
      <w:r>
        <w:rPr>
          <w:rFonts w:ascii="仿宋" w:hAnsi="仿宋" w:eastAsia="仿宋"/>
          <w:color w:val="auto"/>
          <w:kern w:val="0"/>
          <w:sz w:val="28"/>
          <w:szCs w:val="28"/>
        </w:rPr>
        <w:t>注意绿植与软装的搭配。</w:t>
      </w:r>
    </w:p>
    <w:p w14:paraId="436EC313">
      <w:pPr>
        <w:tabs>
          <w:tab w:val="left" w:pos="720"/>
        </w:tabs>
        <w:spacing w:line="360" w:lineRule="auto"/>
        <w:rPr>
          <w:rFonts w:hint="default" w:ascii="仿宋" w:hAnsi="仿宋" w:eastAsia="仿宋"/>
          <w:color w:val="auto"/>
          <w:sz w:val="28"/>
          <w:szCs w:val="28"/>
        </w:rPr>
      </w:pPr>
      <w:r>
        <w:rPr>
          <w:rFonts w:ascii="仿宋" w:hAnsi="仿宋" w:eastAsia="仿宋"/>
          <w:color w:val="auto"/>
          <w:kern w:val="0"/>
          <w:sz w:val="28"/>
          <w:szCs w:val="28"/>
        </w:rPr>
        <w:t>7、</w:t>
      </w:r>
      <w:r>
        <w:rPr>
          <w:rFonts w:ascii="仿宋" w:hAnsi="仿宋" w:eastAsia="仿宋"/>
          <w:color w:val="auto"/>
          <w:sz w:val="28"/>
          <w:szCs w:val="28"/>
        </w:rPr>
        <w:t>服务导引区应是文学馆中 “可接近、可使用、可停留”的公共性场所。</w:t>
      </w:r>
    </w:p>
    <w:p w14:paraId="31B27273">
      <w:pPr>
        <w:pStyle w:val="3"/>
        <w:spacing w:before="0" w:after="0" w:line="360" w:lineRule="auto"/>
        <w:rPr>
          <w:rStyle w:val="24"/>
          <w:rFonts w:hint="default" w:ascii="仿宋" w:hAnsi="仿宋" w:eastAsia="仿宋"/>
          <w:b/>
          <w:bCs/>
          <w:color w:val="auto"/>
          <w:kern w:val="2"/>
          <w:sz w:val="28"/>
          <w:szCs w:val="28"/>
        </w:rPr>
      </w:pPr>
      <w:r>
        <w:rPr>
          <w:rStyle w:val="24"/>
          <w:rFonts w:hint="default" w:ascii="仿宋" w:hAnsi="仿宋" w:eastAsia="仿宋"/>
          <w:b/>
          <w:bCs/>
          <w:color w:val="auto"/>
          <w:sz w:val="28"/>
          <w:szCs w:val="28"/>
        </w:rPr>
        <w:t>3.</w:t>
      </w:r>
      <w:r>
        <w:rPr>
          <w:rStyle w:val="24"/>
          <w:rFonts w:ascii="仿宋" w:hAnsi="仿宋" w:eastAsia="仿宋"/>
          <w:b/>
          <w:bCs/>
          <w:color w:val="auto"/>
          <w:sz w:val="28"/>
          <w:szCs w:val="28"/>
        </w:rPr>
        <w:t>4（一标）数字多媒体展项设计要求</w:t>
      </w:r>
    </w:p>
    <w:p w14:paraId="07A14C24">
      <w:pPr>
        <w:pStyle w:val="17"/>
        <w:rPr>
          <w:rFonts w:hint="default" w:ascii="仿宋" w:hAnsi="仿宋" w:eastAsia="仿宋"/>
          <w:color w:val="auto"/>
          <w:sz w:val="28"/>
          <w:szCs w:val="28"/>
        </w:rPr>
      </w:pPr>
      <w:r>
        <w:rPr>
          <w:rFonts w:ascii="仿宋" w:hAnsi="仿宋" w:eastAsia="仿宋"/>
          <w:color w:val="auto"/>
          <w:sz w:val="28"/>
          <w:szCs w:val="28"/>
        </w:rPr>
        <w:t>（1）数字化多媒体展项的硬件配置，须与展陈空间设计的整体效果相匹配、深度融合，确保空间视觉与功能统一。</w:t>
      </w:r>
    </w:p>
    <w:p w14:paraId="4C9B510B">
      <w:pPr>
        <w:pStyle w:val="17"/>
        <w:rPr>
          <w:rFonts w:hint="default" w:ascii="仿宋" w:hAnsi="仿宋" w:eastAsia="仿宋"/>
          <w:color w:val="auto"/>
          <w:sz w:val="28"/>
          <w:szCs w:val="28"/>
        </w:rPr>
      </w:pPr>
      <w:r>
        <w:rPr>
          <w:rFonts w:ascii="仿宋" w:hAnsi="仿宋" w:eastAsia="仿宋"/>
          <w:color w:val="auto"/>
          <w:sz w:val="28"/>
          <w:szCs w:val="28"/>
        </w:rPr>
        <w:t>（2）所有数字化多媒体展项内容均为定制化开发，严格按照展览大纲及内容脚本进行设计、拍摄与制作，确保实现预期的展示效果。</w:t>
      </w:r>
    </w:p>
    <w:p w14:paraId="755DAC79">
      <w:pPr>
        <w:pStyle w:val="17"/>
        <w:rPr>
          <w:rFonts w:hint="default" w:ascii="仿宋" w:hAnsi="仿宋" w:eastAsia="仿宋"/>
          <w:color w:val="auto"/>
          <w:sz w:val="28"/>
          <w:szCs w:val="28"/>
        </w:rPr>
      </w:pPr>
      <w:r>
        <w:rPr>
          <w:rFonts w:ascii="仿宋" w:hAnsi="仿宋" w:eastAsia="仿宋"/>
          <w:color w:val="auto"/>
          <w:sz w:val="28"/>
          <w:szCs w:val="28"/>
        </w:rPr>
        <w:t>（3）数字化多媒体展项形式多样、分布合理。设计阶段需统筹考虑不同设备的陈列组合、日常运行维护及内容更新等事宜。</w:t>
      </w:r>
    </w:p>
    <w:p w14:paraId="6B1E307A">
      <w:pPr>
        <w:pStyle w:val="17"/>
        <w:rPr>
          <w:rFonts w:hint="default" w:ascii="仿宋" w:hAnsi="仿宋" w:eastAsia="仿宋"/>
          <w:color w:val="auto"/>
          <w:sz w:val="28"/>
          <w:szCs w:val="28"/>
        </w:rPr>
      </w:pPr>
      <w:r>
        <w:rPr>
          <w:rFonts w:ascii="仿宋" w:hAnsi="仿宋" w:eastAsia="仿宋"/>
          <w:color w:val="auto"/>
          <w:sz w:val="28"/>
          <w:szCs w:val="28"/>
        </w:rPr>
        <w:t>（4）多媒体展项的拍摄组织、版权合规、后期制作及内容审核等全流程环节，均需严格遵循标准化要求，且符合国家相关法律法规规定。</w:t>
      </w:r>
    </w:p>
    <w:p w14:paraId="2C5D1393">
      <w:pPr>
        <w:pStyle w:val="2"/>
        <w:spacing w:before="0" w:after="0" w:line="360" w:lineRule="auto"/>
        <w:rPr>
          <w:rFonts w:hint="default" w:ascii="仿宋" w:hAnsi="仿宋" w:eastAsia="仿宋"/>
          <w:color w:val="auto"/>
          <w:sz w:val="28"/>
          <w:szCs w:val="28"/>
        </w:rPr>
      </w:pPr>
      <w:r>
        <w:rPr>
          <w:rFonts w:ascii="仿宋" w:hAnsi="仿宋" w:eastAsia="仿宋"/>
          <w:color w:val="auto"/>
          <w:sz w:val="28"/>
          <w:szCs w:val="28"/>
        </w:rPr>
        <w:t>第四章 技术要求</w:t>
      </w:r>
    </w:p>
    <w:p w14:paraId="3D05FAFF">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4.1 总体技术要求</w:t>
      </w:r>
    </w:p>
    <w:p w14:paraId="77193D93">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4.1.1 设计总则</w:t>
      </w:r>
    </w:p>
    <w:p w14:paraId="7DC2B22F">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本项目投标人应参考采购人提供的陈列大纲、展馆建筑平面图等内容，以及上海市的气候特征与周边环境作为设计参考依据，合理组织建筑物通风和采光，体现生态和可持续发展的要求，注重节能观念和环保思想，合理利用各种成熟可靠的绿色环保、节能降耗的技术手段，降低今后的运营费用。</w:t>
      </w:r>
    </w:p>
    <w:p w14:paraId="6BE9ECDD">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4.1.2 设计创意要求</w:t>
      </w:r>
    </w:p>
    <w:p w14:paraId="10BBD5C7">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（1）展陈设计要完美体现主题内容，调动各种陈列艺术语言，为陈列主题服务，坚持创新，陈列手段新颖、独特。</w:t>
      </w:r>
    </w:p>
    <w:p w14:paraId="243C9F6B">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（2）设计重点突出、展线合理且节奏感强，每个展区有展示亮点。</w:t>
      </w:r>
    </w:p>
    <w:p w14:paraId="5CE85F5C">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（3）设计应充分体现“以人为本”的原则，充分考虑不同观众群体的特性，陈设既要追求高雅的审美情趣，又要具有满足各类人群需求的普适性和大众性。</w:t>
      </w:r>
    </w:p>
    <w:p w14:paraId="3306B4D3">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4）在充分考虑经济合理性、耐用性的前提下，合理运用声、光、电、仿生和影视合成、计算机等现代技术，对陈列的重点、亮点部分适当运用多媒体、互动装置等高科技手段加以体现，增加展示的趣味性与互动性。在展示设计中，总体应强调把观众的注意力吸引到展品等展示内容上，在展示形式设计上注意“度”的把握，装饰应避免过于繁杂，防止喧宾夺主。</w:t>
      </w:r>
    </w:p>
    <w:p w14:paraId="720BC7CB">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 xml:space="preserve">（5）概念设计方案基本要求：除了要阐述展览设计和创作的基本思想和创意说明外，必须完整表达展览内容体系在展厅建筑空间中的合理布局，观众参观路线，未来展览空间设计及其总体艺术风格，基本展览设备的造型及其尺度比例，典型展品组合图等。 </w:t>
      </w:r>
    </w:p>
    <w:p w14:paraId="74079F43">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4.2 专业展柜技术要求</w:t>
      </w:r>
    </w:p>
    <w:p w14:paraId="77C1A3F1">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4.2.1 专业展柜展示形式</w:t>
      </w:r>
    </w:p>
    <w:p w14:paraId="767CAB3A">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根据不同的展示要求，配备不同形式的展柜，包括中心柜、桌柜和全壁柜。重点展品尤其是保存纸制品展品的展柜需具备恒温恒湿功能，以对展品起到保护作用。其中：</w:t>
      </w:r>
    </w:p>
    <w:p w14:paraId="7EF8B404">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（1）嵌入式壁柜：是指悬空嵌入墙面平面、或五面体玻璃罩突出墙面的展柜。</w:t>
      </w:r>
    </w:p>
    <w:p w14:paraId="55A1633E">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（2）半壁柜：是指展台面高度约在腰部位置、上部为展示空间的背贴墙面的壁柜。</w:t>
      </w:r>
    </w:p>
    <w:p w14:paraId="02504F19">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（3）全壁柜：是指通高式展示空间的背贴墙面的壁柜。</w:t>
      </w:r>
    </w:p>
    <w:p w14:paraId="7E95BDCA">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4.2.2 专业展柜技术要求</w:t>
      </w:r>
    </w:p>
    <w:p w14:paraId="4B7ED7CD">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展柜骨架，非固定式展柜采用金属方管结构，固定式展柜采用铝合金型材结构，具有相当的自重稳定性和抗撞击稳固性，非固定式展柜能方便移动、调节水平和稳固。铝合金型材满足6061牌号、时效状态T5或T6性能，壁厚不小于2mm。饰面金属板厚度≥1.5mm，符合金属板材平整度要求。基座承载能力≥150kg/㎡。所有金属材料必须经过防锈处理。</w:t>
      </w:r>
    </w:p>
    <w:p w14:paraId="1FF97CF9">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（2）采用超白夹胶玻璃，原片透光率不小于91%，夹胶后透光率不小于85%，具有防爆功能，同时阻断紫外线和红外线，玻璃对角采用45度粘接。</w:t>
      </w:r>
    </w:p>
    <w:p w14:paraId="2AFF149E">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（3）展柜开启方式应尽可能满足展陈设计需求和文物安全管理要求，要求半壁柜及全壁柜必须正面100%开启。</w:t>
      </w:r>
    </w:p>
    <w:p w14:paraId="78EB43A4">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4）展柜锁具采用博物馆专用锁具，钥匙互换率10万次，钥匙的编号可分组管理。安装须符合文物安全管理要求，直接开启展柜门的锁具，应尽可能设计至少须有一把锁具符合缓冲后才能开启的安全防范要求，并且锁具不应影响展柜的密闭性。</w:t>
      </w:r>
    </w:p>
    <w:p w14:paraId="2A6AF674">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（5）展柜须具有较高的密闭性，空气交换率应达到≤0.5d-1 (二氧化碳检测方法检测)。</w:t>
      </w:r>
    </w:p>
    <w:p w14:paraId="0D31BDC1">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（6）展柜无漏光现象。</w:t>
      </w:r>
    </w:p>
    <w:p w14:paraId="08E5FE3F">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（7）展柜使用的材料均为环保材料，展示空间中的甲醛含量≤0.05mg/m³，苯含量≤0.05mg/m³，TVOC含量≤0.5mg/m³。</w:t>
      </w:r>
    </w:p>
    <w:p w14:paraId="3658BCA5">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4.3 专业照明技术要求</w:t>
      </w:r>
    </w:p>
    <w:p w14:paraId="686C4A27">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4.3.1 专业照明设计要求</w:t>
      </w:r>
    </w:p>
    <w:p w14:paraId="0FF80C51">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根据国内外展馆对专业展示陈列形式和内容的表现，并结合本项目的展示陈列特点，要求选用的照明设备必须绿色环保，节约能源，需采用LED光源。</w:t>
      </w:r>
    </w:p>
    <w:p w14:paraId="09644BFD">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照明设计的相关要求如下：</w:t>
      </w:r>
    </w:p>
    <w:p w14:paraId="0F1398C4">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本馆照明设计应符合现行国家标准《博物馆照明设计规范》GB/T 23863-2009和《建筑照明设计标准》GB 50034-2013的规定。运用先进的照明设计理念，从文物保护、视觉需求及展示艺术效果出发，合理并有针对性地配置光源。</w:t>
      </w:r>
    </w:p>
    <w:p w14:paraId="156DB383">
      <w:pPr>
        <w:widowControl/>
        <w:spacing w:line="360" w:lineRule="auto"/>
        <w:jc w:val="left"/>
        <w:rPr>
          <w:rFonts w:hint="default" w:ascii="仿宋" w:hAnsi="仿宋" w:eastAsia="仿宋"/>
          <w:color w:val="auto"/>
          <w:kern w:val="0"/>
          <w:sz w:val="28"/>
          <w:szCs w:val="28"/>
        </w:rPr>
      </w:pPr>
      <w:r>
        <w:rPr>
          <w:rFonts w:ascii="仿宋" w:hAnsi="仿宋" w:eastAsia="仿宋"/>
          <w:color w:val="auto"/>
          <w:kern w:val="0"/>
          <w:sz w:val="28"/>
          <w:szCs w:val="28"/>
        </w:rPr>
        <w:t>（1）应遵循有利于观赏展品和保护展品的原则，并应安全可靠、经济适用、技术先进、节约能源、维修方便。</w:t>
      </w:r>
    </w:p>
    <w:p w14:paraId="0C19D0C3">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照度适宜。不同的展品或文物一定要有不同的照度，不能损害文物与展品本身，不能影响展品或文物真实面貌的反映与观众的视觉效果。对于展厅中的一般照明与特殊照明，要求在保证文物展品安全展示的同时，合理利用光源材料，以最大限度地展现相关对象的艺术特点及其需要表现的信息，从而达到理想的照明效果。</w:t>
      </w:r>
    </w:p>
    <w:p w14:paraId="217B2BD8">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（3）照明手法。重点文物和重点辅助展品应根据具体的对象，采取不同的照明手法增强和减弱照度，以增强文物与展品本身的艺术效果。</w:t>
      </w:r>
    </w:p>
    <w:p w14:paraId="28BD9623">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（4）对“光害”的消除与控制。展厅内应严格防止直接眩光和反射眩光，尽量使用先进的、有利于文物保护的照明设备。</w:t>
      </w:r>
    </w:p>
    <w:p w14:paraId="0338B2EF">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5）考虑文物保护区域及展厅不同高度对安装的位置有所限制，而且展品类型、大小尺寸也是差异很大，需要灯具有各种配光，确保射灯在形式上保持一致的同时有多种不同的光束角，满足各种类型的展陈照明，来获得良好展示效果，提高博物馆展览的灵活性，减少后期维护成本。</w:t>
      </w:r>
    </w:p>
    <w:p w14:paraId="7E063343">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（6）展厅照明质量应符合下列规定:</w:t>
      </w:r>
    </w:p>
    <w:p w14:paraId="6D778F0F">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a.一般照明应按展品照度值的20%～30%选取；</w:t>
      </w:r>
    </w:p>
    <w:p w14:paraId="18BEC448">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b.当展厅内只有一般照明时，地面最低照度与平均照度之比不应小于0.7；</w:t>
      </w:r>
    </w:p>
    <w:p w14:paraId="2EBB4D16">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c.平面展品的最低照度与平均照度之比不应小于0.8；高度大于1.4m的平面展品，其最低照度与平均照度之比不应小于0.4；</w:t>
      </w:r>
    </w:p>
    <w:p w14:paraId="54BFFAD0">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d.展厅内一般照明的统一眩光值(UGR)不宜大于19；</w:t>
      </w:r>
    </w:p>
    <w:p w14:paraId="25F5BB44">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e.展品与其背景的亮度比不宜大于3:1；</w:t>
      </w:r>
    </w:p>
    <w:p w14:paraId="718E77DA">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一般展厅直接照明光源的色温应小于5300K；对光线敏感展品展厅直接照明光源的色温应小于3300K。</w:t>
      </w:r>
    </w:p>
    <w:p w14:paraId="31F1896D">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（7）展品的保护。应减少灯光中的紫外辐射和红外辐射，使光源的紫外线含量小于25μw/1m，尽量确保减少对文物的损伤。</w:t>
      </w:r>
    </w:p>
    <w:p w14:paraId="730D7EDF">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4.3.2 专业照明灯具要求</w:t>
      </w:r>
    </w:p>
    <w:p w14:paraId="4DA0E027">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（1）显色性的优劣决定了对文物本身颜色的还原程度，展陈灯具一般显色指数Ra＞95 ，R1-R15均大于88，最大程度还原文物本来的颜色。</w:t>
      </w:r>
    </w:p>
    <w:p w14:paraId="04442742">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（2）LED灯具色容差SDCM≤3，从而保证了灯具色温的一致性，展厅整体颜色一致，在使用五万小时后的色容差SDCM≤3。</w:t>
      </w:r>
    </w:p>
    <w:p w14:paraId="449CCEA0">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（3）所有灯具需具备在工作过程中无频闪现象，可以进行高清摄像。</w:t>
      </w:r>
    </w:p>
    <w:p w14:paraId="2272FC9D">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（4）所有展示照明灯具具备单灯调光功能，可实现10～100%的单灯调光，也可系统调光。</w:t>
      </w:r>
    </w:p>
    <w:p w14:paraId="4640D5FF">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（5）芯片采用COB加反射器的形式，有效降低眩光值。</w:t>
      </w:r>
    </w:p>
    <w:p w14:paraId="7162A5AB">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（6）灯具整体寿命要求达到50000小时，并能达到L80/B10标准，（90%的灯具50000小时后光通量高过初始光通量的80%）。</w:t>
      </w:r>
    </w:p>
    <w:p w14:paraId="5D3A2AC5">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（7）所有灯具具备高品质的出光质量。</w:t>
      </w:r>
    </w:p>
    <w:p w14:paraId="563774D6">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8）色温采用范围3000-5300K，灯具材料应利于照明装置散热。移动调节灵活，拆装方便，操作便捷，性能稳定。重量较轻，利于观众人身安全。灯具轨道应具备良好的通用性；不易变形或扭曲；安装简单，灵活；使用安全；导电，接地可靠；使用寿命长等特点。</w:t>
      </w:r>
    </w:p>
    <w:p w14:paraId="7BF3684F">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9）功能扩展性：针对展品不同体量的大小，要求同一系列灯具具有不同配光角度。（包括最窄角度效果，窄角度效果，宽光角度效果，泛光角度效果，椭圆形角度效果，墙面布光效果，带棱镜墙面布光效果）。</w:t>
      </w:r>
    </w:p>
    <w:p w14:paraId="553310D6">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4.4 多媒体展项制作技术要求</w:t>
      </w:r>
    </w:p>
    <w:p w14:paraId="397D8E95">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4.4.1 多媒体展项设计要求</w:t>
      </w:r>
    </w:p>
    <w:p w14:paraId="1F5C8AC7">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本项目所有数字多媒体内容均须根据上海文学馆展陈大纲与策展逻辑进行定制化开发，不得使用通用模板、库存影像或简单拼接素材。多媒体内容须在充分理解上海文学史脉络、人物关系与空间叙事的基础上完成创作。</w:t>
      </w:r>
    </w:p>
    <w:p w14:paraId="1A290044">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（1）多媒体技术的应用是提升展陈效果的重要手段，为了更好地表现、诠释展览内容，鼓励观众与展项互动，多媒体展陈必须重视美感、创新和个性化等方面的效果。</w:t>
      </w:r>
    </w:p>
    <w:p w14:paraId="60CB48B0">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（2）多媒体设计应紧密结合展览内容需求，力求表现艺术性、教育性、趣味性，利用各种多媒体技术给观众以生动的体验。</w:t>
      </w:r>
    </w:p>
    <w:p w14:paraId="02FA83A6">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 所有多媒体展项需要集成在中控系统中，通过专业的工具和操作界面，让采购人可以对各个展项进行控制和维护，从而提升展陈运营管理能力。</w:t>
      </w:r>
    </w:p>
    <w:p w14:paraId="49D8DAD0">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（4）各种硬件接口应尽量采用通用接口，部分需进行特殊定制化的展项，软硬件要求以实际多媒体展陈需求为准。</w:t>
      </w:r>
    </w:p>
    <w:p w14:paraId="472AE89C">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5）根据展陈需要，多媒体内容制作将依据展陈大纲及脚本需求开展，包含实景拍摄与人物影像采集工作，包括但不限于：作家纪实影像；作家故居、历史建筑、城市街区等文学空间的实景拍摄；历史影像、文献资料与当代影像的综合整合等。</w:t>
      </w:r>
    </w:p>
    <w:p w14:paraId="2FDDE05B">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4.4.2 多媒体展项制作要求</w:t>
      </w:r>
    </w:p>
    <w:p w14:paraId="610A8E04">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多媒体展项制作的范畴包括：实景视频、二维动画、三维动画、根据数据可视化或算法生成的视觉动态；互动程序开发、交互内容制作、UI界面设计制作；背景音乐声响效果创作等。（多媒体展项内容制作素材待采购完成后中标人深化设计前由采购人提供）</w:t>
      </w:r>
    </w:p>
    <w:p w14:paraId="4431CAC7">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（1）视频等非交互演示类画面：</w:t>
      </w:r>
    </w:p>
    <w:p w14:paraId="757A7FAC">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格式：通用格式mp4、mpg、avi、mov、mp3、wav等；</w:t>
      </w:r>
    </w:p>
    <w:p w14:paraId="14BAA3D5">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视频：分辨率3840×2160/2560×1440/1920×1080（或按实际显示需求定制）；每秒帧数不小于29fps；位率不低于4096kbs；</w:t>
      </w:r>
    </w:p>
    <w:p w14:paraId="21F38848">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音频：采样率不低于48000Hz；声道2声道；位率不低于320kbs；采样位数不低于16位。</w:t>
      </w:r>
    </w:p>
    <w:p w14:paraId="3F9F1D8D">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 xml:space="preserve">其他要求：画面细腻，表现力强，内容传达科学、准确、到位；内容与细节的真实性必须得到采购人认可；音乐音效运用恰到好处；整片画面流畅，杜绝失帧、夹帧。 </w:t>
      </w:r>
    </w:p>
    <w:p w14:paraId="4C22EE44">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（2）交互类应用：</w:t>
      </w:r>
    </w:p>
    <w:p w14:paraId="62619421">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开发环境：开发软件必须能集成Windows或安卓系统兼容的运行内容；系统协议应具有开放性，同时能通过多种接口与其他系统实现互联和兼容。</w:t>
      </w:r>
    </w:p>
    <w:p w14:paraId="76B909C8">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其他要求：内容表达精准；系统中所涉及的文字、音频、视频等各种媒体内容真实、详实、安全、合法；与展厅整体风格协调一致。</w:t>
      </w:r>
    </w:p>
    <w:p w14:paraId="76DDAB9B">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4.5 中控系统技术要求</w:t>
      </w:r>
    </w:p>
    <w:p w14:paraId="41DA7160">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中控系统是对展厅内声、光、电等各种设备进行集中控制的设备系统。应用于现代展馆可集中对展示中的各类多媒体设备、灯光系统、机械系统进行管理和控制，实现对多媒体展项的智能化管理。可控制多媒体展项内所有设备（电脑主机、播放器、投影机、灯光、机械系统等），并发送命令控制设备的开机、关机、播放等，实现对展馆多媒体展项的智能化集中控制，中控软件应支持windows、安卓、IOS等常用PC端、移动端操作系统。</w:t>
      </w:r>
      <w:r>
        <w:rPr>
          <w:rFonts w:ascii="仿宋" w:hAnsi="仿宋" w:eastAsia="仿宋"/>
          <w:color w:val="auto"/>
          <w:sz w:val="28"/>
          <w:szCs w:val="28"/>
        </w:rPr>
        <w:cr/>
      </w:r>
      <w:r>
        <w:rPr>
          <w:rFonts w:ascii="仿宋" w:hAnsi="仿宋" w:eastAsia="仿宋"/>
          <w:color w:val="auto"/>
          <w:sz w:val="28"/>
          <w:szCs w:val="28"/>
        </w:rPr>
        <w:t>（1）实现投影机的控制：控制投影机的供电和完全断电；控制投影机的主要功能，如开关机、 VGA输入切换等；并且能够自动实现关联动作，保护投影机。</w:t>
      </w:r>
      <w:r>
        <w:rPr>
          <w:rFonts w:ascii="仿宋" w:hAnsi="仿宋" w:eastAsia="仿宋"/>
          <w:color w:val="auto"/>
          <w:sz w:val="28"/>
          <w:szCs w:val="28"/>
        </w:rPr>
        <w:cr/>
      </w:r>
      <w:r>
        <w:rPr>
          <w:rFonts w:ascii="仿宋" w:hAnsi="仿宋" w:eastAsia="仿宋"/>
          <w:color w:val="auto"/>
          <w:sz w:val="28"/>
          <w:szCs w:val="28"/>
        </w:rPr>
        <w:t>（2）实现 A/V 设备的控制：控制播放器的播放动作，如播放、停止、复位等功能；自动控制PC 主机的开关机，待PC主机完全关闭后自动完全断电。</w:t>
      </w:r>
    </w:p>
    <w:p w14:paraId="6D7E281D">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（3）集中管理多个系统：可以利用中控软件对每个系统（控制模块）进行独立命名、编组、添加说明信息。</w:t>
      </w:r>
    </w:p>
    <w:p w14:paraId="0799D208">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（4）集中控制：</w:t>
      </w:r>
    </w:p>
    <w:p w14:paraId="6FC35D25">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（a）利用软件的功能，一次性可以将所有系统开机。</w:t>
      </w:r>
      <w:r>
        <w:rPr>
          <w:rFonts w:ascii="仿宋" w:hAnsi="仿宋" w:eastAsia="仿宋"/>
          <w:color w:val="auto"/>
          <w:sz w:val="28"/>
          <w:szCs w:val="28"/>
        </w:rPr>
        <w:cr/>
      </w:r>
      <w:r>
        <w:rPr>
          <w:rFonts w:ascii="仿宋" w:hAnsi="仿宋" w:eastAsia="仿宋"/>
          <w:color w:val="auto"/>
          <w:sz w:val="28"/>
          <w:szCs w:val="28"/>
        </w:rPr>
        <w:t>（b）利用软件的功能，一次性可以将所有系统关闭。</w:t>
      </w:r>
      <w:r>
        <w:rPr>
          <w:rFonts w:ascii="仿宋" w:hAnsi="仿宋" w:eastAsia="仿宋"/>
          <w:color w:val="auto"/>
          <w:sz w:val="28"/>
          <w:szCs w:val="28"/>
        </w:rPr>
        <w:cr/>
      </w:r>
      <w:r>
        <w:rPr>
          <w:rFonts w:ascii="仿宋" w:hAnsi="仿宋" w:eastAsia="仿宋"/>
          <w:color w:val="auto"/>
          <w:sz w:val="28"/>
          <w:szCs w:val="28"/>
        </w:rPr>
        <w:t>（c）利用软件的功能，通过对单个多媒体展项进行单独的网络控制。</w:t>
      </w:r>
    </w:p>
    <w:p w14:paraId="44951ACF">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4.6 艺术展项制作技术要求</w:t>
      </w:r>
    </w:p>
    <w:p w14:paraId="3B0B4F5C">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4.6.1 艺术展项设计要求</w:t>
      </w:r>
    </w:p>
    <w:p w14:paraId="28D23EB7">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艺术展项、场景的创作及制作应结合展览主题及展陈大纲中的重要内容合理运用，展项深化设计方案应包含深化内容、展项小稿，小稿对重点展项内容表达清晰准确。以初步设计资料和重点展项深化设计说明为基础进行深化，场景所表现的内容真实反映场景的整体设定。</w:t>
      </w:r>
    </w:p>
    <w:p w14:paraId="0F271CB2">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4.6.2 艺术展项制作要求</w:t>
      </w:r>
    </w:p>
    <w:p w14:paraId="0A27D4D7">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（1）基础结构：艺术展项、场景内部结构设计，墙体与基层平台连接点处理可靠，承托基层展台结构牢固，场景中展台、展柜及围护结构件等符合质量要求。</w:t>
      </w:r>
    </w:p>
    <w:p w14:paraId="4CE25F9B">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（2）主体材料：场景中的人物（如有）应造型准确，形神兼备，构图精巧。根据内容需求合理使用不同材料饰面表达，场景所使用的材料应确保在色彩、质感、肌理达到逼真的自然视觉效果。</w:t>
      </w:r>
    </w:p>
    <w:p w14:paraId="49D7C0B9">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（3）背景画：画面应围绕展示主题进行深化设计和绘制，画面与前景展示相互配合，其内容和疏密应与前景做整体考虑，在视觉上达到协调统一的效果。</w:t>
      </w:r>
    </w:p>
    <w:p w14:paraId="46760127">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（4）展项照明设计效果应根据展项整体的设定，综合考虑被照射物体表面质感进行整体设计，灯具和光源要考虑避免眩光，体现节能原则和方便维护保养。</w:t>
      </w:r>
    </w:p>
    <w:p w14:paraId="64EB11CA">
      <w:pPr>
        <w:pStyle w:val="2"/>
        <w:spacing w:before="0" w:after="0" w:line="360" w:lineRule="auto"/>
        <w:rPr>
          <w:rFonts w:hint="default" w:ascii="仿宋" w:hAnsi="仿宋" w:eastAsia="仿宋"/>
          <w:color w:val="auto"/>
          <w:sz w:val="28"/>
          <w:szCs w:val="28"/>
        </w:rPr>
      </w:pPr>
      <w:r>
        <w:rPr>
          <w:rFonts w:ascii="仿宋" w:hAnsi="仿宋" w:eastAsia="仿宋"/>
          <w:color w:val="auto"/>
          <w:sz w:val="28"/>
          <w:szCs w:val="28"/>
        </w:rPr>
        <w:t>第五章 项目实施与进度计划</w:t>
      </w:r>
    </w:p>
    <w:p w14:paraId="2A937E0C">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5.1 实施总体要求</w:t>
      </w:r>
    </w:p>
    <w:p w14:paraId="2198CD54">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5.1.1 实施目标</w:t>
      </w:r>
    </w:p>
    <w:p w14:paraId="30115332">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建设目标是确保上海文学馆展陈美工制作、专业照明采购、多媒体展项制作、艺术展项制作、专业展柜定制、辅助道具制作、布展配套服务在工期范围内顺利完成，保证工程质量、安全及展示效果达到设计与验收标准，实现预定功能目标。</w:t>
      </w:r>
    </w:p>
    <w:p w14:paraId="1FFFEBA6">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5.1.2 实施原则</w:t>
      </w:r>
    </w:p>
    <w:p w14:paraId="098CA44A">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项目实施坚持“科学组织、统筹协调、安全高效、质量优先”的总体原则。施工各专业须紧密配合，实行分区分阶段管理，确保现场施工安全与进度协调。所有施工工艺应符合文保建筑施工要求，遵循“可逆性、轻量化、无损性”原则，禁止破坏原有结构。施工现场实行封闭管理制度，严格控制噪音、粉尘与废弃物排放，保障施工文明、安全与环保。</w:t>
      </w:r>
    </w:p>
    <w:p w14:paraId="7D4AFC33">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5.2 项目组织结构</w:t>
      </w:r>
    </w:p>
    <w:p w14:paraId="55E9A285">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 xml:space="preserve">项目实施采用 </w:t>
      </w:r>
      <w:r>
        <w:rPr>
          <w:rStyle w:val="24"/>
          <w:rFonts w:ascii="仿宋" w:hAnsi="仿宋" w:eastAsia="仿宋"/>
          <w:color w:val="auto"/>
          <w:sz w:val="28"/>
          <w:szCs w:val="28"/>
        </w:rPr>
        <w:t>项目经理负责制</w:t>
      </w:r>
      <w:r>
        <w:rPr>
          <w:rFonts w:ascii="仿宋" w:hAnsi="仿宋" w:eastAsia="仿宋"/>
          <w:color w:val="auto"/>
          <w:sz w:val="28"/>
          <w:szCs w:val="28"/>
        </w:rPr>
        <w:t>。项目团队设置如下：</w:t>
      </w:r>
    </w:p>
    <w:p w14:paraId="2883DEC3">
      <w:pPr>
        <w:pStyle w:val="17"/>
        <w:spacing w:before="0" w:beforeAutospacing="0" w:after="0" w:afterAutospacing="0" w:line="360" w:lineRule="auto"/>
        <w:rPr>
          <w:rStyle w:val="24"/>
          <w:rFonts w:hint="default" w:ascii="仿宋" w:hAnsi="仿宋" w:eastAsia="仿宋"/>
          <w:color w:val="auto"/>
          <w:sz w:val="28"/>
          <w:szCs w:val="28"/>
        </w:rPr>
      </w:pPr>
      <w:r>
        <w:rPr>
          <w:rStyle w:val="24"/>
          <w:rFonts w:ascii="仿宋" w:hAnsi="仿宋" w:eastAsia="仿宋"/>
          <w:color w:val="auto"/>
          <w:sz w:val="28"/>
          <w:szCs w:val="28"/>
        </w:rPr>
        <w:t>项目经理</w:t>
      </w:r>
      <w:r>
        <w:rPr>
          <w:rFonts w:ascii="仿宋" w:hAnsi="仿宋" w:eastAsia="仿宋"/>
          <w:color w:val="auto"/>
          <w:sz w:val="28"/>
          <w:szCs w:val="28"/>
        </w:rPr>
        <w:t>：项目实施第一责任人，负责统筹计划、进度、质量及安全管理；</w:t>
      </w:r>
    </w:p>
    <w:p w14:paraId="7B1495A7">
      <w:pPr>
        <w:pStyle w:val="17"/>
        <w:spacing w:before="0" w:beforeAutospacing="0" w:after="0" w:afterAutospacing="0" w:line="360" w:lineRule="auto"/>
        <w:rPr>
          <w:rStyle w:val="24"/>
          <w:rFonts w:hint="default" w:ascii="仿宋" w:hAnsi="仿宋" w:eastAsia="仿宋"/>
          <w:color w:val="auto"/>
          <w:sz w:val="28"/>
          <w:szCs w:val="28"/>
        </w:rPr>
      </w:pPr>
      <w:r>
        <w:rPr>
          <w:rStyle w:val="24"/>
          <w:rFonts w:ascii="仿宋" w:hAnsi="仿宋" w:eastAsia="仿宋"/>
          <w:color w:val="auto"/>
          <w:sz w:val="28"/>
          <w:szCs w:val="28"/>
        </w:rPr>
        <w:t>设计深化组</w:t>
      </w:r>
      <w:r>
        <w:rPr>
          <w:rFonts w:ascii="仿宋" w:hAnsi="仿宋" w:eastAsia="仿宋"/>
          <w:color w:val="auto"/>
          <w:sz w:val="28"/>
          <w:szCs w:val="28"/>
        </w:rPr>
        <w:t>：负责方案设计深化、材料工艺优化及样品控制；</w:t>
      </w:r>
    </w:p>
    <w:p w14:paraId="74E19652">
      <w:pPr>
        <w:pStyle w:val="17"/>
        <w:spacing w:before="0" w:beforeAutospacing="0" w:after="0" w:afterAutospacing="0" w:line="360" w:lineRule="auto"/>
        <w:rPr>
          <w:rStyle w:val="24"/>
          <w:rFonts w:hint="default" w:ascii="仿宋" w:hAnsi="仿宋" w:eastAsia="仿宋"/>
          <w:color w:val="auto"/>
          <w:sz w:val="28"/>
          <w:szCs w:val="28"/>
        </w:rPr>
      </w:pPr>
      <w:r>
        <w:rPr>
          <w:rStyle w:val="24"/>
          <w:rFonts w:ascii="仿宋" w:hAnsi="仿宋" w:eastAsia="仿宋"/>
          <w:color w:val="auto"/>
          <w:sz w:val="28"/>
          <w:szCs w:val="28"/>
        </w:rPr>
        <w:t>施工管理组</w:t>
      </w:r>
      <w:r>
        <w:rPr>
          <w:rFonts w:ascii="仿宋" w:hAnsi="仿宋" w:eastAsia="仿宋"/>
          <w:color w:val="auto"/>
          <w:sz w:val="28"/>
          <w:szCs w:val="28"/>
        </w:rPr>
        <w:t>：负责现场施工组织、质量检验、安全监督（专职安全员必配）、各专业协调与调度；</w:t>
      </w:r>
    </w:p>
    <w:p w14:paraId="7DFC4A7E">
      <w:pPr>
        <w:pStyle w:val="17"/>
        <w:spacing w:before="0" w:beforeAutospacing="0" w:after="0" w:afterAutospacing="0" w:line="360" w:lineRule="auto"/>
        <w:rPr>
          <w:rStyle w:val="24"/>
          <w:rFonts w:hint="default" w:ascii="仿宋" w:hAnsi="仿宋" w:eastAsia="仿宋"/>
          <w:color w:val="auto"/>
          <w:sz w:val="28"/>
          <w:szCs w:val="28"/>
        </w:rPr>
      </w:pPr>
      <w:r>
        <w:rPr>
          <w:rStyle w:val="24"/>
          <w:rFonts w:ascii="仿宋" w:hAnsi="仿宋" w:eastAsia="仿宋"/>
          <w:color w:val="auto"/>
          <w:sz w:val="28"/>
          <w:szCs w:val="28"/>
        </w:rPr>
        <w:t>多媒体组</w:t>
      </w:r>
      <w:r>
        <w:rPr>
          <w:rFonts w:ascii="仿宋" w:hAnsi="仿宋" w:eastAsia="仿宋"/>
          <w:color w:val="auto"/>
          <w:sz w:val="28"/>
          <w:szCs w:val="28"/>
        </w:rPr>
        <w:t>：负责多媒体设备安装、联调及内容播放测试。</w:t>
      </w:r>
    </w:p>
    <w:p w14:paraId="5A137988">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5.3 工期与进度控制</w:t>
      </w:r>
    </w:p>
    <w:p w14:paraId="632BB50A">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（1）项目工期：自开工令下达之日起计算，要求160日历天达到试运行状态，进入不少于</w:t>
      </w:r>
      <w:r>
        <w:rPr>
          <w:rFonts w:hint="eastAsia" w:ascii="仿宋" w:hAnsi="仿宋" w:eastAsia="仿宋"/>
          <w:color w:val="auto"/>
          <w:sz w:val="28"/>
          <w:szCs w:val="28"/>
          <w:lang w:val="en-US" w:eastAsia="zh-CN"/>
        </w:rPr>
        <w:t>90</w:t>
      </w:r>
      <w:bookmarkStart w:id="1" w:name="_GoBack"/>
      <w:bookmarkEnd w:id="1"/>
      <w:r>
        <w:rPr>
          <w:rFonts w:ascii="仿宋" w:hAnsi="仿宋" w:eastAsia="仿宋"/>
          <w:color w:val="auto"/>
          <w:sz w:val="28"/>
          <w:szCs w:val="28"/>
        </w:rPr>
        <w:t>日历天的试运行，试运行结束后配合采购人完成验收工作。</w:t>
      </w:r>
    </w:p>
    <w:p w14:paraId="37B382E0">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（2）本布展项目应按照招标文件要求完成布展的设计方案以及布展制作，设计方案需经过甲方确认，并达到验收交付标准。</w:t>
      </w:r>
    </w:p>
    <w:p w14:paraId="3B48CCE9">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（3）由于下列原因造成服务期推迟延误，经采购人代表确认后，中标人有理由延期完成交付，采购人同中标人协商延长期限：</w:t>
      </w:r>
    </w:p>
    <w:p w14:paraId="5D05CDFA">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1）由于采购人原因造成的延误；</w:t>
      </w:r>
    </w:p>
    <w:p w14:paraId="0E2CE414">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2）由于不可抗力造成的延误；</w:t>
      </w:r>
    </w:p>
    <w:p w14:paraId="0F52BD49">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3）其他不属于中标人原因造成的延误。</w:t>
      </w:r>
    </w:p>
    <w:p w14:paraId="3AE3435A">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非上述原因，中标人不能按照合同工期完成，应承担违约责任，并按照相关考核办法，计算损失赔偿费用。</w:t>
      </w:r>
    </w:p>
    <w:p w14:paraId="045655FA">
      <w:pPr>
        <w:pStyle w:val="2"/>
        <w:spacing w:before="0" w:after="0" w:line="360" w:lineRule="auto"/>
        <w:rPr>
          <w:rFonts w:hint="default" w:ascii="仿宋" w:hAnsi="仿宋" w:eastAsia="仿宋"/>
          <w:color w:val="auto"/>
          <w:sz w:val="28"/>
          <w:szCs w:val="28"/>
        </w:rPr>
      </w:pPr>
      <w:r>
        <w:rPr>
          <w:rFonts w:ascii="仿宋" w:hAnsi="仿宋" w:eastAsia="仿宋"/>
          <w:color w:val="auto"/>
          <w:sz w:val="28"/>
          <w:szCs w:val="28"/>
        </w:rPr>
        <w:t>第六章 质量控制与安全管理</w:t>
      </w:r>
    </w:p>
    <w:p w14:paraId="0D8465C5">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6.1 总体要求</w:t>
      </w:r>
    </w:p>
    <w:p w14:paraId="604655E7">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6.1.1 管理目标</w:t>
      </w:r>
    </w:p>
    <w:p w14:paraId="4D6FEB46">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本项目质量控制与安全管理目标为：</w:t>
      </w:r>
    </w:p>
    <w:p w14:paraId="49A3750B">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项目质量合格率100%；</w:t>
      </w:r>
    </w:p>
    <w:p w14:paraId="255AB85F">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施工安全事故为零；</w:t>
      </w:r>
    </w:p>
    <w:p w14:paraId="71041053">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项目交付一次性通过验收；</w:t>
      </w:r>
    </w:p>
    <w:p w14:paraId="0E416B55">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各系统运行稳定率≥99%。</w:t>
      </w:r>
    </w:p>
    <w:p w14:paraId="377FE3FA">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承建方须建立完善的质量安全管理体系，确保项目全过程受控、可追溯、可验收。</w:t>
      </w:r>
    </w:p>
    <w:p w14:paraId="39A17DFA">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6.1.2 管理原则</w:t>
      </w:r>
    </w:p>
    <w:p w14:paraId="0DE776E0">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质量与安全管理应坚持“预防为主、过程控制、全员参与、持续改进”的原则。施工过程应实行动态监测、节点验收、资料同步归档的管理模式。</w:t>
      </w:r>
    </w:p>
    <w:p w14:paraId="3CE74279">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6.1.3 与装饰总包的配合要求</w:t>
      </w:r>
    </w:p>
    <w:p w14:paraId="3ED6A526">
      <w:pPr>
        <w:pStyle w:val="17"/>
        <w:spacing w:before="0" w:beforeAutospacing="0" w:after="0" w:afterAutospacing="0" w:line="360" w:lineRule="auto"/>
        <w:rPr>
          <w:rFonts w:hint="default" w:ascii="仿宋" w:hAnsi="仿宋" w:eastAsia="仿宋"/>
          <w:color w:val="auto"/>
          <w:sz w:val="28"/>
          <w:szCs w:val="28"/>
        </w:rPr>
      </w:pPr>
      <w:r>
        <w:rPr>
          <w:rFonts w:hint="default" w:ascii="仿宋" w:hAnsi="仿宋" w:eastAsia="仿宋"/>
          <w:color w:val="auto"/>
          <w:sz w:val="28"/>
          <w:szCs w:val="28"/>
        </w:rPr>
        <w:t>中标人应积极与装饰总包协调配合，包括但不限于</w:t>
      </w:r>
      <w:r>
        <w:rPr>
          <w:rFonts w:ascii="仿宋" w:hAnsi="仿宋" w:eastAsia="仿宋"/>
          <w:color w:val="auto"/>
          <w:sz w:val="28"/>
          <w:szCs w:val="28"/>
        </w:rPr>
        <w:t>：</w:t>
      </w:r>
    </w:p>
    <w:p w14:paraId="510018C1">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w:t>
      </w:r>
      <w:r>
        <w:rPr>
          <w:rFonts w:hint="default" w:ascii="仿宋" w:hAnsi="仿宋" w:eastAsia="仿宋"/>
          <w:color w:val="auto"/>
          <w:sz w:val="28"/>
          <w:szCs w:val="28"/>
        </w:rPr>
        <w:t>协助及配合</w:t>
      </w:r>
      <w:r>
        <w:rPr>
          <w:rFonts w:ascii="仿宋" w:hAnsi="仿宋" w:eastAsia="仿宋"/>
          <w:color w:val="auto"/>
          <w:sz w:val="28"/>
          <w:szCs w:val="28"/>
        </w:rPr>
        <w:t>装饰总包</w:t>
      </w:r>
      <w:r>
        <w:rPr>
          <w:rFonts w:hint="default" w:ascii="仿宋" w:hAnsi="仿宋" w:eastAsia="仿宋"/>
          <w:color w:val="auto"/>
          <w:sz w:val="28"/>
          <w:szCs w:val="28"/>
        </w:rPr>
        <w:t>边界配套设施的现场安装、现场管线需求和场地准备、装饰收口等工作。</w:t>
      </w:r>
    </w:p>
    <w:p w14:paraId="1D2F4890">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w:t>
      </w:r>
      <w:r>
        <w:rPr>
          <w:rFonts w:hint="default" w:ascii="仿宋" w:hAnsi="仿宋" w:eastAsia="仿宋"/>
          <w:color w:val="auto"/>
          <w:sz w:val="28"/>
          <w:szCs w:val="28"/>
        </w:rPr>
        <w:t>接受</w:t>
      </w:r>
      <w:r>
        <w:rPr>
          <w:rFonts w:ascii="仿宋" w:hAnsi="仿宋" w:eastAsia="仿宋"/>
          <w:color w:val="auto"/>
          <w:sz w:val="28"/>
          <w:szCs w:val="28"/>
        </w:rPr>
        <w:t>装饰总包</w:t>
      </w:r>
      <w:r>
        <w:rPr>
          <w:rFonts w:hint="default" w:ascii="仿宋" w:hAnsi="仿宋" w:eastAsia="仿宋"/>
          <w:color w:val="auto"/>
          <w:sz w:val="28"/>
          <w:szCs w:val="28"/>
        </w:rPr>
        <w:t>现场安全管理：中标人有义务接受</w:t>
      </w:r>
      <w:r>
        <w:rPr>
          <w:rFonts w:ascii="仿宋" w:hAnsi="仿宋" w:eastAsia="仿宋"/>
          <w:color w:val="auto"/>
          <w:sz w:val="28"/>
          <w:szCs w:val="28"/>
        </w:rPr>
        <w:t>装饰总包</w:t>
      </w:r>
      <w:r>
        <w:rPr>
          <w:rFonts w:hint="default" w:ascii="仿宋" w:hAnsi="仿宋" w:eastAsia="仿宋"/>
          <w:color w:val="auto"/>
          <w:sz w:val="28"/>
          <w:szCs w:val="28"/>
        </w:rPr>
        <w:t>对人员场地等涉及施工区域的安全事项的管理，并向</w:t>
      </w:r>
      <w:r>
        <w:rPr>
          <w:rFonts w:ascii="仿宋" w:hAnsi="仿宋" w:eastAsia="仿宋"/>
          <w:color w:val="auto"/>
          <w:sz w:val="28"/>
          <w:szCs w:val="28"/>
        </w:rPr>
        <w:t>装修</w:t>
      </w:r>
      <w:r>
        <w:rPr>
          <w:rFonts w:hint="default" w:ascii="仿宋" w:hAnsi="仿宋" w:eastAsia="仿宋"/>
          <w:color w:val="auto"/>
          <w:sz w:val="28"/>
          <w:szCs w:val="28"/>
        </w:rPr>
        <w:t>总包提出全部项目进出现场安装的实施计划，并服从其统一现场安全管理。</w:t>
      </w:r>
    </w:p>
    <w:p w14:paraId="305CF46C">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（3）根据采购人要求协调装饰总包提供工作界面，总体推进项目进度实施。</w:t>
      </w:r>
    </w:p>
    <w:p w14:paraId="47700281">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6.2 质量管理体系</w:t>
      </w:r>
    </w:p>
    <w:p w14:paraId="6A088E0B">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6.2.1 体系构成</w:t>
      </w:r>
    </w:p>
    <w:p w14:paraId="7A9C5C6F">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项目实施应建立“三级质量管理体系”：</w:t>
      </w:r>
    </w:p>
    <w:p w14:paraId="7F5D5417">
      <w:pPr>
        <w:pStyle w:val="17"/>
        <w:spacing w:before="0" w:beforeAutospacing="0" w:after="0" w:afterAutospacing="0" w:line="360" w:lineRule="auto"/>
        <w:rPr>
          <w:rStyle w:val="24"/>
          <w:rFonts w:hint="default" w:ascii="仿宋" w:hAnsi="仿宋" w:eastAsia="仿宋"/>
          <w:color w:val="auto"/>
          <w:sz w:val="28"/>
          <w:szCs w:val="28"/>
        </w:rPr>
      </w:pPr>
      <w:r>
        <w:rPr>
          <w:rStyle w:val="24"/>
          <w:rFonts w:ascii="仿宋" w:hAnsi="仿宋" w:eastAsia="仿宋"/>
          <w:b w:val="0"/>
          <w:color w:val="auto"/>
          <w:sz w:val="28"/>
          <w:szCs w:val="28"/>
        </w:rPr>
        <w:t>一级管理</w:t>
      </w:r>
      <w:r>
        <w:rPr>
          <w:rFonts w:ascii="仿宋" w:hAnsi="仿宋" w:eastAsia="仿宋"/>
          <w:color w:val="auto"/>
          <w:sz w:val="28"/>
          <w:szCs w:val="28"/>
        </w:rPr>
        <w:t>：项目经理全面负责项目质量；</w:t>
      </w:r>
    </w:p>
    <w:p w14:paraId="4153FF99">
      <w:pPr>
        <w:pStyle w:val="17"/>
        <w:spacing w:before="0" w:beforeAutospacing="0" w:after="0" w:afterAutospacing="0" w:line="360" w:lineRule="auto"/>
        <w:rPr>
          <w:rStyle w:val="24"/>
          <w:rFonts w:hint="default" w:ascii="仿宋" w:hAnsi="仿宋" w:eastAsia="仿宋"/>
          <w:color w:val="auto"/>
          <w:sz w:val="28"/>
          <w:szCs w:val="28"/>
        </w:rPr>
      </w:pPr>
      <w:r>
        <w:rPr>
          <w:rStyle w:val="24"/>
          <w:rFonts w:ascii="仿宋" w:hAnsi="仿宋" w:eastAsia="仿宋"/>
          <w:b w:val="0"/>
          <w:color w:val="auto"/>
          <w:sz w:val="28"/>
          <w:szCs w:val="28"/>
        </w:rPr>
        <w:t>二级管理</w:t>
      </w:r>
      <w:r>
        <w:rPr>
          <w:rFonts w:ascii="仿宋" w:hAnsi="仿宋" w:eastAsia="仿宋"/>
          <w:color w:val="auto"/>
          <w:sz w:val="28"/>
          <w:szCs w:val="28"/>
        </w:rPr>
        <w:t>：专业工程师负责各分项工程质量控制；</w:t>
      </w:r>
    </w:p>
    <w:p w14:paraId="1D3DAF91">
      <w:pPr>
        <w:pStyle w:val="17"/>
        <w:spacing w:before="0" w:beforeAutospacing="0" w:after="0" w:afterAutospacing="0" w:line="360" w:lineRule="auto"/>
        <w:rPr>
          <w:rStyle w:val="24"/>
          <w:rFonts w:hint="default" w:ascii="仿宋" w:hAnsi="仿宋" w:eastAsia="仿宋"/>
          <w:color w:val="auto"/>
          <w:sz w:val="28"/>
          <w:szCs w:val="28"/>
        </w:rPr>
      </w:pPr>
      <w:r>
        <w:rPr>
          <w:rStyle w:val="24"/>
          <w:rFonts w:ascii="仿宋" w:hAnsi="仿宋" w:eastAsia="仿宋"/>
          <w:b w:val="0"/>
          <w:color w:val="auto"/>
          <w:sz w:val="28"/>
          <w:szCs w:val="28"/>
        </w:rPr>
        <w:t>三级管理</w:t>
      </w:r>
      <w:r>
        <w:rPr>
          <w:rFonts w:ascii="仿宋" w:hAnsi="仿宋" w:eastAsia="仿宋"/>
          <w:color w:val="auto"/>
          <w:sz w:val="28"/>
          <w:szCs w:val="28"/>
        </w:rPr>
        <w:t>：班组长及操作人员负责具体工序质量。</w:t>
      </w:r>
    </w:p>
    <w:p w14:paraId="7DCE2BE2">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各层级须签订质量责任书，明确岗位职责、考核指标及奖惩机制。</w:t>
      </w:r>
    </w:p>
    <w:p w14:paraId="6460A4F6">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6.2.2 质量管理流程</w:t>
      </w:r>
    </w:p>
    <w:p w14:paraId="2CB48710">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质量管理全过程分为：</w:t>
      </w:r>
      <w:r>
        <w:rPr>
          <w:rStyle w:val="24"/>
          <w:rFonts w:ascii="仿宋" w:hAnsi="仿宋" w:eastAsia="仿宋"/>
          <w:b w:val="0"/>
          <w:color w:val="auto"/>
          <w:sz w:val="28"/>
          <w:szCs w:val="28"/>
        </w:rPr>
        <w:t>材料验收</w:t>
      </w:r>
      <w:r>
        <w:rPr>
          <w:rStyle w:val="24"/>
          <w:rFonts w:hint="default" w:ascii="仿宋" w:hAnsi="仿宋" w:eastAsia="仿宋"/>
          <w:b w:val="0"/>
          <w:color w:val="auto"/>
          <w:sz w:val="28"/>
          <w:szCs w:val="28"/>
        </w:rPr>
        <w:t xml:space="preserve"> </w:t>
      </w:r>
      <w:r>
        <w:rPr>
          <w:rStyle w:val="24"/>
          <w:rFonts w:ascii="仿宋" w:hAnsi="仿宋" w:eastAsia="仿宋"/>
          <w:b w:val="0"/>
          <w:color w:val="auto"/>
          <w:sz w:val="28"/>
          <w:szCs w:val="28"/>
        </w:rPr>
        <w:t>→</w:t>
      </w:r>
      <w:r>
        <w:rPr>
          <w:rStyle w:val="24"/>
          <w:rFonts w:hint="default" w:ascii="仿宋" w:hAnsi="仿宋" w:eastAsia="仿宋"/>
          <w:b w:val="0"/>
          <w:color w:val="auto"/>
          <w:sz w:val="28"/>
          <w:szCs w:val="28"/>
        </w:rPr>
        <w:t xml:space="preserve"> </w:t>
      </w:r>
      <w:r>
        <w:rPr>
          <w:rStyle w:val="24"/>
          <w:rFonts w:ascii="仿宋" w:hAnsi="仿宋" w:eastAsia="仿宋"/>
          <w:b w:val="0"/>
          <w:color w:val="auto"/>
          <w:sz w:val="28"/>
          <w:szCs w:val="28"/>
        </w:rPr>
        <w:t>过程检查</w:t>
      </w:r>
      <w:r>
        <w:rPr>
          <w:rStyle w:val="24"/>
          <w:rFonts w:hint="default" w:ascii="仿宋" w:hAnsi="仿宋" w:eastAsia="仿宋"/>
          <w:b w:val="0"/>
          <w:color w:val="auto"/>
          <w:sz w:val="28"/>
          <w:szCs w:val="28"/>
        </w:rPr>
        <w:t xml:space="preserve"> </w:t>
      </w:r>
      <w:r>
        <w:rPr>
          <w:rStyle w:val="24"/>
          <w:rFonts w:ascii="仿宋" w:hAnsi="仿宋" w:eastAsia="仿宋"/>
          <w:b w:val="0"/>
          <w:color w:val="auto"/>
          <w:sz w:val="28"/>
          <w:szCs w:val="28"/>
        </w:rPr>
        <w:t>→</w:t>
      </w:r>
      <w:r>
        <w:rPr>
          <w:rStyle w:val="24"/>
          <w:rFonts w:hint="default" w:ascii="仿宋" w:hAnsi="仿宋" w:eastAsia="仿宋"/>
          <w:b w:val="0"/>
          <w:color w:val="auto"/>
          <w:sz w:val="28"/>
          <w:szCs w:val="28"/>
        </w:rPr>
        <w:t xml:space="preserve"> </w:t>
      </w:r>
      <w:r>
        <w:rPr>
          <w:rStyle w:val="24"/>
          <w:rFonts w:ascii="仿宋" w:hAnsi="仿宋" w:eastAsia="仿宋"/>
          <w:b w:val="0"/>
          <w:color w:val="auto"/>
          <w:sz w:val="28"/>
          <w:szCs w:val="28"/>
        </w:rPr>
        <w:t>隐蔽验收</w:t>
      </w:r>
      <w:r>
        <w:rPr>
          <w:rStyle w:val="24"/>
          <w:rFonts w:hint="default" w:ascii="仿宋" w:hAnsi="仿宋" w:eastAsia="仿宋"/>
          <w:b w:val="0"/>
          <w:color w:val="auto"/>
          <w:sz w:val="28"/>
          <w:szCs w:val="28"/>
        </w:rPr>
        <w:t xml:space="preserve"> </w:t>
      </w:r>
      <w:r>
        <w:rPr>
          <w:rStyle w:val="24"/>
          <w:rFonts w:ascii="仿宋" w:hAnsi="仿宋" w:eastAsia="仿宋"/>
          <w:b w:val="0"/>
          <w:color w:val="auto"/>
          <w:sz w:val="28"/>
          <w:szCs w:val="28"/>
        </w:rPr>
        <w:t>→</w:t>
      </w:r>
      <w:r>
        <w:rPr>
          <w:rStyle w:val="24"/>
          <w:rFonts w:hint="default" w:ascii="仿宋" w:hAnsi="仿宋" w:eastAsia="仿宋"/>
          <w:b w:val="0"/>
          <w:color w:val="auto"/>
          <w:sz w:val="28"/>
          <w:szCs w:val="28"/>
        </w:rPr>
        <w:t xml:space="preserve"> </w:t>
      </w:r>
      <w:r>
        <w:rPr>
          <w:rStyle w:val="24"/>
          <w:rFonts w:ascii="仿宋" w:hAnsi="仿宋" w:eastAsia="仿宋"/>
          <w:b w:val="0"/>
          <w:color w:val="auto"/>
          <w:sz w:val="28"/>
          <w:szCs w:val="28"/>
        </w:rPr>
        <w:t>成品保护</w:t>
      </w:r>
      <w:r>
        <w:rPr>
          <w:rStyle w:val="24"/>
          <w:rFonts w:hint="default" w:ascii="仿宋" w:hAnsi="仿宋" w:eastAsia="仿宋"/>
          <w:b w:val="0"/>
          <w:color w:val="auto"/>
          <w:sz w:val="28"/>
          <w:szCs w:val="28"/>
        </w:rPr>
        <w:t xml:space="preserve"> </w:t>
      </w:r>
      <w:r>
        <w:rPr>
          <w:rStyle w:val="24"/>
          <w:rFonts w:ascii="仿宋" w:hAnsi="仿宋" w:eastAsia="仿宋"/>
          <w:b w:val="0"/>
          <w:color w:val="auto"/>
          <w:sz w:val="28"/>
          <w:szCs w:val="28"/>
        </w:rPr>
        <w:t>→</w:t>
      </w:r>
      <w:r>
        <w:rPr>
          <w:rStyle w:val="24"/>
          <w:rFonts w:hint="default" w:ascii="仿宋" w:hAnsi="仿宋" w:eastAsia="仿宋"/>
          <w:b w:val="0"/>
          <w:color w:val="auto"/>
          <w:sz w:val="28"/>
          <w:szCs w:val="28"/>
        </w:rPr>
        <w:t xml:space="preserve"> </w:t>
      </w:r>
      <w:r>
        <w:rPr>
          <w:rStyle w:val="24"/>
          <w:rFonts w:ascii="仿宋" w:hAnsi="仿宋" w:eastAsia="仿宋"/>
          <w:b w:val="0"/>
          <w:color w:val="auto"/>
          <w:sz w:val="28"/>
          <w:szCs w:val="28"/>
        </w:rPr>
        <w:t>联合验收</w:t>
      </w:r>
      <w:r>
        <w:rPr>
          <w:rFonts w:ascii="仿宋" w:hAnsi="仿宋" w:eastAsia="仿宋"/>
          <w:color w:val="auto"/>
          <w:sz w:val="28"/>
          <w:szCs w:val="28"/>
        </w:rPr>
        <w:t xml:space="preserve"> 五个环节。</w:t>
      </w:r>
      <w:r>
        <w:rPr>
          <w:color w:val="auto"/>
        </w:rPr>
        <w:br w:type="textWrapping"/>
      </w:r>
      <w:r>
        <w:rPr>
          <w:rFonts w:ascii="仿宋" w:hAnsi="仿宋" w:eastAsia="仿宋"/>
          <w:color w:val="auto"/>
          <w:sz w:val="28"/>
          <w:szCs w:val="28"/>
        </w:rPr>
        <w:t>每个环节均应形成书面记录与影像档案，确保可追溯性。</w:t>
      </w:r>
    </w:p>
    <w:p w14:paraId="6A9DC334">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6.2.3 技术交底流程</w:t>
      </w:r>
    </w:p>
    <w:p w14:paraId="76634EA9">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施工前项目技术负责人应进行详细技术交底，包括图纸解读、节点说明、材料使用及施工工艺。</w:t>
      </w:r>
      <w:r>
        <w:rPr>
          <w:color w:val="auto"/>
        </w:rPr>
        <w:br w:type="textWrapping"/>
      </w:r>
      <w:r>
        <w:rPr>
          <w:rFonts w:ascii="仿宋" w:hAnsi="仿宋" w:eastAsia="仿宋"/>
          <w:color w:val="auto"/>
          <w:sz w:val="28"/>
          <w:szCs w:val="28"/>
        </w:rPr>
        <w:t>交底文件须签字确认，存档备案。施工过程中如有设计变更，须形成书面变更单，经采购人与监理批准后执行。</w:t>
      </w:r>
    </w:p>
    <w:p w14:paraId="27036095">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6.3 材料与设备质量控制</w:t>
      </w:r>
    </w:p>
    <w:p w14:paraId="2A000A39">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6.3.1 材料进场验收</w:t>
      </w:r>
    </w:p>
    <w:p w14:paraId="0DAEA495">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所有材料进场时必须具备出厂合格证、检测报告。</w:t>
      </w:r>
      <w:r>
        <w:rPr>
          <w:color w:val="auto"/>
        </w:rPr>
        <w:br w:type="textWrapping"/>
      </w:r>
      <w:r>
        <w:rPr>
          <w:rFonts w:ascii="仿宋" w:hAnsi="仿宋" w:eastAsia="仿宋"/>
          <w:color w:val="auto"/>
          <w:sz w:val="28"/>
          <w:szCs w:val="28"/>
        </w:rPr>
        <w:t>现场须设材料验收区，专人负责抽检与登记，形成《材料进场检验记录》。</w:t>
      </w:r>
    </w:p>
    <w:p w14:paraId="34D12F9F">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6.3.2 样品与批量一致性</w:t>
      </w:r>
    </w:p>
    <w:p w14:paraId="3452ACCA">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样品确认后批量生产的材料、灯具、饰面、设备等，应与样品颜色、质感、性能一致。若出现偏差超过允许范围，对已进场材料做退场处理，重新按照确认后的样品提供进场材料，并重新进行报审。</w:t>
      </w:r>
    </w:p>
    <w:p w14:paraId="7DD131F9">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6.3.3 设备检测与调试</w:t>
      </w:r>
    </w:p>
    <w:p w14:paraId="5AB25A81">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所有电子设备、照明装置及多媒体系统在安装前须进行功能测试与通电检测，关键设备如中控主机、投影机、LED屏应进行72小时连续运行测试，确保稳定。</w:t>
      </w:r>
    </w:p>
    <w:p w14:paraId="2DE3BAAE">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6.4 施工质量控制</w:t>
      </w:r>
    </w:p>
    <w:p w14:paraId="7F40B85A">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6.4.1 施工过程管理</w:t>
      </w:r>
    </w:p>
    <w:p w14:paraId="0DCAA637">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施工方须对各工序的材料、工法、质量标准进行规范管理。</w:t>
      </w:r>
      <w:r>
        <w:rPr>
          <w:color w:val="auto"/>
        </w:rPr>
        <w:br w:type="textWrapping"/>
      </w:r>
      <w:r>
        <w:rPr>
          <w:rFonts w:ascii="仿宋" w:hAnsi="仿宋" w:eastAsia="仿宋"/>
          <w:color w:val="auto"/>
          <w:sz w:val="28"/>
          <w:szCs w:val="28"/>
        </w:rPr>
        <w:t>每一工序完成后须经自检、监理复检、采购人抽检三重确认。</w:t>
      </w:r>
    </w:p>
    <w:p w14:paraId="3FADE5B4">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6.4.2 隐蔽工程管理</w:t>
      </w:r>
    </w:p>
    <w:p w14:paraId="0852D0E2">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隐蔽工程（如布线、管道、固定支架等）必须在封闭前由监理与采购人验收签认。未验收即封闭者视为不合格工程，施工方应承担整改费用。</w:t>
      </w:r>
    </w:p>
    <w:p w14:paraId="1AC7616D">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6.4.3 成品保护</w:t>
      </w:r>
    </w:p>
    <w:p w14:paraId="53FA9E49">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施工过程中应采取防护措施，防止成品损坏或污染。灯具、展柜、金属饰面、投影设备等均应包裹保护。施工结束后应进行清理、检查，确保展区整洁。</w:t>
      </w:r>
    </w:p>
    <w:p w14:paraId="4BD11E02">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6.5 安全管理体系</w:t>
      </w:r>
    </w:p>
    <w:p w14:paraId="0E295DD3">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6.5.1 安全责任制</w:t>
      </w:r>
    </w:p>
    <w:p w14:paraId="7F70CDEC">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实行“谁施工、谁负责”的安全生产责任制。项目经理为安全第一责任人，各专业负责人对本专业安全工作负直接责任。安全员负责现场巡查与隐患整改。</w:t>
      </w:r>
    </w:p>
    <w:p w14:paraId="68DDB317">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6.5.2 安全教育与培训</w:t>
      </w:r>
    </w:p>
    <w:p w14:paraId="55754D5D">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所有施工人员须经安全培训后方可上岗。培训内容包括：安全操作规程、用电防护、高空作业、防火知识、应急疏散等。培训记录须归档备查。</w:t>
      </w:r>
    </w:p>
    <w:p w14:paraId="21773D12">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6.5.3 施工安全措施</w:t>
      </w:r>
    </w:p>
    <w:p w14:paraId="01A435F4">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高空作业设防护栏与安全绳；</w:t>
      </w:r>
    </w:p>
    <w:p w14:paraId="4CD6D020">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临时用电必须设置漏电保护装置；</w:t>
      </w:r>
    </w:p>
    <w:p w14:paraId="6BE6A80C">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电缆走线采用阻燃护管；</w:t>
      </w:r>
    </w:p>
    <w:p w14:paraId="585C4D6B">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施工区域设警示标识与安全通道；</w:t>
      </w:r>
    </w:p>
    <w:p w14:paraId="1F26639F">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施工现场配备灭火器、沙箱等消防设备。</w:t>
      </w:r>
    </w:p>
    <w:p w14:paraId="6407ABAD">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6.5.4 消防与用电管理</w:t>
      </w:r>
    </w:p>
    <w:p w14:paraId="6D2950A1">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施工期间严禁吸烟与明火操作。电气设备应定期检查绝缘与接地。</w:t>
      </w:r>
      <w:r>
        <w:rPr>
          <w:color w:val="auto"/>
        </w:rPr>
        <w:br w:type="textWrapping"/>
      </w:r>
      <w:r>
        <w:rPr>
          <w:rFonts w:ascii="仿宋" w:hAnsi="仿宋" w:eastAsia="仿宋"/>
          <w:color w:val="auto"/>
          <w:sz w:val="28"/>
          <w:szCs w:val="28"/>
        </w:rPr>
        <w:t>焊接、切割等特殊工种作业须持证上岗，作业时配备灭火器具并设专人监护。</w:t>
      </w:r>
    </w:p>
    <w:p w14:paraId="30BCB6CB">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6.6 环境与文明施工</w:t>
      </w:r>
    </w:p>
    <w:p w14:paraId="226722D9">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6.6.1 环保要求</w:t>
      </w:r>
    </w:p>
    <w:p w14:paraId="318EED7D">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施工中应控制噪音、粉尘与废气排放。材料切割应采用封闭工位并安装除尘设备。废弃物分类回收，不得随意堆放。</w:t>
      </w:r>
      <w:r>
        <w:rPr>
          <w:color w:val="auto"/>
        </w:rPr>
        <w:br w:type="textWrapping"/>
      </w:r>
      <w:r>
        <w:rPr>
          <w:rFonts w:ascii="仿宋" w:hAnsi="仿宋" w:eastAsia="仿宋"/>
          <w:color w:val="auto"/>
          <w:sz w:val="28"/>
          <w:szCs w:val="28"/>
        </w:rPr>
        <w:t>所有油漆、胶黏剂须使用环保产品，VOC含量符合国家标准。</w:t>
      </w:r>
    </w:p>
    <w:p w14:paraId="30157685">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6.6.2 文明施工管理</w:t>
      </w:r>
    </w:p>
    <w:p w14:paraId="29896F03">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施工现场须设置围挡，明确安全标识与警示语。施工人员应佩戴工作证，服装整洁。现场每日清扫，保持通道畅通。</w:t>
      </w:r>
      <w:r>
        <w:rPr>
          <w:color w:val="auto"/>
        </w:rPr>
        <w:br w:type="textWrapping"/>
      </w:r>
      <w:r>
        <w:rPr>
          <w:rFonts w:ascii="仿宋" w:hAnsi="仿宋" w:eastAsia="仿宋"/>
          <w:color w:val="auto"/>
          <w:sz w:val="28"/>
          <w:szCs w:val="28"/>
        </w:rPr>
        <w:t>运输通道设防护垫层，防止地面划伤。</w:t>
      </w:r>
    </w:p>
    <w:p w14:paraId="24D01B2A">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6.7 应急与风险管理</w:t>
      </w:r>
    </w:p>
    <w:p w14:paraId="52658011">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6.7.1 应急组织</w:t>
      </w:r>
    </w:p>
    <w:p w14:paraId="1E95344A">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建立项目安全应急领导小组，由项目经理任组长。下设消防应急组、电气应急组、机械应急组及医疗救援组。</w:t>
      </w:r>
    </w:p>
    <w:p w14:paraId="7A972940">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6.7.2 应急预案</w:t>
      </w:r>
    </w:p>
    <w:p w14:paraId="62369C66">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施工方须编制《安全应急预案》，明确响应级别、处置程序与联络机制。现场应张贴应急疏散示意图，定期组织演练。</w:t>
      </w:r>
    </w:p>
    <w:p w14:paraId="6B62059C">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6.7.3 风险评估与控制</w:t>
      </w:r>
    </w:p>
    <w:p w14:paraId="04D15A4B">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施工前应进行风险识别与评估，对高风险作业（如吊装、高空、临时用电）制定专项防控措施。</w:t>
      </w:r>
      <w:r>
        <w:rPr>
          <w:rFonts w:ascii="仿宋" w:hAnsi="仿宋" w:eastAsia="仿宋"/>
          <w:color w:val="auto"/>
          <w:sz w:val="28"/>
          <w:szCs w:val="28"/>
        </w:rPr>
        <w:br w:type="textWrapping"/>
      </w:r>
      <w:r>
        <w:rPr>
          <w:rFonts w:ascii="仿宋" w:hAnsi="仿宋" w:eastAsia="仿宋"/>
          <w:color w:val="auto"/>
          <w:sz w:val="28"/>
          <w:szCs w:val="28"/>
        </w:rPr>
        <w:t>施工期间应动态监测风险变化，建立风险预警机制。</w:t>
      </w:r>
    </w:p>
    <w:p w14:paraId="77E13552">
      <w:pPr>
        <w:spacing w:line="360" w:lineRule="auto"/>
        <w:rPr>
          <w:rFonts w:hint="default" w:ascii="仿宋" w:hAnsi="仿宋" w:eastAsia="仿宋"/>
          <w:b/>
          <w:bCs/>
          <w:color w:val="auto"/>
          <w:sz w:val="28"/>
          <w:szCs w:val="28"/>
        </w:rPr>
      </w:pPr>
    </w:p>
    <w:p w14:paraId="19357815">
      <w:pPr>
        <w:pStyle w:val="2"/>
        <w:spacing w:before="0" w:after="0" w:line="360" w:lineRule="auto"/>
        <w:rPr>
          <w:rFonts w:hint="default" w:ascii="仿宋" w:hAnsi="仿宋" w:eastAsia="仿宋"/>
          <w:color w:val="auto"/>
          <w:sz w:val="28"/>
          <w:szCs w:val="28"/>
        </w:rPr>
      </w:pPr>
      <w:r>
        <w:rPr>
          <w:rFonts w:ascii="仿宋" w:hAnsi="仿宋" w:eastAsia="仿宋"/>
          <w:color w:val="auto"/>
          <w:sz w:val="28"/>
          <w:szCs w:val="28"/>
        </w:rPr>
        <w:t>第七章 售后服务与运维要求</w:t>
      </w:r>
    </w:p>
    <w:p w14:paraId="65F416E8">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7.1 总体要求</w:t>
      </w:r>
    </w:p>
    <w:p w14:paraId="0490A231">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7.1.1 保修期限</w:t>
      </w:r>
    </w:p>
    <w:p w14:paraId="3E81CB3A">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质保期：整体质保期自竣工验收通过之日起24个月。展项，设备，材料，零部件或软件在项目竣工验收后，连续6个月之内运行期出现两次故障(非人为因素导致展项无法正常使用)，则该展项，设备，材料，零部件或软件的质量保证期自第二个修复日起按24个月重新起算。</w:t>
      </w:r>
    </w:p>
    <w:p w14:paraId="669F2235">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7.1.2 服务原则</w:t>
      </w:r>
    </w:p>
    <w:p w14:paraId="6489F747">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售后与运维工作应坚持“主动预防、快速响应、专业维护、持续改进”的原则。</w:t>
      </w:r>
      <w:r>
        <w:rPr>
          <w:color w:val="auto"/>
        </w:rPr>
        <w:br w:type="textWrapping"/>
      </w:r>
      <w:r>
        <w:rPr>
          <w:rFonts w:ascii="仿宋" w:hAnsi="仿宋" w:eastAsia="仿宋"/>
          <w:color w:val="auto"/>
          <w:sz w:val="28"/>
          <w:szCs w:val="28"/>
        </w:rPr>
        <w:t>所有系统应实现全生命周期管理，涵盖交付、培训、巡检、维保、升级及技术支持全过程，形成闭环管理模式。</w:t>
      </w:r>
    </w:p>
    <w:p w14:paraId="73EEFD29">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7.2 质保与保修要求</w:t>
      </w:r>
    </w:p>
    <w:p w14:paraId="0F398C4E">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7.2.1 保修要求</w:t>
      </w:r>
    </w:p>
    <w:p w14:paraId="6AEA5724">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（1）投标人必须提供技术后援支持。技术支持的方式包括：电话技术服务、远程操作指导、现场技术服务、人员培训服务等。</w:t>
      </w:r>
    </w:p>
    <w:p w14:paraId="5CDC0D01">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投标人主要负责制定运行维护规程和保障措施，对于日常运行维护工作紧急抢修等特殊情况需提供专人支持响应服务，紧急情况下做到随时应答、专人到场，作出实质性响应，提供应急策略，排除故障问题。</w:t>
      </w:r>
    </w:p>
    <w:p w14:paraId="5D2D0695">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7.2.2 保修范围</w:t>
      </w:r>
    </w:p>
    <w:p w14:paraId="7FFA079B">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保修范围为本项目投标范围中所有陈列制作及施工，包括但不限于：</w:t>
      </w:r>
    </w:p>
    <w:p w14:paraId="555895CD">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（1）背景墙、版面及相关道具、美工等设计、制作。</w:t>
      </w:r>
    </w:p>
    <w:p w14:paraId="721BC4E6">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（2）电气安装：弱电管线、动力及照明配电箱安装等。</w:t>
      </w:r>
    </w:p>
    <w:p w14:paraId="5C8C2F35">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（3）展陈灯光设计：专业博物馆或展馆展陈灯具,光源系统。</w:t>
      </w:r>
    </w:p>
    <w:p w14:paraId="20C8727F">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（4）专业展柜：专业博物馆或展馆展柜系统，保修重点是结构安全、材料老化、工艺瑕疵。</w:t>
      </w:r>
    </w:p>
    <w:p w14:paraId="600F5D03">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（5）美工布展：平面美术展板、托架、说明牌制作等。</w:t>
      </w:r>
    </w:p>
    <w:p w14:paraId="4C2DCF28">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（6）展项、艺术品、场景、展品仿制的创作及制作。</w:t>
      </w:r>
    </w:p>
    <w:p w14:paraId="1BA33EB5">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（7）多媒体技术的应用，含软件内容和硬件设备，保修重点是系统兼容性、病毒防护、软件BUG修复及内容更新。</w:t>
      </w:r>
    </w:p>
    <w:p w14:paraId="069F4926">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（8）特别展览区等的设计，含专业展柜及灯光照明系统。</w:t>
      </w:r>
    </w:p>
    <w:p w14:paraId="3A6ADAC7">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（9）展厅内导览标识系统。</w:t>
      </w:r>
    </w:p>
    <w:p w14:paraId="50316769">
      <w:pPr>
        <w:pStyle w:val="20"/>
        <w:spacing w:after="0" w:line="360" w:lineRule="auto"/>
        <w:ind w:left="0" w:leftChars="0" w:firstLine="0" w:firstLineChars="0"/>
        <w:rPr>
          <w:rFonts w:hint="default"/>
        </w:rPr>
      </w:pPr>
      <w:r>
        <w:rPr>
          <w:rFonts w:ascii="仿宋" w:hAnsi="仿宋" w:eastAsia="仿宋"/>
          <w:color w:val="auto"/>
          <w:sz w:val="28"/>
          <w:szCs w:val="28"/>
        </w:rPr>
        <w:t>（10）其它内容：因布展造成的的已完成面的破损进行相关维修。</w:t>
      </w:r>
    </w:p>
    <w:p w14:paraId="36B0C729">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7.2.3 保修义务</w:t>
      </w:r>
    </w:p>
    <w:p w14:paraId="60972A3C">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质保期内，承建方应对凡因施工、材料或安装原因，设备缺陷引起的质量问题造成的损坏或故障，均由承建方承担全部责任，并负责免费更换或修复，并承担相应费用，保修期内所有属于保修范围的维修费用均由承建方承担。承建方未按约定履行保修义务的，采购人有权自行或委托第三方维修，所产生的费用由承建方承担。</w:t>
      </w:r>
    </w:p>
    <w:p w14:paraId="539A952C">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7.3 技术支持与响应机制</w:t>
      </w:r>
    </w:p>
    <w:p w14:paraId="56DCD3A0">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7.3.1 服务体系</w:t>
      </w:r>
    </w:p>
    <w:p w14:paraId="07BC8BC1">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若设备出现损坏，其中：</w:t>
      </w:r>
    </w:p>
    <w:p w14:paraId="676763BF">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紧急抢修（如：影响开放安全、核心展项失效）：承建方应在接到通知后2小时内抵达现场并开始处理，24小时内解决核心问题。</w:t>
      </w:r>
    </w:p>
    <w:p w14:paraId="1AF8AB4D">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一般维修（如：局部破损、非核心设备故障）：承建方应在接报后2-4小时内做出实质性响应（如电话指导、远程诊断），对影响安全、核心展项失效等紧急故障，应在4小时内到场维修，48小时内完成恢复。其他一般故障48小时内到场维修，72小时内完成恢复。</w:t>
      </w:r>
    </w:p>
    <w:p w14:paraId="654B4981">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如紧急故障维修超过48小时、一般故障维修超过72小时仍无法解决，应提供替代设备或临时方案保障正常运营。</w:t>
      </w:r>
    </w:p>
    <w:p w14:paraId="4F6B929B">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对于多媒体展项、恒温恒湿系统、中控系统等复杂系统，承建方需每季度至少提供1次主动上门巡检服务，进行全面的设备检查、保养和性能优化，并提交书面报告。在国家法定节假日、重大活动或重要接待前，应要求供应商提供专项保障预案，必要时提前进行系统检查与现场值守。</w:t>
      </w:r>
    </w:p>
    <w:p w14:paraId="74A12940">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7.3.2 远程诊断</w:t>
      </w:r>
    </w:p>
    <w:p w14:paraId="04DF4193">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多媒体与中控系统应预留远程登录接口，支持远程诊断、数据下载、软件更新与日志分析。</w:t>
      </w:r>
      <w:r>
        <w:rPr>
          <w:rFonts w:ascii="仿宋" w:hAnsi="仿宋" w:eastAsia="仿宋"/>
          <w:color w:val="auto"/>
          <w:sz w:val="28"/>
          <w:szCs w:val="28"/>
        </w:rPr>
        <w:br w:type="textWrapping"/>
      </w:r>
      <w:r>
        <w:rPr>
          <w:rFonts w:ascii="仿宋" w:hAnsi="仿宋" w:eastAsia="仿宋"/>
          <w:color w:val="auto"/>
          <w:sz w:val="28"/>
          <w:szCs w:val="28"/>
        </w:rPr>
        <w:t>承建方须确保远程操作安全，采用加密登录与权限分级管理，确保馆内图片、数据、音频等内部资料不外泄。</w:t>
      </w:r>
    </w:p>
    <w:p w14:paraId="0628DC0C">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7.4 系统培训与技术交接</w:t>
      </w:r>
    </w:p>
    <w:p w14:paraId="5307A8E3">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7.4.1 培训计划</w:t>
      </w:r>
    </w:p>
    <w:p w14:paraId="596F3E3A">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在项目交付前，中标人应完成系统培训，培训内容包括：</w:t>
      </w:r>
    </w:p>
    <w:p w14:paraId="14BC89AF">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原则：本次项目中标人需负责对采购人的技术支持队伍进行维护培训，满足采购人能独立进行系统维护需要。</w:t>
      </w:r>
    </w:p>
    <w:p w14:paraId="4BDC6EEC">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（1）培训计划：中标人需在验收前，提交详细的《培训实施方案》，经馆方确认后执行。</w:t>
      </w:r>
    </w:p>
    <w:p w14:paraId="1C2F5018">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中标人需负责采购人相关的工作人员、系统管理人员的技术培训，培训内容包括但不限于：展项设备（含多媒体、灯光、音响、机械装置等）的操作、日常维护及故障排除；展览日常运营管理流程与应急预案。</w:t>
      </w:r>
    </w:p>
    <w:p w14:paraId="26E1C106">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对于系统管理人员，应进行深度操作和安全规范培训，深度操作包括系统架构、后台管理、参数设置、故障诊断与排除、日常维护、软件更新与内容替换等，安全规范包括系统重启/关闭流程、用电安全、应急处理预案等。</w:t>
      </w:r>
    </w:p>
    <w:p w14:paraId="4B2548C4">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对于普通操作员/值班人员，应进行前端使用和安全规范培训，前端使用包括设备开关机、模式切换、常规互动操作、日常检查与简单问题上报。安全规范包括系统重启/关闭流程、用电安全、应急处理预案等。</w:t>
      </w:r>
    </w:p>
    <w:p w14:paraId="326DF3F0">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培训方式采用集中授课培训、现场培训、实践研讨、发放宣传材料等相结合的方式，以现场实操培训为主。针对不同层次的人员，开设不同的培训课程和确定培训方式。务必在附件中详细列出所有培训科目、每项的具体内容、课时安排及考核方式，避免模糊不清。必须确保每个人都充分动手练习并彻底掌握。</w:t>
      </w:r>
    </w:p>
    <w:p w14:paraId="35ED1371">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（4）培训考核：培训结束后，中标人需组织理论与实操考核。经馆方在《培训考核记录》签字确认，方能通过验收。确保培训的及时性、数据化、标准化让培训真正有效。</w:t>
      </w:r>
    </w:p>
    <w:p w14:paraId="095BC6D5">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7.4.2 培训资料</w:t>
      </w:r>
    </w:p>
    <w:p w14:paraId="510670C9">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中标人须提供《培训手册》、《操作指南》等纸质及电子文档。</w:t>
      </w:r>
      <w:r>
        <w:rPr>
          <w:color w:val="auto"/>
        </w:rPr>
        <w:br w:type="textWrapping"/>
      </w:r>
      <w:r>
        <w:rPr>
          <w:rFonts w:ascii="仿宋" w:hAnsi="仿宋" w:eastAsia="仿宋"/>
          <w:color w:val="auto"/>
          <w:sz w:val="28"/>
          <w:szCs w:val="28"/>
        </w:rPr>
        <w:t>培训结束后中标人应提交《培训考核记录》，并经双方签字确认。</w:t>
      </w:r>
    </w:p>
    <w:p w14:paraId="3A7A376E">
      <w:pPr>
        <w:pStyle w:val="2"/>
        <w:spacing w:before="0" w:after="0" w:line="360" w:lineRule="auto"/>
        <w:rPr>
          <w:rFonts w:hint="default" w:ascii="仿宋" w:hAnsi="仿宋" w:eastAsia="仿宋"/>
          <w:color w:val="auto"/>
          <w:sz w:val="28"/>
          <w:szCs w:val="28"/>
        </w:rPr>
      </w:pPr>
      <w:r>
        <w:rPr>
          <w:rFonts w:ascii="仿宋" w:hAnsi="仿宋" w:eastAsia="仿宋"/>
          <w:color w:val="auto"/>
          <w:sz w:val="28"/>
          <w:szCs w:val="28"/>
        </w:rPr>
        <w:t>第八章 验收标准与执行规范汇总表</w:t>
      </w:r>
    </w:p>
    <w:p w14:paraId="41DBE994">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8.1 总体要求</w:t>
      </w:r>
    </w:p>
    <w:p w14:paraId="729CCADB">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8.1.1 验收目标</w:t>
      </w:r>
    </w:p>
    <w:p w14:paraId="42EDDB6C">
      <w:pPr>
        <w:spacing w:line="360" w:lineRule="auto"/>
        <w:rPr>
          <w:rFonts w:hint="default" w:ascii="仿宋" w:hAnsi="仿宋" w:eastAsia="仿宋"/>
          <w:color w:val="auto"/>
          <w:sz w:val="28"/>
          <w:szCs w:val="28"/>
        </w:rPr>
      </w:pPr>
      <w:r>
        <w:rPr>
          <w:rFonts w:ascii="仿宋" w:hAnsi="仿宋" w:eastAsia="仿宋"/>
          <w:color w:val="auto"/>
          <w:sz w:val="28"/>
          <w:szCs w:val="28"/>
        </w:rPr>
        <w:t>本项目验收工作的总体目标是确保上海文学馆背景墙、版面及相关道具、美工等设计制作、电气安装、展陈灯光设计、专业展柜系统、美工布展相关硬件、展项艺术品场景展品仿制的创作及制作、多媒体软件内容和硬件设备、展厅内导览标识系统等各分项工程质量达到国家与行业标准要求，实现设计文件、施工图纸及合同约定，实现安全、功能、美学、体验的综合达标。具体包括：</w:t>
      </w:r>
    </w:p>
    <w:p w14:paraId="6C4DA746">
      <w:pPr>
        <w:spacing w:line="360" w:lineRule="auto"/>
        <w:rPr>
          <w:rFonts w:hint="default" w:ascii="仿宋" w:hAnsi="仿宋" w:eastAsia="仿宋"/>
          <w:color w:val="auto"/>
          <w:sz w:val="28"/>
          <w:szCs w:val="28"/>
        </w:rPr>
      </w:pPr>
      <w:r>
        <w:rPr>
          <w:rFonts w:ascii="仿宋" w:hAnsi="仿宋" w:eastAsia="仿宋"/>
          <w:color w:val="auto"/>
          <w:sz w:val="28"/>
          <w:szCs w:val="28"/>
        </w:rPr>
        <w:t>（1）交付所有设备安装到位、系统联调完毕、内容准确无误、环境安全可靠，即可立即对公众开放的完整展览。</w:t>
      </w:r>
    </w:p>
    <w:p w14:paraId="67C7A4B7">
      <w:pPr>
        <w:spacing w:line="360" w:lineRule="auto"/>
        <w:rPr>
          <w:rFonts w:hint="default" w:ascii="仿宋" w:hAnsi="仿宋" w:eastAsia="仿宋"/>
          <w:color w:val="auto"/>
          <w:sz w:val="28"/>
          <w:szCs w:val="28"/>
        </w:rPr>
      </w:pPr>
      <w:r>
        <w:rPr>
          <w:rFonts w:ascii="仿宋" w:hAnsi="仿宋" w:eastAsia="仿宋"/>
          <w:color w:val="auto"/>
          <w:sz w:val="28"/>
          <w:szCs w:val="28"/>
        </w:rPr>
        <w:t>（2）交付一套纸质的和一套电子版的完整、准确、可追溯的竣工技术资料，确保馆方具备独立运营、维护、局部改造的能力。</w:t>
      </w:r>
    </w:p>
    <w:p w14:paraId="6A77A71D">
      <w:pPr>
        <w:spacing w:line="360" w:lineRule="auto"/>
        <w:rPr>
          <w:rFonts w:hint="default"/>
        </w:rPr>
      </w:pPr>
      <w:r>
        <w:rPr>
          <w:rFonts w:ascii="仿宋" w:hAnsi="仿宋" w:eastAsia="仿宋"/>
          <w:color w:val="auto"/>
          <w:sz w:val="28"/>
          <w:szCs w:val="28"/>
        </w:rPr>
        <w:t>（3）完成对馆方指定人员的系统性技术培训，并通过考核，确保其能独立进行日常操作、基础诊断与维护。</w:t>
      </w:r>
    </w:p>
    <w:p w14:paraId="442A329D">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8.1.2 验收原则</w:t>
      </w:r>
    </w:p>
    <w:p w14:paraId="60A23346">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（1）布展成果验收：一次性通过相关管理部门验收合格的标准。达不到一次合格等级标准，中标人应自费进行返工，工期不予顺延。</w:t>
      </w:r>
    </w:p>
    <w:p w14:paraId="6556B970">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项目完工后应由中标人会同监督检查单位按照设计方案、相关国家地方标准进行自检，并在正式验收前一周以书面形式通知采购人验收。通知包括验收组织方式、验收方式、验收的内容、验收时间和地点。中标人准备验收记录，验收合格后中标人可进行项目移交。验收不合格，中标人在采购人限定的时间内修改后重新验收。</w:t>
      </w:r>
    </w:p>
    <w:p w14:paraId="54DBD52E">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8.2 验收程序与流程</w:t>
      </w:r>
    </w:p>
    <w:p w14:paraId="4CE38957">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8.2.1 验收组织</w:t>
      </w:r>
    </w:p>
    <w:p w14:paraId="34361C16">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由采购人牵头，项目管理单位和监理单位组织协调，中标人具体实施。验收组应包括：</w:t>
      </w:r>
    </w:p>
    <w:p w14:paraId="72A2368A">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项目业主；</w:t>
      </w:r>
    </w:p>
    <w:p w14:paraId="1D40054A">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项目管理单位项目负责人；</w:t>
      </w:r>
    </w:p>
    <w:p w14:paraId="378BAE86">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监理单位总监理工程师；</w:t>
      </w:r>
    </w:p>
    <w:p w14:paraId="2A59DF1B">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中标人及相关专业负责人。</w:t>
      </w:r>
    </w:p>
    <w:p w14:paraId="23E2A3F6">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文保、展陈、多媒体、灯光等领域的外部专家。</w:t>
      </w:r>
    </w:p>
    <w:p w14:paraId="5AEC1024">
      <w:pPr>
        <w:pStyle w:val="17"/>
        <w:spacing w:before="0" w:beforeAutospacing="0" w:after="0" w:afterAutospacing="0" w:line="360" w:lineRule="auto"/>
        <w:rPr>
          <w:rFonts w:hint="default" w:ascii="仿宋" w:hAnsi="仿宋" w:eastAsia="仿宋"/>
          <w:b/>
          <w:color w:val="auto"/>
          <w:sz w:val="28"/>
          <w:szCs w:val="28"/>
        </w:rPr>
      </w:pPr>
      <w:r>
        <w:rPr>
          <w:rFonts w:hint="default" w:ascii="仿宋" w:hAnsi="仿宋" w:eastAsia="仿宋"/>
          <w:b/>
          <w:color w:val="auto"/>
          <w:sz w:val="28"/>
          <w:szCs w:val="28"/>
        </w:rPr>
        <w:t>8.2.2建立验收清单</w:t>
      </w:r>
    </w:p>
    <w:p w14:paraId="7945C802">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根据展陈内容和采购书条款，制作一份包括施工材料、工艺方式、视觉效果、安全监测、试运行评估等内容的全面、清晰的验收检查表。</w:t>
      </w:r>
    </w:p>
    <w:p w14:paraId="23BF0AE7">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8.3 验收标准</w:t>
      </w:r>
    </w:p>
    <w:p w14:paraId="0C021F97">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8.3.1 合规与安全</w:t>
      </w:r>
    </w:p>
    <w:p w14:paraId="2B4349DD">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消防与电气安全：所有装修材料符合阻燃等级，木结构需防火处理；不得以任何形式遮挡、阻碍消防设施（喷淋、烟感、报警器）、紧急出口及疏散通道；电气线路规范，无裸露；大功率电器有独立保护；配电箱有安全标识。</w:t>
      </w:r>
    </w:p>
    <w:p w14:paraId="362856AB">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结构安全：展位结构不得超过规定限高；主体结构安全、牢固、稳定，无晃动感；严禁利用展馆原有结构（如网架、立柱）进行吊装或受力。</w:t>
      </w:r>
    </w:p>
    <w:p w14:paraId="397E713E">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场地与材料：所有搭建物和展品不得超出承租边界，不得占用公共通道；材料环保，符合国家民用建筑工程室内环境污染控制规范；玻璃展具必须使用钢化玻璃，并有醒目的防撞标识。</w:t>
      </w:r>
    </w:p>
    <w:p w14:paraId="52C7321F">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8.3.2 展陈美工</w:t>
      </w:r>
    </w:p>
    <w:p w14:paraId="56C05E6D">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收口收边精细、无粗糙毛刺，表面平整，无明显划痕、变形；</w:t>
      </w:r>
    </w:p>
    <w:p w14:paraId="2484F3EE">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安装牢固、字体清晰、位置准确。</w:t>
      </w:r>
    </w:p>
    <w:p w14:paraId="40690AF4">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8.3.3 专业照明</w:t>
      </w:r>
    </w:p>
    <w:p w14:paraId="32436402">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灯具安装位置准确，固定牢固；</w:t>
      </w:r>
    </w:p>
    <w:p w14:paraId="63B2FE3F">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照度、色温符合设计要求；</w:t>
      </w:r>
    </w:p>
    <w:p w14:paraId="212E15FC">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灯光照明层次分明，重点展品照度足够，无眩光、漏光。</w:t>
      </w:r>
    </w:p>
    <w:p w14:paraId="75129C45">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8.3.4 多媒体展项</w:t>
      </w:r>
    </w:p>
    <w:p w14:paraId="120D99BB">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硬件设备规格、型号、数量正确；</w:t>
      </w:r>
    </w:p>
    <w:p w14:paraId="5E956945">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展项运行正常；</w:t>
      </w:r>
    </w:p>
    <w:p w14:paraId="532BF384">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展项功能符合设计要求；</w:t>
      </w:r>
    </w:p>
    <w:p w14:paraId="7E25896D">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音效系统音量适中，音质清晰，覆盖均匀，无啸叫、串音。</w:t>
      </w:r>
    </w:p>
    <w:p w14:paraId="2CC1D743">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数字多媒体展项承载展陈大纲和脚本所要求的文学内容与叙事功能，具备清晰的信息结构与可理解性。</w:t>
      </w:r>
    </w:p>
    <w:p w14:paraId="1715F764">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数字多媒体展项与所在展区空间、动线、展品形成有效协同，具备可停留性与可重复观看的价值。</w:t>
      </w:r>
    </w:p>
    <w:p w14:paraId="605884F1">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8.3.5 艺术展项</w:t>
      </w:r>
    </w:p>
    <w:p w14:paraId="0D05D7A5">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艺术展项符合展览主题；</w:t>
      </w:r>
    </w:p>
    <w:p w14:paraId="659BDD56">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结构安全稳定；</w:t>
      </w:r>
    </w:p>
    <w:p w14:paraId="06356F18">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展项效果符合设计要求；</w:t>
      </w:r>
    </w:p>
    <w:p w14:paraId="56A6AD7B">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图文展板、标识：内容零错误，拼接无错位；</w:t>
      </w:r>
    </w:p>
    <w:p w14:paraId="28EC55BF">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无影响整体观感的明显瑕疵。</w:t>
      </w:r>
    </w:p>
    <w:p w14:paraId="5A05619E">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8.3.6 专业展柜</w:t>
      </w:r>
    </w:p>
    <w:p w14:paraId="708A68B4">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专业展柜外观平整光滑，尺寸精准，无明显划痕、凹陷、气泡等缺陷；</w:t>
      </w:r>
    </w:p>
    <w:p w14:paraId="1348F676">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烤漆颜色应均匀一致，无明显色差；</w:t>
      </w:r>
    </w:p>
    <w:p w14:paraId="013D5289">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门缝间隙应均匀，无明显错位；</w:t>
      </w:r>
    </w:p>
    <w:p w14:paraId="3B6F9268">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整体结构应稳固，无明显变形或松动；</w:t>
      </w:r>
    </w:p>
    <w:p w14:paraId="76879ADA">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8.4 验收资料与档案要求</w:t>
      </w:r>
    </w:p>
    <w:p w14:paraId="5D168457">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8.4.1 资料内容</w:t>
      </w:r>
    </w:p>
    <w:p w14:paraId="256E689C">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竣工验收需提交以下完整资料，包括但不限于：</w:t>
      </w:r>
    </w:p>
    <w:p w14:paraId="7EB32E25">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《展陈深化设计方案》；</w:t>
      </w:r>
    </w:p>
    <w:p w14:paraId="1D74B911">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《材料设备进场检验记录》；</w:t>
      </w:r>
    </w:p>
    <w:p w14:paraId="6CCFD192">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《隐蔽工程验收单》以及影像记录和验收单；</w:t>
      </w:r>
    </w:p>
    <w:p w14:paraId="62A25E72">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《竣工图纸》；</w:t>
      </w:r>
    </w:p>
    <w:p w14:paraId="404C46BD">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《操作手册》、《培训记录》；</w:t>
      </w:r>
    </w:p>
    <w:p w14:paraId="6970FB99">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《质量保证书》与《售后服务承诺书》；</w:t>
      </w:r>
    </w:p>
    <w:p w14:paraId="72131989">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主要设备和材料的合格证、说明书、保修单、验收报告等；</w:t>
      </w:r>
    </w:p>
    <w:p w14:paraId="307B6C98">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消防、环保等相关检测或承诺文件。</w:t>
      </w:r>
    </w:p>
    <w:p w14:paraId="5464379B">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8.4.2 资料要求</w:t>
      </w:r>
    </w:p>
    <w:p w14:paraId="72015596">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所有文件资料须同时提交纸质版与电子版（</w:t>
      </w:r>
      <w:r>
        <w:rPr>
          <w:rFonts w:hint="default" w:ascii="仿宋" w:hAnsi="仿宋" w:eastAsia="仿宋"/>
          <w:color w:val="auto"/>
          <w:sz w:val="28"/>
          <w:szCs w:val="28"/>
        </w:rPr>
        <w:t>PDF与DWG格式），并统一归档至采购方。</w:t>
      </w:r>
    </w:p>
    <w:p w14:paraId="2FC00219">
      <w:pPr>
        <w:pStyle w:val="4"/>
        <w:spacing w:before="0" w:after="0" w:line="360" w:lineRule="auto"/>
        <w:rPr>
          <w:rFonts w:hint="default" w:ascii="仿宋" w:hAnsi="仿宋" w:eastAsia="仿宋"/>
          <w:color w:val="auto"/>
          <w:sz w:val="28"/>
          <w:szCs w:val="28"/>
        </w:rPr>
      </w:pPr>
      <w:r>
        <w:rPr>
          <w:rFonts w:ascii="仿宋" w:hAnsi="仿宋" w:eastAsia="仿宋"/>
          <w:color w:val="auto"/>
          <w:sz w:val="28"/>
          <w:szCs w:val="28"/>
        </w:rPr>
        <w:t>8.4.3 保洁要求</w:t>
      </w:r>
    </w:p>
    <w:p w14:paraId="2EFDADFC">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包括但不限于：</w:t>
      </w:r>
    </w:p>
    <w:p w14:paraId="16A7ADB1">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地面与通道：洁净无杂物、无水渍、无污渍、无积尘；地毯无藏渣、无污迹、纹理方向一致；通道畅通无施工废料、无障碍物。</w:t>
      </w:r>
    </w:p>
    <w:p w14:paraId="7FB540B8">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展陈设施：玻璃透亮无手印、无水痕、无胶渍；金属/木质表面无灰尘、无磕碰划痕、无残留胶印；内部无施工灰尘、无杂物。</w:t>
      </w:r>
    </w:p>
    <w:p w14:paraId="74C8555B">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图文与标识：表面洁净无指纹、无污点；拼接处无灰尘；照明灯箱亮度均匀、无灰尘蚊虫；内容清晰可见。</w:t>
      </w:r>
    </w:p>
    <w:p w14:paraId="49C6D9C2">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空间结构与装饰：无蜘蛛网、无灰尘、无污迹；各类风口、喷淋头无灰尘；灯具清洁、光照无遮挡。</w:t>
      </w:r>
    </w:p>
    <w:p w14:paraId="7E86C9D0">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多媒体与互动设备：屏幕表面洁净无指印、无油污；设备机柜无灰尘、散热口通畅；精密设备由专业人员使用专用工具清洁，确保安全。</w:t>
      </w:r>
    </w:p>
    <w:p w14:paraId="6F1FBA63">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所有展陈区域的开幕前要做深度保洁工作，并经甲方验收合格。</w:t>
      </w:r>
    </w:p>
    <w:p w14:paraId="529A86B8">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8.5 执行规范与标准汇总表</w:t>
      </w:r>
    </w:p>
    <w:tbl>
      <w:tblPr>
        <w:tblStyle w:val="21"/>
        <w:tblW w:w="0" w:type="auto"/>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602"/>
        <w:gridCol w:w="4912"/>
        <w:gridCol w:w="2212"/>
        <w:gridCol w:w="2174"/>
      </w:tblGrid>
      <w:tr w14:paraId="3DE23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blCellSpacing w:w="15" w:type="dxa"/>
        </w:trPr>
        <w:tc>
          <w:tcPr>
            <w:tcW w:w="0" w:type="auto"/>
            <w:vAlign w:val="center"/>
          </w:tcPr>
          <w:p w14:paraId="6B408A34">
            <w:pPr>
              <w:spacing w:line="360" w:lineRule="auto"/>
              <w:jc w:val="center"/>
              <w:rPr>
                <w:rFonts w:hint="default" w:ascii="仿宋" w:hAnsi="仿宋" w:eastAsia="仿宋"/>
                <w:b/>
                <w:bCs/>
                <w:color w:val="auto"/>
                <w:sz w:val="28"/>
                <w:szCs w:val="28"/>
              </w:rPr>
            </w:pPr>
            <w:r>
              <w:rPr>
                <w:rFonts w:ascii="仿宋" w:hAnsi="仿宋" w:eastAsia="仿宋"/>
                <w:b/>
                <w:bCs/>
                <w:color w:val="auto"/>
                <w:sz w:val="28"/>
                <w:szCs w:val="28"/>
              </w:rPr>
              <w:t>序号</w:t>
            </w:r>
          </w:p>
        </w:tc>
        <w:tc>
          <w:tcPr>
            <w:tcW w:w="0" w:type="auto"/>
            <w:vAlign w:val="center"/>
          </w:tcPr>
          <w:p w14:paraId="48203C67">
            <w:pPr>
              <w:spacing w:line="360" w:lineRule="auto"/>
              <w:jc w:val="center"/>
              <w:rPr>
                <w:rFonts w:hint="default" w:ascii="仿宋" w:hAnsi="仿宋" w:eastAsia="仿宋"/>
                <w:b/>
                <w:bCs/>
                <w:color w:val="auto"/>
                <w:sz w:val="28"/>
                <w:szCs w:val="28"/>
              </w:rPr>
            </w:pPr>
            <w:r>
              <w:rPr>
                <w:rFonts w:ascii="仿宋" w:hAnsi="仿宋" w:eastAsia="仿宋"/>
                <w:b/>
                <w:bCs/>
                <w:color w:val="auto"/>
                <w:sz w:val="28"/>
                <w:szCs w:val="28"/>
              </w:rPr>
              <w:t>标准名称</w:t>
            </w:r>
          </w:p>
        </w:tc>
        <w:tc>
          <w:tcPr>
            <w:tcW w:w="0" w:type="auto"/>
            <w:vAlign w:val="center"/>
          </w:tcPr>
          <w:p w14:paraId="7BC5C16A">
            <w:pPr>
              <w:spacing w:line="360" w:lineRule="auto"/>
              <w:jc w:val="center"/>
              <w:rPr>
                <w:rFonts w:hint="default" w:ascii="仿宋" w:hAnsi="仿宋" w:eastAsia="仿宋"/>
                <w:b/>
                <w:bCs/>
                <w:color w:val="auto"/>
                <w:sz w:val="28"/>
                <w:szCs w:val="28"/>
              </w:rPr>
            </w:pPr>
            <w:r>
              <w:rPr>
                <w:rFonts w:ascii="仿宋" w:hAnsi="仿宋" w:eastAsia="仿宋"/>
                <w:b/>
                <w:bCs/>
                <w:color w:val="auto"/>
                <w:sz w:val="28"/>
                <w:szCs w:val="28"/>
              </w:rPr>
              <w:t>编号</w:t>
            </w:r>
          </w:p>
        </w:tc>
        <w:tc>
          <w:tcPr>
            <w:tcW w:w="0" w:type="auto"/>
            <w:vAlign w:val="center"/>
          </w:tcPr>
          <w:p w14:paraId="69DA84F8">
            <w:pPr>
              <w:spacing w:line="360" w:lineRule="auto"/>
              <w:jc w:val="center"/>
              <w:rPr>
                <w:rFonts w:hint="default" w:ascii="仿宋" w:hAnsi="仿宋" w:eastAsia="仿宋"/>
                <w:b/>
                <w:bCs/>
                <w:color w:val="auto"/>
                <w:sz w:val="28"/>
                <w:szCs w:val="28"/>
              </w:rPr>
            </w:pPr>
            <w:r>
              <w:rPr>
                <w:rFonts w:ascii="仿宋" w:hAnsi="仿宋" w:eastAsia="仿宋"/>
                <w:b/>
                <w:bCs/>
                <w:color w:val="auto"/>
                <w:sz w:val="28"/>
                <w:szCs w:val="28"/>
              </w:rPr>
              <w:t>适用范围</w:t>
            </w:r>
          </w:p>
        </w:tc>
      </w:tr>
      <w:tr w14:paraId="1D49C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2C4A99D5">
            <w:pPr>
              <w:spacing w:line="360" w:lineRule="auto"/>
              <w:jc w:val="left"/>
              <w:rPr>
                <w:rFonts w:hint="default" w:ascii="仿宋" w:hAnsi="仿宋" w:eastAsia="仿宋"/>
                <w:color w:val="auto"/>
                <w:sz w:val="28"/>
                <w:szCs w:val="28"/>
              </w:rPr>
            </w:pPr>
            <w:r>
              <w:rPr>
                <w:rFonts w:ascii="仿宋" w:hAnsi="仿宋" w:eastAsia="仿宋"/>
                <w:color w:val="auto"/>
                <w:sz w:val="28"/>
                <w:szCs w:val="28"/>
              </w:rPr>
              <w:t>1</w:t>
            </w:r>
          </w:p>
        </w:tc>
        <w:tc>
          <w:tcPr>
            <w:tcW w:w="0" w:type="auto"/>
            <w:vAlign w:val="center"/>
          </w:tcPr>
          <w:p w14:paraId="54A96CF3">
            <w:pPr>
              <w:spacing w:line="360" w:lineRule="auto"/>
              <w:rPr>
                <w:rFonts w:hint="default" w:ascii="仿宋" w:hAnsi="仿宋" w:eastAsia="仿宋"/>
                <w:color w:val="auto"/>
                <w:sz w:val="28"/>
                <w:szCs w:val="28"/>
              </w:rPr>
            </w:pPr>
            <w:r>
              <w:rPr>
                <w:rFonts w:ascii="仿宋" w:hAnsi="仿宋" w:eastAsia="仿宋"/>
                <w:color w:val="auto"/>
                <w:sz w:val="28"/>
                <w:szCs w:val="28"/>
              </w:rPr>
              <w:t>《建筑工程施工质量验收统一标准》</w:t>
            </w:r>
          </w:p>
        </w:tc>
        <w:tc>
          <w:tcPr>
            <w:tcW w:w="0" w:type="auto"/>
            <w:vAlign w:val="center"/>
          </w:tcPr>
          <w:p w14:paraId="205E7C96">
            <w:pPr>
              <w:spacing w:line="360" w:lineRule="auto"/>
              <w:rPr>
                <w:rFonts w:hint="default" w:ascii="仿宋" w:hAnsi="仿宋" w:eastAsia="仿宋"/>
                <w:color w:val="auto"/>
                <w:sz w:val="28"/>
                <w:szCs w:val="28"/>
              </w:rPr>
            </w:pPr>
            <w:r>
              <w:rPr>
                <w:rFonts w:ascii="仿宋" w:hAnsi="仿宋" w:eastAsia="仿宋"/>
                <w:color w:val="auto"/>
                <w:sz w:val="28"/>
                <w:szCs w:val="28"/>
              </w:rPr>
              <w:t>GB 50300-2013</w:t>
            </w:r>
          </w:p>
        </w:tc>
        <w:tc>
          <w:tcPr>
            <w:tcW w:w="0" w:type="auto"/>
            <w:vAlign w:val="center"/>
          </w:tcPr>
          <w:p w14:paraId="65278CED">
            <w:pPr>
              <w:spacing w:line="360" w:lineRule="auto"/>
              <w:rPr>
                <w:rFonts w:hint="default" w:ascii="仿宋" w:hAnsi="仿宋" w:eastAsia="仿宋"/>
                <w:color w:val="auto"/>
                <w:sz w:val="28"/>
                <w:szCs w:val="28"/>
              </w:rPr>
            </w:pPr>
            <w:r>
              <w:rPr>
                <w:rFonts w:ascii="仿宋" w:hAnsi="仿宋" w:eastAsia="仿宋"/>
                <w:color w:val="auto"/>
                <w:sz w:val="28"/>
                <w:szCs w:val="28"/>
              </w:rPr>
              <w:t>工程质量通用标准</w:t>
            </w:r>
          </w:p>
        </w:tc>
      </w:tr>
      <w:tr w14:paraId="79175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22743F34">
            <w:pPr>
              <w:spacing w:line="360" w:lineRule="auto"/>
              <w:rPr>
                <w:rFonts w:hint="default" w:ascii="仿宋" w:hAnsi="仿宋" w:eastAsia="仿宋"/>
                <w:color w:val="auto"/>
                <w:sz w:val="28"/>
                <w:szCs w:val="28"/>
              </w:rPr>
            </w:pPr>
            <w:r>
              <w:rPr>
                <w:rFonts w:ascii="仿宋" w:hAnsi="仿宋" w:eastAsia="仿宋"/>
                <w:color w:val="auto"/>
                <w:sz w:val="28"/>
                <w:szCs w:val="28"/>
              </w:rPr>
              <w:t>2</w:t>
            </w:r>
          </w:p>
        </w:tc>
        <w:tc>
          <w:tcPr>
            <w:tcW w:w="0" w:type="auto"/>
            <w:vAlign w:val="center"/>
          </w:tcPr>
          <w:p w14:paraId="3D30D96C">
            <w:pPr>
              <w:spacing w:line="360" w:lineRule="auto"/>
              <w:rPr>
                <w:rFonts w:hint="default" w:ascii="仿宋" w:hAnsi="仿宋" w:eastAsia="仿宋"/>
                <w:color w:val="auto"/>
                <w:sz w:val="28"/>
                <w:szCs w:val="28"/>
              </w:rPr>
            </w:pPr>
            <w:r>
              <w:rPr>
                <w:rFonts w:ascii="仿宋" w:hAnsi="仿宋" w:eastAsia="仿宋"/>
                <w:color w:val="auto"/>
                <w:sz w:val="28"/>
                <w:szCs w:val="28"/>
              </w:rPr>
              <w:t>《建筑装饰装修工程质量验收规范》</w:t>
            </w:r>
          </w:p>
        </w:tc>
        <w:tc>
          <w:tcPr>
            <w:tcW w:w="0" w:type="auto"/>
            <w:vAlign w:val="center"/>
          </w:tcPr>
          <w:p w14:paraId="22A847F4">
            <w:pPr>
              <w:spacing w:line="360" w:lineRule="auto"/>
              <w:rPr>
                <w:rFonts w:hint="default" w:ascii="仿宋" w:hAnsi="仿宋" w:eastAsia="仿宋"/>
                <w:color w:val="auto"/>
                <w:sz w:val="28"/>
                <w:szCs w:val="28"/>
              </w:rPr>
            </w:pPr>
            <w:r>
              <w:rPr>
                <w:rFonts w:ascii="仿宋" w:hAnsi="仿宋" w:eastAsia="仿宋"/>
                <w:color w:val="auto"/>
                <w:sz w:val="28"/>
                <w:szCs w:val="28"/>
              </w:rPr>
              <w:t>GB 50210-2018</w:t>
            </w:r>
          </w:p>
        </w:tc>
        <w:tc>
          <w:tcPr>
            <w:tcW w:w="0" w:type="auto"/>
            <w:vAlign w:val="center"/>
          </w:tcPr>
          <w:p w14:paraId="0438B890">
            <w:pPr>
              <w:spacing w:line="360" w:lineRule="auto"/>
              <w:rPr>
                <w:rFonts w:hint="default" w:ascii="仿宋" w:hAnsi="仿宋" w:eastAsia="仿宋"/>
                <w:color w:val="auto"/>
                <w:sz w:val="28"/>
                <w:szCs w:val="28"/>
              </w:rPr>
            </w:pPr>
            <w:r>
              <w:rPr>
                <w:rFonts w:ascii="仿宋" w:hAnsi="仿宋" w:eastAsia="仿宋"/>
                <w:color w:val="auto"/>
                <w:sz w:val="28"/>
                <w:szCs w:val="28"/>
              </w:rPr>
              <w:t>室内装饰施工</w:t>
            </w:r>
          </w:p>
        </w:tc>
      </w:tr>
      <w:tr w14:paraId="15D1D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7420FDB8">
            <w:pPr>
              <w:spacing w:line="360" w:lineRule="auto"/>
              <w:rPr>
                <w:rFonts w:hint="default" w:ascii="仿宋" w:hAnsi="仿宋" w:eastAsia="仿宋"/>
                <w:color w:val="auto"/>
                <w:sz w:val="28"/>
                <w:szCs w:val="28"/>
              </w:rPr>
            </w:pPr>
            <w:r>
              <w:rPr>
                <w:rFonts w:ascii="仿宋" w:hAnsi="仿宋" w:eastAsia="仿宋"/>
                <w:color w:val="auto"/>
                <w:sz w:val="28"/>
                <w:szCs w:val="28"/>
              </w:rPr>
              <w:t>3</w:t>
            </w:r>
          </w:p>
        </w:tc>
        <w:tc>
          <w:tcPr>
            <w:tcW w:w="0" w:type="auto"/>
            <w:vAlign w:val="center"/>
          </w:tcPr>
          <w:p w14:paraId="72EACE8B">
            <w:pPr>
              <w:spacing w:line="360" w:lineRule="auto"/>
              <w:rPr>
                <w:rFonts w:hint="default" w:ascii="仿宋" w:hAnsi="仿宋" w:eastAsia="仿宋"/>
                <w:color w:val="auto"/>
                <w:sz w:val="28"/>
                <w:szCs w:val="28"/>
              </w:rPr>
            </w:pPr>
            <w:r>
              <w:rPr>
                <w:rFonts w:ascii="仿宋" w:hAnsi="仿宋" w:eastAsia="仿宋"/>
                <w:color w:val="auto"/>
                <w:sz w:val="28"/>
                <w:szCs w:val="28"/>
              </w:rPr>
              <w:t>《建筑电气工程施工质量验收规范》</w:t>
            </w:r>
          </w:p>
        </w:tc>
        <w:tc>
          <w:tcPr>
            <w:tcW w:w="0" w:type="auto"/>
            <w:vAlign w:val="center"/>
          </w:tcPr>
          <w:p w14:paraId="23C33671">
            <w:pPr>
              <w:spacing w:line="360" w:lineRule="auto"/>
              <w:rPr>
                <w:rFonts w:hint="default" w:ascii="仿宋" w:hAnsi="仿宋" w:eastAsia="仿宋"/>
                <w:color w:val="auto"/>
                <w:sz w:val="28"/>
                <w:szCs w:val="28"/>
              </w:rPr>
            </w:pPr>
            <w:r>
              <w:rPr>
                <w:rFonts w:ascii="仿宋" w:hAnsi="仿宋" w:eastAsia="仿宋"/>
                <w:color w:val="auto"/>
                <w:sz w:val="28"/>
                <w:szCs w:val="28"/>
              </w:rPr>
              <w:t>GB 50303-2022</w:t>
            </w:r>
          </w:p>
        </w:tc>
        <w:tc>
          <w:tcPr>
            <w:tcW w:w="0" w:type="auto"/>
            <w:vAlign w:val="center"/>
          </w:tcPr>
          <w:p w14:paraId="115A42A5">
            <w:pPr>
              <w:spacing w:line="360" w:lineRule="auto"/>
              <w:rPr>
                <w:rFonts w:hint="default" w:ascii="仿宋" w:hAnsi="仿宋" w:eastAsia="仿宋"/>
                <w:color w:val="auto"/>
                <w:sz w:val="28"/>
                <w:szCs w:val="28"/>
              </w:rPr>
            </w:pPr>
            <w:r>
              <w:rPr>
                <w:rFonts w:ascii="仿宋" w:hAnsi="仿宋" w:eastAsia="仿宋"/>
                <w:color w:val="auto"/>
                <w:sz w:val="28"/>
                <w:szCs w:val="28"/>
              </w:rPr>
              <w:t>电气系统与照明</w:t>
            </w:r>
          </w:p>
        </w:tc>
      </w:tr>
      <w:tr w14:paraId="4C744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7311E8BA">
            <w:pPr>
              <w:spacing w:line="360" w:lineRule="auto"/>
              <w:rPr>
                <w:rFonts w:hint="default" w:ascii="仿宋" w:hAnsi="仿宋" w:eastAsia="仿宋"/>
                <w:color w:val="auto"/>
                <w:sz w:val="28"/>
                <w:szCs w:val="28"/>
              </w:rPr>
            </w:pPr>
            <w:r>
              <w:rPr>
                <w:rFonts w:ascii="仿宋" w:hAnsi="仿宋" w:eastAsia="仿宋"/>
                <w:color w:val="auto"/>
                <w:sz w:val="28"/>
                <w:szCs w:val="28"/>
              </w:rPr>
              <w:t>4</w:t>
            </w:r>
          </w:p>
        </w:tc>
        <w:tc>
          <w:tcPr>
            <w:tcW w:w="0" w:type="auto"/>
            <w:vAlign w:val="center"/>
          </w:tcPr>
          <w:p w14:paraId="412D080F">
            <w:pPr>
              <w:spacing w:line="360" w:lineRule="auto"/>
              <w:rPr>
                <w:rFonts w:hint="default" w:ascii="仿宋" w:hAnsi="仿宋" w:eastAsia="仿宋"/>
                <w:color w:val="auto"/>
                <w:sz w:val="28"/>
                <w:szCs w:val="28"/>
              </w:rPr>
            </w:pPr>
            <w:r>
              <w:rPr>
                <w:rFonts w:ascii="仿宋" w:hAnsi="仿宋" w:eastAsia="仿宋"/>
                <w:color w:val="auto"/>
                <w:sz w:val="28"/>
                <w:szCs w:val="28"/>
              </w:rPr>
              <w:t>《博物馆陈列照明设计规范》</w:t>
            </w:r>
          </w:p>
        </w:tc>
        <w:tc>
          <w:tcPr>
            <w:tcW w:w="0" w:type="auto"/>
            <w:vAlign w:val="center"/>
          </w:tcPr>
          <w:p w14:paraId="43761582">
            <w:pPr>
              <w:spacing w:line="360" w:lineRule="auto"/>
              <w:rPr>
                <w:rFonts w:hint="default" w:ascii="仿宋" w:hAnsi="仿宋" w:eastAsia="仿宋"/>
                <w:color w:val="auto"/>
                <w:sz w:val="28"/>
                <w:szCs w:val="28"/>
              </w:rPr>
            </w:pPr>
            <w:r>
              <w:rPr>
                <w:rFonts w:ascii="仿宋" w:hAnsi="仿宋" w:eastAsia="仿宋"/>
                <w:color w:val="auto"/>
                <w:sz w:val="28"/>
                <w:szCs w:val="28"/>
              </w:rPr>
              <w:t>WW/T 0088-2018</w:t>
            </w:r>
          </w:p>
        </w:tc>
        <w:tc>
          <w:tcPr>
            <w:tcW w:w="0" w:type="auto"/>
            <w:vAlign w:val="center"/>
          </w:tcPr>
          <w:p w14:paraId="109991F8">
            <w:pPr>
              <w:spacing w:line="360" w:lineRule="auto"/>
              <w:rPr>
                <w:rFonts w:hint="default" w:ascii="仿宋" w:hAnsi="仿宋" w:eastAsia="仿宋"/>
                <w:color w:val="auto"/>
                <w:sz w:val="28"/>
                <w:szCs w:val="28"/>
              </w:rPr>
            </w:pPr>
            <w:r>
              <w:rPr>
                <w:rFonts w:ascii="仿宋" w:hAnsi="仿宋" w:eastAsia="仿宋"/>
                <w:color w:val="auto"/>
                <w:sz w:val="28"/>
                <w:szCs w:val="28"/>
              </w:rPr>
              <w:t>展陈照明与控制系统</w:t>
            </w:r>
          </w:p>
        </w:tc>
      </w:tr>
      <w:tr w14:paraId="3F05E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3B2518D9">
            <w:pPr>
              <w:spacing w:line="360" w:lineRule="auto"/>
              <w:rPr>
                <w:rFonts w:hint="default" w:ascii="仿宋" w:hAnsi="仿宋" w:eastAsia="仿宋"/>
                <w:color w:val="auto"/>
                <w:sz w:val="28"/>
                <w:szCs w:val="28"/>
              </w:rPr>
            </w:pPr>
            <w:r>
              <w:rPr>
                <w:rFonts w:ascii="仿宋" w:hAnsi="仿宋" w:eastAsia="仿宋"/>
                <w:color w:val="auto"/>
                <w:sz w:val="28"/>
                <w:szCs w:val="28"/>
              </w:rPr>
              <w:t>5</w:t>
            </w:r>
          </w:p>
        </w:tc>
        <w:tc>
          <w:tcPr>
            <w:tcW w:w="0" w:type="auto"/>
            <w:vAlign w:val="center"/>
          </w:tcPr>
          <w:p w14:paraId="7CED5A02">
            <w:pPr>
              <w:spacing w:line="360" w:lineRule="auto"/>
              <w:rPr>
                <w:rFonts w:hint="default" w:ascii="仿宋" w:hAnsi="仿宋" w:eastAsia="仿宋"/>
                <w:color w:val="auto"/>
                <w:sz w:val="28"/>
                <w:szCs w:val="28"/>
              </w:rPr>
            </w:pPr>
            <w:r>
              <w:rPr>
                <w:rFonts w:ascii="仿宋" w:hAnsi="仿宋" w:eastAsia="仿宋"/>
                <w:color w:val="auto"/>
                <w:sz w:val="28"/>
                <w:szCs w:val="28"/>
              </w:rPr>
              <w:t>《建筑照明设计标准》</w:t>
            </w:r>
          </w:p>
        </w:tc>
        <w:tc>
          <w:tcPr>
            <w:tcW w:w="0" w:type="auto"/>
            <w:vAlign w:val="center"/>
          </w:tcPr>
          <w:p w14:paraId="61B330F0">
            <w:pPr>
              <w:spacing w:line="360" w:lineRule="auto"/>
              <w:rPr>
                <w:rFonts w:hint="default" w:ascii="仿宋" w:hAnsi="仿宋" w:eastAsia="仿宋"/>
                <w:color w:val="auto"/>
                <w:sz w:val="28"/>
                <w:szCs w:val="28"/>
              </w:rPr>
            </w:pPr>
            <w:r>
              <w:rPr>
                <w:rFonts w:ascii="仿宋" w:hAnsi="仿宋" w:eastAsia="仿宋"/>
                <w:color w:val="auto"/>
                <w:sz w:val="28"/>
                <w:szCs w:val="28"/>
              </w:rPr>
              <w:t>GB 50034-2013</w:t>
            </w:r>
          </w:p>
        </w:tc>
        <w:tc>
          <w:tcPr>
            <w:tcW w:w="0" w:type="auto"/>
            <w:vAlign w:val="center"/>
          </w:tcPr>
          <w:p w14:paraId="34115D18">
            <w:pPr>
              <w:spacing w:line="360" w:lineRule="auto"/>
              <w:rPr>
                <w:rFonts w:hint="default" w:ascii="仿宋" w:hAnsi="仿宋" w:eastAsia="仿宋"/>
                <w:color w:val="auto"/>
                <w:sz w:val="28"/>
                <w:szCs w:val="28"/>
              </w:rPr>
            </w:pPr>
            <w:r>
              <w:rPr>
                <w:rFonts w:ascii="仿宋" w:hAnsi="仿宋" w:eastAsia="仿宋"/>
                <w:color w:val="auto"/>
                <w:sz w:val="28"/>
                <w:szCs w:val="28"/>
              </w:rPr>
              <w:t>灯具布置与光环境</w:t>
            </w:r>
          </w:p>
        </w:tc>
      </w:tr>
      <w:tr w14:paraId="3DE9A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1A9056B3">
            <w:pPr>
              <w:spacing w:line="360" w:lineRule="auto"/>
              <w:rPr>
                <w:rFonts w:hint="default" w:ascii="仿宋" w:hAnsi="仿宋" w:eastAsia="仿宋"/>
                <w:color w:val="auto"/>
                <w:sz w:val="28"/>
                <w:szCs w:val="28"/>
              </w:rPr>
            </w:pPr>
            <w:r>
              <w:rPr>
                <w:rFonts w:ascii="仿宋" w:hAnsi="仿宋" w:eastAsia="仿宋"/>
                <w:color w:val="auto"/>
                <w:sz w:val="28"/>
                <w:szCs w:val="28"/>
              </w:rPr>
              <w:t>6</w:t>
            </w:r>
          </w:p>
        </w:tc>
        <w:tc>
          <w:tcPr>
            <w:tcW w:w="0" w:type="auto"/>
            <w:vAlign w:val="center"/>
          </w:tcPr>
          <w:p w14:paraId="025243BD">
            <w:pPr>
              <w:spacing w:line="360" w:lineRule="auto"/>
              <w:rPr>
                <w:rFonts w:hint="default" w:ascii="仿宋" w:hAnsi="仿宋" w:eastAsia="仿宋"/>
                <w:color w:val="auto"/>
                <w:sz w:val="28"/>
                <w:szCs w:val="28"/>
              </w:rPr>
            </w:pPr>
            <w:r>
              <w:rPr>
                <w:rFonts w:ascii="仿宋" w:hAnsi="仿宋" w:eastAsia="仿宋"/>
                <w:color w:val="auto"/>
                <w:sz w:val="28"/>
                <w:szCs w:val="28"/>
              </w:rPr>
              <w:t>《民用建筑电气设计标准》</w:t>
            </w:r>
          </w:p>
        </w:tc>
        <w:tc>
          <w:tcPr>
            <w:tcW w:w="0" w:type="auto"/>
            <w:vAlign w:val="center"/>
          </w:tcPr>
          <w:p w14:paraId="1DF4426B">
            <w:pPr>
              <w:spacing w:line="360" w:lineRule="auto"/>
              <w:rPr>
                <w:rFonts w:hint="default" w:ascii="仿宋" w:hAnsi="仿宋" w:eastAsia="仿宋"/>
                <w:color w:val="auto"/>
                <w:sz w:val="28"/>
                <w:szCs w:val="28"/>
              </w:rPr>
            </w:pPr>
            <w:r>
              <w:rPr>
                <w:rFonts w:ascii="仿宋" w:hAnsi="仿宋" w:eastAsia="仿宋"/>
                <w:color w:val="auto"/>
                <w:sz w:val="28"/>
                <w:szCs w:val="28"/>
              </w:rPr>
              <w:t>GB 51348-2019</w:t>
            </w:r>
          </w:p>
        </w:tc>
        <w:tc>
          <w:tcPr>
            <w:tcW w:w="0" w:type="auto"/>
            <w:vAlign w:val="center"/>
          </w:tcPr>
          <w:p w14:paraId="1F8B95A2">
            <w:pPr>
              <w:spacing w:line="360" w:lineRule="auto"/>
              <w:rPr>
                <w:rFonts w:hint="default" w:ascii="仿宋" w:hAnsi="仿宋" w:eastAsia="仿宋"/>
                <w:color w:val="auto"/>
                <w:sz w:val="28"/>
                <w:szCs w:val="28"/>
              </w:rPr>
            </w:pPr>
            <w:r>
              <w:rPr>
                <w:rFonts w:ascii="仿宋" w:hAnsi="仿宋" w:eastAsia="仿宋"/>
                <w:color w:val="auto"/>
                <w:sz w:val="28"/>
                <w:szCs w:val="28"/>
              </w:rPr>
              <w:t>弱电与智能控制</w:t>
            </w:r>
          </w:p>
        </w:tc>
      </w:tr>
      <w:tr w14:paraId="0B201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32200890">
            <w:pPr>
              <w:spacing w:line="360" w:lineRule="auto"/>
              <w:rPr>
                <w:rFonts w:hint="default" w:ascii="仿宋" w:hAnsi="仿宋" w:eastAsia="仿宋"/>
                <w:color w:val="auto"/>
                <w:sz w:val="28"/>
                <w:szCs w:val="28"/>
              </w:rPr>
            </w:pPr>
            <w:r>
              <w:rPr>
                <w:rFonts w:ascii="仿宋" w:hAnsi="仿宋" w:eastAsia="仿宋"/>
                <w:color w:val="auto"/>
                <w:sz w:val="28"/>
                <w:szCs w:val="28"/>
              </w:rPr>
              <w:t>7</w:t>
            </w:r>
          </w:p>
        </w:tc>
        <w:tc>
          <w:tcPr>
            <w:tcW w:w="0" w:type="auto"/>
            <w:vAlign w:val="center"/>
          </w:tcPr>
          <w:p w14:paraId="7F0FBBD3">
            <w:pPr>
              <w:spacing w:line="360" w:lineRule="auto"/>
              <w:rPr>
                <w:rFonts w:hint="default" w:ascii="仿宋" w:hAnsi="仿宋" w:eastAsia="仿宋"/>
                <w:color w:val="auto"/>
                <w:sz w:val="28"/>
                <w:szCs w:val="28"/>
              </w:rPr>
            </w:pPr>
            <w:r>
              <w:rPr>
                <w:rFonts w:ascii="仿宋" w:hAnsi="仿宋" w:eastAsia="仿宋"/>
                <w:color w:val="auto"/>
                <w:sz w:val="28"/>
                <w:szCs w:val="28"/>
              </w:rPr>
              <w:t>《建筑智能化系统工程验收规范》</w:t>
            </w:r>
          </w:p>
        </w:tc>
        <w:tc>
          <w:tcPr>
            <w:tcW w:w="0" w:type="auto"/>
            <w:vAlign w:val="center"/>
          </w:tcPr>
          <w:p w14:paraId="048CC780">
            <w:pPr>
              <w:spacing w:line="360" w:lineRule="auto"/>
              <w:rPr>
                <w:rFonts w:hint="default" w:ascii="仿宋" w:hAnsi="仿宋" w:eastAsia="仿宋"/>
                <w:color w:val="auto"/>
                <w:sz w:val="28"/>
                <w:szCs w:val="28"/>
              </w:rPr>
            </w:pPr>
            <w:r>
              <w:rPr>
                <w:rFonts w:ascii="仿宋" w:hAnsi="仿宋" w:eastAsia="仿宋"/>
                <w:color w:val="auto"/>
                <w:sz w:val="28"/>
                <w:szCs w:val="28"/>
              </w:rPr>
              <w:t>GB/T 50339-2013</w:t>
            </w:r>
          </w:p>
        </w:tc>
        <w:tc>
          <w:tcPr>
            <w:tcW w:w="0" w:type="auto"/>
            <w:vAlign w:val="center"/>
          </w:tcPr>
          <w:p w14:paraId="33289526">
            <w:pPr>
              <w:spacing w:line="360" w:lineRule="auto"/>
              <w:rPr>
                <w:rFonts w:hint="default" w:ascii="仿宋" w:hAnsi="仿宋" w:eastAsia="仿宋"/>
                <w:color w:val="auto"/>
                <w:sz w:val="28"/>
                <w:szCs w:val="28"/>
              </w:rPr>
            </w:pPr>
            <w:r>
              <w:rPr>
                <w:rFonts w:ascii="仿宋" w:hAnsi="仿宋" w:eastAsia="仿宋"/>
                <w:color w:val="auto"/>
                <w:sz w:val="28"/>
                <w:szCs w:val="28"/>
              </w:rPr>
              <w:t>中控与集成系统</w:t>
            </w:r>
          </w:p>
        </w:tc>
      </w:tr>
      <w:tr w14:paraId="7F4B9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7CAFEF9A">
            <w:pPr>
              <w:spacing w:line="360" w:lineRule="auto"/>
              <w:rPr>
                <w:rFonts w:hint="default" w:ascii="仿宋" w:hAnsi="仿宋" w:eastAsia="仿宋"/>
                <w:color w:val="auto"/>
                <w:sz w:val="28"/>
                <w:szCs w:val="28"/>
              </w:rPr>
            </w:pPr>
            <w:r>
              <w:rPr>
                <w:rFonts w:ascii="仿宋" w:hAnsi="仿宋" w:eastAsia="仿宋"/>
                <w:color w:val="auto"/>
                <w:sz w:val="28"/>
                <w:szCs w:val="28"/>
              </w:rPr>
              <w:t>8</w:t>
            </w:r>
          </w:p>
        </w:tc>
        <w:tc>
          <w:tcPr>
            <w:tcW w:w="0" w:type="auto"/>
            <w:vAlign w:val="center"/>
          </w:tcPr>
          <w:p w14:paraId="467ACAD3">
            <w:pPr>
              <w:spacing w:line="360" w:lineRule="auto"/>
              <w:rPr>
                <w:rFonts w:hint="default" w:ascii="仿宋" w:hAnsi="仿宋" w:eastAsia="仿宋"/>
                <w:color w:val="auto"/>
                <w:sz w:val="28"/>
                <w:szCs w:val="28"/>
              </w:rPr>
            </w:pPr>
            <w:r>
              <w:rPr>
                <w:rFonts w:ascii="仿宋" w:hAnsi="仿宋" w:eastAsia="仿宋"/>
                <w:color w:val="auto"/>
                <w:sz w:val="28"/>
                <w:szCs w:val="28"/>
              </w:rPr>
              <w:t>《声学 建筑隔声测量规范》</w:t>
            </w:r>
          </w:p>
        </w:tc>
        <w:tc>
          <w:tcPr>
            <w:tcW w:w="0" w:type="auto"/>
            <w:vAlign w:val="center"/>
          </w:tcPr>
          <w:p w14:paraId="620E57A1">
            <w:pPr>
              <w:spacing w:line="360" w:lineRule="auto"/>
              <w:rPr>
                <w:rFonts w:hint="default" w:ascii="仿宋" w:hAnsi="仿宋" w:eastAsia="仿宋"/>
                <w:color w:val="auto"/>
                <w:sz w:val="28"/>
                <w:szCs w:val="28"/>
              </w:rPr>
            </w:pPr>
            <w:r>
              <w:rPr>
                <w:rFonts w:ascii="仿宋" w:hAnsi="仿宋" w:eastAsia="仿宋"/>
                <w:color w:val="auto"/>
                <w:sz w:val="28"/>
                <w:szCs w:val="28"/>
              </w:rPr>
              <w:t>GB/T 19889.7-2019</w:t>
            </w:r>
          </w:p>
        </w:tc>
        <w:tc>
          <w:tcPr>
            <w:tcW w:w="0" w:type="auto"/>
            <w:vAlign w:val="center"/>
          </w:tcPr>
          <w:p w14:paraId="7DE8703B">
            <w:pPr>
              <w:spacing w:line="360" w:lineRule="auto"/>
              <w:rPr>
                <w:rFonts w:hint="default" w:ascii="仿宋" w:hAnsi="仿宋" w:eastAsia="仿宋"/>
                <w:color w:val="auto"/>
                <w:sz w:val="28"/>
                <w:szCs w:val="28"/>
              </w:rPr>
            </w:pPr>
            <w:r>
              <w:rPr>
                <w:rFonts w:ascii="仿宋" w:hAnsi="仿宋" w:eastAsia="仿宋"/>
                <w:color w:val="auto"/>
                <w:sz w:val="28"/>
                <w:szCs w:val="28"/>
              </w:rPr>
              <w:t>展厅噪声控制</w:t>
            </w:r>
          </w:p>
        </w:tc>
      </w:tr>
      <w:tr w14:paraId="150ED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4D50FAC3">
            <w:pPr>
              <w:spacing w:line="360" w:lineRule="auto"/>
              <w:rPr>
                <w:rFonts w:hint="default" w:ascii="仿宋" w:hAnsi="仿宋" w:eastAsia="仿宋"/>
                <w:color w:val="auto"/>
                <w:sz w:val="28"/>
                <w:szCs w:val="28"/>
              </w:rPr>
            </w:pPr>
            <w:r>
              <w:rPr>
                <w:rFonts w:ascii="仿宋" w:hAnsi="仿宋" w:eastAsia="仿宋"/>
                <w:color w:val="auto"/>
                <w:sz w:val="28"/>
                <w:szCs w:val="28"/>
              </w:rPr>
              <w:t>9</w:t>
            </w:r>
          </w:p>
        </w:tc>
        <w:tc>
          <w:tcPr>
            <w:tcW w:w="0" w:type="auto"/>
            <w:vAlign w:val="center"/>
          </w:tcPr>
          <w:p w14:paraId="0AFFD625">
            <w:pPr>
              <w:spacing w:line="360" w:lineRule="auto"/>
              <w:rPr>
                <w:rFonts w:hint="default" w:ascii="仿宋" w:hAnsi="仿宋" w:eastAsia="仿宋"/>
                <w:color w:val="auto"/>
                <w:sz w:val="28"/>
                <w:szCs w:val="28"/>
              </w:rPr>
            </w:pPr>
            <w:r>
              <w:rPr>
                <w:rFonts w:ascii="仿宋" w:hAnsi="仿宋" w:eastAsia="仿宋"/>
                <w:color w:val="auto"/>
                <w:sz w:val="28"/>
                <w:szCs w:val="28"/>
              </w:rPr>
              <w:t>《建筑节能工程施工质量验收标准》</w:t>
            </w:r>
          </w:p>
        </w:tc>
        <w:tc>
          <w:tcPr>
            <w:tcW w:w="0" w:type="auto"/>
            <w:vAlign w:val="center"/>
          </w:tcPr>
          <w:p w14:paraId="530B0BB7">
            <w:pPr>
              <w:spacing w:line="360" w:lineRule="auto"/>
              <w:rPr>
                <w:rFonts w:hint="default" w:ascii="仿宋" w:hAnsi="仿宋" w:eastAsia="仿宋"/>
                <w:color w:val="auto"/>
                <w:sz w:val="28"/>
                <w:szCs w:val="28"/>
              </w:rPr>
            </w:pPr>
            <w:r>
              <w:rPr>
                <w:rFonts w:ascii="仿宋" w:hAnsi="仿宋" w:eastAsia="仿宋"/>
                <w:color w:val="auto"/>
                <w:sz w:val="28"/>
                <w:szCs w:val="28"/>
              </w:rPr>
              <w:t>GB 50411-2019</w:t>
            </w:r>
          </w:p>
        </w:tc>
        <w:tc>
          <w:tcPr>
            <w:tcW w:w="0" w:type="auto"/>
            <w:vAlign w:val="center"/>
          </w:tcPr>
          <w:p w14:paraId="5EFB2A64">
            <w:pPr>
              <w:spacing w:line="360" w:lineRule="auto"/>
              <w:rPr>
                <w:rFonts w:hint="default" w:ascii="仿宋" w:hAnsi="仿宋" w:eastAsia="仿宋"/>
                <w:color w:val="auto"/>
                <w:sz w:val="28"/>
                <w:szCs w:val="28"/>
              </w:rPr>
            </w:pPr>
            <w:r>
              <w:rPr>
                <w:rFonts w:ascii="仿宋" w:hAnsi="仿宋" w:eastAsia="仿宋"/>
                <w:color w:val="auto"/>
                <w:sz w:val="28"/>
                <w:szCs w:val="28"/>
              </w:rPr>
              <w:t>节能与环保要求</w:t>
            </w:r>
          </w:p>
        </w:tc>
      </w:tr>
      <w:tr w14:paraId="059E3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557ECA65">
            <w:pPr>
              <w:spacing w:line="360" w:lineRule="auto"/>
              <w:rPr>
                <w:rFonts w:hint="default" w:ascii="仿宋" w:hAnsi="仿宋" w:eastAsia="仿宋"/>
                <w:color w:val="auto"/>
                <w:sz w:val="28"/>
                <w:szCs w:val="28"/>
              </w:rPr>
            </w:pPr>
            <w:r>
              <w:rPr>
                <w:rFonts w:ascii="仿宋" w:hAnsi="仿宋" w:eastAsia="仿宋"/>
                <w:color w:val="auto"/>
                <w:sz w:val="28"/>
                <w:szCs w:val="28"/>
              </w:rPr>
              <w:t>10</w:t>
            </w:r>
          </w:p>
        </w:tc>
        <w:tc>
          <w:tcPr>
            <w:tcW w:w="0" w:type="auto"/>
            <w:vAlign w:val="center"/>
          </w:tcPr>
          <w:p w14:paraId="3CAFDD45">
            <w:pPr>
              <w:spacing w:line="360" w:lineRule="auto"/>
              <w:rPr>
                <w:rFonts w:hint="default" w:ascii="仿宋" w:hAnsi="仿宋" w:eastAsia="仿宋"/>
                <w:color w:val="auto"/>
                <w:sz w:val="28"/>
                <w:szCs w:val="28"/>
              </w:rPr>
            </w:pPr>
            <w:r>
              <w:rPr>
                <w:rFonts w:ascii="仿宋" w:hAnsi="仿宋" w:eastAsia="仿宋"/>
                <w:color w:val="auto"/>
                <w:sz w:val="28"/>
                <w:szCs w:val="28"/>
              </w:rPr>
              <w:t>《建筑防火规范》</w:t>
            </w:r>
          </w:p>
        </w:tc>
        <w:tc>
          <w:tcPr>
            <w:tcW w:w="0" w:type="auto"/>
            <w:vAlign w:val="center"/>
          </w:tcPr>
          <w:p w14:paraId="25BF1426">
            <w:pPr>
              <w:spacing w:line="360" w:lineRule="auto"/>
              <w:rPr>
                <w:rFonts w:hint="default" w:ascii="仿宋" w:hAnsi="仿宋" w:eastAsia="仿宋"/>
                <w:color w:val="auto"/>
                <w:sz w:val="28"/>
                <w:szCs w:val="28"/>
              </w:rPr>
            </w:pPr>
            <w:r>
              <w:rPr>
                <w:rFonts w:ascii="仿宋" w:hAnsi="仿宋" w:eastAsia="仿宋"/>
                <w:color w:val="auto"/>
                <w:sz w:val="28"/>
                <w:szCs w:val="28"/>
              </w:rPr>
              <w:t>GB 50016-2014</w:t>
            </w:r>
          </w:p>
        </w:tc>
        <w:tc>
          <w:tcPr>
            <w:tcW w:w="0" w:type="auto"/>
            <w:vAlign w:val="center"/>
          </w:tcPr>
          <w:p w14:paraId="15083D75">
            <w:pPr>
              <w:spacing w:line="360" w:lineRule="auto"/>
              <w:rPr>
                <w:rFonts w:hint="default" w:ascii="仿宋" w:hAnsi="仿宋" w:eastAsia="仿宋"/>
                <w:color w:val="auto"/>
                <w:sz w:val="28"/>
                <w:szCs w:val="28"/>
              </w:rPr>
            </w:pPr>
            <w:r>
              <w:rPr>
                <w:rFonts w:ascii="仿宋" w:hAnsi="仿宋" w:eastAsia="仿宋"/>
                <w:color w:val="auto"/>
                <w:sz w:val="28"/>
                <w:szCs w:val="28"/>
              </w:rPr>
              <w:t>材料与防火系统</w:t>
            </w:r>
          </w:p>
        </w:tc>
      </w:tr>
      <w:tr w14:paraId="7B0DC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7867E0F6">
            <w:pPr>
              <w:spacing w:line="360" w:lineRule="auto"/>
              <w:rPr>
                <w:rFonts w:hint="default" w:ascii="仿宋" w:hAnsi="仿宋" w:eastAsia="仿宋"/>
                <w:color w:val="auto"/>
                <w:sz w:val="28"/>
                <w:szCs w:val="28"/>
              </w:rPr>
            </w:pPr>
            <w:r>
              <w:rPr>
                <w:rFonts w:ascii="仿宋" w:hAnsi="仿宋" w:eastAsia="仿宋"/>
                <w:color w:val="auto"/>
                <w:sz w:val="28"/>
                <w:szCs w:val="28"/>
              </w:rPr>
              <w:t>11</w:t>
            </w:r>
          </w:p>
        </w:tc>
        <w:tc>
          <w:tcPr>
            <w:tcW w:w="0" w:type="auto"/>
            <w:vAlign w:val="center"/>
          </w:tcPr>
          <w:p w14:paraId="3BF0B0D5">
            <w:pPr>
              <w:spacing w:line="360" w:lineRule="auto"/>
              <w:rPr>
                <w:rFonts w:hint="default" w:ascii="仿宋" w:hAnsi="仿宋" w:eastAsia="仿宋"/>
                <w:color w:val="auto"/>
                <w:sz w:val="28"/>
                <w:szCs w:val="28"/>
              </w:rPr>
            </w:pPr>
            <w:r>
              <w:rPr>
                <w:rFonts w:ascii="仿宋" w:hAnsi="仿宋" w:eastAsia="仿宋"/>
                <w:color w:val="auto"/>
                <w:sz w:val="28"/>
                <w:szCs w:val="28"/>
              </w:rPr>
              <w:t>《建筑给水排水设计标准》</w:t>
            </w:r>
          </w:p>
        </w:tc>
        <w:tc>
          <w:tcPr>
            <w:tcW w:w="0" w:type="auto"/>
            <w:vAlign w:val="center"/>
          </w:tcPr>
          <w:p w14:paraId="246AEB57">
            <w:pPr>
              <w:spacing w:line="360" w:lineRule="auto"/>
              <w:rPr>
                <w:rFonts w:hint="default" w:ascii="仿宋" w:hAnsi="仿宋" w:eastAsia="仿宋"/>
                <w:color w:val="auto"/>
                <w:sz w:val="28"/>
                <w:szCs w:val="28"/>
              </w:rPr>
            </w:pPr>
            <w:r>
              <w:rPr>
                <w:rFonts w:ascii="仿宋" w:hAnsi="仿宋" w:eastAsia="仿宋"/>
                <w:color w:val="auto"/>
                <w:sz w:val="28"/>
                <w:szCs w:val="28"/>
              </w:rPr>
              <w:t>GB 50015-2019</w:t>
            </w:r>
          </w:p>
        </w:tc>
        <w:tc>
          <w:tcPr>
            <w:tcW w:w="0" w:type="auto"/>
            <w:vAlign w:val="center"/>
          </w:tcPr>
          <w:p w14:paraId="6A251902">
            <w:pPr>
              <w:spacing w:line="360" w:lineRule="auto"/>
              <w:rPr>
                <w:rFonts w:hint="default" w:ascii="仿宋" w:hAnsi="仿宋" w:eastAsia="仿宋"/>
                <w:color w:val="auto"/>
                <w:sz w:val="28"/>
                <w:szCs w:val="28"/>
              </w:rPr>
            </w:pPr>
            <w:r>
              <w:rPr>
                <w:rFonts w:ascii="仿宋" w:hAnsi="仿宋" w:eastAsia="仿宋"/>
                <w:color w:val="auto"/>
                <w:sz w:val="28"/>
                <w:szCs w:val="28"/>
              </w:rPr>
              <w:t>环境与防潮</w:t>
            </w:r>
          </w:p>
        </w:tc>
      </w:tr>
      <w:tr w14:paraId="3105D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6C57EF53">
            <w:pPr>
              <w:spacing w:line="360" w:lineRule="auto"/>
              <w:rPr>
                <w:rFonts w:hint="default" w:ascii="仿宋" w:hAnsi="仿宋" w:eastAsia="仿宋"/>
                <w:color w:val="auto"/>
                <w:sz w:val="28"/>
                <w:szCs w:val="28"/>
              </w:rPr>
            </w:pPr>
            <w:r>
              <w:rPr>
                <w:rFonts w:ascii="仿宋" w:hAnsi="仿宋" w:eastAsia="仿宋"/>
                <w:color w:val="auto"/>
                <w:sz w:val="28"/>
                <w:szCs w:val="28"/>
              </w:rPr>
              <w:t>12</w:t>
            </w:r>
          </w:p>
        </w:tc>
        <w:tc>
          <w:tcPr>
            <w:tcW w:w="0" w:type="auto"/>
            <w:vAlign w:val="center"/>
          </w:tcPr>
          <w:p w14:paraId="0BE1A3E8">
            <w:pPr>
              <w:spacing w:line="360" w:lineRule="auto"/>
              <w:rPr>
                <w:rFonts w:hint="default" w:ascii="仿宋" w:hAnsi="仿宋" w:eastAsia="仿宋"/>
                <w:color w:val="auto"/>
                <w:sz w:val="28"/>
                <w:szCs w:val="28"/>
              </w:rPr>
            </w:pPr>
            <w:r>
              <w:rPr>
                <w:rFonts w:ascii="仿宋" w:hAnsi="仿宋" w:eastAsia="仿宋"/>
                <w:color w:val="auto"/>
                <w:sz w:val="28"/>
                <w:szCs w:val="28"/>
              </w:rPr>
              <w:t>《建筑结构荷载规范》</w:t>
            </w:r>
          </w:p>
        </w:tc>
        <w:tc>
          <w:tcPr>
            <w:tcW w:w="0" w:type="auto"/>
            <w:vAlign w:val="center"/>
          </w:tcPr>
          <w:p w14:paraId="63460AC3">
            <w:pPr>
              <w:spacing w:line="360" w:lineRule="auto"/>
              <w:rPr>
                <w:rFonts w:hint="default" w:ascii="仿宋" w:hAnsi="仿宋" w:eastAsia="仿宋"/>
                <w:color w:val="auto"/>
                <w:sz w:val="28"/>
                <w:szCs w:val="28"/>
              </w:rPr>
            </w:pPr>
            <w:r>
              <w:rPr>
                <w:rFonts w:ascii="仿宋" w:hAnsi="仿宋" w:eastAsia="仿宋"/>
                <w:color w:val="auto"/>
                <w:sz w:val="28"/>
                <w:szCs w:val="28"/>
              </w:rPr>
              <w:t>GB 50009-2021</w:t>
            </w:r>
          </w:p>
        </w:tc>
        <w:tc>
          <w:tcPr>
            <w:tcW w:w="0" w:type="auto"/>
            <w:vAlign w:val="center"/>
          </w:tcPr>
          <w:p w14:paraId="306E3DC4">
            <w:pPr>
              <w:spacing w:line="360" w:lineRule="auto"/>
              <w:rPr>
                <w:rFonts w:hint="default" w:ascii="仿宋" w:hAnsi="仿宋" w:eastAsia="仿宋"/>
                <w:color w:val="auto"/>
                <w:sz w:val="28"/>
                <w:szCs w:val="28"/>
              </w:rPr>
            </w:pPr>
            <w:r>
              <w:rPr>
                <w:rFonts w:ascii="仿宋" w:hAnsi="仿宋" w:eastAsia="仿宋"/>
                <w:color w:val="auto"/>
                <w:sz w:val="28"/>
                <w:szCs w:val="28"/>
              </w:rPr>
              <w:t>展台承重设计</w:t>
            </w:r>
          </w:p>
        </w:tc>
      </w:tr>
      <w:tr w14:paraId="7437A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114FE1BA">
            <w:pPr>
              <w:spacing w:line="360" w:lineRule="auto"/>
              <w:rPr>
                <w:rFonts w:hint="default" w:ascii="仿宋" w:hAnsi="仿宋" w:eastAsia="仿宋"/>
                <w:color w:val="auto"/>
                <w:sz w:val="28"/>
                <w:szCs w:val="28"/>
              </w:rPr>
            </w:pPr>
            <w:r>
              <w:rPr>
                <w:rFonts w:ascii="仿宋" w:hAnsi="仿宋" w:eastAsia="仿宋"/>
                <w:color w:val="auto"/>
                <w:sz w:val="28"/>
                <w:szCs w:val="28"/>
              </w:rPr>
              <w:t>13</w:t>
            </w:r>
          </w:p>
        </w:tc>
        <w:tc>
          <w:tcPr>
            <w:tcW w:w="0" w:type="auto"/>
            <w:vAlign w:val="center"/>
          </w:tcPr>
          <w:p w14:paraId="70D9B72D">
            <w:pPr>
              <w:spacing w:line="360" w:lineRule="auto"/>
              <w:rPr>
                <w:rFonts w:hint="default" w:ascii="仿宋" w:hAnsi="仿宋" w:eastAsia="仿宋"/>
                <w:color w:val="auto"/>
                <w:sz w:val="28"/>
                <w:szCs w:val="28"/>
              </w:rPr>
            </w:pPr>
            <w:r>
              <w:rPr>
                <w:rFonts w:ascii="仿宋" w:hAnsi="仿宋" w:eastAsia="仿宋"/>
                <w:color w:val="auto"/>
                <w:sz w:val="28"/>
                <w:szCs w:val="28"/>
              </w:rPr>
              <w:t>《建筑施工安全检查标准》</w:t>
            </w:r>
          </w:p>
        </w:tc>
        <w:tc>
          <w:tcPr>
            <w:tcW w:w="0" w:type="auto"/>
            <w:vAlign w:val="center"/>
          </w:tcPr>
          <w:p w14:paraId="5943CB60">
            <w:pPr>
              <w:spacing w:line="360" w:lineRule="auto"/>
              <w:rPr>
                <w:rFonts w:hint="default" w:ascii="仿宋" w:hAnsi="仿宋" w:eastAsia="仿宋"/>
                <w:color w:val="auto"/>
                <w:sz w:val="28"/>
                <w:szCs w:val="28"/>
              </w:rPr>
            </w:pPr>
            <w:r>
              <w:rPr>
                <w:rFonts w:ascii="仿宋" w:hAnsi="仿宋" w:eastAsia="仿宋"/>
                <w:color w:val="auto"/>
                <w:sz w:val="28"/>
                <w:szCs w:val="28"/>
              </w:rPr>
              <w:t>JGJ 59-2011</w:t>
            </w:r>
          </w:p>
        </w:tc>
        <w:tc>
          <w:tcPr>
            <w:tcW w:w="0" w:type="auto"/>
            <w:vAlign w:val="center"/>
          </w:tcPr>
          <w:p w14:paraId="12F9DB5E">
            <w:pPr>
              <w:spacing w:line="360" w:lineRule="auto"/>
              <w:rPr>
                <w:rFonts w:hint="default" w:ascii="仿宋" w:hAnsi="仿宋" w:eastAsia="仿宋"/>
                <w:color w:val="auto"/>
                <w:sz w:val="28"/>
                <w:szCs w:val="28"/>
              </w:rPr>
            </w:pPr>
            <w:r>
              <w:rPr>
                <w:rFonts w:ascii="仿宋" w:hAnsi="仿宋" w:eastAsia="仿宋"/>
                <w:color w:val="auto"/>
                <w:sz w:val="28"/>
                <w:szCs w:val="28"/>
              </w:rPr>
              <w:t>施工安全管理</w:t>
            </w:r>
          </w:p>
        </w:tc>
      </w:tr>
      <w:tr w14:paraId="6B3B3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08137A44">
            <w:pPr>
              <w:spacing w:line="360" w:lineRule="auto"/>
              <w:rPr>
                <w:rFonts w:hint="default" w:ascii="仿宋" w:hAnsi="仿宋" w:eastAsia="仿宋"/>
                <w:color w:val="auto"/>
                <w:sz w:val="28"/>
                <w:szCs w:val="28"/>
              </w:rPr>
            </w:pPr>
            <w:r>
              <w:rPr>
                <w:rFonts w:ascii="仿宋" w:hAnsi="仿宋" w:eastAsia="仿宋"/>
                <w:color w:val="auto"/>
                <w:sz w:val="28"/>
                <w:szCs w:val="28"/>
              </w:rPr>
              <w:t>14</w:t>
            </w:r>
          </w:p>
        </w:tc>
        <w:tc>
          <w:tcPr>
            <w:tcW w:w="0" w:type="auto"/>
            <w:vAlign w:val="center"/>
          </w:tcPr>
          <w:p w14:paraId="183DEC04">
            <w:pPr>
              <w:spacing w:line="360" w:lineRule="auto"/>
              <w:rPr>
                <w:rFonts w:hint="default" w:ascii="仿宋" w:hAnsi="仿宋" w:eastAsia="仿宋"/>
                <w:color w:val="auto"/>
                <w:sz w:val="28"/>
                <w:szCs w:val="28"/>
              </w:rPr>
            </w:pPr>
            <w:r>
              <w:rPr>
                <w:rFonts w:ascii="仿宋" w:hAnsi="仿宋" w:eastAsia="仿宋"/>
                <w:color w:val="auto"/>
                <w:sz w:val="28"/>
                <w:szCs w:val="28"/>
              </w:rPr>
              <w:t>《文物建筑工程施工规范》</w:t>
            </w:r>
          </w:p>
        </w:tc>
        <w:tc>
          <w:tcPr>
            <w:tcW w:w="0" w:type="auto"/>
            <w:vAlign w:val="center"/>
          </w:tcPr>
          <w:p w14:paraId="4B1B3B8B">
            <w:pPr>
              <w:spacing w:line="360" w:lineRule="auto"/>
              <w:rPr>
                <w:rFonts w:hint="default" w:ascii="仿宋" w:hAnsi="仿宋" w:eastAsia="仿宋"/>
                <w:color w:val="auto"/>
                <w:sz w:val="28"/>
                <w:szCs w:val="28"/>
              </w:rPr>
            </w:pPr>
            <w:r>
              <w:rPr>
                <w:rFonts w:ascii="仿宋" w:hAnsi="仿宋" w:eastAsia="仿宋"/>
                <w:color w:val="auto"/>
                <w:sz w:val="28"/>
                <w:szCs w:val="28"/>
              </w:rPr>
              <w:t>GB/T 50739-2011</w:t>
            </w:r>
          </w:p>
        </w:tc>
        <w:tc>
          <w:tcPr>
            <w:tcW w:w="0" w:type="auto"/>
            <w:vAlign w:val="center"/>
          </w:tcPr>
          <w:p w14:paraId="41FD82E5">
            <w:pPr>
              <w:spacing w:line="360" w:lineRule="auto"/>
              <w:rPr>
                <w:rFonts w:hint="default" w:ascii="仿宋" w:hAnsi="仿宋" w:eastAsia="仿宋"/>
                <w:color w:val="auto"/>
                <w:sz w:val="28"/>
                <w:szCs w:val="28"/>
              </w:rPr>
            </w:pPr>
            <w:r>
              <w:rPr>
                <w:rFonts w:ascii="仿宋" w:hAnsi="仿宋" w:eastAsia="仿宋"/>
                <w:color w:val="auto"/>
                <w:sz w:val="28"/>
                <w:szCs w:val="28"/>
              </w:rPr>
              <w:t>文保建筑施工</w:t>
            </w:r>
          </w:p>
        </w:tc>
      </w:tr>
      <w:tr w14:paraId="5FE9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64D7360A">
            <w:pPr>
              <w:spacing w:line="360" w:lineRule="auto"/>
              <w:rPr>
                <w:rFonts w:hint="default" w:ascii="仿宋" w:hAnsi="仿宋" w:eastAsia="仿宋"/>
                <w:color w:val="auto"/>
                <w:sz w:val="28"/>
                <w:szCs w:val="28"/>
              </w:rPr>
            </w:pPr>
            <w:r>
              <w:rPr>
                <w:rFonts w:ascii="仿宋" w:hAnsi="仿宋" w:eastAsia="仿宋"/>
                <w:color w:val="auto"/>
                <w:sz w:val="28"/>
                <w:szCs w:val="28"/>
              </w:rPr>
              <w:t>15</w:t>
            </w:r>
          </w:p>
        </w:tc>
        <w:tc>
          <w:tcPr>
            <w:tcW w:w="0" w:type="auto"/>
            <w:vAlign w:val="center"/>
          </w:tcPr>
          <w:p w14:paraId="5E95F09C">
            <w:pPr>
              <w:spacing w:line="360" w:lineRule="auto"/>
              <w:rPr>
                <w:rFonts w:hint="default" w:ascii="仿宋" w:hAnsi="仿宋" w:eastAsia="仿宋"/>
                <w:color w:val="auto"/>
                <w:sz w:val="28"/>
                <w:szCs w:val="28"/>
              </w:rPr>
            </w:pPr>
            <w:r>
              <w:rPr>
                <w:rFonts w:ascii="仿宋" w:hAnsi="仿宋" w:eastAsia="仿宋"/>
                <w:color w:val="auto"/>
                <w:sz w:val="28"/>
                <w:szCs w:val="28"/>
              </w:rPr>
              <w:t>《建筑环境检测技术规范》</w:t>
            </w:r>
          </w:p>
        </w:tc>
        <w:tc>
          <w:tcPr>
            <w:tcW w:w="0" w:type="auto"/>
            <w:vAlign w:val="center"/>
          </w:tcPr>
          <w:p w14:paraId="389AB42D">
            <w:pPr>
              <w:spacing w:line="360" w:lineRule="auto"/>
              <w:rPr>
                <w:rFonts w:hint="default" w:ascii="仿宋" w:hAnsi="仿宋" w:eastAsia="仿宋"/>
                <w:color w:val="auto"/>
                <w:sz w:val="28"/>
                <w:szCs w:val="28"/>
              </w:rPr>
            </w:pPr>
            <w:r>
              <w:rPr>
                <w:rFonts w:ascii="仿宋" w:hAnsi="仿宋" w:eastAsia="仿宋"/>
                <w:color w:val="auto"/>
                <w:sz w:val="28"/>
                <w:szCs w:val="28"/>
              </w:rPr>
              <w:t>GB/T 18883-2022</w:t>
            </w:r>
          </w:p>
        </w:tc>
        <w:tc>
          <w:tcPr>
            <w:tcW w:w="0" w:type="auto"/>
            <w:vAlign w:val="center"/>
          </w:tcPr>
          <w:p w14:paraId="01EC8B06">
            <w:pPr>
              <w:spacing w:line="360" w:lineRule="auto"/>
              <w:rPr>
                <w:rFonts w:hint="default" w:ascii="仿宋" w:hAnsi="仿宋" w:eastAsia="仿宋"/>
                <w:color w:val="auto"/>
                <w:sz w:val="28"/>
                <w:szCs w:val="28"/>
              </w:rPr>
            </w:pPr>
            <w:r>
              <w:rPr>
                <w:rFonts w:ascii="仿宋" w:hAnsi="仿宋" w:eastAsia="仿宋"/>
                <w:color w:val="auto"/>
                <w:sz w:val="28"/>
                <w:szCs w:val="28"/>
              </w:rPr>
              <w:t>室内空气质量检测</w:t>
            </w:r>
          </w:p>
        </w:tc>
      </w:tr>
      <w:tr w14:paraId="6FEA5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5358DD92">
            <w:pPr>
              <w:spacing w:line="360" w:lineRule="auto"/>
              <w:rPr>
                <w:rFonts w:hint="default" w:ascii="仿宋" w:hAnsi="仿宋" w:eastAsia="仿宋"/>
                <w:color w:val="auto"/>
                <w:sz w:val="28"/>
                <w:szCs w:val="28"/>
              </w:rPr>
            </w:pPr>
            <w:r>
              <w:rPr>
                <w:rFonts w:ascii="仿宋" w:hAnsi="仿宋" w:eastAsia="仿宋"/>
                <w:color w:val="auto"/>
                <w:sz w:val="28"/>
                <w:szCs w:val="28"/>
              </w:rPr>
              <w:t>16</w:t>
            </w:r>
          </w:p>
        </w:tc>
        <w:tc>
          <w:tcPr>
            <w:tcW w:w="0" w:type="auto"/>
            <w:vAlign w:val="center"/>
          </w:tcPr>
          <w:p w14:paraId="2BC32FF4">
            <w:pPr>
              <w:spacing w:line="360" w:lineRule="auto"/>
              <w:rPr>
                <w:rFonts w:hint="default" w:ascii="仿宋" w:hAnsi="仿宋" w:eastAsia="仿宋"/>
                <w:color w:val="auto"/>
                <w:sz w:val="28"/>
                <w:szCs w:val="28"/>
              </w:rPr>
            </w:pPr>
            <w:r>
              <w:rPr>
                <w:rFonts w:ascii="仿宋" w:hAnsi="仿宋" w:eastAsia="仿宋"/>
                <w:color w:val="auto"/>
                <w:sz w:val="28"/>
                <w:szCs w:val="28"/>
              </w:rPr>
              <w:t>《电气装置安装工程接地装置施工及验收规范》</w:t>
            </w:r>
          </w:p>
        </w:tc>
        <w:tc>
          <w:tcPr>
            <w:tcW w:w="0" w:type="auto"/>
            <w:vAlign w:val="center"/>
          </w:tcPr>
          <w:p w14:paraId="4F75AE0E">
            <w:pPr>
              <w:spacing w:line="360" w:lineRule="auto"/>
              <w:rPr>
                <w:rFonts w:hint="default" w:ascii="仿宋" w:hAnsi="仿宋" w:eastAsia="仿宋"/>
                <w:color w:val="auto"/>
                <w:sz w:val="28"/>
                <w:szCs w:val="28"/>
              </w:rPr>
            </w:pPr>
            <w:r>
              <w:rPr>
                <w:rFonts w:ascii="仿宋" w:hAnsi="仿宋" w:eastAsia="仿宋"/>
                <w:color w:val="auto"/>
                <w:sz w:val="28"/>
                <w:szCs w:val="28"/>
              </w:rPr>
              <w:t>GB 50169-2016</w:t>
            </w:r>
          </w:p>
        </w:tc>
        <w:tc>
          <w:tcPr>
            <w:tcW w:w="0" w:type="auto"/>
            <w:vAlign w:val="center"/>
          </w:tcPr>
          <w:p w14:paraId="5D79E31C">
            <w:pPr>
              <w:spacing w:line="360" w:lineRule="auto"/>
              <w:rPr>
                <w:rFonts w:hint="default" w:ascii="仿宋" w:hAnsi="仿宋" w:eastAsia="仿宋"/>
                <w:color w:val="auto"/>
                <w:sz w:val="28"/>
                <w:szCs w:val="28"/>
              </w:rPr>
            </w:pPr>
            <w:r>
              <w:rPr>
                <w:rFonts w:ascii="仿宋" w:hAnsi="仿宋" w:eastAsia="仿宋"/>
                <w:color w:val="auto"/>
                <w:sz w:val="28"/>
                <w:szCs w:val="28"/>
              </w:rPr>
              <w:t>防雷与接地系统</w:t>
            </w:r>
          </w:p>
        </w:tc>
      </w:tr>
      <w:tr w14:paraId="79B81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0DE1808F">
            <w:pPr>
              <w:spacing w:line="360" w:lineRule="auto"/>
              <w:rPr>
                <w:rFonts w:hint="default" w:ascii="仿宋" w:hAnsi="仿宋" w:eastAsia="仿宋"/>
                <w:color w:val="auto"/>
                <w:sz w:val="28"/>
                <w:szCs w:val="28"/>
              </w:rPr>
            </w:pPr>
            <w:r>
              <w:rPr>
                <w:rFonts w:ascii="仿宋" w:hAnsi="仿宋" w:eastAsia="仿宋"/>
                <w:color w:val="auto"/>
                <w:sz w:val="28"/>
                <w:szCs w:val="28"/>
              </w:rPr>
              <w:t>17</w:t>
            </w:r>
          </w:p>
        </w:tc>
        <w:tc>
          <w:tcPr>
            <w:tcW w:w="0" w:type="auto"/>
            <w:vAlign w:val="center"/>
          </w:tcPr>
          <w:p w14:paraId="3EA6C1C3">
            <w:pPr>
              <w:spacing w:line="360" w:lineRule="auto"/>
              <w:rPr>
                <w:rFonts w:hint="default" w:ascii="仿宋" w:hAnsi="仿宋" w:eastAsia="仿宋"/>
                <w:color w:val="auto"/>
                <w:sz w:val="28"/>
                <w:szCs w:val="28"/>
              </w:rPr>
            </w:pPr>
            <w:r>
              <w:rPr>
                <w:rFonts w:ascii="仿宋" w:hAnsi="仿宋" w:eastAsia="仿宋"/>
                <w:color w:val="auto"/>
                <w:sz w:val="28"/>
                <w:szCs w:val="28"/>
              </w:rPr>
              <w:t>《公共建筑节能设计标准》</w:t>
            </w:r>
          </w:p>
        </w:tc>
        <w:tc>
          <w:tcPr>
            <w:tcW w:w="0" w:type="auto"/>
            <w:vAlign w:val="center"/>
          </w:tcPr>
          <w:p w14:paraId="4230CBBF">
            <w:pPr>
              <w:spacing w:line="360" w:lineRule="auto"/>
              <w:rPr>
                <w:rFonts w:hint="default" w:ascii="仿宋" w:hAnsi="仿宋" w:eastAsia="仿宋"/>
                <w:color w:val="auto"/>
                <w:sz w:val="28"/>
                <w:szCs w:val="28"/>
              </w:rPr>
            </w:pPr>
            <w:r>
              <w:rPr>
                <w:rFonts w:ascii="仿宋" w:hAnsi="仿宋" w:eastAsia="仿宋"/>
                <w:color w:val="auto"/>
                <w:sz w:val="28"/>
                <w:szCs w:val="28"/>
              </w:rPr>
              <w:t>GB 50189-2015</w:t>
            </w:r>
          </w:p>
        </w:tc>
        <w:tc>
          <w:tcPr>
            <w:tcW w:w="0" w:type="auto"/>
            <w:vAlign w:val="center"/>
          </w:tcPr>
          <w:p w14:paraId="5FA818FB">
            <w:pPr>
              <w:spacing w:line="360" w:lineRule="auto"/>
              <w:rPr>
                <w:rFonts w:hint="default" w:ascii="仿宋" w:hAnsi="仿宋" w:eastAsia="仿宋"/>
                <w:color w:val="auto"/>
                <w:sz w:val="28"/>
                <w:szCs w:val="28"/>
              </w:rPr>
            </w:pPr>
            <w:r>
              <w:rPr>
                <w:rFonts w:ascii="仿宋" w:hAnsi="仿宋" w:eastAsia="仿宋"/>
                <w:color w:val="auto"/>
                <w:sz w:val="28"/>
                <w:szCs w:val="28"/>
              </w:rPr>
              <w:t>能耗控制</w:t>
            </w:r>
          </w:p>
        </w:tc>
      </w:tr>
      <w:tr w14:paraId="3FC6A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5B10213B">
            <w:pPr>
              <w:spacing w:line="360" w:lineRule="auto"/>
              <w:rPr>
                <w:rFonts w:hint="default" w:ascii="仿宋" w:hAnsi="仿宋" w:eastAsia="仿宋"/>
                <w:color w:val="auto"/>
                <w:sz w:val="28"/>
                <w:szCs w:val="28"/>
              </w:rPr>
            </w:pPr>
            <w:r>
              <w:rPr>
                <w:rFonts w:ascii="仿宋" w:hAnsi="仿宋" w:eastAsia="仿宋"/>
                <w:color w:val="auto"/>
                <w:sz w:val="28"/>
                <w:szCs w:val="28"/>
              </w:rPr>
              <w:t>18</w:t>
            </w:r>
          </w:p>
        </w:tc>
        <w:tc>
          <w:tcPr>
            <w:tcW w:w="0" w:type="auto"/>
            <w:vAlign w:val="center"/>
          </w:tcPr>
          <w:p w14:paraId="68CB10DF">
            <w:pPr>
              <w:spacing w:line="360" w:lineRule="auto"/>
              <w:rPr>
                <w:rFonts w:hint="default" w:ascii="仿宋" w:hAnsi="仿宋" w:eastAsia="仿宋"/>
                <w:color w:val="auto"/>
                <w:sz w:val="28"/>
                <w:szCs w:val="28"/>
              </w:rPr>
            </w:pPr>
            <w:r>
              <w:rPr>
                <w:rFonts w:ascii="仿宋" w:hAnsi="仿宋" w:eastAsia="仿宋"/>
                <w:color w:val="auto"/>
                <w:sz w:val="28"/>
                <w:szCs w:val="28"/>
              </w:rPr>
              <w:t>《博物馆展陈工程技术规范》</w:t>
            </w:r>
          </w:p>
        </w:tc>
        <w:tc>
          <w:tcPr>
            <w:tcW w:w="0" w:type="auto"/>
            <w:vAlign w:val="center"/>
          </w:tcPr>
          <w:p w14:paraId="70C99DB4">
            <w:pPr>
              <w:spacing w:line="360" w:lineRule="auto"/>
              <w:rPr>
                <w:rFonts w:hint="default" w:ascii="仿宋" w:hAnsi="仿宋" w:eastAsia="仿宋"/>
                <w:color w:val="auto"/>
                <w:sz w:val="28"/>
                <w:szCs w:val="28"/>
              </w:rPr>
            </w:pPr>
            <w:r>
              <w:rPr>
                <w:rFonts w:ascii="仿宋" w:hAnsi="仿宋" w:eastAsia="仿宋"/>
                <w:color w:val="auto"/>
                <w:sz w:val="28"/>
                <w:szCs w:val="28"/>
              </w:rPr>
              <w:t>WW/T 0099-2020</w:t>
            </w:r>
          </w:p>
        </w:tc>
        <w:tc>
          <w:tcPr>
            <w:tcW w:w="0" w:type="auto"/>
            <w:vAlign w:val="center"/>
          </w:tcPr>
          <w:p w14:paraId="1CD3F3AA">
            <w:pPr>
              <w:spacing w:line="360" w:lineRule="auto"/>
              <w:rPr>
                <w:rFonts w:hint="default" w:ascii="仿宋" w:hAnsi="仿宋" w:eastAsia="仿宋"/>
                <w:color w:val="auto"/>
                <w:sz w:val="28"/>
                <w:szCs w:val="28"/>
              </w:rPr>
            </w:pPr>
            <w:r>
              <w:rPr>
                <w:rFonts w:ascii="仿宋" w:hAnsi="仿宋" w:eastAsia="仿宋"/>
                <w:color w:val="auto"/>
                <w:sz w:val="28"/>
                <w:szCs w:val="28"/>
              </w:rPr>
              <w:t>展陈系统施工与</w:t>
            </w:r>
          </w:p>
          <w:p w14:paraId="50561BF6">
            <w:pPr>
              <w:spacing w:line="360" w:lineRule="auto"/>
              <w:rPr>
                <w:rFonts w:hint="default" w:ascii="仿宋" w:hAnsi="仿宋" w:eastAsia="仿宋"/>
                <w:color w:val="auto"/>
                <w:sz w:val="28"/>
                <w:szCs w:val="28"/>
              </w:rPr>
            </w:pPr>
            <w:r>
              <w:rPr>
                <w:rFonts w:ascii="仿宋" w:hAnsi="仿宋" w:eastAsia="仿宋"/>
                <w:color w:val="auto"/>
                <w:sz w:val="28"/>
                <w:szCs w:val="28"/>
              </w:rPr>
              <w:t>验收</w:t>
            </w:r>
          </w:p>
        </w:tc>
      </w:tr>
      <w:tr w14:paraId="0CC0D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1D65B76E">
            <w:pPr>
              <w:spacing w:line="360" w:lineRule="auto"/>
              <w:rPr>
                <w:rFonts w:hint="default" w:ascii="仿宋" w:hAnsi="仿宋" w:eastAsia="仿宋"/>
                <w:color w:val="auto"/>
                <w:sz w:val="28"/>
                <w:szCs w:val="28"/>
              </w:rPr>
            </w:pPr>
            <w:r>
              <w:rPr>
                <w:rFonts w:ascii="仿宋" w:hAnsi="仿宋" w:eastAsia="仿宋"/>
                <w:color w:val="auto"/>
                <w:sz w:val="28"/>
                <w:szCs w:val="28"/>
              </w:rPr>
              <w:t>19</w:t>
            </w:r>
          </w:p>
        </w:tc>
        <w:tc>
          <w:tcPr>
            <w:tcW w:w="0" w:type="auto"/>
            <w:vAlign w:val="center"/>
          </w:tcPr>
          <w:p w14:paraId="5B8A10BC">
            <w:pPr>
              <w:spacing w:line="360" w:lineRule="auto"/>
              <w:rPr>
                <w:rFonts w:hint="default" w:ascii="仿宋" w:hAnsi="仿宋" w:eastAsia="仿宋"/>
                <w:color w:val="auto"/>
                <w:sz w:val="28"/>
                <w:szCs w:val="28"/>
              </w:rPr>
            </w:pPr>
            <w:r>
              <w:rPr>
                <w:rFonts w:ascii="仿宋" w:hAnsi="仿宋" w:eastAsia="仿宋"/>
                <w:color w:val="auto"/>
                <w:sz w:val="28"/>
                <w:szCs w:val="28"/>
              </w:rPr>
              <w:t>《文物展柜密封性能及检测》</w:t>
            </w:r>
          </w:p>
        </w:tc>
        <w:tc>
          <w:tcPr>
            <w:tcW w:w="0" w:type="auto"/>
            <w:vAlign w:val="center"/>
          </w:tcPr>
          <w:p w14:paraId="4B9397D8">
            <w:pPr>
              <w:spacing w:line="360" w:lineRule="auto"/>
              <w:rPr>
                <w:rFonts w:hint="default" w:ascii="仿宋" w:hAnsi="仿宋" w:eastAsia="仿宋"/>
                <w:color w:val="auto"/>
                <w:sz w:val="28"/>
                <w:szCs w:val="28"/>
              </w:rPr>
            </w:pPr>
            <w:r>
              <w:rPr>
                <w:rFonts w:ascii="仿宋" w:hAnsi="仿宋" w:eastAsia="仿宋"/>
                <w:color w:val="auto"/>
                <w:sz w:val="28"/>
                <w:szCs w:val="28"/>
              </w:rPr>
              <w:t>GB/T 36110-2018</w:t>
            </w:r>
          </w:p>
        </w:tc>
        <w:tc>
          <w:tcPr>
            <w:tcW w:w="0" w:type="auto"/>
            <w:vAlign w:val="center"/>
          </w:tcPr>
          <w:p w14:paraId="217A0333">
            <w:pPr>
              <w:spacing w:line="360" w:lineRule="auto"/>
              <w:rPr>
                <w:rFonts w:hint="default" w:ascii="仿宋" w:hAnsi="仿宋" w:eastAsia="仿宋"/>
                <w:color w:val="auto"/>
                <w:sz w:val="28"/>
                <w:szCs w:val="28"/>
              </w:rPr>
            </w:pPr>
            <w:r>
              <w:rPr>
                <w:rFonts w:ascii="仿宋" w:hAnsi="仿宋" w:eastAsia="仿宋"/>
                <w:color w:val="auto"/>
                <w:sz w:val="28"/>
                <w:szCs w:val="28"/>
              </w:rPr>
              <w:t>展馆文物展柜</w:t>
            </w:r>
          </w:p>
        </w:tc>
      </w:tr>
      <w:tr w14:paraId="08459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392BC4A0">
            <w:pPr>
              <w:spacing w:line="360" w:lineRule="auto"/>
              <w:rPr>
                <w:rFonts w:hint="default" w:ascii="仿宋" w:hAnsi="仿宋" w:eastAsia="仿宋"/>
                <w:color w:val="auto"/>
                <w:sz w:val="28"/>
                <w:szCs w:val="28"/>
              </w:rPr>
            </w:pPr>
            <w:r>
              <w:rPr>
                <w:rFonts w:ascii="仿宋" w:hAnsi="仿宋" w:eastAsia="仿宋"/>
                <w:color w:val="auto"/>
                <w:sz w:val="28"/>
                <w:szCs w:val="28"/>
              </w:rPr>
              <w:t>20</w:t>
            </w:r>
          </w:p>
        </w:tc>
        <w:tc>
          <w:tcPr>
            <w:tcW w:w="0" w:type="auto"/>
            <w:vAlign w:val="center"/>
          </w:tcPr>
          <w:p w14:paraId="373FE81E">
            <w:pPr>
              <w:spacing w:line="360" w:lineRule="auto"/>
              <w:rPr>
                <w:rFonts w:hint="default" w:ascii="仿宋" w:hAnsi="仿宋" w:eastAsia="仿宋"/>
                <w:color w:val="auto"/>
                <w:sz w:val="28"/>
                <w:szCs w:val="28"/>
              </w:rPr>
            </w:pPr>
            <w:r>
              <w:rPr>
                <w:rFonts w:ascii="仿宋" w:hAnsi="仿宋" w:eastAsia="仿宋"/>
                <w:color w:val="auto"/>
                <w:sz w:val="28"/>
                <w:szCs w:val="28"/>
              </w:rPr>
              <w:t>《文物展柜基本技术要求与检测》</w:t>
            </w:r>
          </w:p>
        </w:tc>
        <w:tc>
          <w:tcPr>
            <w:tcW w:w="0" w:type="auto"/>
            <w:vAlign w:val="center"/>
          </w:tcPr>
          <w:p w14:paraId="550F372C">
            <w:pPr>
              <w:spacing w:line="360" w:lineRule="auto"/>
              <w:rPr>
                <w:rFonts w:hint="default" w:ascii="仿宋" w:hAnsi="仿宋" w:eastAsia="仿宋"/>
                <w:color w:val="auto"/>
                <w:sz w:val="28"/>
                <w:szCs w:val="28"/>
              </w:rPr>
            </w:pPr>
            <w:r>
              <w:rPr>
                <w:rFonts w:ascii="仿宋" w:hAnsi="仿宋" w:eastAsia="仿宋"/>
                <w:color w:val="auto"/>
                <w:sz w:val="28"/>
                <w:szCs w:val="28"/>
              </w:rPr>
              <w:t>GB/T 36111-2018</w:t>
            </w:r>
          </w:p>
        </w:tc>
        <w:tc>
          <w:tcPr>
            <w:tcW w:w="0" w:type="auto"/>
            <w:vAlign w:val="center"/>
          </w:tcPr>
          <w:p w14:paraId="279E0CAD">
            <w:pPr>
              <w:spacing w:line="360" w:lineRule="auto"/>
              <w:rPr>
                <w:rFonts w:hint="default" w:ascii="仿宋" w:hAnsi="仿宋" w:eastAsia="仿宋"/>
                <w:color w:val="auto"/>
                <w:sz w:val="28"/>
                <w:szCs w:val="28"/>
              </w:rPr>
            </w:pPr>
            <w:r>
              <w:rPr>
                <w:rFonts w:ascii="仿宋" w:hAnsi="仿宋" w:eastAsia="仿宋"/>
                <w:color w:val="auto"/>
                <w:sz w:val="28"/>
                <w:szCs w:val="28"/>
              </w:rPr>
              <w:t>展馆文物展柜</w:t>
            </w:r>
          </w:p>
        </w:tc>
      </w:tr>
      <w:tr w14:paraId="287A7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2B003ECB">
            <w:pPr>
              <w:spacing w:line="360" w:lineRule="auto"/>
              <w:rPr>
                <w:rFonts w:hint="default" w:ascii="仿宋" w:hAnsi="仿宋" w:eastAsia="仿宋"/>
                <w:color w:val="auto"/>
                <w:sz w:val="28"/>
                <w:szCs w:val="28"/>
              </w:rPr>
            </w:pPr>
            <w:r>
              <w:rPr>
                <w:rFonts w:ascii="仿宋" w:hAnsi="仿宋" w:eastAsia="仿宋"/>
                <w:color w:val="auto"/>
                <w:sz w:val="28"/>
                <w:szCs w:val="28"/>
              </w:rPr>
              <w:t>21</w:t>
            </w:r>
          </w:p>
        </w:tc>
        <w:tc>
          <w:tcPr>
            <w:tcW w:w="0" w:type="auto"/>
            <w:vAlign w:val="center"/>
          </w:tcPr>
          <w:p w14:paraId="4D7B9CD7">
            <w:pPr>
              <w:spacing w:line="360" w:lineRule="auto"/>
              <w:rPr>
                <w:rFonts w:hint="default" w:ascii="仿宋" w:hAnsi="仿宋" w:eastAsia="仿宋"/>
                <w:color w:val="auto"/>
                <w:sz w:val="28"/>
                <w:szCs w:val="28"/>
              </w:rPr>
            </w:pPr>
            <w:r>
              <w:rPr>
                <w:rFonts w:ascii="仿宋" w:hAnsi="仿宋" w:eastAsia="仿宋"/>
                <w:color w:val="auto"/>
                <w:sz w:val="28"/>
                <w:szCs w:val="28"/>
              </w:rPr>
              <w:t>《优秀历史建筑保护修缮技术标准》</w:t>
            </w:r>
          </w:p>
        </w:tc>
        <w:tc>
          <w:tcPr>
            <w:tcW w:w="0" w:type="auto"/>
            <w:vAlign w:val="center"/>
          </w:tcPr>
          <w:p w14:paraId="335444B6">
            <w:pPr>
              <w:spacing w:line="360" w:lineRule="auto"/>
              <w:rPr>
                <w:rFonts w:hint="default" w:ascii="仿宋" w:hAnsi="仿宋" w:eastAsia="仿宋"/>
                <w:color w:val="auto"/>
                <w:sz w:val="28"/>
                <w:szCs w:val="28"/>
              </w:rPr>
            </w:pPr>
            <w:r>
              <w:rPr>
                <w:rFonts w:ascii="仿宋" w:hAnsi="仿宋" w:eastAsia="仿宋"/>
                <w:color w:val="auto"/>
                <w:sz w:val="28"/>
                <w:szCs w:val="28"/>
              </w:rPr>
              <w:t>(DGTJ08-108-2025)</w:t>
            </w:r>
          </w:p>
        </w:tc>
        <w:tc>
          <w:tcPr>
            <w:tcW w:w="0" w:type="auto"/>
            <w:vAlign w:val="center"/>
          </w:tcPr>
          <w:p w14:paraId="4A6725D0">
            <w:pPr>
              <w:spacing w:line="360" w:lineRule="auto"/>
              <w:rPr>
                <w:rFonts w:hint="default" w:ascii="仿宋" w:hAnsi="仿宋" w:eastAsia="仿宋"/>
                <w:color w:val="auto"/>
                <w:sz w:val="28"/>
                <w:szCs w:val="28"/>
              </w:rPr>
            </w:pPr>
            <w:r>
              <w:rPr>
                <w:rFonts w:ascii="仿宋" w:hAnsi="仿宋" w:eastAsia="仿宋"/>
                <w:color w:val="auto"/>
                <w:sz w:val="28"/>
                <w:szCs w:val="28"/>
              </w:rPr>
              <w:t>历保建筑</w:t>
            </w:r>
          </w:p>
        </w:tc>
      </w:tr>
    </w:tbl>
    <w:p w14:paraId="51548D10">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8.6 验收结论与移交</w:t>
      </w:r>
    </w:p>
    <w:p w14:paraId="6D70B5A5">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项目经综合评定合格后，由验收组出具《竣工验收报告》，经采购人签署后视为正式移交。</w:t>
      </w:r>
    </w:p>
    <w:p w14:paraId="3E856FF5">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承建方须在移交时提交：</w:t>
      </w:r>
    </w:p>
    <w:p w14:paraId="367514D7">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项目竣工文件资料（全套最终版 竣工图（含平面、立面、水电、点位图）、主要材料、设备的 合格证、质检报告、保修卡 汇总册、隐蔽工程影像记录及验收单等）；</w:t>
      </w:r>
    </w:p>
    <w:p w14:paraId="4BC11FEB">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设备清单（含固定资产清单）；</w:t>
      </w:r>
    </w:p>
    <w:p w14:paraId="1AF910DB">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 运维与管理文件（所有展项设备（含多媒体、灯光、特殊机械）的 使用说明书、维护手册、设备清单及供应商联系方式（含质保期）、培训记录等）；</w:t>
      </w:r>
    </w:p>
    <w:p w14:paraId="2F9D3AF5">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钥匙与权限：展柜、机柜、控制室等所有 实体钥匙；后台管理系统、设备控制软件等的 管理员账号与密码；</w:t>
      </w:r>
    </w:p>
    <w:p w14:paraId="7D2217E3">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售后服务与维保联系人信息。</w:t>
      </w:r>
    </w:p>
    <w:p w14:paraId="3A8995C1">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移交完成后，项目进入质保期，执行本文件第七章所列运维要求。</w:t>
      </w:r>
    </w:p>
    <w:p w14:paraId="3A0E735F">
      <w:pPr>
        <w:pStyle w:val="2"/>
        <w:spacing w:before="0" w:after="0" w:line="360" w:lineRule="auto"/>
        <w:rPr>
          <w:rFonts w:hint="default" w:ascii="仿宋" w:hAnsi="仿宋" w:eastAsia="仿宋"/>
          <w:color w:val="auto"/>
          <w:sz w:val="28"/>
          <w:szCs w:val="28"/>
        </w:rPr>
      </w:pPr>
      <w:r>
        <w:rPr>
          <w:rFonts w:ascii="仿宋" w:hAnsi="仿宋" w:eastAsia="仿宋"/>
          <w:color w:val="auto"/>
          <w:sz w:val="28"/>
          <w:szCs w:val="28"/>
        </w:rPr>
        <w:t>第九章、其他要求</w:t>
      </w:r>
    </w:p>
    <w:p w14:paraId="0F77D8D5">
      <w:pPr>
        <w:pStyle w:val="3"/>
        <w:spacing w:before="0" w:after="0" w:line="360" w:lineRule="auto"/>
        <w:rPr>
          <w:rFonts w:hint="default" w:ascii="仿宋" w:hAnsi="仿宋" w:eastAsia="仿宋"/>
          <w:color w:val="auto"/>
          <w:sz w:val="28"/>
          <w:szCs w:val="28"/>
        </w:rPr>
      </w:pPr>
      <w:r>
        <w:rPr>
          <w:rFonts w:ascii="仿宋" w:hAnsi="仿宋" w:eastAsia="仿宋"/>
          <w:color w:val="auto"/>
          <w:sz w:val="28"/>
          <w:szCs w:val="28"/>
        </w:rPr>
        <w:t>9.1 保密及知识产权要求</w:t>
      </w:r>
    </w:p>
    <w:p w14:paraId="096A9870">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中标人须保障项目中涉及的内容与技术，不受到任何第三方关于侵犯著作权、肖像权、专利权、商标权或工业设计权的指控。如任何第三方提出关于知识产权的异议，中标人必须与第三方交涉并承担由此引起的一切法律责任和费用。</w:t>
      </w:r>
    </w:p>
    <w:p w14:paraId="5A276EDE">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本项目涉及的所有服务成果，采购人享有知识产权与版权。涉及产品购买的，最终产品完全使用权归采购人所有。涉及资源成果的，采购人享有完全使用权。</w:t>
      </w:r>
    </w:p>
    <w:p w14:paraId="621A917F">
      <w:pPr>
        <w:pStyle w:val="17"/>
        <w:spacing w:before="0" w:beforeAutospacing="0" w:after="0" w:afterAutospacing="0" w:line="360" w:lineRule="auto"/>
        <w:rPr>
          <w:rFonts w:hint="default" w:ascii="仿宋" w:hAnsi="仿宋" w:eastAsia="仿宋"/>
          <w:b/>
          <w:color w:val="auto"/>
          <w:sz w:val="28"/>
          <w:szCs w:val="28"/>
        </w:rPr>
      </w:pPr>
      <w:r>
        <w:rPr>
          <w:rFonts w:hint="default" w:ascii="仿宋" w:hAnsi="仿宋" w:eastAsia="仿宋"/>
          <w:b/>
          <w:color w:val="auto"/>
          <w:sz w:val="28"/>
          <w:szCs w:val="28"/>
        </w:rPr>
        <w:t>9.</w:t>
      </w:r>
      <w:r>
        <w:rPr>
          <w:rFonts w:ascii="仿宋" w:hAnsi="仿宋" w:eastAsia="仿宋"/>
          <w:b/>
          <w:color w:val="auto"/>
          <w:sz w:val="28"/>
          <w:szCs w:val="28"/>
        </w:rPr>
        <w:t>2</w:t>
      </w:r>
      <w:r>
        <w:rPr>
          <w:rFonts w:hint="default" w:ascii="仿宋" w:hAnsi="仿宋" w:eastAsia="仿宋"/>
          <w:b/>
          <w:color w:val="auto"/>
          <w:sz w:val="28"/>
          <w:szCs w:val="28"/>
        </w:rPr>
        <w:t xml:space="preserve"> </w:t>
      </w:r>
      <w:r>
        <w:rPr>
          <w:rFonts w:ascii="仿宋" w:hAnsi="仿宋" w:eastAsia="仿宋"/>
          <w:b/>
          <w:color w:val="auto"/>
          <w:sz w:val="28"/>
          <w:szCs w:val="28"/>
        </w:rPr>
        <w:t>团队配置要求</w:t>
      </w:r>
    </w:p>
    <w:p w14:paraId="28ADD54A">
      <w:pPr>
        <w:pStyle w:val="71"/>
        <w:spacing w:line="360" w:lineRule="auto"/>
        <w:ind w:firstLine="3360" w:firstLineChars="1200"/>
        <w:rPr>
          <w:rFonts w:ascii="仿宋" w:hAnsi="仿宋" w:eastAsia="仿宋" w:cs="仿宋"/>
          <w:color w:val="auto"/>
          <w:sz w:val="28"/>
          <w:szCs w:val="28"/>
        </w:rPr>
      </w:pPr>
      <w:r>
        <w:rPr>
          <w:rFonts w:hint="eastAsia" w:ascii="仿宋" w:hAnsi="仿宋" w:eastAsia="仿宋" w:cs="仿宋"/>
          <w:color w:val="auto"/>
          <w:sz w:val="28"/>
          <w:szCs w:val="28"/>
        </w:rPr>
        <w:t>团队人员配备一览表</w:t>
      </w:r>
    </w:p>
    <w:tbl>
      <w:tblPr>
        <w:tblStyle w:val="21"/>
        <w:tblW w:w="8613" w:type="dxa"/>
        <w:tblInd w:w="0" w:type="dxa"/>
        <w:tblLayout w:type="fixed"/>
        <w:tblCellMar>
          <w:top w:w="0" w:type="dxa"/>
          <w:left w:w="108" w:type="dxa"/>
          <w:bottom w:w="0" w:type="dxa"/>
          <w:right w:w="108" w:type="dxa"/>
        </w:tblCellMar>
      </w:tblPr>
      <w:tblGrid>
        <w:gridCol w:w="1384"/>
        <w:gridCol w:w="1985"/>
        <w:gridCol w:w="2127"/>
        <w:gridCol w:w="3117"/>
      </w:tblGrid>
      <w:tr w14:paraId="5A20F7E3">
        <w:tblPrEx>
          <w:tblCellMar>
            <w:top w:w="0" w:type="dxa"/>
            <w:left w:w="108" w:type="dxa"/>
            <w:bottom w:w="0" w:type="dxa"/>
            <w:right w:w="108" w:type="dxa"/>
          </w:tblCellMar>
        </w:tblPrEx>
        <w:trPr>
          <w:trHeight w:val="877" w:hRule="atLeast"/>
        </w:trPr>
        <w:tc>
          <w:tcPr>
            <w:tcW w:w="1384" w:type="dxa"/>
            <w:tcBorders>
              <w:top w:val="single" w:color="auto" w:sz="4" w:space="0"/>
              <w:left w:val="single" w:color="auto" w:sz="4" w:space="0"/>
              <w:bottom w:val="single" w:color="auto" w:sz="4" w:space="0"/>
              <w:right w:val="single" w:color="auto" w:sz="4" w:space="0"/>
            </w:tcBorders>
            <w:vAlign w:val="center"/>
          </w:tcPr>
          <w:p w14:paraId="648697C6">
            <w:pPr>
              <w:pStyle w:val="48"/>
              <w:spacing w:line="360" w:lineRule="auto"/>
              <w:ind w:firstLine="280" w:firstLineChars="100"/>
              <w:rPr>
                <w:rFonts w:ascii="仿宋" w:hAnsi="仿宋" w:eastAsia="仿宋" w:cs="宋体"/>
                <w:color w:val="auto"/>
                <w:sz w:val="28"/>
                <w:szCs w:val="28"/>
              </w:rPr>
            </w:pPr>
            <w:r>
              <w:rPr>
                <w:rFonts w:hint="eastAsia" w:ascii="仿宋" w:hAnsi="仿宋" w:eastAsia="仿宋" w:cs="宋体"/>
                <w:color w:val="auto"/>
                <w:sz w:val="28"/>
                <w:szCs w:val="28"/>
              </w:rPr>
              <w:t>序号</w:t>
            </w:r>
          </w:p>
        </w:tc>
        <w:tc>
          <w:tcPr>
            <w:tcW w:w="1985" w:type="dxa"/>
            <w:tcBorders>
              <w:top w:val="single" w:color="auto" w:sz="4" w:space="0"/>
              <w:left w:val="single" w:color="auto" w:sz="4" w:space="0"/>
              <w:bottom w:val="single" w:color="auto" w:sz="4" w:space="0"/>
              <w:right w:val="single" w:color="auto" w:sz="4" w:space="0"/>
            </w:tcBorders>
            <w:vAlign w:val="center"/>
          </w:tcPr>
          <w:p w14:paraId="25AABC4C">
            <w:pPr>
              <w:pStyle w:val="48"/>
              <w:spacing w:line="360" w:lineRule="auto"/>
              <w:ind w:firstLine="280" w:firstLineChars="100"/>
              <w:rPr>
                <w:rFonts w:ascii="仿宋" w:hAnsi="仿宋" w:eastAsia="仿宋" w:cs="宋体"/>
                <w:color w:val="auto"/>
                <w:sz w:val="28"/>
                <w:szCs w:val="28"/>
              </w:rPr>
            </w:pPr>
            <w:r>
              <w:rPr>
                <w:rFonts w:hint="eastAsia" w:ascii="仿宋" w:hAnsi="仿宋" w:eastAsia="仿宋" w:cs="宋体"/>
                <w:color w:val="auto"/>
                <w:sz w:val="28"/>
                <w:szCs w:val="28"/>
              </w:rPr>
              <w:t>岗位名称</w:t>
            </w:r>
          </w:p>
        </w:tc>
        <w:tc>
          <w:tcPr>
            <w:tcW w:w="2127" w:type="dxa"/>
            <w:tcBorders>
              <w:top w:val="single" w:color="auto" w:sz="4" w:space="0"/>
              <w:left w:val="single" w:color="auto" w:sz="4" w:space="0"/>
              <w:bottom w:val="single" w:color="auto" w:sz="4" w:space="0"/>
              <w:right w:val="single" w:color="auto" w:sz="4" w:space="0"/>
            </w:tcBorders>
            <w:vAlign w:val="center"/>
          </w:tcPr>
          <w:p w14:paraId="498BDEC4">
            <w:pPr>
              <w:pStyle w:val="48"/>
              <w:spacing w:line="360" w:lineRule="auto"/>
              <w:jc w:val="center"/>
              <w:rPr>
                <w:rFonts w:ascii="仿宋" w:hAnsi="仿宋" w:eastAsia="仿宋" w:cs="宋体"/>
                <w:color w:val="auto"/>
                <w:sz w:val="28"/>
                <w:szCs w:val="28"/>
              </w:rPr>
            </w:pPr>
            <w:r>
              <w:rPr>
                <w:rFonts w:hint="eastAsia" w:ascii="仿宋" w:hAnsi="仿宋" w:eastAsia="仿宋" w:cs="宋体"/>
                <w:color w:val="auto"/>
                <w:sz w:val="28"/>
                <w:szCs w:val="28"/>
              </w:rPr>
              <w:t>建议配置岗位人数（最低要求）</w:t>
            </w:r>
          </w:p>
        </w:tc>
        <w:tc>
          <w:tcPr>
            <w:tcW w:w="3117" w:type="dxa"/>
            <w:tcBorders>
              <w:top w:val="single" w:color="auto" w:sz="4" w:space="0"/>
              <w:left w:val="single" w:color="auto" w:sz="4" w:space="0"/>
              <w:bottom w:val="single" w:color="auto" w:sz="4" w:space="0"/>
              <w:right w:val="single" w:color="auto" w:sz="4" w:space="0"/>
            </w:tcBorders>
            <w:vAlign w:val="center"/>
          </w:tcPr>
          <w:p w14:paraId="46F8C82B">
            <w:pPr>
              <w:pStyle w:val="48"/>
              <w:spacing w:line="360" w:lineRule="auto"/>
              <w:ind w:left="420" w:firstLine="280" w:firstLineChars="100"/>
              <w:rPr>
                <w:rFonts w:ascii="仿宋" w:hAnsi="仿宋" w:eastAsia="仿宋" w:cs="宋体"/>
                <w:color w:val="auto"/>
                <w:sz w:val="28"/>
                <w:szCs w:val="28"/>
              </w:rPr>
            </w:pPr>
            <w:r>
              <w:rPr>
                <w:rFonts w:hint="eastAsia" w:ascii="仿宋" w:hAnsi="仿宋" w:eastAsia="仿宋" w:cs="宋体"/>
                <w:color w:val="auto"/>
                <w:sz w:val="28"/>
                <w:szCs w:val="28"/>
              </w:rPr>
              <w:t>工作内容</w:t>
            </w:r>
          </w:p>
        </w:tc>
      </w:tr>
      <w:tr w14:paraId="523D4672">
        <w:tblPrEx>
          <w:tblCellMar>
            <w:top w:w="0" w:type="dxa"/>
            <w:left w:w="108" w:type="dxa"/>
            <w:bottom w:w="0" w:type="dxa"/>
            <w:right w:w="108" w:type="dxa"/>
          </w:tblCellMar>
        </w:tblPrEx>
        <w:trPr>
          <w:trHeight w:val="249" w:hRule="atLeast"/>
        </w:trPr>
        <w:tc>
          <w:tcPr>
            <w:tcW w:w="1384" w:type="dxa"/>
            <w:tcBorders>
              <w:top w:val="single" w:color="auto" w:sz="4" w:space="0"/>
              <w:left w:val="single" w:color="auto" w:sz="4" w:space="0"/>
              <w:bottom w:val="single" w:color="auto" w:sz="4" w:space="0"/>
              <w:right w:val="single" w:color="auto" w:sz="4" w:space="0"/>
            </w:tcBorders>
            <w:vAlign w:val="center"/>
          </w:tcPr>
          <w:p w14:paraId="430A267B">
            <w:pPr>
              <w:pStyle w:val="48"/>
              <w:spacing w:line="360" w:lineRule="auto"/>
              <w:ind w:left="420"/>
              <w:rPr>
                <w:rFonts w:ascii="仿宋" w:hAnsi="仿宋" w:eastAsia="仿宋" w:cs="宋体"/>
                <w:color w:val="auto"/>
                <w:sz w:val="28"/>
                <w:szCs w:val="28"/>
              </w:rPr>
            </w:pPr>
            <w:r>
              <w:rPr>
                <w:rFonts w:ascii="仿宋" w:hAnsi="仿宋" w:eastAsia="仿宋" w:cs="宋体"/>
                <w:color w:val="auto"/>
                <w:sz w:val="28"/>
                <w:szCs w:val="28"/>
              </w:rPr>
              <w:t>1</w:t>
            </w:r>
          </w:p>
        </w:tc>
        <w:tc>
          <w:tcPr>
            <w:tcW w:w="1985" w:type="dxa"/>
            <w:tcBorders>
              <w:top w:val="single" w:color="auto" w:sz="4" w:space="0"/>
              <w:left w:val="single" w:color="auto" w:sz="4" w:space="0"/>
              <w:bottom w:val="single" w:color="auto" w:sz="4" w:space="0"/>
              <w:right w:val="single" w:color="auto" w:sz="4" w:space="0"/>
            </w:tcBorders>
            <w:vAlign w:val="center"/>
          </w:tcPr>
          <w:p w14:paraId="2DCED81C">
            <w:pPr>
              <w:pStyle w:val="48"/>
              <w:spacing w:line="360" w:lineRule="auto"/>
              <w:ind w:firstLine="280" w:firstLineChars="100"/>
              <w:rPr>
                <w:rFonts w:ascii="仿宋" w:hAnsi="仿宋" w:eastAsia="仿宋" w:cs="宋体"/>
                <w:color w:val="auto"/>
                <w:sz w:val="28"/>
                <w:szCs w:val="28"/>
              </w:rPr>
            </w:pPr>
            <w:r>
              <w:rPr>
                <w:rFonts w:hint="eastAsia" w:ascii="仿宋" w:hAnsi="仿宋" w:eastAsia="仿宋" w:cs="宋体"/>
                <w:color w:val="auto"/>
                <w:sz w:val="28"/>
                <w:szCs w:val="28"/>
              </w:rPr>
              <w:t>项目经理</w:t>
            </w:r>
          </w:p>
        </w:tc>
        <w:tc>
          <w:tcPr>
            <w:tcW w:w="2127" w:type="dxa"/>
            <w:tcBorders>
              <w:top w:val="single" w:color="auto" w:sz="4" w:space="0"/>
              <w:left w:val="single" w:color="auto" w:sz="4" w:space="0"/>
              <w:bottom w:val="single" w:color="auto" w:sz="4" w:space="0"/>
              <w:right w:val="single" w:color="auto" w:sz="4" w:space="0"/>
            </w:tcBorders>
            <w:vAlign w:val="center"/>
          </w:tcPr>
          <w:p w14:paraId="229B0C99">
            <w:pPr>
              <w:pStyle w:val="48"/>
              <w:spacing w:line="360" w:lineRule="auto"/>
              <w:ind w:left="420" w:firstLine="280" w:firstLineChars="100"/>
              <w:rPr>
                <w:rFonts w:ascii="仿宋" w:hAnsi="仿宋" w:eastAsia="仿宋" w:cs="宋体"/>
                <w:color w:val="auto"/>
                <w:sz w:val="28"/>
                <w:szCs w:val="28"/>
              </w:rPr>
            </w:pPr>
            <w:r>
              <w:rPr>
                <w:rFonts w:ascii="仿宋" w:hAnsi="仿宋" w:eastAsia="仿宋" w:cs="宋体"/>
                <w:color w:val="auto"/>
                <w:sz w:val="28"/>
                <w:szCs w:val="28"/>
              </w:rPr>
              <w:t>1</w:t>
            </w:r>
          </w:p>
        </w:tc>
        <w:tc>
          <w:tcPr>
            <w:tcW w:w="3117" w:type="dxa"/>
            <w:tcBorders>
              <w:top w:val="single" w:color="auto" w:sz="4" w:space="0"/>
              <w:left w:val="single" w:color="auto" w:sz="4" w:space="0"/>
              <w:bottom w:val="single" w:color="auto" w:sz="4" w:space="0"/>
              <w:right w:val="single" w:color="auto" w:sz="4" w:space="0"/>
            </w:tcBorders>
            <w:vAlign w:val="center"/>
          </w:tcPr>
          <w:p w14:paraId="6B2D710A">
            <w:pPr>
              <w:pStyle w:val="48"/>
              <w:spacing w:line="360" w:lineRule="auto"/>
              <w:rPr>
                <w:rFonts w:ascii="仿宋" w:hAnsi="仿宋" w:eastAsia="仿宋" w:cs="宋体"/>
                <w:color w:val="auto"/>
                <w:sz w:val="28"/>
                <w:szCs w:val="28"/>
              </w:rPr>
            </w:pPr>
            <w:r>
              <w:rPr>
                <w:rFonts w:hint="eastAsia" w:ascii="仿宋" w:hAnsi="仿宋" w:eastAsia="仿宋" w:cs="宋体"/>
                <w:color w:val="auto"/>
                <w:sz w:val="28"/>
                <w:szCs w:val="28"/>
              </w:rPr>
              <w:t>全面负责项目管理。具有丰富的布展实施的工作经验，有类似项目展览、展示项目的管理经验,</w:t>
            </w:r>
            <w:r>
              <w:rPr>
                <w:rFonts w:hint="eastAsia" w:ascii="仿宋" w:hAnsi="仿宋" w:eastAsia="仿宋" w:cs="宋体"/>
                <w:color w:val="auto"/>
                <w:sz w:val="28"/>
                <w:szCs w:val="28"/>
              </w:rPr>
              <w:t>具有建筑或工程相关专业中级及以上工程师职称为佳</w:t>
            </w:r>
          </w:p>
        </w:tc>
      </w:tr>
      <w:tr w14:paraId="196409BF">
        <w:tblPrEx>
          <w:tblCellMar>
            <w:top w:w="0" w:type="dxa"/>
            <w:left w:w="108" w:type="dxa"/>
            <w:bottom w:w="0" w:type="dxa"/>
            <w:right w:w="108" w:type="dxa"/>
          </w:tblCellMar>
        </w:tblPrEx>
        <w:trPr>
          <w:trHeight w:val="99" w:hRule="atLeast"/>
        </w:trPr>
        <w:tc>
          <w:tcPr>
            <w:tcW w:w="1384" w:type="dxa"/>
            <w:tcBorders>
              <w:top w:val="single" w:color="auto" w:sz="4" w:space="0"/>
              <w:left w:val="single" w:color="auto" w:sz="4" w:space="0"/>
              <w:bottom w:val="single" w:color="auto" w:sz="4" w:space="0"/>
              <w:right w:val="single" w:color="auto" w:sz="4" w:space="0"/>
            </w:tcBorders>
            <w:vAlign w:val="center"/>
          </w:tcPr>
          <w:p w14:paraId="1C46D099">
            <w:pPr>
              <w:pStyle w:val="48"/>
              <w:spacing w:line="360" w:lineRule="auto"/>
              <w:ind w:left="420"/>
              <w:rPr>
                <w:rFonts w:ascii="仿宋" w:hAnsi="仿宋" w:eastAsia="仿宋" w:cs="宋体"/>
                <w:color w:val="auto"/>
                <w:sz w:val="28"/>
                <w:szCs w:val="28"/>
              </w:rPr>
            </w:pPr>
            <w:r>
              <w:rPr>
                <w:rFonts w:ascii="仿宋" w:hAnsi="仿宋" w:eastAsia="仿宋" w:cs="宋体"/>
                <w:color w:val="auto"/>
                <w:sz w:val="28"/>
                <w:szCs w:val="28"/>
              </w:rPr>
              <w:t>2</w:t>
            </w:r>
          </w:p>
        </w:tc>
        <w:tc>
          <w:tcPr>
            <w:tcW w:w="1985" w:type="dxa"/>
            <w:tcBorders>
              <w:top w:val="single" w:color="auto" w:sz="4" w:space="0"/>
              <w:left w:val="single" w:color="auto" w:sz="4" w:space="0"/>
              <w:bottom w:val="single" w:color="auto" w:sz="4" w:space="0"/>
              <w:right w:val="single" w:color="auto" w:sz="4" w:space="0"/>
            </w:tcBorders>
            <w:vAlign w:val="center"/>
          </w:tcPr>
          <w:p w14:paraId="4578111A">
            <w:pPr>
              <w:pStyle w:val="48"/>
              <w:spacing w:line="360" w:lineRule="auto"/>
              <w:ind w:left="420"/>
              <w:rPr>
                <w:rFonts w:ascii="仿宋" w:hAnsi="仿宋" w:eastAsia="仿宋" w:cs="宋体"/>
                <w:color w:val="auto"/>
                <w:sz w:val="28"/>
                <w:szCs w:val="28"/>
              </w:rPr>
            </w:pPr>
            <w:r>
              <w:rPr>
                <w:rFonts w:hint="eastAsia" w:ascii="仿宋" w:hAnsi="仿宋" w:eastAsia="仿宋" w:cs="宋体"/>
                <w:color w:val="auto"/>
                <w:sz w:val="28"/>
                <w:szCs w:val="28"/>
              </w:rPr>
              <w:t>主设计师</w:t>
            </w:r>
          </w:p>
        </w:tc>
        <w:tc>
          <w:tcPr>
            <w:tcW w:w="2127" w:type="dxa"/>
            <w:tcBorders>
              <w:top w:val="single" w:color="auto" w:sz="4" w:space="0"/>
              <w:left w:val="single" w:color="auto" w:sz="4" w:space="0"/>
              <w:bottom w:val="single" w:color="auto" w:sz="4" w:space="0"/>
              <w:right w:val="single" w:color="auto" w:sz="4" w:space="0"/>
            </w:tcBorders>
            <w:vAlign w:val="center"/>
          </w:tcPr>
          <w:p w14:paraId="666D8F0D">
            <w:pPr>
              <w:pStyle w:val="48"/>
              <w:spacing w:line="360" w:lineRule="auto"/>
              <w:ind w:firstLine="840" w:firstLineChars="300"/>
              <w:rPr>
                <w:rFonts w:ascii="仿宋" w:hAnsi="仿宋" w:eastAsia="仿宋" w:cs="宋体"/>
                <w:color w:val="auto"/>
                <w:sz w:val="28"/>
                <w:szCs w:val="28"/>
              </w:rPr>
            </w:pPr>
            <w:r>
              <w:rPr>
                <w:rFonts w:ascii="仿宋" w:hAnsi="仿宋" w:eastAsia="仿宋" w:cs="宋体"/>
                <w:color w:val="auto"/>
                <w:sz w:val="28"/>
                <w:szCs w:val="28"/>
              </w:rPr>
              <w:t>1</w:t>
            </w:r>
          </w:p>
        </w:tc>
        <w:tc>
          <w:tcPr>
            <w:tcW w:w="3117" w:type="dxa"/>
            <w:tcBorders>
              <w:top w:val="single" w:color="auto" w:sz="4" w:space="0"/>
              <w:left w:val="single" w:color="auto" w:sz="4" w:space="0"/>
              <w:bottom w:val="single" w:color="auto" w:sz="4" w:space="0"/>
              <w:right w:val="single" w:color="auto" w:sz="4" w:space="0"/>
            </w:tcBorders>
            <w:vAlign w:val="center"/>
          </w:tcPr>
          <w:p w14:paraId="3770663B">
            <w:pPr>
              <w:pStyle w:val="48"/>
              <w:spacing w:line="360" w:lineRule="auto"/>
              <w:rPr>
                <w:rFonts w:ascii="仿宋" w:hAnsi="仿宋" w:eastAsia="仿宋" w:cs="宋体"/>
                <w:color w:val="auto"/>
                <w:sz w:val="28"/>
                <w:szCs w:val="28"/>
              </w:rPr>
            </w:pPr>
            <w:r>
              <w:rPr>
                <w:rFonts w:hint="eastAsia" w:ascii="仿宋" w:hAnsi="仿宋" w:eastAsia="仿宋" w:cs="宋体"/>
                <w:color w:val="auto"/>
                <w:sz w:val="28"/>
                <w:szCs w:val="28"/>
              </w:rPr>
              <w:t>负责主创设计，有类似项目展览、展示项目的主创设计经验,</w:t>
            </w:r>
            <w:r>
              <w:rPr>
                <w:rFonts w:hint="eastAsia" w:ascii="仿宋" w:hAnsi="仿宋" w:eastAsia="仿宋" w:cs="宋体"/>
                <w:color w:val="auto"/>
                <w:sz w:val="28"/>
                <w:szCs w:val="28"/>
              </w:rPr>
              <w:t>具有陈列展览或设计类等相关专业高级职称为佳</w:t>
            </w:r>
          </w:p>
        </w:tc>
      </w:tr>
      <w:tr w14:paraId="12789ADA">
        <w:tblPrEx>
          <w:tblCellMar>
            <w:top w:w="0" w:type="dxa"/>
            <w:left w:w="108" w:type="dxa"/>
            <w:bottom w:w="0" w:type="dxa"/>
            <w:right w:w="108" w:type="dxa"/>
          </w:tblCellMar>
        </w:tblPrEx>
        <w:trPr>
          <w:trHeight w:val="608" w:hRule="atLeast"/>
        </w:trPr>
        <w:tc>
          <w:tcPr>
            <w:tcW w:w="1384" w:type="dxa"/>
            <w:tcBorders>
              <w:top w:val="single" w:color="auto" w:sz="4" w:space="0"/>
              <w:left w:val="single" w:color="auto" w:sz="4" w:space="0"/>
              <w:bottom w:val="single" w:color="auto" w:sz="4" w:space="0"/>
              <w:right w:val="single" w:color="auto" w:sz="4" w:space="0"/>
            </w:tcBorders>
            <w:vAlign w:val="center"/>
          </w:tcPr>
          <w:p w14:paraId="21D4853D">
            <w:pPr>
              <w:pStyle w:val="48"/>
              <w:spacing w:line="360" w:lineRule="auto"/>
              <w:ind w:left="420"/>
              <w:rPr>
                <w:rFonts w:ascii="仿宋" w:hAnsi="仿宋" w:eastAsia="仿宋" w:cs="宋体"/>
                <w:color w:val="auto"/>
                <w:sz w:val="28"/>
                <w:szCs w:val="28"/>
              </w:rPr>
            </w:pPr>
            <w:r>
              <w:rPr>
                <w:rFonts w:ascii="仿宋" w:hAnsi="仿宋" w:eastAsia="仿宋" w:cs="宋体"/>
                <w:color w:val="auto"/>
                <w:sz w:val="28"/>
                <w:szCs w:val="28"/>
              </w:rPr>
              <w:t>3</w:t>
            </w:r>
          </w:p>
        </w:tc>
        <w:tc>
          <w:tcPr>
            <w:tcW w:w="1985" w:type="dxa"/>
            <w:tcBorders>
              <w:top w:val="single" w:color="auto" w:sz="4" w:space="0"/>
              <w:left w:val="single" w:color="auto" w:sz="4" w:space="0"/>
              <w:bottom w:val="single" w:color="auto" w:sz="4" w:space="0"/>
              <w:right w:val="single" w:color="auto" w:sz="4" w:space="0"/>
            </w:tcBorders>
            <w:vAlign w:val="center"/>
          </w:tcPr>
          <w:p w14:paraId="6913ACF3">
            <w:pPr>
              <w:pStyle w:val="48"/>
              <w:spacing w:line="360" w:lineRule="auto"/>
              <w:ind w:left="420"/>
              <w:rPr>
                <w:rFonts w:ascii="仿宋" w:hAnsi="仿宋" w:eastAsia="仿宋" w:cs="宋体"/>
                <w:color w:val="auto"/>
                <w:sz w:val="28"/>
                <w:szCs w:val="28"/>
              </w:rPr>
            </w:pPr>
            <w:r>
              <w:rPr>
                <w:rFonts w:hint="eastAsia" w:ascii="仿宋" w:hAnsi="仿宋" w:eastAsia="仿宋" w:cs="宋体"/>
                <w:color w:val="auto"/>
                <w:sz w:val="28"/>
                <w:szCs w:val="28"/>
              </w:rPr>
              <w:t>设计师</w:t>
            </w:r>
          </w:p>
        </w:tc>
        <w:tc>
          <w:tcPr>
            <w:tcW w:w="2127" w:type="dxa"/>
            <w:tcBorders>
              <w:top w:val="single" w:color="auto" w:sz="4" w:space="0"/>
              <w:left w:val="single" w:color="auto" w:sz="4" w:space="0"/>
              <w:bottom w:val="single" w:color="auto" w:sz="4" w:space="0"/>
              <w:right w:val="single" w:color="auto" w:sz="4" w:space="0"/>
            </w:tcBorders>
            <w:vAlign w:val="center"/>
          </w:tcPr>
          <w:p w14:paraId="29EF16D8">
            <w:pPr>
              <w:pStyle w:val="48"/>
              <w:spacing w:line="360" w:lineRule="auto"/>
              <w:ind w:left="420" w:firstLine="280" w:firstLineChars="100"/>
              <w:rPr>
                <w:rFonts w:ascii="仿宋" w:hAnsi="仿宋" w:eastAsia="仿宋" w:cs="宋体"/>
                <w:color w:val="auto"/>
                <w:sz w:val="28"/>
                <w:szCs w:val="28"/>
              </w:rPr>
            </w:pPr>
            <w:r>
              <w:rPr>
                <w:rFonts w:ascii="仿宋" w:hAnsi="仿宋" w:eastAsia="仿宋" w:cs="宋体"/>
                <w:color w:val="auto"/>
                <w:sz w:val="28"/>
                <w:szCs w:val="28"/>
              </w:rPr>
              <w:t>2</w:t>
            </w:r>
          </w:p>
        </w:tc>
        <w:tc>
          <w:tcPr>
            <w:tcW w:w="3117" w:type="dxa"/>
            <w:tcBorders>
              <w:top w:val="single" w:color="auto" w:sz="4" w:space="0"/>
              <w:left w:val="single" w:color="auto" w:sz="4" w:space="0"/>
              <w:bottom w:val="single" w:color="auto" w:sz="4" w:space="0"/>
              <w:right w:val="single" w:color="auto" w:sz="4" w:space="0"/>
            </w:tcBorders>
            <w:vAlign w:val="center"/>
          </w:tcPr>
          <w:p w14:paraId="485CBFC0">
            <w:pPr>
              <w:pStyle w:val="48"/>
              <w:spacing w:line="360" w:lineRule="auto"/>
              <w:rPr>
                <w:rFonts w:ascii="仿宋" w:hAnsi="仿宋" w:eastAsia="仿宋" w:cs="宋体"/>
                <w:color w:val="auto"/>
                <w:sz w:val="28"/>
                <w:szCs w:val="28"/>
              </w:rPr>
            </w:pPr>
            <w:r>
              <w:rPr>
                <w:rFonts w:hint="eastAsia" w:ascii="仿宋" w:hAnsi="仿宋" w:eastAsia="仿宋" w:cs="宋体"/>
                <w:color w:val="auto"/>
                <w:sz w:val="28"/>
                <w:szCs w:val="28"/>
              </w:rPr>
              <w:t>有</w:t>
            </w:r>
            <w:bookmarkStart w:id="0" w:name="OLE_LINK4"/>
            <w:r>
              <w:rPr>
                <w:rFonts w:hint="eastAsia" w:ascii="仿宋" w:hAnsi="仿宋" w:eastAsia="仿宋" w:cs="宋体"/>
                <w:color w:val="auto"/>
                <w:sz w:val="28"/>
                <w:szCs w:val="28"/>
              </w:rPr>
              <w:t>类似项目</w:t>
            </w:r>
            <w:bookmarkEnd w:id="0"/>
            <w:r>
              <w:rPr>
                <w:rFonts w:hint="eastAsia" w:ascii="仿宋" w:hAnsi="仿宋" w:eastAsia="仿宋" w:cs="宋体"/>
                <w:color w:val="auto"/>
                <w:sz w:val="28"/>
                <w:szCs w:val="28"/>
              </w:rPr>
              <w:t>展览、展示项目的设计经验,</w:t>
            </w:r>
            <w:r>
              <w:rPr>
                <w:rFonts w:hint="eastAsia" w:ascii="仿宋" w:hAnsi="仿宋" w:eastAsia="仿宋" w:cs="宋体"/>
                <w:color w:val="auto"/>
                <w:sz w:val="28"/>
                <w:szCs w:val="28"/>
              </w:rPr>
              <w:t>具有工程类或设计类等专业中级</w:t>
            </w:r>
            <w:r>
              <w:rPr>
                <w:rFonts w:hint="eastAsia" w:ascii="仿宋" w:hAnsi="仿宋" w:eastAsia="仿宋" w:cs="宋体"/>
                <w:color w:val="auto"/>
                <w:sz w:val="28"/>
                <w:szCs w:val="28"/>
                <w:lang w:eastAsia="zh-CN"/>
              </w:rPr>
              <w:t>及以上</w:t>
            </w:r>
            <w:r>
              <w:rPr>
                <w:rFonts w:hint="eastAsia" w:ascii="仿宋" w:hAnsi="仿宋" w:eastAsia="仿宋" w:cs="宋体"/>
                <w:color w:val="auto"/>
                <w:sz w:val="28"/>
                <w:szCs w:val="28"/>
              </w:rPr>
              <w:t>职称为佳</w:t>
            </w:r>
          </w:p>
        </w:tc>
      </w:tr>
      <w:tr w14:paraId="775736A7">
        <w:tblPrEx>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0E700BB9">
            <w:pPr>
              <w:pStyle w:val="48"/>
              <w:spacing w:line="360" w:lineRule="auto"/>
              <w:ind w:left="420"/>
              <w:rPr>
                <w:rFonts w:ascii="仿宋" w:hAnsi="仿宋" w:eastAsia="仿宋" w:cs="宋体"/>
                <w:color w:val="auto"/>
                <w:sz w:val="28"/>
                <w:szCs w:val="28"/>
              </w:rPr>
            </w:pPr>
            <w:r>
              <w:rPr>
                <w:rFonts w:ascii="仿宋" w:hAnsi="仿宋" w:eastAsia="仿宋" w:cs="宋体"/>
                <w:color w:val="auto"/>
                <w:sz w:val="28"/>
                <w:szCs w:val="28"/>
              </w:rPr>
              <w:t>4</w:t>
            </w:r>
          </w:p>
        </w:tc>
        <w:tc>
          <w:tcPr>
            <w:tcW w:w="1985" w:type="dxa"/>
            <w:tcBorders>
              <w:top w:val="single" w:color="auto" w:sz="4" w:space="0"/>
              <w:left w:val="single" w:color="auto" w:sz="4" w:space="0"/>
              <w:bottom w:val="single" w:color="auto" w:sz="4" w:space="0"/>
              <w:right w:val="single" w:color="auto" w:sz="4" w:space="0"/>
            </w:tcBorders>
            <w:vAlign w:val="center"/>
          </w:tcPr>
          <w:p w14:paraId="40BA4C81">
            <w:pPr>
              <w:pStyle w:val="48"/>
              <w:spacing w:line="360" w:lineRule="auto"/>
              <w:ind w:left="420"/>
              <w:rPr>
                <w:rFonts w:ascii="仿宋" w:hAnsi="仿宋" w:eastAsia="仿宋" w:cs="宋体"/>
                <w:color w:val="auto"/>
                <w:sz w:val="28"/>
                <w:szCs w:val="28"/>
              </w:rPr>
            </w:pPr>
            <w:r>
              <w:rPr>
                <w:rFonts w:hint="eastAsia" w:ascii="仿宋" w:hAnsi="仿宋" w:eastAsia="仿宋" w:cs="宋体"/>
                <w:color w:val="auto"/>
                <w:sz w:val="28"/>
                <w:szCs w:val="28"/>
              </w:rPr>
              <w:t>项目管理人员</w:t>
            </w:r>
          </w:p>
        </w:tc>
        <w:tc>
          <w:tcPr>
            <w:tcW w:w="2127" w:type="dxa"/>
            <w:tcBorders>
              <w:top w:val="single" w:color="auto" w:sz="4" w:space="0"/>
              <w:left w:val="single" w:color="auto" w:sz="4" w:space="0"/>
              <w:bottom w:val="single" w:color="auto" w:sz="4" w:space="0"/>
              <w:right w:val="single" w:color="auto" w:sz="4" w:space="0"/>
            </w:tcBorders>
            <w:vAlign w:val="center"/>
          </w:tcPr>
          <w:p w14:paraId="6038AEDE">
            <w:pPr>
              <w:pStyle w:val="48"/>
              <w:spacing w:line="360" w:lineRule="auto"/>
              <w:ind w:left="420" w:firstLine="280" w:firstLineChars="100"/>
              <w:rPr>
                <w:rFonts w:ascii="仿宋" w:hAnsi="仿宋" w:eastAsia="仿宋" w:cs="宋体"/>
                <w:color w:val="auto"/>
                <w:sz w:val="28"/>
                <w:szCs w:val="28"/>
              </w:rPr>
            </w:pPr>
            <w:r>
              <w:rPr>
                <w:rFonts w:ascii="仿宋" w:hAnsi="仿宋" w:eastAsia="仿宋" w:cs="宋体"/>
                <w:color w:val="auto"/>
                <w:sz w:val="28"/>
                <w:szCs w:val="28"/>
              </w:rPr>
              <w:t>4</w:t>
            </w:r>
          </w:p>
        </w:tc>
        <w:tc>
          <w:tcPr>
            <w:tcW w:w="3117" w:type="dxa"/>
            <w:tcBorders>
              <w:top w:val="single" w:color="auto" w:sz="4" w:space="0"/>
              <w:left w:val="single" w:color="auto" w:sz="4" w:space="0"/>
              <w:bottom w:val="single" w:color="auto" w:sz="4" w:space="0"/>
              <w:right w:val="single" w:color="auto" w:sz="4" w:space="0"/>
            </w:tcBorders>
            <w:vAlign w:val="center"/>
          </w:tcPr>
          <w:p w14:paraId="2C84065D">
            <w:pPr>
              <w:pStyle w:val="48"/>
              <w:spacing w:line="360" w:lineRule="auto"/>
              <w:rPr>
                <w:rFonts w:ascii="仿宋" w:hAnsi="仿宋" w:eastAsia="仿宋" w:cs="宋体"/>
                <w:color w:val="auto"/>
                <w:sz w:val="28"/>
                <w:szCs w:val="28"/>
              </w:rPr>
            </w:pPr>
            <w:r>
              <w:rPr>
                <w:rFonts w:hint="eastAsia" w:ascii="仿宋" w:hAnsi="仿宋" w:eastAsia="仿宋" w:cs="宋体"/>
                <w:color w:val="auto"/>
                <w:sz w:val="28"/>
                <w:szCs w:val="28"/>
              </w:rPr>
              <w:t>持有相关岗位证书，负责布展管理，有类似项目展览、展示项目的管理经验</w:t>
            </w:r>
          </w:p>
        </w:tc>
      </w:tr>
    </w:tbl>
    <w:p w14:paraId="5688AC44">
      <w:pPr>
        <w:pStyle w:val="71"/>
        <w:spacing w:line="360" w:lineRule="auto"/>
        <w:ind w:firstLine="0"/>
        <w:rPr>
          <w:rFonts w:ascii="仿宋" w:hAnsi="仿宋" w:eastAsia="仿宋" w:cs="仿宋"/>
          <w:bCs/>
          <w:color w:val="auto"/>
          <w:kern w:val="2"/>
          <w:sz w:val="28"/>
          <w:szCs w:val="28"/>
        </w:rPr>
      </w:pPr>
    </w:p>
    <w:p w14:paraId="2C47C6DF">
      <w:pPr>
        <w:pStyle w:val="71"/>
        <w:widowControl/>
        <w:spacing w:line="360" w:lineRule="auto"/>
        <w:jc w:val="left"/>
        <w:rPr>
          <w:rFonts w:ascii="仿宋" w:hAnsi="仿宋" w:eastAsia="仿宋"/>
          <w:color w:val="auto"/>
          <w:sz w:val="28"/>
          <w:szCs w:val="28"/>
        </w:rPr>
      </w:pPr>
      <w:r>
        <w:rPr>
          <w:rFonts w:ascii="仿宋" w:hAnsi="仿宋" w:eastAsia="仿宋"/>
          <w:color w:val="auto"/>
          <w:sz w:val="28"/>
          <w:szCs w:val="28"/>
        </w:rPr>
        <w:br w:type="page"/>
      </w:r>
    </w:p>
    <w:p w14:paraId="46F3EF81">
      <w:pPr>
        <w:pStyle w:val="46"/>
        <w:widowControl/>
        <w:jc w:val="left"/>
        <w:rPr>
          <w:rFonts w:ascii="仿宋" w:hAnsi="仿宋" w:eastAsia="仿宋"/>
          <w:color w:val="auto"/>
          <w:sz w:val="28"/>
          <w:szCs w:val="28"/>
        </w:rPr>
      </w:pPr>
      <w:r>
        <w:rPr>
          <w:rFonts w:hint="eastAsia" w:ascii="仿宋" w:hAnsi="仿宋" w:eastAsia="仿宋"/>
          <w:color w:val="auto"/>
          <w:sz w:val="28"/>
          <w:szCs w:val="28"/>
        </w:rPr>
        <w:t>附件：</w:t>
      </w:r>
    </w:p>
    <w:p w14:paraId="159AB165">
      <w:pPr>
        <w:pStyle w:val="46"/>
        <w:widowControl/>
        <w:jc w:val="left"/>
        <w:rPr>
          <w:rFonts w:ascii="仿宋" w:hAnsi="仿宋" w:eastAsia="仿宋" w:cs="仿宋"/>
          <w:sz w:val="28"/>
          <w:szCs w:val="28"/>
          <w:lang w:bidi="ar"/>
        </w:rPr>
      </w:pPr>
    </w:p>
    <w:p w14:paraId="788CCDBC">
      <w:pPr>
        <w:pStyle w:val="46"/>
        <w:widowControl/>
        <w:jc w:val="left"/>
        <w:rPr>
          <w:rFonts w:ascii="仿宋" w:hAnsi="仿宋" w:eastAsia="仿宋"/>
          <w:color w:val="auto"/>
          <w:sz w:val="28"/>
          <w:szCs w:val="28"/>
        </w:rPr>
      </w:pPr>
      <w:r>
        <w:rPr>
          <w:rFonts w:ascii="仿宋" w:hAnsi="仿宋" w:eastAsia="仿宋" w:cs="仿宋"/>
          <w:sz w:val="28"/>
          <w:szCs w:val="28"/>
          <w:lang w:bidi="ar"/>
        </w:rPr>
        <w:t>上海文学馆logo</w:t>
      </w:r>
      <w:r>
        <w:rPr>
          <w:rFonts w:hint="eastAsia" w:ascii="仿宋" w:hAnsi="仿宋" w:eastAsia="仿宋" w:cs="仿宋"/>
          <w:sz w:val="28"/>
          <w:szCs w:val="28"/>
          <w:lang w:bidi="ar"/>
        </w:rPr>
        <w:t>暂时</w:t>
      </w:r>
      <w:r>
        <w:rPr>
          <w:rFonts w:hint="eastAsia" w:ascii="仿宋" w:hAnsi="仿宋" w:eastAsia="仿宋"/>
          <w:color w:val="auto"/>
          <w:sz w:val="28"/>
          <w:szCs w:val="28"/>
        </w:rPr>
        <w:t>先用作家协会LOGO（如下图）作为稿本，后期将进一步深化设计。</w:t>
      </w:r>
    </w:p>
    <w:p w14:paraId="18FEE4AE">
      <w:pPr>
        <w:pStyle w:val="46"/>
        <w:widowControl/>
        <w:jc w:val="left"/>
        <w:rPr>
          <w:rFonts w:ascii="仿宋" w:hAnsi="仿宋" w:eastAsia="仿宋"/>
          <w:color w:val="auto"/>
          <w:sz w:val="28"/>
          <w:szCs w:val="28"/>
        </w:rPr>
      </w:pPr>
    </w:p>
    <w:p w14:paraId="73FA0EA5">
      <w:pPr>
        <w:pStyle w:val="17"/>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drawing>
          <wp:inline distT="0" distB="0" distL="114300" distR="114300">
            <wp:extent cx="4572000" cy="5257800"/>
            <wp:effectExtent l="0" t="0" r="0" b="0"/>
            <wp:docPr id="2" name="图片 2" descr="作家协会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作家协会logo"/>
                    <pic:cNvPicPr>
                      <a:picLocks noChangeAspect="1"/>
                    </pic:cNvPicPr>
                  </pic:nvPicPr>
                  <pic:blipFill>
                    <a:blip r:embed="rId10"/>
                    <a:stretch>
                      <a:fillRect/>
                    </a:stretch>
                  </pic:blipFill>
                  <pic:spPr>
                    <a:xfrm>
                      <a:off x="0" y="0"/>
                      <a:ext cx="4572000" cy="5257800"/>
                    </a:xfrm>
                    <a:prstGeom prst="rect">
                      <a:avLst/>
                    </a:prstGeom>
                  </pic:spPr>
                </pic:pic>
              </a:graphicData>
            </a:graphic>
          </wp:inline>
        </w:drawing>
      </w:r>
    </w:p>
    <w:p w14:paraId="0358D071">
      <w:pPr>
        <w:pStyle w:val="17"/>
        <w:spacing w:before="0" w:beforeAutospacing="0" w:after="0" w:afterAutospacing="0" w:line="360" w:lineRule="auto"/>
        <w:rPr>
          <w:rFonts w:hint="default" w:ascii="仿宋" w:hAnsi="仿宋" w:eastAsia="仿宋"/>
          <w:color w:val="auto"/>
          <w:sz w:val="28"/>
          <w:szCs w:val="28"/>
        </w:rPr>
      </w:pPr>
    </w:p>
    <w:sectPr>
      <w:headerReference r:id="rId5" w:type="first"/>
      <w:footerReference r:id="rId8" w:type="first"/>
      <w:headerReference r:id="rId3" w:type="default"/>
      <w:footerReference r:id="rId6" w:type="default"/>
      <w:headerReference r:id="rId4" w:type="even"/>
      <w:footerReference r:id="rId7" w:type="even"/>
      <w:pgSz w:w="11910" w:h="16840"/>
      <w:pgMar w:top="1180" w:right="980" w:bottom="1040" w:left="1140" w:header="902" w:footer="76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文泉驿微米黑"/>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CESI黑体-GB13000"/>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文泉驿微米黑">
    <w:panose1 w:val="020B0606030804020204"/>
    <w:charset w:val="86"/>
    <w:family w:val="auto"/>
    <w:pitch w:val="default"/>
    <w:sig w:usb0="E10002EF" w:usb1="6BDFFCFB" w:usb2="00800036" w:usb3="00000000" w:csb0="603E019F" w:csb1="DFD70000"/>
  </w:font>
  <w:font w:name="Arial Unicode MS">
    <w:altName w:val="DejaVu Sans"/>
    <w:panose1 w:val="020B0604020202020204"/>
    <w:charset w:val="86"/>
    <w:family w:val="swiss"/>
    <w:pitch w:val="default"/>
    <w:sig w:usb0="00000000" w:usb1="00000000" w:usb2="0000003F" w:usb3="00000000" w:csb0="003F01FF"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Helvetica Neue">
    <w:altName w:val="汉仪叶叶相思体简"/>
    <w:panose1 w:val="00000000000000000000"/>
    <w:charset w:val="00"/>
    <w:family w:val="auto"/>
    <w:pitch w:val="default"/>
    <w:sig w:usb0="00000000" w:usb1="00000000" w:usb2="00000010" w:usb3="00000000" w:csb0="00000001" w:csb1="00000000"/>
  </w:font>
  <w:font w:name="汉仪叶叶相思体简">
    <w:panose1 w:val="02010509060101010101"/>
    <w:charset w:val="86"/>
    <w:family w:val="auto"/>
    <w:pitch w:val="default"/>
    <w:sig w:usb0="00000001" w:usb1="080E0000" w:usb2="00000000" w:usb3="00000000" w:csb0="00040000" w:csb1="00000000"/>
  </w:font>
  <w:font w:name="CESI黑体-GB13000">
    <w:panose1 w:val="02000500000000000000"/>
    <w:charset w:val="86"/>
    <w:family w:val="auto"/>
    <w:pitch w:val="default"/>
    <w:sig w:usb0="800002BF" w:usb1="38CF7CF8" w:usb2="00000016" w:usb3="00000000" w:csb0="0004000F" w:csb1="00000000"/>
  </w:font>
  <w:font w:name="仿宋">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8A581">
    <w:pPr>
      <w:pStyle w:val="13"/>
      <w:tabs>
        <w:tab w:val="right" w:pos="8286"/>
        <w:tab w:val="clear" w:pos="8306"/>
      </w:tabs>
      <w:jc w:val="center"/>
      <w:rPr>
        <w:b/>
        <w:bCs/>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0538F63">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41</w:t>
                          </w:r>
                          <w:r>
                            <w:fldChar w:fldCharType="end"/>
                          </w:r>
                          <w:r>
                            <w:rPr>
                              <w:rFonts w:hint="eastAsia"/>
                            </w:rPr>
                            <w:t>页</w:t>
                          </w:r>
                          <w:r>
                            <w:t xml:space="preserve"> 页</w:t>
                          </w:r>
                        </w:p>
                      </w:txbxContent>
                    </wps:txbx>
                    <wps:bodyPr wrap="none" lIns="0" tIns="0" rIns="0" bIns="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JUR0j8QBAACQAwAADgAAAAAAAAABACAAAAAeAQAAZHJzL2Uyb0RvYy54bWxQ&#10;SwUGAAAAAAYABgBZAQAAVAUAAAAA&#10;">
              <v:fill on="f" focussize="0,0"/>
              <v:stroke on="f"/>
              <v:imagedata o:title=""/>
              <o:lock v:ext="edit" aspectratio="f"/>
              <v:textbox inset="0mm,0mm,0mm,0mm" style="mso-fit-shape-to-text:t;">
                <w:txbxContent>
                  <w:p w14:paraId="30538F63">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41</w:t>
                    </w:r>
                    <w:r>
                      <w:fldChar w:fldCharType="end"/>
                    </w:r>
                    <w:r>
                      <w:rPr>
                        <w:rFonts w:hint="eastAsia"/>
                      </w:rPr>
                      <w:t>页</w:t>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EC7A2">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24FA3">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D8851">
    <w:pPr>
      <w:pStyle w:val="14"/>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D28A9">
    <w:pPr>
      <w:pStyle w:val="14"/>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4BE06">
    <w:pPr>
      <w:pStyle w:val="14"/>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DA2520"/>
    <w:multiLevelType w:val="multilevel"/>
    <w:tmpl w:val="5EDA2520"/>
    <w:lvl w:ilvl="0" w:tentative="0">
      <w:start w:val="1"/>
      <w:numFmt w:val="decimal"/>
      <w:suff w:val="nothing"/>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711C1AA8"/>
    <w:multiLevelType w:val="multilevel"/>
    <w:tmpl w:val="711C1AA8"/>
    <w:lvl w:ilvl="0" w:tentative="0">
      <w:start w:val="1"/>
      <w:numFmt w:val="decimal"/>
      <w:suff w:val="nothing"/>
      <w:lvlText w:val="（%1）"/>
      <w:lvlJc w:val="left"/>
      <w:pPr>
        <w:ind w:left="11" w:hanging="720"/>
      </w:pPr>
      <w:rPr>
        <w:rFonts w:hint="default"/>
      </w:rPr>
    </w:lvl>
    <w:lvl w:ilvl="1" w:tentative="0">
      <w:start w:val="1"/>
      <w:numFmt w:val="lowerLetter"/>
      <w:lvlText w:val="%2)"/>
      <w:lvlJc w:val="left"/>
      <w:pPr>
        <w:tabs>
          <w:tab w:val="left" w:pos="-420"/>
        </w:tabs>
        <w:ind w:left="460" w:hanging="440"/>
      </w:pPr>
    </w:lvl>
    <w:lvl w:ilvl="2" w:tentative="0">
      <w:start w:val="1"/>
      <w:numFmt w:val="lowerRoman"/>
      <w:lvlText w:val="%3."/>
      <w:lvlJc w:val="right"/>
      <w:pPr>
        <w:tabs>
          <w:tab w:val="left" w:pos="-420"/>
        </w:tabs>
        <w:ind w:left="900" w:hanging="440"/>
      </w:pPr>
    </w:lvl>
    <w:lvl w:ilvl="3" w:tentative="0">
      <w:start w:val="1"/>
      <w:numFmt w:val="decimal"/>
      <w:lvlText w:val="%4."/>
      <w:lvlJc w:val="left"/>
      <w:pPr>
        <w:tabs>
          <w:tab w:val="left" w:pos="-420"/>
        </w:tabs>
        <w:ind w:left="1340" w:hanging="440"/>
      </w:pPr>
    </w:lvl>
    <w:lvl w:ilvl="4" w:tentative="0">
      <w:start w:val="1"/>
      <w:numFmt w:val="lowerLetter"/>
      <w:lvlText w:val="%5)"/>
      <w:lvlJc w:val="left"/>
      <w:pPr>
        <w:tabs>
          <w:tab w:val="left" w:pos="-420"/>
        </w:tabs>
        <w:ind w:left="1780" w:hanging="440"/>
      </w:pPr>
    </w:lvl>
    <w:lvl w:ilvl="5" w:tentative="0">
      <w:start w:val="1"/>
      <w:numFmt w:val="lowerRoman"/>
      <w:lvlText w:val="%6."/>
      <w:lvlJc w:val="right"/>
      <w:pPr>
        <w:tabs>
          <w:tab w:val="left" w:pos="-420"/>
        </w:tabs>
        <w:ind w:left="2220" w:hanging="440"/>
      </w:pPr>
    </w:lvl>
    <w:lvl w:ilvl="6" w:tentative="0">
      <w:start w:val="1"/>
      <w:numFmt w:val="decimal"/>
      <w:lvlText w:val="%7."/>
      <w:lvlJc w:val="left"/>
      <w:pPr>
        <w:tabs>
          <w:tab w:val="left" w:pos="-420"/>
        </w:tabs>
        <w:ind w:left="2660" w:hanging="440"/>
      </w:pPr>
    </w:lvl>
    <w:lvl w:ilvl="7" w:tentative="0">
      <w:start w:val="1"/>
      <w:numFmt w:val="lowerLetter"/>
      <w:lvlText w:val="%8)"/>
      <w:lvlJc w:val="left"/>
      <w:pPr>
        <w:tabs>
          <w:tab w:val="left" w:pos="-420"/>
        </w:tabs>
        <w:ind w:left="3100" w:hanging="440"/>
      </w:pPr>
    </w:lvl>
    <w:lvl w:ilvl="8" w:tentative="0">
      <w:start w:val="1"/>
      <w:numFmt w:val="lowerRoman"/>
      <w:lvlText w:val="%9."/>
      <w:lvlJc w:val="right"/>
      <w:pPr>
        <w:tabs>
          <w:tab w:val="left" w:pos="-420"/>
        </w:tabs>
        <w:ind w:left="3540" w:hanging="440"/>
      </w:pPr>
    </w:lvl>
  </w:abstractNum>
  <w:abstractNum w:abstractNumId="2">
    <w:nsid w:val="71325697"/>
    <w:multiLevelType w:val="multilevel"/>
    <w:tmpl w:val="71325697"/>
    <w:lvl w:ilvl="0" w:tentative="0">
      <w:start w:val="1"/>
      <w:numFmt w:val="decimal"/>
      <w:suff w:val="nothing"/>
      <w:lvlText w:val="（%1）"/>
      <w:lvlJc w:val="left"/>
      <w:pPr>
        <w:ind w:left="440" w:hanging="440"/>
      </w:pPr>
      <w:rPr>
        <w:rFonts w:hint="default"/>
      </w:rPr>
    </w:lvl>
    <w:lvl w:ilvl="1" w:tentative="0">
      <w:start w:val="1"/>
      <w:numFmt w:val="lowerLetter"/>
      <w:lvlText w:val="%2)"/>
      <w:lvlJc w:val="left"/>
      <w:pPr>
        <w:tabs>
          <w:tab w:val="left" w:pos="0"/>
        </w:tabs>
        <w:ind w:left="880" w:hanging="440"/>
      </w:pPr>
    </w:lvl>
    <w:lvl w:ilvl="2" w:tentative="0">
      <w:start w:val="1"/>
      <w:numFmt w:val="lowerRoman"/>
      <w:lvlText w:val="%3."/>
      <w:lvlJc w:val="right"/>
      <w:pPr>
        <w:tabs>
          <w:tab w:val="left" w:pos="0"/>
        </w:tabs>
        <w:ind w:left="1320" w:hanging="440"/>
      </w:pPr>
    </w:lvl>
    <w:lvl w:ilvl="3" w:tentative="0">
      <w:start w:val="1"/>
      <w:numFmt w:val="decimal"/>
      <w:lvlText w:val="%4."/>
      <w:lvlJc w:val="left"/>
      <w:pPr>
        <w:tabs>
          <w:tab w:val="left" w:pos="0"/>
        </w:tabs>
        <w:ind w:left="1760" w:hanging="440"/>
      </w:pPr>
    </w:lvl>
    <w:lvl w:ilvl="4" w:tentative="0">
      <w:start w:val="1"/>
      <w:numFmt w:val="lowerLetter"/>
      <w:lvlText w:val="%5)"/>
      <w:lvlJc w:val="left"/>
      <w:pPr>
        <w:tabs>
          <w:tab w:val="left" w:pos="0"/>
        </w:tabs>
        <w:ind w:left="2200" w:hanging="440"/>
      </w:pPr>
    </w:lvl>
    <w:lvl w:ilvl="5" w:tentative="0">
      <w:start w:val="1"/>
      <w:numFmt w:val="lowerRoman"/>
      <w:lvlText w:val="%6."/>
      <w:lvlJc w:val="right"/>
      <w:pPr>
        <w:tabs>
          <w:tab w:val="left" w:pos="0"/>
        </w:tabs>
        <w:ind w:left="2640" w:hanging="440"/>
      </w:pPr>
    </w:lvl>
    <w:lvl w:ilvl="6" w:tentative="0">
      <w:start w:val="1"/>
      <w:numFmt w:val="decimal"/>
      <w:lvlText w:val="%7."/>
      <w:lvlJc w:val="left"/>
      <w:pPr>
        <w:tabs>
          <w:tab w:val="left" w:pos="0"/>
        </w:tabs>
        <w:ind w:left="3080" w:hanging="440"/>
      </w:pPr>
    </w:lvl>
    <w:lvl w:ilvl="7" w:tentative="0">
      <w:start w:val="1"/>
      <w:numFmt w:val="lowerLetter"/>
      <w:lvlText w:val="%8)"/>
      <w:lvlJc w:val="left"/>
      <w:pPr>
        <w:tabs>
          <w:tab w:val="left" w:pos="0"/>
        </w:tabs>
        <w:ind w:left="3520" w:hanging="440"/>
      </w:pPr>
    </w:lvl>
    <w:lvl w:ilvl="8" w:tentative="0">
      <w:start w:val="1"/>
      <w:numFmt w:val="lowerRoman"/>
      <w:lvlText w:val="%9."/>
      <w:lvlJc w:val="right"/>
      <w:pPr>
        <w:tabs>
          <w:tab w:val="left" w:pos="0"/>
        </w:tabs>
        <w:ind w:left="3960" w:hanging="44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noPunctuationKerning w:val="1"/>
  <w:characterSpacingControl w:val="doNotCompress"/>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0MGM4NDE3YWFlMzA0MWViNTY0Yjg0OThlOTIyYjUifQ=="/>
  </w:docVars>
  <w:rsids>
    <w:rsidRoot w:val="00172A27"/>
    <w:rsid w:val="00004EC6"/>
    <w:rsid w:val="000076E2"/>
    <w:rsid w:val="00012676"/>
    <w:rsid w:val="00017A87"/>
    <w:rsid w:val="00032D2C"/>
    <w:rsid w:val="00035D72"/>
    <w:rsid w:val="0003640A"/>
    <w:rsid w:val="00040293"/>
    <w:rsid w:val="00042A5F"/>
    <w:rsid w:val="000502F6"/>
    <w:rsid w:val="00054236"/>
    <w:rsid w:val="00067158"/>
    <w:rsid w:val="000730B0"/>
    <w:rsid w:val="00080862"/>
    <w:rsid w:val="00084A41"/>
    <w:rsid w:val="00085C8A"/>
    <w:rsid w:val="000A2C1F"/>
    <w:rsid w:val="000A3856"/>
    <w:rsid w:val="000A39BD"/>
    <w:rsid w:val="000A6ED2"/>
    <w:rsid w:val="000D32DC"/>
    <w:rsid w:val="000E2E35"/>
    <w:rsid w:val="000F0D32"/>
    <w:rsid w:val="000F32B3"/>
    <w:rsid w:val="0010350C"/>
    <w:rsid w:val="00103EE7"/>
    <w:rsid w:val="001117E3"/>
    <w:rsid w:val="001124CE"/>
    <w:rsid w:val="0012329B"/>
    <w:rsid w:val="00124F26"/>
    <w:rsid w:val="00130D02"/>
    <w:rsid w:val="0015257F"/>
    <w:rsid w:val="00153517"/>
    <w:rsid w:val="00160082"/>
    <w:rsid w:val="00172A27"/>
    <w:rsid w:val="001810AD"/>
    <w:rsid w:val="001A1300"/>
    <w:rsid w:val="001B0888"/>
    <w:rsid w:val="001B2C32"/>
    <w:rsid w:val="001B2DA0"/>
    <w:rsid w:val="001B797F"/>
    <w:rsid w:val="001D5929"/>
    <w:rsid w:val="001E691D"/>
    <w:rsid w:val="001E750C"/>
    <w:rsid w:val="001F788D"/>
    <w:rsid w:val="0020171C"/>
    <w:rsid w:val="002045E1"/>
    <w:rsid w:val="0022058F"/>
    <w:rsid w:val="00220A6D"/>
    <w:rsid w:val="00224F5E"/>
    <w:rsid w:val="00230E38"/>
    <w:rsid w:val="002336EF"/>
    <w:rsid w:val="00242340"/>
    <w:rsid w:val="00247052"/>
    <w:rsid w:val="00264293"/>
    <w:rsid w:val="00276F75"/>
    <w:rsid w:val="002775A7"/>
    <w:rsid w:val="00285DAF"/>
    <w:rsid w:val="002872F2"/>
    <w:rsid w:val="00287417"/>
    <w:rsid w:val="0029028E"/>
    <w:rsid w:val="0029170D"/>
    <w:rsid w:val="00294212"/>
    <w:rsid w:val="002943A1"/>
    <w:rsid w:val="00294FEC"/>
    <w:rsid w:val="002A5115"/>
    <w:rsid w:val="002A5AF5"/>
    <w:rsid w:val="002A5E30"/>
    <w:rsid w:val="002A5F0C"/>
    <w:rsid w:val="002E30E2"/>
    <w:rsid w:val="002F03B4"/>
    <w:rsid w:val="00306A1B"/>
    <w:rsid w:val="00306FD5"/>
    <w:rsid w:val="003347B1"/>
    <w:rsid w:val="00360E28"/>
    <w:rsid w:val="00371FE4"/>
    <w:rsid w:val="00372E6A"/>
    <w:rsid w:val="00377A3B"/>
    <w:rsid w:val="00381180"/>
    <w:rsid w:val="00385D13"/>
    <w:rsid w:val="0038603D"/>
    <w:rsid w:val="00390B32"/>
    <w:rsid w:val="003C7142"/>
    <w:rsid w:val="003E0D67"/>
    <w:rsid w:val="003F2721"/>
    <w:rsid w:val="004019E5"/>
    <w:rsid w:val="00410F72"/>
    <w:rsid w:val="00425DF2"/>
    <w:rsid w:val="00431DC7"/>
    <w:rsid w:val="004411C8"/>
    <w:rsid w:val="00454164"/>
    <w:rsid w:val="00463837"/>
    <w:rsid w:val="004743D0"/>
    <w:rsid w:val="0048050F"/>
    <w:rsid w:val="00490476"/>
    <w:rsid w:val="004A042E"/>
    <w:rsid w:val="004A1F1B"/>
    <w:rsid w:val="004A7160"/>
    <w:rsid w:val="004D4206"/>
    <w:rsid w:val="004E5C83"/>
    <w:rsid w:val="004F34FD"/>
    <w:rsid w:val="0051704B"/>
    <w:rsid w:val="005237B7"/>
    <w:rsid w:val="00531269"/>
    <w:rsid w:val="0053244E"/>
    <w:rsid w:val="00557639"/>
    <w:rsid w:val="00565105"/>
    <w:rsid w:val="00567CB1"/>
    <w:rsid w:val="00572FDE"/>
    <w:rsid w:val="00595437"/>
    <w:rsid w:val="0059549E"/>
    <w:rsid w:val="00595556"/>
    <w:rsid w:val="00597E76"/>
    <w:rsid w:val="005A1200"/>
    <w:rsid w:val="005A65BF"/>
    <w:rsid w:val="005B2411"/>
    <w:rsid w:val="005B2778"/>
    <w:rsid w:val="005C2808"/>
    <w:rsid w:val="005F7B78"/>
    <w:rsid w:val="00630117"/>
    <w:rsid w:val="00632E09"/>
    <w:rsid w:val="00642EA8"/>
    <w:rsid w:val="0064347C"/>
    <w:rsid w:val="0065757F"/>
    <w:rsid w:val="00695E74"/>
    <w:rsid w:val="00697143"/>
    <w:rsid w:val="006A3EAF"/>
    <w:rsid w:val="006B7548"/>
    <w:rsid w:val="006C326B"/>
    <w:rsid w:val="006C67BB"/>
    <w:rsid w:val="006C72F2"/>
    <w:rsid w:val="006E72C9"/>
    <w:rsid w:val="00712253"/>
    <w:rsid w:val="00724A61"/>
    <w:rsid w:val="0073771D"/>
    <w:rsid w:val="0074243F"/>
    <w:rsid w:val="007475A9"/>
    <w:rsid w:val="0075347B"/>
    <w:rsid w:val="00763605"/>
    <w:rsid w:val="00780B2B"/>
    <w:rsid w:val="00781927"/>
    <w:rsid w:val="00784348"/>
    <w:rsid w:val="007848FB"/>
    <w:rsid w:val="00786C28"/>
    <w:rsid w:val="007C0566"/>
    <w:rsid w:val="007C161E"/>
    <w:rsid w:val="007C424B"/>
    <w:rsid w:val="007D517B"/>
    <w:rsid w:val="007F3B0B"/>
    <w:rsid w:val="00804071"/>
    <w:rsid w:val="00810DF5"/>
    <w:rsid w:val="008314B2"/>
    <w:rsid w:val="00855C04"/>
    <w:rsid w:val="00874205"/>
    <w:rsid w:val="00884671"/>
    <w:rsid w:val="00884D5D"/>
    <w:rsid w:val="008B780D"/>
    <w:rsid w:val="008C6682"/>
    <w:rsid w:val="008C6717"/>
    <w:rsid w:val="008D66A7"/>
    <w:rsid w:val="00904452"/>
    <w:rsid w:val="009442B6"/>
    <w:rsid w:val="009614E5"/>
    <w:rsid w:val="0096589D"/>
    <w:rsid w:val="0098791C"/>
    <w:rsid w:val="009946E1"/>
    <w:rsid w:val="009A431C"/>
    <w:rsid w:val="009D0660"/>
    <w:rsid w:val="009D6D56"/>
    <w:rsid w:val="009D7D98"/>
    <w:rsid w:val="009E12F0"/>
    <w:rsid w:val="009E4330"/>
    <w:rsid w:val="009F18FA"/>
    <w:rsid w:val="009F50E9"/>
    <w:rsid w:val="00A03DB6"/>
    <w:rsid w:val="00A07F85"/>
    <w:rsid w:val="00A22591"/>
    <w:rsid w:val="00A31945"/>
    <w:rsid w:val="00A3232C"/>
    <w:rsid w:val="00A3775A"/>
    <w:rsid w:val="00A42170"/>
    <w:rsid w:val="00A43810"/>
    <w:rsid w:val="00A455B2"/>
    <w:rsid w:val="00A51949"/>
    <w:rsid w:val="00A55BF9"/>
    <w:rsid w:val="00A5786F"/>
    <w:rsid w:val="00A77B63"/>
    <w:rsid w:val="00A82BD8"/>
    <w:rsid w:val="00A860BD"/>
    <w:rsid w:val="00A936EE"/>
    <w:rsid w:val="00AA3ABD"/>
    <w:rsid w:val="00AB761C"/>
    <w:rsid w:val="00AC6A45"/>
    <w:rsid w:val="00AD0B48"/>
    <w:rsid w:val="00B06738"/>
    <w:rsid w:val="00B12A78"/>
    <w:rsid w:val="00B1440C"/>
    <w:rsid w:val="00B16268"/>
    <w:rsid w:val="00B40695"/>
    <w:rsid w:val="00B6340C"/>
    <w:rsid w:val="00B67F09"/>
    <w:rsid w:val="00B704B3"/>
    <w:rsid w:val="00B75B82"/>
    <w:rsid w:val="00B76AB4"/>
    <w:rsid w:val="00B95155"/>
    <w:rsid w:val="00B976A8"/>
    <w:rsid w:val="00BE07F7"/>
    <w:rsid w:val="00BE3341"/>
    <w:rsid w:val="00BE4286"/>
    <w:rsid w:val="00BE5C02"/>
    <w:rsid w:val="00BE6282"/>
    <w:rsid w:val="00BE7C66"/>
    <w:rsid w:val="00BF42E6"/>
    <w:rsid w:val="00BF4C64"/>
    <w:rsid w:val="00C017A6"/>
    <w:rsid w:val="00C225F2"/>
    <w:rsid w:val="00C44C1D"/>
    <w:rsid w:val="00C54D49"/>
    <w:rsid w:val="00C7231C"/>
    <w:rsid w:val="00C85954"/>
    <w:rsid w:val="00C91DA7"/>
    <w:rsid w:val="00C974EE"/>
    <w:rsid w:val="00CA5F2C"/>
    <w:rsid w:val="00CB5E4C"/>
    <w:rsid w:val="00CD65D1"/>
    <w:rsid w:val="00CE0554"/>
    <w:rsid w:val="00CE114E"/>
    <w:rsid w:val="00CE6856"/>
    <w:rsid w:val="00CE69A5"/>
    <w:rsid w:val="00D06FCE"/>
    <w:rsid w:val="00D1450B"/>
    <w:rsid w:val="00D14605"/>
    <w:rsid w:val="00D149C6"/>
    <w:rsid w:val="00D17D22"/>
    <w:rsid w:val="00D353C2"/>
    <w:rsid w:val="00D4045C"/>
    <w:rsid w:val="00D731DB"/>
    <w:rsid w:val="00D7770B"/>
    <w:rsid w:val="00D77B1D"/>
    <w:rsid w:val="00DB27E9"/>
    <w:rsid w:val="00DB58E7"/>
    <w:rsid w:val="00DC0BF6"/>
    <w:rsid w:val="00DC3E9D"/>
    <w:rsid w:val="00DD1D21"/>
    <w:rsid w:val="00DD64E2"/>
    <w:rsid w:val="00DE4EE0"/>
    <w:rsid w:val="00DE74CF"/>
    <w:rsid w:val="00DF31E6"/>
    <w:rsid w:val="00E2063B"/>
    <w:rsid w:val="00E20EED"/>
    <w:rsid w:val="00E363FF"/>
    <w:rsid w:val="00E43543"/>
    <w:rsid w:val="00E47D3F"/>
    <w:rsid w:val="00E506CE"/>
    <w:rsid w:val="00E67F95"/>
    <w:rsid w:val="00E7028A"/>
    <w:rsid w:val="00E90539"/>
    <w:rsid w:val="00EA3A65"/>
    <w:rsid w:val="00EB07DB"/>
    <w:rsid w:val="00EB2259"/>
    <w:rsid w:val="00EC334D"/>
    <w:rsid w:val="00EE1209"/>
    <w:rsid w:val="00EE77AA"/>
    <w:rsid w:val="00F0161B"/>
    <w:rsid w:val="00F05D23"/>
    <w:rsid w:val="00F12FC5"/>
    <w:rsid w:val="00F43218"/>
    <w:rsid w:val="00F57C0F"/>
    <w:rsid w:val="00F74A47"/>
    <w:rsid w:val="00F7587D"/>
    <w:rsid w:val="00F86349"/>
    <w:rsid w:val="00F86736"/>
    <w:rsid w:val="00F93CE6"/>
    <w:rsid w:val="00FA2867"/>
    <w:rsid w:val="00FA2D29"/>
    <w:rsid w:val="00FA3C5E"/>
    <w:rsid w:val="00FA594C"/>
    <w:rsid w:val="00FB7750"/>
    <w:rsid w:val="00FC548A"/>
    <w:rsid w:val="00FD0612"/>
    <w:rsid w:val="00FD3218"/>
    <w:rsid w:val="00FE4CB9"/>
    <w:rsid w:val="010827C0"/>
    <w:rsid w:val="01601A9F"/>
    <w:rsid w:val="01F1594A"/>
    <w:rsid w:val="02221A72"/>
    <w:rsid w:val="0293255D"/>
    <w:rsid w:val="02F4124E"/>
    <w:rsid w:val="040A1022"/>
    <w:rsid w:val="06E25862"/>
    <w:rsid w:val="076B3AA9"/>
    <w:rsid w:val="076D05BF"/>
    <w:rsid w:val="07B94814"/>
    <w:rsid w:val="07FFF28D"/>
    <w:rsid w:val="08123F24"/>
    <w:rsid w:val="088378AE"/>
    <w:rsid w:val="0962032B"/>
    <w:rsid w:val="0A0124A3"/>
    <w:rsid w:val="0A851326"/>
    <w:rsid w:val="0B28689C"/>
    <w:rsid w:val="0DF20A80"/>
    <w:rsid w:val="0E2F5830"/>
    <w:rsid w:val="0F1113DA"/>
    <w:rsid w:val="0FEEB8EA"/>
    <w:rsid w:val="0FFB6BAB"/>
    <w:rsid w:val="10030D22"/>
    <w:rsid w:val="11967974"/>
    <w:rsid w:val="124C4BB1"/>
    <w:rsid w:val="127E28E2"/>
    <w:rsid w:val="14221B9E"/>
    <w:rsid w:val="143E25AD"/>
    <w:rsid w:val="175B7696"/>
    <w:rsid w:val="17CD755D"/>
    <w:rsid w:val="17E25E6B"/>
    <w:rsid w:val="18E670DD"/>
    <w:rsid w:val="1901601B"/>
    <w:rsid w:val="19031D93"/>
    <w:rsid w:val="1AFD0AFB"/>
    <w:rsid w:val="1CFB3886"/>
    <w:rsid w:val="1D3C15A1"/>
    <w:rsid w:val="1DAF4007"/>
    <w:rsid w:val="1DFB572F"/>
    <w:rsid w:val="1EFA2E2F"/>
    <w:rsid w:val="1FFFBE08"/>
    <w:rsid w:val="202A582F"/>
    <w:rsid w:val="20834165"/>
    <w:rsid w:val="20A83220"/>
    <w:rsid w:val="22462CF1"/>
    <w:rsid w:val="228D0920"/>
    <w:rsid w:val="22A75E85"/>
    <w:rsid w:val="246546DE"/>
    <w:rsid w:val="26105AEF"/>
    <w:rsid w:val="272A717C"/>
    <w:rsid w:val="28D1784F"/>
    <w:rsid w:val="2939710B"/>
    <w:rsid w:val="296E64EA"/>
    <w:rsid w:val="29A416A9"/>
    <w:rsid w:val="29AA1D11"/>
    <w:rsid w:val="29B54ADF"/>
    <w:rsid w:val="29DC2F9A"/>
    <w:rsid w:val="2B163BA8"/>
    <w:rsid w:val="2BA411B4"/>
    <w:rsid w:val="2C2E3173"/>
    <w:rsid w:val="2D173C07"/>
    <w:rsid w:val="2D597D7C"/>
    <w:rsid w:val="2D8172D3"/>
    <w:rsid w:val="2E2E1209"/>
    <w:rsid w:val="2FF6BE89"/>
    <w:rsid w:val="2FFBA969"/>
    <w:rsid w:val="30074949"/>
    <w:rsid w:val="31172428"/>
    <w:rsid w:val="3291620A"/>
    <w:rsid w:val="32A974A8"/>
    <w:rsid w:val="342B5206"/>
    <w:rsid w:val="34D128EE"/>
    <w:rsid w:val="35802667"/>
    <w:rsid w:val="361B02C4"/>
    <w:rsid w:val="369B31B3"/>
    <w:rsid w:val="36C20CCA"/>
    <w:rsid w:val="37651C09"/>
    <w:rsid w:val="37EE996F"/>
    <w:rsid w:val="3AED3104"/>
    <w:rsid w:val="3B475B58"/>
    <w:rsid w:val="3BEF0D16"/>
    <w:rsid w:val="3C146C83"/>
    <w:rsid w:val="3C2039E1"/>
    <w:rsid w:val="3C925059"/>
    <w:rsid w:val="3CA76B15"/>
    <w:rsid w:val="3CC93972"/>
    <w:rsid w:val="3EF79750"/>
    <w:rsid w:val="3FBF7492"/>
    <w:rsid w:val="3FD41F73"/>
    <w:rsid w:val="41364E66"/>
    <w:rsid w:val="41EC3DB8"/>
    <w:rsid w:val="4234247E"/>
    <w:rsid w:val="45196317"/>
    <w:rsid w:val="462F23B5"/>
    <w:rsid w:val="471A1ED2"/>
    <w:rsid w:val="475E7F4C"/>
    <w:rsid w:val="476475F1"/>
    <w:rsid w:val="499E503D"/>
    <w:rsid w:val="4AC27C27"/>
    <w:rsid w:val="4B274299"/>
    <w:rsid w:val="4B77447C"/>
    <w:rsid w:val="4B7BC582"/>
    <w:rsid w:val="4B7D5955"/>
    <w:rsid w:val="4C4A69A1"/>
    <w:rsid w:val="4CAA019C"/>
    <w:rsid w:val="4CBD3A2C"/>
    <w:rsid w:val="4D3B2BA3"/>
    <w:rsid w:val="4F5A276F"/>
    <w:rsid w:val="500E459E"/>
    <w:rsid w:val="505B3CC4"/>
    <w:rsid w:val="509A0549"/>
    <w:rsid w:val="5151508A"/>
    <w:rsid w:val="51D04201"/>
    <w:rsid w:val="5322158D"/>
    <w:rsid w:val="53AA7D4D"/>
    <w:rsid w:val="54E104D3"/>
    <w:rsid w:val="557FF4D7"/>
    <w:rsid w:val="56FC096E"/>
    <w:rsid w:val="5748500B"/>
    <w:rsid w:val="593E7CA2"/>
    <w:rsid w:val="59C21256"/>
    <w:rsid w:val="5ADB1728"/>
    <w:rsid w:val="5B7E6A7C"/>
    <w:rsid w:val="5BB31980"/>
    <w:rsid w:val="5BF46988"/>
    <w:rsid w:val="5C234F9F"/>
    <w:rsid w:val="5CFFC8F1"/>
    <w:rsid w:val="5D192F00"/>
    <w:rsid w:val="5DFF488A"/>
    <w:rsid w:val="5ED25676"/>
    <w:rsid w:val="5EDF1BA2"/>
    <w:rsid w:val="5EEFB0FC"/>
    <w:rsid w:val="5F0279C4"/>
    <w:rsid w:val="5F3412A6"/>
    <w:rsid w:val="5F4967D3"/>
    <w:rsid w:val="5F7F29F8"/>
    <w:rsid w:val="5FA171DD"/>
    <w:rsid w:val="5FFFDE48"/>
    <w:rsid w:val="60F8107F"/>
    <w:rsid w:val="62C61D76"/>
    <w:rsid w:val="675F7EF9"/>
    <w:rsid w:val="67761A2F"/>
    <w:rsid w:val="67C31C6F"/>
    <w:rsid w:val="67DFA6B4"/>
    <w:rsid w:val="69A5026F"/>
    <w:rsid w:val="69FB7B39"/>
    <w:rsid w:val="6B1062D4"/>
    <w:rsid w:val="6B4A24D7"/>
    <w:rsid w:val="6B71D454"/>
    <w:rsid w:val="6B9BBB1C"/>
    <w:rsid w:val="6CEBE3B0"/>
    <w:rsid w:val="6D0B213A"/>
    <w:rsid w:val="6D7ED316"/>
    <w:rsid w:val="6DD662A4"/>
    <w:rsid w:val="6F6205A6"/>
    <w:rsid w:val="71536D6E"/>
    <w:rsid w:val="71A30482"/>
    <w:rsid w:val="72B2225A"/>
    <w:rsid w:val="73E57241"/>
    <w:rsid w:val="74F7D01F"/>
    <w:rsid w:val="75F796E4"/>
    <w:rsid w:val="764B0FA6"/>
    <w:rsid w:val="768A0573"/>
    <w:rsid w:val="76C722A4"/>
    <w:rsid w:val="76D369EC"/>
    <w:rsid w:val="76FF29B6"/>
    <w:rsid w:val="76FF78AC"/>
    <w:rsid w:val="77EF38F4"/>
    <w:rsid w:val="78AC657F"/>
    <w:rsid w:val="78B36053"/>
    <w:rsid w:val="78C613DE"/>
    <w:rsid w:val="78FC1CD9"/>
    <w:rsid w:val="79774A03"/>
    <w:rsid w:val="79CF47DE"/>
    <w:rsid w:val="79FC50C0"/>
    <w:rsid w:val="7AE53FCA"/>
    <w:rsid w:val="7BAB8C23"/>
    <w:rsid w:val="7BD6BB8C"/>
    <w:rsid w:val="7BD70589"/>
    <w:rsid w:val="7BE65E00"/>
    <w:rsid w:val="7BE78727"/>
    <w:rsid w:val="7C4C2943"/>
    <w:rsid w:val="7D1F2787"/>
    <w:rsid w:val="7D45E3F9"/>
    <w:rsid w:val="7D654C8A"/>
    <w:rsid w:val="7DBFEC24"/>
    <w:rsid w:val="7DDDC3E6"/>
    <w:rsid w:val="7DF78017"/>
    <w:rsid w:val="7F54751B"/>
    <w:rsid w:val="7FABC4DC"/>
    <w:rsid w:val="7FB797DD"/>
    <w:rsid w:val="7FEA22B7"/>
    <w:rsid w:val="7FF71849"/>
    <w:rsid w:val="7FFF6902"/>
    <w:rsid w:val="7FFFF544"/>
    <w:rsid w:val="974B72DB"/>
    <w:rsid w:val="97F3CC19"/>
    <w:rsid w:val="97FECF02"/>
    <w:rsid w:val="99DF2E7B"/>
    <w:rsid w:val="9DDDE33C"/>
    <w:rsid w:val="9DF164FB"/>
    <w:rsid w:val="A7FDBCB3"/>
    <w:rsid w:val="ADFF5B66"/>
    <w:rsid w:val="AFFB2DD3"/>
    <w:rsid w:val="B1FF2779"/>
    <w:rsid w:val="B371B62A"/>
    <w:rsid w:val="BAB7CAAF"/>
    <w:rsid w:val="BBEE5373"/>
    <w:rsid w:val="BBF76EE2"/>
    <w:rsid w:val="BC3F9408"/>
    <w:rsid w:val="BD7FF8B0"/>
    <w:rsid w:val="BDBC22BD"/>
    <w:rsid w:val="BDFF5D6F"/>
    <w:rsid w:val="BED2A6B4"/>
    <w:rsid w:val="BEFBDC10"/>
    <w:rsid w:val="BF7726ED"/>
    <w:rsid w:val="BFCEF94A"/>
    <w:rsid w:val="C76E26AD"/>
    <w:rsid w:val="C7B4209E"/>
    <w:rsid w:val="C7FF260F"/>
    <w:rsid w:val="CF3F9E17"/>
    <w:rsid w:val="CFBBCCB6"/>
    <w:rsid w:val="D6EFF5C2"/>
    <w:rsid w:val="DDDD2B93"/>
    <w:rsid w:val="DF737B2D"/>
    <w:rsid w:val="DFBF18BE"/>
    <w:rsid w:val="DFE7FADD"/>
    <w:rsid w:val="E5AFBC3C"/>
    <w:rsid w:val="E7FA4014"/>
    <w:rsid w:val="E9F788BF"/>
    <w:rsid w:val="EBE22442"/>
    <w:rsid w:val="EBFF9BED"/>
    <w:rsid w:val="EEF9E1CB"/>
    <w:rsid w:val="EFA9FF11"/>
    <w:rsid w:val="EFFF7161"/>
    <w:rsid w:val="F17F8017"/>
    <w:rsid w:val="F3BFCE44"/>
    <w:rsid w:val="F5F7098A"/>
    <w:rsid w:val="F76F9700"/>
    <w:rsid w:val="F7F50CFD"/>
    <w:rsid w:val="F87CF52E"/>
    <w:rsid w:val="FB9D1A8C"/>
    <w:rsid w:val="FBF7C79B"/>
    <w:rsid w:val="FBFFCD75"/>
    <w:rsid w:val="FC3F59B2"/>
    <w:rsid w:val="FCBF27B8"/>
    <w:rsid w:val="FD64D8C9"/>
    <w:rsid w:val="FD7FFDBE"/>
    <w:rsid w:val="FDB7D8C2"/>
    <w:rsid w:val="FDEF9310"/>
    <w:rsid w:val="FDFFB058"/>
    <w:rsid w:val="FEB7A281"/>
    <w:rsid w:val="FEF7FECF"/>
    <w:rsid w:val="FF6F355B"/>
    <w:rsid w:val="FFAA953D"/>
    <w:rsid w:val="FFBDF020"/>
    <w:rsid w:val="FFDF9DA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qFormat="1" w:unhideWhenUsed="0" w:uiPriority="0" w:name="HTML Code"/>
    <w:lsdException w:uiPriority="99" w:name="HTML Definition"/>
    <w:lsdException w:uiPriority="99" w:name="HTML Keyboard"/>
    <w:lsdException w:qFormat="1" w:unhideWhenUsed="0" w:uiPriority="0"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Arial Unicode MS" w:hAnsi="Arial Unicode MS" w:eastAsia="Arial Unicode MS" w:cs="Times New Roman"/>
      <w:color w:val="000000"/>
      <w:kern w:val="2"/>
      <w:sz w:val="21"/>
      <w:szCs w:val="21"/>
      <w:lang w:val="en-US" w:eastAsia="zh-CN" w:bidi="ar-SA"/>
    </w:rPr>
  </w:style>
  <w:style w:type="paragraph" w:styleId="2">
    <w:name w:val="heading 1"/>
    <w:basedOn w:val="1"/>
    <w:next w:val="1"/>
    <w:link w:val="29"/>
    <w:qFormat/>
    <w:uiPriority w:val="9"/>
    <w:pPr>
      <w:keepNext/>
      <w:keepLines/>
      <w:spacing w:before="340" w:after="330" w:line="578" w:lineRule="auto"/>
      <w:outlineLvl w:val="0"/>
    </w:pPr>
    <w:rPr>
      <w:rFonts w:ascii="Calibri" w:hAnsi="Calibri" w:eastAsia="宋体"/>
      <w:b/>
      <w:bCs/>
      <w:kern w:val="44"/>
      <w:sz w:val="44"/>
      <w:szCs w:val="44"/>
    </w:rPr>
  </w:style>
  <w:style w:type="paragraph" w:styleId="3">
    <w:name w:val="heading 2"/>
    <w:basedOn w:val="1"/>
    <w:next w:val="1"/>
    <w:link w:val="30"/>
    <w:qFormat/>
    <w:uiPriority w:val="9"/>
    <w:pPr>
      <w:keepNext/>
      <w:keepLines/>
      <w:spacing w:before="260" w:after="260" w:line="416" w:lineRule="auto"/>
      <w:outlineLvl w:val="1"/>
    </w:pPr>
    <w:rPr>
      <w:rFonts w:ascii="Cambria" w:hAnsi="Cambria" w:eastAsia="宋体"/>
      <w:b/>
      <w:bCs/>
      <w:sz w:val="32"/>
      <w:szCs w:val="32"/>
    </w:rPr>
  </w:style>
  <w:style w:type="paragraph" w:styleId="4">
    <w:name w:val="heading 3"/>
    <w:basedOn w:val="1"/>
    <w:next w:val="1"/>
    <w:link w:val="31"/>
    <w:qFormat/>
    <w:uiPriority w:val="9"/>
    <w:pPr>
      <w:keepNext/>
      <w:keepLines/>
      <w:spacing w:before="260" w:after="260" w:line="416" w:lineRule="auto"/>
      <w:outlineLvl w:val="2"/>
    </w:pPr>
    <w:rPr>
      <w:rFonts w:ascii="Calibri" w:hAnsi="Calibri" w:eastAsia="宋体"/>
      <w:b/>
      <w:bCs/>
      <w:sz w:val="32"/>
      <w:szCs w:val="32"/>
    </w:rPr>
  </w:style>
  <w:style w:type="paragraph" w:styleId="5">
    <w:name w:val="heading 4"/>
    <w:basedOn w:val="1"/>
    <w:next w:val="1"/>
    <w:link w:val="32"/>
    <w:qFormat/>
    <w:uiPriority w:val="9"/>
    <w:pPr>
      <w:keepNext/>
      <w:keepLines/>
      <w:spacing w:before="280" w:after="290" w:line="376" w:lineRule="auto"/>
      <w:outlineLvl w:val="3"/>
    </w:pPr>
    <w:rPr>
      <w:rFonts w:ascii="Helvetica Neue" w:hAnsi="Helvetica Neue" w:eastAsia="黑体"/>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link w:val="33"/>
    <w:qFormat/>
    <w:uiPriority w:val="0"/>
    <w:pPr>
      <w:ind w:firstLine="420"/>
    </w:pPr>
    <w:rPr>
      <w:rFonts w:hint="default" w:ascii="Calibri" w:hAnsi="Calibri" w:eastAsia="宋体"/>
      <w:color w:val="auto"/>
      <w:szCs w:val="20"/>
    </w:rPr>
  </w:style>
  <w:style w:type="paragraph" w:styleId="7">
    <w:name w:val="annotation text"/>
    <w:basedOn w:val="1"/>
    <w:link w:val="34"/>
    <w:qFormat/>
    <w:uiPriority w:val="0"/>
    <w:pPr>
      <w:jc w:val="left"/>
    </w:pPr>
    <w:rPr>
      <w:rFonts w:ascii="Helvetica Neue" w:hAnsi="Helvetica Neue" w:eastAsia="宋体"/>
      <w:szCs w:val="22"/>
    </w:rPr>
  </w:style>
  <w:style w:type="paragraph" w:styleId="8">
    <w:name w:val="Body Text"/>
    <w:basedOn w:val="1"/>
    <w:link w:val="35"/>
    <w:unhideWhenUsed/>
    <w:qFormat/>
    <w:uiPriority w:val="99"/>
    <w:pPr>
      <w:spacing w:after="120"/>
    </w:pPr>
  </w:style>
  <w:style w:type="paragraph" w:styleId="9">
    <w:name w:val="Body Text Indent"/>
    <w:basedOn w:val="1"/>
    <w:link w:val="28"/>
    <w:qFormat/>
    <w:uiPriority w:val="0"/>
    <w:pPr>
      <w:spacing w:after="120"/>
      <w:ind w:left="200" w:leftChars="200"/>
    </w:pPr>
    <w:rPr>
      <w:rFonts w:ascii="Times New Roman" w:hAnsi="Times New Roman" w:eastAsia="Times New Roman"/>
      <w:szCs w:val="24"/>
    </w:rPr>
  </w:style>
  <w:style w:type="paragraph" w:styleId="10">
    <w:name w:val="Plain Text"/>
    <w:basedOn w:val="1"/>
    <w:link w:val="36"/>
    <w:qFormat/>
    <w:uiPriority w:val="0"/>
    <w:pPr>
      <w:widowControl/>
      <w:spacing w:after="120" w:line="360" w:lineRule="auto"/>
    </w:pPr>
    <w:rPr>
      <w:rFonts w:hint="default" w:ascii="宋体" w:hAnsi="宋体" w:eastAsia="宋体"/>
      <w:color w:val="auto"/>
      <w:kern w:val="0"/>
      <w:sz w:val="24"/>
      <w:szCs w:val="24"/>
    </w:rPr>
  </w:style>
  <w:style w:type="paragraph" w:styleId="11">
    <w:name w:val="Date"/>
    <w:basedOn w:val="1"/>
    <w:next w:val="1"/>
    <w:qFormat/>
    <w:uiPriority w:val="0"/>
    <w:pPr>
      <w:ind w:left="2500" w:leftChars="2500"/>
    </w:pPr>
    <w:rPr>
      <w:rFonts w:ascii="Times New Roman" w:hAnsi="Times New Roman" w:eastAsia="宋体"/>
      <w:szCs w:val="20"/>
    </w:rPr>
  </w:style>
  <w:style w:type="paragraph" w:styleId="12">
    <w:name w:val="Balloon Text"/>
    <w:basedOn w:val="1"/>
    <w:link w:val="37"/>
    <w:semiHidden/>
    <w:qFormat/>
    <w:uiPriority w:val="0"/>
    <w:rPr>
      <w:sz w:val="18"/>
      <w:szCs w:val="18"/>
    </w:rPr>
  </w:style>
  <w:style w:type="paragraph" w:styleId="13">
    <w:name w:val="footer"/>
    <w:link w:val="38"/>
    <w:qFormat/>
    <w:uiPriority w:val="0"/>
    <w:pPr>
      <w:widowControl w:val="0"/>
      <w:tabs>
        <w:tab w:val="center" w:pos="4153"/>
        <w:tab w:val="right" w:pos="8306"/>
      </w:tabs>
    </w:pPr>
    <w:rPr>
      <w:rFonts w:ascii="Times New Roman" w:hAnsi="Times New Roman" w:eastAsia="Arial Unicode MS" w:cs="Times New Roman"/>
      <w:color w:val="000000"/>
      <w:kern w:val="2"/>
      <w:sz w:val="18"/>
      <w:szCs w:val="18"/>
      <w:lang w:val="en-US" w:eastAsia="zh-CN" w:bidi="ar-SA"/>
    </w:rPr>
  </w:style>
  <w:style w:type="paragraph" w:styleId="14">
    <w:name w:val="header"/>
    <w:basedOn w:val="1"/>
    <w:link w:val="39"/>
    <w:qFormat/>
    <w:uiPriority w:val="0"/>
    <w:pPr>
      <w:pBdr>
        <w:bottom w:val="single" w:color="auto" w:sz="6" w:space="1"/>
      </w:pBdr>
      <w:tabs>
        <w:tab w:val="center" w:pos="4153"/>
        <w:tab w:val="right" w:pos="8306"/>
      </w:tabs>
      <w:snapToGrid w:val="0"/>
      <w:jc w:val="center"/>
    </w:pPr>
    <w:rPr>
      <w:sz w:val="18"/>
      <w:szCs w:val="18"/>
    </w:rPr>
  </w:style>
  <w:style w:type="paragraph" w:styleId="15">
    <w:name w:val="Body Text 2"/>
    <w:basedOn w:val="1"/>
    <w:link w:val="40"/>
    <w:qFormat/>
    <w:uiPriority w:val="0"/>
    <w:pPr>
      <w:spacing w:after="120" w:line="480" w:lineRule="auto"/>
    </w:pPr>
  </w:style>
  <w:style w:type="paragraph" w:styleId="16">
    <w:name w:val="HTML Preformatted"/>
    <w:basedOn w:val="1"/>
    <w:link w:val="41"/>
    <w:semiHidden/>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kern w:val="0"/>
      <w:sz w:val="24"/>
      <w:szCs w:val="24"/>
    </w:rPr>
  </w:style>
  <w:style w:type="paragraph" w:styleId="17">
    <w:name w:val="Normal (Web)"/>
    <w:basedOn w:val="1"/>
    <w:qFormat/>
    <w:uiPriority w:val="99"/>
    <w:pPr>
      <w:widowControl/>
      <w:spacing w:before="100" w:beforeAutospacing="1" w:after="100" w:afterAutospacing="1"/>
      <w:jc w:val="left"/>
    </w:pPr>
    <w:rPr>
      <w:rFonts w:ascii="宋体" w:hAnsi="宋体" w:eastAsia="宋体"/>
      <w:kern w:val="0"/>
      <w:sz w:val="24"/>
      <w:szCs w:val="24"/>
    </w:rPr>
  </w:style>
  <w:style w:type="paragraph" w:styleId="18">
    <w:name w:val="Title"/>
    <w:basedOn w:val="1"/>
    <w:link w:val="42"/>
    <w:qFormat/>
    <w:uiPriority w:val="10"/>
    <w:pPr>
      <w:spacing w:before="240" w:after="60"/>
      <w:jc w:val="center"/>
      <w:outlineLvl w:val="0"/>
    </w:pPr>
    <w:rPr>
      <w:rFonts w:ascii="Helvetica Neue" w:hAnsi="Helvetica Neue" w:eastAsia="宋体"/>
      <w:b/>
      <w:bCs/>
      <w:sz w:val="32"/>
      <w:szCs w:val="32"/>
    </w:rPr>
  </w:style>
  <w:style w:type="paragraph" w:styleId="19">
    <w:name w:val="annotation subject"/>
    <w:basedOn w:val="7"/>
    <w:next w:val="7"/>
    <w:link w:val="43"/>
    <w:semiHidden/>
    <w:qFormat/>
    <w:uiPriority w:val="0"/>
    <w:rPr>
      <w:rFonts w:ascii="Arial Unicode MS" w:hAnsi="Arial Unicode MS" w:eastAsia="Arial Unicode MS"/>
      <w:b/>
      <w:bCs/>
      <w:szCs w:val="21"/>
    </w:rPr>
  </w:style>
  <w:style w:type="paragraph" w:styleId="20">
    <w:name w:val="Body Text First Indent 2"/>
    <w:basedOn w:val="9"/>
    <w:unhideWhenUsed/>
    <w:qFormat/>
    <w:uiPriority w:val="99"/>
    <w:pPr>
      <w:ind w:firstLine="420" w:firstLineChars="200"/>
    </w:p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22"/>
    <w:rPr>
      <w:b/>
      <w:bCs/>
    </w:rPr>
  </w:style>
  <w:style w:type="character" w:styleId="25">
    <w:name w:val="Hyperlink"/>
    <w:qFormat/>
    <w:uiPriority w:val="0"/>
    <w:rPr>
      <w:u w:val="single"/>
    </w:rPr>
  </w:style>
  <w:style w:type="character" w:styleId="26">
    <w:name w:val="HTML Code"/>
    <w:semiHidden/>
    <w:qFormat/>
    <w:uiPriority w:val="0"/>
    <w:rPr>
      <w:rFonts w:ascii="宋体" w:hAnsi="宋体" w:eastAsia="宋体"/>
      <w:sz w:val="24"/>
      <w:szCs w:val="24"/>
    </w:rPr>
  </w:style>
  <w:style w:type="character" w:styleId="27">
    <w:name w:val="annotation reference"/>
    <w:semiHidden/>
    <w:qFormat/>
    <w:uiPriority w:val="0"/>
    <w:rPr>
      <w:sz w:val="21"/>
      <w:szCs w:val="21"/>
    </w:rPr>
  </w:style>
  <w:style w:type="character" w:customStyle="1" w:styleId="28">
    <w:name w:val="正文文本缩进 Char"/>
    <w:link w:val="9"/>
    <w:qFormat/>
    <w:uiPriority w:val="0"/>
    <w:rPr>
      <w:rFonts w:eastAsia="Times New Roman"/>
      <w:kern w:val="2"/>
      <w:sz w:val="21"/>
      <w:szCs w:val="24"/>
    </w:rPr>
  </w:style>
  <w:style w:type="character" w:customStyle="1" w:styleId="29">
    <w:name w:val="标题 1 Char"/>
    <w:link w:val="2"/>
    <w:qFormat/>
    <w:uiPriority w:val="0"/>
    <w:rPr>
      <w:rFonts w:ascii="Calibri" w:hAnsi="Calibri" w:eastAsia="宋体"/>
      <w:b/>
      <w:bCs/>
      <w:kern w:val="44"/>
      <w:sz w:val="44"/>
      <w:szCs w:val="44"/>
    </w:rPr>
  </w:style>
  <w:style w:type="character" w:customStyle="1" w:styleId="30">
    <w:name w:val="标题 2 Char"/>
    <w:link w:val="3"/>
    <w:qFormat/>
    <w:uiPriority w:val="0"/>
    <w:rPr>
      <w:rFonts w:ascii="Cambria" w:hAnsi="Cambria" w:eastAsia="宋体"/>
      <w:b/>
      <w:bCs/>
      <w:kern w:val="2"/>
      <w:sz w:val="32"/>
      <w:szCs w:val="32"/>
    </w:rPr>
  </w:style>
  <w:style w:type="character" w:customStyle="1" w:styleId="31">
    <w:name w:val="标题 3 Char"/>
    <w:link w:val="4"/>
    <w:qFormat/>
    <w:uiPriority w:val="0"/>
    <w:rPr>
      <w:rFonts w:ascii="Calibri" w:hAnsi="Calibri" w:eastAsia="宋体"/>
      <w:b/>
      <w:bCs/>
      <w:kern w:val="2"/>
      <w:sz w:val="32"/>
      <w:szCs w:val="32"/>
    </w:rPr>
  </w:style>
  <w:style w:type="character" w:customStyle="1" w:styleId="32">
    <w:name w:val="标题 4 Char"/>
    <w:link w:val="5"/>
    <w:qFormat/>
    <w:uiPriority w:val="0"/>
    <w:rPr>
      <w:rFonts w:ascii="Helvetica Neue" w:hAnsi="Helvetica Neue" w:eastAsia="黑体"/>
      <w:b/>
      <w:bCs/>
      <w:kern w:val="2"/>
      <w:sz w:val="28"/>
      <w:szCs w:val="28"/>
    </w:rPr>
  </w:style>
  <w:style w:type="character" w:customStyle="1" w:styleId="33">
    <w:name w:val="正文缩进 Char"/>
    <w:link w:val="6"/>
    <w:qFormat/>
    <w:uiPriority w:val="0"/>
    <w:rPr>
      <w:rFonts w:ascii="Calibri" w:hAnsi="Calibri"/>
      <w:kern w:val="2"/>
      <w:sz w:val="21"/>
    </w:rPr>
  </w:style>
  <w:style w:type="character" w:customStyle="1" w:styleId="34">
    <w:name w:val="批注文字 Char"/>
    <w:link w:val="7"/>
    <w:qFormat/>
    <w:uiPriority w:val="0"/>
    <w:rPr>
      <w:rFonts w:ascii="Helvetica Neue" w:hAnsi="Helvetica Neue"/>
      <w:kern w:val="2"/>
      <w:sz w:val="21"/>
      <w:szCs w:val="22"/>
    </w:rPr>
  </w:style>
  <w:style w:type="character" w:customStyle="1" w:styleId="35">
    <w:name w:val="正文文本 Char"/>
    <w:link w:val="8"/>
    <w:semiHidden/>
    <w:qFormat/>
    <w:uiPriority w:val="99"/>
    <w:rPr>
      <w:rFonts w:ascii="Arial Unicode MS" w:hAnsi="Arial Unicode MS" w:eastAsia="Arial Unicode MS"/>
      <w:color w:val="000000"/>
      <w:kern w:val="2"/>
      <w:sz w:val="21"/>
      <w:szCs w:val="21"/>
    </w:rPr>
  </w:style>
  <w:style w:type="character" w:customStyle="1" w:styleId="36">
    <w:name w:val="纯文本 Char"/>
    <w:link w:val="10"/>
    <w:qFormat/>
    <w:uiPriority w:val="0"/>
    <w:rPr>
      <w:rFonts w:ascii="宋体" w:hAnsi="宋体"/>
      <w:sz w:val="24"/>
      <w:szCs w:val="24"/>
    </w:rPr>
  </w:style>
  <w:style w:type="character" w:customStyle="1" w:styleId="37">
    <w:name w:val="批注框文本 Char"/>
    <w:link w:val="12"/>
    <w:semiHidden/>
    <w:qFormat/>
    <w:uiPriority w:val="0"/>
    <w:rPr>
      <w:rFonts w:ascii="Arial Unicode MS" w:hAnsi="Arial Unicode MS" w:eastAsia="Arial Unicode MS"/>
      <w:color w:val="000000"/>
      <w:kern w:val="2"/>
      <w:sz w:val="18"/>
      <w:szCs w:val="18"/>
    </w:rPr>
  </w:style>
  <w:style w:type="character" w:customStyle="1" w:styleId="38">
    <w:name w:val="页脚 Char"/>
    <w:link w:val="13"/>
    <w:qFormat/>
    <w:uiPriority w:val="0"/>
    <w:rPr>
      <w:rFonts w:eastAsia="Arial Unicode MS"/>
      <w:color w:val="000000"/>
      <w:kern w:val="2"/>
      <w:sz w:val="18"/>
      <w:szCs w:val="18"/>
      <w:lang w:val="en-US" w:eastAsia="zh-CN" w:bidi="ar-SA"/>
    </w:rPr>
  </w:style>
  <w:style w:type="character" w:customStyle="1" w:styleId="39">
    <w:name w:val="页眉 Char"/>
    <w:link w:val="14"/>
    <w:qFormat/>
    <w:uiPriority w:val="0"/>
    <w:rPr>
      <w:rFonts w:ascii="Arial Unicode MS" w:hAnsi="Arial Unicode MS" w:eastAsia="Arial Unicode MS"/>
      <w:color w:val="000000"/>
      <w:kern w:val="2"/>
      <w:sz w:val="18"/>
      <w:szCs w:val="18"/>
    </w:rPr>
  </w:style>
  <w:style w:type="character" w:customStyle="1" w:styleId="40">
    <w:name w:val="正文文本 2 Char"/>
    <w:link w:val="15"/>
    <w:qFormat/>
    <w:uiPriority w:val="0"/>
    <w:rPr>
      <w:rFonts w:ascii="Arial Unicode MS" w:hAnsi="Arial Unicode MS" w:eastAsia="Arial Unicode MS"/>
      <w:color w:val="000000"/>
      <w:kern w:val="2"/>
      <w:sz w:val="21"/>
      <w:szCs w:val="21"/>
    </w:rPr>
  </w:style>
  <w:style w:type="character" w:customStyle="1" w:styleId="41">
    <w:name w:val="HTML 预设格式 Char"/>
    <w:link w:val="16"/>
    <w:semiHidden/>
    <w:qFormat/>
    <w:uiPriority w:val="0"/>
    <w:rPr>
      <w:rFonts w:ascii="宋体" w:hAnsi="宋体"/>
      <w:sz w:val="24"/>
      <w:szCs w:val="24"/>
    </w:rPr>
  </w:style>
  <w:style w:type="character" w:customStyle="1" w:styleId="42">
    <w:name w:val="标题 Char"/>
    <w:link w:val="18"/>
    <w:qFormat/>
    <w:uiPriority w:val="0"/>
    <w:rPr>
      <w:rFonts w:ascii="Helvetica Neue" w:hAnsi="Helvetica Neue" w:eastAsia="宋体"/>
      <w:b/>
      <w:bCs/>
      <w:kern w:val="2"/>
      <w:sz w:val="32"/>
      <w:szCs w:val="32"/>
    </w:rPr>
  </w:style>
  <w:style w:type="character" w:customStyle="1" w:styleId="43">
    <w:name w:val="批注主题 Char"/>
    <w:link w:val="19"/>
    <w:semiHidden/>
    <w:qFormat/>
    <w:uiPriority w:val="0"/>
    <w:rPr>
      <w:rFonts w:ascii="Arial Unicode MS" w:hAnsi="Arial Unicode MS" w:eastAsia="Arial Unicode MS"/>
      <w:b/>
      <w:bCs/>
      <w:color w:val="000000"/>
      <w:kern w:val="2"/>
      <w:sz w:val="21"/>
      <w:szCs w:val="21"/>
    </w:rPr>
  </w:style>
  <w:style w:type="table" w:customStyle="1" w:styleId="44">
    <w:name w:val="Table Normal"/>
    <w:qFormat/>
    <w:uiPriority w:val="0"/>
    <w:tblPr>
      <w:tblCellMar>
        <w:top w:w="0" w:type="dxa"/>
        <w:left w:w="0" w:type="dxa"/>
        <w:bottom w:w="0" w:type="dxa"/>
        <w:right w:w="0" w:type="dxa"/>
      </w:tblCellMar>
    </w:tblPr>
  </w:style>
  <w:style w:type="paragraph" w:customStyle="1" w:styleId="45">
    <w:name w:val="页眉与页脚"/>
    <w:qFormat/>
    <w:uiPriority w:val="0"/>
    <w:pPr>
      <w:tabs>
        <w:tab w:val="right" w:pos="9020"/>
      </w:tabs>
    </w:pPr>
    <w:rPr>
      <w:rFonts w:ascii="Helvetica Neue" w:hAnsi="Helvetica Neue" w:eastAsia="Arial Unicode MS" w:cs="Times New Roman"/>
      <w:color w:val="000000"/>
      <w:sz w:val="24"/>
      <w:szCs w:val="24"/>
      <w:lang w:val="en-US" w:eastAsia="zh-CN" w:bidi="ar-SA"/>
    </w:rPr>
  </w:style>
  <w:style w:type="paragraph" w:styleId="46">
    <w:name w:val="List Paragraph"/>
    <w:qFormat/>
    <w:uiPriority w:val="1"/>
    <w:pPr>
      <w:widowControl w:val="0"/>
      <w:ind w:firstLine="420"/>
      <w:jc w:val="both"/>
    </w:pPr>
    <w:rPr>
      <w:rFonts w:ascii="Calibri" w:hAnsi="Calibri" w:eastAsia="Calibri" w:cs="Times New Roman"/>
      <w:color w:val="000000"/>
      <w:lang w:val="en-US" w:eastAsia="zh-CN" w:bidi="ar-SA"/>
    </w:rPr>
  </w:style>
  <w:style w:type="paragraph" w:customStyle="1" w:styleId="47">
    <w:name w:val="[无段落样式]"/>
    <w:qFormat/>
    <w:uiPriority w:val="0"/>
    <w:pPr>
      <w:widowControl w:val="0"/>
      <w:spacing w:line="288" w:lineRule="auto"/>
      <w:jc w:val="both"/>
    </w:pPr>
    <w:rPr>
      <w:rFonts w:hint="eastAsia" w:ascii="Arial Unicode MS" w:hAnsi="Arial Unicode MS" w:eastAsia="Arial Unicode MS" w:cs="Times New Roman"/>
      <w:color w:val="000000"/>
      <w:sz w:val="24"/>
      <w:szCs w:val="24"/>
      <w:lang w:val="zh-TW" w:eastAsia="zh-TW" w:bidi="ar-SA"/>
    </w:rPr>
  </w:style>
  <w:style w:type="paragraph" w:customStyle="1" w:styleId="48">
    <w:name w:val="Default"/>
    <w:qFormat/>
    <w:uiPriority w:val="0"/>
    <w:pPr>
      <w:widowControl w:val="0"/>
      <w:autoSpaceDE w:val="0"/>
      <w:autoSpaceDN w:val="0"/>
    </w:pPr>
    <w:rPr>
      <w:rFonts w:ascii="Calibri" w:hAnsi="Calibri" w:eastAsia="宋体" w:cs="Times New Roman"/>
      <w:color w:val="000000"/>
      <w:sz w:val="24"/>
      <w:szCs w:val="24"/>
      <w:lang w:val="en-US" w:eastAsia="zh-CN" w:bidi="ar-SA"/>
    </w:rPr>
  </w:style>
  <w:style w:type="paragraph" w:customStyle="1" w:styleId="49">
    <w:name w:val="样式1"/>
    <w:basedOn w:val="1"/>
    <w:qFormat/>
    <w:uiPriority w:val="0"/>
    <w:rPr>
      <w:rFonts w:ascii="Times New Roman" w:hAnsi="Times New Roman" w:eastAsia="宋体"/>
      <w:szCs w:val="20"/>
    </w:rPr>
  </w:style>
  <w:style w:type="paragraph" w:customStyle="1" w:styleId="50">
    <w:name w:val="UserStyle_14"/>
    <w:basedOn w:val="1"/>
    <w:qFormat/>
    <w:uiPriority w:val="0"/>
    <w:pPr>
      <w:ind w:firstLine="200" w:firstLineChars="200"/>
    </w:pPr>
    <w:rPr>
      <w:rFonts w:ascii="Times New Roman" w:hAnsi="Times New Roman" w:eastAsia="宋体"/>
      <w:szCs w:val="24"/>
    </w:rPr>
  </w:style>
  <w:style w:type="character" w:customStyle="1" w:styleId="51">
    <w:name w:val="列出段落 字符"/>
    <w:link w:val="52"/>
    <w:qFormat/>
    <w:uiPriority w:val="0"/>
    <w:rPr>
      <w:rFonts w:ascii="Calibri" w:hAnsi="Calibri" w:eastAsia="宋体"/>
    </w:rPr>
  </w:style>
  <w:style w:type="paragraph" w:customStyle="1" w:styleId="52">
    <w:name w:val="列表段落1"/>
    <w:basedOn w:val="1"/>
    <w:link w:val="51"/>
    <w:qFormat/>
    <w:uiPriority w:val="0"/>
    <w:pPr>
      <w:ind w:firstLine="200" w:firstLineChars="200"/>
    </w:pPr>
    <w:rPr>
      <w:rFonts w:ascii="Calibri" w:hAnsi="Calibri" w:eastAsia="宋体"/>
      <w:kern w:val="0"/>
      <w:sz w:val="20"/>
      <w:szCs w:val="20"/>
      <w:lang w:eastAsia="en-US"/>
    </w:rPr>
  </w:style>
  <w:style w:type="paragraph" w:customStyle="1" w:styleId="53">
    <w:name w:val="目录 11"/>
    <w:basedOn w:val="1"/>
    <w:qFormat/>
    <w:uiPriority w:val="0"/>
    <w:rPr>
      <w:rFonts w:ascii="Calibri" w:hAnsi="Calibri" w:eastAsia="宋体"/>
      <w:szCs w:val="22"/>
    </w:rPr>
  </w:style>
  <w:style w:type="paragraph" w:customStyle="1" w:styleId="54">
    <w:name w:val="目录 21"/>
    <w:basedOn w:val="1"/>
    <w:qFormat/>
    <w:uiPriority w:val="0"/>
    <w:pPr>
      <w:tabs>
        <w:tab w:val="right" w:leader="dot" w:pos="9736"/>
      </w:tabs>
      <w:spacing w:line="360" w:lineRule="auto"/>
      <w:ind w:left="200" w:leftChars="200"/>
    </w:pPr>
    <w:rPr>
      <w:rFonts w:ascii="Calibri" w:hAnsi="Calibri" w:eastAsia="宋体"/>
      <w:szCs w:val="22"/>
    </w:rPr>
  </w:style>
  <w:style w:type="paragraph" w:customStyle="1" w:styleId="55">
    <w:name w:val="列出段落1"/>
    <w:basedOn w:val="1"/>
    <w:qFormat/>
    <w:uiPriority w:val="0"/>
    <w:pPr>
      <w:ind w:firstLine="200" w:firstLineChars="200"/>
    </w:pPr>
    <w:rPr>
      <w:rFonts w:ascii="Calibri" w:hAnsi="Calibri" w:eastAsia="宋体"/>
      <w:szCs w:val="22"/>
    </w:rPr>
  </w:style>
  <w:style w:type="table" w:customStyle="1" w:styleId="56">
    <w:name w:val="网格型1"/>
    <w:basedOn w:val="21"/>
    <w:qFormat/>
    <w:uiPriority w:val="0"/>
  </w:style>
  <w:style w:type="paragraph" w:customStyle="1" w:styleId="57">
    <w:name w:val="列出段落2"/>
    <w:basedOn w:val="1"/>
    <w:qFormat/>
    <w:uiPriority w:val="0"/>
    <w:pPr>
      <w:ind w:firstLine="200" w:firstLineChars="200"/>
    </w:pPr>
    <w:rPr>
      <w:rFonts w:ascii="Calibri" w:hAnsi="Calibri" w:eastAsia="宋体"/>
      <w:szCs w:val="22"/>
    </w:rPr>
  </w:style>
  <w:style w:type="paragraph" w:customStyle="1" w:styleId="58">
    <w:name w:val="TOC 标题1"/>
    <w:basedOn w:val="2"/>
    <w:qFormat/>
    <w:uiPriority w:val="0"/>
    <w:pPr>
      <w:widowControl/>
      <w:spacing w:before="480" w:after="0" w:line="276" w:lineRule="auto"/>
      <w:jc w:val="left"/>
      <w:outlineLvl w:val="9"/>
    </w:pPr>
    <w:rPr>
      <w:rFonts w:ascii="Helvetica Neue" w:hAnsi="Helvetica Neue" w:eastAsia="黑体"/>
      <w:color w:val="365F91"/>
      <w:kern w:val="0"/>
      <w:sz w:val="28"/>
      <w:szCs w:val="28"/>
    </w:rPr>
  </w:style>
  <w:style w:type="paragraph" w:customStyle="1" w:styleId="59">
    <w:name w:val="目录 31"/>
    <w:basedOn w:val="1"/>
    <w:qFormat/>
    <w:uiPriority w:val="0"/>
    <w:pPr>
      <w:ind w:left="400" w:leftChars="400"/>
    </w:pPr>
    <w:rPr>
      <w:rFonts w:ascii="Calibri" w:hAnsi="Calibri" w:eastAsia="宋体"/>
      <w:szCs w:val="22"/>
    </w:rPr>
  </w:style>
  <w:style w:type="paragraph" w:customStyle="1" w:styleId="60">
    <w:name w:val="修订1"/>
    <w:semiHidden/>
    <w:qFormat/>
    <w:uiPriority w:val="0"/>
    <w:rPr>
      <w:rFonts w:hint="eastAsia" w:ascii="Arial Unicode MS" w:hAnsi="Arial Unicode MS" w:eastAsia="Arial Unicode MS" w:cs="Times New Roman"/>
      <w:color w:val="000000"/>
      <w:kern w:val="2"/>
      <w:sz w:val="21"/>
      <w:szCs w:val="21"/>
      <w:lang w:val="en-US" w:eastAsia="zh-CN" w:bidi="ar-SA"/>
    </w:rPr>
  </w:style>
  <w:style w:type="character" w:customStyle="1" w:styleId="61">
    <w:name w:val="hljs-code"/>
    <w:qFormat/>
    <w:uiPriority w:val="0"/>
  </w:style>
  <w:style w:type="character" w:customStyle="1" w:styleId="62">
    <w:name w:val="hljs-strong"/>
    <w:qFormat/>
    <w:uiPriority w:val="0"/>
  </w:style>
  <w:style w:type="paragraph" w:customStyle="1" w:styleId="63">
    <w:name w:val="列出段落3"/>
    <w:basedOn w:val="1"/>
    <w:qFormat/>
    <w:uiPriority w:val="34"/>
    <w:pPr>
      <w:ind w:firstLine="420" w:firstLineChars="200"/>
    </w:pPr>
  </w:style>
  <w:style w:type="paragraph" w:customStyle="1" w:styleId="64">
    <w:name w:val="样式 首行缩进:  2 字符"/>
    <w:basedOn w:val="1"/>
    <w:qFormat/>
    <w:uiPriority w:val="0"/>
    <w:pPr>
      <w:spacing w:line="500" w:lineRule="exact"/>
      <w:jc w:val="left"/>
      <w:outlineLvl w:val="8"/>
    </w:pPr>
    <w:rPr>
      <w:rFonts w:cs="宋体"/>
      <w:szCs w:val="20"/>
    </w:rPr>
  </w:style>
  <w:style w:type="paragraph" w:customStyle="1" w:styleId="65">
    <w:name w:val="彩色列表1"/>
    <w:basedOn w:val="1"/>
    <w:qFormat/>
    <w:uiPriority w:val="0"/>
    <w:pPr>
      <w:widowControl/>
      <w:ind w:firstLine="200" w:firstLineChars="200"/>
      <w:jc w:val="left"/>
    </w:pPr>
    <w:rPr>
      <w:rFonts w:ascii="Calibri" w:hAnsi="Calibri" w:eastAsia="宋体"/>
      <w:kern w:val="0"/>
      <w:sz w:val="24"/>
    </w:rPr>
  </w:style>
  <w:style w:type="paragraph" w:customStyle="1" w:styleId="66">
    <w:name w:val="正文 A"/>
    <w:qFormat/>
    <w:uiPriority w:val="0"/>
    <w:pPr>
      <w:widowControl w:val="0"/>
      <w:jc w:val="both"/>
    </w:pPr>
    <w:rPr>
      <w:rFonts w:ascii="Calibri" w:hAnsi="Calibri" w:eastAsia="Arial Unicode MS" w:cs="Arial Unicode MS"/>
      <w:color w:val="000000"/>
      <w:kern w:val="2"/>
      <w:sz w:val="21"/>
      <w:szCs w:val="21"/>
      <w:lang w:val="en-US" w:eastAsia="zh-CN" w:bidi="ar-SA"/>
    </w:rPr>
  </w:style>
  <w:style w:type="character" w:customStyle="1" w:styleId="67">
    <w:name w:val="无"/>
    <w:qFormat/>
    <w:uiPriority w:val="0"/>
  </w:style>
  <w:style w:type="paragraph" w:customStyle="1" w:styleId="68">
    <w:name w:val="表格2"/>
    <w:basedOn w:val="1"/>
    <w:qFormat/>
    <w:uiPriority w:val="0"/>
    <w:pPr>
      <w:adjustRightInd w:val="0"/>
      <w:spacing w:after="60" w:line="360" w:lineRule="atLeast"/>
      <w:ind w:left="72" w:leftChars="30" w:right="72" w:rightChars="30"/>
      <w:jc w:val="center"/>
      <w:textAlignment w:val="baseline"/>
    </w:pPr>
    <w:rPr>
      <w:rFonts w:hint="default" w:ascii="Arial" w:hAnsi="Times New Roman" w:eastAsia="黑体"/>
      <w:color w:val="auto"/>
      <w:kern w:val="0"/>
      <w:szCs w:val="20"/>
    </w:rPr>
  </w:style>
  <w:style w:type="paragraph" w:customStyle="1" w:styleId="69">
    <w:name w:val="表格1"/>
    <w:basedOn w:val="1"/>
    <w:qFormat/>
    <w:uiPriority w:val="0"/>
    <w:pPr>
      <w:adjustRightInd w:val="0"/>
      <w:spacing w:after="60" w:line="360" w:lineRule="atLeast"/>
      <w:ind w:left="72" w:leftChars="30" w:right="72" w:rightChars="30"/>
      <w:jc w:val="center"/>
      <w:textAlignment w:val="baseline"/>
    </w:pPr>
    <w:rPr>
      <w:rFonts w:hint="default" w:ascii="Times New Roman" w:hAnsi="Times New Roman" w:eastAsia="宋体"/>
      <w:color w:val="auto"/>
      <w:kern w:val="0"/>
      <w:szCs w:val="20"/>
    </w:rPr>
  </w:style>
  <w:style w:type="paragraph" w:customStyle="1" w:styleId="70">
    <w:name w:val="Table Paragraph"/>
    <w:basedOn w:val="1"/>
    <w:qFormat/>
    <w:uiPriority w:val="1"/>
    <w:pPr>
      <w:autoSpaceDE w:val="0"/>
      <w:autoSpaceDN w:val="0"/>
      <w:jc w:val="left"/>
    </w:pPr>
    <w:rPr>
      <w:rFonts w:hint="default" w:ascii="宋体" w:hAnsi="宋体" w:eastAsia="宋体" w:cs="宋体"/>
      <w:color w:val="auto"/>
      <w:kern w:val="0"/>
      <w:sz w:val="22"/>
      <w:szCs w:val="22"/>
    </w:rPr>
  </w:style>
  <w:style w:type="paragraph" w:customStyle="1" w:styleId="71">
    <w:name w:val="_Style 70"/>
    <w:next w:val="46"/>
    <w:qFormat/>
    <w:uiPriority w:val="0"/>
    <w:pPr>
      <w:widowControl w:val="0"/>
      <w:ind w:firstLine="420"/>
      <w:jc w:val="both"/>
    </w:pPr>
    <w:rPr>
      <w:rFonts w:ascii="Calibri" w:hAnsi="Calibri" w:eastAsia="Calibri" w:cs="Calibri"/>
      <w:color w:val="000000"/>
      <w:u w:color="000000"/>
      <w:lang w:val="en-US" w:eastAsia="zh-CN" w:bidi="ar-SA"/>
    </w:rPr>
  </w:style>
  <w:style w:type="paragraph" w:customStyle="1" w:styleId="72">
    <w:name w:val="修订2"/>
    <w:hidden/>
    <w:unhideWhenUsed/>
    <w:qFormat/>
    <w:uiPriority w:val="99"/>
    <w:rPr>
      <w:rFonts w:hint="eastAsia" w:ascii="Arial Unicode MS" w:hAnsi="Arial Unicode MS" w:eastAsia="Arial Unicode MS" w:cs="Times New Roman"/>
      <w:color w:val="000000"/>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36</Pages>
  <Words>19642</Words>
  <Characters>20469</Characters>
  <Lines>178</Lines>
  <Paragraphs>50</Paragraphs>
  <TotalTime>67</TotalTime>
  <ScaleCrop>false</ScaleCrop>
  <LinksUpToDate>false</LinksUpToDate>
  <CharactersWithSpaces>20630</CharactersWithSpaces>
  <Application>WPS Office_12.1.2.24722_F1E327BC-269C-435d-A152-05C5408002CA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2025-11-25T07:01:00Z</dcterms:created>
  <dc:creator>40955</dc:creator>
  <cp:lastModifiedBy>冯子倩</cp:lastModifiedBy>
  <dcterms:modified xsi:type="dcterms:W3CDTF">2026-02-03T11:15:51Z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eyJoZGlkIjoiYTgxOWMzNzQxYTNjMmRiZmJkMTVhOTU3ZmVmNjIxMGYiLCJ1c2VySWQiOiIzODk3NjY3NjAifQ==</vt:lpwstr>
  </property>
  <property fmtid="{D5CDD505-2E9C-101B-9397-08002B2CF9AE}" pid="3" name="KSOProductBuildVer">
    <vt:lpwstr>2052-12.1.2.24722</vt:lpwstr>
  </property>
  <property fmtid="{D5CDD505-2E9C-101B-9397-08002B2CF9AE}" pid="4" name="ICV">
    <vt:lpwstr>969888F6D573FEFB3D0A736995891928_43</vt:lpwstr>
  </property>
</Properties>
</file>