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5AF7B4">
      <w:pPr>
        <w:pStyle w:val="2"/>
        <w:ind w:left="0" w:leftChars="0" w:firstLine="0" w:firstLineChars="0"/>
        <w:jc w:val="center"/>
        <w:rPr>
          <w:rFonts w:hint="default" w:eastAsia="仿宋"/>
          <w:sz w:val="44"/>
          <w:szCs w:val="44"/>
        </w:rPr>
      </w:pPr>
      <w:bookmarkStart w:id="0" w:name="_Hlk124931884"/>
      <w:r>
        <w:rPr>
          <w:rFonts w:ascii="仿宋" w:hAnsi="仿宋" w:eastAsia="仿宋"/>
          <w:b/>
          <w:bCs/>
          <w:color w:val="auto"/>
          <w:sz w:val="44"/>
          <w:szCs w:val="44"/>
        </w:rPr>
        <w:t>上海文学馆项目陈列布展（二标）采购需求</w:t>
      </w:r>
    </w:p>
    <w:bookmarkEnd w:id="0"/>
    <w:p w14:paraId="0163C5FD">
      <w:pPr>
        <w:pStyle w:val="4"/>
        <w:spacing w:line="240" w:lineRule="auto"/>
        <w:rPr>
          <w:rFonts w:hint="default" w:ascii="仿宋" w:hAnsi="仿宋" w:eastAsia="仿宋"/>
          <w:color w:val="auto"/>
          <w:sz w:val="28"/>
          <w:szCs w:val="28"/>
        </w:rPr>
      </w:pPr>
      <w:r>
        <w:rPr>
          <w:rFonts w:ascii="仿宋" w:hAnsi="仿宋" w:eastAsia="仿宋"/>
          <w:color w:val="auto"/>
          <w:sz w:val="28"/>
          <w:szCs w:val="28"/>
        </w:rPr>
        <w:t>第一章 项目概述</w:t>
      </w:r>
    </w:p>
    <w:p w14:paraId="6015AE6A">
      <w:pPr>
        <w:pStyle w:val="5"/>
        <w:spacing w:line="240" w:lineRule="auto"/>
        <w:rPr>
          <w:rFonts w:hint="default" w:ascii="仿宋" w:hAnsi="仿宋" w:eastAsia="仿宋"/>
          <w:color w:val="auto"/>
          <w:sz w:val="28"/>
          <w:szCs w:val="28"/>
        </w:rPr>
      </w:pPr>
      <w:r>
        <w:rPr>
          <w:rFonts w:ascii="仿宋" w:hAnsi="仿宋" w:eastAsia="仿宋"/>
          <w:color w:val="auto"/>
          <w:sz w:val="28"/>
          <w:szCs w:val="28"/>
        </w:rPr>
        <w:t>1.1 项目背景</w:t>
      </w:r>
    </w:p>
    <w:p w14:paraId="3F76F98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是上海城市公共文化服务体系的重要组成部分，是展现上海文化软实力与城市精神气质的重要载体。文学馆建设旨在传承中华优秀传统文化，弘扬海派文化精神，打造新时代上海文化高地。项目选址于虹口区武进路与罗浮路交叉口东约六十米，地处上海文学精神核心地带，地理位置优越，文化底蕴深厚。</w:t>
      </w:r>
    </w:p>
    <w:p w14:paraId="08D331A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作为中国近现代文学的重镇，汇聚了鲁迅、巴金、茅盾等众多文学名家，其文学创作历程浓缩了中国文学现代化的演变过程。上海文学馆的建设，不仅是对这段辉煌文学史的总结与致敬，更是推动当代文学创新发展的战略举措。项目的实施将形成上海文学记忆的集中展示平台和城市精神传播的重要窗口。</w:t>
      </w:r>
    </w:p>
    <w:p w14:paraId="1BCF6F1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依托上海文学研究成果与城市文化建设战略，旨在通过空间重构与内容策划，构建一个集展示、交流、收藏、研究为一体的文学综合体，体现“以文塑城、以文惠民、以文铸魂”的时代精神，满足公众日益增长的精神文化需求。</w:t>
      </w:r>
    </w:p>
    <w:p w14:paraId="735D3D50">
      <w:pPr>
        <w:pStyle w:val="5"/>
        <w:spacing w:line="240" w:lineRule="auto"/>
        <w:rPr>
          <w:rFonts w:hint="default" w:ascii="仿宋" w:hAnsi="仿宋" w:eastAsia="仿宋"/>
          <w:color w:val="auto"/>
          <w:sz w:val="28"/>
          <w:szCs w:val="28"/>
        </w:rPr>
      </w:pPr>
      <w:r>
        <w:rPr>
          <w:rFonts w:ascii="仿宋" w:hAnsi="仿宋" w:eastAsia="仿宋"/>
          <w:color w:val="auto"/>
          <w:sz w:val="28"/>
          <w:szCs w:val="28"/>
        </w:rPr>
        <w:t>1.2 项目意义</w:t>
      </w:r>
    </w:p>
    <w:p w14:paraId="6C8E20F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上海文学馆的建设意义体现在以下几个方面：</w:t>
      </w:r>
    </w:p>
    <w:p w14:paraId="5A0EDDC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是文化传承的历史意义。文学馆通过系统展示上海文学的发展脉络、重要人物与代表作品，保存文学档案与实物资料，形成城市文学基因的文化记忆库。项目建成后，将成为新时代传承与弘扬中华优秀文化的重要阵地。</w:t>
      </w:r>
    </w:p>
    <w:p w14:paraId="7AC373C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二是精神引领的社会意义。文学是城市精神的灯塔。文学馆将以创新的展陈手段激发公众的文学热情，推动全民阅读与文化普及，为建设学习型社会提供精神动力。</w:t>
      </w:r>
    </w:p>
    <w:p w14:paraId="0B74525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三是产业联动的经济意义。作为集阅读体验、文学教育、文化展示于一体的综合性文化空间，文学馆将与出版、影视、文旅等相关产业形成协同效应，促进文化消费，提升城市文化品牌价值。</w:t>
      </w:r>
    </w:p>
    <w:p w14:paraId="4063358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四是城市形象的国际意义。上海文学馆以其独特的海派文化魅力，将成为展示中国当代文化自信的重要窗口，推动上海建设成为具有国际影响力的文化名城。</w:t>
      </w:r>
    </w:p>
    <w:p w14:paraId="28DF67D6">
      <w:pPr>
        <w:pStyle w:val="5"/>
        <w:spacing w:line="240" w:lineRule="auto"/>
        <w:rPr>
          <w:rFonts w:hint="default" w:ascii="仿宋" w:hAnsi="仿宋" w:eastAsia="仿宋"/>
          <w:color w:val="auto"/>
          <w:sz w:val="28"/>
          <w:szCs w:val="28"/>
        </w:rPr>
      </w:pPr>
      <w:r>
        <w:rPr>
          <w:rFonts w:ascii="仿宋" w:hAnsi="仿宋" w:eastAsia="仿宋"/>
          <w:color w:val="auto"/>
          <w:sz w:val="28"/>
          <w:szCs w:val="28"/>
        </w:rPr>
        <w:t>1.3 建设目标</w:t>
      </w:r>
    </w:p>
    <w:p w14:paraId="50CC4EF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项目总体目标是打造“文学阅读、体验、传播”的文化地标，形成“展示上海文学发展历程、研究文学思想成果、推广阅读文化理念、孵化文学创作成果”的综合平台。</w:t>
      </w:r>
    </w:p>
    <w:p w14:paraId="220C46C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建设目标包括：</w:t>
      </w:r>
      <w:r>
        <w:rPr>
          <w:rFonts w:ascii="仿宋" w:hAnsi="仿宋" w:eastAsia="仿宋"/>
          <w:color w:val="auto"/>
          <w:sz w:val="28"/>
          <w:szCs w:val="28"/>
        </w:rPr>
        <w:br w:type="textWrapping"/>
      </w:r>
      <w:r>
        <w:rPr>
          <w:rFonts w:ascii="仿宋" w:hAnsi="仿宋" w:eastAsia="仿宋"/>
          <w:color w:val="auto"/>
          <w:sz w:val="28"/>
          <w:szCs w:val="28"/>
        </w:rPr>
        <w:t>（1）空间目标：优化展示空间布局，完善动线设计，实现功能分区明确、空间流畅有序、观展体验舒适的整体效果。</w:t>
      </w:r>
      <w:r>
        <w:rPr>
          <w:rFonts w:ascii="仿宋" w:hAnsi="仿宋" w:eastAsia="仿宋"/>
          <w:color w:val="auto"/>
          <w:sz w:val="28"/>
          <w:szCs w:val="28"/>
        </w:rPr>
        <w:br w:type="textWrapping"/>
      </w:r>
      <w:r>
        <w:rPr>
          <w:rFonts w:ascii="仿宋" w:hAnsi="仿宋" w:eastAsia="仿宋"/>
          <w:color w:val="auto"/>
          <w:sz w:val="28"/>
          <w:szCs w:val="28"/>
        </w:rPr>
        <w:t>（2）内容目标：着重突出文学与城市发展、文学与时代呼应、文学与世界互动的包容、开放、丰富的上海文学内容和理念。</w:t>
      </w:r>
      <w:r>
        <w:rPr>
          <w:rFonts w:ascii="仿宋" w:hAnsi="仿宋" w:eastAsia="仿宋"/>
          <w:color w:val="auto"/>
          <w:sz w:val="28"/>
          <w:szCs w:val="28"/>
        </w:rPr>
        <w:br w:type="textWrapping"/>
      </w:r>
      <w:r>
        <w:rPr>
          <w:rFonts w:ascii="仿宋" w:hAnsi="仿宋" w:eastAsia="仿宋"/>
          <w:color w:val="auto"/>
          <w:sz w:val="28"/>
          <w:szCs w:val="28"/>
        </w:rPr>
        <w:t>（3）技术目标：引入先进的多媒体展示技术、智能导览系统、数字化文献管理与虚拟交互体验，打造智慧型文学展馆。</w:t>
      </w:r>
      <w:r>
        <w:rPr>
          <w:rFonts w:ascii="仿宋" w:hAnsi="仿宋" w:eastAsia="仿宋"/>
          <w:color w:val="auto"/>
          <w:sz w:val="28"/>
          <w:szCs w:val="28"/>
        </w:rPr>
        <w:br w:type="textWrapping"/>
      </w:r>
      <w:r>
        <w:rPr>
          <w:rFonts w:ascii="仿宋" w:hAnsi="仿宋" w:eastAsia="仿宋"/>
          <w:color w:val="auto"/>
          <w:sz w:val="28"/>
          <w:szCs w:val="28"/>
        </w:rPr>
        <w:t>（4）运营目标：形成“常设展 + 临展 + 文学阅读 +文学活动”的复合运营体系，增强展馆活力，实现文化传播与社会效益的双赢。</w:t>
      </w:r>
      <w:r>
        <w:rPr>
          <w:rFonts w:ascii="仿宋" w:hAnsi="仿宋" w:eastAsia="仿宋"/>
          <w:color w:val="auto"/>
          <w:sz w:val="28"/>
          <w:szCs w:val="28"/>
        </w:rPr>
        <w:br w:type="textWrapping"/>
      </w:r>
      <w:r>
        <w:rPr>
          <w:rFonts w:ascii="仿宋" w:hAnsi="仿宋" w:eastAsia="仿宋"/>
          <w:color w:val="auto"/>
          <w:sz w:val="28"/>
          <w:szCs w:val="28"/>
        </w:rPr>
        <w:t>（5）社会目标：通过展陈内容与公共活动的有机结合，适应时代特点，讲好上海的文学故事，赓续城市文脉，提升公众文化素养与城市文化影响力。</w:t>
      </w:r>
    </w:p>
    <w:p w14:paraId="60E799FA">
      <w:pPr>
        <w:pStyle w:val="5"/>
        <w:spacing w:line="240" w:lineRule="auto"/>
        <w:rPr>
          <w:rFonts w:hint="default" w:ascii="仿宋" w:hAnsi="仿宋" w:eastAsia="仿宋"/>
          <w:color w:val="auto"/>
          <w:sz w:val="28"/>
          <w:szCs w:val="28"/>
        </w:rPr>
      </w:pPr>
      <w:r>
        <w:rPr>
          <w:rFonts w:ascii="仿宋" w:hAnsi="仿宋" w:eastAsia="仿宋"/>
          <w:color w:val="auto"/>
          <w:sz w:val="28"/>
          <w:szCs w:val="28"/>
        </w:rPr>
        <w:t>1.4 功能定位</w:t>
      </w:r>
    </w:p>
    <w:p w14:paraId="735FA190">
      <w:pPr>
        <w:pStyle w:val="18"/>
        <w:spacing w:before="0" w:beforeAutospacing="0" w:after="0" w:afterAutospacing="0" w:line="360" w:lineRule="auto"/>
        <w:rPr>
          <w:rFonts w:hint="default"/>
          <w:b/>
          <w:bCs/>
          <w:sz w:val="28"/>
          <w:szCs w:val="28"/>
        </w:rPr>
      </w:pPr>
      <w:r>
        <w:rPr>
          <w:rFonts w:ascii="仿宋" w:hAnsi="仿宋" w:eastAsia="仿宋"/>
          <w:color w:val="auto"/>
          <w:sz w:val="28"/>
          <w:szCs w:val="28"/>
        </w:rPr>
        <w:t>上海文学馆定位为集展示、交流、研究、收藏与数字化转化于一体的综合性文学博物馆。</w:t>
      </w:r>
    </w:p>
    <w:p w14:paraId="3D5C6CA7">
      <w:pPr>
        <w:pStyle w:val="18"/>
        <w:spacing w:before="0" w:beforeAutospacing="0" w:after="0" w:afterAutospacing="0" w:line="360" w:lineRule="auto"/>
        <w:rPr>
          <w:rFonts w:hint="default"/>
          <w:b/>
          <w:bCs/>
          <w:sz w:val="28"/>
          <w:szCs w:val="28"/>
        </w:rPr>
      </w:pPr>
      <w:r>
        <w:rPr>
          <w:rFonts w:ascii="仿宋" w:hAnsi="仿宋" w:eastAsia="仿宋"/>
          <w:b/>
          <w:bCs/>
          <w:sz w:val="28"/>
          <w:szCs w:val="28"/>
        </w:rPr>
        <w:t>展示功能</w:t>
      </w:r>
      <w:r>
        <w:rPr>
          <w:rFonts w:ascii="仿宋" w:hAnsi="仿宋" w:eastAsia="仿宋"/>
          <w:color w:val="auto"/>
          <w:sz w:val="28"/>
          <w:szCs w:val="28"/>
        </w:rPr>
        <w:t>：全面呈现上海文学发展的历史进程与代表人物作品，构建文学时空景观。通过大量特别展览区展现当代文学成果和公众关注的文学热点。</w:t>
      </w:r>
    </w:p>
    <w:p w14:paraId="5C837597">
      <w:pPr>
        <w:pStyle w:val="18"/>
        <w:spacing w:before="0" w:beforeAutospacing="0" w:after="0" w:afterAutospacing="0" w:line="360" w:lineRule="auto"/>
        <w:rPr>
          <w:rFonts w:hint="default"/>
          <w:b/>
          <w:bCs/>
          <w:sz w:val="28"/>
          <w:szCs w:val="28"/>
        </w:rPr>
      </w:pPr>
      <w:r>
        <w:rPr>
          <w:rFonts w:ascii="仿宋" w:hAnsi="仿宋" w:eastAsia="仿宋"/>
          <w:b/>
          <w:bCs/>
          <w:sz w:val="28"/>
          <w:szCs w:val="28"/>
        </w:rPr>
        <w:t>交流功能</w:t>
      </w:r>
      <w:r>
        <w:rPr>
          <w:rFonts w:ascii="仿宋" w:hAnsi="仿宋" w:eastAsia="仿宋"/>
          <w:color w:val="auto"/>
          <w:sz w:val="28"/>
          <w:szCs w:val="28"/>
        </w:rPr>
        <w:t>：面向全社会，开放文学课程、讲座。举办文学论坛、作家见面会、国际研讨会等，打造市民体验、共享的中外文学交流平台。</w:t>
      </w:r>
    </w:p>
    <w:p w14:paraId="191C7CAD">
      <w:pPr>
        <w:pStyle w:val="18"/>
        <w:spacing w:before="0" w:beforeAutospacing="0" w:after="0" w:afterAutospacing="0" w:line="360" w:lineRule="auto"/>
        <w:rPr>
          <w:rFonts w:hint="default"/>
          <w:b/>
          <w:bCs/>
          <w:sz w:val="28"/>
          <w:szCs w:val="28"/>
        </w:rPr>
      </w:pPr>
      <w:r>
        <w:rPr>
          <w:rFonts w:ascii="仿宋" w:hAnsi="仿宋" w:eastAsia="仿宋"/>
          <w:b/>
          <w:bCs/>
          <w:sz w:val="28"/>
          <w:szCs w:val="28"/>
        </w:rPr>
        <w:t>研究功能</w:t>
      </w:r>
      <w:r>
        <w:rPr>
          <w:rFonts w:ascii="仿宋" w:hAnsi="仿宋" w:eastAsia="仿宋"/>
          <w:color w:val="auto"/>
          <w:sz w:val="28"/>
          <w:szCs w:val="28"/>
        </w:rPr>
        <w:t>：整合文学档案、作家手稿与出版文献资源，为学者与公众提供研究支持。</w:t>
      </w:r>
    </w:p>
    <w:p w14:paraId="215A229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b/>
          <w:bCs/>
          <w:sz w:val="28"/>
          <w:szCs w:val="28"/>
        </w:rPr>
        <w:t>收藏功能</w:t>
      </w:r>
      <w:r>
        <w:rPr>
          <w:b/>
          <w:bCs/>
          <w:sz w:val="28"/>
          <w:szCs w:val="28"/>
        </w:rPr>
        <w:t>：</w:t>
      </w:r>
      <w:r>
        <w:rPr>
          <w:rFonts w:ascii="仿宋" w:hAnsi="仿宋" w:eastAsia="仿宋"/>
          <w:color w:val="auto"/>
          <w:sz w:val="28"/>
          <w:szCs w:val="28"/>
        </w:rPr>
        <w:t>系统收藏上海文学相关的手稿、文献、影像及实物资料，完成重要资料的数字化转化，构建系统化的城市文学档案库。</w:t>
      </w:r>
    </w:p>
    <w:p w14:paraId="50DC0F9E">
      <w:pPr>
        <w:pStyle w:val="5"/>
        <w:spacing w:line="240" w:lineRule="auto"/>
        <w:rPr>
          <w:rFonts w:hint="default" w:ascii="仿宋" w:hAnsi="仿宋" w:eastAsia="仿宋"/>
          <w:color w:val="auto"/>
          <w:sz w:val="28"/>
          <w:szCs w:val="28"/>
        </w:rPr>
      </w:pPr>
      <w:r>
        <w:rPr>
          <w:rFonts w:ascii="仿宋" w:hAnsi="仿宋" w:eastAsia="仿宋"/>
          <w:color w:val="auto"/>
          <w:sz w:val="28"/>
          <w:szCs w:val="28"/>
        </w:rPr>
        <w:t>1.5 展馆主题</w:t>
      </w:r>
    </w:p>
    <w:p w14:paraId="450D8C4D">
      <w:pPr>
        <w:pStyle w:val="18"/>
        <w:rPr>
          <w:rFonts w:hint="default" w:ascii="仿宋" w:hAnsi="仿宋" w:eastAsia="仿宋"/>
          <w:color w:val="auto"/>
          <w:sz w:val="28"/>
          <w:szCs w:val="28"/>
        </w:rPr>
      </w:pPr>
      <w:r>
        <w:rPr>
          <w:rFonts w:ascii="仿宋" w:hAnsi="仿宋" w:eastAsia="仿宋"/>
          <w:color w:val="auto"/>
          <w:sz w:val="28"/>
          <w:szCs w:val="28"/>
        </w:rPr>
        <w:t>植根本土文化，融合世界思潮，传播时代“强音”，推出文学经典。</w:t>
      </w:r>
    </w:p>
    <w:p w14:paraId="10EBDB24">
      <w:pPr>
        <w:pStyle w:val="5"/>
        <w:spacing w:line="240" w:lineRule="auto"/>
        <w:rPr>
          <w:rFonts w:hint="default" w:ascii="仿宋" w:hAnsi="仿宋" w:eastAsia="仿宋"/>
          <w:color w:val="auto"/>
          <w:sz w:val="28"/>
          <w:szCs w:val="28"/>
        </w:rPr>
      </w:pPr>
      <w:r>
        <w:rPr>
          <w:rFonts w:ascii="仿宋" w:hAnsi="仿宋" w:eastAsia="仿宋"/>
          <w:color w:val="auto"/>
          <w:sz w:val="28"/>
          <w:szCs w:val="28"/>
        </w:rPr>
        <w:t>1.6 展陈理念</w:t>
      </w:r>
    </w:p>
    <w:p w14:paraId="10A47C7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上海文学馆的展陈理念以“创新、开放、体验 ”为核心，注重传统文学与当代科技的融合，强化观众的沉浸体验与参与感。</w:t>
      </w:r>
    </w:p>
    <w:p w14:paraId="7D4453A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展陈以“人、文、城”的关系为主线，运用多媒体、互动装置、AI技术、AR/VR等新媒介手段，让观众穿越时空与文学大师对话，感受文学的思想温度与创造力量。</w:t>
      </w:r>
    </w:p>
    <w:p w14:paraId="681EA4D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主要理念包括：</w:t>
      </w:r>
    </w:p>
    <w:p w14:paraId="27AA24CC">
      <w:pPr>
        <w:pStyle w:val="18"/>
        <w:spacing w:before="0" w:beforeAutospacing="0" w:after="0" w:afterAutospacing="0" w:line="360" w:lineRule="auto"/>
        <w:rPr>
          <w:rFonts w:hint="default"/>
          <w:b/>
          <w:bCs/>
        </w:rPr>
      </w:pPr>
      <w:r>
        <w:rPr>
          <w:b/>
          <w:bCs/>
        </w:rPr>
        <w:t>创新性</w:t>
      </w:r>
      <w:r>
        <w:rPr>
          <w:rFonts w:ascii="仿宋" w:hAnsi="仿宋" w:eastAsia="仿宋"/>
          <w:color w:val="auto"/>
          <w:sz w:val="28"/>
          <w:szCs w:val="28"/>
        </w:rPr>
        <w:t>：突破静态展示模式，引入沉浸式、交互式叙事结构，使文学展览成为“触摸未来的实验室”。构建文学与观众、历史与现实的多维对话空间，形成“永不落幕的文学展览”。</w:t>
      </w:r>
    </w:p>
    <w:p w14:paraId="6E770004">
      <w:pPr>
        <w:pStyle w:val="18"/>
        <w:spacing w:before="0" w:beforeAutospacing="0" w:after="0" w:afterAutospacing="0" w:line="360" w:lineRule="auto"/>
        <w:rPr>
          <w:rFonts w:hint="default"/>
          <w:b/>
          <w:bCs/>
        </w:rPr>
      </w:pPr>
      <w:r>
        <w:rPr>
          <w:b/>
          <w:bCs/>
        </w:rPr>
        <w:t>开放性</w:t>
      </w:r>
      <w:r>
        <w:rPr>
          <w:rFonts w:ascii="仿宋" w:hAnsi="仿宋" w:eastAsia="仿宋"/>
          <w:color w:val="auto"/>
          <w:sz w:val="28"/>
          <w:szCs w:val="28"/>
        </w:rPr>
        <w:t>：融合古典文学、现代文学与网络文学，构建多元化文学景观，体现上海文学的兼容并蓄，以及上海与“世界”，“世界”在上海的交融与互动。</w:t>
      </w:r>
    </w:p>
    <w:p w14:paraId="4754D223">
      <w:pPr>
        <w:pStyle w:val="18"/>
        <w:spacing w:before="0" w:beforeAutospacing="0" w:after="0" w:afterAutospacing="0" w:line="360" w:lineRule="auto"/>
        <w:rPr>
          <w:rFonts w:hint="default"/>
          <w:b/>
          <w:bCs/>
        </w:rPr>
      </w:pPr>
      <w:r>
        <w:rPr>
          <w:b/>
          <w:bCs/>
        </w:rPr>
        <w:t>体验感</w:t>
      </w:r>
      <w:r>
        <w:rPr>
          <w:rFonts w:ascii="仿宋" w:hAnsi="仿宋" w:eastAsia="仿宋"/>
          <w:color w:val="auto"/>
          <w:sz w:val="28"/>
          <w:szCs w:val="28"/>
        </w:rPr>
        <w:t>：全馆为一个公众对文学体验的真实/虚拟空间，是文学阅读的平台，以数字赋能，实现馆藏文献、研究资料和最新文学信息内容的可检索、可利用，增强公众的获得感。</w:t>
      </w:r>
    </w:p>
    <w:p w14:paraId="7D5BDBB9">
      <w:pPr>
        <w:pStyle w:val="18"/>
        <w:spacing w:before="0" w:beforeAutospacing="0" w:after="0" w:afterAutospacing="0" w:line="360" w:lineRule="auto"/>
        <w:rPr>
          <w:rFonts w:hint="default"/>
          <w:b/>
          <w:bCs/>
        </w:rPr>
      </w:pPr>
      <w:r>
        <w:rPr>
          <w:b/>
          <w:bCs/>
        </w:rPr>
        <w:t>参与感</w:t>
      </w:r>
      <w:r>
        <w:rPr>
          <w:rFonts w:ascii="仿宋" w:hAnsi="仿宋" w:eastAsia="仿宋"/>
          <w:color w:val="auto"/>
          <w:sz w:val="28"/>
          <w:szCs w:val="28"/>
        </w:rPr>
        <w:t>：设置互动体验区、创作分享区与公众投稿平台，让观众从“旁观者”转变为“参与者”。</w:t>
      </w:r>
    </w:p>
    <w:p w14:paraId="3D88CE8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通过多媒体技术的深度融合与空间叙事设计的创新应用，上海文学馆将以现代科技手段重新激活文学经典，让“阅读”成为可体验的文化事件，让“文学”成为城市精神的具象化表达。数字多媒体内容是上海文学馆展陈体系的重要组成部分，与文献实物共同构成展览的核心叙事主题，而非附属展示或技术补充。在上海文学馆，多媒体展项将直接承担文学史叙事、人物关系呈现、城市文学空间建构、知识检索与公共教育等关键功能，其策划、制作与系统搭建须与展陈方案同步推进、整体设计。</w:t>
      </w:r>
    </w:p>
    <w:p w14:paraId="14D49F95">
      <w:pPr>
        <w:pStyle w:val="5"/>
        <w:spacing w:line="240" w:lineRule="auto"/>
        <w:rPr>
          <w:rFonts w:hint="default" w:ascii="仿宋" w:hAnsi="仿宋" w:eastAsia="仿宋"/>
          <w:color w:val="auto"/>
          <w:sz w:val="28"/>
          <w:szCs w:val="28"/>
        </w:rPr>
      </w:pPr>
      <w:r>
        <w:rPr>
          <w:rFonts w:ascii="仿宋" w:hAnsi="仿宋" w:eastAsia="仿宋"/>
          <w:color w:val="auto"/>
          <w:sz w:val="28"/>
          <w:szCs w:val="28"/>
        </w:rPr>
        <w:t>1.7 项目实施主要内容与范围</w:t>
      </w:r>
    </w:p>
    <w:p w14:paraId="383C5FF2">
      <w:pPr>
        <w:rPr>
          <w:rFonts w:hint="default" w:ascii="仿宋" w:hAnsi="仿宋" w:eastAsia="仿宋"/>
          <w:color w:val="auto"/>
          <w:kern w:val="0"/>
          <w:sz w:val="28"/>
          <w:szCs w:val="28"/>
        </w:rPr>
      </w:pPr>
      <w:r>
        <w:rPr>
          <w:rFonts w:ascii="仿宋" w:hAnsi="仿宋" w:eastAsia="仿宋"/>
          <w:color w:val="auto"/>
          <w:kern w:val="0"/>
          <w:sz w:val="28"/>
          <w:szCs w:val="28"/>
        </w:rPr>
        <w:t>上海文学馆项目陈列布展（二标）：主要包括虹口区江西北路418号三层和四层</w:t>
      </w:r>
    </w:p>
    <w:p w14:paraId="04A54AA3">
      <w:pPr>
        <w:pStyle w:val="18"/>
        <w:rPr>
          <w:rFonts w:hint="default" w:ascii="仿宋" w:hAnsi="仿宋" w:eastAsia="仿宋"/>
          <w:color w:val="auto"/>
          <w:sz w:val="28"/>
          <w:szCs w:val="28"/>
        </w:rPr>
      </w:pPr>
      <w:r>
        <w:rPr>
          <w:rFonts w:ascii="仿宋" w:hAnsi="仿宋" w:eastAsia="仿宋"/>
          <w:color w:val="auto"/>
          <w:sz w:val="28"/>
          <w:szCs w:val="28"/>
        </w:rPr>
        <w:t>三层为上海文学常设展包含：文学上海、左翼上海、都市上海；</w:t>
      </w:r>
    </w:p>
    <w:p w14:paraId="5DCF5573">
      <w:pPr>
        <w:pStyle w:val="18"/>
        <w:rPr>
          <w:rFonts w:hint="default" w:ascii="仿宋" w:hAnsi="仿宋" w:eastAsia="仿宋"/>
          <w:color w:val="auto"/>
          <w:sz w:val="28"/>
          <w:szCs w:val="28"/>
        </w:rPr>
      </w:pPr>
      <w:r>
        <w:rPr>
          <w:rFonts w:ascii="仿宋" w:hAnsi="仿宋" w:eastAsia="仿宋"/>
          <w:color w:val="auto"/>
          <w:sz w:val="28"/>
          <w:szCs w:val="28"/>
        </w:rPr>
        <w:t>四层为上海文学常设展和特别展览区，其中常设展包含：光影上海、世界上海，特别展览区包括：特别展览区3、特别展览区4。</w:t>
      </w:r>
    </w:p>
    <w:p w14:paraId="38B0A448">
      <w:pPr>
        <w:pStyle w:val="5"/>
        <w:spacing w:line="240" w:lineRule="auto"/>
        <w:rPr>
          <w:rFonts w:hint="default" w:ascii="仿宋" w:hAnsi="仿宋" w:eastAsia="仿宋"/>
          <w:color w:val="auto"/>
          <w:sz w:val="28"/>
          <w:szCs w:val="28"/>
        </w:rPr>
      </w:pPr>
      <w:r>
        <w:rPr>
          <w:rFonts w:ascii="仿宋" w:hAnsi="仿宋" w:eastAsia="仿宋"/>
          <w:color w:val="auto"/>
          <w:sz w:val="28"/>
          <w:szCs w:val="28"/>
        </w:rPr>
        <w:t>1.8本项目投标范围（具体范围及面积见附件二）</w:t>
      </w:r>
    </w:p>
    <w:p w14:paraId="7DE5A427">
      <w:pPr>
        <w:spacing w:line="360" w:lineRule="auto"/>
        <w:rPr>
          <w:rFonts w:hint="default" w:ascii="仿宋" w:hAnsi="仿宋" w:eastAsia="仿宋"/>
          <w:color w:val="auto"/>
          <w:sz w:val="28"/>
          <w:szCs w:val="28"/>
        </w:rPr>
      </w:pPr>
      <w:r>
        <w:rPr>
          <w:rFonts w:ascii="仿宋" w:hAnsi="仿宋" w:eastAsia="仿宋"/>
          <w:color w:val="auto"/>
          <w:sz w:val="28"/>
          <w:szCs w:val="28"/>
        </w:rPr>
        <w:t>投标人应根据采购人的要求，编撰展陈设计方案，并负责展示厅布展设计、制作、布展施工及布展综合事务协调总包服务（包括但不限于以下内容）：</w:t>
      </w:r>
    </w:p>
    <w:p w14:paraId="4C0231AE">
      <w:pPr>
        <w:spacing w:line="360" w:lineRule="auto"/>
        <w:rPr>
          <w:rFonts w:hint="default" w:ascii="仿宋" w:hAnsi="仿宋" w:eastAsia="仿宋"/>
          <w:color w:val="auto"/>
          <w:sz w:val="28"/>
          <w:szCs w:val="28"/>
        </w:rPr>
      </w:pPr>
      <w:r>
        <w:rPr>
          <w:rFonts w:ascii="仿宋" w:hAnsi="仿宋" w:eastAsia="仿宋"/>
          <w:color w:val="auto"/>
          <w:sz w:val="28"/>
          <w:szCs w:val="28"/>
        </w:rPr>
        <w:t>（1）陈列布展方案设计；</w:t>
      </w:r>
    </w:p>
    <w:p w14:paraId="020546C7">
      <w:pPr>
        <w:spacing w:line="360" w:lineRule="auto"/>
        <w:rPr>
          <w:rFonts w:hint="default" w:ascii="仿宋" w:hAnsi="仿宋" w:eastAsia="仿宋"/>
          <w:color w:val="auto"/>
          <w:sz w:val="28"/>
          <w:szCs w:val="28"/>
        </w:rPr>
      </w:pPr>
      <w:r>
        <w:rPr>
          <w:rFonts w:ascii="仿宋" w:hAnsi="仿宋" w:eastAsia="仿宋"/>
          <w:color w:val="auto"/>
          <w:sz w:val="28"/>
          <w:szCs w:val="28"/>
        </w:rPr>
        <w:t>（2）陈列制作及施工费用（本项目范围内的所有陈列制作及相关费用，包括但不限于以下内容）</w:t>
      </w:r>
    </w:p>
    <w:p w14:paraId="0EAEB235">
      <w:pPr>
        <w:spacing w:line="360" w:lineRule="auto"/>
        <w:rPr>
          <w:rFonts w:hint="default" w:ascii="仿宋" w:hAnsi="仿宋" w:eastAsia="仿宋"/>
          <w:color w:val="auto"/>
          <w:sz w:val="28"/>
          <w:szCs w:val="28"/>
        </w:rPr>
      </w:pPr>
      <w:r>
        <w:rPr>
          <w:rFonts w:ascii="仿宋" w:hAnsi="仿宋" w:eastAsia="仿宋"/>
          <w:color w:val="auto"/>
          <w:sz w:val="28"/>
          <w:szCs w:val="28"/>
        </w:rPr>
        <w:t>1、背景墙、版面及相关道具、美工等设计、制作。</w:t>
      </w:r>
    </w:p>
    <w:p w14:paraId="05EEF1DC">
      <w:pPr>
        <w:spacing w:line="360" w:lineRule="auto"/>
        <w:rPr>
          <w:rFonts w:hint="default" w:ascii="仿宋" w:hAnsi="仿宋" w:eastAsia="仿宋"/>
          <w:color w:val="auto"/>
          <w:sz w:val="28"/>
          <w:szCs w:val="28"/>
        </w:rPr>
      </w:pPr>
      <w:r>
        <w:rPr>
          <w:rFonts w:ascii="仿宋" w:hAnsi="仿宋" w:eastAsia="仿宋"/>
          <w:color w:val="auto"/>
          <w:sz w:val="28"/>
          <w:szCs w:val="28"/>
        </w:rPr>
        <w:t>2、电气安装：弱电管线、动力及照明配电箱安装等。</w:t>
      </w:r>
    </w:p>
    <w:p w14:paraId="6C8FDC92">
      <w:pPr>
        <w:spacing w:line="360" w:lineRule="auto"/>
        <w:rPr>
          <w:rFonts w:hint="default" w:ascii="仿宋" w:hAnsi="仿宋" w:eastAsia="仿宋"/>
          <w:color w:val="auto"/>
          <w:sz w:val="28"/>
          <w:szCs w:val="28"/>
        </w:rPr>
      </w:pPr>
      <w:r>
        <w:rPr>
          <w:rFonts w:ascii="仿宋" w:hAnsi="仿宋" w:eastAsia="仿宋"/>
          <w:color w:val="auto"/>
          <w:sz w:val="28"/>
          <w:szCs w:val="28"/>
        </w:rPr>
        <w:t>3、展陈灯光设计：专业博物馆或展馆展陈灯具,光源系统。</w:t>
      </w:r>
    </w:p>
    <w:p w14:paraId="6442E9C0">
      <w:pPr>
        <w:spacing w:line="360" w:lineRule="auto"/>
        <w:rPr>
          <w:rFonts w:hint="default" w:ascii="仿宋" w:hAnsi="仿宋" w:eastAsia="仿宋"/>
          <w:color w:val="auto"/>
          <w:sz w:val="28"/>
          <w:szCs w:val="28"/>
        </w:rPr>
      </w:pPr>
      <w:r>
        <w:rPr>
          <w:rFonts w:ascii="仿宋" w:hAnsi="仿宋" w:eastAsia="仿宋"/>
          <w:color w:val="auto"/>
          <w:sz w:val="28"/>
          <w:szCs w:val="28"/>
        </w:rPr>
        <w:t>4、专业展柜：专业博物馆或展馆展柜系统。</w:t>
      </w:r>
    </w:p>
    <w:p w14:paraId="3FA400C8">
      <w:pPr>
        <w:spacing w:line="360" w:lineRule="auto"/>
        <w:rPr>
          <w:rFonts w:hint="default" w:ascii="仿宋" w:hAnsi="仿宋" w:eastAsia="仿宋"/>
          <w:color w:val="auto"/>
          <w:sz w:val="28"/>
          <w:szCs w:val="28"/>
        </w:rPr>
      </w:pPr>
      <w:r>
        <w:rPr>
          <w:rFonts w:ascii="仿宋" w:hAnsi="仿宋" w:eastAsia="仿宋"/>
          <w:color w:val="auto"/>
          <w:sz w:val="28"/>
          <w:szCs w:val="28"/>
        </w:rPr>
        <w:t>5、美工布展：平面美术展板、托架、说明牌制作等。</w:t>
      </w:r>
    </w:p>
    <w:p w14:paraId="51C14E93">
      <w:pPr>
        <w:spacing w:line="360" w:lineRule="auto"/>
        <w:rPr>
          <w:rFonts w:hint="default" w:ascii="仿宋" w:hAnsi="仿宋" w:eastAsia="仿宋"/>
          <w:color w:val="auto"/>
          <w:sz w:val="28"/>
          <w:szCs w:val="28"/>
        </w:rPr>
      </w:pPr>
      <w:r>
        <w:rPr>
          <w:rFonts w:ascii="仿宋" w:hAnsi="仿宋" w:eastAsia="仿宋"/>
          <w:color w:val="auto"/>
          <w:sz w:val="28"/>
          <w:szCs w:val="28"/>
        </w:rPr>
        <w:t>6、展项、艺术品、场景、展品仿制的创作及制作。</w:t>
      </w:r>
    </w:p>
    <w:p w14:paraId="10F2AD9E">
      <w:pPr>
        <w:spacing w:line="360" w:lineRule="auto"/>
        <w:rPr>
          <w:rFonts w:hint="default" w:ascii="仿宋" w:hAnsi="仿宋" w:eastAsia="仿宋"/>
          <w:color w:val="auto"/>
          <w:sz w:val="28"/>
          <w:szCs w:val="28"/>
        </w:rPr>
      </w:pPr>
      <w:r>
        <w:rPr>
          <w:rFonts w:ascii="仿宋" w:hAnsi="仿宋" w:eastAsia="仿宋"/>
          <w:color w:val="auto"/>
          <w:sz w:val="28"/>
          <w:szCs w:val="28"/>
        </w:rPr>
        <w:t>7、多媒体展项工作包含与展陈大纲相匹配的硬件设备采购、安装及集成，以及与之配套的定制化多媒体数字内容制作。该制作需基于展陈大纲进行整体策划与开发，涵盖但不限于展览内容主题影像、互动程序、数据可视化、作家影像拍摄与记录、历史空间与城市街区的实景拍摄与影像合成、展览中的数据查询系统开发等内容，并确保多媒体系统与展陈空间、参观动线及照明环境实现整体协同设计。</w:t>
      </w:r>
    </w:p>
    <w:p w14:paraId="4BD98676">
      <w:pPr>
        <w:spacing w:line="360" w:lineRule="auto"/>
        <w:rPr>
          <w:rFonts w:hint="default" w:ascii="仿宋" w:hAnsi="仿宋" w:eastAsia="仿宋"/>
          <w:color w:val="auto"/>
          <w:sz w:val="28"/>
          <w:szCs w:val="28"/>
        </w:rPr>
      </w:pPr>
      <w:r>
        <w:rPr>
          <w:rFonts w:ascii="仿宋" w:hAnsi="仿宋" w:eastAsia="仿宋"/>
          <w:color w:val="auto"/>
          <w:sz w:val="28"/>
          <w:szCs w:val="28"/>
        </w:rPr>
        <w:t>8、展厅内导览标识系统。</w:t>
      </w:r>
    </w:p>
    <w:p w14:paraId="4E2C3839">
      <w:pPr>
        <w:spacing w:line="360" w:lineRule="auto"/>
        <w:rPr>
          <w:rFonts w:hint="default" w:ascii="仿宋" w:hAnsi="仿宋" w:eastAsia="仿宋"/>
          <w:color w:val="auto"/>
          <w:sz w:val="28"/>
          <w:szCs w:val="28"/>
        </w:rPr>
      </w:pPr>
      <w:r>
        <w:rPr>
          <w:rFonts w:ascii="仿宋" w:hAnsi="仿宋" w:eastAsia="仿宋"/>
          <w:color w:val="auto"/>
          <w:sz w:val="28"/>
          <w:szCs w:val="28"/>
        </w:rPr>
        <w:t>9、特别展览区空间：含内容设计和呈现方式，需配基本展示设施、吊画轨道等辅助设施、专业灯光、展柜等特别展览区必备的展陈设施。展柜设计应考虑展品存取方便、安全可靠，制作优良、经久耐用。设备和产品的设计、生产、和安装必须符合国家有关规范和标准，以保证展品的安全及观众参观的舒适性。相关设备和产品应具备较高的标准化程度，便于安装和拓展其他功能，并保证配套有完善的售后服务。</w:t>
      </w:r>
    </w:p>
    <w:p w14:paraId="5B7FBAEF">
      <w:pPr>
        <w:pStyle w:val="2"/>
        <w:ind w:left="420" w:leftChars="0" w:firstLine="0" w:firstLineChars="0"/>
        <w:rPr>
          <w:rFonts w:hint="default"/>
        </w:rPr>
      </w:pPr>
    </w:p>
    <w:p w14:paraId="3B9D59EF">
      <w:pPr>
        <w:pStyle w:val="4"/>
        <w:spacing w:line="240" w:lineRule="auto"/>
        <w:rPr>
          <w:rFonts w:hint="default" w:ascii="仿宋" w:hAnsi="仿宋" w:eastAsia="仿宋"/>
          <w:color w:val="auto"/>
          <w:sz w:val="28"/>
          <w:szCs w:val="28"/>
        </w:rPr>
      </w:pPr>
      <w:r>
        <w:rPr>
          <w:rFonts w:ascii="仿宋" w:hAnsi="仿宋" w:eastAsia="仿宋"/>
          <w:color w:val="auto"/>
          <w:sz w:val="28"/>
          <w:szCs w:val="28"/>
        </w:rPr>
        <w:t>第二章 设计原则与总体要求</w:t>
      </w:r>
    </w:p>
    <w:p w14:paraId="505B7DF2">
      <w:pPr>
        <w:pStyle w:val="5"/>
        <w:spacing w:line="240" w:lineRule="auto"/>
        <w:rPr>
          <w:rFonts w:hint="default" w:ascii="仿宋" w:hAnsi="仿宋" w:eastAsia="仿宋"/>
          <w:color w:val="auto"/>
          <w:sz w:val="28"/>
          <w:szCs w:val="28"/>
        </w:rPr>
      </w:pPr>
      <w:r>
        <w:rPr>
          <w:rFonts w:ascii="仿宋" w:hAnsi="仿宋" w:eastAsia="仿宋"/>
          <w:color w:val="auto"/>
          <w:sz w:val="28"/>
          <w:szCs w:val="28"/>
        </w:rPr>
        <w:t>2.1 设计原则</w:t>
      </w:r>
    </w:p>
    <w:p w14:paraId="415922E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投标人应参考采购人提供的“附件1：上海文学馆展览大纲”、“附件2：展馆建筑平面图”的内容，在总体设计中遵循以下原则：</w:t>
      </w:r>
    </w:p>
    <w:p w14:paraId="0EDC1CA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w:t>
      </w:r>
      <w:r>
        <w:rPr>
          <w:b/>
          <w:bCs/>
        </w:rPr>
        <w:t>系统性原则</w:t>
      </w:r>
      <w:r>
        <w:rPr>
          <w:rFonts w:ascii="仿宋" w:hAnsi="仿宋" w:eastAsia="仿宋"/>
          <w:color w:val="auto"/>
          <w:sz w:val="28"/>
          <w:szCs w:val="28"/>
        </w:rPr>
        <w:t>：展陈空间、展陈内容、技术系统、照明环境、导览标识、安防与消防系统等须形成统一整体，确保设计方案协调一致。</w:t>
      </w:r>
      <w:r>
        <w:rPr>
          <w:rFonts w:ascii="仿宋" w:hAnsi="仿宋" w:eastAsia="仿宋"/>
          <w:color w:val="auto"/>
          <w:sz w:val="28"/>
          <w:szCs w:val="28"/>
        </w:rPr>
        <w:br w:type="textWrapping"/>
      </w:r>
      <w:r>
        <w:rPr>
          <w:rFonts w:ascii="仿宋" w:hAnsi="仿宋" w:eastAsia="仿宋"/>
          <w:color w:val="auto"/>
          <w:sz w:val="28"/>
          <w:szCs w:val="28"/>
        </w:rPr>
        <w:t>（2）</w:t>
      </w:r>
      <w:r>
        <w:rPr>
          <w:b/>
          <w:bCs/>
        </w:rPr>
        <w:t>创新性原则</w:t>
      </w:r>
      <w:r>
        <w:rPr>
          <w:rFonts w:ascii="仿宋" w:hAnsi="仿宋" w:eastAsia="仿宋"/>
          <w:color w:val="auto"/>
          <w:sz w:val="28"/>
          <w:szCs w:val="28"/>
        </w:rPr>
        <w:t>：采用新技术、新材料、新形式，打造集智慧化、数字化与艺术化于一体的现代化文学展馆。</w:t>
      </w:r>
      <w:r>
        <w:rPr>
          <w:rFonts w:ascii="仿宋" w:hAnsi="仿宋" w:eastAsia="仿宋"/>
          <w:color w:val="auto"/>
          <w:sz w:val="28"/>
          <w:szCs w:val="28"/>
        </w:rPr>
        <w:br w:type="textWrapping"/>
      </w:r>
      <w:r>
        <w:rPr>
          <w:rFonts w:ascii="仿宋" w:hAnsi="仿宋" w:eastAsia="仿宋"/>
          <w:color w:val="auto"/>
          <w:sz w:val="28"/>
          <w:szCs w:val="28"/>
        </w:rPr>
        <w:t>（3）</w:t>
      </w:r>
      <w:r>
        <w:rPr>
          <w:b/>
          <w:bCs/>
        </w:rPr>
        <w:t>人本性原则</w:t>
      </w:r>
      <w:r>
        <w:rPr>
          <w:rFonts w:ascii="仿宋" w:hAnsi="仿宋" w:eastAsia="仿宋"/>
          <w:color w:val="auto"/>
          <w:sz w:val="28"/>
          <w:szCs w:val="28"/>
        </w:rPr>
        <w:t>：以观众体验为核心，注重参观流线、动线舒适性与交互性，体现以人为本的设计理念。</w:t>
      </w:r>
      <w:r>
        <w:rPr>
          <w:rFonts w:ascii="仿宋" w:hAnsi="仿宋" w:eastAsia="仿宋"/>
          <w:color w:val="auto"/>
          <w:sz w:val="28"/>
          <w:szCs w:val="28"/>
        </w:rPr>
        <w:br w:type="textWrapping"/>
      </w:r>
      <w:r>
        <w:rPr>
          <w:rFonts w:ascii="仿宋" w:hAnsi="仿宋" w:eastAsia="仿宋"/>
          <w:color w:val="auto"/>
          <w:sz w:val="28"/>
          <w:szCs w:val="28"/>
        </w:rPr>
        <w:t>（4）</w:t>
      </w:r>
      <w:r>
        <w:rPr>
          <w:b/>
          <w:bCs/>
        </w:rPr>
        <w:t>安全性原则</w:t>
      </w:r>
      <w:r>
        <w:rPr>
          <w:rFonts w:ascii="仿宋" w:hAnsi="仿宋" w:eastAsia="仿宋"/>
          <w:color w:val="auto"/>
          <w:sz w:val="28"/>
          <w:szCs w:val="28"/>
        </w:rPr>
        <w:t>：严格遵守国家安全、消防、文保及建筑规范，确保观众安全与展品保护。</w:t>
      </w:r>
      <w:r>
        <w:rPr>
          <w:rFonts w:ascii="仿宋" w:hAnsi="仿宋" w:eastAsia="仿宋"/>
          <w:color w:val="auto"/>
          <w:sz w:val="28"/>
          <w:szCs w:val="28"/>
        </w:rPr>
        <w:br w:type="textWrapping"/>
      </w:r>
      <w:r>
        <w:rPr>
          <w:rFonts w:ascii="仿宋" w:hAnsi="仿宋" w:eastAsia="仿宋"/>
          <w:color w:val="auto"/>
          <w:sz w:val="28"/>
          <w:szCs w:val="28"/>
        </w:rPr>
        <w:t>（5）</w:t>
      </w:r>
      <w:r>
        <w:rPr>
          <w:b/>
          <w:bCs/>
        </w:rPr>
        <w:t>可持续性原则</w:t>
      </w:r>
      <w:r>
        <w:rPr>
          <w:rFonts w:ascii="仿宋" w:hAnsi="仿宋" w:eastAsia="仿宋"/>
          <w:color w:val="auto"/>
          <w:sz w:val="28"/>
          <w:szCs w:val="28"/>
        </w:rPr>
        <w:t>：强调节能环保、材料可再利用与设备可维护性，实现展馆运营的可持续发展。</w:t>
      </w:r>
    </w:p>
    <w:p w14:paraId="09ADC68A">
      <w:pPr>
        <w:pStyle w:val="5"/>
        <w:spacing w:line="240" w:lineRule="auto"/>
        <w:rPr>
          <w:rFonts w:hint="default" w:ascii="仿宋" w:hAnsi="仿宋" w:eastAsia="仿宋"/>
          <w:color w:val="auto"/>
          <w:sz w:val="28"/>
          <w:szCs w:val="28"/>
        </w:rPr>
      </w:pPr>
      <w:r>
        <w:rPr>
          <w:rFonts w:ascii="仿宋" w:hAnsi="仿宋" w:eastAsia="仿宋"/>
          <w:color w:val="auto"/>
          <w:sz w:val="28"/>
          <w:szCs w:val="28"/>
        </w:rPr>
        <w:t>2.2 设计要求</w:t>
      </w:r>
    </w:p>
    <w:p w14:paraId="7F446FF3">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整体设计创意及风格要求大气简洁、时代与文化特色鲜明、并结合现代元素，构思新颖、亮点突出。（具有前瞻性、持续性）</w:t>
      </w:r>
    </w:p>
    <w:p w14:paraId="31C9A2C3">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设计中需体现兼顾社会经济效益，采用限额设计。设计过程中，应该充分考虑在本项目社会效益的基础上兼顾设计与展品制作成本，维护费用和运营费用等经济因素。</w:t>
      </w:r>
    </w:p>
    <w:p w14:paraId="493206B4">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在保证每个展区主题鲜明的同时，应充分考虑各展区之间的相互关系，形成科学合理的整体范围、系统设计。</w:t>
      </w:r>
    </w:p>
    <w:p w14:paraId="562F8DB5">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合展示内容，布局互动项目，增加观众参与性，互动项目要求与展示内容紧密相关，力求创新，注重知识性与趣味性的有机结合。形式设计要做到将展览内容的丰富性与展览方式的多样化、现代化和技术化有机结合起来，形象深刻地揭示展览的主题和内涵。</w:t>
      </w:r>
    </w:p>
    <w:p w14:paraId="3CD8296B">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所有展陈素材在保持史料原真度的前提下，须经过符合展陈效果的提升处理。</w:t>
      </w:r>
    </w:p>
    <w:p w14:paraId="0798EC10">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要根据展览传播目的和展览内容，科学设计展品摆放（实物展品、辅助展品），合理安排展览信息，使观众轻松接受展览要传递的内容和信息。</w:t>
      </w:r>
    </w:p>
    <w:p w14:paraId="43C9A530">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展厅环境设计和气氛营造要庄重、大气，与建筑空间、展览内容完美结合，相互呼应，相得益彰，浑然一体。既要能起到烘托展示内容的作用，又能为观众创造一个舒适、和谐和温馨的参观环境。</w:t>
      </w:r>
    </w:p>
    <w:p w14:paraId="7DFA12E3">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展柜、辅助展品及装饰材料的取材要讲究低碳环保；注意善于利用材质的肌理和质感来映衬展览的内容，增强展览的艺术表现力；展柜、辅助展品的制作和工艺要严谨精细，有技术和安全的支撑和保障。</w:t>
      </w:r>
    </w:p>
    <w:p w14:paraId="74033583">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设计图中要对陈展亮点进行设计并说明。</w:t>
      </w:r>
    </w:p>
    <w:p w14:paraId="30FAD634">
      <w:pPr>
        <w:pStyle w:val="18"/>
        <w:numPr>
          <w:ilvl w:val="0"/>
          <w:numId w:val="1"/>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设计创意要求</w:t>
      </w:r>
    </w:p>
    <w:p w14:paraId="1F7EFA51">
      <w:pPr>
        <w:pStyle w:val="18"/>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1、展陈设计要完美体现主题内容，调动各种陈列艺术语言，为陈列主题服务，坚持创新，陈列手段新颖、独特，具有强烈的艺术感染力历史震撼力和视觉冲击力。</w:t>
      </w:r>
    </w:p>
    <w:p w14:paraId="78B8F96B">
      <w:pPr>
        <w:pStyle w:val="18"/>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2、设计重点突出、展线合理且节奏感强，每个展厅有若干个展示亮点。</w:t>
      </w:r>
    </w:p>
    <w:p w14:paraId="5507C0DA">
      <w:pPr>
        <w:pStyle w:val="18"/>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3、设计应充分体现“以人为本”的原则，充分考虑不同观众群体的特性，陈设既要追求高雅的审美情趣，又要具有满足各类人群需求的普适性和大众性；</w:t>
      </w:r>
    </w:p>
    <w:p w14:paraId="109F34DD">
      <w:pPr>
        <w:pStyle w:val="18"/>
        <w:spacing w:before="0" w:beforeAutospacing="0" w:after="0" w:afterAutospacing="0" w:line="360" w:lineRule="auto"/>
        <w:jc w:val="both"/>
        <w:rPr>
          <w:rFonts w:hint="default" w:ascii="仿宋" w:hAnsi="仿宋" w:eastAsia="仿宋"/>
          <w:color w:val="auto"/>
          <w:sz w:val="28"/>
          <w:szCs w:val="28"/>
        </w:rPr>
      </w:pPr>
      <w:r>
        <w:rPr>
          <w:rFonts w:ascii="仿宋" w:hAnsi="仿宋" w:eastAsia="仿宋"/>
          <w:color w:val="auto"/>
          <w:sz w:val="28"/>
          <w:szCs w:val="28"/>
        </w:rPr>
        <w:t>4、在充分考虑经济合理性、耐用性的前提下，合理运用声、光、电、AI、AR/VR/MR等前沿技术，对陈列的重点、亮点部分加以体现，增加展示的趣味性与互动性。在展示设计中，总体应强调把观众的注意力吸引到展品上，在展示形式设计上注意“度”的把握，装饰应避免过于繁杂，防止喧宾夺主。</w:t>
      </w:r>
    </w:p>
    <w:p w14:paraId="1FC868E3">
      <w:pPr>
        <w:pStyle w:val="5"/>
        <w:spacing w:line="240" w:lineRule="auto"/>
        <w:rPr>
          <w:rFonts w:hint="default" w:ascii="仿宋" w:hAnsi="仿宋" w:eastAsia="仿宋"/>
          <w:color w:val="auto"/>
          <w:sz w:val="28"/>
          <w:szCs w:val="28"/>
        </w:rPr>
      </w:pPr>
      <w:r>
        <w:rPr>
          <w:rFonts w:ascii="仿宋" w:hAnsi="仿宋" w:eastAsia="仿宋"/>
          <w:color w:val="auto"/>
          <w:sz w:val="28"/>
          <w:szCs w:val="28"/>
        </w:rPr>
        <w:t>2.3 本次投标设计方案需提供成果</w:t>
      </w:r>
    </w:p>
    <w:p w14:paraId="3C2E1DB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投标人根据理解，提交能最大限度展现自身实力和设计思想的设计说明书与设计图纸，包括但不限于：</w:t>
      </w:r>
    </w:p>
    <w:p w14:paraId="7C1C515A">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全馆布局与参观流线等直接表达方案思路的设计分析图</w:t>
      </w:r>
    </w:p>
    <w:p w14:paraId="6B5F03BD">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总平面布置图、总效果图</w:t>
      </w:r>
    </w:p>
    <w:p w14:paraId="3537DDE9">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各展区平面布置图、各展区效果图（视点和数量自定）</w:t>
      </w:r>
    </w:p>
    <w:p w14:paraId="33764910">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轴测图、立面图</w:t>
      </w:r>
    </w:p>
    <w:p w14:paraId="63411A93">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展品（实物）摆放方式（技术）示意图</w:t>
      </w:r>
    </w:p>
    <w:p w14:paraId="5D67E9FE">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照明技术方案（参照和符合博物馆照明标准）</w:t>
      </w:r>
    </w:p>
    <w:p w14:paraId="073C7AC3">
      <w:pPr>
        <w:pStyle w:val="18"/>
        <w:numPr>
          <w:ilvl w:val="0"/>
          <w:numId w:val="2"/>
        </w:numPr>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专业展柜技术方案（参照和符合博物馆展柜标准）</w:t>
      </w:r>
    </w:p>
    <w:p w14:paraId="676F2300">
      <w:pPr>
        <w:pStyle w:val="5"/>
        <w:adjustRightInd w:val="0"/>
        <w:snapToGrid w:val="0"/>
        <w:spacing w:line="240" w:lineRule="auto"/>
        <w:rPr>
          <w:rFonts w:hint="default" w:ascii="仿宋" w:hAnsi="仿宋" w:eastAsia="仿宋"/>
          <w:color w:val="auto"/>
          <w:sz w:val="28"/>
          <w:szCs w:val="28"/>
        </w:rPr>
      </w:pPr>
      <w:r>
        <w:rPr>
          <w:rFonts w:ascii="仿宋" w:hAnsi="仿宋" w:eastAsia="仿宋"/>
          <w:color w:val="auto"/>
          <w:sz w:val="28"/>
          <w:szCs w:val="28"/>
        </w:rPr>
        <w:t>2.4 总体技术要求</w:t>
      </w:r>
    </w:p>
    <w:p w14:paraId="36332D9F">
      <w:pPr>
        <w:pStyle w:val="18"/>
        <w:adjustRightInd w:val="0"/>
        <w:snapToGrid w:val="0"/>
        <w:rPr>
          <w:rFonts w:hint="default" w:ascii="仿宋" w:hAnsi="仿宋" w:eastAsia="仿宋"/>
          <w:bCs/>
          <w:sz w:val="28"/>
          <w:szCs w:val="28"/>
        </w:rPr>
      </w:pPr>
      <w:r>
        <w:rPr>
          <w:rFonts w:ascii="仿宋" w:hAnsi="仿宋" w:eastAsia="仿宋"/>
          <w:color w:val="auto"/>
          <w:sz w:val="28"/>
          <w:szCs w:val="28"/>
        </w:rPr>
        <w:t>（1）</w:t>
      </w:r>
      <w:r>
        <w:rPr>
          <w:rFonts w:ascii="仿宋" w:hAnsi="仿宋" w:eastAsia="仿宋"/>
          <w:b/>
          <w:bCs/>
          <w:sz w:val="28"/>
          <w:szCs w:val="28"/>
        </w:rPr>
        <w:t>照明系统</w:t>
      </w:r>
      <w:r>
        <w:rPr>
          <w:rFonts w:ascii="仿宋" w:hAnsi="仿宋" w:eastAsia="仿宋"/>
          <w:color w:val="auto"/>
          <w:sz w:val="28"/>
          <w:szCs w:val="28"/>
        </w:rPr>
        <w:t>：采用高显色LED灯具，CRI≥95，重点照明与背景照明分路控制，预设场景模式。</w:t>
      </w:r>
      <w:r>
        <w:rPr>
          <w:rFonts w:ascii="仿宋" w:hAnsi="仿宋" w:eastAsia="仿宋"/>
          <w:color w:val="auto"/>
          <w:sz w:val="28"/>
          <w:szCs w:val="28"/>
        </w:rPr>
        <w:br w:type="textWrapping"/>
      </w:r>
      <w:r>
        <w:rPr>
          <w:rFonts w:ascii="仿宋" w:hAnsi="仿宋" w:eastAsia="仿宋"/>
          <w:color w:val="auto"/>
          <w:sz w:val="28"/>
          <w:szCs w:val="28"/>
        </w:rPr>
        <w:t>（2）</w:t>
      </w:r>
      <w:r>
        <w:rPr>
          <w:rFonts w:ascii="仿宋" w:hAnsi="仿宋" w:eastAsia="仿宋"/>
          <w:b/>
          <w:bCs/>
          <w:sz w:val="28"/>
          <w:szCs w:val="28"/>
        </w:rPr>
        <w:t>多媒体系统：</w:t>
      </w:r>
      <w:r>
        <w:rPr>
          <w:rFonts w:ascii="仿宋" w:hAnsi="仿宋" w:eastAsia="仿宋"/>
          <w:bCs/>
          <w:sz w:val="28"/>
          <w:szCs w:val="28"/>
        </w:rPr>
        <w:t>采用模块化设计，满足不同展项内容更新需求，兼容投影、LED拼接屏等形式并按展项需求考虑互动性。</w:t>
      </w:r>
    </w:p>
    <w:p w14:paraId="2B06CE0B">
      <w:pPr>
        <w:pStyle w:val="18"/>
        <w:adjustRightInd w:val="0"/>
        <w:snapToGrid w:val="0"/>
        <w:rPr>
          <w:rFonts w:hint="default" w:ascii="仿宋" w:hAnsi="仿宋" w:eastAsia="仿宋"/>
          <w:color w:val="auto"/>
          <w:sz w:val="28"/>
          <w:szCs w:val="28"/>
        </w:rPr>
      </w:pPr>
      <w:r>
        <w:rPr>
          <w:rFonts w:ascii="仿宋" w:hAnsi="仿宋" w:eastAsia="仿宋"/>
          <w:color w:val="auto"/>
          <w:sz w:val="28"/>
          <w:szCs w:val="28"/>
        </w:rPr>
        <w:t>（3）</w:t>
      </w:r>
      <w:r>
        <w:rPr>
          <w:rFonts w:ascii="仿宋" w:hAnsi="仿宋" w:eastAsia="仿宋"/>
          <w:b/>
          <w:sz w:val="28"/>
          <w:szCs w:val="28"/>
        </w:rPr>
        <w:t>展柜系统</w:t>
      </w:r>
      <w:r>
        <w:rPr>
          <w:rFonts w:ascii="仿宋" w:hAnsi="仿宋" w:eastAsia="仿宋"/>
          <w:color w:val="auto"/>
          <w:sz w:val="28"/>
          <w:szCs w:val="28"/>
        </w:rPr>
        <w:t>：防紫外、防尘、防潮，符合文物展陈标准，展示纸制品原件的展柜需符合国家文物局要求的恒温恒湿标准。</w:t>
      </w:r>
      <w:r>
        <w:rPr>
          <w:rFonts w:hint="default" w:ascii="仿宋" w:hAnsi="仿宋" w:eastAsia="仿宋"/>
          <w:color w:val="auto"/>
          <w:sz w:val="28"/>
          <w:szCs w:val="28"/>
        </w:rPr>
        <w:br w:type="textWrapping"/>
      </w:r>
      <w:r>
        <w:rPr>
          <w:rFonts w:ascii="仿宋" w:hAnsi="仿宋" w:eastAsia="仿宋"/>
          <w:color w:val="auto"/>
          <w:sz w:val="28"/>
          <w:szCs w:val="28"/>
        </w:rPr>
        <w:t>（4）</w:t>
      </w:r>
      <w:r>
        <w:rPr>
          <w:rFonts w:ascii="仿宋" w:hAnsi="仿宋" w:eastAsia="仿宋"/>
          <w:b/>
          <w:sz w:val="28"/>
          <w:szCs w:val="28"/>
        </w:rPr>
        <w:t>导览系统</w:t>
      </w:r>
      <w:r>
        <w:rPr>
          <w:rFonts w:ascii="仿宋" w:hAnsi="仿宋" w:eastAsia="仿宋"/>
          <w:color w:val="auto"/>
          <w:sz w:val="28"/>
          <w:szCs w:val="28"/>
        </w:rPr>
        <w:t>：提供二维码、语音讲解及数字导览；支持中英文切换及无障碍辅助功能。</w:t>
      </w:r>
      <w:r>
        <w:rPr>
          <w:rFonts w:hint="default" w:ascii="仿宋" w:hAnsi="仿宋" w:eastAsia="仿宋"/>
          <w:color w:val="auto"/>
          <w:sz w:val="28"/>
          <w:szCs w:val="28"/>
        </w:rPr>
        <w:br w:type="textWrapping"/>
      </w:r>
      <w:r>
        <w:rPr>
          <w:rFonts w:ascii="仿宋" w:hAnsi="仿宋" w:eastAsia="仿宋"/>
          <w:color w:val="auto"/>
          <w:sz w:val="28"/>
          <w:szCs w:val="28"/>
        </w:rPr>
        <w:t>（5）</w:t>
      </w:r>
      <w:r>
        <w:rPr>
          <w:rFonts w:ascii="仿宋" w:hAnsi="仿宋" w:eastAsia="仿宋"/>
          <w:b/>
          <w:sz w:val="28"/>
          <w:szCs w:val="28"/>
        </w:rPr>
        <w:t>信息化系统</w:t>
      </w:r>
      <w:r>
        <w:rPr>
          <w:rFonts w:ascii="仿宋" w:hAnsi="仿宋" w:eastAsia="仿宋"/>
          <w:color w:val="auto"/>
          <w:sz w:val="28"/>
          <w:szCs w:val="28"/>
        </w:rPr>
        <w:t>：实现中控平台统一管理，涵盖照明、多媒体等。</w:t>
      </w:r>
      <w:r>
        <w:rPr>
          <w:rFonts w:hint="default" w:ascii="仿宋" w:hAnsi="仿宋" w:eastAsia="仿宋"/>
          <w:color w:val="auto"/>
          <w:sz w:val="28"/>
          <w:szCs w:val="28"/>
        </w:rPr>
        <w:br w:type="textWrapping"/>
      </w:r>
      <w:r>
        <w:rPr>
          <w:rFonts w:ascii="仿宋" w:hAnsi="仿宋" w:eastAsia="仿宋"/>
          <w:color w:val="auto"/>
          <w:sz w:val="28"/>
          <w:szCs w:val="28"/>
        </w:rPr>
        <w:t>（6）</w:t>
      </w:r>
      <w:r>
        <w:rPr>
          <w:rFonts w:ascii="仿宋" w:hAnsi="仿宋" w:eastAsia="仿宋"/>
          <w:b/>
          <w:sz w:val="28"/>
          <w:szCs w:val="28"/>
        </w:rPr>
        <w:t>环保要求</w:t>
      </w:r>
      <w:r>
        <w:rPr>
          <w:rFonts w:ascii="仿宋" w:hAnsi="仿宋" w:eastAsia="仿宋"/>
          <w:color w:val="auto"/>
          <w:sz w:val="28"/>
          <w:szCs w:val="28"/>
        </w:rPr>
        <w:t>：材料符合国家E1级环保标准，低VOC、低甲醛；安装施工全过程控制粉尘与噪音污染。</w:t>
      </w:r>
    </w:p>
    <w:p w14:paraId="0602EDEA">
      <w:pPr>
        <w:pStyle w:val="18"/>
        <w:adjustRightInd w:val="0"/>
        <w:snapToGrid w:val="0"/>
        <w:rPr>
          <w:rFonts w:hint="default" w:ascii="仿宋" w:hAnsi="仿宋" w:eastAsia="仿宋"/>
          <w:color w:val="auto"/>
          <w:sz w:val="28"/>
          <w:szCs w:val="28"/>
        </w:rPr>
      </w:pPr>
      <w:r>
        <w:rPr>
          <w:rFonts w:ascii="仿宋" w:hAnsi="仿宋" w:eastAsia="仿宋"/>
          <w:color w:val="auto"/>
          <w:sz w:val="28"/>
          <w:szCs w:val="28"/>
        </w:rPr>
        <w:t>（7）</w:t>
      </w:r>
      <w:r>
        <w:rPr>
          <w:rFonts w:ascii="仿宋" w:hAnsi="仿宋" w:eastAsia="仿宋"/>
          <w:b/>
          <w:color w:val="auto"/>
          <w:sz w:val="28"/>
          <w:szCs w:val="28"/>
        </w:rPr>
        <w:t>弱电系统</w:t>
      </w:r>
      <w:r>
        <w:rPr>
          <w:rFonts w:ascii="仿宋" w:hAnsi="仿宋" w:eastAsia="仿宋"/>
          <w:color w:val="auto"/>
          <w:sz w:val="28"/>
          <w:szCs w:val="28"/>
        </w:rPr>
        <w:t>：数码及电子产品应具备前瞻性与先进性，所有设备需经过甲方二次确认方可用于现场 。</w:t>
      </w:r>
    </w:p>
    <w:p w14:paraId="02BD21A7">
      <w:pPr>
        <w:pStyle w:val="4"/>
        <w:spacing w:line="240" w:lineRule="auto"/>
        <w:rPr>
          <w:rFonts w:hint="default" w:ascii="仿宋" w:hAnsi="仿宋" w:eastAsia="仿宋"/>
          <w:color w:val="auto"/>
          <w:sz w:val="28"/>
          <w:szCs w:val="28"/>
        </w:rPr>
      </w:pPr>
      <w:r>
        <w:rPr>
          <w:rFonts w:ascii="仿宋" w:hAnsi="仿宋" w:eastAsia="仿宋"/>
          <w:color w:val="auto"/>
          <w:sz w:val="28"/>
          <w:szCs w:val="28"/>
        </w:rPr>
        <w:t>第三章 展区建设内容与设计要求</w:t>
      </w:r>
    </w:p>
    <w:p w14:paraId="74EB6661">
      <w:pPr>
        <w:pStyle w:val="4"/>
        <w:spacing w:line="240" w:lineRule="auto"/>
        <w:rPr>
          <w:rFonts w:hint="default" w:ascii="仿宋" w:hAnsi="仿宋" w:eastAsia="仿宋"/>
          <w:color w:val="auto"/>
          <w:sz w:val="28"/>
          <w:szCs w:val="28"/>
        </w:rPr>
      </w:pPr>
      <w:r>
        <w:rPr>
          <w:rFonts w:ascii="仿宋" w:hAnsi="仿宋" w:eastAsia="仿宋"/>
          <w:color w:val="auto"/>
          <w:sz w:val="28"/>
          <w:szCs w:val="28"/>
        </w:rPr>
        <w:t>上海文学馆项目陈列布展（二标）：</w:t>
      </w:r>
    </w:p>
    <w:p w14:paraId="15E695CC">
      <w:pPr>
        <w:pStyle w:val="18"/>
        <w:rPr>
          <w:rFonts w:hint="default" w:ascii="仿宋" w:hAnsi="仿宋" w:eastAsia="仿宋"/>
          <w:color w:val="auto"/>
          <w:sz w:val="28"/>
          <w:szCs w:val="28"/>
        </w:rPr>
      </w:pPr>
      <w:r>
        <w:rPr>
          <w:rFonts w:ascii="仿宋" w:hAnsi="仿宋" w:eastAsia="仿宋"/>
          <w:color w:val="auto"/>
          <w:sz w:val="28"/>
          <w:szCs w:val="28"/>
        </w:rPr>
        <w:t>虹口区江西北路418号三层和四层项目的概念方案设计、深化设计，陈列布展的实施，范围包括：展陈美工制作、数字多媒体展项制作、专业照明采购、艺术展项制作、专业展柜采购、辅助道具制作，布展配套服务等工作</w:t>
      </w:r>
    </w:p>
    <w:p w14:paraId="4530C9ED">
      <w:pPr>
        <w:pStyle w:val="5"/>
        <w:spacing w:line="240" w:lineRule="auto"/>
        <w:rPr>
          <w:rFonts w:hint="default" w:ascii="仿宋" w:hAnsi="仿宋" w:eastAsia="仿宋"/>
          <w:color w:val="auto"/>
          <w:sz w:val="28"/>
          <w:szCs w:val="28"/>
        </w:rPr>
      </w:pPr>
      <w:r>
        <w:rPr>
          <w:rFonts w:ascii="仿宋" w:hAnsi="仿宋" w:eastAsia="仿宋"/>
          <w:color w:val="auto"/>
          <w:sz w:val="28"/>
          <w:szCs w:val="28"/>
        </w:rPr>
        <w:t>3.1江西北路418号三层（上海文学常设展包含：文学上海、左翼上海、都市上海）</w:t>
      </w:r>
    </w:p>
    <w:p w14:paraId="6B92E589">
      <w:pPr>
        <w:pStyle w:val="6"/>
        <w:spacing w:line="240" w:lineRule="auto"/>
        <w:rPr>
          <w:rFonts w:hint="default" w:ascii="仿宋" w:hAnsi="仿宋" w:eastAsia="仿宋"/>
          <w:color w:val="auto"/>
          <w:sz w:val="28"/>
          <w:szCs w:val="28"/>
        </w:rPr>
      </w:pPr>
      <w:r>
        <w:rPr>
          <w:rFonts w:ascii="仿宋" w:hAnsi="仿宋" w:eastAsia="仿宋"/>
          <w:color w:val="auto"/>
          <w:sz w:val="28"/>
          <w:szCs w:val="28"/>
        </w:rPr>
        <w:t>3.1.1展示主题</w:t>
      </w:r>
    </w:p>
    <w:p w14:paraId="651CE1DC">
      <w:pPr>
        <w:pStyle w:val="18"/>
        <w:rPr>
          <w:rFonts w:hint="default" w:ascii="仿宋" w:hAnsi="仿宋" w:eastAsia="仿宋"/>
          <w:color w:val="auto"/>
          <w:sz w:val="28"/>
          <w:szCs w:val="28"/>
        </w:rPr>
      </w:pPr>
      <w:r>
        <w:rPr>
          <w:rFonts w:ascii="仿宋" w:hAnsi="仿宋" w:eastAsia="仿宋"/>
          <w:color w:val="auto"/>
          <w:sz w:val="28"/>
          <w:szCs w:val="28"/>
        </w:rPr>
        <w:t>（1）文学上海：</w:t>
      </w:r>
      <w:r>
        <w:rPr>
          <w:rFonts w:ascii="仿宋" w:hAnsi="仿宋" w:eastAsia="仿宋"/>
          <w:color w:val="auto"/>
          <w:sz w:val="28"/>
          <w:szCs w:val="28"/>
          <w:lang w:bidi="ar"/>
        </w:rPr>
        <w:t>文学叙述中的上海形象。</w:t>
      </w:r>
    </w:p>
    <w:p w14:paraId="2447F572">
      <w:pPr>
        <w:pStyle w:val="18"/>
        <w:ind w:firstLine="560" w:firstLineChars="200"/>
        <w:rPr>
          <w:rFonts w:hint="default" w:ascii="仿宋" w:hAnsi="仿宋" w:eastAsia="仿宋"/>
          <w:color w:val="auto"/>
          <w:sz w:val="28"/>
          <w:szCs w:val="28"/>
        </w:rPr>
      </w:pPr>
      <w:r>
        <w:rPr>
          <w:rFonts w:ascii="仿宋" w:hAnsi="仿宋" w:eastAsia="仿宋"/>
          <w:color w:val="auto"/>
          <w:sz w:val="28"/>
          <w:szCs w:val="28"/>
        </w:rPr>
        <w:t>精选历代描写上海的文字片段，展现在文学的历史变迁及与城市发展的同步关系。观众由此可以欣赏到描写上海的不同风格的文字，形成对城市的关键印象。</w:t>
      </w:r>
    </w:p>
    <w:p w14:paraId="61FC9012">
      <w:pPr>
        <w:pStyle w:val="18"/>
        <w:rPr>
          <w:rFonts w:hint="default" w:ascii="仿宋" w:hAnsi="仿宋" w:eastAsia="仿宋"/>
          <w:color w:val="auto"/>
          <w:sz w:val="28"/>
          <w:szCs w:val="28"/>
        </w:rPr>
      </w:pPr>
      <w:r>
        <w:rPr>
          <w:rFonts w:ascii="仿宋" w:hAnsi="仿宋" w:eastAsia="仿宋"/>
          <w:color w:val="auto"/>
          <w:sz w:val="28"/>
          <w:szCs w:val="28"/>
        </w:rPr>
        <w:t>（2）左翼上海：作为中国左翼文艺运动大本营的上海文学</w:t>
      </w:r>
    </w:p>
    <w:p w14:paraId="158B3E0B">
      <w:pPr>
        <w:pStyle w:val="18"/>
        <w:rPr>
          <w:rFonts w:hint="default" w:ascii="仿宋" w:hAnsi="仿宋" w:eastAsia="仿宋"/>
          <w:color w:val="auto"/>
          <w:sz w:val="28"/>
          <w:szCs w:val="28"/>
        </w:rPr>
      </w:pPr>
      <w:r>
        <w:rPr>
          <w:rFonts w:ascii="仿宋" w:hAnsi="仿宋" w:eastAsia="仿宋"/>
          <w:color w:val="auto"/>
          <w:sz w:val="28"/>
          <w:szCs w:val="28"/>
        </w:rPr>
        <w:t>1、充分展现上海左翼文学在各方面的成就，以及对后来的影响。将枯燥的事件、论证、知识点变为形象的文字、画面，可感。</w:t>
      </w:r>
    </w:p>
    <w:p w14:paraId="0848D6E6">
      <w:pPr>
        <w:pStyle w:val="18"/>
        <w:rPr>
          <w:rFonts w:hint="default" w:ascii="仿宋" w:hAnsi="仿宋" w:eastAsia="仿宋"/>
          <w:color w:val="auto"/>
          <w:sz w:val="28"/>
          <w:szCs w:val="28"/>
        </w:rPr>
      </w:pPr>
      <w:r>
        <w:rPr>
          <w:rFonts w:ascii="仿宋" w:hAnsi="仿宋" w:eastAsia="仿宋"/>
          <w:color w:val="auto"/>
          <w:sz w:val="28"/>
          <w:szCs w:val="28"/>
        </w:rPr>
        <w:t>2、通过刊物、书籍、书信、照片、实物等故事性强的展品，展示左翼作家的生活与创作状态，从而显示他们为了信仰而写作的特点，需要在设计时考虑预留部分展品位置。</w:t>
      </w:r>
    </w:p>
    <w:p w14:paraId="7DE8B6F6">
      <w:pPr>
        <w:rPr>
          <w:rFonts w:hint="default" w:ascii="宋体" w:hAnsi="宋体" w:eastAsia="宋体" w:cs="宋体"/>
          <w:kern w:val="0"/>
          <w:lang w:bidi="ar"/>
        </w:rPr>
      </w:pPr>
      <w:r>
        <w:rPr>
          <w:rFonts w:ascii="仿宋" w:hAnsi="仿宋" w:eastAsia="仿宋"/>
          <w:color w:val="auto"/>
          <w:sz w:val="28"/>
          <w:szCs w:val="28"/>
        </w:rPr>
        <w:t>（3）都市上海：</w:t>
      </w:r>
      <w:r>
        <w:rPr>
          <w:rFonts w:ascii="仿宋" w:hAnsi="仿宋" w:eastAsia="仿宋"/>
          <w:color w:val="auto"/>
          <w:sz w:val="28"/>
          <w:szCs w:val="28"/>
          <w:lang w:bidi="ar"/>
        </w:rPr>
        <w:t>展示绚烂万千的上海都市文学，表现寓于其中的现代心灵和情感。</w:t>
      </w:r>
    </w:p>
    <w:p w14:paraId="0F15F3F6">
      <w:pPr>
        <w:pStyle w:val="18"/>
        <w:rPr>
          <w:rFonts w:hint="default" w:ascii="仿宋" w:hAnsi="仿宋" w:eastAsia="仿宋"/>
          <w:color w:val="auto"/>
          <w:sz w:val="28"/>
          <w:szCs w:val="28"/>
        </w:rPr>
      </w:pPr>
      <w:r>
        <w:rPr>
          <w:rFonts w:ascii="仿宋" w:hAnsi="仿宋" w:eastAsia="仿宋"/>
          <w:color w:val="auto"/>
          <w:sz w:val="28"/>
          <w:szCs w:val="28"/>
        </w:rPr>
        <w:t>1、上海是中国都市文学的发源地、引领者，本厅要展示它的这一重要身份和贡献。</w:t>
      </w:r>
    </w:p>
    <w:p w14:paraId="4FEF877C">
      <w:pPr>
        <w:pStyle w:val="18"/>
        <w:rPr>
          <w:rFonts w:hint="default" w:ascii="仿宋" w:hAnsi="仿宋" w:eastAsia="仿宋"/>
          <w:color w:val="auto"/>
          <w:sz w:val="28"/>
          <w:szCs w:val="28"/>
        </w:rPr>
      </w:pPr>
      <w:r>
        <w:rPr>
          <w:rFonts w:ascii="仿宋" w:hAnsi="仿宋" w:eastAsia="仿宋"/>
          <w:color w:val="auto"/>
          <w:sz w:val="28"/>
          <w:szCs w:val="28"/>
        </w:rPr>
        <w:t>2、表达上海都市文学所包含的现代性、消费性、日常性等丰富面相。</w:t>
      </w:r>
    </w:p>
    <w:p w14:paraId="486F524D">
      <w:pPr>
        <w:pStyle w:val="6"/>
        <w:spacing w:line="240" w:lineRule="auto"/>
        <w:rPr>
          <w:rFonts w:hint="default" w:ascii="仿宋" w:hAnsi="仿宋" w:eastAsia="仿宋"/>
          <w:color w:val="auto"/>
          <w:sz w:val="28"/>
          <w:szCs w:val="28"/>
        </w:rPr>
      </w:pPr>
      <w:r>
        <w:rPr>
          <w:rFonts w:ascii="仿宋" w:hAnsi="仿宋" w:eastAsia="仿宋"/>
          <w:color w:val="auto"/>
          <w:sz w:val="28"/>
          <w:szCs w:val="28"/>
        </w:rPr>
        <w:t>3.1.2空间设计要求</w:t>
      </w:r>
    </w:p>
    <w:p w14:paraId="60C24A02">
      <w:pPr>
        <w:pStyle w:val="18"/>
        <w:rPr>
          <w:rFonts w:hint="default" w:ascii="仿宋" w:hAnsi="仿宋" w:eastAsia="仿宋"/>
          <w:color w:val="auto"/>
          <w:sz w:val="28"/>
          <w:szCs w:val="28"/>
        </w:rPr>
      </w:pPr>
      <w:r>
        <w:rPr>
          <w:rFonts w:ascii="仿宋" w:hAnsi="仿宋" w:eastAsia="仿宋"/>
          <w:color w:val="auto"/>
          <w:sz w:val="28"/>
          <w:szCs w:val="28"/>
        </w:rPr>
        <w:t>（1）文学上海</w:t>
      </w:r>
    </w:p>
    <w:p w14:paraId="55376459">
      <w:pPr>
        <w:pStyle w:val="18"/>
        <w:rPr>
          <w:rFonts w:hint="default" w:ascii="仿宋" w:hAnsi="仿宋" w:eastAsia="仿宋"/>
          <w:color w:val="auto"/>
          <w:sz w:val="28"/>
          <w:szCs w:val="28"/>
        </w:rPr>
      </w:pPr>
      <w:r>
        <w:rPr>
          <w:rFonts w:ascii="仿宋" w:hAnsi="仿宋" w:eastAsia="仿宋"/>
          <w:color w:val="auto"/>
          <w:sz w:val="28"/>
          <w:szCs w:val="28"/>
        </w:rPr>
        <w:t>1、美学元素尽量和谐，尤其注意材质和色彩的过渡。</w:t>
      </w:r>
    </w:p>
    <w:p w14:paraId="22D6D930">
      <w:pPr>
        <w:pStyle w:val="18"/>
        <w:rPr>
          <w:rFonts w:hint="default" w:ascii="仿宋" w:hAnsi="仿宋" w:eastAsia="仿宋"/>
          <w:color w:val="auto"/>
          <w:sz w:val="28"/>
          <w:szCs w:val="28"/>
        </w:rPr>
      </w:pPr>
      <w:r>
        <w:rPr>
          <w:rFonts w:ascii="仿宋" w:hAnsi="仿宋" w:eastAsia="仿宋"/>
          <w:color w:val="auto"/>
          <w:sz w:val="28"/>
          <w:szCs w:val="28"/>
        </w:rPr>
        <w:t>2、注重室内空间与室外景观的融合呼应、和谐统一。</w:t>
      </w:r>
    </w:p>
    <w:p w14:paraId="796A581E">
      <w:pPr>
        <w:pStyle w:val="18"/>
        <w:rPr>
          <w:rFonts w:hint="default" w:ascii="仿宋" w:hAnsi="仿宋" w:eastAsia="仿宋"/>
          <w:color w:val="auto"/>
          <w:sz w:val="28"/>
          <w:szCs w:val="28"/>
        </w:rPr>
      </w:pPr>
      <w:r>
        <w:rPr>
          <w:rFonts w:ascii="仿宋" w:hAnsi="仿宋" w:eastAsia="仿宋"/>
          <w:color w:val="auto"/>
          <w:sz w:val="28"/>
          <w:szCs w:val="28"/>
        </w:rPr>
        <w:t>3、本厅要尽量考虑为观众提供作品阅读和休闲区域。</w:t>
      </w:r>
    </w:p>
    <w:p w14:paraId="38E7091B">
      <w:pPr>
        <w:pStyle w:val="18"/>
        <w:rPr>
          <w:rFonts w:hint="default" w:ascii="仿宋" w:hAnsi="仿宋" w:eastAsia="仿宋"/>
          <w:color w:val="auto"/>
          <w:sz w:val="28"/>
          <w:szCs w:val="28"/>
        </w:rPr>
      </w:pPr>
      <w:r>
        <w:rPr>
          <w:rFonts w:ascii="仿宋" w:hAnsi="仿宋" w:eastAsia="仿宋"/>
          <w:color w:val="auto"/>
          <w:sz w:val="28"/>
          <w:szCs w:val="28"/>
        </w:rPr>
        <w:t>（2）左翼上海</w:t>
      </w:r>
    </w:p>
    <w:p w14:paraId="4EBBD16A">
      <w:pPr>
        <w:pStyle w:val="18"/>
        <w:rPr>
          <w:rFonts w:hint="default" w:ascii="仿宋" w:hAnsi="仿宋" w:eastAsia="仿宋"/>
          <w:color w:val="auto"/>
          <w:sz w:val="28"/>
          <w:szCs w:val="28"/>
        </w:rPr>
      </w:pPr>
      <w:r>
        <w:rPr>
          <w:rFonts w:ascii="仿宋" w:hAnsi="仿宋" w:eastAsia="仿宋"/>
          <w:color w:val="auto"/>
          <w:sz w:val="28"/>
          <w:szCs w:val="28"/>
        </w:rPr>
        <w:t>主景意象：通过地理空间及其之间的内在逻辑进行表达。重点设计元素包括《新青年》杂志装置、亭子间、十字街头、“且介亭”的艺术表达等。</w:t>
      </w:r>
    </w:p>
    <w:p w14:paraId="65DDCFC1">
      <w:pPr>
        <w:pStyle w:val="18"/>
        <w:rPr>
          <w:rFonts w:hint="default" w:ascii="仿宋" w:hAnsi="仿宋" w:eastAsia="仿宋"/>
          <w:color w:val="auto"/>
          <w:sz w:val="28"/>
          <w:szCs w:val="28"/>
        </w:rPr>
      </w:pPr>
      <w:r>
        <w:rPr>
          <w:rFonts w:ascii="仿宋" w:hAnsi="仿宋" w:eastAsia="仿宋"/>
          <w:color w:val="auto"/>
          <w:sz w:val="28"/>
          <w:szCs w:val="28"/>
        </w:rPr>
        <w:t>（3）都市上海</w:t>
      </w:r>
    </w:p>
    <w:p w14:paraId="7FB371A3">
      <w:pPr>
        <w:pStyle w:val="18"/>
        <w:rPr>
          <w:rFonts w:hint="default" w:ascii="仿宋" w:hAnsi="仿宋" w:eastAsia="仿宋"/>
          <w:color w:val="auto"/>
          <w:sz w:val="28"/>
          <w:szCs w:val="28"/>
        </w:rPr>
      </w:pPr>
      <w:r>
        <w:rPr>
          <w:rFonts w:ascii="仿宋" w:hAnsi="仿宋" w:eastAsia="仿宋"/>
          <w:color w:val="auto"/>
          <w:sz w:val="28"/>
          <w:szCs w:val="28"/>
        </w:rPr>
        <w:t>1、营造都市城市“广场”氛围，将各部分、各门类容纳进广场的意象中。</w:t>
      </w:r>
    </w:p>
    <w:p w14:paraId="16C6E12F">
      <w:pPr>
        <w:pStyle w:val="18"/>
        <w:rPr>
          <w:rFonts w:hint="default" w:ascii="仿宋" w:hAnsi="仿宋" w:eastAsia="仿宋"/>
          <w:color w:val="auto"/>
          <w:sz w:val="28"/>
          <w:szCs w:val="28"/>
        </w:rPr>
      </w:pPr>
      <w:r>
        <w:rPr>
          <w:rFonts w:ascii="仿宋" w:hAnsi="仿宋" w:eastAsia="仿宋"/>
          <w:color w:val="auto"/>
          <w:sz w:val="28"/>
          <w:szCs w:val="28"/>
        </w:rPr>
        <w:t>2、通过上海弄堂、橱窗等多种意象构成“广场”各翼，组合成万花筒形象。</w:t>
      </w:r>
    </w:p>
    <w:p w14:paraId="1B9016B6">
      <w:pPr>
        <w:pStyle w:val="5"/>
        <w:spacing w:line="240" w:lineRule="auto"/>
        <w:rPr>
          <w:rFonts w:hint="default" w:ascii="仿宋" w:hAnsi="仿宋" w:eastAsia="仿宋"/>
          <w:color w:val="auto"/>
          <w:sz w:val="28"/>
          <w:szCs w:val="28"/>
        </w:rPr>
      </w:pPr>
      <w:r>
        <w:rPr>
          <w:rFonts w:ascii="仿宋" w:hAnsi="仿宋" w:eastAsia="仿宋"/>
          <w:color w:val="auto"/>
          <w:sz w:val="28"/>
          <w:szCs w:val="28"/>
        </w:rPr>
        <w:t>3.2江西北路418号四层（上海文学常设展包含：光影上海、世界上海；特别展览区3、特别展览区4）</w:t>
      </w:r>
    </w:p>
    <w:p w14:paraId="6DBA6856">
      <w:pPr>
        <w:pStyle w:val="6"/>
        <w:spacing w:line="240" w:lineRule="auto"/>
        <w:rPr>
          <w:rFonts w:hint="default" w:ascii="仿宋" w:hAnsi="仿宋" w:eastAsia="仿宋"/>
          <w:color w:val="auto"/>
          <w:sz w:val="28"/>
          <w:szCs w:val="28"/>
        </w:rPr>
      </w:pPr>
      <w:r>
        <w:rPr>
          <w:rFonts w:ascii="仿宋" w:hAnsi="仿宋" w:eastAsia="仿宋"/>
          <w:color w:val="auto"/>
          <w:sz w:val="28"/>
          <w:szCs w:val="28"/>
        </w:rPr>
        <w:t>3.2.1展示主题</w:t>
      </w:r>
    </w:p>
    <w:p w14:paraId="51F3D046">
      <w:pPr>
        <w:pStyle w:val="18"/>
        <w:rPr>
          <w:rFonts w:hint="default" w:ascii="仿宋" w:hAnsi="仿宋" w:eastAsia="仿宋"/>
          <w:color w:val="auto"/>
          <w:sz w:val="28"/>
          <w:szCs w:val="28"/>
        </w:rPr>
      </w:pPr>
      <w:r>
        <w:rPr>
          <w:rFonts w:ascii="仿宋" w:hAnsi="仿宋" w:eastAsia="仿宋"/>
          <w:color w:val="auto"/>
          <w:sz w:val="28"/>
          <w:szCs w:val="28"/>
        </w:rPr>
        <w:t>1、光影上海：本厅包含话剧、电影、戏曲、儿童文学，以及文学与美术、音乐关系等内容。展现文学的多种形式表达、再传播以及与其他各种艺术形式的联系。</w:t>
      </w:r>
    </w:p>
    <w:p w14:paraId="5E637435">
      <w:pPr>
        <w:pStyle w:val="18"/>
        <w:rPr>
          <w:rFonts w:hint="default" w:ascii="仿宋" w:hAnsi="仿宋" w:eastAsia="仿宋"/>
          <w:color w:val="auto"/>
          <w:sz w:val="28"/>
          <w:szCs w:val="28"/>
        </w:rPr>
      </w:pPr>
      <w:r>
        <w:rPr>
          <w:rFonts w:ascii="仿宋" w:hAnsi="仿宋" w:eastAsia="仿宋"/>
          <w:color w:val="auto"/>
          <w:sz w:val="28"/>
          <w:szCs w:val="28"/>
        </w:rPr>
        <w:t>2、世界上海：上海文学与世界文学的碰撞、交融。展示上海文学在世界范围内的影响力，及交流发展成就。其他出海交流成果部分，拟采取数字多媒体形式等做成开放式（随时更新）展览。</w:t>
      </w:r>
    </w:p>
    <w:p w14:paraId="68C84CBC">
      <w:pPr>
        <w:pStyle w:val="18"/>
        <w:rPr>
          <w:rFonts w:hint="default" w:ascii="仿宋" w:hAnsi="仿宋" w:eastAsia="仿宋"/>
          <w:color w:val="auto"/>
          <w:sz w:val="28"/>
          <w:szCs w:val="28"/>
        </w:rPr>
      </w:pPr>
      <w:r>
        <w:rPr>
          <w:rFonts w:ascii="仿宋" w:hAnsi="仿宋" w:eastAsia="仿宋"/>
          <w:color w:val="auto"/>
          <w:sz w:val="28"/>
          <w:szCs w:val="28"/>
        </w:rPr>
        <w:t>3、特别展览区3：</w:t>
      </w:r>
      <w:r>
        <w:rPr>
          <w:rFonts w:ascii="仿宋" w:hAnsi="仿宋" w:eastAsia="仿宋"/>
          <w:color w:val="auto"/>
          <w:kern w:val="0"/>
          <w:sz w:val="28"/>
          <w:szCs w:val="28"/>
        </w:rPr>
        <w:t>报刊中的鲁迅与左翼文学展</w:t>
      </w:r>
    </w:p>
    <w:p w14:paraId="4667A6AD">
      <w:pPr>
        <w:pStyle w:val="18"/>
        <w:ind w:firstLine="0" w:firstLineChars="0"/>
        <w:rPr>
          <w:rFonts w:hint="default" w:ascii="仿宋" w:hAnsi="仿宋" w:eastAsia="仿宋"/>
          <w:color w:val="auto"/>
          <w:sz w:val="28"/>
          <w:szCs w:val="28"/>
          <w:lang w:bidi="ar"/>
        </w:rPr>
      </w:pPr>
      <w:r>
        <w:rPr>
          <w:rFonts w:ascii="仿宋" w:hAnsi="仿宋" w:eastAsia="仿宋"/>
          <w:color w:val="auto"/>
          <w:sz w:val="28"/>
          <w:szCs w:val="28"/>
        </w:rPr>
        <w:t>4、特别展览区4：上海新时代文学成就专题展</w:t>
      </w:r>
    </w:p>
    <w:p w14:paraId="5BB4BA70">
      <w:pPr>
        <w:pStyle w:val="6"/>
        <w:spacing w:line="240" w:lineRule="auto"/>
        <w:rPr>
          <w:rFonts w:hint="default" w:ascii="仿宋" w:hAnsi="仿宋" w:eastAsia="仿宋" w:cs="仿宋"/>
          <w:color w:val="auto"/>
          <w:sz w:val="28"/>
          <w:szCs w:val="28"/>
        </w:rPr>
      </w:pPr>
      <w:r>
        <w:rPr>
          <w:rFonts w:ascii="仿宋" w:hAnsi="仿宋" w:eastAsia="仿宋" w:cs="仿宋"/>
          <w:color w:val="auto"/>
          <w:sz w:val="28"/>
          <w:szCs w:val="28"/>
        </w:rPr>
        <w:t>3.2.2空间设计要求</w:t>
      </w:r>
    </w:p>
    <w:p w14:paraId="3A5E3885">
      <w:pPr>
        <w:pStyle w:val="18"/>
        <w:rPr>
          <w:rFonts w:hint="default" w:ascii="仿宋" w:hAnsi="仿宋" w:eastAsia="仿宋" w:cs="仿宋"/>
          <w:color w:val="auto"/>
          <w:sz w:val="28"/>
          <w:szCs w:val="28"/>
        </w:rPr>
      </w:pPr>
      <w:r>
        <w:rPr>
          <w:rFonts w:ascii="仿宋" w:hAnsi="仿宋" w:eastAsia="仿宋" w:cs="仿宋"/>
          <w:color w:val="auto"/>
          <w:sz w:val="28"/>
          <w:szCs w:val="28"/>
        </w:rPr>
        <w:t>（1）光影上海</w:t>
      </w:r>
    </w:p>
    <w:p w14:paraId="7796ABAC">
      <w:pPr>
        <w:pStyle w:val="18"/>
        <w:rPr>
          <w:rFonts w:hint="default" w:ascii="仿宋" w:hAnsi="仿宋" w:eastAsia="仿宋"/>
          <w:color w:val="auto"/>
          <w:sz w:val="28"/>
          <w:szCs w:val="28"/>
        </w:rPr>
      </w:pPr>
      <w:r>
        <w:rPr>
          <w:rFonts w:ascii="仿宋" w:hAnsi="仿宋" w:eastAsia="仿宋"/>
          <w:color w:val="auto"/>
          <w:sz w:val="28"/>
          <w:szCs w:val="28"/>
        </w:rPr>
        <w:t>1、展厅具备戏院氛围，以戏院的外形、内部构造组成文学馆戏剧、电影厅的背景和框架，在其中植入展览、展示信息和活动空间。</w:t>
      </w:r>
    </w:p>
    <w:p w14:paraId="0FF378F0">
      <w:pPr>
        <w:pStyle w:val="18"/>
        <w:rPr>
          <w:rFonts w:hint="default" w:ascii="仿宋" w:hAnsi="仿宋" w:eastAsia="仿宋"/>
          <w:color w:val="auto"/>
          <w:sz w:val="28"/>
          <w:szCs w:val="28"/>
        </w:rPr>
      </w:pPr>
      <w:r>
        <w:rPr>
          <w:rFonts w:ascii="仿宋" w:hAnsi="仿宋" w:eastAsia="仿宋"/>
          <w:color w:val="auto"/>
          <w:sz w:val="28"/>
          <w:szCs w:val="28"/>
        </w:rPr>
        <w:t>2、利用光影实现历史元素与现代元素的交替。</w:t>
      </w:r>
    </w:p>
    <w:p w14:paraId="66087BE3">
      <w:pPr>
        <w:pStyle w:val="18"/>
        <w:rPr>
          <w:rFonts w:hint="default" w:ascii="仿宋" w:hAnsi="仿宋" w:eastAsia="仿宋" w:cs="仿宋"/>
          <w:color w:val="auto"/>
          <w:sz w:val="28"/>
          <w:szCs w:val="28"/>
        </w:rPr>
      </w:pPr>
      <w:r>
        <w:rPr>
          <w:rFonts w:ascii="仿宋" w:hAnsi="仿宋" w:eastAsia="仿宋" w:cs="仿宋"/>
          <w:color w:val="auto"/>
          <w:sz w:val="28"/>
          <w:szCs w:val="28"/>
        </w:rPr>
        <w:t>（2）世界上海</w:t>
      </w:r>
    </w:p>
    <w:p w14:paraId="11FA0BF3">
      <w:pPr>
        <w:pStyle w:val="18"/>
        <w:rPr>
          <w:rFonts w:hint="default" w:ascii="仿宋" w:hAnsi="仿宋" w:eastAsia="仿宋" w:cs="仿宋"/>
          <w:sz w:val="28"/>
          <w:szCs w:val="28"/>
        </w:rPr>
      </w:pPr>
      <w:r>
        <w:rPr>
          <w:rFonts w:ascii="仿宋" w:hAnsi="仿宋" w:eastAsia="仿宋" w:cs="仿宋"/>
          <w:sz w:val="28"/>
          <w:szCs w:val="28"/>
        </w:rPr>
        <w:t>1、以“花园”为主体意象。上海把世界文学之花引入中文世界，也把中国故事播撒到世界各地。这里是一座不断生长的世界文学花园。</w:t>
      </w:r>
    </w:p>
    <w:p w14:paraId="53FFCB49">
      <w:pPr>
        <w:pStyle w:val="18"/>
        <w:tabs>
          <w:tab w:val="left" w:pos="537"/>
        </w:tabs>
        <w:rPr>
          <w:rFonts w:hint="default" w:ascii="仿宋" w:hAnsi="仿宋" w:eastAsia="仿宋" w:cs="仿宋"/>
          <w:sz w:val="28"/>
          <w:szCs w:val="28"/>
        </w:rPr>
      </w:pPr>
      <w:r>
        <w:rPr>
          <w:rFonts w:ascii="仿宋" w:hAnsi="仿宋" w:eastAsia="仿宋" w:cs="仿宋"/>
          <w:sz w:val="28"/>
          <w:szCs w:val="28"/>
        </w:rPr>
        <w:t>2、设“上海·中外文学交流数字中心”展示区，通过多个专题数据实时更新上海与世界交流的盛况。</w:t>
      </w:r>
    </w:p>
    <w:p w14:paraId="51A8EE11">
      <w:pPr>
        <w:pStyle w:val="18"/>
        <w:rPr>
          <w:rFonts w:hint="default" w:ascii="仿宋" w:hAnsi="仿宋" w:eastAsia="仿宋" w:cs="仿宋"/>
          <w:sz w:val="28"/>
          <w:szCs w:val="28"/>
        </w:rPr>
      </w:pPr>
      <w:r>
        <w:rPr>
          <w:rFonts w:ascii="仿宋" w:hAnsi="仿宋" w:eastAsia="仿宋" w:cs="仿宋"/>
          <w:sz w:val="28"/>
          <w:szCs w:val="28"/>
        </w:rPr>
        <w:t>（3）特别展览区3：</w:t>
      </w:r>
      <w:r>
        <w:rPr>
          <w:rFonts w:ascii="仿宋" w:hAnsi="仿宋" w:eastAsia="仿宋" w:cs="仿宋"/>
          <w:kern w:val="0"/>
          <w:sz w:val="28"/>
          <w:szCs w:val="28"/>
        </w:rPr>
        <w:t>报刊中的鲁迅与左翼文学展</w:t>
      </w:r>
    </w:p>
    <w:p w14:paraId="6F321812">
      <w:pPr>
        <w:pStyle w:val="18"/>
        <w:rPr>
          <w:rFonts w:hint="default" w:ascii="仿宋" w:hAnsi="仿宋" w:eastAsia="仿宋" w:cs="仿宋"/>
          <w:sz w:val="28"/>
          <w:szCs w:val="28"/>
        </w:rPr>
      </w:pPr>
      <w:r>
        <w:rPr>
          <w:rFonts w:ascii="仿宋" w:hAnsi="仿宋" w:eastAsia="仿宋" w:cs="仿宋"/>
          <w:sz w:val="28"/>
          <w:szCs w:val="28"/>
        </w:rPr>
        <w:t>以在上海的鲁迅为核心设计对象，通过多种手段将报刊中的鲁迅形象立体化，同时展示鲁迅与左翼文学的关系。</w:t>
      </w:r>
    </w:p>
    <w:p w14:paraId="24C32A64">
      <w:pPr>
        <w:pStyle w:val="18"/>
        <w:numPr>
          <w:ilvl w:val="0"/>
          <w:numId w:val="3"/>
        </w:numPr>
        <w:rPr>
          <w:rFonts w:hint="default" w:ascii="仿宋" w:hAnsi="仿宋" w:eastAsia="仿宋" w:cs="仿宋"/>
          <w:sz w:val="28"/>
          <w:szCs w:val="28"/>
        </w:rPr>
      </w:pPr>
      <w:r>
        <w:rPr>
          <w:rFonts w:ascii="仿宋" w:hAnsi="仿宋" w:eastAsia="仿宋" w:cs="仿宋"/>
          <w:sz w:val="28"/>
          <w:szCs w:val="28"/>
        </w:rPr>
        <w:t>特别展览区4：上海新时代文学成就专题展</w:t>
      </w:r>
    </w:p>
    <w:p w14:paraId="24E39778">
      <w:pPr>
        <w:pStyle w:val="18"/>
        <w:numPr>
          <w:ilvl w:val="255"/>
          <w:numId w:val="0"/>
        </w:numPr>
        <w:rPr>
          <w:rFonts w:hint="default" w:ascii="仿宋" w:hAnsi="仿宋" w:eastAsia="仿宋" w:cs="仿宋"/>
          <w:sz w:val="28"/>
          <w:szCs w:val="28"/>
        </w:rPr>
      </w:pPr>
      <w:r>
        <w:rPr>
          <w:rFonts w:ascii="仿宋" w:hAnsi="仿宋" w:eastAsia="仿宋" w:cs="仿宋"/>
          <w:sz w:val="28"/>
          <w:szCs w:val="28"/>
        </w:rPr>
        <w:t>利用陈列、多媒体展示等手段，展现新时代至今上海作家所取得的各种重要的文学成就。</w:t>
      </w:r>
    </w:p>
    <w:p w14:paraId="0567D2BA">
      <w:pPr>
        <w:pStyle w:val="5"/>
        <w:rPr>
          <w:rFonts w:hint="default" w:ascii="仿宋" w:hAnsi="仿宋" w:eastAsia="仿宋" w:cs="仿宋"/>
          <w:color w:val="auto"/>
          <w:sz w:val="28"/>
          <w:szCs w:val="28"/>
        </w:rPr>
      </w:pPr>
      <w:r>
        <w:rPr>
          <w:rFonts w:ascii="仿宋" w:hAnsi="仿宋" w:eastAsia="仿宋" w:cs="仿宋"/>
          <w:color w:val="auto"/>
          <w:sz w:val="28"/>
          <w:szCs w:val="28"/>
        </w:rPr>
        <w:t>3.3（二标）数字多媒体展项设计要求</w:t>
      </w:r>
    </w:p>
    <w:p w14:paraId="7AF57842">
      <w:pPr>
        <w:pStyle w:val="18"/>
        <w:rPr>
          <w:rFonts w:hint="default" w:ascii="仿宋" w:hAnsi="仿宋" w:eastAsia="仿宋"/>
          <w:color w:val="auto"/>
          <w:sz w:val="28"/>
          <w:szCs w:val="28"/>
        </w:rPr>
      </w:pPr>
      <w:r>
        <w:rPr>
          <w:rFonts w:ascii="仿宋" w:hAnsi="仿宋" w:eastAsia="仿宋"/>
          <w:color w:val="auto"/>
          <w:sz w:val="28"/>
          <w:szCs w:val="28"/>
        </w:rPr>
        <w:t>（1）数字化多媒体展项的硬件配置，须与展陈空间设计的整体效果相匹配、深度融合，确保空间视觉与功能统一。</w:t>
      </w:r>
    </w:p>
    <w:p w14:paraId="15BA1C3D">
      <w:pPr>
        <w:pStyle w:val="18"/>
        <w:rPr>
          <w:rFonts w:hint="default" w:ascii="仿宋" w:hAnsi="仿宋" w:eastAsia="仿宋"/>
          <w:color w:val="auto"/>
          <w:sz w:val="28"/>
          <w:szCs w:val="28"/>
        </w:rPr>
      </w:pPr>
      <w:r>
        <w:rPr>
          <w:rFonts w:ascii="仿宋" w:hAnsi="仿宋" w:eastAsia="仿宋"/>
          <w:color w:val="auto"/>
          <w:sz w:val="28"/>
          <w:szCs w:val="28"/>
        </w:rPr>
        <w:t>（2）所有数字化多媒体展项内容均为定制化开发，严格按照展览大纲及内容脚本进行设计、拍摄与制作，确保实现预期的展示效果。</w:t>
      </w:r>
    </w:p>
    <w:p w14:paraId="3D7D4914">
      <w:pPr>
        <w:pStyle w:val="18"/>
        <w:rPr>
          <w:rFonts w:hint="default" w:ascii="仿宋" w:hAnsi="仿宋" w:eastAsia="仿宋"/>
          <w:color w:val="auto"/>
          <w:sz w:val="28"/>
          <w:szCs w:val="28"/>
        </w:rPr>
      </w:pPr>
      <w:r>
        <w:rPr>
          <w:rFonts w:ascii="仿宋" w:hAnsi="仿宋" w:eastAsia="仿宋"/>
          <w:color w:val="auto"/>
          <w:sz w:val="28"/>
          <w:szCs w:val="28"/>
        </w:rPr>
        <w:t>（3）数字化多媒体展项形式多样、分布合理。设计阶段需统筹考虑不同设备的陈列组合、日常运行维护及内容更新等事宜。</w:t>
      </w:r>
    </w:p>
    <w:p w14:paraId="58F85AE8">
      <w:pPr>
        <w:pStyle w:val="18"/>
        <w:rPr>
          <w:rFonts w:hint="default" w:ascii="仿宋" w:hAnsi="仿宋" w:eastAsia="仿宋"/>
          <w:b/>
          <w:bCs/>
          <w:color w:val="auto"/>
          <w:sz w:val="28"/>
          <w:szCs w:val="28"/>
        </w:rPr>
      </w:pPr>
      <w:r>
        <w:rPr>
          <w:rFonts w:ascii="仿宋" w:hAnsi="仿宋" w:eastAsia="仿宋"/>
          <w:color w:val="auto"/>
          <w:sz w:val="28"/>
          <w:szCs w:val="28"/>
        </w:rPr>
        <w:t>（4）多媒体展项的拍摄组织、版权合规、后期制作及内容审核等全流程环节，均需严格遵循标准化要求，且符合国家相关法律法规规定。</w:t>
      </w:r>
    </w:p>
    <w:p w14:paraId="3C0218B7">
      <w:pPr>
        <w:pStyle w:val="4"/>
        <w:spacing w:line="240" w:lineRule="auto"/>
        <w:rPr>
          <w:rFonts w:hint="default" w:ascii="仿宋" w:hAnsi="仿宋" w:eastAsia="仿宋"/>
          <w:color w:val="auto"/>
          <w:sz w:val="28"/>
          <w:szCs w:val="28"/>
        </w:rPr>
      </w:pPr>
      <w:r>
        <w:rPr>
          <w:rFonts w:ascii="仿宋" w:hAnsi="仿宋" w:eastAsia="仿宋"/>
          <w:color w:val="auto"/>
          <w:sz w:val="28"/>
          <w:szCs w:val="28"/>
        </w:rPr>
        <w:t>第四章 技术要求</w:t>
      </w:r>
    </w:p>
    <w:p w14:paraId="6FCBE3A3">
      <w:pPr>
        <w:pStyle w:val="5"/>
        <w:spacing w:line="240" w:lineRule="auto"/>
        <w:rPr>
          <w:rFonts w:hint="default" w:ascii="仿宋" w:hAnsi="仿宋" w:eastAsia="仿宋"/>
          <w:color w:val="auto"/>
          <w:sz w:val="28"/>
          <w:szCs w:val="28"/>
        </w:rPr>
      </w:pPr>
      <w:r>
        <w:rPr>
          <w:rFonts w:ascii="仿宋" w:hAnsi="仿宋" w:eastAsia="仿宋"/>
          <w:color w:val="auto"/>
          <w:sz w:val="28"/>
          <w:szCs w:val="28"/>
        </w:rPr>
        <w:t>4.1 总体技术要求</w:t>
      </w:r>
    </w:p>
    <w:p w14:paraId="0F97EA2A">
      <w:pPr>
        <w:pStyle w:val="6"/>
        <w:spacing w:line="240" w:lineRule="auto"/>
        <w:rPr>
          <w:rFonts w:hint="default" w:ascii="仿宋" w:hAnsi="仿宋" w:eastAsia="仿宋"/>
          <w:color w:val="auto"/>
          <w:sz w:val="28"/>
          <w:szCs w:val="28"/>
        </w:rPr>
      </w:pPr>
      <w:r>
        <w:rPr>
          <w:rFonts w:ascii="仿宋" w:hAnsi="仿宋" w:eastAsia="仿宋"/>
          <w:color w:val="auto"/>
          <w:sz w:val="28"/>
          <w:szCs w:val="28"/>
        </w:rPr>
        <w:t>4.1.1 设计总则</w:t>
      </w:r>
    </w:p>
    <w:p w14:paraId="309C04F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投标人应参考采购人提供的陈列大纲、展馆建筑平面图等内容，以及上海市的气候特征与周边环境作为设计参考依据，合理组织建筑物通风和采光，体现生态和可持续发展的要求，注重节能观念和环保思想，合理利用各种成熟可靠的绿色环保、节能降耗的技术手段，降低今后的运营费用。</w:t>
      </w:r>
    </w:p>
    <w:p w14:paraId="28F024EB">
      <w:pPr>
        <w:pStyle w:val="6"/>
        <w:spacing w:line="240" w:lineRule="auto"/>
        <w:rPr>
          <w:rFonts w:hint="default" w:ascii="仿宋" w:hAnsi="仿宋" w:eastAsia="仿宋"/>
          <w:color w:val="auto"/>
          <w:sz w:val="28"/>
          <w:szCs w:val="28"/>
        </w:rPr>
      </w:pPr>
      <w:r>
        <w:rPr>
          <w:rFonts w:ascii="仿宋" w:hAnsi="仿宋" w:eastAsia="仿宋"/>
          <w:color w:val="auto"/>
          <w:sz w:val="28"/>
          <w:szCs w:val="28"/>
        </w:rPr>
        <w:t>4.1.2 设计创意要求</w:t>
      </w:r>
    </w:p>
    <w:p w14:paraId="559F552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（1）展陈设计要完美体现主题内容，调动各种陈列艺术语言，为陈列主题服务，坚持创新，陈列手段新颖、独特。</w:t>
      </w:r>
    </w:p>
    <w:p w14:paraId="2275D80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（2）设计重点突出、展线合理且节奏感强，每个展区有展示亮点。</w:t>
      </w:r>
    </w:p>
    <w:p w14:paraId="66F7045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（3）设计应充分体现“以人为本”的原则，充分考虑不同观众群体的特性，陈设既要追求高雅的审美情趣，又要具有满足各类人群需求的普适性和大众性。</w:t>
      </w:r>
    </w:p>
    <w:p w14:paraId="225B47A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在充分考虑经济合理性、耐用性的前提下，合理运用声、光、电、仿生和影视合成、计算机等现代技术，对陈列的重点、亮点部分适当运用多媒体、互动装置等高科技手段加以体现，增加展示的趣味性与互动性。在展示设计中，总体应强调把观众的注意力吸引到展品等展示内容上，在展示形式设计上注意“度”的把握，装饰应避免过于繁杂，防止喧宾夺主。</w:t>
      </w:r>
    </w:p>
    <w:p w14:paraId="757F291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5）概念设计方案基本要求：除了要阐述展览设计和创作的基本思想和创意说明外，必须完整表达展览内容体系在展厅建筑空间中的合理布局，观众参观路线，未来展览空间设计及其总体艺术风格，基本展览设备的造型及其尺度比例，典型展品组合图等。 </w:t>
      </w:r>
    </w:p>
    <w:p w14:paraId="74354347">
      <w:pPr>
        <w:pStyle w:val="5"/>
        <w:spacing w:line="240" w:lineRule="auto"/>
        <w:rPr>
          <w:rFonts w:hint="default" w:ascii="仿宋" w:hAnsi="仿宋" w:eastAsia="仿宋"/>
          <w:color w:val="auto"/>
          <w:sz w:val="28"/>
          <w:szCs w:val="28"/>
        </w:rPr>
      </w:pPr>
      <w:r>
        <w:rPr>
          <w:rFonts w:ascii="仿宋" w:hAnsi="仿宋" w:eastAsia="仿宋"/>
          <w:color w:val="auto"/>
          <w:sz w:val="28"/>
          <w:szCs w:val="28"/>
        </w:rPr>
        <w:t>4.2 专业展柜技术要求</w:t>
      </w:r>
    </w:p>
    <w:p w14:paraId="7CEB620E">
      <w:pPr>
        <w:pStyle w:val="6"/>
        <w:spacing w:line="240" w:lineRule="auto"/>
        <w:rPr>
          <w:rFonts w:hint="default" w:ascii="仿宋" w:hAnsi="仿宋" w:eastAsia="仿宋"/>
          <w:color w:val="auto"/>
          <w:sz w:val="28"/>
          <w:szCs w:val="28"/>
        </w:rPr>
      </w:pPr>
      <w:r>
        <w:rPr>
          <w:rFonts w:ascii="仿宋" w:hAnsi="仿宋" w:eastAsia="仿宋"/>
          <w:color w:val="auto"/>
          <w:sz w:val="28"/>
          <w:szCs w:val="28"/>
        </w:rPr>
        <w:t>4.2.1 专业展柜展示形式</w:t>
      </w:r>
    </w:p>
    <w:p w14:paraId="0999973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根据不同的展示要求，配备不同形式的展柜，包括中心柜、桌柜和全壁柜。重点展品尤其是保存纸制品展品的展柜需具备恒温恒湿功能，以对展品起到保护作用。其中：</w:t>
      </w:r>
    </w:p>
    <w:p w14:paraId="6A9DE42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（1）嵌入式壁柜：是指悬空嵌入墙面平面、或五面体玻璃罩突出墙面的展柜。</w:t>
      </w:r>
    </w:p>
    <w:p w14:paraId="421209D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（2）半壁柜：是指展台面高度约在腰部位置、上部为展示空间的背贴墙面的壁柜。</w:t>
      </w:r>
    </w:p>
    <w:p w14:paraId="725629C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（3）全壁柜：是指通高式展示空间的背贴墙面的壁柜。</w:t>
      </w:r>
    </w:p>
    <w:p w14:paraId="2B8CBE87">
      <w:pPr>
        <w:pStyle w:val="6"/>
        <w:spacing w:line="240" w:lineRule="auto"/>
        <w:rPr>
          <w:rFonts w:hint="default" w:ascii="仿宋" w:hAnsi="仿宋" w:eastAsia="仿宋"/>
          <w:color w:val="auto"/>
          <w:sz w:val="28"/>
          <w:szCs w:val="28"/>
        </w:rPr>
      </w:pPr>
      <w:r>
        <w:rPr>
          <w:rFonts w:ascii="仿宋" w:hAnsi="仿宋" w:eastAsia="仿宋"/>
          <w:color w:val="auto"/>
          <w:sz w:val="28"/>
          <w:szCs w:val="28"/>
        </w:rPr>
        <w:t>4.2.2 专业展柜技术要求</w:t>
      </w:r>
    </w:p>
    <w:p w14:paraId="76DC8BA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展柜骨架，非固定式展柜采用金属方管结构，固定式展柜采用铝合金型材结构，具有相当的自重稳定性和抗撞击稳固性，非固定式展柜能方便移动、调节水平和稳固。铝合金型材满足6061牌号、时效状态T5或T6性能，壁厚不小于2mm。饰面金属板厚度≥1.5mm，符合金属板材平整度要求。基座承载能力≥150kg/㎡。所有金属材料必须经过防锈处理。</w:t>
      </w:r>
    </w:p>
    <w:p w14:paraId="0CBBC36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（2）采用超白夹胶玻璃，原片透光率不小于91%，夹胶后透光率不小于85%，具有防爆功能，同时阻断紫外线和红外线，玻璃对角采用45度粘接。</w:t>
      </w:r>
    </w:p>
    <w:p w14:paraId="54ACB23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（3）展柜开启方式应尽可能满足展陈设计需求和文物安全管理要求，要求半壁柜及全壁柜必须正面100%开启。</w:t>
      </w:r>
    </w:p>
    <w:p w14:paraId="27C108C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展柜锁具采用博物馆专用锁具，钥匙互换率10万次，钥匙的编号可分组管理。安装须符合文物安全管理要求，直接开启展柜门的锁具，应尽可能设计至少须有一把锁具符合缓冲后才能开启的安全防范要求，并且锁具不应影响展柜的密闭性。</w:t>
      </w:r>
    </w:p>
    <w:p w14:paraId="57060B9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（5）展柜须具有较高的密闭性，空气交换率应达到≤0.5d-1 (二氧化碳检测方法检测)。</w:t>
      </w:r>
    </w:p>
    <w:p w14:paraId="4BAEE3C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（6）展柜无漏光现象。</w:t>
      </w:r>
    </w:p>
    <w:p w14:paraId="3D7F555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（7）展柜使用的材料均为环保材料，展示空间中的甲醛含量≤0.05mg/m³，苯含量≤0.05mg/m³，TVOC含量≤0.5mg/m³。</w:t>
      </w:r>
    </w:p>
    <w:p w14:paraId="2719866E">
      <w:pPr>
        <w:pStyle w:val="5"/>
        <w:spacing w:line="240" w:lineRule="auto"/>
        <w:rPr>
          <w:rFonts w:hint="default" w:ascii="仿宋" w:hAnsi="仿宋" w:eastAsia="仿宋"/>
          <w:color w:val="auto"/>
          <w:sz w:val="28"/>
          <w:szCs w:val="28"/>
        </w:rPr>
      </w:pPr>
      <w:r>
        <w:rPr>
          <w:rFonts w:ascii="仿宋" w:hAnsi="仿宋" w:eastAsia="仿宋"/>
          <w:color w:val="auto"/>
          <w:sz w:val="28"/>
          <w:szCs w:val="28"/>
        </w:rPr>
        <w:t>4.3 专业照明技术要求</w:t>
      </w:r>
    </w:p>
    <w:p w14:paraId="76C30366">
      <w:pPr>
        <w:pStyle w:val="6"/>
        <w:spacing w:line="240" w:lineRule="auto"/>
        <w:rPr>
          <w:rFonts w:hint="default" w:ascii="仿宋" w:hAnsi="仿宋" w:eastAsia="仿宋"/>
          <w:color w:val="auto"/>
          <w:sz w:val="28"/>
          <w:szCs w:val="28"/>
        </w:rPr>
      </w:pPr>
      <w:r>
        <w:rPr>
          <w:rFonts w:ascii="仿宋" w:hAnsi="仿宋" w:eastAsia="仿宋"/>
          <w:color w:val="auto"/>
          <w:sz w:val="28"/>
          <w:szCs w:val="28"/>
        </w:rPr>
        <w:t>4.3.1 专业照明设计要求</w:t>
      </w:r>
    </w:p>
    <w:p w14:paraId="619BA33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根据国内外展馆对专业展示陈列形式和内容的表现，并结合本项目的展示陈列特点，要求选用的照明设备必须绿色环保，节约能源，需采用LED光源。</w:t>
      </w:r>
    </w:p>
    <w:p w14:paraId="7D38905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照明设计的相关要求如下：</w:t>
      </w:r>
    </w:p>
    <w:p w14:paraId="2FF7918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本馆照明设计应符合现行国家标准《博物馆照明设计规范》GB/T 23863-2009和《建筑照明设计标准》GB 50034-2013的规定。运用先进的照明设计理念，从文物保护、视觉需求及展示艺术效果出发，合理并有针对性地配置光源。</w:t>
      </w:r>
    </w:p>
    <w:p w14:paraId="6F6B749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（1）应遵循有利于观赏展品和保护展品的原则，并应安全可靠、经济适用、技术先进、节约能源、维修方便。</w:t>
      </w:r>
    </w:p>
    <w:p w14:paraId="09748E0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照度适宜。不同的展品或文物一定要有不同的照度，不能损害文物与展品本身，不能影响展品或文物真实面貌的反映与观众的视觉效果。对于展厅中的一般照明与特殊照明，要求在保证文物展品安全展示的同时，合理利用光源材料，以最大限度地展现相关对象的艺术特点及其需要表现的信息，从而达到理想的照明效果。</w:t>
      </w:r>
    </w:p>
    <w:p w14:paraId="7FD62F4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（3）照明手法。重点文物和重点辅助展品应根据具体的对象，采取不同的照明手法增强和减弱照度，以增强文物与展品本身的艺术效果。</w:t>
      </w:r>
    </w:p>
    <w:p w14:paraId="35DC16D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（4）对“光害”的消除与控制。展厅内应严格防止直接眩光和反射眩光，尽量使用先进的、有利于文物保护的照明设备。</w:t>
      </w:r>
    </w:p>
    <w:p w14:paraId="31A1AD9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考虑文物保护区域及展厅不同高度对安装的位置有所限制，而且展品类型、大小尺寸也是差异很大，需要灯具有各种配光，确保射灯在形式上保持一致的同时有多种不同的光束角，满足各种类型的展陈照明，来获得良好展示效果，提高博物馆展览的灵活性，减少后期维护成本。</w:t>
      </w:r>
    </w:p>
    <w:p w14:paraId="5D361F1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（6）展厅照明质量应符合下列规定:</w:t>
      </w:r>
    </w:p>
    <w:p w14:paraId="6A151D4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a.一般照明应按展品照度值的20%～30%选取；</w:t>
      </w:r>
    </w:p>
    <w:p w14:paraId="47CD29A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b.当展厅内只有一般照明时，地面最低照度与平均照度之比不应小于0.7；</w:t>
      </w:r>
    </w:p>
    <w:p w14:paraId="6FD644A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c.平面展品的最低照度与平均照度之比不应小于0.8；高度大于1.4m的平面展品，其最低照度与平均照度之比不应小于0.4；</w:t>
      </w:r>
    </w:p>
    <w:p w14:paraId="61DB9F1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d.展厅内一般照明的统一眩光值(UGR)不宜大于19；</w:t>
      </w:r>
    </w:p>
    <w:p w14:paraId="1372C6B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e.展品与其背景的亮度比不宜大于3:1；</w:t>
      </w:r>
    </w:p>
    <w:p w14:paraId="07FC575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一般展厅直接照明光源的色温应小于5300K；对光线敏感展品展厅直接照明光源的色温应小于3300K。</w:t>
      </w:r>
    </w:p>
    <w:p w14:paraId="264ECB7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（7）展品的保护。应减少灯光中的紫外辐射和红外辐射，使光源的紫外线含量小于25μw/1m，尽量确保减少对文物的损伤。</w:t>
      </w:r>
    </w:p>
    <w:p w14:paraId="486A7C24">
      <w:pPr>
        <w:pStyle w:val="6"/>
        <w:spacing w:line="240" w:lineRule="auto"/>
        <w:rPr>
          <w:rFonts w:hint="default" w:ascii="仿宋" w:hAnsi="仿宋" w:eastAsia="仿宋"/>
          <w:color w:val="auto"/>
          <w:sz w:val="28"/>
          <w:szCs w:val="28"/>
        </w:rPr>
      </w:pPr>
      <w:r>
        <w:rPr>
          <w:rFonts w:ascii="仿宋" w:hAnsi="仿宋" w:eastAsia="仿宋"/>
          <w:color w:val="auto"/>
          <w:sz w:val="28"/>
          <w:szCs w:val="28"/>
        </w:rPr>
        <w:t>4.3.2 专业照明灯具要求</w:t>
      </w:r>
    </w:p>
    <w:p w14:paraId="29831E3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（1）显色性的优劣决定了对文物本身颜色的还原程度，展陈灯具一般显色指数Ra＞95 ，R1-R15均大于88，最大程度还原文物本来的颜色。</w:t>
      </w:r>
    </w:p>
    <w:p w14:paraId="03933F6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（2）LED灯具色容差SDCM≤3，从而保证了灯具色温的一致性，展厅整体颜色一致，在使用五万小时后的色容差SDCM≤3。</w:t>
      </w:r>
    </w:p>
    <w:p w14:paraId="640597D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（3）所有灯具需具备在工作过程中无频闪现象，可以进行高清摄像。</w:t>
      </w:r>
    </w:p>
    <w:p w14:paraId="1904E18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（4）所有展示照明灯具具备单灯调光功能，可实现10～100%的单灯调光，也可系统调光。</w:t>
      </w:r>
    </w:p>
    <w:p w14:paraId="263803C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（5）芯片采用COB加反射器的形式，有效降低眩光值。</w:t>
      </w:r>
    </w:p>
    <w:p w14:paraId="3074219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（6）灯具整体寿命要求达到50000小时，并能达到L80/B10标准，（90%的灯具50000小时后光通量高过初始光通量的80%）。</w:t>
      </w:r>
    </w:p>
    <w:p w14:paraId="150FBBA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（7）所有灯具具备高品质的出光质量。</w:t>
      </w:r>
    </w:p>
    <w:p w14:paraId="3223FCA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8）色温采用范围3000-5300K，灯具材料应利于照明装置散热。移动调节灵活，拆装方便，操作便捷，性能稳定。重量较轻，利于观众人身安全。灯具轨道应具备良好的通用性；不易变形或扭曲；安装简单，灵活；使用安全；导电，接地可靠；使用寿命长等特点。</w:t>
      </w:r>
    </w:p>
    <w:p w14:paraId="56755F2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9）功能扩展性：针对展品不同体量的大小，要求同一系列灯具具有不同配光角度。（包括最窄角度效果，窄角度效果，宽光角度效果，泛光角度效果，椭圆形角度效果，墙面布光效果，带棱镜墙面布光效果）。</w:t>
      </w:r>
    </w:p>
    <w:p w14:paraId="34CA5B8B">
      <w:pPr>
        <w:pStyle w:val="5"/>
        <w:spacing w:line="240" w:lineRule="auto"/>
        <w:rPr>
          <w:rFonts w:hint="default" w:ascii="仿宋" w:hAnsi="仿宋" w:eastAsia="仿宋"/>
          <w:color w:val="auto"/>
          <w:sz w:val="28"/>
          <w:szCs w:val="28"/>
        </w:rPr>
      </w:pPr>
      <w:r>
        <w:rPr>
          <w:rFonts w:ascii="仿宋" w:hAnsi="仿宋" w:eastAsia="仿宋"/>
          <w:color w:val="auto"/>
          <w:sz w:val="28"/>
          <w:szCs w:val="28"/>
        </w:rPr>
        <w:t>4.4 多媒体展项制作技术要求</w:t>
      </w:r>
    </w:p>
    <w:p w14:paraId="5EB92994">
      <w:pPr>
        <w:pStyle w:val="6"/>
        <w:spacing w:line="240" w:lineRule="auto"/>
        <w:rPr>
          <w:rFonts w:hint="default" w:ascii="仿宋" w:hAnsi="仿宋" w:eastAsia="仿宋"/>
          <w:color w:val="auto"/>
          <w:sz w:val="28"/>
          <w:szCs w:val="28"/>
        </w:rPr>
      </w:pPr>
      <w:r>
        <w:rPr>
          <w:rFonts w:ascii="仿宋" w:hAnsi="仿宋" w:eastAsia="仿宋"/>
          <w:color w:val="auto"/>
          <w:sz w:val="28"/>
          <w:szCs w:val="28"/>
        </w:rPr>
        <w:t>4.4.1 多媒体展项设计要求</w:t>
      </w:r>
    </w:p>
    <w:p w14:paraId="3989341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所有数字多媒体内容均须根据上海文学馆展陈大纲与策展逻辑进行定制化开发，不得使用通用模板、库存影像或简单拼接素材。多媒体内容须在充分理解上海文学史脉络、人物关系与空间叙事的基础上完成创作。</w:t>
      </w:r>
    </w:p>
    <w:p w14:paraId="6D72208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（1）多媒体技术的应用是提升展陈效果的重要手段，为了更好地表现、诠释展览内容，鼓励观众与展项互动，多媒体展陈必须重视美感、创新和个性化等方面的效果。</w:t>
      </w:r>
    </w:p>
    <w:p w14:paraId="6876665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（2）多媒体设计应紧密结合展览内容需求，力求表现艺术性、教育性、趣味性，利用各种多媒体技术给观众以生动的体验。</w:t>
      </w:r>
    </w:p>
    <w:p w14:paraId="7CFC15C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 所有多媒体展项需要集成在中控系统中，通过专业的工具和操作界面，让采购人可以对各个展项进行控制和维护，从而提升展陈运营管理能力。</w:t>
      </w:r>
    </w:p>
    <w:p w14:paraId="38EC364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（4）各种硬件接口应尽量采用通用接口，部分需进行特殊定制化的展项，软硬件要求以实际多媒体展陈需求为准。</w:t>
      </w:r>
    </w:p>
    <w:p w14:paraId="21785E6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根据展陈需要，多媒体内容制作将依据展陈大纲及脚本需求开展，包含实景拍摄与人物影像采集工作，包括但不限于：作家纪实影像；作家故居、历史建筑、城市街区等文学空间的实景拍摄；历史影像、文献资料与当代影像的综合整合等。</w:t>
      </w:r>
    </w:p>
    <w:p w14:paraId="35DF3379">
      <w:pPr>
        <w:pStyle w:val="6"/>
        <w:spacing w:line="240" w:lineRule="auto"/>
        <w:rPr>
          <w:rFonts w:hint="default" w:ascii="仿宋" w:hAnsi="仿宋" w:eastAsia="仿宋"/>
          <w:color w:val="auto"/>
          <w:sz w:val="28"/>
          <w:szCs w:val="28"/>
        </w:rPr>
      </w:pPr>
      <w:r>
        <w:rPr>
          <w:rFonts w:ascii="仿宋" w:hAnsi="仿宋" w:eastAsia="仿宋"/>
          <w:color w:val="auto"/>
          <w:sz w:val="28"/>
          <w:szCs w:val="28"/>
        </w:rPr>
        <w:t>4.4.2 多媒体展项制作要求</w:t>
      </w:r>
    </w:p>
    <w:p w14:paraId="2734589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展项制作的范畴包括：实景视频、二维动画、三维动画、根据数据可视化或算法生成的视觉动态；互动程序开发、交互内容制作、UI界面设计制作；背景音乐声响效果创作等。（多媒体展项内容制作素材待采购完成后中标人深化设计前由采购人提供）</w:t>
      </w:r>
    </w:p>
    <w:p w14:paraId="6A7BF4D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（1）视频等非交互演示类画面：</w:t>
      </w:r>
    </w:p>
    <w:p w14:paraId="49C2CED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格式：通用格式mp4、mpg、avi、mov、mp3、wav等；</w:t>
      </w:r>
    </w:p>
    <w:p w14:paraId="347423A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视频：分辨率3840×2160/2560×1440/1920×1080（或按实际显示需求定制）；每秒帧数不小于29fps；位率不低于4096kbs；</w:t>
      </w:r>
    </w:p>
    <w:p w14:paraId="37BE33F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音频：采样率不低于48000Hz；声道2声道；位率不低于320kbs；采样位数不低于16位。</w:t>
      </w:r>
    </w:p>
    <w:p w14:paraId="59F60BE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其他要求：画面细腻，表现力强，内容传达科学、准确、到位；内容与细节的真实性必须得到采购人认可；音乐音效运用恰到好处；整片画面流畅，杜绝失帧、夹帧。 </w:t>
      </w:r>
    </w:p>
    <w:p w14:paraId="1C6F33D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（2）交互类应用：</w:t>
      </w:r>
    </w:p>
    <w:p w14:paraId="323EE43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开发环境：开发软件必须能集成Windows或安卓系统兼容的运行内容；系统协议应具有开放性，同时能通过多种接口与其他系统实现互联和兼容。</w:t>
      </w:r>
    </w:p>
    <w:p w14:paraId="375BE17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其他要求：内容表达精准；系统中所涉及的文字、音频、视频等各种媒体内容真实、详实、安全、合法；与展厅整体风格协调一致。</w:t>
      </w:r>
    </w:p>
    <w:p w14:paraId="153D1859">
      <w:pPr>
        <w:pStyle w:val="5"/>
        <w:spacing w:line="240" w:lineRule="auto"/>
        <w:rPr>
          <w:rFonts w:hint="default" w:ascii="仿宋" w:hAnsi="仿宋" w:eastAsia="仿宋"/>
          <w:color w:val="auto"/>
          <w:sz w:val="28"/>
          <w:szCs w:val="28"/>
        </w:rPr>
      </w:pPr>
      <w:r>
        <w:rPr>
          <w:rFonts w:ascii="仿宋" w:hAnsi="仿宋" w:eastAsia="仿宋"/>
          <w:color w:val="auto"/>
          <w:sz w:val="28"/>
          <w:szCs w:val="28"/>
        </w:rPr>
        <w:t>4.5 中控系统技术要求</w:t>
      </w:r>
    </w:p>
    <w:p w14:paraId="03217A6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控系统是对展厅内声、光、电等各种设备进行集中控制的设备系统。应用于现代展馆可集中对展示中的各类多媒体设备、灯光系统、机械系统进行管理和控制，实现对多媒体展项的智能化管理。可控制多媒体展项内所有设备（电脑主机、播放器、投影机、灯光、机械系统等），并发送命令控制设备的开机、关机、播放等，实现对展馆多媒体展项的智能化集中控制，中控软件应支持windows、安卓、IOS等常用PC端、移动端操作系统。</w:t>
      </w:r>
      <w:r>
        <w:rPr>
          <w:rFonts w:ascii="仿宋" w:hAnsi="仿宋" w:eastAsia="仿宋"/>
          <w:color w:val="auto"/>
          <w:sz w:val="28"/>
          <w:szCs w:val="28"/>
        </w:rPr>
        <w:cr/>
      </w:r>
      <w:r>
        <w:rPr>
          <w:rFonts w:ascii="仿宋" w:hAnsi="仿宋" w:eastAsia="仿宋"/>
          <w:color w:val="auto"/>
          <w:sz w:val="28"/>
          <w:szCs w:val="28"/>
        </w:rPr>
        <w:t>（1）实现投影机的控制：控制投影机的供电和完全断电；控制投影机的主要功能，如开关机、 VGA输入切换等；并且能够自动实现关联动作，保护投影机。</w:t>
      </w:r>
      <w:r>
        <w:rPr>
          <w:rFonts w:ascii="仿宋" w:hAnsi="仿宋" w:eastAsia="仿宋"/>
          <w:color w:val="auto"/>
          <w:sz w:val="28"/>
          <w:szCs w:val="28"/>
        </w:rPr>
        <w:cr/>
      </w:r>
      <w:r>
        <w:rPr>
          <w:rFonts w:ascii="仿宋" w:hAnsi="仿宋" w:eastAsia="仿宋"/>
          <w:color w:val="auto"/>
          <w:sz w:val="28"/>
          <w:szCs w:val="28"/>
        </w:rPr>
        <w:t>（2）实现 A/V 设备的控制：控制播放器的播放动作，如播放、停止、复位等功能；自动控制PC 主机的开关机，待PC主机完全关闭后自动完全断电。</w:t>
      </w:r>
    </w:p>
    <w:p w14:paraId="7198F1C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（3）集中管理多个系统：可以利用中控软件对每个系统（控制模块）进行独立命名、编组、添加说明信息。</w:t>
      </w:r>
    </w:p>
    <w:p w14:paraId="773FE37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（4）集中控制：</w:t>
      </w:r>
    </w:p>
    <w:p w14:paraId="102F8DF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（a）利用软件的功能，一次性可以将所有系统开机。</w:t>
      </w:r>
      <w:r>
        <w:rPr>
          <w:rFonts w:ascii="仿宋" w:hAnsi="仿宋" w:eastAsia="仿宋"/>
          <w:color w:val="auto"/>
          <w:sz w:val="28"/>
          <w:szCs w:val="28"/>
        </w:rPr>
        <w:cr/>
      </w:r>
      <w:r>
        <w:rPr>
          <w:rFonts w:ascii="仿宋" w:hAnsi="仿宋" w:eastAsia="仿宋"/>
          <w:color w:val="auto"/>
          <w:sz w:val="28"/>
          <w:szCs w:val="28"/>
        </w:rPr>
        <w:t>（b）利用软件的功能，一次性可以将所有系统关闭。</w:t>
      </w:r>
      <w:r>
        <w:rPr>
          <w:rFonts w:ascii="仿宋" w:hAnsi="仿宋" w:eastAsia="仿宋"/>
          <w:color w:val="auto"/>
          <w:sz w:val="28"/>
          <w:szCs w:val="28"/>
        </w:rPr>
        <w:cr/>
      </w:r>
      <w:r>
        <w:rPr>
          <w:rFonts w:ascii="仿宋" w:hAnsi="仿宋" w:eastAsia="仿宋"/>
          <w:color w:val="auto"/>
          <w:sz w:val="28"/>
          <w:szCs w:val="28"/>
        </w:rPr>
        <w:t>（c）利用软件的功能，通过对单个多媒体展项进行单独的网络控制。</w:t>
      </w:r>
    </w:p>
    <w:p w14:paraId="2510E6D8">
      <w:pPr>
        <w:pStyle w:val="5"/>
        <w:spacing w:line="240" w:lineRule="auto"/>
        <w:rPr>
          <w:rFonts w:hint="default" w:ascii="仿宋" w:hAnsi="仿宋" w:eastAsia="仿宋"/>
          <w:color w:val="auto"/>
          <w:sz w:val="28"/>
          <w:szCs w:val="28"/>
        </w:rPr>
      </w:pPr>
      <w:r>
        <w:rPr>
          <w:rFonts w:ascii="仿宋" w:hAnsi="仿宋" w:eastAsia="仿宋"/>
          <w:color w:val="auto"/>
          <w:sz w:val="28"/>
          <w:szCs w:val="28"/>
        </w:rPr>
        <w:t>4.6 艺术展项制作技术要求</w:t>
      </w:r>
    </w:p>
    <w:p w14:paraId="2C372765">
      <w:pPr>
        <w:pStyle w:val="6"/>
        <w:spacing w:line="240" w:lineRule="auto"/>
        <w:rPr>
          <w:rFonts w:hint="default" w:ascii="仿宋" w:hAnsi="仿宋" w:eastAsia="仿宋"/>
          <w:color w:val="auto"/>
          <w:sz w:val="28"/>
          <w:szCs w:val="28"/>
        </w:rPr>
      </w:pPr>
      <w:r>
        <w:rPr>
          <w:rFonts w:ascii="仿宋" w:hAnsi="仿宋" w:eastAsia="仿宋"/>
          <w:color w:val="auto"/>
          <w:sz w:val="28"/>
          <w:szCs w:val="28"/>
        </w:rPr>
        <w:t>4.6.1 艺术展项设计要求</w:t>
      </w:r>
    </w:p>
    <w:p w14:paraId="58717A5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艺术展项、场景的创作及制作应结合展览主题及展陈大纲中的重要内容合理运用，展项深化设计方案应包含深化内容、展项小稿，小稿对重点展项内容表达清晰准确。以初步设计资料和重点展项深化设计说明为基础进行深化，场景所表现的内容真实反映场景的整体设定。</w:t>
      </w:r>
    </w:p>
    <w:p w14:paraId="0726296E">
      <w:pPr>
        <w:pStyle w:val="6"/>
        <w:spacing w:line="240" w:lineRule="auto"/>
        <w:rPr>
          <w:rFonts w:hint="default" w:ascii="仿宋" w:hAnsi="仿宋" w:eastAsia="仿宋"/>
          <w:color w:val="auto"/>
          <w:sz w:val="28"/>
          <w:szCs w:val="28"/>
        </w:rPr>
      </w:pPr>
      <w:r>
        <w:rPr>
          <w:rFonts w:ascii="仿宋" w:hAnsi="仿宋" w:eastAsia="仿宋"/>
          <w:color w:val="auto"/>
          <w:sz w:val="28"/>
          <w:szCs w:val="28"/>
        </w:rPr>
        <w:t>4.6.2 艺术展项制作要求</w:t>
      </w:r>
    </w:p>
    <w:p w14:paraId="677B1B9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（1）基础结构：艺术展项、场景内部结构设计，墙体与基层平台连接点处理可靠，承托基层展台结构牢固，场景中展台、展柜及围护结构件等符合质量要求。</w:t>
      </w:r>
    </w:p>
    <w:p w14:paraId="172FCFF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（2）主体材料：场景中的人物（如有）应造型准确，形神兼备，构图精巧。根据内容需求合理使用不同材料饰面表达，场景所使用的材料应确保在色彩、质感、肌理达到逼真的自然视觉效果。</w:t>
      </w:r>
    </w:p>
    <w:p w14:paraId="4146C63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（3）背景画：画面应围绕展示主题进行深化设计和绘制，画面与前景展示相互配合，其内容和疏密应与前景做整体考虑，在视觉上达到协调统一的效果。</w:t>
      </w:r>
    </w:p>
    <w:p w14:paraId="099B68E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（4）展项照明设计效果应根据展项整体的设定，综合考虑被照射物体表面质感进行整体设计，灯具和光源要考虑避免眩光，体现节能原则和方便维护保养。</w:t>
      </w:r>
    </w:p>
    <w:p w14:paraId="639D7837">
      <w:pPr>
        <w:pStyle w:val="18"/>
        <w:rPr>
          <w:rFonts w:hint="default" w:ascii="仿宋" w:hAnsi="仿宋" w:eastAsia="仿宋"/>
          <w:color w:val="auto"/>
          <w:sz w:val="28"/>
          <w:szCs w:val="28"/>
        </w:rPr>
      </w:pPr>
    </w:p>
    <w:p w14:paraId="03E3A303">
      <w:pPr>
        <w:pStyle w:val="4"/>
        <w:spacing w:line="240" w:lineRule="auto"/>
        <w:rPr>
          <w:rFonts w:hint="default" w:ascii="仿宋" w:hAnsi="仿宋" w:eastAsia="仿宋"/>
          <w:color w:val="auto"/>
          <w:sz w:val="28"/>
          <w:szCs w:val="28"/>
        </w:rPr>
      </w:pPr>
      <w:r>
        <w:rPr>
          <w:rFonts w:ascii="仿宋" w:hAnsi="仿宋" w:eastAsia="仿宋"/>
          <w:color w:val="auto"/>
          <w:sz w:val="28"/>
          <w:szCs w:val="28"/>
        </w:rPr>
        <w:t>第五章 项目实施与进度计划</w:t>
      </w:r>
    </w:p>
    <w:p w14:paraId="5D63D146">
      <w:pPr>
        <w:pStyle w:val="5"/>
        <w:spacing w:line="240" w:lineRule="auto"/>
        <w:rPr>
          <w:rFonts w:hint="default" w:ascii="仿宋" w:hAnsi="仿宋" w:eastAsia="仿宋"/>
          <w:color w:val="auto"/>
          <w:sz w:val="28"/>
          <w:szCs w:val="28"/>
        </w:rPr>
      </w:pPr>
      <w:r>
        <w:rPr>
          <w:rFonts w:ascii="仿宋" w:hAnsi="仿宋" w:eastAsia="仿宋"/>
          <w:color w:val="auto"/>
          <w:sz w:val="28"/>
          <w:szCs w:val="28"/>
        </w:rPr>
        <w:t>5.1 实施总体要求</w:t>
      </w:r>
    </w:p>
    <w:p w14:paraId="5789E01E">
      <w:pPr>
        <w:pStyle w:val="6"/>
        <w:spacing w:line="240" w:lineRule="auto"/>
        <w:rPr>
          <w:rFonts w:hint="default" w:ascii="仿宋" w:hAnsi="仿宋" w:eastAsia="仿宋"/>
          <w:color w:val="auto"/>
          <w:sz w:val="28"/>
          <w:szCs w:val="28"/>
        </w:rPr>
      </w:pPr>
      <w:r>
        <w:rPr>
          <w:rFonts w:ascii="仿宋" w:hAnsi="仿宋" w:eastAsia="仿宋"/>
          <w:color w:val="auto"/>
          <w:sz w:val="28"/>
          <w:szCs w:val="28"/>
        </w:rPr>
        <w:t>5.1.1 实施目标</w:t>
      </w:r>
    </w:p>
    <w:p w14:paraId="0E518CF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设目标是确保上海文学馆展陈美工制作、专业照明采购、多媒体展项制作、艺术展项制作、专业展柜定制、辅助道具制作、布展配套服务在工期范围内顺利完成，保证工程质量、安全及展示效果达到设计与验收标准，实现预定功能目标。</w:t>
      </w:r>
    </w:p>
    <w:p w14:paraId="14C3D298">
      <w:pPr>
        <w:pStyle w:val="6"/>
        <w:spacing w:line="240" w:lineRule="auto"/>
        <w:rPr>
          <w:rFonts w:hint="default" w:ascii="仿宋" w:hAnsi="仿宋" w:eastAsia="仿宋"/>
          <w:color w:val="auto"/>
          <w:sz w:val="28"/>
          <w:szCs w:val="28"/>
        </w:rPr>
      </w:pPr>
      <w:r>
        <w:rPr>
          <w:rFonts w:ascii="仿宋" w:hAnsi="仿宋" w:eastAsia="仿宋"/>
          <w:color w:val="auto"/>
          <w:sz w:val="28"/>
          <w:szCs w:val="28"/>
        </w:rPr>
        <w:t>5.1.2 实施原则</w:t>
      </w:r>
    </w:p>
    <w:p w14:paraId="4C5AFD1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实施坚持“科学组织、统筹协调、安全高效、质量优先”的总体原则。施工各专业须紧密配合，实行分区分阶段管理，确保现场施工安全与进度协调。所有施工工艺应符合文保建筑施工要求，遵循“可逆性、轻量化、无损性”原则，禁止破坏原有结构。施工现场实行封闭管理制度，严格控制噪音、粉尘与废弃物排放，保障施工文明、安全与环保。</w:t>
      </w:r>
    </w:p>
    <w:p w14:paraId="728760B7">
      <w:pPr>
        <w:pStyle w:val="5"/>
        <w:spacing w:line="240" w:lineRule="auto"/>
        <w:rPr>
          <w:rFonts w:hint="default" w:ascii="仿宋" w:hAnsi="仿宋" w:eastAsia="仿宋"/>
          <w:color w:val="auto"/>
          <w:sz w:val="28"/>
          <w:szCs w:val="28"/>
        </w:rPr>
      </w:pPr>
      <w:r>
        <w:rPr>
          <w:rFonts w:ascii="仿宋" w:hAnsi="仿宋" w:eastAsia="仿宋"/>
          <w:color w:val="auto"/>
          <w:sz w:val="28"/>
          <w:szCs w:val="28"/>
        </w:rPr>
        <w:t>5.2 项目组织结构</w:t>
      </w:r>
    </w:p>
    <w:p w14:paraId="672DA2D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xml:space="preserve">项目实施采用 </w:t>
      </w:r>
      <w:r>
        <w:rPr>
          <w:b/>
          <w:bCs/>
        </w:rPr>
        <w:t>项目经理负责制</w:t>
      </w:r>
      <w:r>
        <w:rPr>
          <w:rFonts w:ascii="仿宋" w:hAnsi="仿宋" w:eastAsia="仿宋"/>
          <w:color w:val="auto"/>
          <w:sz w:val="28"/>
          <w:szCs w:val="28"/>
        </w:rPr>
        <w:t>。项目团队设置如下：</w:t>
      </w:r>
    </w:p>
    <w:p w14:paraId="22AA19AC">
      <w:pPr>
        <w:pStyle w:val="18"/>
        <w:spacing w:before="0" w:beforeAutospacing="0" w:after="0" w:afterAutospacing="0" w:line="360" w:lineRule="auto"/>
        <w:rPr>
          <w:rFonts w:hint="default"/>
          <w:b/>
          <w:bCs/>
        </w:rPr>
      </w:pPr>
      <w:r>
        <w:rPr>
          <w:b/>
          <w:bCs/>
        </w:rPr>
        <w:t>项目经理</w:t>
      </w:r>
      <w:r>
        <w:rPr>
          <w:rFonts w:ascii="仿宋" w:hAnsi="仿宋" w:eastAsia="仿宋"/>
          <w:color w:val="auto"/>
          <w:sz w:val="28"/>
          <w:szCs w:val="28"/>
        </w:rPr>
        <w:t>：项目实施第一责任人，负责统筹计划、进度、质量及安全管理；</w:t>
      </w:r>
    </w:p>
    <w:p w14:paraId="01A04F90">
      <w:pPr>
        <w:pStyle w:val="18"/>
        <w:spacing w:before="0" w:beforeAutospacing="0" w:after="0" w:afterAutospacing="0" w:line="360" w:lineRule="auto"/>
        <w:rPr>
          <w:rFonts w:hint="default"/>
          <w:b/>
          <w:bCs/>
        </w:rPr>
      </w:pPr>
      <w:r>
        <w:rPr>
          <w:b/>
          <w:bCs/>
        </w:rPr>
        <w:t>设计深化组</w:t>
      </w:r>
      <w:r>
        <w:rPr>
          <w:rFonts w:ascii="仿宋" w:hAnsi="仿宋" w:eastAsia="仿宋"/>
          <w:color w:val="auto"/>
          <w:sz w:val="28"/>
          <w:szCs w:val="28"/>
        </w:rPr>
        <w:t>：负责方案设计深化、材料工艺优化及样品控制；</w:t>
      </w:r>
    </w:p>
    <w:p w14:paraId="662568FC">
      <w:pPr>
        <w:pStyle w:val="18"/>
        <w:spacing w:before="0" w:beforeAutospacing="0" w:after="0" w:afterAutospacing="0" w:line="360" w:lineRule="auto"/>
        <w:rPr>
          <w:rFonts w:hint="default"/>
          <w:b/>
          <w:bCs/>
        </w:rPr>
      </w:pPr>
      <w:r>
        <w:rPr>
          <w:b/>
          <w:bCs/>
        </w:rPr>
        <w:t>施工管理组</w:t>
      </w:r>
      <w:r>
        <w:rPr>
          <w:rFonts w:ascii="仿宋" w:hAnsi="仿宋" w:eastAsia="仿宋"/>
          <w:color w:val="auto"/>
          <w:sz w:val="28"/>
          <w:szCs w:val="28"/>
        </w:rPr>
        <w:t>：负责现场施工组织、质量检验、安全监督（专职安全员必配）、各专业协调与调度；</w:t>
      </w:r>
    </w:p>
    <w:p w14:paraId="3EE68655">
      <w:pPr>
        <w:pStyle w:val="18"/>
        <w:spacing w:before="0" w:beforeAutospacing="0" w:after="0" w:afterAutospacing="0" w:line="360" w:lineRule="auto"/>
        <w:rPr>
          <w:rFonts w:hint="default"/>
          <w:b/>
          <w:bCs/>
        </w:rPr>
      </w:pPr>
      <w:r>
        <w:rPr>
          <w:b/>
          <w:bCs/>
        </w:rPr>
        <w:t>多媒体组</w:t>
      </w:r>
      <w:r>
        <w:rPr>
          <w:rFonts w:ascii="仿宋" w:hAnsi="仿宋" w:eastAsia="仿宋"/>
          <w:color w:val="auto"/>
          <w:sz w:val="28"/>
          <w:szCs w:val="28"/>
        </w:rPr>
        <w:t>：负责多媒体设备安装、联调及内容播放测试。</w:t>
      </w:r>
    </w:p>
    <w:p w14:paraId="6522542B">
      <w:pPr>
        <w:pStyle w:val="5"/>
        <w:spacing w:line="240" w:lineRule="auto"/>
        <w:rPr>
          <w:rFonts w:hint="default" w:ascii="仿宋" w:hAnsi="仿宋" w:eastAsia="仿宋"/>
          <w:color w:val="auto"/>
          <w:sz w:val="28"/>
          <w:szCs w:val="28"/>
        </w:rPr>
      </w:pPr>
      <w:r>
        <w:rPr>
          <w:rFonts w:ascii="仿宋" w:hAnsi="仿宋" w:eastAsia="仿宋"/>
          <w:color w:val="auto"/>
          <w:sz w:val="28"/>
          <w:szCs w:val="28"/>
        </w:rPr>
        <w:t>5.3 工期与进度控制</w:t>
      </w:r>
    </w:p>
    <w:p w14:paraId="4F27B62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（1）项目工期：自开工令下达之日起计算，要求160日历天达到试运行状态，进入不少</w:t>
      </w:r>
      <w:bookmarkStart w:id="2" w:name="_GoBack"/>
      <w:r>
        <w:rPr>
          <w:rFonts w:ascii="仿宋" w:hAnsi="仿宋" w:eastAsia="仿宋"/>
          <w:color w:val="auto"/>
          <w:sz w:val="28"/>
          <w:szCs w:val="28"/>
        </w:rPr>
        <w:t>于</w:t>
      </w:r>
      <w:r>
        <w:rPr>
          <w:rFonts w:hint="eastAsia" w:ascii="仿宋" w:hAnsi="仿宋" w:eastAsia="仿宋"/>
          <w:color w:val="auto"/>
          <w:sz w:val="28"/>
          <w:szCs w:val="28"/>
          <w:lang w:val="en-US" w:eastAsia="zh-CN"/>
        </w:rPr>
        <w:t>90</w:t>
      </w:r>
      <w:r>
        <w:rPr>
          <w:rFonts w:ascii="仿宋" w:hAnsi="仿宋" w:eastAsia="仿宋"/>
          <w:color w:val="auto"/>
          <w:sz w:val="28"/>
          <w:szCs w:val="28"/>
        </w:rPr>
        <w:t>日历天</w:t>
      </w:r>
      <w:bookmarkEnd w:id="2"/>
      <w:r>
        <w:rPr>
          <w:rFonts w:ascii="仿宋" w:hAnsi="仿宋" w:eastAsia="仿宋"/>
          <w:color w:val="auto"/>
          <w:sz w:val="28"/>
          <w:szCs w:val="28"/>
        </w:rPr>
        <w:t>的试运行，试运行结束后配合采购人完成验收工作。</w:t>
      </w:r>
    </w:p>
    <w:p w14:paraId="09CEC27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（2）本布展项目应按照招标文件要求完成布展的设计方案以及布展制作，设计方案需经过甲方确认，并达到验收交付标准。</w:t>
      </w:r>
    </w:p>
    <w:p w14:paraId="5DF410E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（3）由于下列原因造成服务期推迟延误，经采购人代表确认后，中标人有理由延期完成交付，采购人同中标人协商延长期限：</w:t>
      </w:r>
    </w:p>
    <w:p w14:paraId="7253DE8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1）由于采购人原因造成的延误；</w:t>
      </w:r>
    </w:p>
    <w:p w14:paraId="2BC1BB2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2）由于不可抗力造成的延误；</w:t>
      </w:r>
    </w:p>
    <w:p w14:paraId="7406C64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3）其他不属于中标人原因造成的延误。</w:t>
      </w:r>
    </w:p>
    <w:p w14:paraId="5684343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非上述原因，中标人不能按照合同工期完成，应承担违约责任，并按照相关考核办法，计算损失赔偿费用。</w:t>
      </w:r>
    </w:p>
    <w:p w14:paraId="78848454">
      <w:pPr>
        <w:pStyle w:val="4"/>
        <w:spacing w:line="240" w:lineRule="auto"/>
        <w:rPr>
          <w:rFonts w:hint="default" w:ascii="仿宋" w:hAnsi="仿宋" w:eastAsia="仿宋"/>
          <w:color w:val="auto"/>
          <w:sz w:val="28"/>
          <w:szCs w:val="28"/>
        </w:rPr>
      </w:pPr>
      <w:r>
        <w:rPr>
          <w:rFonts w:ascii="仿宋" w:hAnsi="仿宋" w:eastAsia="仿宋"/>
          <w:color w:val="auto"/>
          <w:sz w:val="28"/>
          <w:szCs w:val="28"/>
        </w:rPr>
        <w:t>第六章 质量控制与安全管理</w:t>
      </w:r>
    </w:p>
    <w:p w14:paraId="3FE5F314">
      <w:pPr>
        <w:pStyle w:val="5"/>
        <w:spacing w:line="240" w:lineRule="auto"/>
        <w:rPr>
          <w:rFonts w:hint="default" w:ascii="仿宋" w:hAnsi="仿宋" w:eastAsia="仿宋"/>
          <w:color w:val="auto"/>
          <w:sz w:val="28"/>
          <w:szCs w:val="28"/>
        </w:rPr>
      </w:pPr>
      <w:r>
        <w:rPr>
          <w:rFonts w:ascii="仿宋" w:hAnsi="仿宋" w:eastAsia="仿宋"/>
          <w:color w:val="auto"/>
          <w:sz w:val="28"/>
          <w:szCs w:val="28"/>
        </w:rPr>
        <w:t>6.1 总体要求</w:t>
      </w:r>
    </w:p>
    <w:p w14:paraId="2216DBD8">
      <w:pPr>
        <w:pStyle w:val="6"/>
        <w:spacing w:line="240" w:lineRule="auto"/>
        <w:rPr>
          <w:rFonts w:hint="default" w:ascii="仿宋" w:hAnsi="仿宋" w:eastAsia="仿宋"/>
          <w:color w:val="auto"/>
          <w:sz w:val="28"/>
          <w:szCs w:val="28"/>
        </w:rPr>
      </w:pPr>
      <w:r>
        <w:rPr>
          <w:rFonts w:ascii="仿宋" w:hAnsi="仿宋" w:eastAsia="仿宋"/>
          <w:color w:val="auto"/>
          <w:sz w:val="28"/>
          <w:szCs w:val="28"/>
        </w:rPr>
        <w:t>6.1.1 管理目标</w:t>
      </w:r>
    </w:p>
    <w:p w14:paraId="2FD39CD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本项目质量控制与安全管理目标为：</w:t>
      </w:r>
    </w:p>
    <w:p w14:paraId="2251455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项目质量合格率100%；</w:t>
      </w:r>
    </w:p>
    <w:p w14:paraId="787AB77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施工安全事故为零；</w:t>
      </w:r>
    </w:p>
    <w:p w14:paraId="05F2CA8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项目交付一次性通过验收；</w:t>
      </w:r>
    </w:p>
    <w:p w14:paraId="3089B10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各系统运行稳定率≥99%。</w:t>
      </w:r>
    </w:p>
    <w:p w14:paraId="0491028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承建方须建立完善的质量安全管理体系，确保项目全过程受控、可追溯、可验收。</w:t>
      </w:r>
    </w:p>
    <w:p w14:paraId="7C4F2947">
      <w:pPr>
        <w:pStyle w:val="6"/>
        <w:spacing w:line="240" w:lineRule="auto"/>
        <w:rPr>
          <w:rFonts w:hint="default" w:ascii="仿宋" w:hAnsi="仿宋" w:eastAsia="仿宋"/>
          <w:color w:val="auto"/>
          <w:sz w:val="28"/>
          <w:szCs w:val="28"/>
        </w:rPr>
      </w:pPr>
      <w:r>
        <w:rPr>
          <w:rFonts w:ascii="仿宋" w:hAnsi="仿宋" w:eastAsia="仿宋"/>
          <w:color w:val="auto"/>
          <w:sz w:val="28"/>
          <w:szCs w:val="28"/>
        </w:rPr>
        <w:t>6.1.2 管理原则</w:t>
      </w:r>
    </w:p>
    <w:p w14:paraId="2899D60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质量与安全管理应坚持“预防为主、过程控制、全员参与、持续改进”的原则。施工过程应实行动态监测、节点验收、资料同步归档的管理模式。</w:t>
      </w:r>
    </w:p>
    <w:p w14:paraId="61CB35C9">
      <w:pPr>
        <w:pStyle w:val="6"/>
        <w:spacing w:line="240" w:lineRule="auto"/>
        <w:rPr>
          <w:rFonts w:hint="default" w:ascii="仿宋" w:hAnsi="仿宋" w:eastAsia="仿宋"/>
          <w:color w:val="auto"/>
          <w:sz w:val="28"/>
          <w:szCs w:val="28"/>
        </w:rPr>
      </w:pPr>
      <w:r>
        <w:rPr>
          <w:rFonts w:ascii="仿宋" w:hAnsi="仿宋" w:eastAsia="仿宋"/>
          <w:color w:val="auto"/>
          <w:sz w:val="28"/>
          <w:szCs w:val="28"/>
        </w:rPr>
        <w:t>6.1.3与装饰总包的配合要求</w:t>
      </w:r>
    </w:p>
    <w:p w14:paraId="1B7CEF4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中标人应积极与装饰总包协调配合，包括但不限于：</w:t>
      </w:r>
    </w:p>
    <w:p w14:paraId="60F8310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w:t>
      </w:r>
      <w:r>
        <w:rPr>
          <w:rFonts w:hint="default" w:ascii="仿宋" w:hAnsi="仿宋" w:eastAsia="仿宋"/>
          <w:color w:val="auto"/>
          <w:sz w:val="28"/>
          <w:szCs w:val="28"/>
        </w:rPr>
        <w:t>协助及配合</w:t>
      </w:r>
      <w:r>
        <w:rPr>
          <w:rFonts w:ascii="仿宋" w:hAnsi="仿宋" w:eastAsia="仿宋"/>
          <w:color w:val="auto"/>
          <w:sz w:val="28"/>
          <w:szCs w:val="28"/>
        </w:rPr>
        <w:t>装饰总包</w:t>
      </w:r>
      <w:r>
        <w:rPr>
          <w:rFonts w:hint="default" w:ascii="仿宋" w:hAnsi="仿宋" w:eastAsia="仿宋"/>
          <w:color w:val="auto"/>
          <w:sz w:val="28"/>
          <w:szCs w:val="28"/>
        </w:rPr>
        <w:t>边界配套设施的现场安装、现场管线需求和场地准备、装饰收口等工作。</w:t>
      </w:r>
    </w:p>
    <w:p w14:paraId="1D3FBC2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w:t>
      </w:r>
      <w:r>
        <w:rPr>
          <w:rFonts w:hint="default" w:ascii="仿宋" w:hAnsi="仿宋" w:eastAsia="仿宋"/>
          <w:color w:val="auto"/>
          <w:sz w:val="28"/>
          <w:szCs w:val="28"/>
        </w:rPr>
        <w:t>接受</w:t>
      </w:r>
      <w:r>
        <w:rPr>
          <w:rFonts w:ascii="仿宋" w:hAnsi="仿宋" w:eastAsia="仿宋"/>
          <w:color w:val="auto"/>
          <w:sz w:val="28"/>
          <w:szCs w:val="28"/>
        </w:rPr>
        <w:t>装饰总包</w:t>
      </w:r>
      <w:r>
        <w:rPr>
          <w:rFonts w:hint="default" w:ascii="仿宋" w:hAnsi="仿宋" w:eastAsia="仿宋"/>
          <w:color w:val="auto"/>
          <w:sz w:val="28"/>
          <w:szCs w:val="28"/>
        </w:rPr>
        <w:t>现场安全管理：中标人有义务接受</w:t>
      </w:r>
      <w:r>
        <w:rPr>
          <w:rFonts w:ascii="仿宋" w:hAnsi="仿宋" w:eastAsia="仿宋"/>
          <w:color w:val="auto"/>
          <w:sz w:val="28"/>
          <w:szCs w:val="28"/>
        </w:rPr>
        <w:t>装饰总包</w:t>
      </w:r>
      <w:r>
        <w:rPr>
          <w:rFonts w:hint="default" w:ascii="仿宋" w:hAnsi="仿宋" w:eastAsia="仿宋"/>
          <w:color w:val="auto"/>
          <w:sz w:val="28"/>
          <w:szCs w:val="28"/>
        </w:rPr>
        <w:t>对人员场地等涉及施工区域的安全事项的管理，并向</w:t>
      </w:r>
      <w:r>
        <w:rPr>
          <w:rFonts w:ascii="仿宋" w:hAnsi="仿宋" w:eastAsia="仿宋"/>
          <w:color w:val="auto"/>
          <w:sz w:val="28"/>
          <w:szCs w:val="28"/>
        </w:rPr>
        <w:t>装修</w:t>
      </w:r>
      <w:r>
        <w:rPr>
          <w:rFonts w:hint="default" w:ascii="仿宋" w:hAnsi="仿宋" w:eastAsia="仿宋"/>
          <w:color w:val="auto"/>
          <w:sz w:val="28"/>
          <w:szCs w:val="28"/>
        </w:rPr>
        <w:t>总包提出全部项目进出现场安装的实施计划，并服从其统一现场安全管理。</w:t>
      </w:r>
    </w:p>
    <w:p w14:paraId="75E827F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（3）根据采购人要求协调装饰总包提供工作界面，总体推进项目进度实施。</w:t>
      </w:r>
    </w:p>
    <w:p w14:paraId="7B17C2F3">
      <w:pPr>
        <w:pStyle w:val="5"/>
        <w:spacing w:line="240" w:lineRule="auto"/>
        <w:rPr>
          <w:rFonts w:hint="default" w:ascii="仿宋" w:hAnsi="仿宋" w:eastAsia="仿宋"/>
          <w:color w:val="auto"/>
          <w:sz w:val="28"/>
          <w:szCs w:val="28"/>
        </w:rPr>
      </w:pPr>
      <w:r>
        <w:rPr>
          <w:rFonts w:ascii="仿宋" w:hAnsi="仿宋" w:eastAsia="仿宋"/>
          <w:color w:val="auto"/>
          <w:sz w:val="28"/>
          <w:szCs w:val="28"/>
        </w:rPr>
        <w:t>6.2 质量管理体系</w:t>
      </w:r>
    </w:p>
    <w:p w14:paraId="0C2F667F">
      <w:pPr>
        <w:pStyle w:val="6"/>
        <w:spacing w:line="240" w:lineRule="auto"/>
        <w:rPr>
          <w:rFonts w:hint="default" w:ascii="仿宋" w:hAnsi="仿宋" w:eastAsia="仿宋"/>
          <w:color w:val="auto"/>
          <w:sz w:val="28"/>
          <w:szCs w:val="28"/>
        </w:rPr>
      </w:pPr>
      <w:r>
        <w:rPr>
          <w:rFonts w:ascii="仿宋" w:hAnsi="仿宋" w:eastAsia="仿宋"/>
          <w:color w:val="auto"/>
          <w:sz w:val="28"/>
          <w:szCs w:val="28"/>
        </w:rPr>
        <w:t>6.2.1 体系构成</w:t>
      </w:r>
    </w:p>
    <w:p w14:paraId="2601B92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项目实施应建立“三级质量管理体系”：</w:t>
      </w:r>
    </w:p>
    <w:p w14:paraId="162C1BB1">
      <w:pPr>
        <w:pStyle w:val="18"/>
        <w:spacing w:before="0" w:beforeAutospacing="0" w:after="0" w:afterAutospacing="0" w:line="360" w:lineRule="auto"/>
        <w:rPr>
          <w:rFonts w:hint="default"/>
          <w:b/>
          <w:bCs/>
        </w:rPr>
      </w:pPr>
      <w:r>
        <w:rPr>
          <w:bCs/>
        </w:rPr>
        <w:t>一级管理</w:t>
      </w:r>
      <w:r>
        <w:rPr>
          <w:rFonts w:ascii="仿宋" w:hAnsi="仿宋" w:eastAsia="仿宋"/>
          <w:color w:val="auto"/>
          <w:sz w:val="28"/>
          <w:szCs w:val="28"/>
        </w:rPr>
        <w:t>：项目经理全面负责项目质量；</w:t>
      </w:r>
    </w:p>
    <w:p w14:paraId="5A5DB1A9">
      <w:pPr>
        <w:pStyle w:val="18"/>
        <w:spacing w:before="0" w:beforeAutospacing="0" w:after="0" w:afterAutospacing="0" w:line="360" w:lineRule="auto"/>
        <w:rPr>
          <w:rFonts w:hint="default"/>
          <w:b/>
          <w:bCs/>
        </w:rPr>
      </w:pPr>
      <w:r>
        <w:rPr>
          <w:bCs/>
        </w:rPr>
        <w:t>二级管理</w:t>
      </w:r>
      <w:r>
        <w:rPr>
          <w:rFonts w:ascii="仿宋" w:hAnsi="仿宋" w:eastAsia="仿宋"/>
          <w:color w:val="auto"/>
          <w:sz w:val="28"/>
          <w:szCs w:val="28"/>
        </w:rPr>
        <w:t>：专业工程师负责各分项工程质量控制；</w:t>
      </w:r>
    </w:p>
    <w:p w14:paraId="03DD340A">
      <w:pPr>
        <w:pStyle w:val="18"/>
        <w:spacing w:before="0" w:beforeAutospacing="0" w:after="0" w:afterAutospacing="0" w:line="360" w:lineRule="auto"/>
        <w:rPr>
          <w:rFonts w:hint="default"/>
          <w:b/>
          <w:bCs/>
        </w:rPr>
      </w:pPr>
      <w:r>
        <w:rPr>
          <w:bCs/>
        </w:rPr>
        <w:t>三级管理</w:t>
      </w:r>
      <w:r>
        <w:rPr>
          <w:rFonts w:ascii="仿宋" w:hAnsi="仿宋" w:eastAsia="仿宋"/>
          <w:color w:val="auto"/>
          <w:sz w:val="28"/>
          <w:szCs w:val="28"/>
        </w:rPr>
        <w:t>：班组长及操作人员负责具体工序质量。</w:t>
      </w:r>
    </w:p>
    <w:p w14:paraId="59AB069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各层级须签订质量责任书，明确岗位职责、考核指标及奖惩机制。</w:t>
      </w:r>
    </w:p>
    <w:p w14:paraId="55BA5ABD">
      <w:pPr>
        <w:pStyle w:val="6"/>
        <w:spacing w:line="240" w:lineRule="auto"/>
        <w:rPr>
          <w:rFonts w:hint="default" w:ascii="仿宋" w:hAnsi="仿宋" w:eastAsia="仿宋"/>
          <w:color w:val="auto"/>
          <w:sz w:val="28"/>
          <w:szCs w:val="28"/>
        </w:rPr>
      </w:pPr>
      <w:r>
        <w:rPr>
          <w:rFonts w:ascii="仿宋" w:hAnsi="仿宋" w:eastAsia="仿宋"/>
          <w:color w:val="auto"/>
          <w:sz w:val="28"/>
          <w:szCs w:val="28"/>
        </w:rPr>
        <w:t>6.2.2 质量管理流程</w:t>
      </w:r>
    </w:p>
    <w:p w14:paraId="06CBDDC9">
      <w:pPr>
        <w:pStyle w:val="18"/>
        <w:rPr>
          <w:rFonts w:hint="default" w:ascii="仿宋" w:hAnsi="仿宋" w:eastAsia="仿宋"/>
          <w:color w:val="auto"/>
          <w:sz w:val="28"/>
          <w:szCs w:val="28"/>
        </w:rPr>
      </w:pPr>
      <w:r>
        <w:rPr>
          <w:rFonts w:ascii="仿宋" w:hAnsi="仿宋" w:eastAsia="仿宋"/>
          <w:color w:val="auto"/>
          <w:sz w:val="28"/>
          <w:szCs w:val="28"/>
        </w:rPr>
        <w:t>质量管理全过程分为：材料验收 → 过程检查 → 隐蔽验收 → 成品保护 → 联合验收 五个环节。</w:t>
      </w:r>
      <w:r>
        <w:rPr>
          <w:rFonts w:ascii="仿宋" w:hAnsi="仿宋" w:eastAsia="仿宋"/>
          <w:color w:val="auto"/>
          <w:sz w:val="28"/>
          <w:szCs w:val="28"/>
        </w:rPr>
        <w:br w:type="textWrapping"/>
      </w:r>
      <w:r>
        <w:rPr>
          <w:rFonts w:ascii="仿宋" w:hAnsi="仿宋" w:eastAsia="仿宋"/>
          <w:color w:val="auto"/>
          <w:sz w:val="28"/>
          <w:szCs w:val="28"/>
        </w:rPr>
        <w:t>每个环节均应形成书面记录与影像档案，确保可追溯性。</w:t>
      </w:r>
    </w:p>
    <w:p w14:paraId="0BBA061F">
      <w:pPr>
        <w:pStyle w:val="6"/>
        <w:spacing w:line="240" w:lineRule="auto"/>
        <w:rPr>
          <w:rFonts w:hint="default" w:ascii="仿宋" w:hAnsi="仿宋" w:eastAsia="仿宋"/>
          <w:color w:val="auto"/>
          <w:sz w:val="28"/>
          <w:szCs w:val="28"/>
        </w:rPr>
      </w:pPr>
      <w:r>
        <w:rPr>
          <w:rFonts w:ascii="仿宋" w:hAnsi="仿宋" w:eastAsia="仿宋"/>
          <w:color w:val="auto"/>
          <w:sz w:val="28"/>
          <w:szCs w:val="28"/>
        </w:rPr>
        <w:t>6.2.3 技术交底流程</w:t>
      </w:r>
    </w:p>
    <w:p w14:paraId="3FF91E1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施工前项目技术负责人应进行详细技术交底，包括图纸解读、节点说明、材料使用及施工工艺。</w:t>
      </w:r>
      <w:r>
        <w:rPr>
          <w:rFonts w:ascii="仿宋" w:hAnsi="仿宋" w:eastAsia="仿宋"/>
          <w:color w:val="auto"/>
          <w:sz w:val="28"/>
          <w:szCs w:val="28"/>
        </w:rPr>
        <w:br w:type="textWrapping"/>
      </w:r>
      <w:r>
        <w:rPr>
          <w:rFonts w:ascii="仿宋" w:hAnsi="仿宋" w:eastAsia="仿宋"/>
          <w:color w:val="auto"/>
          <w:sz w:val="28"/>
          <w:szCs w:val="28"/>
        </w:rPr>
        <w:t>交底文件须签字确认，存档备案。施工过程中如有设计变更，须形成书面变更单，经采购人与监理批准后执行。</w:t>
      </w:r>
    </w:p>
    <w:p w14:paraId="49937FAC">
      <w:pPr>
        <w:pStyle w:val="5"/>
        <w:spacing w:line="240" w:lineRule="auto"/>
        <w:rPr>
          <w:rFonts w:hint="default" w:ascii="仿宋" w:hAnsi="仿宋" w:eastAsia="仿宋"/>
          <w:color w:val="auto"/>
          <w:sz w:val="28"/>
          <w:szCs w:val="28"/>
        </w:rPr>
      </w:pPr>
      <w:r>
        <w:rPr>
          <w:rFonts w:ascii="仿宋" w:hAnsi="仿宋" w:eastAsia="仿宋"/>
          <w:color w:val="auto"/>
          <w:sz w:val="28"/>
          <w:szCs w:val="28"/>
        </w:rPr>
        <w:t>6.3 材料与设备质量控制</w:t>
      </w:r>
    </w:p>
    <w:p w14:paraId="0CF026B9">
      <w:pPr>
        <w:pStyle w:val="6"/>
        <w:spacing w:line="240" w:lineRule="auto"/>
        <w:rPr>
          <w:rFonts w:hint="default" w:ascii="仿宋" w:hAnsi="仿宋" w:eastAsia="仿宋"/>
          <w:color w:val="auto"/>
          <w:sz w:val="28"/>
          <w:szCs w:val="28"/>
        </w:rPr>
      </w:pPr>
      <w:r>
        <w:rPr>
          <w:rFonts w:ascii="仿宋" w:hAnsi="仿宋" w:eastAsia="仿宋"/>
          <w:color w:val="auto"/>
          <w:sz w:val="28"/>
          <w:szCs w:val="28"/>
        </w:rPr>
        <w:t>6.3.1 材料进场验收</w:t>
      </w:r>
    </w:p>
    <w:p w14:paraId="0C28398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所有材料进场时必须具备出厂合格证、检测报告。</w:t>
      </w:r>
      <w:r>
        <w:rPr>
          <w:rFonts w:ascii="仿宋" w:hAnsi="仿宋" w:eastAsia="仿宋"/>
          <w:color w:val="auto"/>
          <w:sz w:val="28"/>
          <w:szCs w:val="28"/>
        </w:rPr>
        <w:br w:type="textWrapping"/>
      </w:r>
      <w:r>
        <w:rPr>
          <w:rFonts w:ascii="仿宋" w:hAnsi="仿宋" w:eastAsia="仿宋"/>
          <w:color w:val="auto"/>
          <w:sz w:val="28"/>
          <w:szCs w:val="28"/>
        </w:rPr>
        <w:t>现场须设材料验收区，专人负责抽检与登记，形成《材料进场检验记录》。</w:t>
      </w:r>
    </w:p>
    <w:p w14:paraId="5504C597">
      <w:pPr>
        <w:pStyle w:val="6"/>
        <w:spacing w:line="240" w:lineRule="auto"/>
        <w:rPr>
          <w:rFonts w:hint="default" w:ascii="仿宋" w:hAnsi="仿宋" w:eastAsia="仿宋"/>
          <w:color w:val="auto"/>
          <w:sz w:val="28"/>
          <w:szCs w:val="28"/>
        </w:rPr>
      </w:pPr>
      <w:r>
        <w:rPr>
          <w:rFonts w:ascii="仿宋" w:hAnsi="仿宋" w:eastAsia="仿宋"/>
          <w:color w:val="auto"/>
          <w:sz w:val="28"/>
          <w:szCs w:val="28"/>
        </w:rPr>
        <w:t>6.3.2 样品与批量一致性</w:t>
      </w:r>
    </w:p>
    <w:p w14:paraId="67465C0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样品确认后批量生产的材料、灯具、饰面、设备等，应与样品颜色、质感、性能一致。若出现偏差超过允许范围，对已进场材料做退场处理，重新按照确认后的样品提供进场材料，并重新进行报审。</w:t>
      </w:r>
    </w:p>
    <w:p w14:paraId="169E5DF6">
      <w:pPr>
        <w:pStyle w:val="6"/>
        <w:spacing w:line="240" w:lineRule="auto"/>
        <w:rPr>
          <w:rFonts w:hint="default" w:ascii="仿宋" w:hAnsi="仿宋" w:eastAsia="仿宋"/>
          <w:color w:val="auto"/>
          <w:sz w:val="28"/>
          <w:szCs w:val="28"/>
        </w:rPr>
      </w:pPr>
      <w:r>
        <w:rPr>
          <w:rFonts w:ascii="仿宋" w:hAnsi="仿宋" w:eastAsia="仿宋"/>
          <w:color w:val="auto"/>
          <w:sz w:val="28"/>
          <w:szCs w:val="28"/>
        </w:rPr>
        <w:t>6.3.3 设备检测与调试</w:t>
      </w:r>
    </w:p>
    <w:p w14:paraId="47B9ED1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所有电子设备、照明装置及多媒体系统在安装前须进行功能测试与通电检测，关键设备如中控主机、投影机、LED屏应进行72小时连续运行测试，确保稳定。</w:t>
      </w:r>
    </w:p>
    <w:p w14:paraId="4CBA3140">
      <w:pPr>
        <w:pStyle w:val="5"/>
        <w:spacing w:line="240" w:lineRule="auto"/>
        <w:rPr>
          <w:rFonts w:hint="default" w:ascii="仿宋" w:hAnsi="仿宋" w:eastAsia="仿宋"/>
          <w:color w:val="auto"/>
          <w:sz w:val="28"/>
          <w:szCs w:val="28"/>
        </w:rPr>
      </w:pPr>
      <w:r>
        <w:rPr>
          <w:rFonts w:ascii="仿宋" w:hAnsi="仿宋" w:eastAsia="仿宋"/>
          <w:color w:val="auto"/>
          <w:sz w:val="28"/>
          <w:szCs w:val="28"/>
        </w:rPr>
        <w:t>6.4 施工质量控制</w:t>
      </w:r>
    </w:p>
    <w:p w14:paraId="32E8BF4D">
      <w:pPr>
        <w:pStyle w:val="6"/>
        <w:spacing w:line="240" w:lineRule="auto"/>
        <w:rPr>
          <w:rFonts w:hint="default" w:ascii="仿宋" w:hAnsi="仿宋" w:eastAsia="仿宋"/>
          <w:color w:val="auto"/>
          <w:sz w:val="28"/>
          <w:szCs w:val="28"/>
        </w:rPr>
      </w:pPr>
      <w:r>
        <w:rPr>
          <w:rFonts w:ascii="仿宋" w:hAnsi="仿宋" w:eastAsia="仿宋"/>
          <w:color w:val="auto"/>
          <w:sz w:val="28"/>
          <w:szCs w:val="28"/>
        </w:rPr>
        <w:t>6.4.1 施工过程管理</w:t>
      </w:r>
    </w:p>
    <w:p w14:paraId="1C4A613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施工方须对各工序的材料、工法、质量标准进行规范管理。</w:t>
      </w:r>
      <w:r>
        <w:rPr>
          <w:rFonts w:ascii="仿宋" w:hAnsi="仿宋" w:eastAsia="仿宋"/>
          <w:color w:val="auto"/>
          <w:sz w:val="28"/>
          <w:szCs w:val="28"/>
        </w:rPr>
        <w:br w:type="textWrapping"/>
      </w:r>
      <w:r>
        <w:rPr>
          <w:rFonts w:ascii="仿宋" w:hAnsi="仿宋" w:eastAsia="仿宋"/>
          <w:color w:val="auto"/>
          <w:sz w:val="28"/>
          <w:szCs w:val="28"/>
        </w:rPr>
        <w:t>每一工序完成后须经自检、监理复检、采购人抽检三重确认。</w:t>
      </w:r>
    </w:p>
    <w:p w14:paraId="01D0B027">
      <w:pPr>
        <w:pStyle w:val="6"/>
        <w:spacing w:line="240" w:lineRule="auto"/>
        <w:rPr>
          <w:rFonts w:hint="default" w:ascii="仿宋" w:hAnsi="仿宋" w:eastAsia="仿宋"/>
          <w:color w:val="auto"/>
          <w:sz w:val="28"/>
          <w:szCs w:val="28"/>
        </w:rPr>
      </w:pPr>
      <w:r>
        <w:rPr>
          <w:rFonts w:ascii="仿宋" w:hAnsi="仿宋" w:eastAsia="仿宋"/>
          <w:color w:val="auto"/>
          <w:sz w:val="28"/>
          <w:szCs w:val="28"/>
        </w:rPr>
        <w:t>6.4.2 隐蔽工程管理</w:t>
      </w:r>
    </w:p>
    <w:p w14:paraId="177EA1D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隐蔽工程（如布线、管道、固定支架等）必须在封闭前由监理与采购人验收签认。未验收即封闭者视为不合格工程，施工方应承担整改费用。</w:t>
      </w:r>
    </w:p>
    <w:p w14:paraId="09F1B830">
      <w:pPr>
        <w:pStyle w:val="6"/>
        <w:spacing w:line="240" w:lineRule="auto"/>
        <w:rPr>
          <w:rFonts w:hint="default" w:ascii="仿宋" w:hAnsi="仿宋" w:eastAsia="仿宋"/>
          <w:color w:val="auto"/>
          <w:sz w:val="28"/>
          <w:szCs w:val="28"/>
        </w:rPr>
      </w:pPr>
      <w:r>
        <w:rPr>
          <w:rFonts w:ascii="仿宋" w:hAnsi="仿宋" w:eastAsia="仿宋"/>
          <w:color w:val="auto"/>
          <w:sz w:val="28"/>
          <w:szCs w:val="28"/>
        </w:rPr>
        <w:t>6.4.3 成品保护</w:t>
      </w:r>
    </w:p>
    <w:p w14:paraId="146268C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施工过程中应采取防护措施，防止成品损坏或污染。灯具、展柜、金属饰面、投影设备等均应包裹保护。施工结束后应进行清理、检查，确保展区整洁。</w:t>
      </w:r>
    </w:p>
    <w:p w14:paraId="500249C4">
      <w:pPr>
        <w:pStyle w:val="5"/>
        <w:spacing w:line="240" w:lineRule="auto"/>
        <w:rPr>
          <w:rFonts w:hint="default" w:ascii="仿宋" w:hAnsi="仿宋" w:eastAsia="仿宋"/>
          <w:color w:val="auto"/>
          <w:sz w:val="28"/>
          <w:szCs w:val="28"/>
        </w:rPr>
      </w:pPr>
      <w:r>
        <w:rPr>
          <w:rFonts w:ascii="仿宋" w:hAnsi="仿宋" w:eastAsia="仿宋"/>
          <w:color w:val="auto"/>
          <w:sz w:val="28"/>
          <w:szCs w:val="28"/>
        </w:rPr>
        <w:t>6.5 安全管理体系</w:t>
      </w:r>
    </w:p>
    <w:p w14:paraId="458A4EB0">
      <w:pPr>
        <w:pStyle w:val="6"/>
        <w:spacing w:line="240" w:lineRule="auto"/>
        <w:rPr>
          <w:rFonts w:hint="default" w:ascii="仿宋" w:hAnsi="仿宋" w:eastAsia="仿宋"/>
          <w:color w:val="auto"/>
          <w:sz w:val="28"/>
          <w:szCs w:val="28"/>
        </w:rPr>
      </w:pPr>
      <w:r>
        <w:rPr>
          <w:rFonts w:ascii="仿宋" w:hAnsi="仿宋" w:eastAsia="仿宋"/>
          <w:color w:val="auto"/>
          <w:sz w:val="28"/>
          <w:szCs w:val="28"/>
        </w:rPr>
        <w:t>6.5.1 安全责任制</w:t>
      </w:r>
    </w:p>
    <w:p w14:paraId="5BBE703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实行“谁施工、谁负责”的安全生产责任制。项目经理为安全第一责任人，各专业负责人对本专业安全工作负直接责任。安全员负责现场巡查与隐患整改。</w:t>
      </w:r>
    </w:p>
    <w:p w14:paraId="238DD6BF">
      <w:pPr>
        <w:pStyle w:val="6"/>
        <w:spacing w:line="240" w:lineRule="auto"/>
        <w:rPr>
          <w:rFonts w:hint="default" w:ascii="仿宋" w:hAnsi="仿宋" w:eastAsia="仿宋"/>
          <w:color w:val="auto"/>
          <w:sz w:val="28"/>
          <w:szCs w:val="28"/>
        </w:rPr>
      </w:pPr>
      <w:r>
        <w:rPr>
          <w:rFonts w:ascii="仿宋" w:hAnsi="仿宋" w:eastAsia="仿宋"/>
          <w:color w:val="auto"/>
          <w:sz w:val="28"/>
          <w:szCs w:val="28"/>
        </w:rPr>
        <w:t>6.5.2 安全教育与培训</w:t>
      </w:r>
    </w:p>
    <w:p w14:paraId="68A663C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所有施工人员须经安全培训后方可上岗。培训内容包括：安全操作规程、用电防护、高空作业、防火知识、应急疏散等。培训记录须归档备查。</w:t>
      </w:r>
    </w:p>
    <w:p w14:paraId="1344CD4B">
      <w:pPr>
        <w:pStyle w:val="6"/>
        <w:spacing w:line="240" w:lineRule="auto"/>
        <w:rPr>
          <w:rFonts w:hint="default" w:ascii="仿宋" w:hAnsi="仿宋" w:eastAsia="仿宋"/>
          <w:color w:val="auto"/>
          <w:sz w:val="28"/>
          <w:szCs w:val="28"/>
        </w:rPr>
      </w:pPr>
      <w:r>
        <w:rPr>
          <w:rFonts w:ascii="仿宋" w:hAnsi="仿宋" w:eastAsia="仿宋"/>
          <w:color w:val="auto"/>
          <w:sz w:val="28"/>
          <w:szCs w:val="28"/>
        </w:rPr>
        <w:t>6.5.3 施工安全措施</w:t>
      </w:r>
    </w:p>
    <w:p w14:paraId="34804C8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高空作业设防护栏与安全绳；</w:t>
      </w:r>
    </w:p>
    <w:p w14:paraId="5AAF37D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临时用电必须设置漏电保护装置；</w:t>
      </w:r>
    </w:p>
    <w:p w14:paraId="7F67388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电缆走线采用阻燃护管；</w:t>
      </w:r>
    </w:p>
    <w:p w14:paraId="297291B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施工区域设警示标识与安全通道；</w:t>
      </w:r>
    </w:p>
    <w:p w14:paraId="085ED2E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施工现场配备灭火器、沙箱等消防设备。</w:t>
      </w:r>
    </w:p>
    <w:p w14:paraId="7F4E14D0">
      <w:pPr>
        <w:pStyle w:val="6"/>
        <w:spacing w:line="240" w:lineRule="auto"/>
        <w:rPr>
          <w:rFonts w:hint="default" w:ascii="仿宋" w:hAnsi="仿宋" w:eastAsia="仿宋"/>
          <w:color w:val="auto"/>
          <w:sz w:val="28"/>
          <w:szCs w:val="28"/>
        </w:rPr>
      </w:pPr>
      <w:r>
        <w:rPr>
          <w:rFonts w:ascii="仿宋" w:hAnsi="仿宋" w:eastAsia="仿宋"/>
          <w:color w:val="auto"/>
          <w:sz w:val="28"/>
          <w:szCs w:val="28"/>
        </w:rPr>
        <w:t>6.5.4 消防与用电管理</w:t>
      </w:r>
    </w:p>
    <w:p w14:paraId="798D734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施工期间严禁吸烟与明火操作。电气设备应定期检查绝缘与接地。</w:t>
      </w:r>
      <w:r>
        <w:rPr>
          <w:rFonts w:ascii="仿宋" w:hAnsi="仿宋" w:eastAsia="仿宋"/>
          <w:color w:val="auto"/>
          <w:sz w:val="28"/>
          <w:szCs w:val="28"/>
        </w:rPr>
        <w:br w:type="textWrapping"/>
      </w:r>
      <w:r>
        <w:rPr>
          <w:rFonts w:ascii="仿宋" w:hAnsi="仿宋" w:eastAsia="仿宋"/>
          <w:color w:val="auto"/>
          <w:sz w:val="28"/>
          <w:szCs w:val="28"/>
        </w:rPr>
        <w:t>焊接、切割等特殊工种作业须持证上岗，作业时配备灭火器具并设专人监护。</w:t>
      </w:r>
    </w:p>
    <w:p w14:paraId="3142AFB9">
      <w:pPr>
        <w:pStyle w:val="5"/>
        <w:spacing w:line="240" w:lineRule="auto"/>
        <w:rPr>
          <w:rFonts w:hint="default" w:ascii="仿宋" w:hAnsi="仿宋" w:eastAsia="仿宋"/>
          <w:color w:val="auto"/>
          <w:sz w:val="28"/>
          <w:szCs w:val="28"/>
        </w:rPr>
      </w:pPr>
      <w:r>
        <w:rPr>
          <w:rFonts w:ascii="仿宋" w:hAnsi="仿宋" w:eastAsia="仿宋"/>
          <w:color w:val="auto"/>
          <w:sz w:val="28"/>
          <w:szCs w:val="28"/>
        </w:rPr>
        <w:t>6.6 环境与文明施工</w:t>
      </w:r>
    </w:p>
    <w:p w14:paraId="54BEBFAB">
      <w:pPr>
        <w:pStyle w:val="6"/>
        <w:spacing w:line="240" w:lineRule="auto"/>
        <w:rPr>
          <w:rFonts w:hint="default" w:ascii="仿宋" w:hAnsi="仿宋" w:eastAsia="仿宋"/>
          <w:color w:val="auto"/>
          <w:sz w:val="28"/>
          <w:szCs w:val="28"/>
        </w:rPr>
      </w:pPr>
      <w:r>
        <w:rPr>
          <w:rFonts w:ascii="仿宋" w:hAnsi="仿宋" w:eastAsia="仿宋"/>
          <w:color w:val="auto"/>
          <w:sz w:val="28"/>
          <w:szCs w:val="28"/>
        </w:rPr>
        <w:t>6.6.1 环保要求</w:t>
      </w:r>
    </w:p>
    <w:p w14:paraId="4665B0D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施工中应控制噪音、粉尘与废气排放。材料切割应采用封闭工位并安装除尘设备。废弃物分类回收，不得随意堆放。</w:t>
      </w:r>
      <w:r>
        <w:rPr>
          <w:rFonts w:ascii="仿宋" w:hAnsi="仿宋" w:eastAsia="仿宋"/>
          <w:color w:val="auto"/>
          <w:sz w:val="28"/>
          <w:szCs w:val="28"/>
        </w:rPr>
        <w:br w:type="textWrapping"/>
      </w:r>
      <w:r>
        <w:rPr>
          <w:rFonts w:ascii="仿宋" w:hAnsi="仿宋" w:eastAsia="仿宋"/>
          <w:color w:val="auto"/>
          <w:sz w:val="28"/>
          <w:szCs w:val="28"/>
        </w:rPr>
        <w:t>所有油漆、胶黏剂须使用环保产品，VOC含量符合国家标准。</w:t>
      </w:r>
    </w:p>
    <w:p w14:paraId="1FCF9FC5">
      <w:pPr>
        <w:pStyle w:val="6"/>
        <w:spacing w:line="240" w:lineRule="auto"/>
        <w:rPr>
          <w:rFonts w:hint="default" w:ascii="仿宋" w:hAnsi="仿宋" w:eastAsia="仿宋"/>
          <w:color w:val="auto"/>
          <w:sz w:val="28"/>
          <w:szCs w:val="28"/>
        </w:rPr>
      </w:pPr>
      <w:r>
        <w:rPr>
          <w:rFonts w:ascii="仿宋" w:hAnsi="仿宋" w:eastAsia="仿宋"/>
          <w:color w:val="auto"/>
          <w:sz w:val="28"/>
          <w:szCs w:val="28"/>
        </w:rPr>
        <w:t>6.6.2 文明施工管理</w:t>
      </w:r>
    </w:p>
    <w:p w14:paraId="4A3A745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施工现场须设置围挡，明确安全标识与警示语。施工人员应佩戴工作证，服装整洁。现场每日清扫，保持通道畅通。</w:t>
      </w:r>
      <w:r>
        <w:rPr>
          <w:rFonts w:ascii="仿宋" w:hAnsi="仿宋" w:eastAsia="仿宋"/>
          <w:color w:val="auto"/>
          <w:sz w:val="28"/>
          <w:szCs w:val="28"/>
        </w:rPr>
        <w:br w:type="textWrapping"/>
      </w:r>
      <w:r>
        <w:rPr>
          <w:rFonts w:ascii="仿宋" w:hAnsi="仿宋" w:eastAsia="仿宋"/>
          <w:color w:val="auto"/>
          <w:sz w:val="28"/>
          <w:szCs w:val="28"/>
        </w:rPr>
        <w:t>运输通道设防护垫层，防止地面划伤。</w:t>
      </w:r>
    </w:p>
    <w:p w14:paraId="64FB01B8">
      <w:pPr>
        <w:pStyle w:val="5"/>
        <w:spacing w:line="240" w:lineRule="auto"/>
        <w:rPr>
          <w:rFonts w:hint="default" w:ascii="仿宋" w:hAnsi="仿宋" w:eastAsia="仿宋"/>
          <w:color w:val="auto"/>
          <w:sz w:val="28"/>
          <w:szCs w:val="28"/>
        </w:rPr>
      </w:pPr>
      <w:r>
        <w:rPr>
          <w:rFonts w:ascii="仿宋" w:hAnsi="仿宋" w:eastAsia="仿宋"/>
          <w:color w:val="auto"/>
          <w:sz w:val="28"/>
          <w:szCs w:val="28"/>
        </w:rPr>
        <w:t>6.7 应急与风险管理</w:t>
      </w:r>
    </w:p>
    <w:p w14:paraId="43C9FE5F">
      <w:pPr>
        <w:pStyle w:val="6"/>
        <w:spacing w:line="240" w:lineRule="auto"/>
        <w:rPr>
          <w:rFonts w:hint="default" w:ascii="仿宋" w:hAnsi="仿宋" w:eastAsia="仿宋"/>
          <w:color w:val="auto"/>
          <w:sz w:val="28"/>
          <w:szCs w:val="28"/>
        </w:rPr>
      </w:pPr>
      <w:r>
        <w:rPr>
          <w:rFonts w:ascii="仿宋" w:hAnsi="仿宋" w:eastAsia="仿宋"/>
          <w:color w:val="auto"/>
          <w:sz w:val="28"/>
          <w:szCs w:val="28"/>
        </w:rPr>
        <w:t>6.7.1 应急组织</w:t>
      </w:r>
    </w:p>
    <w:p w14:paraId="62FBDEC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建立项目安全应急领导小组，由项目经理任组长。下设消防应急组、电气应急组、机械应急组及医疗救援组。</w:t>
      </w:r>
    </w:p>
    <w:p w14:paraId="650B2BC9">
      <w:pPr>
        <w:pStyle w:val="6"/>
        <w:spacing w:line="240" w:lineRule="auto"/>
        <w:rPr>
          <w:rFonts w:hint="default" w:ascii="仿宋" w:hAnsi="仿宋" w:eastAsia="仿宋"/>
          <w:color w:val="auto"/>
          <w:sz w:val="28"/>
          <w:szCs w:val="28"/>
        </w:rPr>
      </w:pPr>
      <w:r>
        <w:rPr>
          <w:rFonts w:ascii="仿宋" w:hAnsi="仿宋" w:eastAsia="仿宋"/>
          <w:color w:val="auto"/>
          <w:sz w:val="28"/>
          <w:szCs w:val="28"/>
        </w:rPr>
        <w:t>6.7.2 应急预案</w:t>
      </w:r>
    </w:p>
    <w:p w14:paraId="404F61C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施工方须编制《安全应急预案》，明确响应级别、处置程序与联络机制。现场应张贴应急疏散示意图，定期组织演练。</w:t>
      </w:r>
    </w:p>
    <w:p w14:paraId="2AB157B7">
      <w:pPr>
        <w:pStyle w:val="6"/>
        <w:spacing w:line="240" w:lineRule="auto"/>
        <w:rPr>
          <w:rFonts w:hint="default" w:ascii="仿宋" w:hAnsi="仿宋" w:eastAsia="仿宋"/>
          <w:color w:val="auto"/>
          <w:sz w:val="28"/>
          <w:szCs w:val="28"/>
        </w:rPr>
      </w:pPr>
      <w:r>
        <w:rPr>
          <w:rFonts w:ascii="仿宋" w:hAnsi="仿宋" w:eastAsia="仿宋"/>
          <w:color w:val="auto"/>
          <w:sz w:val="28"/>
          <w:szCs w:val="28"/>
        </w:rPr>
        <w:t>6.7.3 风险评估与控制</w:t>
      </w:r>
    </w:p>
    <w:p w14:paraId="4AF2F9E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施工前应进行风险识别与评估，对高风险作业（如吊装、高空、临时用电）制定专项防控措施。</w:t>
      </w:r>
      <w:r>
        <w:rPr>
          <w:rFonts w:ascii="仿宋" w:hAnsi="仿宋" w:eastAsia="仿宋"/>
          <w:color w:val="auto"/>
          <w:sz w:val="28"/>
          <w:szCs w:val="28"/>
        </w:rPr>
        <w:br w:type="textWrapping"/>
      </w:r>
      <w:r>
        <w:rPr>
          <w:rFonts w:ascii="仿宋" w:hAnsi="仿宋" w:eastAsia="仿宋"/>
          <w:color w:val="auto"/>
          <w:sz w:val="28"/>
          <w:szCs w:val="28"/>
        </w:rPr>
        <w:t>施工期间应动态监测风险变化，建立风险预警机制。</w:t>
      </w:r>
    </w:p>
    <w:p w14:paraId="58F67A85">
      <w:pPr>
        <w:pStyle w:val="4"/>
        <w:spacing w:line="240" w:lineRule="auto"/>
        <w:rPr>
          <w:rFonts w:hint="default" w:ascii="仿宋" w:hAnsi="仿宋" w:eastAsia="仿宋"/>
          <w:color w:val="auto"/>
          <w:sz w:val="28"/>
          <w:szCs w:val="28"/>
        </w:rPr>
      </w:pPr>
      <w:r>
        <w:rPr>
          <w:rFonts w:ascii="仿宋" w:hAnsi="仿宋" w:eastAsia="仿宋"/>
          <w:color w:val="auto"/>
          <w:sz w:val="28"/>
          <w:szCs w:val="28"/>
        </w:rPr>
        <w:t>第七章 售后服务与运维要求</w:t>
      </w:r>
    </w:p>
    <w:p w14:paraId="0095F3F2">
      <w:pPr>
        <w:pStyle w:val="5"/>
        <w:spacing w:line="240" w:lineRule="auto"/>
        <w:rPr>
          <w:rFonts w:hint="default" w:ascii="仿宋" w:hAnsi="仿宋" w:eastAsia="仿宋"/>
          <w:color w:val="auto"/>
          <w:sz w:val="28"/>
          <w:szCs w:val="28"/>
        </w:rPr>
      </w:pPr>
      <w:r>
        <w:rPr>
          <w:rFonts w:ascii="仿宋" w:hAnsi="仿宋" w:eastAsia="仿宋"/>
          <w:color w:val="auto"/>
          <w:sz w:val="28"/>
          <w:szCs w:val="28"/>
        </w:rPr>
        <w:t>7.1 总体要求</w:t>
      </w:r>
    </w:p>
    <w:p w14:paraId="40F06D83">
      <w:pPr>
        <w:pStyle w:val="6"/>
        <w:spacing w:line="240" w:lineRule="auto"/>
        <w:rPr>
          <w:rFonts w:hint="default" w:ascii="仿宋" w:hAnsi="仿宋" w:eastAsia="仿宋"/>
          <w:color w:val="auto"/>
          <w:sz w:val="28"/>
          <w:szCs w:val="28"/>
        </w:rPr>
      </w:pPr>
      <w:r>
        <w:rPr>
          <w:rFonts w:ascii="仿宋" w:hAnsi="仿宋" w:eastAsia="仿宋"/>
          <w:color w:val="auto"/>
          <w:sz w:val="28"/>
          <w:szCs w:val="28"/>
        </w:rPr>
        <w:t>7.1.1 保修期限</w:t>
      </w:r>
    </w:p>
    <w:p w14:paraId="56F2EAA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保期：整体质保期自竣工验收通过之日起24个月。展项，设备，材料，零部件或软件在项目竣工验收后，连续6个月之内运行期出现两次故障(非人为因素导致展项无法正常使用)，则该展项，设备，材料，零部件或软件的质量保证期自第二个修复日起按24个月重新起算。</w:t>
      </w:r>
    </w:p>
    <w:p w14:paraId="34E86D17">
      <w:pPr>
        <w:pStyle w:val="6"/>
        <w:spacing w:line="240" w:lineRule="auto"/>
        <w:rPr>
          <w:rFonts w:hint="default" w:ascii="仿宋" w:hAnsi="仿宋" w:eastAsia="仿宋"/>
          <w:color w:val="auto"/>
          <w:sz w:val="28"/>
          <w:szCs w:val="28"/>
        </w:rPr>
      </w:pPr>
      <w:r>
        <w:rPr>
          <w:rFonts w:ascii="仿宋" w:hAnsi="仿宋" w:eastAsia="仿宋"/>
          <w:color w:val="auto"/>
          <w:sz w:val="28"/>
          <w:szCs w:val="28"/>
        </w:rPr>
        <w:t>7.1.2 服务原则</w:t>
      </w:r>
    </w:p>
    <w:p w14:paraId="71BADA4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售后与运维工作应坚持“主动预防、快速响应、专业维护、持续改进”的原则。</w:t>
      </w:r>
      <w:r>
        <w:rPr>
          <w:rFonts w:ascii="仿宋" w:hAnsi="仿宋" w:eastAsia="仿宋"/>
          <w:color w:val="auto"/>
          <w:sz w:val="28"/>
          <w:szCs w:val="28"/>
        </w:rPr>
        <w:br w:type="textWrapping"/>
      </w:r>
      <w:r>
        <w:rPr>
          <w:rFonts w:ascii="仿宋" w:hAnsi="仿宋" w:eastAsia="仿宋"/>
          <w:color w:val="auto"/>
          <w:sz w:val="28"/>
          <w:szCs w:val="28"/>
        </w:rPr>
        <w:t>所有系统应实现全生命周期管理，涵盖交付、培训、巡检、维保、升级及技术支持全过程，形成闭环管理模式。</w:t>
      </w:r>
    </w:p>
    <w:p w14:paraId="5125A5E0">
      <w:pPr>
        <w:pStyle w:val="5"/>
        <w:spacing w:line="240" w:lineRule="auto"/>
        <w:rPr>
          <w:rFonts w:hint="default" w:ascii="仿宋" w:hAnsi="仿宋" w:eastAsia="仿宋"/>
          <w:color w:val="auto"/>
          <w:sz w:val="28"/>
          <w:szCs w:val="28"/>
        </w:rPr>
      </w:pPr>
      <w:r>
        <w:rPr>
          <w:rFonts w:ascii="仿宋" w:hAnsi="仿宋" w:eastAsia="仿宋"/>
          <w:color w:val="auto"/>
          <w:sz w:val="28"/>
          <w:szCs w:val="28"/>
        </w:rPr>
        <w:t>7.2 质保与保修要求</w:t>
      </w:r>
    </w:p>
    <w:p w14:paraId="264C7859">
      <w:pPr>
        <w:pStyle w:val="6"/>
        <w:spacing w:line="240" w:lineRule="auto"/>
        <w:rPr>
          <w:rFonts w:hint="default" w:ascii="仿宋" w:hAnsi="仿宋" w:eastAsia="仿宋"/>
          <w:color w:val="auto"/>
          <w:sz w:val="28"/>
          <w:szCs w:val="28"/>
        </w:rPr>
      </w:pPr>
      <w:r>
        <w:rPr>
          <w:rFonts w:ascii="仿宋" w:hAnsi="仿宋" w:eastAsia="仿宋"/>
          <w:color w:val="auto"/>
          <w:sz w:val="28"/>
          <w:szCs w:val="28"/>
        </w:rPr>
        <w:t>7.2.1 保修要求</w:t>
      </w:r>
    </w:p>
    <w:p w14:paraId="4ADA9AC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（1）投标人必须提供技术后援支持。技术支持的方式包括：电话技术服务、远程操作指导、现场技术服务、人员培训服务等。</w:t>
      </w:r>
    </w:p>
    <w:p w14:paraId="00A4E3F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投标人主要负责制定运行维护规程和保障措施，对于日常运行维护工作紧急抢修等特殊情况需提供专人支持响应服务，紧急情况下做到随时应答、专人到场，作出实质性响应，提供应急策略，排除故障问题。</w:t>
      </w:r>
    </w:p>
    <w:p w14:paraId="113D9806">
      <w:pPr>
        <w:pStyle w:val="6"/>
        <w:spacing w:line="240" w:lineRule="auto"/>
        <w:rPr>
          <w:rFonts w:hint="default" w:ascii="仿宋" w:hAnsi="仿宋" w:eastAsia="仿宋"/>
          <w:color w:val="auto"/>
          <w:sz w:val="28"/>
          <w:szCs w:val="28"/>
        </w:rPr>
      </w:pPr>
      <w:r>
        <w:rPr>
          <w:rFonts w:ascii="仿宋" w:hAnsi="仿宋" w:eastAsia="仿宋"/>
          <w:color w:val="auto"/>
          <w:sz w:val="28"/>
          <w:szCs w:val="28"/>
        </w:rPr>
        <w:t>7.2.2 保修范围</w:t>
      </w:r>
    </w:p>
    <w:p w14:paraId="3075B03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保修范围为本项目投标范围中所有陈列制作及施工，包括但不限于：</w:t>
      </w:r>
    </w:p>
    <w:p w14:paraId="2EF625E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（1）背景墙、版面及相关道具、美工等设计、制作。</w:t>
      </w:r>
    </w:p>
    <w:p w14:paraId="4BB5FAF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（2）电气安装：弱电管线、动力及照明配电箱安装等。</w:t>
      </w:r>
    </w:p>
    <w:p w14:paraId="4A35FC2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（3）展陈灯光设计：专业博物馆或展馆展陈灯具,光源系统。</w:t>
      </w:r>
    </w:p>
    <w:p w14:paraId="4EC629B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（4）专业展柜：专业博物馆或展馆展柜系统，保修重点是结构安全、材料老化、工艺瑕疵。</w:t>
      </w:r>
    </w:p>
    <w:p w14:paraId="0ED159E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（5）美工布展：平面美术展板、托架、说明牌制作等。</w:t>
      </w:r>
    </w:p>
    <w:p w14:paraId="0468E67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（6）展项、艺术品、场景、展品仿制的创作及制作。</w:t>
      </w:r>
    </w:p>
    <w:p w14:paraId="1B0AEA6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（7）多媒体技术的应用，含软件内容和硬件设备，保修重点是系统兼容性、病毒防护、软件BUG修复及内容更新。</w:t>
      </w:r>
    </w:p>
    <w:p w14:paraId="0CD18FD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（8）特别展览区等的设计，含专业展柜及灯光照明系统。</w:t>
      </w:r>
    </w:p>
    <w:p w14:paraId="4FC5BB1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（9）展厅内导览标识系统。</w:t>
      </w:r>
    </w:p>
    <w:p w14:paraId="18E55CB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（10）其它内容：因布展造成已完成面的破损进行相关维修。</w:t>
      </w:r>
    </w:p>
    <w:p w14:paraId="3F97DBDC">
      <w:pPr>
        <w:pStyle w:val="6"/>
        <w:spacing w:line="240" w:lineRule="auto"/>
        <w:rPr>
          <w:rFonts w:hint="default" w:ascii="仿宋" w:hAnsi="仿宋" w:eastAsia="仿宋"/>
          <w:color w:val="auto"/>
          <w:sz w:val="28"/>
          <w:szCs w:val="28"/>
        </w:rPr>
      </w:pPr>
      <w:r>
        <w:rPr>
          <w:rFonts w:ascii="仿宋" w:hAnsi="仿宋" w:eastAsia="仿宋"/>
          <w:color w:val="auto"/>
          <w:sz w:val="28"/>
          <w:szCs w:val="28"/>
        </w:rPr>
        <w:t>7.2.3 保修义务</w:t>
      </w:r>
    </w:p>
    <w:p w14:paraId="055534B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保期内，承建方应对凡因施工、材料或安装原因，设备缺陷引起的质量问题造成的损坏或故障，均由承建方承担全部责任，并负责免费更换或修复，并承担相应费用，保修期内所有属于保修范围的维修费用均由承建方承担。承建方未按约定履行保修义务的，采购人有权自行或委托第三方维修，所产生的费用由承建方承担。</w:t>
      </w:r>
    </w:p>
    <w:p w14:paraId="7A8C79F6">
      <w:pPr>
        <w:pStyle w:val="5"/>
        <w:spacing w:line="240" w:lineRule="auto"/>
        <w:rPr>
          <w:rFonts w:hint="default" w:ascii="仿宋" w:hAnsi="仿宋" w:eastAsia="仿宋"/>
          <w:color w:val="auto"/>
          <w:sz w:val="28"/>
          <w:szCs w:val="28"/>
        </w:rPr>
      </w:pPr>
      <w:r>
        <w:rPr>
          <w:rFonts w:ascii="仿宋" w:hAnsi="仿宋" w:eastAsia="仿宋"/>
          <w:color w:val="auto"/>
          <w:sz w:val="28"/>
          <w:szCs w:val="28"/>
        </w:rPr>
        <w:t>7.3 技术支持与响应机制</w:t>
      </w:r>
    </w:p>
    <w:p w14:paraId="261206CD">
      <w:pPr>
        <w:pStyle w:val="6"/>
        <w:spacing w:line="240" w:lineRule="auto"/>
        <w:rPr>
          <w:rFonts w:hint="default" w:ascii="仿宋" w:hAnsi="仿宋" w:eastAsia="仿宋"/>
          <w:color w:val="auto"/>
          <w:sz w:val="28"/>
          <w:szCs w:val="28"/>
        </w:rPr>
      </w:pPr>
      <w:r>
        <w:rPr>
          <w:rFonts w:ascii="仿宋" w:hAnsi="仿宋" w:eastAsia="仿宋"/>
          <w:color w:val="auto"/>
          <w:sz w:val="28"/>
          <w:szCs w:val="28"/>
        </w:rPr>
        <w:t>7.3.1 服务体系</w:t>
      </w:r>
    </w:p>
    <w:p w14:paraId="46C9B7D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若设备出现损坏，其中：</w:t>
      </w:r>
    </w:p>
    <w:p w14:paraId="5569532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紧急抢修（如：影响开放安全、核心展项失效）：承建方应在接到通知后2小时内抵达现场并开始处理，24小时内解决核心问题。</w:t>
      </w:r>
    </w:p>
    <w:p w14:paraId="1C88C74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一般维修（如：局部破损、非核心设备故障）：承建方应在接报后2-4小时内做出实质性响应（如电话指导、远程诊断），对影响安全、核心展项失效等紧急故障，应在4小时内到场维修，48小时内完成恢复。其他一般故障48小时内到场维修，72小时内完成恢复。</w:t>
      </w:r>
    </w:p>
    <w:p w14:paraId="3F95278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如紧急故障维修超过48小时、一般故障维修超过72小时仍无法解决，应提供替代设备或临时方案保障正常运营。</w:t>
      </w:r>
    </w:p>
    <w:p w14:paraId="6FD0CF1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多媒体展项、恒温恒湿系统、中控系统等复杂系统，承建方需每季度至少提供1次主动上门巡检服务，进行全面的设备检查、保养和性能优化，并提交书面报告。在国家法定节假日、重大活动或重要接待前，应要求供应商提供专项保障预案，必要时提前进行系统检查与现场值守。</w:t>
      </w:r>
    </w:p>
    <w:p w14:paraId="561F9BF3">
      <w:pPr>
        <w:pStyle w:val="6"/>
        <w:spacing w:line="240" w:lineRule="auto"/>
        <w:rPr>
          <w:rFonts w:hint="default" w:ascii="仿宋" w:hAnsi="仿宋" w:eastAsia="仿宋"/>
          <w:color w:val="auto"/>
          <w:sz w:val="28"/>
          <w:szCs w:val="28"/>
        </w:rPr>
      </w:pPr>
      <w:r>
        <w:rPr>
          <w:rFonts w:ascii="仿宋" w:hAnsi="仿宋" w:eastAsia="仿宋"/>
          <w:color w:val="auto"/>
          <w:sz w:val="28"/>
          <w:szCs w:val="28"/>
        </w:rPr>
        <w:t>7.3.2 远程诊断</w:t>
      </w:r>
    </w:p>
    <w:p w14:paraId="5A56784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多媒体与中控系统应预留远程登录接口，支持远程诊断、数据下载、软件更新与日志分析。</w:t>
      </w:r>
      <w:r>
        <w:rPr>
          <w:rFonts w:ascii="仿宋" w:hAnsi="仿宋" w:eastAsia="仿宋"/>
          <w:color w:val="auto"/>
          <w:sz w:val="28"/>
          <w:szCs w:val="28"/>
        </w:rPr>
        <w:br w:type="textWrapping"/>
      </w:r>
      <w:r>
        <w:rPr>
          <w:rFonts w:ascii="仿宋" w:hAnsi="仿宋" w:eastAsia="仿宋"/>
          <w:color w:val="auto"/>
          <w:sz w:val="28"/>
          <w:szCs w:val="28"/>
        </w:rPr>
        <w:t>承建方须确保远程操作安全，采用加密登录与权限分级管理，确保馆内图片、数据、音频等内部资料不外泄。</w:t>
      </w:r>
    </w:p>
    <w:p w14:paraId="1C073660">
      <w:pPr>
        <w:pStyle w:val="5"/>
        <w:spacing w:line="240" w:lineRule="auto"/>
        <w:rPr>
          <w:rFonts w:hint="default" w:ascii="仿宋" w:hAnsi="仿宋" w:eastAsia="仿宋"/>
          <w:color w:val="auto"/>
          <w:sz w:val="28"/>
          <w:szCs w:val="28"/>
        </w:rPr>
      </w:pPr>
      <w:r>
        <w:rPr>
          <w:rFonts w:ascii="仿宋" w:hAnsi="仿宋" w:eastAsia="仿宋"/>
          <w:color w:val="auto"/>
          <w:sz w:val="28"/>
          <w:szCs w:val="28"/>
        </w:rPr>
        <w:t>7.4 系统培训与技术交接</w:t>
      </w:r>
    </w:p>
    <w:p w14:paraId="4C63D378">
      <w:pPr>
        <w:pStyle w:val="6"/>
        <w:spacing w:line="240" w:lineRule="auto"/>
        <w:rPr>
          <w:rFonts w:hint="default" w:ascii="仿宋" w:hAnsi="仿宋" w:eastAsia="仿宋"/>
          <w:color w:val="auto"/>
          <w:sz w:val="28"/>
          <w:szCs w:val="28"/>
        </w:rPr>
      </w:pPr>
      <w:r>
        <w:rPr>
          <w:rFonts w:ascii="仿宋" w:hAnsi="仿宋" w:eastAsia="仿宋"/>
          <w:color w:val="auto"/>
          <w:sz w:val="28"/>
          <w:szCs w:val="28"/>
        </w:rPr>
        <w:t>7.4.1 培训计划</w:t>
      </w:r>
    </w:p>
    <w:p w14:paraId="1A92F14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在项目交付前，中标人应完成系统培训，培训内容包括：</w:t>
      </w:r>
    </w:p>
    <w:p w14:paraId="71B1223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原则：本次项目中标人需负责对采购人的技术支持队伍进行维护培训，满足采购人能独立进行系统维护需要。</w:t>
      </w:r>
    </w:p>
    <w:p w14:paraId="77447F0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（1）培训计划：中标人需在验收前，提交详细的《培训实施方案》，经馆方确认后执行。</w:t>
      </w:r>
    </w:p>
    <w:p w14:paraId="7CFDF4C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中标人需负责采购人相关的工作人员、系统管理人员的技术培训，培训内容包括但不限于：展项设备（含多媒体、灯光、音响、机械装置等）的操作、日常维护及故障排除；展览日常运营管理流程与应急预案。</w:t>
      </w:r>
    </w:p>
    <w:p w14:paraId="390F050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系统管理人员，应进行深度操作和安全规范培训，深度操作包括系统架构、后台管理、参数设置、故障诊断与排除、日常维护、软件更新与内容替换等，安全规范包括系统重启/关闭流程、用电安全、应急处理预案等。</w:t>
      </w:r>
    </w:p>
    <w:p w14:paraId="4BD36BE6">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对于普通操作员/值班人员，应进行前端使用和安全规范培训，前端使用包括设备开关机、模式切换、常规互动操作、日常检查与简单问题上报。安全规范包括系统重启/关闭流程、用电安全、应急处理预案等。</w:t>
      </w:r>
    </w:p>
    <w:p w14:paraId="22F1230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培训方式采用集中授课培训、现场培训、实践研讨、发放宣传材料等相结合的方式，以现场实操培训为主。针对不同层次的人员，开设不同的培训课程和确定培训方式。务必在附件中详细列出所有培训科目、每项的具体内容、课时安排及考核方式，避免模糊不清。必须确保每个人都充分动手练习并彻底掌握。</w:t>
      </w:r>
    </w:p>
    <w:p w14:paraId="6274830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（4）培训考核：培训结束后，中标人需组织理论与实操考核。经馆方在《培训考核记录》签字确认，方能通过验收。确保培训的及时性、数据化、标准化让培训真正有效。</w:t>
      </w:r>
    </w:p>
    <w:p w14:paraId="0B971FD5">
      <w:pPr>
        <w:pStyle w:val="6"/>
        <w:spacing w:line="240" w:lineRule="auto"/>
        <w:rPr>
          <w:rFonts w:hint="default" w:ascii="仿宋" w:hAnsi="仿宋" w:eastAsia="仿宋"/>
          <w:color w:val="auto"/>
          <w:sz w:val="28"/>
          <w:szCs w:val="28"/>
        </w:rPr>
      </w:pPr>
      <w:r>
        <w:rPr>
          <w:rFonts w:ascii="仿宋" w:hAnsi="仿宋" w:eastAsia="仿宋"/>
          <w:color w:val="auto"/>
          <w:sz w:val="28"/>
          <w:szCs w:val="28"/>
        </w:rPr>
        <w:t>7.4.2 培训资料</w:t>
      </w:r>
    </w:p>
    <w:p w14:paraId="743CA01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中标人须提供《培训手册》、《操作指南》等纸质及电子文档。</w:t>
      </w:r>
      <w:r>
        <w:rPr>
          <w:rFonts w:ascii="仿宋" w:hAnsi="仿宋" w:eastAsia="仿宋"/>
          <w:color w:val="auto"/>
          <w:sz w:val="28"/>
          <w:szCs w:val="28"/>
        </w:rPr>
        <w:br w:type="textWrapping"/>
      </w:r>
      <w:r>
        <w:rPr>
          <w:rFonts w:ascii="仿宋" w:hAnsi="仿宋" w:eastAsia="仿宋"/>
          <w:color w:val="auto"/>
          <w:sz w:val="28"/>
          <w:szCs w:val="28"/>
        </w:rPr>
        <w:t>培训结束后中标人应提交《培训考核记录》，并经双方签字确认。</w:t>
      </w:r>
    </w:p>
    <w:p w14:paraId="40D266C9">
      <w:pPr>
        <w:pStyle w:val="4"/>
        <w:spacing w:line="240" w:lineRule="auto"/>
        <w:rPr>
          <w:rFonts w:hint="default" w:ascii="仿宋" w:hAnsi="仿宋" w:eastAsia="仿宋"/>
          <w:color w:val="auto"/>
          <w:sz w:val="28"/>
          <w:szCs w:val="28"/>
        </w:rPr>
      </w:pPr>
      <w:r>
        <w:rPr>
          <w:rFonts w:ascii="仿宋" w:hAnsi="仿宋" w:eastAsia="仿宋"/>
          <w:color w:val="auto"/>
          <w:sz w:val="28"/>
          <w:szCs w:val="28"/>
        </w:rPr>
        <w:t>第八章 验收标准与执行规范汇总表</w:t>
      </w:r>
    </w:p>
    <w:p w14:paraId="03243CDF">
      <w:pPr>
        <w:pStyle w:val="5"/>
        <w:spacing w:line="240" w:lineRule="auto"/>
        <w:rPr>
          <w:rFonts w:hint="default" w:ascii="仿宋" w:hAnsi="仿宋" w:eastAsia="仿宋"/>
          <w:color w:val="auto"/>
          <w:sz w:val="28"/>
          <w:szCs w:val="28"/>
        </w:rPr>
      </w:pPr>
      <w:r>
        <w:rPr>
          <w:rFonts w:ascii="仿宋" w:hAnsi="仿宋" w:eastAsia="仿宋"/>
          <w:color w:val="auto"/>
          <w:sz w:val="28"/>
          <w:szCs w:val="28"/>
        </w:rPr>
        <w:t>8.1 总体要求</w:t>
      </w:r>
    </w:p>
    <w:p w14:paraId="69D6FE11">
      <w:pPr>
        <w:pStyle w:val="6"/>
        <w:spacing w:line="240" w:lineRule="auto"/>
        <w:rPr>
          <w:rFonts w:hint="default" w:ascii="仿宋" w:hAnsi="仿宋" w:eastAsia="仿宋"/>
          <w:color w:val="auto"/>
          <w:sz w:val="28"/>
          <w:szCs w:val="28"/>
        </w:rPr>
      </w:pPr>
      <w:r>
        <w:rPr>
          <w:rFonts w:ascii="仿宋" w:hAnsi="仿宋" w:eastAsia="仿宋"/>
          <w:color w:val="auto"/>
          <w:sz w:val="28"/>
          <w:szCs w:val="28"/>
        </w:rPr>
        <w:t>8.1.1 验收目标</w:t>
      </w:r>
    </w:p>
    <w:p w14:paraId="6EA22E0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验收工作的总体目标是确保上海文学馆背景墙、版面及相关道具、美工等设计制作、电气安装、展陈灯光设计、专业展柜系统、美工布展相关硬件、展项艺术品场景展品仿制的创作及制作、多媒体软件内容和硬件设备、展厅内导览标识系统等各分项工程质量达到国家与行业标准要求，实现设计文件、施工图纸及合同约定，实现安全、功能、美学、体验的综合达标。具体包括：</w:t>
      </w:r>
    </w:p>
    <w:p w14:paraId="22117CE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（1）交付所有设备安装到位、系统联调完毕、内容准确无误、环境安全可靠，即可立即对公众开放的完整展览。</w:t>
      </w:r>
    </w:p>
    <w:p w14:paraId="3FA3576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（2）交付一套纸质的和一套电子版的完整、准确、可追溯的竣工技术资料，确保馆方具备独立运营、维护、局部改造的能力。</w:t>
      </w:r>
    </w:p>
    <w:p w14:paraId="4D88157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（3）完成对馆方指定人员的系统性技术培训，并通过考核，确保其能独立进行日常操作、基础诊断与维护。</w:t>
      </w:r>
    </w:p>
    <w:p w14:paraId="4BC1A699">
      <w:pPr>
        <w:pStyle w:val="6"/>
        <w:spacing w:line="240" w:lineRule="auto"/>
        <w:rPr>
          <w:rFonts w:hint="default" w:ascii="仿宋" w:hAnsi="仿宋" w:eastAsia="仿宋"/>
          <w:color w:val="auto"/>
          <w:sz w:val="28"/>
          <w:szCs w:val="28"/>
        </w:rPr>
      </w:pPr>
      <w:r>
        <w:rPr>
          <w:rFonts w:ascii="仿宋" w:hAnsi="仿宋" w:eastAsia="仿宋"/>
          <w:color w:val="auto"/>
          <w:sz w:val="28"/>
          <w:szCs w:val="28"/>
        </w:rPr>
        <w:t>8.1.2 验收原则</w:t>
      </w:r>
    </w:p>
    <w:p w14:paraId="3FF0437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（1）布展成果验收：一次性通过相关管理部门验收合格的标准。达不到一次合格等级标准，中标人应自费进行返工，工期不予顺延。</w:t>
      </w:r>
    </w:p>
    <w:p w14:paraId="39294DD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2）项目完工后应由中标人会同监督检查单位按照设计方案、相关国家地方标准进行自检，并在正式验收前一周以书面形式通知采购人验收。通知包括验收组织方式、验收方式、验收的内容、验收时间和地点。中标人准备验收记录，验收合格后中标人可进行项目移交。验收不合格，中标人在采购人限定的时间内修改后重新验收。</w:t>
      </w:r>
    </w:p>
    <w:p w14:paraId="78725259">
      <w:pPr>
        <w:pStyle w:val="5"/>
        <w:spacing w:line="240" w:lineRule="auto"/>
        <w:rPr>
          <w:rFonts w:hint="default" w:ascii="仿宋" w:hAnsi="仿宋" w:eastAsia="仿宋"/>
          <w:color w:val="auto"/>
          <w:sz w:val="28"/>
          <w:szCs w:val="28"/>
        </w:rPr>
      </w:pPr>
      <w:r>
        <w:rPr>
          <w:rFonts w:ascii="仿宋" w:hAnsi="仿宋" w:eastAsia="仿宋"/>
          <w:color w:val="auto"/>
          <w:sz w:val="28"/>
          <w:szCs w:val="28"/>
        </w:rPr>
        <w:t>8.2 验收程序与流程</w:t>
      </w:r>
    </w:p>
    <w:p w14:paraId="56BC7D66">
      <w:pPr>
        <w:pStyle w:val="6"/>
        <w:spacing w:line="240" w:lineRule="auto"/>
        <w:rPr>
          <w:rFonts w:hint="default" w:ascii="仿宋" w:hAnsi="仿宋" w:eastAsia="仿宋"/>
          <w:color w:val="auto"/>
          <w:sz w:val="28"/>
          <w:szCs w:val="28"/>
        </w:rPr>
      </w:pPr>
      <w:r>
        <w:rPr>
          <w:rFonts w:ascii="仿宋" w:hAnsi="仿宋" w:eastAsia="仿宋"/>
          <w:color w:val="auto"/>
          <w:sz w:val="28"/>
          <w:szCs w:val="28"/>
        </w:rPr>
        <w:t>8.2.1 验收组织</w:t>
      </w:r>
    </w:p>
    <w:p w14:paraId="1F29D30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由采购人牵头，项目管理单位和监理单位组织协调，中标人具体实施。验收组应包括：</w:t>
      </w:r>
    </w:p>
    <w:p w14:paraId="1F5F2B2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项目业主；</w:t>
      </w:r>
    </w:p>
    <w:p w14:paraId="0CF0557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项目管理单位项目负责人；</w:t>
      </w:r>
    </w:p>
    <w:p w14:paraId="7E6CBE1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监理单位总监理工程师；</w:t>
      </w:r>
    </w:p>
    <w:p w14:paraId="59839E7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中标人及相关专业负责人。</w:t>
      </w:r>
    </w:p>
    <w:p w14:paraId="4144A47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文保、展陈、多媒体、灯光等领域的外部专家。</w:t>
      </w:r>
    </w:p>
    <w:p w14:paraId="0E07758F">
      <w:pPr>
        <w:pStyle w:val="18"/>
        <w:rPr>
          <w:rFonts w:hint="default" w:ascii="仿宋" w:hAnsi="仿宋" w:eastAsia="仿宋"/>
          <w:b/>
          <w:bCs/>
          <w:color w:val="auto"/>
          <w:kern w:val="2"/>
          <w:sz w:val="28"/>
          <w:szCs w:val="28"/>
        </w:rPr>
      </w:pPr>
      <w:r>
        <w:rPr>
          <w:rFonts w:hint="default" w:ascii="仿宋" w:hAnsi="仿宋" w:eastAsia="仿宋"/>
          <w:b/>
          <w:bCs/>
          <w:color w:val="auto"/>
          <w:kern w:val="2"/>
          <w:sz w:val="28"/>
          <w:szCs w:val="28"/>
        </w:rPr>
        <w:t>8.2.2建立验收清单</w:t>
      </w:r>
    </w:p>
    <w:p w14:paraId="66B59C0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根据展陈内容和采购书条款，制作一份包括施工材料、工艺方式、视觉效果、安全监测、试运行评估等内容的全面、清晰的验收检查表。</w:t>
      </w:r>
    </w:p>
    <w:p w14:paraId="22CB578F">
      <w:pPr>
        <w:pStyle w:val="5"/>
        <w:spacing w:line="240" w:lineRule="auto"/>
        <w:rPr>
          <w:rFonts w:hint="default" w:ascii="仿宋" w:hAnsi="仿宋" w:eastAsia="仿宋"/>
          <w:color w:val="auto"/>
          <w:sz w:val="28"/>
          <w:szCs w:val="28"/>
        </w:rPr>
      </w:pPr>
      <w:r>
        <w:rPr>
          <w:rFonts w:ascii="仿宋" w:hAnsi="仿宋" w:eastAsia="仿宋"/>
          <w:color w:val="auto"/>
          <w:sz w:val="28"/>
          <w:szCs w:val="28"/>
        </w:rPr>
        <w:t>8.3 验收标准</w:t>
      </w:r>
    </w:p>
    <w:p w14:paraId="243FB31C">
      <w:pPr>
        <w:pStyle w:val="6"/>
        <w:spacing w:line="240" w:lineRule="auto"/>
        <w:rPr>
          <w:rFonts w:hint="default" w:ascii="仿宋" w:hAnsi="仿宋" w:eastAsia="仿宋"/>
          <w:color w:val="auto"/>
          <w:sz w:val="28"/>
          <w:szCs w:val="28"/>
        </w:rPr>
      </w:pPr>
      <w:r>
        <w:rPr>
          <w:rFonts w:ascii="仿宋" w:hAnsi="仿宋" w:eastAsia="仿宋"/>
          <w:color w:val="auto"/>
          <w:sz w:val="28"/>
          <w:szCs w:val="28"/>
        </w:rPr>
        <w:t>8.3.1 合规与安全</w:t>
      </w:r>
    </w:p>
    <w:p w14:paraId="113F9AE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消防与电气安全：所有装修材料符合阻燃等级，木结构需防火处理；不得以任何形式遮挡、阻碍消防设施（喷淋、烟感、报警器）、紧急出口及疏散通道；电气线路规范，无裸露；大功率电器有独立保护；配电箱有安全标识。</w:t>
      </w:r>
    </w:p>
    <w:p w14:paraId="691E238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结构安全：展位结构不得超过规定限高；主体结构安全、牢固、稳定，无晃动感；严禁利用展馆原有结构（如网架、立柱）进行吊装或受力。</w:t>
      </w:r>
    </w:p>
    <w:p w14:paraId="7905292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场地与材料：所有搭建物和展品不得超出承租边界，不得占用公共通道；材料环保，符合国家民用建筑工程室内环境污染控制规范；玻璃展具必须使用钢化玻璃，并有醒目的防撞标识。</w:t>
      </w:r>
    </w:p>
    <w:p w14:paraId="13821046">
      <w:pPr>
        <w:pStyle w:val="6"/>
        <w:spacing w:line="240" w:lineRule="auto"/>
        <w:rPr>
          <w:rFonts w:hint="default" w:ascii="仿宋" w:hAnsi="仿宋" w:eastAsia="仿宋"/>
          <w:color w:val="auto"/>
          <w:sz w:val="28"/>
          <w:szCs w:val="28"/>
        </w:rPr>
      </w:pPr>
      <w:r>
        <w:rPr>
          <w:rFonts w:ascii="仿宋" w:hAnsi="仿宋" w:eastAsia="仿宋"/>
          <w:color w:val="auto"/>
          <w:sz w:val="28"/>
          <w:szCs w:val="28"/>
        </w:rPr>
        <w:t>8.3.2 展陈美工</w:t>
      </w:r>
    </w:p>
    <w:p w14:paraId="5A171A4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收口收边精细、无粗糙毛刺，表面平整，无明显划痕、变形；</w:t>
      </w:r>
    </w:p>
    <w:p w14:paraId="517D0F4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安装牢固、字体清晰、位置准确。</w:t>
      </w:r>
    </w:p>
    <w:p w14:paraId="4246D770">
      <w:pPr>
        <w:pStyle w:val="6"/>
        <w:spacing w:line="240" w:lineRule="auto"/>
        <w:rPr>
          <w:rFonts w:hint="default" w:ascii="仿宋" w:hAnsi="仿宋" w:eastAsia="仿宋"/>
          <w:color w:val="auto"/>
          <w:sz w:val="28"/>
          <w:szCs w:val="28"/>
        </w:rPr>
      </w:pPr>
      <w:r>
        <w:rPr>
          <w:rFonts w:ascii="仿宋" w:hAnsi="仿宋" w:eastAsia="仿宋"/>
          <w:color w:val="auto"/>
          <w:sz w:val="28"/>
          <w:szCs w:val="28"/>
        </w:rPr>
        <w:t>8.3.3 专业照明</w:t>
      </w:r>
    </w:p>
    <w:p w14:paraId="126CD5DE">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灯具安装位置准确，固定牢固；</w:t>
      </w:r>
    </w:p>
    <w:p w14:paraId="56FD40D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照度、色温符合设计要求；</w:t>
      </w:r>
    </w:p>
    <w:p w14:paraId="17C4E9A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灯光照明层次分明，重点展品照度足够，无眩光、漏光。</w:t>
      </w:r>
    </w:p>
    <w:p w14:paraId="17911144">
      <w:pPr>
        <w:pStyle w:val="6"/>
        <w:spacing w:line="240" w:lineRule="auto"/>
        <w:rPr>
          <w:rFonts w:hint="default" w:ascii="仿宋" w:hAnsi="仿宋" w:eastAsia="仿宋"/>
          <w:color w:val="auto"/>
          <w:sz w:val="28"/>
          <w:szCs w:val="28"/>
        </w:rPr>
      </w:pPr>
      <w:r>
        <w:rPr>
          <w:rFonts w:ascii="仿宋" w:hAnsi="仿宋" w:eastAsia="仿宋"/>
          <w:color w:val="auto"/>
          <w:sz w:val="28"/>
          <w:szCs w:val="28"/>
        </w:rPr>
        <w:t>8.3.4 多媒体展项</w:t>
      </w:r>
    </w:p>
    <w:p w14:paraId="7E7B0FB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硬件设备规格、型号、数量正确；</w:t>
      </w:r>
    </w:p>
    <w:p w14:paraId="22CE00C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展项运行正常；</w:t>
      </w:r>
    </w:p>
    <w:p w14:paraId="6CC6D60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展项功能符合设计要求；</w:t>
      </w:r>
    </w:p>
    <w:p w14:paraId="2EB8E2C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音效系统音量适中，音质清晰，覆盖均匀，无啸叫、串音。</w:t>
      </w:r>
    </w:p>
    <w:p w14:paraId="158FBAA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数字多媒体展项承载展陈大纲和脚本所要求的文学内容与叙事功能，具备清晰的信息结构与可理解性。</w:t>
      </w:r>
    </w:p>
    <w:p w14:paraId="2A78D631">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数字多媒体展项与所在展区空间、动线、展品形成有效协同，具备可停留性与可重复观看的价值。</w:t>
      </w:r>
    </w:p>
    <w:p w14:paraId="7DFCDBC6">
      <w:pPr>
        <w:pStyle w:val="6"/>
        <w:spacing w:line="240" w:lineRule="auto"/>
        <w:rPr>
          <w:rFonts w:hint="default" w:ascii="仿宋" w:hAnsi="仿宋" w:eastAsia="仿宋"/>
          <w:color w:val="auto"/>
          <w:sz w:val="28"/>
          <w:szCs w:val="28"/>
        </w:rPr>
      </w:pPr>
      <w:r>
        <w:rPr>
          <w:rFonts w:ascii="仿宋" w:hAnsi="仿宋" w:eastAsia="仿宋"/>
          <w:color w:val="auto"/>
          <w:sz w:val="28"/>
          <w:szCs w:val="28"/>
        </w:rPr>
        <w:t>8.3.5 艺术展项</w:t>
      </w:r>
    </w:p>
    <w:p w14:paraId="05C9B4D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艺术展项符合展览主题；</w:t>
      </w:r>
    </w:p>
    <w:p w14:paraId="124D1CA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结构安全稳定；</w:t>
      </w:r>
    </w:p>
    <w:p w14:paraId="043FDBA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展项效果符合设计要求；</w:t>
      </w:r>
    </w:p>
    <w:p w14:paraId="7B37C83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图文展板、标识：内容零错误，拼接无错位；</w:t>
      </w:r>
    </w:p>
    <w:p w14:paraId="2578DED8">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无影响整体观感的明显瑕疵。</w:t>
      </w:r>
    </w:p>
    <w:p w14:paraId="3C4339C3">
      <w:pPr>
        <w:pStyle w:val="6"/>
        <w:spacing w:line="240" w:lineRule="auto"/>
        <w:rPr>
          <w:rFonts w:hint="default" w:ascii="仿宋" w:hAnsi="仿宋" w:eastAsia="仿宋"/>
          <w:color w:val="auto"/>
          <w:sz w:val="28"/>
          <w:szCs w:val="28"/>
        </w:rPr>
      </w:pPr>
      <w:r>
        <w:rPr>
          <w:rFonts w:ascii="仿宋" w:hAnsi="仿宋" w:eastAsia="仿宋"/>
          <w:color w:val="auto"/>
          <w:sz w:val="28"/>
          <w:szCs w:val="28"/>
        </w:rPr>
        <w:t>8.3.6 专业展柜</w:t>
      </w:r>
    </w:p>
    <w:p w14:paraId="5AF1459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专业展柜外观平整光滑，尺寸精准，无明显划痕、凹陷、气泡等缺陷；</w:t>
      </w:r>
    </w:p>
    <w:p w14:paraId="598CD75D">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烤漆颜色应均匀一致，无明显色差；</w:t>
      </w:r>
    </w:p>
    <w:p w14:paraId="644249C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门缝间隙应均匀，无明显错位；</w:t>
      </w:r>
    </w:p>
    <w:p w14:paraId="497AA9E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整体结构应稳固，无明显变形或松动；</w:t>
      </w:r>
    </w:p>
    <w:p w14:paraId="5FF42DAF">
      <w:pPr>
        <w:pStyle w:val="5"/>
        <w:spacing w:line="240" w:lineRule="auto"/>
        <w:rPr>
          <w:rFonts w:hint="default" w:ascii="仿宋" w:hAnsi="仿宋" w:eastAsia="仿宋"/>
          <w:color w:val="auto"/>
          <w:sz w:val="28"/>
          <w:szCs w:val="28"/>
        </w:rPr>
      </w:pPr>
      <w:r>
        <w:rPr>
          <w:rFonts w:ascii="仿宋" w:hAnsi="仿宋" w:eastAsia="仿宋"/>
          <w:color w:val="auto"/>
          <w:sz w:val="28"/>
          <w:szCs w:val="28"/>
        </w:rPr>
        <w:t>8.4 验收资料与档案要求</w:t>
      </w:r>
    </w:p>
    <w:p w14:paraId="4E6BE027">
      <w:pPr>
        <w:pStyle w:val="6"/>
        <w:spacing w:line="240" w:lineRule="auto"/>
        <w:rPr>
          <w:rFonts w:hint="default" w:ascii="仿宋" w:hAnsi="仿宋" w:eastAsia="仿宋"/>
          <w:color w:val="auto"/>
          <w:sz w:val="28"/>
          <w:szCs w:val="28"/>
        </w:rPr>
      </w:pPr>
      <w:r>
        <w:rPr>
          <w:rFonts w:ascii="仿宋" w:hAnsi="仿宋" w:eastAsia="仿宋"/>
          <w:color w:val="auto"/>
          <w:sz w:val="28"/>
          <w:szCs w:val="28"/>
        </w:rPr>
        <w:t>8.4.1 资料内容</w:t>
      </w:r>
    </w:p>
    <w:p w14:paraId="1B27F2F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竣工验收需提交以下完整资料，包括但不限于：</w:t>
      </w:r>
    </w:p>
    <w:p w14:paraId="021D164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《展陈深化设计方案》；</w:t>
      </w:r>
    </w:p>
    <w:p w14:paraId="0489ECE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《材料设备进场检验记录》；</w:t>
      </w:r>
    </w:p>
    <w:p w14:paraId="147FF93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《隐蔽工程验收单》以及影像记录和验收单；</w:t>
      </w:r>
    </w:p>
    <w:p w14:paraId="4922F9B4">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《竣工图纸》；</w:t>
      </w:r>
    </w:p>
    <w:p w14:paraId="3FADFE0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《操作手册》、《培训记录》；</w:t>
      </w:r>
    </w:p>
    <w:p w14:paraId="3387E6F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《质量保证书》与《售后服务承诺书》；</w:t>
      </w:r>
    </w:p>
    <w:p w14:paraId="5705E140">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主要设备和材料的合格证、说明书、保修单、验收报告等；</w:t>
      </w:r>
    </w:p>
    <w:p w14:paraId="734810F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消防、环保等相关检测或承诺文件。</w:t>
      </w:r>
    </w:p>
    <w:p w14:paraId="732A1D50">
      <w:pPr>
        <w:pStyle w:val="6"/>
        <w:spacing w:line="240" w:lineRule="auto"/>
        <w:rPr>
          <w:rFonts w:hint="default" w:ascii="仿宋" w:hAnsi="仿宋" w:eastAsia="仿宋"/>
          <w:color w:val="auto"/>
          <w:sz w:val="28"/>
          <w:szCs w:val="28"/>
        </w:rPr>
      </w:pPr>
      <w:r>
        <w:rPr>
          <w:rFonts w:ascii="仿宋" w:hAnsi="仿宋" w:eastAsia="仿宋"/>
          <w:color w:val="auto"/>
          <w:sz w:val="28"/>
          <w:szCs w:val="28"/>
        </w:rPr>
        <w:t>8.4.2 资料要求</w:t>
      </w:r>
    </w:p>
    <w:p w14:paraId="02F86727">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所有文件资料须同时提交纸质版与电子版（</w:t>
      </w:r>
      <w:r>
        <w:rPr>
          <w:rFonts w:hint="default" w:ascii="仿宋" w:hAnsi="仿宋" w:eastAsia="仿宋"/>
          <w:color w:val="auto"/>
          <w:sz w:val="28"/>
          <w:szCs w:val="28"/>
        </w:rPr>
        <w:t>PDF与DWG格式），并统一归档至采购方。</w:t>
      </w:r>
    </w:p>
    <w:p w14:paraId="63F61221">
      <w:pPr>
        <w:pStyle w:val="6"/>
        <w:spacing w:line="240" w:lineRule="auto"/>
        <w:rPr>
          <w:rFonts w:hint="default" w:ascii="仿宋" w:hAnsi="仿宋" w:eastAsia="仿宋"/>
          <w:color w:val="auto"/>
          <w:sz w:val="28"/>
          <w:szCs w:val="28"/>
        </w:rPr>
      </w:pPr>
      <w:r>
        <w:rPr>
          <w:rFonts w:ascii="仿宋" w:hAnsi="仿宋" w:eastAsia="仿宋"/>
          <w:color w:val="auto"/>
          <w:sz w:val="28"/>
          <w:szCs w:val="28"/>
        </w:rPr>
        <w:t>8.4.3 保洁要求</w:t>
      </w:r>
    </w:p>
    <w:p w14:paraId="2C107C7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包括但不限于：</w:t>
      </w:r>
    </w:p>
    <w:p w14:paraId="127EB93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地面与通道：洁净无杂物、无水渍、无污渍、无积尘；地毯无藏渣、无污迹、纹理方向一致；通道畅通无施工废料、无障碍物。</w:t>
      </w:r>
    </w:p>
    <w:p w14:paraId="2DF6772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展陈设施：玻璃透亮无手印、无水痕、无胶渍；金属/木质表面无灰尘、无磕碰划痕、无残留胶印；内部无施工灰尘、无杂物。</w:t>
      </w:r>
    </w:p>
    <w:p w14:paraId="7C49D7B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图文与标识：表面洁净无指纹、无污点；拼接处无灰尘；照明灯箱亮度均匀、无灰尘蚊虫；内容清晰可见。</w:t>
      </w:r>
    </w:p>
    <w:p w14:paraId="72032C2B">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空间结构与装饰：无蜘蛛网、无灰尘、无污迹；各类风口、喷淋头无灰尘；灯具清洁、光照无遮挡。</w:t>
      </w:r>
    </w:p>
    <w:p w14:paraId="7479A533">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多媒体与互动设备：屏幕表面洁净无指印、无油污；设备机柜无灰尘、散热口通畅；精密设备由专业人员使用专用工具清洁，确保安全。</w:t>
      </w:r>
    </w:p>
    <w:p w14:paraId="67D463D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所有展陈区域的开幕前要做深度保洁工作，并经甲方验收合格。</w:t>
      </w:r>
    </w:p>
    <w:p w14:paraId="3A552770">
      <w:pPr>
        <w:pStyle w:val="5"/>
        <w:spacing w:line="240" w:lineRule="auto"/>
        <w:rPr>
          <w:rFonts w:hint="default" w:ascii="仿宋" w:hAnsi="仿宋" w:eastAsia="仿宋"/>
          <w:color w:val="auto"/>
          <w:sz w:val="28"/>
          <w:szCs w:val="28"/>
        </w:rPr>
      </w:pPr>
      <w:r>
        <w:rPr>
          <w:rFonts w:ascii="仿宋" w:hAnsi="仿宋" w:eastAsia="仿宋"/>
          <w:color w:val="auto"/>
          <w:sz w:val="28"/>
          <w:szCs w:val="28"/>
        </w:rPr>
        <w:t>8.5 执行规范与标准汇总表</w:t>
      </w:r>
    </w:p>
    <w:tbl>
      <w:tblPr>
        <w:tblStyle w:val="21"/>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75"/>
        <w:gridCol w:w="4627"/>
        <w:gridCol w:w="2144"/>
        <w:gridCol w:w="2054"/>
      </w:tblGrid>
      <w:tr w14:paraId="647B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blCellSpacing w:w="15" w:type="dxa"/>
        </w:trPr>
        <w:tc>
          <w:tcPr>
            <w:tcW w:w="0" w:type="auto"/>
            <w:vAlign w:val="center"/>
          </w:tcPr>
          <w:p w14:paraId="3C1F4930">
            <w:pPr>
              <w:jc w:val="center"/>
              <w:rPr>
                <w:rFonts w:hint="default" w:ascii="仿宋" w:hAnsi="仿宋" w:eastAsia="仿宋"/>
                <w:b/>
                <w:bCs/>
                <w:color w:val="auto"/>
                <w:sz w:val="28"/>
                <w:szCs w:val="28"/>
              </w:rPr>
            </w:pPr>
            <w:r>
              <w:rPr>
                <w:rFonts w:ascii="仿宋" w:hAnsi="仿宋" w:eastAsia="仿宋"/>
                <w:b/>
                <w:bCs/>
                <w:color w:val="auto"/>
                <w:sz w:val="28"/>
                <w:szCs w:val="28"/>
              </w:rPr>
              <w:t>序号</w:t>
            </w:r>
          </w:p>
        </w:tc>
        <w:tc>
          <w:tcPr>
            <w:tcW w:w="0" w:type="auto"/>
            <w:vAlign w:val="center"/>
          </w:tcPr>
          <w:p w14:paraId="0AE9A63B">
            <w:pPr>
              <w:jc w:val="center"/>
              <w:rPr>
                <w:rFonts w:hint="default" w:ascii="仿宋" w:hAnsi="仿宋" w:eastAsia="仿宋"/>
                <w:b/>
                <w:bCs/>
                <w:color w:val="auto"/>
                <w:sz w:val="28"/>
                <w:szCs w:val="28"/>
              </w:rPr>
            </w:pPr>
            <w:r>
              <w:rPr>
                <w:rFonts w:ascii="仿宋" w:hAnsi="仿宋" w:eastAsia="仿宋"/>
                <w:b/>
                <w:bCs/>
                <w:color w:val="auto"/>
                <w:sz w:val="28"/>
                <w:szCs w:val="28"/>
              </w:rPr>
              <w:t>标准名称</w:t>
            </w:r>
          </w:p>
        </w:tc>
        <w:tc>
          <w:tcPr>
            <w:tcW w:w="0" w:type="auto"/>
            <w:vAlign w:val="center"/>
          </w:tcPr>
          <w:p w14:paraId="796FCD92">
            <w:pPr>
              <w:jc w:val="center"/>
              <w:rPr>
                <w:rFonts w:hint="default" w:ascii="仿宋" w:hAnsi="仿宋" w:eastAsia="仿宋"/>
                <w:b/>
                <w:bCs/>
                <w:color w:val="auto"/>
                <w:sz w:val="28"/>
                <w:szCs w:val="28"/>
              </w:rPr>
            </w:pPr>
            <w:r>
              <w:rPr>
                <w:rFonts w:ascii="仿宋" w:hAnsi="仿宋" w:eastAsia="仿宋"/>
                <w:b/>
                <w:bCs/>
                <w:color w:val="auto"/>
                <w:sz w:val="28"/>
                <w:szCs w:val="28"/>
              </w:rPr>
              <w:t>编号</w:t>
            </w:r>
          </w:p>
        </w:tc>
        <w:tc>
          <w:tcPr>
            <w:tcW w:w="0" w:type="auto"/>
            <w:vAlign w:val="center"/>
          </w:tcPr>
          <w:p w14:paraId="29CFE55A">
            <w:pPr>
              <w:jc w:val="center"/>
              <w:rPr>
                <w:rFonts w:hint="default" w:ascii="仿宋" w:hAnsi="仿宋" w:eastAsia="仿宋"/>
                <w:b/>
                <w:bCs/>
                <w:color w:val="auto"/>
                <w:sz w:val="28"/>
                <w:szCs w:val="28"/>
              </w:rPr>
            </w:pPr>
            <w:r>
              <w:rPr>
                <w:rFonts w:ascii="仿宋" w:hAnsi="仿宋" w:eastAsia="仿宋"/>
                <w:b/>
                <w:bCs/>
                <w:color w:val="auto"/>
                <w:sz w:val="28"/>
                <w:szCs w:val="28"/>
              </w:rPr>
              <w:t>适用范围</w:t>
            </w:r>
          </w:p>
        </w:tc>
      </w:tr>
      <w:tr w14:paraId="36BF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7E578C0A">
            <w:pPr>
              <w:jc w:val="left"/>
              <w:rPr>
                <w:rFonts w:hint="default" w:ascii="仿宋" w:hAnsi="仿宋" w:eastAsia="仿宋"/>
                <w:color w:val="auto"/>
                <w:sz w:val="28"/>
                <w:szCs w:val="28"/>
              </w:rPr>
            </w:pPr>
            <w:r>
              <w:rPr>
                <w:rFonts w:ascii="仿宋" w:hAnsi="仿宋" w:eastAsia="仿宋"/>
                <w:color w:val="auto"/>
                <w:sz w:val="28"/>
                <w:szCs w:val="28"/>
              </w:rPr>
              <w:t>1</w:t>
            </w:r>
          </w:p>
        </w:tc>
        <w:tc>
          <w:tcPr>
            <w:tcW w:w="0" w:type="auto"/>
            <w:vAlign w:val="center"/>
          </w:tcPr>
          <w:p w14:paraId="1772BC2E">
            <w:pPr>
              <w:rPr>
                <w:rFonts w:hint="default" w:ascii="仿宋" w:hAnsi="仿宋" w:eastAsia="仿宋"/>
                <w:color w:val="auto"/>
                <w:sz w:val="28"/>
                <w:szCs w:val="28"/>
              </w:rPr>
            </w:pPr>
            <w:r>
              <w:rPr>
                <w:rFonts w:ascii="仿宋" w:hAnsi="仿宋" w:eastAsia="仿宋"/>
                <w:color w:val="auto"/>
                <w:sz w:val="28"/>
                <w:szCs w:val="28"/>
              </w:rPr>
              <w:t>《建筑工程施工质量验收统一标准》</w:t>
            </w:r>
          </w:p>
        </w:tc>
        <w:tc>
          <w:tcPr>
            <w:tcW w:w="0" w:type="auto"/>
            <w:vAlign w:val="center"/>
          </w:tcPr>
          <w:p w14:paraId="6F46463B">
            <w:pPr>
              <w:rPr>
                <w:rFonts w:hint="default" w:ascii="仿宋" w:hAnsi="仿宋" w:eastAsia="仿宋"/>
                <w:color w:val="auto"/>
                <w:sz w:val="28"/>
                <w:szCs w:val="28"/>
              </w:rPr>
            </w:pPr>
            <w:r>
              <w:rPr>
                <w:rFonts w:ascii="仿宋" w:hAnsi="仿宋" w:eastAsia="仿宋"/>
                <w:color w:val="auto"/>
                <w:sz w:val="28"/>
                <w:szCs w:val="28"/>
              </w:rPr>
              <w:t>GB 50300-2013</w:t>
            </w:r>
          </w:p>
        </w:tc>
        <w:tc>
          <w:tcPr>
            <w:tcW w:w="0" w:type="auto"/>
            <w:vAlign w:val="center"/>
          </w:tcPr>
          <w:p w14:paraId="479EBD4D">
            <w:pPr>
              <w:rPr>
                <w:rFonts w:hint="default" w:ascii="仿宋" w:hAnsi="仿宋" w:eastAsia="仿宋"/>
                <w:color w:val="auto"/>
                <w:sz w:val="28"/>
                <w:szCs w:val="28"/>
              </w:rPr>
            </w:pPr>
            <w:r>
              <w:rPr>
                <w:rFonts w:ascii="仿宋" w:hAnsi="仿宋" w:eastAsia="仿宋"/>
                <w:color w:val="auto"/>
                <w:sz w:val="28"/>
                <w:szCs w:val="28"/>
              </w:rPr>
              <w:t>工程质量通用标准</w:t>
            </w:r>
          </w:p>
        </w:tc>
      </w:tr>
      <w:tr w14:paraId="245A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1030D15">
            <w:pPr>
              <w:rPr>
                <w:rFonts w:hint="default" w:ascii="仿宋" w:hAnsi="仿宋" w:eastAsia="仿宋"/>
                <w:color w:val="auto"/>
                <w:sz w:val="28"/>
                <w:szCs w:val="28"/>
              </w:rPr>
            </w:pPr>
            <w:r>
              <w:rPr>
                <w:rFonts w:ascii="仿宋" w:hAnsi="仿宋" w:eastAsia="仿宋"/>
                <w:color w:val="auto"/>
                <w:sz w:val="28"/>
                <w:szCs w:val="28"/>
              </w:rPr>
              <w:t>2</w:t>
            </w:r>
          </w:p>
        </w:tc>
        <w:tc>
          <w:tcPr>
            <w:tcW w:w="0" w:type="auto"/>
            <w:vAlign w:val="center"/>
          </w:tcPr>
          <w:p w14:paraId="18693167">
            <w:pPr>
              <w:rPr>
                <w:rFonts w:hint="default" w:ascii="仿宋" w:hAnsi="仿宋" w:eastAsia="仿宋"/>
                <w:color w:val="auto"/>
                <w:sz w:val="28"/>
                <w:szCs w:val="28"/>
              </w:rPr>
            </w:pPr>
            <w:r>
              <w:rPr>
                <w:rFonts w:ascii="仿宋" w:hAnsi="仿宋" w:eastAsia="仿宋"/>
                <w:color w:val="auto"/>
                <w:sz w:val="28"/>
                <w:szCs w:val="28"/>
              </w:rPr>
              <w:t>《建筑装饰装修工程质量验收规范》</w:t>
            </w:r>
          </w:p>
        </w:tc>
        <w:tc>
          <w:tcPr>
            <w:tcW w:w="0" w:type="auto"/>
            <w:vAlign w:val="center"/>
          </w:tcPr>
          <w:p w14:paraId="02E5A685">
            <w:pPr>
              <w:rPr>
                <w:rFonts w:hint="default" w:ascii="仿宋" w:hAnsi="仿宋" w:eastAsia="仿宋"/>
                <w:color w:val="auto"/>
                <w:sz w:val="28"/>
                <w:szCs w:val="28"/>
              </w:rPr>
            </w:pPr>
            <w:r>
              <w:rPr>
                <w:rFonts w:ascii="仿宋" w:hAnsi="仿宋" w:eastAsia="仿宋"/>
                <w:color w:val="auto"/>
                <w:sz w:val="28"/>
                <w:szCs w:val="28"/>
              </w:rPr>
              <w:t>GB 50210-2018</w:t>
            </w:r>
          </w:p>
        </w:tc>
        <w:tc>
          <w:tcPr>
            <w:tcW w:w="0" w:type="auto"/>
            <w:vAlign w:val="center"/>
          </w:tcPr>
          <w:p w14:paraId="557009C4">
            <w:pPr>
              <w:rPr>
                <w:rFonts w:hint="default" w:ascii="仿宋" w:hAnsi="仿宋" w:eastAsia="仿宋"/>
                <w:color w:val="auto"/>
                <w:sz w:val="28"/>
                <w:szCs w:val="28"/>
              </w:rPr>
            </w:pPr>
            <w:r>
              <w:rPr>
                <w:rFonts w:ascii="仿宋" w:hAnsi="仿宋" w:eastAsia="仿宋"/>
                <w:color w:val="auto"/>
                <w:sz w:val="28"/>
                <w:szCs w:val="28"/>
              </w:rPr>
              <w:t>室内装饰施工</w:t>
            </w:r>
          </w:p>
        </w:tc>
      </w:tr>
      <w:tr w14:paraId="12B7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6C943877">
            <w:pPr>
              <w:rPr>
                <w:rFonts w:hint="default" w:ascii="仿宋" w:hAnsi="仿宋" w:eastAsia="仿宋"/>
                <w:color w:val="auto"/>
                <w:sz w:val="28"/>
                <w:szCs w:val="28"/>
              </w:rPr>
            </w:pPr>
            <w:r>
              <w:rPr>
                <w:rFonts w:ascii="仿宋" w:hAnsi="仿宋" w:eastAsia="仿宋"/>
                <w:color w:val="auto"/>
                <w:sz w:val="28"/>
                <w:szCs w:val="28"/>
              </w:rPr>
              <w:t>3</w:t>
            </w:r>
          </w:p>
        </w:tc>
        <w:tc>
          <w:tcPr>
            <w:tcW w:w="0" w:type="auto"/>
            <w:vAlign w:val="center"/>
          </w:tcPr>
          <w:p w14:paraId="47043C77">
            <w:pPr>
              <w:rPr>
                <w:rFonts w:hint="default" w:ascii="仿宋" w:hAnsi="仿宋" w:eastAsia="仿宋"/>
                <w:color w:val="auto"/>
                <w:sz w:val="28"/>
                <w:szCs w:val="28"/>
              </w:rPr>
            </w:pPr>
            <w:r>
              <w:rPr>
                <w:rFonts w:ascii="仿宋" w:hAnsi="仿宋" w:eastAsia="仿宋"/>
                <w:color w:val="auto"/>
                <w:sz w:val="28"/>
                <w:szCs w:val="28"/>
              </w:rPr>
              <w:t>《建筑电气工程施工质量验收规范》</w:t>
            </w:r>
          </w:p>
        </w:tc>
        <w:tc>
          <w:tcPr>
            <w:tcW w:w="0" w:type="auto"/>
            <w:vAlign w:val="center"/>
          </w:tcPr>
          <w:p w14:paraId="157FB58B">
            <w:pPr>
              <w:rPr>
                <w:rFonts w:hint="default" w:ascii="仿宋" w:hAnsi="仿宋" w:eastAsia="仿宋"/>
                <w:color w:val="auto"/>
                <w:sz w:val="28"/>
                <w:szCs w:val="28"/>
              </w:rPr>
            </w:pPr>
            <w:r>
              <w:rPr>
                <w:rFonts w:ascii="仿宋" w:hAnsi="仿宋" w:eastAsia="仿宋"/>
                <w:color w:val="auto"/>
                <w:sz w:val="28"/>
                <w:szCs w:val="28"/>
              </w:rPr>
              <w:t>GB 50303-2022</w:t>
            </w:r>
          </w:p>
        </w:tc>
        <w:tc>
          <w:tcPr>
            <w:tcW w:w="0" w:type="auto"/>
            <w:vAlign w:val="center"/>
          </w:tcPr>
          <w:p w14:paraId="783EE89A">
            <w:pPr>
              <w:rPr>
                <w:rFonts w:hint="default" w:ascii="仿宋" w:hAnsi="仿宋" w:eastAsia="仿宋"/>
                <w:color w:val="auto"/>
                <w:sz w:val="28"/>
                <w:szCs w:val="28"/>
              </w:rPr>
            </w:pPr>
            <w:r>
              <w:rPr>
                <w:rFonts w:ascii="仿宋" w:hAnsi="仿宋" w:eastAsia="仿宋"/>
                <w:color w:val="auto"/>
                <w:sz w:val="28"/>
                <w:szCs w:val="28"/>
              </w:rPr>
              <w:t>电气系统与照明</w:t>
            </w:r>
          </w:p>
        </w:tc>
      </w:tr>
      <w:tr w14:paraId="191C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34714CC9">
            <w:pPr>
              <w:rPr>
                <w:rFonts w:hint="default" w:ascii="仿宋" w:hAnsi="仿宋" w:eastAsia="仿宋"/>
                <w:color w:val="auto"/>
                <w:sz w:val="28"/>
                <w:szCs w:val="28"/>
              </w:rPr>
            </w:pPr>
            <w:r>
              <w:rPr>
                <w:rFonts w:ascii="仿宋" w:hAnsi="仿宋" w:eastAsia="仿宋"/>
                <w:color w:val="auto"/>
                <w:sz w:val="28"/>
                <w:szCs w:val="28"/>
              </w:rPr>
              <w:t>4</w:t>
            </w:r>
          </w:p>
        </w:tc>
        <w:tc>
          <w:tcPr>
            <w:tcW w:w="0" w:type="auto"/>
            <w:vAlign w:val="center"/>
          </w:tcPr>
          <w:p w14:paraId="7D5F0A0E">
            <w:pPr>
              <w:rPr>
                <w:rFonts w:hint="default" w:ascii="仿宋" w:hAnsi="仿宋" w:eastAsia="仿宋"/>
                <w:color w:val="auto"/>
                <w:sz w:val="28"/>
                <w:szCs w:val="28"/>
              </w:rPr>
            </w:pPr>
            <w:r>
              <w:rPr>
                <w:rFonts w:ascii="仿宋" w:hAnsi="仿宋" w:eastAsia="仿宋"/>
                <w:color w:val="auto"/>
                <w:sz w:val="28"/>
                <w:szCs w:val="28"/>
              </w:rPr>
              <w:t>《博物馆陈列照明设计规范》</w:t>
            </w:r>
          </w:p>
        </w:tc>
        <w:tc>
          <w:tcPr>
            <w:tcW w:w="0" w:type="auto"/>
            <w:vAlign w:val="center"/>
          </w:tcPr>
          <w:p w14:paraId="14DC6E4C">
            <w:pPr>
              <w:rPr>
                <w:rFonts w:hint="default" w:ascii="仿宋" w:hAnsi="仿宋" w:eastAsia="仿宋"/>
                <w:color w:val="auto"/>
                <w:sz w:val="28"/>
                <w:szCs w:val="28"/>
              </w:rPr>
            </w:pPr>
            <w:r>
              <w:rPr>
                <w:rFonts w:ascii="仿宋" w:hAnsi="仿宋" w:eastAsia="仿宋"/>
                <w:color w:val="auto"/>
                <w:sz w:val="28"/>
                <w:szCs w:val="28"/>
              </w:rPr>
              <w:t>WW/T 0088-2018</w:t>
            </w:r>
          </w:p>
        </w:tc>
        <w:tc>
          <w:tcPr>
            <w:tcW w:w="0" w:type="auto"/>
            <w:vAlign w:val="center"/>
          </w:tcPr>
          <w:p w14:paraId="2C0BA5AE">
            <w:pPr>
              <w:rPr>
                <w:rFonts w:hint="default" w:ascii="仿宋" w:hAnsi="仿宋" w:eastAsia="仿宋"/>
                <w:color w:val="auto"/>
                <w:sz w:val="28"/>
                <w:szCs w:val="28"/>
              </w:rPr>
            </w:pPr>
            <w:r>
              <w:rPr>
                <w:rFonts w:ascii="仿宋" w:hAnsi="仿宋" w:eastAsia="仿宋"/>
                <w:color w:val="auto"/>
                <w:sz w:val="28"/>
                <w:szCs w:val="28"/>
              </w:rPr>
              <w:t>展陈照明与控制系统</w:t>
            </w:r>
          </w:p>
        </w:tc>
      </w:tr>
      <w:tr w14:paraId="7D6F0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8D926A8">
            <w:pPr>
              <w:rPr>
                <w:rFonts w:hint="default" w:ascii="仿宋" w:hAnsi="仿宋" w:eastAsia="仿宋"/>
                <w:color w:val="auto"/>
                <w:sz w:val="28"/>
                <w:szCs w:val="28"/>
              </w:rPr>
            </w:pPr>
            <w:r>
              <w:rPr>
                <w:rFonts w:ascii="仿宋" w:hAnsi="仿宋" w:eastAsia="仿宋"/>
                <w:color w:val="auto"/>
                <w:sz w:val="28"/>
                <w:szCs w:val="28"/>
              </w:rPr>
              <w:t>5</w:t>
            </w:r>
          </w:p>
        </w:tc>
        <w:tc>
          <w:tcPr>
            <w:tcW w:w="0" w:type="auto"/>
            <w:vAlign w:val="center"/>
          </w:tcPr>
          <w:p w14:paraId="05155AAC">
            <w:pPr>
              <w:rPr>
                <w:rFonts w:hint="default" w:ascii="仿宋" w:hAnsi="仿宋" w:eastAsia="仿宋"/>
                <w:color w:val="auto"/>
                <w:sz w:val="28"/>
                <w:szCs w:val="28"/>
              </w:rPr>
            </w:pPr>
            <w:r>
              <w:rPr>
                <w:rFonts w:ascii="仿宋" w:hAnsi="仿宋" w:eastAsia="仿宋"/>
                <w:color w:val="auto"/>
                <w:sz w:val="28"/>
                <w:szCs w:val="28"/>
              </w:rPr>
              <w:t>《建筑照明设计标准》</w:t>
            </w:r>
          </w:p>
        </w:tc>
        <w:tc>
          <w:tcPr>
            <w:tcW w:w="0" w:type="auto"/>
            <w:vAlign w:val="center"/>
          </w:tcPr>
          <w:p w14:paraId="6F25FF50">
            <w:pPr>
              <w:rPr>
                <w:rFonts w:hint="default" w:ascii="仿宋" w:hAnsi="仿宋" w:eastAsia="仿宋"/>
                <w:color w:val="auto"/>
                <w:sz w:val="28"/>
                <w:szCs w:val="28"/>
              </w:rPr>
            </w:pPr>
            <w:r>
              <w:rPr>
                <w:rFonts w:ascii="仿宋" w:hAnsi="仿宋" w:eastAsia="仿宋"/>
                <w:color w:val="auto"/>
                <w:sz w:val="28"/>
                <w:szCs w:val="28"/>
              </w:rPr>
              <w:t>GB 50034-2013</w:t>
            </w:r>
          </w:p>
        </w:tc>
        <w:tc>
          <w:tcPr>
            <w:tcW w:w="0" w:type="auto"/>
            <w:vAlign w:val="center"/>
          </w:tcPr>
          <w:p w14:paraId="3F5FB8F8">
            <w:pPr>
              <w:rPr>
                <w:rFonts w:hint="default" w:ascii="仿宋" w:hAnsi="仿宋" w:eastAsia="仿宋"/>
                <w:color w:val="auto"/>
                <w:sz w:val="28"/>
                <w:szCs w:val="28"/>
              </w:rPr>
            </w:pPr>
            <w:r>
              <w:rPr>
                <w:rFonts w:ascii="仿宋" w:hAnsi="仿宋" w:eastAsia="仿宋"/>
                <w:color w:val="auto"/>
                <w:sz w:val="28"/>
                <w:szCs w:val="28"/>
              </w:rPr>
              <w:t>灯具布置与光环境</w:t>
            </w:r>
          </w:p>
        </w:tc>
      </w:tr>
      <w:tr w14:paraId="5158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1F7AE0CE">
            <w:pPr>
              <w:rPr>
                <w:rFonts w:hint="default" w:ascii="仿宋" w:hAnsi="仿宋" w:eastAsia="仿宋"/>
                <w:color w:val="auto"/>
                <w:sz w:val="28"/>
                <w:szCs w:val="28"/>
              </w:rPr>
            </w:pPr>
            <w:r>
              <w:rPr>
                <w:rFonts w:ascii="仿宋" w:hAnsi="仿宋" w:eastAsia="仿宋"/>
                <w:color w:val="auto"/>
                <w:sz w:val="28"/>
                <w:szCs w:val="28"/>
              </w:rPr>
              <w:t>6</w:t>
            </w:r>
          </w:p>
        </w:tc>
        <w:tc>
          <w:tcPr>
            <w:tcW w:w="0" w:type="auto"/>
            <w:vAlign w:val="center"/>
          </w:tcPr>
          <w:p w14:paraId="17B8EDCC">
            <w:pPr>
              <w:rPr>
                <w:rFonts w:hint="default" w:ascii="仿宋" w:hAnsi="仿宋" w:eastAsia="仿宋"/>
                <w:color w:val="auto"/>
                <w:sz w:val="28"/>
                <w:szCs w:val="28"/>
              </w:rPr>
            </w:pPr>
            <w:r>
              <w:rPr>
                <w:rFonts w:ascii="仿宋" w:hAnsi="仿宋" w:eastAsia="仿宋"/>
                <w:color w:val="auto"/>
                <w:sz w:val="28"/>
                <w:szCs w:val="28"/>
              </w:rPr>
              <w:t>《民用建筑电气设计标准》</w:t>
            </w:r>
          </w:p>
        </w:tc>
        <w:tc>
          <w:tcPr>
            <w:tcW w:w="0" w:type="auto"/>
            <w:vAlign w:val="center"/>
          </w:tcPr>
          <w:p w14:paraId="12F8DEE9">
            <w:pPr>
              <w:rPr>
                <w:rFonts w:hint="default" w:ascii="仿宋" w:hAnsi="仿宋" w:eastAsia="仿宋"/>
                <w:color w:val="auto"/>
                <w:sz w:val="28"/>
                <w:szCs w:val="28"/>
              </w:rPr>
            </w:pPr>
            <w:r>
              <w:rPr>
                <w:rFonts w:ascii="仿宋" w:hAnsi="仿宋" w:eastAsia="仿宋"/>
                <w:color w:val="auto"/>
                <w:sz w:val="28"/>
                <w:szCs w:val="28"/>
              </w:rPr>
              <w:t>GB 51348-2019</w:t>
            </w:r>
          </w:p>
        </w:tc>
        <w:tc>
          <w:tcPr>
            <w:tcW w:w="0" w:type="auto"/>
            <w:vAlign w:val="center"/>
          </w:tcPr>
          <w:p w14:paraId="4488432F">
            <w:pPr>
              <w:rPr>
                <w:rFonts w:hint="default" w:ascii="仿宋" w:hAnsi="仿宋" w:eastAsia="仿宋"/>
                <w:color w:val="auto"/>
                <w:sz w:val="28"/>
                <w:szCs w:val="28"/>
              </w:rPr>
            </w:pPr>
            <w:r>
              <w:rPr>
                <w:rFonts w:ascii="仿宋" w:hAnsi="仿宋" w:eastAsia="仿宋"/>
                <w:color w:val="auto"/>
                <w:sz w:val="28"/>
                <w:szCs w:val="28"/>
              </w:rPr>
              <w:t>弱电与智能控制</w:t>
            </w:r>
          </w:p>
        </w:tc>
      </w:tr>
      <w:tr w14:paraId="2B1B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1D76058">
            <w:pPr>
              <w:rPr>
                <w:rFonts w:hint="default" w:ascii="仿宋" w:hAnsi="仿宋" w:eastAsia="仿宋"/>
                <w:color w:val="auto"/>
                <w:sz w:val="28"/>
                <w:szCs w:val="28"/>
              </w:rPr>
            </w:pPr>
            <w:r>
              <w:rPr>
                <w:rFonts w:ascii="仿宋" w:hAnsi="仿宋" w:eastAsia="仿宋"/>
                <w:color w:val="auto"/>
                <w:sz w:val="28"/>
                <w:szCs w:val="28"/>
              </w:rPr>
              <w:t>7</w:t>
            </w:r>
          </w:p>
        </w:tc>
        <w:tc>
          <w:tcPr>
            <w:tcW w:w="0" w:type="auto"/>
            <w:vAlign w:val="center"/>
          </w:tcPr>
          <w:p w14:paraId="73972559">
            <w:pPr>
              <w:rPr>
                <w:rFonts w:hint="default" w:ascii="仿宋" w:hAnsi="仿宋" w:eastAsia="仿宋"/>
                <w:color w:val="auto"/>
                <w:sz w:val="28"/>
                <w:szCs w:val="28"/>
              </w:rPr>
            </w:pPr>
            <w:r>
              <w:rPr>
                <w:rFonts w:ascii="仿宋" w:hAnsi="仿宋" w:eastAsia="仿宋"/>
                <w:color w:val="auto"/>
                <w:sz w:val="28"/>
                <w:szCs w:val="28"/>
              </w:rPr>
              <w:t>《建筑智能化系统工程验收规范》</w:t>
            </w:r>
          </w:p>
        </w:tc>
        <w:tc>
          <w:tcPr>
            <w:tcW w:w="0" w:type="auto"/>
            <w:vAlign w:val="center"/>
          </w:tcPr>
          <w:p w14:paraId="0EEF09A3">
            <w:pPr>
              <w:rPr>
                <w:rFonts w:hint="default" w:ascii="仿宋" w:hAnsi="仿宋" w:eastAsia="仿宋"/>
                <w:color w:val="auto"/>
                <w:sz w:val="28"/>
                <w:szCs w:val="28"/>
              </w:rPr>
            </w:pPr>
            <w:r>
              <w:rPr>
                <w:rFonts w:ascii="仿宋" w:hAnsi="仿宋" w:eastAsia="仿宋"/>
                <w:color w:val="auto"/>
                <w:sz w:val="28"/>
                <w:szCs w:val="28"/>
              </w:rPr>
              <w:t>GB/T 50339-2013</w:t>
            </w:r>
          </w:p>
        </w:tc>
        <w:tc>
          <w:tcPr>
            <w:tcW w:w="0" w:type="auto"/>
            <w:vAlign w:val="center"/>
          </w:tcPr>
          <w:p w14:paraId="4595D331">
            <w:pPr>
              <w:rPr>
                <w:rFonts w:hint="default" w:ascii="仿宋" w:hAnsi="仿宋" w:eastAsia="仿宋"/>
                <w:color w:val="auto"/>
                <w:sz w:val="28"/>
                <w:szCs w:val="28"/>
              </w:rPr>
            </w:pPr>
            <w:r>
              <w:rPr>
                <w:rFonts w:ascii="仿宋" w:hAnsi="仿宋" w:eastAsia="仿宋"/>
                <w:color w:val="auto"/>
                <w:sz w:val="28"/>
                <w:szCs w:val="28"/>
              </w:rPr>
              <w:t>中控与集成系统</w:t>
            </w:r>
          </w:p>
        </w:tc>
      </w:tr>
      <w:tr w14:paraId="0F56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6BEA82DC">
            <w:pPr>
              <w:rPr>
                <w:rFonts w:hint="default" w:ascii="仿宋" w:hAnsi="仿宋" w:eastAsia="仿宋"/>
                <w:color w:val="auto"/>
                <w:sz w:val="28"/>
                <w:szCs w:val="28"/>
              </w:rPr>
            </w:pPr>
            <w:r>
              <w:rPr>
                <w:rFonts w:ascii="仿宋" w:hAnsi="仿宋" w:eastAsia="仿宋"/>
                <w:color w:val="auto"/>
                <w:sz w:val="28"/>
                <w:szCs w:val="28"/>
              </w:rPr>
              <w:t>8</w:t>
            </w:r>
          </w:p>
        </w:tc>
        <w:tc>
          <w:tcPr>
            <w:tcW w:w="0" w:type="auto"/>
            <w:vAlign w:val="center"/>
          </w:tcPr>
          <w:p w14:paraId="7C6CC74E">
            <w:pPr>
              <w:rPr>
                <w:rFonts w:hint="default" w:ascii="仿宋" w:hAnsi="仿宋" w:eastAsia="仿宋"/>
                <w:color w:val="auto"/>
                <w:sz w:val="28"/>
                <w:szCs w:val="28"/>
              </w:rPr>
            </w:pPr>
            <w:r>
              <w:rPr>
                <w:rFonts w:ascii="仿宋" w:hAnsi="仿宋" w:eastAsia="仿宋"/>
                <w:color w:val="auto"/>
                <w:sz w:val="28"/>
                <w:szCs w:val="28"/>
              </w:rPr>
              <w:t>《声学 建筑隔声测量规范》</w:t>
            </w:r>
          </w:p>
        </w:tc>
        <w:tc>
          <w:tcPr>
            <w:tcW w:w="0" w:type="auto"/>
            <w:vAlign w:val="center"/>
          </w:tcPr>
          <w:p w14:paraId="64408253">
            <w:pPr>
              <w:rPr>
                <w:rFonts w:hint="default" w:ascii="仿宋" w:hAnsi="仿宋" w:eastAsia="仿宋"/>
                <w:color w:val="auto"/>
                <w:sz w:val="28"/>
                <w:szCs w:val="28"/>
              </w:rPr>
            </w:pPr>
            <w:r>
              <w:rPr>
                <w:rFonts w:ascii="仿宋" w:hAnsi="仿宋" w:eastAsia="仿宋"/>
                <w:color w:val="auto"/>
                <w:sz w:val="28"/>
                <w:szCs w:val="28"/>
              </w:rPr>
              <w:t>GB/T 19889.7-2019</w:t>
            </w:r>
          </w:p>
        </w:tc>
        <w:tc>
          <w:tcPr>
            <w:tcW w:w="0" w:type="auto"/>
            <w:vAlign w:val="center"/>
          </w:tcPr>
          <w:p w14:paraId="7B6B3E58">
            <w:pPr>
              <w:rPr>
                <w:rFonts w:hint="default" w:ascii="仿宋" w:hAnsi="仿宋" w:eastAsia="仿宋"/>
                <w:color w:val="auto"/>
                <w:sz w:val="28"/>
                <w:szCs w:val="28"/>
              </w:rPr>
            </w:pPr>
            <w:r>
              <w:rPr>
                <w:rFonts w:ascii="仿宋" w:hAnsi="仿宋" w:eastAsia="仿宋"/>
                <w:color w:val="auto"/>
                <w:sz w:val="28"/>
                <w:szCs w:val="28"/>
              </w:rPr>
              <w:t>展厅噪声控制</w:t>
            </w:r>
          </w:p>
        </w:tc>
      </w:tr>
      <w:tr w14:paraId="4260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6F9882D">
            <w:pPr>
              <w:rPr>
                <w:rFonts w:hint="default" w:ascii="仿宋" w:hAnsi="仿宋" w:eastAsia="仿宋"/>
                <w:color w:val="auto"/>
                <w:sz w:val="28"/>
                <w:szCs w:val="28"/>
              </w:rPr>
            </w:pPr>
            <w:r>
              <w:rPr>
                <w:rFonts w:ascii="仿宋" w:hAnsi="仿宋" w:eastAsia="仿宋"/>
                <w:color w:val="auto"/>
                <w:sz w:val="28"/>
                <w:szCs w:val="28"/>
              </w:rPr>
              <w:t>9</w:t>
            </w:r>
          </w:p>
        </w:tc>
        <w:tc>
          <w:tcPr>
            <w:tcW w:w="0" w:type="auto"/>
            <w:vAlign w:val="center"/>
          </w:tcPr>
          <w:p w14:paraId="76B7EF5A">
            <w:pPr>
              <w:rPr>
                <w:rFonts w:hint="default" w:ascii="仿宋" w:hAnsi="仿宋" w:eastAsia="仿宋"/>
                <w:color w:val="auto"/>
                <w:sz w:val="28"/>
                <w:szCs w:val="28"/>
              </w:rPr>
            </w:pPr>
            <w:r>
              <w:rPr>
                <w:rFonts w:ascii="仿宋" w:hAnsi="仿宋" w:eastAsia="仿宋"/>
                <w:color w:val="auto"/>
                <w:sz w:val="28"/>
                <w:szCs w:val="28"/>
              </w:rPr>
              <w:t>《建筑节能工程施工质量验收标准》</w:t>
            </w:r>
          </w:p>
        </w:tc>
        <w:tc>
          <w:tcPr>
            <w:tcW w:w="0" w:type="auto"/>
            <w:vAlign w:val="center"/>
          </w:tcPr>
          <w:p w14:paraId="42EFBCC7">
            <w:pPr>
              <w:rPr>
                <w:rFonts w:hint="default" w:ascii="仿宋" w:hAnsi="仿宋" w:eastAsia="仿宋"/>
                <w:color w:val="auto"/>
                <w:sz w:val="28"/>
                <w:szCs w:val="28"/>
              </w:rPr>
            </w:pPr>
            <w:r>
              <w:rPr>
                <w:rFonts w:ascii="仿宋" w:hAnsi="仿宋" w:eastAsia="仿宋"/>
                <w:color w:val="auto"/>
                <w:sz w:val="28"/>
                <w:szCs w:val="28"/>
              </w:rPr>
              <w:t>GB 50411-2019</w:t>
            </w:r>
          </w:p>
        </w:tc>
        <w:tc>
          <w:tcPr>
            <w:tcW w:w="0" w:type="auto"/>
            <w:vAlign w:val="center"/>
          </w:tcPr>
          <w:p w14:paraId="44862C6B">
            <w:pPr>
              <w:rPr>
                <w:rFonts w:hint="default" w:ascii="仿宋" w:hAnsi="仿宋" w:eastAsia="仿宋"/>
                <w:color w:val="auto"/>
                <w:sz w:val="28"/>
                <w:szCs w:val="28"/>
              </w:rPr>
            </w:pPr>
            <w:r>
              <w:rPr>
                <w:rFonts w:ascii="仿宋" w:hAnsi="仿宋" w:eastAsia="仿宋"/>
                <w:color w:val="auto"/>
                <w:sz w:val="28"/>
                <w:szCs w:val="28"/>
              </w:rPr>
              <w:t>节能与环保要求</w:t>
            </w:r>
          </w:p>
        </w:tc>
      </w:tr>
      <w:tr w14:paraId="1184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8E42441">
            <w:pPr>
              <w:rPr>
                <w:rFonts w:hint="default" w:ascii="仿宋" w:hAnsi="仿宋" w:eastAsia="仿宋"/>
                <w:color w:val="auto"/>
                <w:sz w:val="28"/>
                <w:szCs w:val="28"/>
              </w:rPr>
            </w:pPr>
            <w:r>
              <w:rPr>
                <w:rFonts w:ascii="仿宋" w:hAnsi="仿宋" w:eastAsia="仿宋"/>
                <w:color w:val="auto"/>
                <w:sz w:val="28"/>
                <w:szCs w:val="28"/>
              </w:rPr>
              <w:t>10</w:t>
            </w:r>
          </w:p>
        </w:tc>
        <w:tc>
          <w:tcPr>
            <w:tcW w:w="0" w:type="auto"/>
            <w:vAlign w:val="center"/>
          </w:tcPr>
          <w:p w14:paraId="13A54D7B">
            <w:pPr>
              <w:rPr>
                <w:rFonts w:hint="default" w:ascii="仿宋" w:hAnsi="仿宋" w:eastAsia="仿宋"/>
                <w:color w:val="auto"/>
                <w:sz w:val="28"/>
                <w:szCs w:val="28"/>
              </w:rPr>
            </w:pPr>
            <w:r>
              <w:rPr>
                <w:rFonts w:ascii="仿宋" w:hAnsi="仿宋" w:eastAsia="仿宋"/>
                <w:color w:val="auto"/>
                <w:sz w:val="28"/>
                <w:szCs w:val="28"/>
              </w:rPr>
              <w:t>《建筑防火规范》</w:t>
            </w:r>
          </w:p>
        </w:tc>
        <w:tc>
          <w:tcPr>
            <w:tcW w:w="0" w:type="auto"/>
            <w:vAlign w:val="center"/>
          </w:tcPr>
          <w:p w14:paraId="29C07B1D">
            <w:pPr>
              <w:rPr>
                <w:rFonts w:hint="default" w:ascii="仿宋" w:hAnsi="仿宋" w:eastAsia="仿宋"/>
                <w:color w:val="auto"/>
                <w:sz w:val="28"/>
                <w:szCs w:val="28"/>
              </w:rPr>
            </w:pPr>
            <w:r>
              <w:rPr>
                <w:rFonts w:ascii="仿宋" w:hAnsi="仿宋" w:eastAsia="仿宋"/>
                <w:color w:val="auto"/>
                <w:sz w:val="28"/>
                <w:szCs w:val="28"/>
              </w:rPr>
              <w:t>GB 50016-2014</w:t>
            </w:r>
          </w:p>
        </w:tc>
        <w:tc>
          <w:tcPr>
            <w:tcW w:w="0" w:type="auto"/>
            <w:vAlign w:val="center"/>
          </w:tcPr>
          <w:p w14:paraId="1ED06FAD">
            <w:pPr>
              <w:rPr>
                <w:rFonts w:hint="default" w:ascii="仿宋" w:hAnsi="仿宋" w:eastAsia="仿宋"/>
                <w:color w:val="auto"/>
                <w:sz w:val="28"/>
                <w:szCs w:val="28"/>
              </w:rPr>
            </w:pPr>
            <w:r>
              <w:rPr>
                <w:rFonts w:ascii="仿宋" w:hAnsi="仿宋" w:eastAsia="仿宋"/>
                <w:color w:val="auto"/>
                <w:sz w:val="28"/>
                <w:szCs w:val="28"/>
              </w:rPr>
              <w:t>材料与防火系统</w:t>
            </w:r>
          </w:p>
        </w:tc>
      </w:tr>
      <w:tr w14:paraId="754A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73DDB0E">
            <w:pPr>
              <w:rPr>
                <w:rFonts w:hint="default" w:ascii="仿宋" w:hAnsi="仿宋" w:eastAsia="仿宋"/>
                <w:color w:val="auto"/>
                <w:sz w:val="28"/>
                <w:szCs w:val="28"/>
              </w:rPr>
            </w:pPr>
            <w:r>
              <w:rPr>
                <w:rFonts w:ascii="仿宋" w:hAnsi="仿宋" w:eastAsia="仿宋"/>
                <w:color w:val="auto"/>
                <w:sz w:val="28"/>
                <w:szCs w:val="28"/>
              </w:rPr>
              <w:t>11</w:t>
            </w:r>
          </w:p>
        </w:tc>
        <w:tc>
          <w:tcPr>
            <w:tcW w:w="0" w:type="auto"/>
            <w:vAlign w:val="center"/>
          </w:tcPr>
          <w:p w14:paraId="08412C4A">
            <w:pPr>
              <w:rPr>
                <w:rFonts w:hint="default" w:ascii="仿宋" w:hAnsi="仿宋" w:eastAsia="仿宋"/>
                <w:color w:val="auto"/>
                <w:sz w:val="28"/>
                <w:szCs w:val="28"/>
              </w:rPr>
            </w:pPr>
            <w:r>
              <w:rPr>
                <w:rFonts w:ascii="仿宋" w:hAnsi="仿宋" w:eastAsia="仿宋"/>
                <w:color w:val="auto"/>
                <w:sz w:val="28"/>
                <w:szCs w:val="28"/>
              </w:rPr>
              <w:t>《建筑给水排水设计标准》</w:t>
            </w:r>
          </w:p>
        </w:tc>
        <w:tc>
          <w:tcPr>
            <w:tcW w:w="0" w:type="auto"/>
            <w:vAlign w:val="center"/>
          </w:tcPr>
          <w:p w14:paraId="6120D53D">
            <w:pPr>
              <w:rPr>
                <w:rFonts w:hint="default" w:ascii="仿宋" w:hAnsi="仿宋" w:eastAsia="仿宋"/>
                <w:color w:val="auto"/>
                <w:sz w:val="28"/>
                <w:szCs w:val="28"/>
              </w:rPr>
            </w:pPr>
            <w:r>
              <w:rPr>
                <w:rFonts w:ascii="仿宋" w:hAnsi="仿宋" w:eastAsia="仿宋"/>
                <w:color w:val="auto"/>
                <w:sz w:val="28"/>
                <w:szCs w:val="28"/>
              </w:rPr>
              <w:t>GB 50015-2019</w:t>
            </w:r>
          </w:p>
        </w:tc>
        <w:tc>
          <w:tcPr>
            <w:tcW w:w="0" w:type="auto"/>
            <w:vAlign w:val="center"/>
          </w:tcPr>
          <w:p w14:paraId="7137EF8F">
            <w:pPr>
              <w:rPr>
                <w:rFonts w:hint="default" w:ascii="仿宋" w:hAnsi="仿宋" w:eastAsia="仿宋"/>
                <w:color w:val="auto"/>
                <w:sz w:val="28"/>
                <w:szCs w:val="28"/>
              </w:rPr>
            </w:pPr>
            <w:r>
              <w:rPr>
                <w:rFonts w:ascii="仿宋" w:hAnsi="仿宋" w:eastAsia="仿宋"/>
                <w:color w:val="auto"/>
                <w:sz w:val="28"/>
                <w:szCs w:val="28"/>
              </w:rPr>
              <w:t>环境与防潮</w:t>
            </w:r>
          </w:p>
        </w:tc>
      </w:tr>
      <w:tr w14:paraId="25EE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68E437C">
            <w:pPr>
              <w:rPr>
                <w:rFonts w:hint="default" w:ascii="仿宋" w:hAnsi="仿宋" w:eastAsia="仿宋"/>
                <w:color w:val="auto"/>
                <w:sz w:val="28"/>
                <w:szCs w:val="28"/>
              </w:rPr>
            </w:pPr>
            <w:r>
              <w:rPr>
                <w:rFonts w:ascii="仿宋" w:hAnsi="仿宋" w:eastAsia="仿宋"/>
                <w:color w:val="auto"/>
                <w:sz w:val="28"/>
                <w:szCs w:val="28"/>
              </w:rPr>
              <w:t>12</w:t>
            </w:r>
          </w:p>
        </w:tc>
        <w:tc>
          <w:tcPr>
            <w:tcW w:w="0" w:type="auto"/>
            <w:vAlign w:val="center"/>
          </w:tcPr>
          <w:p w14:paraId="761FBC4A">
            <w:pPr>
              <w:rPr>
                <w:rFonts w:hint="default" w:ascii="仿宋" w:hAnsi="仿宋" w:eastAsia="仿宋"/>
                <w:color w:val="auto"/>
                <w:sz w:val="28"/>
                <w:szCs w:val="28"/>
              </w:rPr>
            </w:pPr>
            <w:r>
              <w:rPr>
                <w:rFonts w:ascii="仿宋" w:hAnsi="仿宋" w:eastAsia="仿宋"/>
                <w:color w:val="auto"/>
                <w:sz w:val="28"/>
                <w:szCs w:val="28"/>
              </w:rPr>
              <w:t>《建筑结构荷载规范》</w:t>
            </w:r>
          </w:p>
        </w:tc>
        <w:tc>
          <w:tcPr>
            <w:tcW w:w="0" w:type="auto"/>
            <w:vAlign w:val="center"/>
          </w:tcPr>
          <w:p w14:paraId="3373F6BB">
            <w:pPr>
              <w:rPr>
                <w:rFonts w:hint="default" w:ascii="仿宋" w:hAnsi="仿宋" w:eastAsia="仿宋"/>
                <w:color w:val="auto"/>
                <w:sz w:val="28"/>
                <w:szCs w:val="28"/>
              </w:rPr>
            </w:pPr>
            <w:r>
              <w:rPr>
                <w:rFonts w:ascii="仿宋" w:hAnsi="仿宋" w:eastAsia="仿宋"/>
                <w:color w:val="auto"/>
                <w:sz w:val="28"/>
                <w:szCs w:val="28"/>
              </w:rPr>
              <w:t>GB 50009-2021</w:t>
            </w:r>
          </w:p>
        </w:tc>
        <w:tc>
          <w:tcPr>
            <w:tcW w:w="0" w:type="auto"/>
            <w:vAlign w:val="center"/>
          </w:tcPr>
          <w:p w14:paraId="6668328C">
            <w:pPr>
              <w:rPr>
                <w:rFonts w:hint="default" w:ascii="仿宋" w:hAnsi="仿宋" w:eastAsia="仿宋"/>
                <w:color w:val="auto"/>
                <w:sz w:val="28"/>
                <w:szCs w:val="28"/>
              </w:rPr>
            </w:pPr>
            <w:r>
              <w:rPr>
                <w:rFonts w:ascii="仿宋" w:hAnsi="仿宋" w:eastAsia="仿宋"/>
                <w:color w:val="auto"/>
                <w:sz w:val="28"/>
                <w:szCs w:val="28"/>
              </w:rPr>
              <w:t>展台承重设计</w:t>
            </w:r>
          </w:p>
        </w:tc>
      </w:tr>
      <w:tr w14:paraId="1345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998F74A">
            <w:pPr>
              <w:rPr>
                <w:rFonts w:hint="default" w:ascii="仿宋" w:hAnsi="仿宋" w:eastAsia="仿宋"/>
                <w:color w:val="auto"/>
                <w:sz w:val="28"/>
                <w:szCs w:val="28"/>
              </w:rPr>
            </w:pPr>
            <w:r>
              <w:rPr>
                <w:rFonts w:ascii="仿宋" w:hAnsi="仿宋" w:eastAsia="仿宋"/>
                <w:color w:val="auto"/>
                <w:sz w:val="28"/>
                <w:szCs w:val="28"/>
              </w:rPr>
              <w:t>13</w:t>
            </w:r>
          </w:p>
        </w:tc>
        <w:tc>
          <w:tcPr>
            <w:tcW w:w="0" w:type="auto"/>
            <w:vAlign w:val="center"/>
          </w:tcPr>
          <w:p w14:paraId="050CB8A0">
            <w:pPr>
              <w:rPr>
                <w:rFonts w:hint="default" w:ascii="仿宋" w:hAnsi="仿宋" w:eastAsia="仿宋"/>
                <w:color w:val="auto"/>
                <w:sz w:val="28"/>
                <w:szCs w:val="28"/>
              </w:rPr>
            </w:pPr>
            <w:r>
              <w:rPr>
                <w:rFonts w:ascii="仿宋" w:hAnsi="仿宋" w:eastAsia="仿宋"/>
                <w:color w:val="auto"/>
                <w:sz w:val="28"/>
                <w:szCs w:val="28"/>
              </w:rPr>
              <w:t>《建筑施工安全检查标准》</w:t>
            </w:r>
          </w:p>
        </w:tc>
        <w:tc>
          <w:tcPr>
            <w:tcW w:w="0" w:type="auto"/>
            <w:vAlign w:val="center"/>
          </w:tcPr>
          <w:p w14:paraId="5FD81A9E">
            <w:pPr>
              <w:rPr>
                <w:rFonts w:hint="default" w:ascii="仿宋" w:hAnsi="仿宋" w:eastAsia="仿宋"/>
                <w:color w:val="auto"/>
                <w:sz w:val="28"/>
                <w:szCs w:val="28"/>
              </w:rPr>
            </w:pPr>
            <w:r>
              <w:rPr>
                <w:rFonts w:ascii="仿宋" w:hAnsi="仿宋" w:eastAsia="仿宋"/>
                <w:color w:val="auto"/>
                <w:sz w:val="28"/>
                <w:szCs w:val="28"/>
              </w:rPr>
              <w:t>JGJ 59-2011</w:t>
            </w:r>
          </w:p>
        </w:tc>
        <w:tc>
          <w:tcPr>
            <w:tcW w:w="0" w:type="auto"/>
            <w:vAlign w:val="center"/>
          </w:tcPr>
          <w:p w14:paraId="2C62FEE1">
            <w:pPr>
              <w:rPr>
                <w:rFonts w:hint="default" w:ascii="仿宋" w:hAnsi="仿宋" w:eastAsia="仿宋"/>
                <w:color w:val="auto"/>
                <w:sz w:val="28"/>
                <w:szCs w:val="28"/>
              </w:rPr>
            </w:pPr>
            <w:r>
              <w:rPr>
                <w:rFonts w:ascii="仿宋" w:hAnsi="仿宋" w:eastAsia="仿宋"/>
                <w:color w:val="auto"/>
                <w:sz w:val="28"/>
                <w:szCs w:val="28"/>
              </w:rPr>
              <w:t>施工安全管理</w:t>
            </w:r>
          </w:p>
        </w:tc>
      </w:tr>
      <w:tr w14:paraId="5893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1AE3C881">
            <w:pPr>
              <w:rPr>
                <w:rFonts w:hint="default" w:ascii="仿宋" w:hAnsi="仿宋" w:eastAsia="仿宋"/>
                <w:color w:val="auto"/>
                <w:sz w:val="28"/>
                <w:szCs w:val="28"/>
              </w:rPr>
            </w:pPr>
            <w:r>
              <w:rPr>
                <w:rFonts w:ascii="仿宋" w:hAnsi="仿宋" w:eastAsia="仿宋"/>
                <w:color w:val="auto"/>
                <w:sz w:val="28"/>
                <w:szCs w:val="28"/>
              </w:rPr>
              <w:t>14</w:t>
            </w:r>
          </w:p>
        </w:tc>
        <w:tc>
          <w:tcPr>
            <w:tcW w:w="0" w:type="auto"/>
            <w:vAlign w:val="center"/>
          </w:tcPr>
          <w:p w14:paraId="14EE6C42">
            <w:pPr>
              <w:rPr>
                <w:rFonts w:hint="default" w:ascii="仿宋" w:hAnsi="仿宋" w:eastAsia="仿宋"/>
                <w:color w:val="auto"/>
                <w:sz w:val="28"/>
                <w:szCs w:val="28"/>
              </w:rPr>
            </w:pPr>
            <w:r>
              <w:rPr>
                <w:rFonts w:ascii="仿宋" w:hAnsi="仿宋" w:eastAsia="仿宋"/>
                <w:color w:val="auto"/>
                <w:sz w:val="28"/>
                <w:szCs w:val="28"/>
              </w:rPr>
              <w:t>《文物建筑工程施工规范》</w:t>
            </w:r>
          </w:p>
        </w:tc>
        <w:tc>
          <w:tcPr>
            <w:tcW w:w="0" w:type="auto"/>
            <w:vAlign w:val="center"/>
          </w:tcPr>
          <w:p w14:paraId="1B33AA32">
            <w:pPr>
              <w:rPr>
                <w:rFonts w:hint="default" w:ascii="仿宋" w:hAnsi="仿宋" w:eastAsia="仿宋"/>
                <w:color w:val="auto"/>
                <w:sz w:val="28"/>
                <w:szCs w:val="28"/>
              </w:rPr>
            </w:pPr>
            <w:r>
              <w:rPr>
                <w:rFonts w:ascii="仿宋" w:hAnsi="仿宋" w:eastAsia="仿宋"/>
                <w:color w:val="auto"/>
                <w:sz w:val="28"/>
                <w:szCs w:val="28"/>
              </w:rPr>
              <w:t>GB/T 50739-2011</w:t>
            </w:r>
          </w:p>
        </w:tc>
        <w:tc>
          <w:tcPr>
            <w:tcW w:w="0" w:type="auto"/>
            <w:vAlign w:val="center"/>
          </w:tcPr>
          <w:p w14:paraId="74CC91F9">
            <w:pPr>
              <w:rPr>
                <w:rFonts w:hint="default" w:ascii="仿宋" w:hAnsi="仿宋" w:eastAsia="仿宋"/>
                <w:color w:val="auto"/>
                <w:sz w:val="28"/>
                <w:szCs w:val="28"/>
              </w:rPr>
            </w:pPr>
            <w:r>
              <w:rPr>
                <w:rFonts w:ascii="仿宋" w:hAnsi="仿宋" w:eastAsia="仿宋"/>
                <w:color w:val="auto"/>
                <w:sz w:val="28"/>
                <w:szCs w:val="28"/>
              </w:rPr>
              <w:t>文保建筑施工</w:t>
            </w:r>
          </w:p>
        </w:tc>
      </w:tr>
      <w:tr w14:paraId="47BA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56CD219C">
            <w:pPr>
              <w:rPr>
                <w:rFonts w:hint="default" w:ascii="仿宋" w:hAnsi="仿宋" w:eastAsia="仿宋"/>
                <w:color w:val="auto"/>
                <w:sz w:val="28"/>
                <w:szCs w:val="28"/>
              </w:rPr>
            </w:pPr>
            <w:r>
              <w:rPr>
                <w:rFonts w:ascii="仿宋" w:hAnsi="仿宋" w:eastAsia="仿宋"/>
                <w:color w:val="auto"/>
                <w:sz w:val="28"/>
                <w:szCs w:val="28"/>
              </w:rPr>
              <w:t>15</w:t>
            </w:r>
          </w:p>
        </w:tc>
        <w:tc>
          <w:tcPr>
            <w:tcW w:w="0" w:type="auto"/>
            <w:vAlign w:val="center"/>
          </w:tcPr>
          <w:p w14:paraId="1035AF39">
            <w:pPr>
              <w:rPr>
                <w:rFonts w:hint="default" w:ascii="仿宋" w:hAnsi="仿宋" w:eastAsia="仿宋"/>
                <w:color w:val="auto"/>
                <w:sz w:val="28"/>
                <w:szCs w:val="28"/>
              </w:rPr>
            </w:pPr>
            <w:r>
              <w:rPr>
                <w:rFonts w:ascii="仿宋" w:hAnsi="仿宋" w:eastAsia="仿宋"/>
                <w:color w:val="auto"/>
                <w:sz w:val="28"/>
                <w:szCs w:val="28"/>
              </w:rPr>
              <w:t>《建筑环境检测技术规范》</w:t>
            </w:r>
          </w:p>
        </w:tc>
        <w:tc>
          <w:tcPr>
            <w:tcW w:w="0" w:type="auto"/>
            <w:vAlign w:val="center"/>
          </w:tcPr>
          <w:p w14:paraId="15C4B21D">
            <w:pPr>
              <w:rPr>
                <w:rFonts w:hint="default" w:ascii="仿宋" w:hAnsi="仿宋" w:eastAsia="仿宋"/>
                <w:color w:val="auto"/>
                <w:sz w:val="28"/>
                <w:szCs w:val="28"/>
              </w:rPr>
            </w:pPr>
            <w:r>
              <w:rPr>
                <w:rFonts w:ascii="仿宋" w:hAnsi="仿宋" w:eastAsia="仿宋"/>
                <w:color w:val="auto"/>
                <w:sz w:val="28"/>
                <w:szCs w:val="28"/>
              </w:rPr>
              <w:t>GB/T 18883-2022</w:t>
            </w:r>
          </w:p>
        </w:tc>
        <w:tc>
          <w:tcPr>
            <w:tcW w:w="0" w:type="auto"/>
            <w:vAlign w:val="center"/>
          </w:tcPr>
          <w:p w14:paraId="5D375245">
            <w:pPr>
              <w:rPr>
                <w:rFonts w:hint="default" w:ascii="仿宋" w:hAnsi="仿宋" w:eastAsia="仿宋"/>
                <w:color w:val="auto"/>
                <w:sz w:val="28"/>
                <w:szCs w:val="28"/>
              </w:rPr>
            </w:pPr>
            <w:r>
              <w:rPr>
                <w:rFonts w:ascii="仿宋" w:hAnsi="仿宋" w:eastAsia="仿宋"/>
                <w:color w:val="auto"/>
                <w:sz w:val="28"/>
                <w:szCs w:val="28"/>
              </w:rPr>
              <w:t>室内空气质量检测</w:t>
            </w:r>
          </w:p>
        </w:tc>
      </w:tr>
      <w:tr w14:paraId="0A3C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E791F20">
            <w:pPr>
              <w:rPr>
                <w:rFonts w:hint="default" w:ascii="仿宋" w:hAnsi="仿宋" w:eastAsia="仿宋"/>
                <w:color w:val="auto"/>
                <w:sz w:val="28"/>
                <w:szCs w:val="28"/>
              </w:rPr>
            </w:pPr>
            <w:r>
              <w:rPr>
                <w:rFonts w:ascii="仿宋" w:hAnsi="仿宋" w:eastAsia="仿宋"/>
                <w:color w:val="auto"/>
                <w:sz w:val="28"/>
                <w:szCs w:val="28"/>
              </w:rPr>
              <w:t>16</w:t>
            </w:r>
          </w:p>
        </w:tc>
        <w:tc>
          <w:tcPr>
            <w:tcW w:w="0" w:type="auto"/>
            <w:vAlign w:val="center"/>
          </w:tcPr>
          <w:p w14:paraId="78E0C56E">
            <w:pPr>
              <w:rPr>
                <w:rFonts w:hint="default" w:ascii="仿宋" w:hAnsi="仿宋" w:eastAsia="仿宋"/>
                <w:color w:val="auto"/>
                <w:sz w:val="28"/>
                <w:szCs w:val="28"/>
              </w:rPr>
            </w:pPr>
            <w:r>
              <w:rPr>
                <w:rFonts w:ascii="仿宋" w:hAnsi="仿宋" w:eastAsia="仿宋"/>
                <w:color w:val="auto"/>
                <w:sz w:val="28"/>
                <w:szCs w:val="28"/>
              </w:rPr>
              <w:t>《电气装置安装工程接地装置施工及验收规范》</w:t>
            </w:r>
          </w:p>
        </w:tc>
        <w:tc>
          <w:tcPr>
            <w:tcW w:w="0" w:type="auto"/>
            <w:vAlign w:val="center"/>
          </w:tcPr>
          <w:p w14:paraId="7B7B2204">
            <w:pPr>
              <w:rPr>
                <w:rFonts w:hint="default" w:ascii="仿宋" w:hAnsi="仿宋" w:eastAsia="仿宋"/>
                <w:color w:val="auto"/>
                <w:sz w:val="28"/>
                <w:szCs w:val="28"/>
              </w:rPr>
            </w:pPr>
            <w:r>
              <w:rPr>
                <w:rFonts w:ascii="仿宋" w:hAnsi="仿宋" w:eastAsia="仿宋"/>
                <w:color w:val="auto"/>
                <w:sz w:val="28"/>
                <w:szCs w:val="28"/>
              </w:rPr>
              <w:t>GB 50169-2016</w:t>
            </w:r>
          </w:p>
        </w:tc>
        <w:tc>
          <w:tcPr>
            <w:tcW w:w="0" w:type="auto"/>
            <w:vAlign w:val="center"/>
          </w:tcPr>
          <w:p w14:paraId="3E6B8EE7">
            <w:pPr>
              <w:rPr>
                <w:rFonts w:hint="default" w:ascii="仿宋" w:hAnsi="仿宋" w:eastAsia="仿宋"/>
                <w:color w:val="auto"/>
                <w:sz w:val="28"/>
                <w:szCs w:val="28"/>
              </w:rPr>
            </w:pPr>
            <w:r>
              <w:rPr>
                <w:rFonts w:ascii="仿宋" w:hAnsi="仿宋" w:eastAsia="仿宋"/>
                <w:color w:val="auto"/>
                <w:sz w:val="28"/>
                <w:szCs w:val="28"/>
              </w:rPr>
              <w:t>防雷与接地系统</w:t>
            </w:r>
          </w:p>
        </w:tc>
      </w:tr>
      <w:tr w14:paraId="1D8C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06CBFDB">
            <w:pPr>
              <w:rPr>
                <w:rFonts w:hint="default" w:ascii="仿宋" w:hAnsi="仿宋" w:eastAsia="仿宋"/>
                <w:color w:val="auto"/>
                <w:sz w:val="28"/>
                <w:szCs w:val="28"/>
              </w:rPr>
            </w:pPr>
            <w:r>
              <w:rPr>
                <w:rFonts w:ascii="仿宋" w:hAnsi="仿宋" w:eastAsia="仿宋"/>
                <w:color w:val="auto"/>
                <w:sz w:val="28"/>
                <w:szCs w:val="28"/>
              </w:rPr>
              <w:t>17</w:t>
            </w:r>
          </w:p>
        </w:tc>
        <w:tc>
          <w:tcPr>
            <w:tcW w:w="0" w:type="auto"/>
            <w:vAlign w:val="center"/>
          </w:tcPr>
          <w:p w14:paraId="2D6E9DC5">
            <w:pPr>
              <w:rPr>
                <w:rFonts w:hint="default" w:ascii="仿宋" w:hAnsi="仿宋" w:eastAsia="仿宋"/>
                <w:color w:val="auto"/>
                <w:sz w:val="28"/>
                <w:szCs w:val="28"/>
              </w:rPr>
            </w:pPr>
            <w:r>
              <w:rPr>
                <w:rFonts w:ascii="仿宋" w:hAnsi="仿宋" w:eastAsia="仿宋"/>
                <w:color w:val="auto"/>
                <w:sz w:val="28"/>
                <w:szCs w:val="28"/>
              </w:rPr>
              <w:t>《公共建筑节能设计标准》</w:t>
            </w:r>
          </w:p>
        </w:tc>
        <w:tc>
          <w:tcPr>
            <w:tcW w:w="0" w:type="auto"/>
            <w:vAlign w:val="center"/>
          </w:tcPr>
          <w:p w14:paraId="11E79EB2">
            <w:pPr>
              <w:rPr>
                <w:rFonts w:hint="default" w:ascii="仿宋" w:hAnsi="仿宋" w:eastAsia="仿宋"/>
                <w:color w:val="auto"/>
                <w:sz w:val="28"/>
                <w:szCs w:val="28"/>
              </w:rPr>
            </w:pPr>
            <w:r>
              <w:rPr>
                <w:rFonts w:ascii="仿宋" w:hAnsi="仿宋" w:eastAsia="仿宋"/>
                <w:color w:val="auto"/>
                <w:sz w:val="28"/>
                <w:szCs w:val="28"/>
              </w:rPr>
              <w:t>GB 50189-2015</w:t>
            </w:r>
          </w:p>
        </w:tc>
        <w:tc>
          <w:tcPr>
            <w:tcW w:w="0" w:type="auto"/>
            <w:vAlign w:val="center"/>
          </w:tcPr>
          <w:p w14:paraId="71859D8F">
            <w:pPr>
              <w:rPr>
                <w:rFonts w:hint="default" w:ascii="仿宋" w:hAnsi="仿宋" w:eastAsia="仿宋"/>
                <w:color w:val="auto"/>
                <w:sz w:val="28"/>
                <w:szCs w:val="28"/>
              </w:rPr>
            </w:pPr>
            <w:r>
              <w:rPr>
                <w:rFonts w:ascii="仿宋" w:hAnsi="仿宋" w:eastAsia="仿宋"/>
                <w:color w:val="auto"/>
                <w:sz w:val="28"/>
                <w:szCs w:val="28"/>
              </w:rPr>
              <w:t>能耗控制</w:t>
            </w:r>
          </w:p>
        </w:tc>
      </w:tr>
      <w:tr w14:paraId="3372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04308699">
            <w:pPr>
              <w:rPr>
                <w:rFonts w:hint="default" w:ascii="仿宋" w:hAnsi="仿宋" w:eastAsia="仿宋"/>
                <w:color w:val="auto"/>
                <w:sz w:val="28"/>
                <w:szCs w:val="28"/>
              </w:rPr>
            </w:pPr>
            <w:r>
              <w:rPr>
                <w:rFonts w:ascii="仿宋" w:hAnsi="仿宋" w:eastAsia="仿宋"/>
                <w:color w:val="auto"/>
                <w:sz w:val="28"/>
                <w:szCs w:val="28"/>
              </w:rPr>
              <w:t>18</w:t>
            </w:r>
          </w:p>
        </w:tc>
        <w:tc>
          <w:tcPr>
            <w:tcW w:w="0" w:type="auto"/>
            <w:vAlign w:val="center"/>
          </w:tcPr>
          <w:p w14:paraId="50B247B2">
            <w:pPr>
              <w:rPr>
                <w:rFonts w:hint="default" w:ascii="仿宋" w:hAnsi="仿宋" w:eastAsia="仿宋"/>
                <w:color w:val="auto"/>
                <w:sz w:val="28"/>
                <w:szCs w:val="28"/>
              </w:rPr>
            </w:pPr>
            <w:r>
              <w:rPr>
                <w:rFonts w:ascii="仿宋" w:hAnsi="仿宋" w:eastAsia="仿宋"/>
                <w:color w:val="auto"/>
                <w:sz w:val="28"/>
                <w:szCs w:val="28"/>
              </w:rPr>
              <w:t>《博物馆展陈工程技术规范》</w:t>
            </w:r>
          </w:p>
        </w:tc>
        <w:tc>
          <w:tcPr>
            <w:tcW w:w="0" w:type="auto"/>
            <w:vAlign w:val="center"/>
          </w:tcPr>
          <w:p w14:paraId="3A68FFE9">
            <w:pPr>
              <w:rPr>
                <w:rFonts w:hint="default" w:ascii="仿宋" w:hAnsi="仿宋" w:eastAsia="仿宋"/>
                <w:color w:val="auto"/>
                <w:sz w:val="28"/>
                <w:szCs w:val="28"/>
              </w:rPr>
            </w:pPr>
            <w:r>
              <w:rPr>
                <w:rFonts w:ascii="仿宋" w:hAnsi="仿宋" w:eastAsia="仿宋"/>
                <w:color w:val="auto"/>
                <w:sz w:val="28"/>
                <w:szCs w:val="28"/>
              </w:rPr>
              <w:t>WW/T 0099-2020</w:t>
            </w:r>
          </w:p>
        </w:tc>
        <w:tc>
          <w:tcPr>
            <w:tcW w:w="0" w:type="auto"/>
            <w:vAlign w:val="center"/>
          </w:tcPr>
          <w:p w14:paraId="3F519FA2">
            <w:pPr>
              <w:rPr>
                <w:rFonts w:hint="default" w:ascii="仿宋" w:hAnsi="仿宋" w:eastAsia="仿宋"/>
                <w:color w:val="auto"/>
                <w:sz w:val="28"/>
                <w:szCs w:val="28"/>
              </w:rPr>
            </w:pPr>
            <w:r>
              <w:rPr>
                <w:rFonts w:ascii="仿宋" w:hAnsi="仿宋" w:eastAsia="仿宋"/>
                <w:color w:val="auto"/>
                <w:sz w:val="28"/>
                <w:szCs w:val="28"/>
              </w:rPr>
              <w:t>展陈系统施工与验收</w:t>
            </w:r>
          </w:p>
        </w:tc>
      </w:tr>
      <w:tr w14:paraId="5B29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3005A99">
            <w:pPr>
              <w:rPr>
                <w:rFonts w:hint="default" w:ascii="仿宋" w:hAnsi="仿宋" w:eastAsia="仿宋"/>
                <w:color w:val="auto"/>
                <w:sz w:val="28"/>
                <w:szCs w:val="28"/>
              </w:rPr>
            </w:pPr>
            <w:r>
              <w:rPr>
                <w:rFonts w:ascii="仿宋" w:hAnsi="仿宋" w:eastAsia="仿宋"/>
                <w:color w:val="auto"/>
                <w:sz w:val="28"/>
                <w:szCs w:val="28"/>
              </w:rPr>
              <w:t>19</w:t>
            </w:r>
          </w:p>
          <w:p w14:paraId="3A063AF9">
            <w:pPr>
              <w:pStyle w:val="2"/>
              <w:ind w:left="420" w:firstLine="560"/>
              <w:rPr>
                <w:rFonts w:hint="default" w:ascii="仿宋" w:hAnsi="仿宋" w:eastAsia="仿宋"/>
                <w:color w:val="auto"/>
                <w:sz w:val="28"/>
                <w:szCs w:val="28"/>
              </w:rPr>
            </w:pPr>
            <w:r>
              <w:rPr>
                <w:rFonts w:hint="default" w:ascii="仿宋" w:hAnsi="仿宋" w:eastAsia="仿宋"/>
                <w:color w:val="auto"/>
                <w:sz w:val="28"/>
                <w:szCs w:val="28"/>
              </w:rPr>
              <w:t>2</w:t>
            </w:r>
          </w:p>
        </w:tc>
        <w:tc>
          <w:tcPr>
            <w:tcW w:w="0" w:type="auto"/>
            <w:vAlign w:val="center"/>
          </w:tcPr>
          <w:p w14:paraId="5C40EFB5">
            <w:pPr>
              <w:widowControl/>
              <w:jc w:val="left"/>
              <w:rPr>
                <w:rFonts w:hint="default" w:ascii="仿宋" w:hAnsi="仿宋" w:eastAsia="仿宋" w:cs="Times New Roman"/>
                <w:color w:val="auto"/>
                <w:kern w:val="2"/>
                <w:sz w:val="28"/>
                <w:szCs w:val="28"/>
              </w:rPr>
            </w:pPr>
            <w:r>
              <w:rPr>
                <w:rFonts w:ascii="仿宋" w:hAnsi="仿宋" w:eastAsia="仿宋" w:cs="Times New Roman"/>
                <w:color w:val="auto"/>
                <w:kern w:val="2"/>
                <w:sz w:val="28"/>
                <w:szCs w:val="28"/>
              </w:rPr>
              <w:t>《文物展柜密封性能及检测》</w:t>
            </w:r>
          </w:p>
          <w:p w14:paraId="04B531EB">
            <w:pPr>
              <w:rPr>
                <w:rFonts w:hint="default" w:ascii="仿宋" w:hAnsi="仿宋" w:eastAsia="仿宋"/>
                <w:color w:val="auto"/>
                <w:sz w:val="28"/>
                <w:szCs w:val="28"/>
              </w:rPr>
            </w:pPr>
          </w:p>
        </w:tc>
        <w:tc>
          <w:tcPr>
            <w:tcW w:w="0" w:type="auto"/>
            <w:vAlign w:val="center"/>
          </w:tcPr>
          <w:p w14:paraId="4BB53987">
            <w:pPr>
              <w:rPr>
                <w:rFonts w:hint="default" w:ascii="仿宋" w:hAnsi="仿宋" w:eastAsia="仿宋"/>
                <w:color w:val="auto"/>
                <w:sz w:val="28"/>
                <w:szCs w:val="28"/>
              </w:rPr>
            </w:pPr>
            <w:r>
              <w:rPr>
                <w:rFonts w:hint="default" w:ascii="仿宋" w:hAnsi="仿宋" w:eastAsia="仿宋" w:cs="Times New Roman"/>
                <w:color w:val="auto"/>
                <w:kern w:val="2"/>
                <w:sz w:val="28"/>
                <w:szCs w:val="28"/>
              </w:rPr>
              <w:t>GB∕T 36110-2018</w:t>
            </w:r>
          </w:p>
        </w:tc>
        <w:tc>
          <w:tcPr>
            <w:tcW w:w="0" w:type="auto"/>
            <w:vAlign w:val="center"/>
          </w:tcPr>
          <w:p w14:paraId="17B5306D">
            <w:pPr>
              <w:rPr>
                <w:rFonts w:hint="default" w:ascii="仿宋" w:hAnsi="仿宋" w:eastAsia="仿宋"/>
                <w:color w:val="auto"/>
                <w:sz w:val="28"/>
                <w:szCs w:val="28"/>
              </w:rPr>
            </w:pPr>
            <w:r>
              <w:rPr>
                <w:rFonts w:ascii="仿宋" w:hAnsi="仿宋" w:eastAsia="仿宋"/>
                <w:color w:val="auto"/>
                <w:sz w:val="28"/>
                <w:szCs w:val="28"/>
              </w:rPr>
              <w:t>展馆文物展柜</w:t>
            </w:r>
          </w:p>
        </w:tc>
      </w:tr>
      <w:tr w14:paraId="5AE5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40F496DE">
            <w:pPr>
              <w:rPr>
                <w:rFonts w:hint="default" w:ascii="仿宋" w:hAnsi="仿宋" w:eastAsia="仿宋"/>
                <w:color w:val="auto"/>
                <w:sz w:val="28"/>
                <w:szCs w:val="28"/>
              </w:rPr>
            </w:pPr>
            <w:r>
              <w:rPr>
                <w:rFonts w:ascii="仿宋" w:hAnsi="仿宋" w:eastAsia="仿宋"/>
                <w:color w:val="auto"/>
                <w:sz w:val="28"/>
                <w:szCs w:val="28"/>
              </w:rPr>
              <w:t>20</w:t>
            </w:r>
          </w:p>
        </w:tc>
        <w:tc>
          <w:tcPr>
            <w:tcW w:w="0" w:type="auto"/>
            <w:vAlign w:val="center"/>
          </w:tcPr>
          <w:p w14:paraId="2EEE63C0">
            <w:pPr>
              <w:widowControl/>
              <w:jc w:val="left"/>
              <w:rPr>
                <w:rFonts w:hint="default" w:ascii="仿宋" w:hAnsi="仿宋" w:eastAsia="仿宋" w:cs="Times New Roman"/>
                <w:color w:val="auto"/>
                <w:kern w:val="2"/>
                <w:sz w:val="28"/>
                <w:szCs w:val="28"/>
              </w:rPr>
            </w:pPr>
            <w:r>
              <w:rPr>
                <w:rFonts w:ascii="仿宋" w:hAnsi="仿宋" w:eastAsia="仿宋" w:cs="Times New Roman"/>
                <w:color w:val="auto"/>
                <w:kern w:val="2"/>
                <w:sz w:val="28"/>
                <w:szCs w:val="28"/>
              </w:rPr>
              <w:t>《文物展柜基本技术要求及检测》</w:t>
            </w:r>
          </w:p>
        </w:tc>
        <w:tc>
          <w:tcPr>
            <w:tcW w:w="0" w:type="auto"/>
            <w:vAlign w:val="center"/>
          </w:tcPr>
          <w:p w14:paraId="5C7F3E72">
            <w:pPr>
              <w:rPr>
                <w:rFonts w:hint="default" w:ascii="仿宋" w:hAnsi="仿宋" w:eastAsia="仿宋" w:cs="Times New Roman"/>
                <w:color w:val="auto"/>
                <w:kern w:val="2"/>
                <w:sz w:val="28"/>
                <w:szCs w:val="28"/>
              </w:rPr>
            </w:pPr>
            <w:r>
              <w:rPr>
                <w:rFonts w:hint="default" w:ascii="仿宋" w:hAnsi="仿宋" w:eastAsia="仿宋" w:cs="Times New Roman"/>
                <w:color w:val="auto"/>
                <w:kern w:val="2"/>
                <w:sz w:val="28"/>
                <w:szCs w:val="28"/>
              </w:rPr>
              <w:t>GB∕T 36111-2018</w:t>
            </w:r>
          </w:p>
        </w:tc>
        <w:tc>
          <w:tcPr>
            <w:tcW w:w="0" w:type="auto"/>
            <w:vAlign w:val="center"/>
          </w:tcPr>
          <w:p w14:paraId="2607F6C3">
            <w:pPr>
              <w:rPr>
                <w:rFonts w:hint="default" w:ascii="仿宋" w:hAnsi="仿宋" w:eastAsia="仿宋"/>
                <w:color w:val="auto"/>
                <w:sz w:val="28"/>
                <w:szCs w:val="28"/>
              </w:rPr>
            </w:pPr>
            <w:r>
              <w:rPr>
                <w:rFonts w:ascii="仿宋" w:hAnsi="仿宋" w:eastAsia="仿宋"/>
                <w:color w:val="auto"/>
                <w:sz w:val="28"/>
                <w:szCs w:val="28"/>
              </w:rPr>
              <w:t>展馆文物展柜</w:t>
            </w:r>
          </w:p>
        </w:tc>
      </w:tr>
      <w:tr w14:paraId="3D40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0" w:type="auto"/>
            <w:vAlign w:val="center"/>
          </w:tcPr>
          <w:p w14:paraId="2F22EBFE">
            <w:pPr>
              <w:rPr>
                <w:rFonts w:hint="default" w:ascii="仿宋" w:hAnsi="仿宋" w:eastAsia="仿宋"/>
                <w:color w:val="auto"/>
                <w:sz w:val="28"/>
                <w:szCs w:val="28"/>
              </w:rPr>
            </w:pPr>
            <w:r>
              <w:rPr>
                <w:rFonts w:ascii="仿宋" w:hAnsi="仿宋" w:eastAsia="仿宋"/>
                <w:color w:val="auto"/>
                <w:sz w:val="28"/>
                <w:szCs w:val="28"/>
              </w:rPr>
              <w:t>21</w:t>
            </w:r>
          </w:p>
        </w:tc>
        <w:tc>
          <w:tcPr>
            <w:tcW w:w="0" w:type="auto"/>
            <w:vAlign w:val="center"/>
          </w:tcPr>
          <w:p w14:paraId="0194BC9D">
            <w:pPr>
              <w:rPr>
                <w:rFonts w:hint="default" w:ascii="仿宋" w:hAnsi="仿宋" w:eastAsia="仿宋"/>
                <w:color w:val="auto"/>
                <w:sz w:val="28"/>
                <w:szCs w:val="28"/>
              </w:rPr>
            </w:pPr>
            <w:r>
              <w:rPr>
                <w:rFonts w:ascii="仿宋" w:hAnsi="仿宋" w:eastAsia="仿宋"/>
                <w:color w:val="auto"/>
                <w:sz w:val="28"/>
                <w:szCs w:val="28"/>
              </w:rPr>
              <w:t>《优秀历史建筑保护修缮技术标准》</w:t>
            </w:r>
          </w:p>
        </w:tc>
        <w:tc>
          <w:tcPr>
            <w:tcW w:w="0" w:type="auto"/>
            <w:vAlign w:val="center"/>
          </w:tcPr>
          <w:p w14:paraId="54817359">
            <w:pPr>
              <w:rPr>
                <w:rFonts w:hint="default" w:ascii="仿宋" w:hAnsi="仿宋" w:eastAsia="仿宋"/>
                <w:color w:val="auto"/>
                <w:sz w:val="28"/>
                <w:szCs w:val="28"/>
              </w:rPr>
            </w:pPr>
            <w:r>
              <w:rPr>
                <w:rFonts w:ascii="仿宋" w:hAnsi="仿宋" w:eastAsia="仿宋"/>
                <w:color w:val="auto"/>
                <w:sz w:val="28"/>
                <w:szCs w:val="28"/>
              </w:rPr>
              <w:t>(DGTJ08-108-2025)</w:t>
            </w:r>
          </w:p>
        </w:tc>
        <w:tc>
          <w:tcPr>
            <w:tcW w:w="0" w:type="auto"/>
            <w:vAlign w:val="center"/>
          </w:tcPr>
          <w:p w14:paraId="7F3BA28A">
            <w:pPr>
              <w:rPr>
                <w:rFonts w:hint="default" w:ascii="仿宋" w:hAnsi="仿宋" w:eastAsia="仿宋"/>
                <w:color w:val="auto"/>
                <w:sz w:val="28"/>
                <w:szCs w:val="28"/>
              </w:rPr>
            </w:pPr>
            <w:r>
              <w:rPr>
                <w:rFonts w:ascii="仿宋" w:hAnsi="仿宋" w:eastAsia="仿宋"/>
                <w:color w:val="auto"/>
                <w:sz w:val="28"/>
                <w:szCs w:val="28"/>
              </w:rPr>
              <w:t>历保建筑</w:t>
            </w:r>
          </w:p>
        </w:tc>
      </w:tr>
    </w:tbl>
    <w:p w14:paraId="5BB225AF">
      <w:pPr>
        <w:pStyle w:val="5"/>
        <w:spacing w:line="240" w:lineRule="auto"/>
        <w:rPr>
          <w:rFonts w:hint="default" w:ascii="仿宋" w:hAnsi="仿宋" w:eastAsia="仿宋"/>
          <w:color w:val="auto"/>
          <w:sz w:val="28"/>
          <w:szCs w:val="28"/>
        </w:rPr>
      </w:pPr>
      <w:r>
        <w:rPr>
          <w:rFonts w:ascii="仿宋" w:hAnsi="仿宋" w:eastAsia="仿宋"/>
          <w:color w:val="auto"/>
          <w:sz w:val="28"/>
          <w:szCs w:val="28"/>
        </w:rPr>
        <w:t>8.6 验收结论与移交</w:t>
      </w:r>
    </w:p>
    <w:p w14:paraId="50AAFB9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项目经综合评定合格后，由验收组出具《竣工验收报告》，经采购人签署后视为正式移交。</w:t>
      </w:r>
    </w:p>
    <w:p w14:paraId="680A435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承建方须在移交时提交：</w:t>
      </w:r>
    </w:p>
    <w:p w14:paraId="3C6DE63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项目竣工文件资料（全套最终版 竣工图（含平面、立面、水电、点位图）、主要材料、设备的 合格证、质检报告、保修卡 汇总册、隐蔽工程影像记录及验收单等）；</w:t>
      </w:r>
    </w:p>
    <w:p w14:paraId="096346C9">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设备清单（含固定资产清单）；</w:t>
      </w:r>
    </w:p>
    <w:p w14:paraId="0BE3A1BA">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 运维与管理文件（所有展项设备（含多媒体、灯光、特殊机械）的 使用说明书、维护手册、设备清单及供应商联系方式（含质保期）、培训记录等）；</w:t>
      </w:r>
    </w:p>
    <w:p w14:paraId="74B0F135">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钥匙与权限：展柜、机柜、控制室等所有 实体钥匙；后台管理系统、设备控制软件等的 管理员账号与密码；</w:t>
      </w:r>
    </w:p>
    <w:p w14:paraId="43E6941C">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售后服务与维保联系人信息。</w:t>
      </w:r>
    </w:p>
    <w:p w14:paraId="52B0C76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移交完成后，项目进入质保期，执行本文件第七章所列运维要求。</w:t>
      </w:r>
    </w:p>
    <w:p w14:paraId="191392E5">
      <w:pPr>
        <w:pStyle w:val="4"/>
        <w:spacing w:line="240" w:lineRule="auto"/>
        <w:rPr>
          <w:rFonts w:hint="default" w:ascii="仿宋" w:hAnsi="仿宋" w:eastAsia="仿宋"/>
          <w:color w:val="auto"/>
          <w:sz w:val="28"/>
          <w:szCs w:val="28"/>
        </w:rPr>
      </w:pPr>
      <w:r>
        <w:rPr>
          <w:rFonts w:ascii="仿宋" w:hAnsi="仿宋" w:eastAsia="仿宋"/>
          <w:color w:val="auto"/>
          <w:sz w:val="28"/>
          <w:szCs w:val="28"/>
        </w:rPr>
        <w:t>第九章、其他要求</w:t>
      </w:r>
    </w:p>
    <w:p w14:paraId="197BF261">
      <w:pPr>
        <w:pStyle w:val="5"/>
        <w:spacing w:line="240" w:lineRule="auto"/>
        <w:rPr>
          <w:rFonts w:hint="default" w:ascii="仿宋" w:hAnsi="仿宋" w:eastAsia="仿宋"/>
          <w:color w:val="auto"/>
          <w:sz w:val="28"/>
          <w:szCs w:val="28"/>
        </w:rPr>
      </w:pPr>
      <w:r>
        <w:rPr>
          <w:rFonts w:ascii="仿宋" w:hAnsi="仿宋" w:eastAsia="仿宋"/>
          <w:color w:val="auto"/>
          <w:sz w:val="28"/>
          <w:szCs w:val="28"/>
        </w:rPr>
        <w:t>9.1 保密及知识产权要求</w:t>
      </w:r>
    </w:p>
    <w:p w14:paraId="78C7C99F">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中标人须保障项目中涉及的内容与技术，不受到任何第三方关于侵犯著作权、肖像权、专利权、商标权或工业设计权的指控。如任何第三方提出关于知识产权的异议，中标人必须与第三方交涉并承担由此引起的一切法律责任和费用。</w:t>
      </w:r>
    </w:p>
    <w:p w14:paraId="19EE3872">
      <w:pPr>
        <w:pStyle w:val="18"/>
        <w:spacing w:before="0" w:beforeAutospacing="0" w:after="0" w:afterAutospacing="0" w:line="360" w:lineRule="auto"/>
        <w:rPr>
          <w:rFonts w:hint="default" w:ascii="仿宋" w:hAnsi="仿宋" w:eastAsia="仿宋"/>
          <w:color w:val="auto"/>
          <w:sz w:val="28"/>
          <w:szCs w:val="28"/>
        </w:rPr>
      </w:pPr>
      <w:r>
        <w:rPr>
          <w:rFonts w:ascii="仿宋" w:hAnsi="仿宋" w:eastAsia="仿宋"/>
          <w:color w:val="auto"/>
          <w:sz w:val="28"/>
          <w:szCs w:val="28"/>
        </w:rPr>
        <w:t>本项目涉及的所有服务成果，采购人享有知识产权与版权。涉及产品购买的，最终产品完全使用权归采购人所有。涉及资源成果的，采购人享有完全使用权。</w:t>
      </w:r>
    </w:p>
    <w:p w14:paraId="00A8DD70">
      <w:pPr>
        <w:pStyle w:val="5"/>
        <w:spacing w:line="240" w:lineRule="auto"/>
        <w:rPr>
          <w:rFonts w:hint="default" w:ascii="仿宋" w:hAnsi="仿宋" w:eastAsia="仿宋"/>
          <w:color w:val="auto"/>
          <w:sz w:val="28"/>
          <w:szCs w:val="28"/>
        </w:rPr>
      </w:pPr>
      <w:r>
        <w:rPr>
          <w:rFonts w:hint="default" w:ascii="仿宋" w:hAnsi="仿宋" w:eastAsia="仿宋"/>
          <w:color w:val="auto"/>
          <w:sz w:val="28"/>
          <w:szCs w:val="28"/>
        </w:rPr>
        <w:t>9.</w:t>
      </w:r>
      <w:r>
        <w:rPr>
          <w:rFonts w:ascii="仿宋" w:hAnsi="仿宋" w:eastAsia="仿宋"/>
          <w:color w:val="auto"/>
          <w:sz w:val="28"/>
          <w:szCs w:val="28"/>
        </w:rPr>
        <w:t>2</w:t>
      </w:r>
      <w:r>
        <w:rPr>
          <w:rFonts w:hint="default" w:ascii="仿宋" w:hAnsi="仿宋" w:eastAsia="仿宋"/>
          <w:color w:val="auto"/>
          <w:sz w:val="28"/>
          <w:szCs w:val="28"/>
        </w:rPr>
        <w:t xml:space="preserve"> </w:t>
      </w:r>
      <w:r>
        <w:rPr>
          <w:rFonts w:ascii="仿宋" w:hAnsi="仿宋" w:eastAsia="仿宋"/>
          <w:color w:val="auto"/>
          <w:sz w:val="28"/>
          <w:szCs w:val="28"/>
        </w:rPr>
        <w:t>团队配置要求</w:t>
      </w:r>
    </w:p>
    <w:p w14:paraId="62985DB1">
      <w:pPr>
        <w:spacing w:line="360" w:lineRule="auto"/>
        <w:ind w:firstLine="3360" w:firstLineChars="1200"/>
        <w:rPr>
          <w:rFonts w:hint="default" w:ascii="仿宋" w:hAnsi="仿宋" w:eastAsia="仿宋" w:cs="仿宋"/>
          <w:color w:val="auto"/>
          <w:sz w:val="28"/>
          <w:szCs w:val="28"/>
        </w:rPr>
      </w:pPr>
      <w:r>
        <w:rPr>
          <w:rFonts w:ascii="仿宋" w:hAnsi="仿宋" w:eastAsia="仿宋" w:cs="仿宋"/>
          <w:color w:val="auto"/>
          <w:sz w:val="28"/>
          <w:szCs w:val="28"/>
        </w:rPr>
        <w:t>团队人员配备一览表</w:t>
      </w:r>
    </w:p>
    <w:tbl>
      <w:tblPr>
        <w:tblStyle w:val="21"/>
        <w:tblW w:w="8613" w:type="dxa"/>
        <w:tblInd w:w="0" w:type="dxa"/>
        <w:tblLayout w:type="fixed"/>
        <w:tblCellMar>
          <w:top w:w="0" w:type="dxa"/>
          <w:left w:w="108" w:type="dxa"/>
          <w:bottom w:w="0" w:type="dxa"/>
          <w:right w:w="108" w:type="dxa"/>
        </w:tblCellMar>
      </w:tblPr>
      <w:tblGrid>
        <w:gridCol w:w="1384"/>
        <w:gridCol w:w="1985"/>
        <w:gridCol w:w="2127"/>
        <w:gridCol w:w="3117"/>
      </w:tblGrid>
      <w:tr w14:paraId="5AEC4F65">
        <w:tblPrEx>
          <w:tblCellMar>
            <w:top w:w="0" w:type="dxa"/>
            <w:left w:w="108" w:type="dxa"/>
            <w:bottom w:w="0" w:type="dxa"/>
            <w:right w:w="108" w:type="dxa"/>
          </w:tblCellMar>
        </w:tblPrEx>
        <w:trPr>
          <w:trHeight w:val="877" w:hRule="atLeast"/>
        </w:trPr>
        <w:tc>
          <w:tcPr>
            <w:tcW w:w="1384" w:type="dxa"/>
            <w:tcBorders>
              <w:top w:val="single" w:color="auto" w:sz="4" w:space="0"/>
              <w:left w:val="single" w:color="auto" w:sz="4" w:space="0"/>
              <w:bottom w:val="single" w:color="auto" w:sz="4" w:space="0"/>
              <w:right w:val="single" w:color="auto" w:sz="4" w:space="0"/>
            </w:tcBorders>
            <w:vAlign w:val="center"/>
          </w:tcPr>
          <w:p w14:paraId="4AF8552B">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序号</w:t>
            </w:r>
          </w:p>
        </w:tc>
        <w:tc>
          <w:tcPr>
            <w:tcW w:w="1985" w:type="dxa"/>
            <w:tcBorders>
              <w:top w:val="single" w:color="auto" w:sz="4" w:space="0"/>
              <w:left w:val="single" w:color="auto" w:sz="4" w:space="0"/>
              <w:bottom w:val="single" w:color="auto" w:sz="4" w:space="0"/>
              <w:right w:val="single" w:color="auto" w:sz="4" w:space="0"/>
            </w:tcBorders>
            <w:vAlign w:val="center"/>
          </w:tcPr>
          <w:p w14:paraId="7F319E1E">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岗位名称</w:t>
            </w:r>
          </w:p>
        </w:tc>
        <w:tc>
          <w:tcPr>
            <w:tcW w:w="2127" w:type="dxa"/>
            <w:tcBorders>
              <w:top w:val="single" w:color="auto" w:sz="4" w:space="0"/>
              <w:left w:val="single" w:color="auto" w:sz="4" w:space="0"/>
              <w:bottom w:val="single" w:color="auto" w:sz="4" w:space="0"/>
              <w:right w:val="single" w:color="auto" w:sz="4" w:space="0"/>
            </w:tcBorders>
            <w:vAlign w:val="center"/>
          </w:tcPr>
          <w:p w14:paraId="4FA12E2A">
            <w:pPr>
              <w:pStyle w:val="48"/>
              <w:spacing w:line="360" w:lineRule="auto"/>
              <w:jc w:val="center"/>
              <w:rPr>
                <w:rFonts w:ascii="仿宋" w:hAnsi="仿宋" w:eastAsia="仿宋" w:cs="宋体"/>
                <w:color w:val="auto"/>
                <w:sz w:val="28"/>
                <w:szCs w:val="28"/>
              </w:rPr>
            </w:pPr>
            <w:r>
              <w:rPr>
                <w:rFonts w:hint="eastAsia" w:ascii="仿宋" w:hAnsi="仿宋" w:eastAsia="仿宋" w:cs="宋体"/>
                <w:color w:val="auto"/>
                <w:sz w:val="28"/>
                <w:szCs w:val="28"/>
              </w:rPr>
              <w:t>建议配置岗位人数（最低要求）</w:t>
            </w:r>
          </w:p>
        </w:tc>
        <w:tc>
          <w:tcPr>
            <w:tcW w:w="3117" w:type="dxa"/>
            <w:tcBorders>
              <w:top w:val="single" w:color="auto" w:sz="4" w:space="0"/>
              <w:left w:val="single" w:color="auto" w:sz="4" w:space="0"/>
              <w:bottom w:val="single" w:color="auto" w:sz="4" w:space="0"/>
              <w:right w:val="single" w:color="auto" w:sz="4" w:space="0"/>
            </w:tcBorders>
            <w:vAlign w:val="center"/>
          </w:tcPr>
          <w:p w14:paraId="4720FD1B">
            <w:pPr>
              <w:pStyle w:val="48"/>
              <w:spacing w:line="360" w:lineRule="auto"/>
              <w:ind w:left="420" w:firstLine="280" w:firstLineChars="100"/>
              <w:rPr>
                <w:rFonts w:ascii="仿宋" w:hAnsi="仿宋" w:eastAsia="仿宋" w:cs="宋体"/>
                <w:color w:val="auto"/>
                <w:sz w:val="28"/>
                <w:szCs w:val="28"/>
              </w:rPr>
            </w:pPr>
            <w:r>
              <w:rPr>
                <w:rFonts w:hint="eastAsia" w:ascii="仿宋" w:hAnsi="仿宋" w:eastAsia="仿宋" w:cs="宋体"/>
                <w:color w:val="auto"/>
                <w:sz w:val="28"/>
                <w:szCs w:val="28"/>
              </w:rPr>
              <w:t>工作内容</w:t>
            </w:r>
          </w:p>
        </w:tc>
      </w:tr>
      <w:tr w14:paraId="5CC3873E">
        <w:tblPrEx>
          <w:tblCellMar>
            <w:top w:w="0" w:type="dxa"/>
            <w:left w:w="108" w:type="dxa"/>
            <w:bottom w:w="0" w:type="dxa"/>
            <w:right w:w="108" w:type="dxa"/>
          </w:tblCellMar>
        </w:tblPrEx>
        <w:trPr>
          <w:trHeight w:val="249" w:hRule="atLeast"/>
        </w:trPr>
        <w:tc>
          <w:tcPr>
            <w:tcW w:w="1384" w:type="dxa"/>
            <w:tcBorders>
              <w:top w:val="single" w:color="auto" w:sz="4" w:space="0"/>
              <w:left w:val="single" w:color="auto" w:sz="4" w:space="0"/>
              <w:bottom w:val="single" w:color="auto" w:sz="4" w:space="0"/>
              <w:right w:val="single" w:color="auto" w:sz="4" w:space="0"/>
            </w:tcBorders>
            <w:vAlign w:val="center"/>
          </w:tcPr>
          <w:p w14:paraId="76708C42">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1</w:t>
            </w:r>
          </w:p>
        </w:tc>
        <w:tc>
          <w:tcPr>
            <w:tcW w:w="1985" w:type="dxa"/>
            <w:tcBorders>
              <w:top w:val="single" w:color="auto" w:sz="4" w:space="0"/>
              <w:left w:val="single" w:color="auto" w:sz="4" w:space="0"/>
              <w:bottom w:val="single" w:color="auto" w:sz="4" w:space="0"/>
              <w:right w:val="single" w:color="auto" w:sz="4" w:space="0"/>
            </w:tcBorders>
            <w:vAlign w:val="center"/>
          </w:tcPr>
          <w:p w14:paraId="298FF025">
            <w:pPr>
              <w:pStyle w:val="48"/>
              <w:spacing w:line="360" w:lineRule="auto"/>
              <w:ind w:firstLine="280" w:firstLineChars="100"/>
              <w:rPr>
                <w:rFonts w:ascii="仿宋" w:hAnsi="仿宋" w:eastAsia="仿宋" w:cs="宋体"/>
                <w:color w:val="auto"/>
                <w:sz w:val="28"/>
                <w:szCs w:val="28"/>
              </w:rPr>
            </w:pPr>
            <w:r>
              <w:rPr>
                <w:rFonts w:hint="eastAsia" w:ascii="仿宋" w:hAnsi="仿宋" w:eastAsia="仿宋" w:cs="宋体"/>
                <w:color w:val="auto"/>
                <w:sz w:val="28"/>
                <w:szCs w:val="28"/>
              </w:rPr>
              <w:t>项目经理</w:t>
            </w:r>
          </w:p>
        </w:tc>
        <w:tc>
          <w:tcPr>
            <w:tcW w:w="2127" w:type="dxa"/>
            <w:tcBorders>
              <w:top w:val="single" w:color="auto" w:sz="4" w:space="0"/>
              <w:left w:val="single" w:color="auto" w:sz="4" w:space="0"/>
              <w:bottom w:val="single" w:color="auto" w:sz="4" w:space="0"/>
              <w:right w:val="single" w:color="auto" w:sz="4" w:space="0"/>
            </w:tcBorders>
            <w:vAlign w:val="center"/>
          </w:tcPr>
          <w:p w14:paraId="78C8CC04">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1</w:t>
            </w:r>
          </w:p>
        </w:tc>
        <w:tc>
          <w:tcPr>
            <w:tcW w:w="3117" w:type="dxa"/>
            <w:tcBorders>
              <w:top w:val="single" w:color="auto" w:sz="4" w:space="0"/>
              <w:left w:val="single" w:color="auto" w:sz="4" w:space="0"/>
              <w:bottom w:val="single" w:color="auto" w:sz="4" w:space="0"/>
              <w:right w:val="single" w:color="auto" w:sz="4" w:space="0"/>
            </w:tcBorders>
            <w:vAlign w:val="center"/>
          </w:tcPr>
          <w:p w14:paraId="0CDCA2BA">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全面负责项目管理。具有丰富的布展实施的工作经验，有类似项目展览、展示项目的管理经验，具有建筑或工程相关专业中级及以上工程师职称为佳</w:t>
            </w:r>
          </w:p>
        </w:tc>
      </w:tr>
      <w:tr w14:paraId="34F704E9">
        <w:tblPrEx>
          <w:tblCellMar>
            <w:top w:w="0" w:type="dxa"/>
            <w:left w:w="108" w:type="dxa"/>
            <w:bottom w:w="0" w:type="dxa"/>
            <w:right w:w="108" w:type="dxa"/>
          </w:tblCellMar>
        </w:tblPrEx>
        <w:trPr>
          <w:trHeight w:val="99" w:hRule="atLeast"/>
        </w:trPr>
        <w:tc>
          <w:tcPr>
            <w:tcW w:w="1384" w:type="dxa"/>
            <w:tcBorders>
              <w:top w:val="single" w:color="auto" w:sz="4" w:space="0"/>
              <w:left w:val="single" w:color="auto" w:sz="4" w:space="0"/>
              <w:bottom w:val="single" w:color="auto" w:sz="4" w:space="0"/>
              <w:right w:val="single" w:color="auto" w:sz="4" w:space="0"/>
            </w:tcBorders>
            <w:vAlign w:val="center"/>
          </w:tcPr>
          <w:p w14:paraId="1710438E">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2</w:t>
            </w:r>
          </w:p>
        </w:tc>
        <w:tc>
          <w:tcPr>
            <w:tcW w:w="1985" w:type="dxa"/>
            <w:tcBorders>
              <w:top w:val="single" w:color="auto" w:sz="4" w:space="0"/>
              <w:left w:val="single" w:color="auto" w:sz="4" w:space="0"/>
              <w:bottom w:val="single" w:color="auto" w:sz="4" w:space="0"/>
              <w:right w:val="single" w:color="auto" w:sz="4" w:space="0"/>
            </w:tcBorders>
            <w:vAlign w:val="center"/>
          </w:tcPr>
          <w:p w14:paraId="761A398D">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主设计师</w:t>
            </w:r>
          </w:p>
        </w:tc>
        <w:tc>
          <w:tcPr>
            <w:tcW w:w="2127" w:type="dxa"/>
            <w:tcBorders>
              <w:top w:val="single" w:color="auto" w:sz="4" w:space="0"/>
              <w:left w:val="single" w:color="auto" w:sz="4" w:space="0"/>
              <w:bottom w:val="single" w:color="auto" w:sz="4" w:space="0"/>
              <w:right w:val="single" w:color="auto" w:sz="4" w:space="0"/>
            </w:tcBorders>
            <w:vAlign w:val="center"/>
          </w:tcPr>
          <w:p w14:paraId="36131ABB">
            <w:pPr>
              <w:pStyle w:val="48"/>
              <w:spacing w:line="360" w:lineRule="auto"/>
              <w:ind w:firstLine="840" w:firstLineChars="300"/>
              <w:rPr>
                <w:rFonts w:ascii="仿宋" w:hAnsi="仿宋" w:eastAsia="仿宋" w:cs="宋体"/>
                <w:color w:val="auto"/>
                <w:sz w:val="28"/>
                <w:szCs w:val="28"/>
              </w:rPr>
            </w:pPr>
            <w:r>
              <w:rPr>
                <w:rFonts w:ascii="仿宋" w:hAnsi="仿宋" w:eastAsia="仿宋" w:cs="宋体"/>
                <w:color w:val="auto"/>
                <w:sz w:val="28"/>
                <w:szCs w:val="28"/>
              </w:rPr>
              <w:t>1</w:t>
            </w:r>
          </w:p>
        </w:tc>
        <w:tc>
          <w:tcPr>
            <w:tcW w:w="3117" w:type="dxa"/>
            <w:tcBorders>
              <w:top w:val="single" w:color="auto" w:sz="4" w:space="0"/>
              <w:left w:val="single" w:color="auto" w:sz="4" w:space="0"/>
              <w:bottom w:val="single" w:color="auto" w:sz="4" w:space="0"/>
              <w:right w:val="single" w:color="auto" w:sz="4" w:space="0"/>
            </w:tcBorders>
            <w:vAlign w:val="center"/>
          </w:tcPr>
          <w:p w14:paraId="033E3061">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负责主创设计，有类似项目展览、展示项目的主创设计经验，具有陈列展览或设计类等相关专业高级职称为佳</w:t>
            </w:r>
          </w:p>
        </w:tc>
      </w:tr>
      <w:tr w14:paraId="066D1E80">
        <w:tblPrEx>
          <w:tblCellMar>
            <w:top w:w="0" w:type="dxa"/>
            <w:left w:w="108" w:type="dxa"/>
            <w:bottom w:w="0" w:type="dxa"/>
            <w:right w:w="108" w:type="dxa"/>
          </w:tblCellMar>
        </w:tblPrEx>
        <w:trPr>
          <w:trHeight w:val="608" w:hRule="atLeast"/>
        </w:trPr>
        <w:tc>
          <w:tcPr>
            <w:tcW w:w="1384" w:type="dxa"/>
            <w:tcBorders>
              <w:top w:val="single" w:color="auto" w:sz="4" w:space="0"/>
              <w:left w:val="single" w:color="auto" w:sz="4" w:space="0"/>
              <w:bottom w:val="single" w:color="auto" w:sz="4" w:space="0"/>
              <w:right w:val="single" w:color="auto" w:sz="4" w:space="0"/>
            </w:tcBorders>
            <w:vAlign w:val="center"/>
          </w:tcPr>
          <w:p w14:paraId="7818E611">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3</w:t>
            </w:r>
          </w:p>
        </w:tc>
        <w:tc>
          <w:tcPr>
            <w:tcW w:w="1985" w:type="dxa"/>
            <w:tcBorders>
              <w:top w:val="single" w:color="auto" w:sz="4" w:space="0"/>
              <w:left w:val="single" w:color="auto" w:sz="4" w:space="0"/>
              <w:bottom w:val="single" w:color="auto" w:sz="4" w:space="0"/>
              <w:right w:val="single" w:color="auto" w:sz="4" w:space="0"/>
            </w:tcBorders>
            <w:vAlign w:val="center"/>
          </w:tcPr>
          <w:p w14:paraId="60ECCBC9">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设计师</w:t>
            </w:r>
          </w:p>
        </w:tc>
        <w:tc>
          <w:tcPr>
            <w:tcW w:w="2127" w:type="dxa"/>
            <w:tcBorders>
              <w:top w:val="single" w:color="auto" w:sz="4" w:space="0"/>
              <w:left w:val="single" w:color="auto" w:sz="4" w:space="0"/>
              <w:bottom w:val="single" w:color="auto" w:sz="4" w:space="0"/>
              <w:right w:val="single" w:color="auto" w:sz="4" w:space="0"/>
            </w:tcBorders>
            <w:vAlign w:val="center"/>
          </w:tcPr>
          <w:p w14:paraId="7A7EB8BA">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2</w:t>
            </w:r>
          </w:p>
        </w:tc>
        <w:tc>
          <w:tcPr>
            <w:tcW w:w="3117" w:type="dxa"/>
            <w:tcBorders>
              <w:top w:val="single" w:color="auto" w:sz="4" w:space="0"/>
              <w:left w:val="single" w:color="auto" w:sz="4" w:space="0"/>
              <w:bottom w:val="single" w:color="auto" w:sz="4" w:space="0"/>
              <w:right w:val="single" w:color="auto" w:sz="4" w:space="0"/>
            </w:tcBorders>
            <w:vAlign w:val="center"/>
          </w:tcPr>
          <w:p w14:paraId="3F46089F">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有</w:t>
            </w:r>
            <w:bookmarkStart w:id="1" w:name="OLE_LINK4"/>
            <w:r>
              <w:rPr>
                <w:rFonts w:hint="eastAsia" w:ascii="仿宋" w:hAnsi="仿宋" w:eastAsia="仿宋" w:cs="宋体"/>
                <w:color w:val="auto"/>
                <w:sz w:val="28"/>
                <w:szCs w:val="28"/>
              </w:rPr>
              <w:t>类似项目</w:t>
            </w:r>
            <w:bookmarkEnd w:id="1"/>
            <w:r>
              <w:rPr>
                <w:rFonts w:hint="eastAsia" w:ascii="仿宋" w:hAnsi="仿宋" w:eastAsia="仿宋" w:cs="宋体"/>
                <w:color w:val="auto"/>
                <w:sz w:val="28"/>
                <w:szCs w:val="28"/>
              </w:rPr>
              <w:t>展览、展示项目的设计经验，具有工程类或设计类等专业中级及以上职称为佳</w:t>
            </w:r>
          </w:p>
        </w:tc>
      </w:tr>
      <w:tr w14:paraId="2AECD024">
        <w:tblPrEx>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0FE1D88">
            <w:pPr>
              <w:pStyle w:val="48"/>
              <w:spacing w:line="360" w:lineRule="auto"/>
              <w:ind w:left="420"/>
              <w:rPr>
                <w:rFonts w:ascii="仿宋" w:hAnsi="仿宋" w:eastAsia="仿宋" w:cs="宋体"/>
                <w:color w:val="auto"/>
                <w:sz w:val="28"/>
                <w:szCs w:val="28"/>
              </w:rPr>
            </w:pPr>
            <w:r>
              <w:rPr>
                <w:rFonts w:ascii="仿宋" w:hAnsi="仿宋" w:eastAsia="仿宋" w:cs="宋体"/>
                <w:color w:val="auto"/>
                <w:sz w:val="28"/>
                <w:szCs w:val="28"/>
              </w:rPr>
              <w:t>4</w:t>
            </w:r>
          </w:p>
        </w:tc>
        <w:tc>
          <w:tcPr>
            <w:tcW w:w="1985" w:type="dxa"/>
            <w:tcBorders>
              <w:top w:val="single" w:color="auto" w:sz="4" w:space="0"/>
              <w:left w:val="single" w:color="auto" w:sz="4" w:space="0"/>
              <w:bottom w:val="single" w:color="auto" w:sz="4" w:space="0"/>
              <w:right w:val="single" w:color="auto" w:sz="4" w:space="0"/>
            </w:tcBorders>
            <w:vAlign w:val="center"/>
          </w:tcPr>
          <w:p w14:paraId="430A4C25">
            <w:pPr>
              <w:pStyle w:val="48"/>
              <w:spacing w:line="360" w:lineRule="auto"/>
              <w:ind w:left="420"/>
              <w:rPr>
                <w:rFonts w:ascii="仿宋" w:hAnsi="仿宋" w:eastAsia="仿宋" w:cs="宋体"/>
                <w:color w:val="auto"/>
                <w:sz w:val="28"/>
                <w:szCs w:val="28"/>
              </w:rPr>
            </w:pPr>
            <w:r>
              <w:rPr>
                <w:rFonts w:hint="eastAsia" w:ascii="仿宋" w:hAnsi="仿宋" w:eastAsia="仿宋" w:cs="宋体"/>
                <w:color w:val="auto"/>
                <w:sz w:val="28"/>
                <w:szCs w:val="28"/>
              </w:rPr>
              <w:t>项目管理人员</w:t>
            </w:r>
          </w:p>
        </w:tc>
        <w:tc>
          <w:tcPr>
            <w:tcW w:w="2127" w:type="dxa"/>
            <w:tcBorders>
              <w:top w:val="single" w:color="auto" w:sz="4" w:space="0"/>
              <w:left w:val="single" w:color="auto" w:sz="4" w:space="0"/>
              <w:bottom w:val="single" w:color="auto" w:sz="4" w:space="0"/>
              <w:right w:val="single" w:color="auto" w:sz="4" w:space="0"/>
            </w:tcBorders>
            <w:vAlign w:val="center"/>
          </w:tcPr>
          <w:p w14:paraId="282CEECB">
            <w:pPr>
              <w:pStyle w:val="48"/>
              <w:spacing w:line="360" w:lineRule="auto"/>
              <w:ind w:left="420" w:firstLine="280" w:firstLineChars="100"/>
              <w:rPr>
                <w:rFonts w:ascii="仿宋" w:hAnsi="仿宋" w:eastAsia="仿宋" w:cs="宋体"/>
                <w:color w:val="auto"/>
                <w:sz w:val="28"/>
                <w:szCs w:val="28"/>
              </w:rPr>
            </w:pPr>
            <w:r>
              <w:rPr>
                <w:rFonts w:ascii="仿宋" w:hAnsi="仿宋" w:eastAsia="仿宋" w:cs="宋体"/>
                <w:color w:val="auto"/>
                <w:sz w:val="28"/>
                <w:szCs w:val="28"/>
              </w:rPr>
              <w:t>4</w:t>
            </w:r>
          </w:p>
        </w:tc>
        <w:tc>
          <w:tcPr>
            <w:tcW w:w="3117" w:type="dxa"/>
            <w:tcBorders>
              <w:top w:val="single" w:color="auto" w:sz="4" w:space="0"/>
              <w:left w:val="single" w:color="auto" w:sz="4" w:space="0"/>
              <w:bottom w:val="single" w:color="auto" w:sz="4" w:space="0"/>
              <w:right w:val="single" w:color="auto" w:sz="4" w:space="0"/>
            </w:tcBorders>
            <w:vAlign w:val="center"/>
          </w:tcPr>
          <w:p w14:paraId="3E2CECC3">
            <w:pPr>
              <w:pStyle w:val="48"/>
              <w:spacing w:line="360" w:lineRule="auto"/>
              <w:rPr>
                <w:rFonts w:ascii="仿宋" w:hAnsi="仿宋" w:eastAsia="仿宋" w:cs="宋体"/>
                <w:color w:val="auto"/>
                <w:sz w:val="28"/>
                <w:szCs w:val="28"/>
              </w:rPr>
            </w:pPr>
            <w:r>
              <w:rPr>
                <w:rFonts w:hint="eastAsia" w:ascii="仿宋" w:hAnsi="仿宋" w:eastAsia="仿宋" w:cs="宋体"/>
                <w:color w:val="auto"/>
                <w:sz w:val="28"/>
                <w:szCs w:val="28"/>
              </w:rPr>
              <w:t>持有相关岗位证书，负责布展管理，有类似项目展览、展示项目的管理经验</w:t>
            </w:r>
          </w:p>
        </w:tc>
      </w:tr>
    </w:tbl>
    <w:p w14:paraId="79383555">
      <w:pPr>
        <w:spacing w:line="360" w:lineRule="auto"/>
        <w:rPr>
          <w:rFonts w:hint="default" w:ascii="仿宋" w:hAnsi="仿宋" w:eastAsia="仿宋" w:cs="仿宋"/>
          <w:bCs/>
          <w:color w:val="auto"/>
          <w:sz w:val="28"/>
          <w:szCs w:val="28"/>
        </w:rPr>
      </w:pPr>
    </w:p>
    <w:p w14:paraId="33A317D5">
      <w:pPr>
        <w:widowControl/>
        <w:jc w:val="left"/>
        <w:rPr>
          <w:rFonts w:hint="default" w:ascii="仿宋" w:hAnsi="仿宋" w:eastAsia="仿宋"/>
          <w:color w:val="auto"/>
          <w:kern w:val="0"/>
          <w:sz w:val="28"/>
          <w:szCs w:val="28"/>
        </w:rPr>
      </w:pPr>
      <w:r>
        <w:rPr>
          <w:rFonts w:hint="default" w:ascii="仿宋" w:hAnsi="仿宋" w:eastAsia="仿宋"/>
          <w:color w:val="auto"/>
          <w:sz w:val="28"/>
          <w:szCs w:val="28"/>
        </w:rPr>
        <w:br w:type="page"/>
      </w:r>
    </w:p>
    <w:p w14:paraId="24648F88">
      <w:pPr>
        <w:pStyle w:val="18"/>
        <w:rPr>
          <w:rFonts w:hint="default" w:ascii="仿宋" w:hAnsi="仿宋" w:eastAsia="仿宋"/>
          <w:color w:val="auto"/>
          <w:sz w:val="28"/>
          <w:szCs w:val="28"/>
        </w:rPr>
      </w:pPr>
    </w:p>
    <w:sectPr>
      <w:footerReference r:id="rId3" w:type="default"/>
      <w:pgSz w:w="11910" w:h="16840"/>
      <w:pgMar w:top="1180" w:right="980" w:bottom="1040" w:left="1140" w:header="902" w:footer="76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Arial Unicode MS">
    <w:altName w:val="DejaVu Sans"/>
    <w:panose1 w:val="020B0604020202020204"/>
    <w:charset w:val="86"/>
    <w:family w:val="swiss"/>
    <w:pitch w:val="default"/>
    <w:sig w:usb0="00000000" w:usb1="00000000" w:usb2="0000003F" w:usb3="00000000" w:csb0="003F01FF"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Helvetica Neue">
    <w:altName w:val="汉仪叶叶相思体简"/>
    <w:panose1 w:val="00000000000000000000"/>
    <w:charset w:val="00"/>
    <w:family w:val="auto"/>
    <w:pitch w:val="default"/>
    <w:sig w:usb0="00000000" w:usb1="00000000" w:usb2="00000010" w:usb3="00000000" w:csb0="00000001" w:csb1="00000000"/>
  </w:font>
  <w:font w:name="汉仪叶叶相思体简">
    <w:panose1 w:val="02010509060101010101"/>
    <w:charset w:val="86"/>
    <w:family w:val="auto"/>
    <w:pitch w:val="default"/>
    <w:sig w:usb0="00000001" w:usb1="080E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AEB03">
    <w:pPr>
      <w:pStyle w:val="14"/>
      <w:tabs>
        <w:tab w:val="right" w:pos="8286"/>
        <w:tab w:val="clear" w:pos="8306"/>
      </w:tabs>
      <w:jc w:val="center"/>
      <w:rPr>
        <w:b/>
        <w:bCs/>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0D148F">
                          <w:pPr>
                            <w:pStyle w:val="14"/>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JUR0j8QBAACQAwAADgAAAAAAAAABACAAAAAeAQAAZHJzL2Uyb0RvYy54bWxQ&#10;SwUGAAAAAAYABgBZAQAAVAUAAAAA&#10;">
              <v:fill on="f" focussize="0,0"/>
              <v:stroke on="f"/>
              <v:imagedata o:title=""/>
              <o:lock v:ext="edit" aspectratio="f"/>
              <v:textbox inset="0mm,0mm,0mm,0mm" style="mso-fit-shape-to-text:t;">
                <w:txbxContent>
                  <w:p w14:paraId="010D148F">
                    <w:pPr>
                      <w:pStyle w:val="14"/>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7F9CB"/>
    <w:multiLevelType w:val="singleLevel"/>
    <w:tmpl w:val="42F7F9CB"/>
    <w:lvl w:ilvl="0" w:tentative="0">
      <w:start w:val="4"/>
      <w:numFmt w:val="decimal"/>
      <w:suff w:val="nothing"/>
      <w:lvlText w:val="（%1）"/>
      <w:lvlJc w:val="left"/>
    </w:lvl>
  </w:abstractNum>
  <w:abstractNum w:abstractNumId="1">
    <w:nsid w:val="5EDA2520"/>
    <w:multiLevelType w:val="multilevel"/>
    <w:tmpl w:val="5EDA2520"/>
    <w:lvl w:ilvl="0" w:tentative="0">
      <w:start w:val="1"/>
      <w:numFmt w:val="decimal"/>
      <w:suff w:val="noth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1325697"/>
    <w:multiLevelType w:val="multilevel"/>
    <w:tmpl w:val="71325697"/>
    <w:lvl w:ilvl="0" w:tentative="0">
      <w:start w:val="1"/>
      <w:numFmt w:val="decimal"/>
      <w:suff w:val="nothing"/>
      <w:lvlText w:val="（%1）"/>
      <w:lvlJc w:val="left"/>
      <w:pPr>
        <w:ind w:left="440" w:hanging="440"/>
      </w:pPr>
      <w:rPr>
        <w:rFonts w:hint="default"/>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0MGM4NDE3YWFlMzA0MWViNTY0Yjg0OThlOTIyYjUifQ=="/>
  </w:docVars>
  <w:rsids>
    <w:rsidRoot w:val="00172A27"/>
    <w:rsid w:val="00004EC6"/>
    <w:rsid w:val="000076E2"/>
    <w:rsid w:val="00012676"/>
    <w:rsid w:val="0002696B"/>
    <w:rsid w:val="00032D2C"/>
    <w:rsid w:val="00035D72"/>
    <w:rsid w:val="0003648C"/>
    <w:rsid w:val="00040293"/>
    <w:rsid w:val="00042A5F"/>
    <w:rsid w:val="000502F6"/>
    <w:rsid w:val="00067158"/>
    <w:rsid w:val="000741D4"/>
    <w:rsid w:val="00080862"/>
    <w:rsid w:val="00084A41"/>
    <w:rsid w:val="000A27D8"/>
    <w:rsid w:val="000A2C1F"/>
    <w:rsid w:val="000A3856"/>
    <w:rsid w:val="000A39BD"/>
    <w:rsid w:val="000A3BDA"/>
    <w:rsid w:val="000A6ED2"/>
    <w:rsid w:val="000C69CC"/>
    <w:rsid w:val="000E2E35"/>
    <w:rsid w:val="000F0D32"/>
    <w:rsid w:val="000F32B3"/>
    <w:rsid w:val="00103EE7"/>
    <w:rsid w:val="001117E3"/>
    <w:rsid w:val="001124CE"/>
    <w:rsid w:val="0012329B"/>
    <w:rsid w:val="00124F26"/>
    <w:rsid w:val="00143129"/>
    <w:rsid w:val="00144D54"/>
    <w:rsid w:val="0015257F"/>
    <w:rsid w:val="00153517"/>
    <w:rsid w:val="001540BD"/>
    <w:rsid w:val="00160082"/>
    <w:rsid w:val="00172A27"/>
    <w:rsid w:val="001810AD"/>
    <w:rsid w:val="001A0FD0"/>
    <w:rsid w:val="001B0888"/>
    <w:rsid w:val="001B2C32"/>
    <w:rsid w:val="001B2DA0"/>
    <w:rsid w:val="001B3B97"/>
    <w:rsid w:val="001D5929"/>
    <w:rsid w:val="001E691D"/>
    <w:rsid w:val="001E750C"/>
    <w:rsid w:val="001F788D"/>
    <w:rsid w:val="002045E1"/>
    <w:rsid w:val="0022058F"/>
    <w:rsid w:val="00224F5E"/>
    <w:rsid w:val="002336EF"/>
    <w:rsid w:val="00237224"/>
    <w:rsid w:val="00242340"/>
    <w:rsid w:val="00247052"/>
    <w:rsid w:val="0025169F"/>
    <w:rsid w:val="0026267D"/>
    <w:rsid w:val="00264293"/>
    <w:rsid w:val="002775A7"/>
    <w:rsid w:val="00285DAF"/>
    <w:rsid w:val="002872F2"/>
    <w:rsid w:val="00287417"/>
    <w:rsid w:val="0029170D"/>
    <w:rsid w:val="00294212"/>
    <w:rsid w:val="002943A1"/>
    <w:rsid w:val="00295A07"/>
    <w:rsid w:val="002A4804"/>
    <w:rsid w:val="002A5115"/>
    <w:rsid w:val="002A5AF5"/>
    <w:rsid w:val="002A5E30"/>
    <w:rsid w:val="002B2F80"/>
    <w:rsid w:val="002E30E2"/>
    <w:rsid w:val="002F03B4"/>
    <w:rsid w:val="002F1589"/>
    <w:rsid w:val="002F3C79"/>
    <w:rsid w:val="00306A1B"/>
    <w:rsid w:val="00306FD5"/>
    <w:rsid w:val="003221FC"/>
    <w:rsid w:val="003247EF"/>
    <w:rsid w:val="003347B1"/>
    <w:rsid w:val="00360E28"/>
    <w:rsid w:val="00377A3B"/>
    <w:rsid w:val="00381180"/>
    <w:rsid w:val="00385D13"/>
    <w:rsid w:val="0038603D"/>
    <w:rsid w:val="00390B32"/>
    <w:rsid w:val="003B098A"/>
    <w:rsid w:val="003C6BD6"/>
    <w:rsid w:val="003C7142"/>
    <w:rsid w:val="003D7AA5"/>
    <w:rsid w:val="003E0D67"/>
    <w:rsid w:val="003F2721"/>
    <w:rsid w:val="003F36AC"/>
    <w:rsid w:val="003F6795"/>
    <w:rsid w:val="004019E5"/>
    <w:rsid w:val="00410F72"/>
    <w:rsid w:val="00425DF2"/>
    <w:rsid w:val="00430EEE"/>
    <w:rsid w:val="00431DC7"/>
    <w:rsid w:val="00454164"/>
    <w:rsid w:val="00463837"/>
    <w:rsid w:val="00464631"/>
    <w:rsid w:val="004743D0"/>
    <w:rsid w:val="0048050F"/>
    <w:rsid w:val="00490476"/>
    <w:rsid w:val="004A0341"/>
    <w:rsid w:val="004A042E"/>
    <w:rsid w:val="004A1F1B"/>
    <w:rsid w:val="004A7160"/>
    <w:rsid w:val="004B3F31"/>
    <w:rsid w:val="004C6544"/>
    <w:rsid w:val="004D4206"/>
    <w:rsid w:val="004E5C83"/>
    <w:rsid w:val="00500F6B"/>
    <w:rsid w:val="0050232F"/>
    <w:rsid w:val="00512520"/>
    <w:rsid w:val="0051704B"/>
    <w:rsid w:val="005237B7"/>
    <w:rsid w:val="0053244E"/>
    <w:rsid w:val="00546A6C"/>
    <w:rsid w:val="00557639"/>
    <w:rsid w:val="00567CB1"/>
    <w:rsid w:val="00572FDE"/>
    <w:rsid w:val="00576820"/>
    <w:rsid w:val="00576EAC"/>
    <w:rsid w:val="005919AC"/>
    <w:rsid w:val="00592280"/>
    <w:rsid w:val="00595437"/>
    <w:rsid w:val="0059549E"/>
    <w:rsid w:val="0059596E"/>
    <w:rsid w:val="005A1200"/>
    <w:rsid w:val="005A65BF"/>
    <w:rsid w:val="005A6C31"/>
    <w:rsid w:val="005B2411"/>
    <w:rsid w:val="005B2778"/>
    <w:rsid w:val="005C2808"/>
    <w:rsid w:val="005F7B78"/>
    <w:rsid w:val="00630117"/>
    <w:rsid w:val="00632E09"/>
    <w:rsid w:val="00642EA8"/>
    <w:rsid w:val="0065757F"/>
    <w:rsid w:val="00672CA7"/>
    <w:rsid w:val="00695E74"/>
    <w:rsid w:val="00697143"/>
    <w:rsid w:val="006A3EAF"/>
    <w:rsid w:val="006B2C2C"/>
    <w:rsid w:val="006B7548"/>
    <w:rsid w:val="006C67BB"/>
    <w:rsid w:val="006C72F2"/>
    <w:rsid w:val="006E72C9"/>
    <w:rsid w:val="00712253"/>
    <w:rsid w:val="00724A61"/>
    <w:rsid w:val="0073606C"/>
    <w:rsid w:val="0073771D"/>
    <w:rsid w:val="00741335"/>
    <w:rsid w:val="0074243F"/>
    <w:rsid w:val="00742A0B"/>
    <w:rsid w:val="007475A9"/>
    <w:rsid w:val="00763605"/>
    <w:rsid w:val="00780B2B"/>
    <w:rsid w:val="00781927"/>
    <w:rsid w:val="00781D54"/>
    <w:rsid w:val="00784348"/>
    <w:rsid w:val="007848FB"/>
    <w:rsid w:val="00786A63"/>
    <w:rsid w:val="00786C28"/>
    <w:rsid w:val="007C0566"/>
    <w:rsid w:val="007C161E"/>
    <w:rsid w:val="007C424B"/>
    <w:rsid w:val="007D517B"/>
    <w:rsid w:val="007E6376"/>
    <w:rsid w:val="007F3B0B"/>
    <w:rsid w:val="00804071"/>
    <w:rsid w:val="00810DF5"/>
    <w:rsid w:val="0081148D"/>
    <w:rsid w:val="008314B2"/>
    <w:rsid w:val="00874205"/>
    <w:rsid w:val="00884671"/>
    <w:rsid w:val="008B088B"/>
    <w:rsid w:val="008B418D"/>
    <w:rsid w:val="008B780D"/>
    <w:rsid w:val="008C3901"/>
    <w:rsid w:val="008C5A25"/>
    <w:rsid w:val="008C6682"/>
    <w:rsid w:val="008D3489"/>
    <w:rsid w:val="008D66A7"/>
    <w:rsid w:val="00900873"/>
    <w:rsid w:val="00904452"/>
    <w:rsid w:val="00911C7E"/>
    <w:rsid w:val="009442B6"/>
    <w:rsid w:val="009614E5"/>
    <w:rsid w:val="0096589D"/>
    <w:rsid w:val="00982913"/>
    <w:rsid w:val="0098791C"/>
    <w:rsid w:val="009D0660"/>
    <w:rsid w:val="009D6D56"/>
    <w:rsid w:val="009D7D98"/>
    <w:rsid w:val="009E12F0"/>
    <w:rsid w:val="009E4330"/>
    <w:rsid w:val="009E434B"/>
    <w:rsid w:val="009F18FA"/>
    <w:rsid w:val="009F50E9"/>
    <w:rsid w:val="00A03DB6"/>
    <w:rsid w:val="00A07F85"/>
    <w:rsid w:val="00A22591"/>
    <w:rsid w:val="00A31945"/>
    <w:rsid w:val="00A3232C"/>
    <w:rsid w:val="00A3775A"/>
    <w:rsid w:val="00A41D81"/>
    <w:rsid w:val="00A42170"/>
    <w:rsid w:val="00A43810"/>
    <w:rsid w:val="00A455B2"/>
    <w:rsid w:val="00A55BF9"/>
    <w:rsid w:val="00A5786F"/>
    <w:rsid w:val="00A77B63"/>
    <w:rsid w:val="00A81355"/>
    <w:rsid w:val="00A82BD8"/>
    <w:rsid w:val="00A860BD"/>
    <w:rsid w:val="00A916A0"/>
    <w:rsid w:val="00A936EE"/>
    <w:rsid w:val="00AA3ABD"/>
    <w:rsid w:val="00AB761C"/>
    <w:rsid w:val="00AC6A45"/>
    <w:rsid w:val="00AD35DC"/>
    <w:rsid w:val="00B06738"/>
    <w:rsid w:val="00B12A78"/>
    <w:rsid w:val="00B1440C"/>
    <w:rsid w:val="00B40695"/>
    <w:rsid w:val="00B6340C"/>
    <w:rsid w:val="00B67F09"/>
    <w:rsid w:val="00B75B82"/>
    <w:rsid w:val="00B76AB4"/>
    <w:rsid w:val="00B91175"/>
    <w:rsid w:val="00B976A8"/>
    <w:rsid w:val="00BB5E39"/>
    <w:rsid w:val="00BE3341"/>
    <w:rsid w:val="00BE4286"/>
    <w:rsid w:val="00BE5C02"/>
    <w:rsid w:val="00BE6282"/>
    <w:rsid w:val="00BE7C66"/>
    <w:rsid w:val="00BF42E6"/>
    <w:rsid w:val="00BF4C64"/>
    <w:rsid w:val="00C017A6"/>
    <w:rsid w:val="00C14C4E"/>
    <w:rsid w:val="00C225F2"/>
    <w:rsid w:val="00C303DF"/>
    <w:rsid w:val="00C44C1D"/>
    <w:rsid w:val="00C54D49"/>
    <w:rsid w:val="00C647DA"/>
    <w:rsid w:val="00C7231C"/>
    <w:rsid w:val="00C85954"/>
    <w:rsid w:val="00C91DA7"/>
    <w:rsid w:val="00CB5E4C"/>
    <w:rsid w:val="00CD65D1"/>
    <w:rsid w:val="00CE0554"/>
    <w:rsid w:val="00CE69A5"/>
    <w:rsid w:val="00D06FCE"/>
    <w:rsid w:val="00D14605"/>
    <w:rsid w:val="00D149C6"/>
    <w:rsid w:val="00D17D22"/>
    <w:rsid w:val="00D353C2"/>
    <w:rsid w:val="00D4045C"/>
    <w:rsid w:val="00D63A73"/>
    <w:rsid w:val="00D731DB"/>
    <w:rsid w:val="00D7770B"/>
    <w:rsid w:val="00D77B1D"/>
    <w:rsid w:val="00DB27E9"/>
    <w:rsid w:val="00DB58E7"/>
    <w:rsid w:val="00DC0BF6"/>
    <w:rsid w:val="00DC3E9D"/>
    <w:rsid w:val="00DC3FBD"/>
    <w:rsid w:val="00DD1D21"/>
    <w:rsid w:val="00DD64E2"/>
    <w:rsid w:val="00DE4EE0"/>
    <w:rsid w:val="00DE74CF"/>
    <w:rsid w:val="00DF31E6"/>
    <w:rsid w:val="00E2063B"/>
    <w:rsid w:val="00E20EED"/>
    <w:rsid w:val="00E363FF"/>
    <w:rsid w:val="00E43543"/>
    <w:rsid w:val="00E506CE"/>
    <w:rsid w:val="00E67F95"/>
    <w:rsid w:val="00EA07D7"/>
    <w:rsid w:val="00EA3A65"/>
    <w:rsid w:val="00EB07DB"/>
    <w:rsid w:val="00EB2259"/>
    <w:rsid w:val="00EC334D"/>
    <w:rsid w:val="00ED1D75"/>
    <w:rsid w:val="00EE1209"/>
    <w:rsid w:val="00EE77AA"/>
    <w:rsid w:val="00EF68E8"/>
    <w:rsid w:val="00F0161B"/>
    <w:rsid w:val="00F05D23"/>
    <w:rsid w:val="00F10F6F"/>
    <w:rsid w:val="00F12FC5"/>
    <w:rsid w:val="00F43218"/>
    <w:rsid w:val="00F4617C"/>
    <w:rsid w:val="00F56B2A"/>
    <w:rsid w:val="00F57C0F"/>
    <w:rsid w:val="00F748C0"/>
    <w:rsid w:val="00F7587D"/>
    <w:rsid w:val="00F86349"/>
    <w:rsid w:val="00F86736"/>
    <w:rsid w:val="00F93CE6"/>
    <w:rsid w:val="00FA2867"/>
    <w:rsid w:val="00FA2D29"/>
    <w:rsid w:val="00FA594C"/>
    <w:rsid w:val="00FB7750"/>
    <w:rsid w:val="00FD0612"/>
    <w:rsid w:val="00FD3218"/>
    <w:rsid w:val="00FD6760"/>
    <w:rsid w:val="00FE4CB9"/>
    <w:rsid w:val="010827C0"/>
    <w:rsid w:val="01601A9F"/>
    <w:rsid w:val="01F1594A"/>
    <w:rsid w:val="0293255D"/>
    <w:rsid w:val="02F4124E"/>
    <w:rsid w:val="040A1022"/>
    <w:rsid w:val="064255A9"/>
    <w:rsid w:val="06E25862"/>
    <w:rsid w:val="076B3AA9"/>
    <w:rsid w:val="076D05BF"/>
    <w:rsid w:val="07B94814"/>
    <w:rsid w:val="07FFF28D"/>
    <w:rsid w:val="08123F24"/>
    <w:rsid w:val="088378AE"/>
    <w:rsid w:val="0962032B"/>
    <w:rsid w:val="0A0124A3"/>
    <w:rsid w:val="0A851326"/>
    <w:rsid w:val="0D4B23B2"/>
    <w:rsid w:val="0DF20A80"/>
    <w:rsid w:val="0E2F5830"/>
    <w:rsid w:val="0F1113DA"/>
    <w:rsid w:val="0FEB04D3"/>
    <w:rsid w:val="0FEEB8EA"/>
    <w:rsid w:val="0FFB6BAB"/>
    <w:rsid w:val="10030D22"/>
    <w:rsid w:val="11967974"/>
    <w:rsid w:val="14221B9E"/>
    <w:rsid w:val="143E25AD"/>
    <w:rsid w:val="175B7696"/>
    <w:rsid w:val="17CD755D"/>
    <w:rsid w:val="1901601B"/>
    <w:rsid w:val="19031D93"/>
    <w:rsid w:val="1CFB3886"/>
    <w:rsid w:val="1DAF4007"/>
    <w:rsid w:val="1DFB572F"/>
    <w:rsid w:val="1EFA2E2F"/>
    <w:rsid w:val="1FFFBE08"/>
    <w:rsid w:val="202A582F"/>
    <w:rsid w:val="20834165"/>
    <w:rsid w:val="209031FC"/>
    <w:rsid w:val="20A83220"/>
    <w:rsid w:val="22462CF1"/>
    <w:rsid w:val="22A75E85"/>
    <w:rsid w:val="239B1CF0"/>
    <w:rsid w:val="246546DE"/>
    <w:rsid w:val="26105AEF"/>
    <w:rsid w:val="264C489D"/>
    <w:rsid w:val="272A717C"/>
    <w:rsid w:val="28D1784F"/>
    <w:rsid w:val="2939710B"/>
    <w:rsid w:val="294855A0"/>
    <w:rsid w:val="29A416A9"/>
    <w:rsid w:val="29AA1D11"/>
    <w:rsid w:val="29B54ADF"/>
    <w:rsid w:val="29DC2F9A"/>
    <w:rsid w:val="2B163BA8"/>
    <w:rsid w:val="2BA411B4"/>
    <w:rsid w:val="2BE30E5F"/>
    <w:rsid w:val="2D173C07"/>
    <w:rsid w:val="2D597D7C"/>
    <w:rsid w:val="2D8172D3"/>
    <w:rsid w:val="2E2E1209"/>
    <w:rsid w:val="2FF6BE89"/>
    <w:rsid w:val="2FFA99F9"/>
    <w:rsid w:val="2FFBA969"/>
    <w:rsid w:val="31172428"/>
    <w:rsid w:val="3291620A"/>
    <w:rsid w:val="32A974A8"/>
    <w:rsid w:val="347D4062"/>
    <w:rsid w:val="34D128EE"/>
    <w:rsid w:val="35802667"/>
    <w:rsid w:val="361B02C4"/>
    <w:rsid w:val="369B31B3"/>
    <w:rsid w:val="36C20CCA"/>
    <w:rsid w:val="37651C09"/>
    <w:rsid w:val="3AED3104"/>
    <w:rsid w:val="3B475B58"/>
    <w:rsid w:val="3BEF0D16"/>
    <w:rsid w:val="3C925059"/>
    <w:rsid w:val="3CA76B15"/>
    <w:rsid w:val="3CC93972"/>
    <w:rsid w:val="3D0112DA"/>
    <w:rsid w:val="3D7D1865"/>
    <w:rsid w:val="3EBF1CAB"/>
    <w:rsid w:val="3EF79750"/>
    <w:rsid w:val="3FBF7492"/>
    <w:rsid w:val="3FD41F73"/>
    <w:rsid w:val="41364E66"/>
    <w:rsid w:val="418E2246"/>
    <w:rsid w:val="41ED7D93"/>
    <w:rsid w:val="4234247E"/>
    <w:rsid w:val="45196317"/>
    <w:rsid w:val="462F23B5"/>
    <w:rsid w:val="471A1ED2"/>
    <w:rsid w:val="475E7F4C"/>
    <w:rsid w:val="476475F1"/>
    <w:rsid w:val="499E503D"/>
    <w:rsid w:val="4B77447C"/>
    <w:rsid w:val="4B7BC582"/>
    <w:rsid w:val="4B7D5955"/>
    <w:rsid w:val="4BCB18ED"/>
    <w:rsid w:val="4C4A69A1"/>
    <w:rsid w:val="4CAA019C"/>
    <w:rsid w:val="4CBD3A2C"/>
    <w:rsid w:val="4D3B2BA3"/>
    <w:rsid w:val="4F5A276F"/>
    <w:rsid w:val="500E459E"/>
    <w:rsid w:val="505B3CC4"/>
    <w:rsid w:val="5151508A"/>
    <w:rsid w:val="51D04201"/>
    <w:rsid w:val="5322158D"/>
    <w:rsid w:val="53AA7D4D"/>
    <w:rsid w:val="54E104D3"/>
    <w:rsid w:val="557FF4D7"/>
    <w:rsid w:val="56FC096E"/>
    <w:rsid w:val="593E7CA2"/>
    <w:rsid w:val="59BB2100"/>
    <w:rsid w:val="5B7E6A7C"/>
    <w:rsid w:val="5BB31980"/>
    <w:rsid w:val="5BF46988"/>
    <w:rsid w:val="5D192F00"/>
    <w:rsid w:val="5DFF488A"/>
    <w:rsid w:val="5EDF1BA2"/>
    <w:rsid w:val="5F0279C4"/>
    <w:rsid w:val="5F3412A6"/>
    <w:rsid w:val="5F7F29F8"/>
    <w:rsid w:val="5FA171DD"/>
    <w:rsid w:val="5FFFDE48"/>
    <w:rsid w:val="60F8107F"/>
    <w:rsid w:val="62C61D76"/>
    <w:rsid w:val="676D039A"/>
    <w:rsid w:val="67761A2F"/>
    <w:rsid w:val="69A5026F"/>
    <w:rsid w:val="6B4A24D7"/>
    <w:rsid w:val="6B71D454"/>
    <w:rsid w:val="6B9BBB1C"/>
    <w:rsid w:val="6CEBE3B0"/>
    <w:rsid w:val="6D0B213A"/>
    <w:rsid w:val="6D7ED316"/>
    <w:rsid w:val="6DD662A4"/>
    <w:rsid w:val="6F6205A6"/>
    <w:rsid w:val="7069753B"/>
    <w:rsid w:val="71536D6E"/>
    <w:rsid w:val="71A30482"/>
    <w:rsid w:val="729C7E1B"/>
    <w:rsid w:val="72B2225A"/>
    <w:rsid w:val="72D82ABE"/>
    <w:rsid w:val="73612DE0"/>
    <w:rsid w:val="73E57241"/>
    <w:rsid w:val="75F796E4"/>
    <w:rsid w:val="764B0FA6"/>
    <w:rsid w:val="768A0573"/>
    <w:rsid w:val="77764879"/>
    <w:rsid w:val="77EF38F4"/>
    <w:rsid w:val="78AC657F"/>
    <w:rsid w:val="78B36053"/>
    <w:rsid w:val="78C613DE"/>
    <w:rsid w:val="78FC1CD9"/>
    <w:rsid w:val="79774A03"/>
    <w:rsid w:val="79CF47DE"/>
    <w:rsid w:val="79D43BE1"/>
    <w:rsid w:val="79FC50C0"/>
    <w:rsid w:val="7AE53FCA"/>
    <w:rsid w:val="7BAB8C23"/>
    <w:rsid w:val="7BE65E00"/>
    <w:rsid w:val="7BE78727"/>
    <w:rsid w:val="7BF085AB"/>
    <w:rsid w:val="7CA44DFA"/>
    <w:rsid w:val="7CBE598D"/>
    <w:rsid w:val="7D1F2787"/>
    <w:rsid w:val="7D45E3F9"/>
    <w:rsid w:val="7DBFEC24"/>
    <w:rsid w:val="7DDDC3E6"/>
    <w:rsid w:val="7DF78017"/>
    <w:rsid w:val="7F54751B"/>
    <w:rsid w:val="7F762A2D"/>
    <w:rsid w:val="7FABC4DC"/>
    <w:rsid w:val="7FB797DD"/>
    <w:rsid w:val="7FEA22B7"/>
    <w:rsid w:val="7FF71849"/>
    <w:rsid w:val="7FFEEC24"/>
    <w:rsid w:val="7FFF6902"/>
    <w:rsid w:val="7FFFF544"/>
    <w:rsid w:val="974B72DB"/>
    <w:rsid w:val="97F3CC19"/>
    <w:rsid w:val="97FECF02"/>
    <w:rsid w:val="99DF2E7B"/>
    <w:rsid w:val="9DDDE33C"/>
    <w:rsid w:val="9DF164FB"/>
    <w:rsid w:val="A7FDBCB3"/>
    <w:rsid w:val="AFFB2DD3"/>
    <w:rsid w:val="B1FF2779"/>
    <w:rsid w:val="B371B62A"/>
    <w:rsid w:val="BBB9840D"/>
    <w:rsid w:val="BBEE5373"/>
    <w:rsid w:val="BBF76EE2"/>
    <w:rsid w:val="BC3F9408"/>
    <w:rsid w:val="BDBC22BD"/>
    <w:rsid w:val="BED2A6B4"/>
    <w:rsid w:val="BEFBDC10"/>
    <w:rsid w:val="BF7726ED"/>
    <w:rsid w:val="BFCEF94A"/>
    <w:rsid w:val="C7B4209E"/>
    <w:rsid w:val="C7FF260F"/>
    <w:rsid w:val="CFBBCCB6"/>
    <w:rsid w:val="DDDD2B93"/>
    <w:rsid w:val="DF737B2D"/>
    <w:rsid w:val="DFBF18BE"/>
    <w:rsid w:val="DFE7FADD"/>
    <w:rsid w:val="E7FA4014"/>
    <w:rsid w:val="E9F788BF"/>
    <w:rsid w:val="EBE22442"/>
    <w:rsid w:val="EBFF9BED"/>
    <w:rsid w:val="EEF9E1CB"/>
    <w:rsid w:val="EF7F2395"/>
    <w:rsid w:val="EFA9FF11"/>
    <w:rsid w:val="EFFF7161"/>
    <w:rsid w:val="F17F8017"/>
    <w:rsid w:val="F2BD974A"/>
    <w:rsid w:val="F2E84973"/>
    <w:rsid w:val="F76F9700"/>
    <w:rsid w:val="F7F50CFD"/>
    <w:rsid w:val="F7FF1657"/>
    <w:rsid w:val="F87CF52E"/>
    <w:rsid w:val="FB9D1A8C"/>
    <w:rsid w:val="FBF7C79B"/>
    <w:rsid w:val="FBFFCD75"/>
    <w:rsid w:val="FC3F59B2"/>
    <w:rsid w:val="FCBF27B8"/>
    <w:rsid w:val="FD64D8C9"/>
    <w:rsid w:val="FD7FFDBE"/>
    <w:rsid w:val="FDB7D8C2"/>
    <w:rsid w:val="FDFFB058"/>
    <w:rsid w:val="FEB7A281"/>
    <w:rsid w:val="FEF7FECF"/>
    <w:rsid w:val="FF6F355B"/>
    <w:rsid w:val="FFAA953D"/>
    <w:rsid w:val="FFBDF0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nhideWhenUsed="0" w:uiPriority="0" w:name="HTML Code"/>
    <w:lsdException w:uiPriority="99" w:name="HTML Definition"/>
    <w:lsdException w:uiPriority="99" w:name="HTML Keyboard"/>
    <w:lsdException w:qFormat="1" w:unhideWhenUsed="0"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Arial Unicode MS" w:hAnsi="Arial Unicode MS" w:eastAsia="Arial Unicode MS" w:cs="Times New Roman"/>
      <w:color w:val="000000"/>
      <w:kern w:val="2"/>
      <w:sz w:val="21"/>
      <w:szCs w:val="21"/>
      <w:lang w:val="en-US" w:eastAsia="zh-CN" w:bidi="ar-SA"/>
    </w:rPr>
  </w:style>
  <w:style w:type="paragraph" w:styleId="4">
    <w:name w:val="heading 1"/>
    <w:basedOn w:val="1"/>
    <w:next w:val="1"/>
    <w:link w:val="29"/>
    <w:qFormat/>
    <w:uiPriority w:val="9"/>
    <w:pPr>
      <w:keepNext/>
      <w:keepLines/>
      <w:spacing w:before="340" w:after="330" w:line="578" w:lineRule="auto"/>
      <w:outlineLvl w:val="0"/>
    </w:pPr>
    <w:rPr>
      <w:rFonts w:ascii="Calibri" w:hAnsi="Calibri" w:eastAsia="宋体"/>
      <w:b/>
      <w:bCs/>
      <w:kern w:val="44"/>
      <w:sz w:val="44"/>
      <w:szCs w:val="44"/>
    </w:rPr>
  </w:style>
  <w:style w:type="paragraph" w:styleId="5">
    <w:name w:val="heading 2"/>
    <w:basedOn w:val="1"/>
    <w:next w:val="1"/>
    <w:link w:val="30"/>
    <w:qFormat/>
    <w:uiPriority w:val="9"/>
    <w:pPr>
      <w:keepNext/>
      <w:keepLines/>
      <w:spacing w:before="260" w:after="260" w:line="416" w:lineRule="auto"/>
      <w:outlineLvl w:val="1"/>
    </w:pPr>
    <w:rPr>
      <w:rFonts w:ascii="Cambria" w:hAnsi="Cambria" w:eastAsia="宋体"/>
      <w:b/>
      <w:bCs/>
      <w:sz w:val="32"/>
      <w:szCs w:val="32"/>
    </w:rPr>
  </w:style>
  <w:style w:type="paragraph" w:styleId="6">
    <w:name w:val="heading 3"/>
    <w:basedOn w:val="1"/>
    <w:next w:val="1"/>
    <w:link w:val="31"/>
    <w:qFormat/>
    <w:uiPriority w:val="9"/>
    <w:pPr>
      <w:keepNext/>
      <w:keepLines/>
      <w:spacing w:before="260" w:after="260" w:line="416" w:lineRule="auto"/>
      <w:outlineLvl w:val="2"/>
    </w:pPr>
    <w:rPr>
      <w:rFonts w:ascii="Calibri" w:hAnsi="Calibri" w:eastAsia="宋体"/>
      <w:b/>
      <w:bCs/>
      <w:sz w:val="32"/>
      <w:szCs w:val="32"/>
    </w:rPr>
  </w:style>
  <w:style w:type="paragraph" w:styleId="7">
    <w:name w:val="heading 4"/>
    <w:basedOn w:val="1"/>
    <w:next w:val="1"/>
    <w:link w:val="32"/>
    <w:qFormat/>
    <w:uiPriority w:val="9"/>
    <w:pPr>
      <w:keepNext/>
      <w:keepLines/>
      <w:spacing w:before="280" w:after="290" w:line="376" w:lineRule="auto"/>
      <w:outlineLvl w:val="3"/>
    </w:pPr>
    <w:rPr>
      <w:rFonts w:ascii="Helvetica Neue" w:hAnsi="Helvetica Neue"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link w:val="28"/>
    <w:qFormat/>
    <w:uiPriority w:val="0"/>
    <w:pPr>
      <w:spacing w:after="120"/>
      <w:ind w:left="200" w:leftChars="200"/>
    </w:pPr>
    <w:rPr>
      <w:rFonts w:ascii="Times New Roman" w:hAnsi="Times New Roman" w:eastAsia="Times New Roman"/>
      <w:szCs w:val="24"/>
    </w:rPr>
  </w:style>
  <w:style w:type="paragraph" w:styleId="8">
    <w:name w:val="Normal Indent"/>
    <w:basedOn w:val="1"/>
    <w:link w:val="33"/>
    <w:qFormat/>
    <w:uiPriority w:val="0"/>
    <w:pPr>
      <w:ind w:firstLine="420"/>
    </w:pPr>
    <w:rPr>
      <w:rFonts w:hint="default" w:ascii="Calibri" w:hAnsi="Calibri" w:eastAsia="宋体"/>
      <w:color w:val="auto"/>
      <w:szCs w:val="20"/>
    </w:rPr>
  </w:style>
  <w:style w:type="paragraph" w:styleId="9">
    <w:name w:val="annotation text"/>
    <w:basedOn w:val="1"/>
    <w:link w:val="34"/>
    <w:qFormat/>
    <w:uiPriority w:val="0"/>
    <w:pPr>
      <w:jc w:val="left"/>
    </w:pPr>
    <w:rPr>
      <w:rFonts w:ascii="Helvetica Neue" w:hAnsi="Helvetica Neue" w:eastAsia="宋体"/>
      <w:szCs w:val="22"/>
    </w:rPr>
  </w:style>
  <w:style w:type="paragraph" w:styleId="10">
    <w:name w:val="Body Text"/>
    <w:basedOn w:val="1"/>
    <w:link w:val="35"/>
    <w:unhideWhenUsed/>
    <w:qFormat/>
    <w:uiPriority w:val="99"/>
    <w:pPr>
      <w:spacing w:after="120"/>
    </w:pPr>
  </w:style>
  <w:style w:type="paragraph" w:styleId="11">
    <w:name w:val="Plain Text"/>
    <w:basedOn w:val="1"/>
    <w:link w:val="36"/>
    <w:qFormat/>
    <w:uiPriority w:val="0"/>
    <w:pPr>
      <w:widowControl/>
      <w:spacing w:after="120" w:line="360" w:lineRule="auto"/>
    </w:pPr>
    <w:rPr>
      <w:rFonts w:hint="default" w:ascii="宋体" w:hAnsi="宋体" w:eastAsia="宋体"/>
      <w:color w:val="auto"/>
      <w:kern w:val="0"/>
      <w:sz w:val="24"/>
      <w:szCs w:val="24"/>
    </w:rPr>
  </w:style>
  <w:style w:type="paragraph" w:styleId="12">
    <w:name w:val="Date"/>
    <w:basedOn w:val="1"/>
    <w:next w:val="1"/>
    <w:qFormat/>
    <w:uiPriority w:val="0"/>
    <w:pPr>
      <w:ind w:left="2500" w:leftChars="2500"/>
    </w:pPr>
    <w:rPr>
      <w:rFonts w:ascii="Times New Roman" w:hAnsi="Times New Roman" w:eastAsia="宋体"/>
      <w:szCs w:val="20"/>
    </w:rPr>
  </w:style>
  <w:style w:type="paragraph" w:styleId="13">
    <w:name w:val="Balloon Text"/>
    <w:basedOn w:val="1"/>
    <w:link w:val="37"/>
    <w:semiHidden/>
    <w:qFormat/>
    <w:uiPriority w:val="0"/>
    <w:rPr>
      <w:sz w:val="18"/>
      <w:szCs w:val="18"/>
    </w:rPr>
  </w:style>
  <w:style w:type="paragraph" w:styleId="14">
    <w:name w:val="footer"/>
    <w:link w:val="38"/>
    <w:qFormat/>
    <w:uiPriority w:val="0"/>
    <w:pPr>
      <w:widowControl w:val="0"/>
      <w:tabs>
        <w:tab w:val="center" w:pos="4153"/>
        <w:tab w:val="right" w:pos="8306"/>
      </w:tabs>
    </w:pPr>
    <w:rPr>
      <w:rFonts w:ascii="Times New Roman" w:hAnsi="Times New Roman" w:eastAsia="Arial Unicode MS" w:cs="Times New Roman"/>
      <w:color w:val="000000"/>
      <w:kern w:val="2"/>
      <w:sz w:val="18"/>
      <w:szCs w:val="18"/>
      <w:lang w:val="en-US" w:eastAsia="zh-CN" w:bidi="ar-SA"/>
    </w:rPr>
  </w:style>
  <w:style w:type="paragraph" w:styleId="15">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2"/>
    <w:basedOn w:val="1"/>
    <w:link w:val="40"/>
    <w:qFormat/>
    <w:uiPriority w:val="0"/>
    <w:pPr>
      <w:spacing w:after="120" w:line="480" w:lineRule="auto"/>
    </w:pPr>
  </w:style>
  <w:style w:type="paragraph" w:styleId="17">
    <w:name w:val="HTML Preformatted"/>
    <w:basedOn w:val="1"/>
    <w:link w:val="41"/>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kern w:val="0"/>
      <w:sz w:val="24"/>
      <w:szCs w:val="24"/>
    </w:rPr>
  </w:style>
  <w:style w:type="paragraph" w:styleId="18">
    <w:name w:val="Normal (Web)"/>
    <w:basedOn w:val="1"/>
    <w:qFormat/>
    <w:uiPriority w:val="99"/>
    <w:pPr>
      <w:widowControl/>
      <w:spacing w:before="100" w:beforeAutospacing="1" w:after="100" w:afterAutospacing="1"/>
      <w:jc w:val="left"/>
    </w:pPr>
    <w:rPr>
      <w:rFonts w:ascii="宋体" w:hAnsi="宋体" w:eastAsia="宋体"/>
      <w:kern w:val="0"/>
      <w:sz w:val="24"/>
      <w:szCs w:val="24"/>
    </w:rPr>
  </w:style>
  <w:style w:type="paragraph" w:styleId="19">
    <w:name w:val="Title"/>
    <w:basedOn w:val="1"/>
    <w:link w:val="42"/>
    <w:qFormat/>
    <w:uiPriority w:val="10"/>
    <w:pPr>
      <w:spacing w:before="240" w:after="60"/>
      <w:jc w:val="center"/>
      <w:outlineLvl w:val="0"/>
    </w:pPr>
    <w:rPr>
      <w:rFonts w:ascii="Helvetica Neue" w:hAnsi="Helvetica Neue" w:eastAsia="宋体"/>
      <w:b/>
      <w:bCs/>
      <w:sz w:val="32"/>
      <w:szCs w:val="32"/>
    </w:rPr>
  </w:style>
  <w:style w:type="paragraph" w:styleId="20">
    <w:name w:val="annotation subject"/>
    <w:basedOn w:val="9"/>
    <w:next w:val="9"/>
    <w:link w:val="43"/>
    <w:semiHidden/>
    <w:qFormat/>
    <w:uiPriority w:val="0"/>
    <w:rPr>
      <w:rFonts w:ascii="Arial Unicode MS" w:hAnsi="Arial Unicode MS" w:eastAsia="Arial Unicode MS"/>
      <w:b/>
      <w:bCs/>
      <w:szCs w:val="21"/>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qFormat/>
    <w:uiPriority w:val="0"/>
    <w:rPr>
      <w:u w:val="single"/>
    </w:rPr>
  </w:style>
  <w:style w:type="character" w:styleId="26">
    <w:name w:val="HTML Code"/>
    <w:semiHidden/>
    <w:qFormat/>
    <w:uiPriority w:val="0"/>
    <w:rPr>
      <w:rFonts w:ascii="宋体" w:hAnsi="宋体" w:eastAsia="宋体"/>
      <w:sz w:val="24"/>
      <w:szCs w:val="24"/>
    </w:rPr>
  </w:style>
  <w:style w:type="character" w:styleId="27">
    <w:name w:val="annotation reference"/>
    <w:semiHidden/>
    <w:qFormat/>
    <w:uiPriority w:val="0"/>
    <w:rPr>
      <w:sz w:val="21"/>
      <w:szCs w:val="21"/>
    </w:rPr>
  </w:style>
  <w:style w:type="character" w:customStyle="1" w:styleId="28">
    <w:name w:val="正文文本缩进 Char"/>
    <w:link w:val="3"/>
    <w:qFormat/>
    <w:uiPriority w:val="0"/>
    <w:rPr>
      <w:rFonts w:eastAsia="Times New Roman"/>
      <w:kern w:val="2"/>
      <w:sz w:val="21"/>
      <w:szCs w:val="24"/>
    </w:rPr>
  </w:style>
  <w:style w:type="character" w:customStyle="1" w:styleId="29">
    <w:name w:val="标题 1 Char"/>
    <w:link w:val="4"/>
    <w:qFormat/>
    <w:uiPriority w:val="0"/>
    <w:rPr>
      <w:rFonts w:ascii="Calibri" w:hAnsi="Calibri" w:eastAsia="宋体"/>
      <w:b/>
      <w:bCs/>
      <w:kern w:val="44"/>
      <w:sz w:val="44"/>
      <w:szCs w:val="44"/>
    </w:rPr>
  </w:style>
  <w:style w:type="character" w:customStyle="1" w:styleId="30">
    <w:name w:val="标题 2 Char"/>
    <w:link w:val="5"/>
    <w:qFormat/>
    <w:uiPriority w:val="0"/>
    <w:rPr>
      <w:rFonts w:ascii="Cambria" w:hAnsi="Cambria" w:eastAsia="宋体"/>
      <w:b/>
      <w:bCs/>
      <w:kern w:val="2"/>
      <w:sz w:val="32"/>
      <w:szCs w:val="32"/>
    </w:rPr>
  </w:style>
  <w:style w:type="character" w:customStyle="1" w:styleId="31">
    <w:name w:val="标题 3 Char"/>
    <w:link w:val="6"/>
    <w:qFormat/>
    <w:uiPriority w:val="0"/>
    <w:rPr>
      <w:rFonts w:ascii="Calibri" w:hAnsi="Calibri" w:eastAsia="宋体"/>
      <w:b/>
      <w:bCs/>
      <w:kern w:val="2"/>
      <w:sz w:val="32"/>
      <w:szCs w:val="32"/>
    </w:rPr>
  </w:style>
  <w:style w:type="character" w:customStyle="1" w:styleId="32">
    <w:name w:val="标题 4 Char"/>
    <w:link w:val="7"/>
    <w:qFormat/>
    <w:uiPriority w:val="0"/>
    <w:rPr>
      <w:rFonts w:ascii="Helvetica Neue" w:hAnsi="Helvetica Neue" w:eastAsia="黑体"/>
      <w:b/>
      <w:bCs/>
      <w:kern w:val="2"/>
      <w:sz w:val="28"/>
      <w:szCs w:val="28"/>
    </w:rPr>
  </w:style>
  <w:style w:type="character" w:customStyle="1" w:styleId="33">
    <w:name w:val="正文缩进 Char"/>
    <w:link w:val="8"/>
    <w:qFormat/>
    <w:uiPriority w:val="0"/>
    <w:rPr>
      <w:rFonts w:ascii="Calibri" w:hAnsi="Calibri"/>
      <w:kern w:val="2"/>
      <w:sz w:val="21"/>
    </w:rPr>
  </w:style>
  <w:style w:type="character" w:customStyle="1" w:styleId="34">
    <w:name w:val="批注文字 Char"/>
    <w:link w:val="9"/>
    <w:qFormat/>
    <w:uiPriority w:val="0"/>
    <w:rPr>
      <w:rFonts w:ascii="Helvetica Neue" w:hAnsi="Helvetica Neue"/>
      <w:kern w:val="2"/>
      <w:sz w:val="21"/>
      <w:szCs w:val="22"/>
    </w:rPr>
  </w:style>
  <w:style w:type="character" w:customStyle="1" w:styleId="35">
    <w:name w:val="正文文本 Char"/>
    <w:link w:val="10"/>
    <w:semiHidden/>
    <w:qFormat/>
    <w:uiPriority w:val="99"/>
    <w:rPr>
      <w:rFonts w:ascii="Arial Unicode MS" w:hAnsi="Arial Unicode MS" w:eastAsia="Arial Unicode MS"/>
      <w:color w:val="000000"/>
      <w:kern w:val="2"/>
      <w:sz w:val="21"/>
      <w:szCs w:val="21"/>
    </w:rPr>
  </w:style>
  <w:style w:type="character" w:customStyle="1" w:styleId="36">
    <w:name w:val="纯文本 Char"/>
    <w:link w:val="11"/>
    <w:qFormat/>
    <w:uiPriority w:val="0"/>
    <w:rPr>
      <w:rFonts w:ascii="宋体" w:hAnsi="宋体"/>
      <w:sz w:val="24"/>
      <w:szCs w:val="24"/>
    </w:rPr>
  </w:style>
  <w:style w:type="character" w:customStyle="1" w:styleId="37">
    <w:name w:val="批注框文本 Char"/>
    <w:link w:val="13"/>
    <w:semiHidden/>
    <w:qFormat/>
    <w:uiPriority w:val="0"/>
    <w:rPr>
      <w:rFonts w:ascii="Arial Unicode MS" w:hAnsi="Arial Unicode MS" w:eastAsia="Arial Unicode MS"/>
      <w:color w:val="000000"/>
      <w:kern w:val="2"/>
      <w:sz w:val="18"/>
      <w:szCs w:val="18"/>
    </w:rPr>
  </w:style>
  <w:style w:type="character" w:customStyle="1" w:styleId="38">
    <w:name w:val="页脚 Char"/>
    <w:link w:val="14"/>
    <w:qFormat/>
    <w:uiPriority w:val="0"/>
    <w:rPr>
      <w:rFonts w:eastAsia="Arial Unicode MS"/>
      <w:color w:val="000000"/>
      <w:kern w:val="2"/>
      <w:sz w:val="18"/>
      <w:szCs w:val="18"/>
      <w:lang w:val="en-US" w:eastAsia="zh-CN" w:bidi="ar-SA"/>
    </w:rPr>
  </w:style>
  <w:style w:type="character" w:customStyle="1" w:styleId="39">
    <w:name w:val="页眉 Char"/>
    <w:link w:val="15"/>
    <w:qFormat/>
    <w:uiPriority w:val="0"/>
    <w:rPr>
      <w:rFonts w:ascii="Arial Unicode MS" w:hAnsi="Arial Unicode MS" w:eastAsia="Arial Unicode MS"/>
      <w:color w:val="000000"/>
      <w:kern w:val="2"/>
      <w:sz w:val="18"/>
      <w:szCs w:val="18"/>
    </w:rPr>
  </w:style>
  <w:style w:type="character" w:customStyle="1" w:styleId="40">
    <w:name w:val="正文文本 2 Char"/>
    <w:link w:val="16"/>
    <w:qFormat/>
    <w:uiPriority w:val="0"/>
    <w:rPr>
      <w:rFonts w:ascii="Arial Unicode MS" w:hAnsi="Arial Unicode MS" w:eastAsia="Arial Unicode MS"/>
      <w:color w:val="000000"/>
      <w:kern w:val="2"/>
      <w:sz w:val="21"/>
      <w:szCs w:val="21"/>
    </w:rPr>
  </w:style>
  <w:style w:type="character" w:customStyle="1" w:styleId="41">
    <w:name w:val="HTML 预设格式 Char"/>
    <w:link w:val="17"/>
    <w:semiHidden/>
    <w:qFormat/>
    <w:uiPriority w:val="0"/>
    <w:rPr>
      <w:rFonts w:ascii="宋体" w:hAnsi="宋体"/>
      <w:sz w:val="24"/>
      <w:szCs w:val="24"/>
    </w:rPr>
  </w:style>
  <w:style w:type="character" w:customStyle="1" w:styleId="42">
    <w:name w:val="标题 Char"/>
    <w:link w:val="19"/>
    <w:qFormat/>
    <w:uiPriority w:val="0"/>
    <w:rPr>
      <w:rFonts w:ascii="Helvetica Neue" w:hAnsi="Helvetica Neue" w:eastAsia="宋体"/>
      <w:b/>
      <w:bCs/>
      <w:kern w:val="2"/>
      <w:sz w:val="32"/>
      <w:szCs w:val="32"/>
    </w:rPr>
  </w:style>
  <w:style w:type="character" w:customStyle="1" w:styleId="43">
    <w:name w:val="批注主题 Char"/>
    <w:link w:val="20"/>
    <w:semiHidden/>
    <w:qFormat/>
    <w:uiPriority w:val="0"/>
    <w:rPr>
      <w:rFonts w:ascii="Arial Unicode MS" w:hAnsi="Arial Unicode MS" w:eastAsia="Arial Unicode MS"/>
      <w:b/>
      <w:bCs/>
      <w:color w:val="000000"/>
      <w:kern w:val="2"/>
      <w:sz w:val="21"/>
      <w:szCs w:val="21"/>
    </w:rPr>
  </w:style>
  <w:style w:type="table" w:customStyle="1" w:styleId="44">
    <w:name w:val="Table Normal"/>
    <w:qFormat/>
    <w:uiPriority w:val="0"/>
    <w:tblPr>
      <w:tblCellMar>
        <w:top w:w="0" w:type="dxa"/>
        <w:left w:w="0" w:type="dxa"/>
        <w:bottom w:w="0" w:type="dxa"/>
        <w:right w:w="0" w:type="dxa"/>
      </w:tblCellMar>
    </w:tblPr>
  </w:style>
  <w:style w:type="paragraph" w:customStyle="1" w:styleId="45">
    <w:name w:val="页眉与页脚"/>
    <w:qFormat/>
    <w:uiPriority w:val="0"/>
    <w:pPr>
      <w:tabs>
        <w:tab w:val="right" w:pos="9020"/>
      </w:tabs>
    </w:pPr>
    <w:rPr>
      <w:rFonts w:ascii="Helvetica Neue" w:hAnsi="Helvetica Neue" w:eastAsia="Arial Unicode MS" w:cs="Times New Roman"/>
      <w:color w:val="000000"/>
      <w:sz w:val="24"/>
      <w:szCs w:val="24"/>
      <w:lang w:val="en-US" w:eastAsia="zh-CN" w:bidi="ar-SA"/>
    </w:rPr>
  </w:style>
  <w:style w:type="paragraph" w:styleId="46">
    <w:name w:val="List Paragraph"/>
    <w:qFormat/>
    <w:uiPriority w:val="1"/>
    <w:pPr>
      <w:widowControl w:val="0"/>
      <w:ind w:firstLine="420"/>
      <w:jc w:val="both"/>
    </w:pPr>
    <w:rPr>
      <w:rFonts w:ascii="Calibri" w:hAnsi="Calibri" w:eastAsia="Calibri" w:cs="Times New Roman"/>
      <w:color w:val="000000"/>
      <w:lang w:val="en-US" w:eastAsia="zh-CN" w:bidi="ar-SA"/>
    </w:rPr>
  </w:style>
  <w:style w:type="paragraph" w:customStyle="1" w:styleId="47">
    <w:name w:val="[无段落样式]"/>
    <w:qFormat/>
    <w:uiPriority w:val="0"/>
    <w:pPr>
      <w:widowControl w:val="0"/>
      <w:spacing w:line="288" w:lineRule="auto"/>
      <w:jc w:val="both"/>
    </w:pPr>
    <w:rPr>
      <w:rFonts w:hint="eastAsia" w:ascii="Arial Unicode MS" w:hAnsi="Arial Unicode MS" w:eastAsia="Arial Unicode MS" w:cs="Times New Roman"/>
      <w:color w:val="000000"/>
      <w:sz w:val="24"/>
      <w:szCs w:val="24"/>
      <w:lang w:val="zh-TW" w:eastAsia="zh-TW" w:bidi="ar-SA"/>
    </w:rPr>
  </w:style>
  <w:style w:type="paragraph" w:customStyle="1" w:styleId="48">
    <w:name w:val="Default"/>
    <w:qFormat/>
    <w:uiPriority w:val="0"/>
    <w:pPr>
      <w:widowControl w:val="0"/>
      <w:autoSpaceDE w:val="0"/>
      <w:autoSpaceDN w:val="0"/>
    </w:pPr>
    <w:rPr>
      <w:rFonts w:ascii="Calibri" w:hAnsi="Calibri" w:eastAsia="宋体" w:cs="Times New Roman"/>
      <w:color w:val="000000"/>
      <w:sz w:val="24"/>
      <w:szCs w:val="24"/>
      <w:lang w:val="en-US" w:eastAsia="zh-CN" w:bidi="ar-SA"/>
    </w:rPr>
  </w:style>
  <w:style w:type="paragraph" w:customStyle="1" w:styleId="49">
    <w:name w:val="样式1"/>
    <w:basedOn w:val="1"/>
    <w:qFormat/>
    <w:uiPriority w:val="0"/>
    <w:rPr>
      <w:rFonts w:ascii="Times New Roman" w:hAnsi="Times New Roman" w:eastAsia="宋体"/>
      <w:szCs w:val="20"/>
    </w:rPr>
  </w:style>
  <w:style w:type="paragraph" w:customStyle="1" w:styleId="50">
    <w:name w:val="UserStyle_14"/>
    <w:basedOn w:val="1"/>
    <w:qFormat/>
    <w:uiPriority w:val="0"/>
    <w:pPr>
      <w:ind w:firstLine="200" w:firstLineChars="200"/>
    </w:pPr>
    <w:rPr>
      <w:rFonts w:ascii="Times New Roman" w:hAnsi="Times New Roman" w:eastAsia="宋体"/>
      <w:szCs w:val="24"/>
    </w:rPr>
  </w:style>
  <w:style w:type="character" w:customStyle="1" w:styleId="51">
    <w:name w:val="列出段落 字符"/>
    <w:link w:val="52"/>
    <w:qFormat/>
    <w:uiPriority w:val="0"/>
    <w:rPr>
      <w:rFonts w:ascii="Calibri" w:hAnsi="Calibri" w:eastAsia="宋体"/>
    </w:rPr>
  </w:style>
  <w:style w:type="paragraph" w:customStyle="1" w:styleId="52">
    <w:name w:val="列表段落1"/>
    <w:basedOn w:val="1"/>
    <w:link w:val="51"/>
    <w:qFormat/>
    <w:uiPriority w:val="0"/>
    <w:pPr>
      <w:ind w:firstLine="200" w:firstLineChars="200"/>
    </w:pPr>
    <w:rPr>
      <w:rFonts w:ascii="Calibri" w:hAnsi="Calibri" w:eastAsia="宋体"/>
      <w:kern w:val="0"/>
      <w:sz w:val="20"/>
      <w:szCs w:val="20"/>
      <w:lang w:eastAsia="en-US"/>
    </w:rPr>
  </w:style>
  <w:style w:type="paragraph" w:customStyle="1" w:styleId="53">
    <w:name w:val="目录 11"/>
    <w:basedOn w:val="1"/>
    <w:qFormat/>
    <w:uiPriority w:val="0"/>
    <w:rPr>
      <w:rFonts w:ascii="Calibri" w:hAnsi="Calibri" w:eastAsia="宋体"/>
      <w:szCs w:val="22"/>
    </w:rPr>
  </w:style>
  <w:style w:type="paragraph" w:customStyle="1" w:styleId="54">
    <w:name w:val="目录 21"/>
    <w:basedOn w:val="1"/>
    <w:qFormat/>
    <w:uiPriority w:val="0"/>
    <w:pPr>
      <w:tabs>
        <w:tab w:val="right" w:leader="dot" w:pos="9736"/>
      </w:tabs>
      <w:spacing w:line="360" w:lineRule="auto"/>
      <w:ind w:left="200" w:leftChars="200"/>
    </w:pPr>
    <w:rPr>
      <w:rFonts w:ascii="Calibri" w:hAnsi="Calibri" w:eastAsia="宋体"/>
      <w:szCs w:val="22"/>
    </w:rPr>
  </w:style>
  <w:style w:type="paragraph" w:customStyle="1" w:styleId="55">
    <w:name w:val="列出段落1"/>
    <w:basedOn w:val="1"/>
    <w:qFormat/>
    <w:uiPriority w:val="0"/>
    <w:pPr>
      <w:ind w:firstLine="200" w:firstLineChars="200"/>
    </w:pPr>
    <w:rPr>
      <w:rFonts w:ascii="Calibri" w:hAnsi="Calibri" w:eastAsia="宋体"/>
      <w:szCs w:val="22"/>
    </w:rPr>
  </w:style>
  <w:style w:type="table" w:customStyle="1" w:styleId="56">
    <w:name w:val="网格型1"/>
    <w:basedOn w:val="21"/>
    <w:qFormat/>
    <w:uiPriority w:val="0"/>
    <w:tblPr>
      <w:tblCellMar>
        <w:top w:w="0" w:type="dxa"/>
        <w:left w:w="108" w:type="dxa"/>
        <w:bottom w:w="0" w:type="dxa"/>
        <w:right w:w="108" w:type="dxa"/>
      </w:tblCellMar>
    </w:tblPr>
  </w:style>
  <w:style w:type="paragraph" w:customStyle="1" w:styleId="57">
    <w:name w:val="列出段落2"/>
    <w:basedOn w:val="1"/>
    <w:qFormat/>
    <w:uiPriority w:val="0"/>
    <w:pPr>
      <w:ind w:firstLine="200" w:firstLineChars="200"/>
    </w:pPr>
    <w:rPr>
      <w:rFonts w:ascii="Calibri" w:hAnsi="Calibri" w:eastAsia="宋体"/>
      <w:szCs w:val="22"/>
    </w:rPr>
  </w:style>
  <w:style w:type="paragraph" w:customStyle="1" w:styleId="58">
    <w:name w:val="TOC 标题1"/>
    <w:basedOn w:val="4"/>
    <w:qFormat/>
    <w:uiPriority w:val="0"/>
    <w:pPr>
      <w:widowControl/>
      <w:spacing w:before="480" w:after="0" w:line="276" w:lineRule="auto"/>
      <w:jc w:val="left"/>
      <w:outlineLvl w:val="9"/>
    </w:pPr>
    <w:rPr>
      <w:rFonts w:ascii="Helvetica Neue" w:hAnsi="Helvetica Neue" w:eastAsia="黑体"/>
      <w:color w:val="365F91"/>
      <w:kern w:val="0"/>
      <w:sz w:val="28"/>
      <w:szCs w:val="28"/>
    </w:rPr>
  </w:style>
  <w:style w:type="paragraph" w:customStyle="1" w:styleId="59">
    <w:name w:val="目录 31"/>
    <w:basedOn w:val="1"/>
    <w:qFormat/>
    <w:uiPriority w:val="0"/>
    <w:pPr>
      <w:ind w:left="400" w:leftChars="400"/>
    </w:pPr>
    <w:rPr>
      <w:rFonts w:ascii="Calibri" w:hAnsi="Calibri" w:eastAsia="宋体"/>
      <w:szCs w:val="22"/>
    </w:rPr>
  </w:style>
  <w:style w:type="paragraph" w:customStyle="1" w:styleId="60">
    <w:name w:val="修订1"/>
    <w:semiHidden/>
    <w:qFormat/>
    <w:uiPriority w:val="0"/>
    <w:rPr>
      <w:rFonts w:hint="eastAsia" w:ascii="Arial Unicode MS" w:hAnsi="Arial Unicode MS" w:eastAsia="Arial Unicode MS" w:cs="Times New Roman"/>
      <w:color w:val="000000"/>
      <w:kern w:val="2"/>
      <w:sz w:val="21"/>
      <w:szCs w:val="21"/>
      <w:lang w:val="en-US" w:eastAsia="zh-CN" w:bidi="ar-SA"/>
    </w:rPr>
  </w:style>
  <w:style w:type="character" w:customStyle="1" w:styleId="61">
    <w:name w:val="hljs-code"/>
    <w:qFormat/>
    <w:uiPriority w:val="0"/>
  </w:style>
  <w:style w:type="character" w:customStyle="1" w:styleId="62">
    <w:name w:val="hljs-strong"/>
    <w:qFormat/>
    <w:uiPriority w:val="0"/>
  </w:style>
  <w:style w:type="paragraph" w:customStyle="1" w:styleId="63">
    <w:name w:val="列出段落3"/>
    <w:basedOn w:val="1"/>
    <w:qFormat/>
    <w:uiPriority w:val="34"/>
    <w:pPr>
      <w:ind w:firstLine="420" w:firstLineChars="200"/>
    </w:pPr>
  </w:style>
  <w:style w:type="paragraph" w:customStyle="1" w:styleId="64">
    <w:name w:val="样式 首行缩进:  2 字符"/>
    <w:basedOn w:val="1"/>
    <w:qFormat/>
    <w:uiPriority w:val="0"/>
    <w:pPr>
      <w:spacing w:line="500" w:lineRule="exact"/>
      <w:jc w:val="left"/>
      <w:outlineLvl w:val="8"/>
    </w:pPr>
    <w:rPr>
      <w:rFonts w:cs="宋体"/>
      <w:szCs w:val="20"/>
    </w:rPr>
  </w:style>
  <w:style w:type="paragraph" w:customStyle="1" w:styleId="65">
    <w:name w:val="彩色列表1"/>
    <w:basedOn w:val="1"/>
    <w:qFormat/>
    <w:uiPriority w:val="0"/>
    <w:pPr>
      <w:widowControl/>
      <w:ind w:firstLine="200" w:firstLineChars="200"/>
      <w:jc w:val="left"/>
    </w:pPr>
    <w:rPr>
      <w:rFonts w:ascii="Calibri" w:hAnsi="Calibri" w:eastAsia="宋体"/>
      <w:kern w:val="0"/>
      <w:sz w:val="24"/>
    </w:rPr>
  </w:style>
  <w:style w:type="paragraph" w:customStyle="1" w:styleId="66">
    <w:name w:val="正文 A"/>
    <w:qFormat/>
    <w:uiPriority w:val="0"/>
    <w:pPr>
      <w:widowControl w:val="0"/>
      <w:jc w:val="both"/>
    </w:pPr>
    <w:rPr>
      <w:rFonts w:ascii="Calibri" w:hAnsi="Calibri" w:eastAsia="Arial Unicode MS" w:cs="Arial Unicode MS"/>
      <w:color w:val="000000"/>
      <w:kern w:val="2"/>
      <w:sz w:val="21"/>
      <w:szCs w:val="21"/>
      <w:lang w:val="en-US" w:eastAsia="zh-CN" w:bidi="ar-SA"/>
    </w:rPr>
  </w:style>
  <w:style w:type="character" w:customStyle="1" w:styleId="67">
    <w:name w:val="无"/>
    <w:qFormat/>
    <w:uiPriority w:val="0"/>
  </w:style>
  <w:style w:type="paragraph" w:customStyle="1" w:styleId="68">
    <w:name w:val="表格2"/>
    <w:basedOn w:val="1"/>
    <w:qFormat/>
    <w:uiPriority w:val="0"/>
    <w:pPr>
      <w:adjustRightInd w:val="0"/>
      <w:spacing w:after="60" w:line="360" w:lineRule="atLeast"/>
      <w:ind w:left="72" w:leftChars="30" w:right="72" w:rightChars="30"/>
      <w:jc w:val="center"/>
      <w:textAlignment w:val="baseline"/>
    </w:pPr>
    <w:rPr>
      <w:rFonts w:hint="default" w:ascii="Arial" w:hAnsi="Times New Roman" w:eastAsia="黑体"/>
      <w:color w:val="auto"/>
      <w:kern w:val="0"/>
      <w:szCs w:val="20"/>
    </w:rPr>
  </w:style>
  <w:style w:type="paragraph" w:customStyle="1" w:styleId="69">
    <w:name w:val="表格1"/>
    <w:basedOn w:val="1"/>
    <w:qFormat/>
    <w:uiPriority w:val="0"/>
    <w:pPr>
      <w:adjustRightInd w:val="0"/>
      <w:spacing w:after="60" w:line="360" w:lineRule="atLeast"/>
      <w:ind w:left="72" w:leftChars="30" w:right="72" w:rightChars="30"/>
      <w:jc w:val="center"/>
      <w:textAlignment w:val="baseline"/>
    </w:pPr>
    <w:rPr>
      <w:rFonts w:hint="default" w:ascii="Times New Roman" w:hAnsi="Times New Roman" w:eastAsia="宋体"/>
      <w:color w:val="auto"/>
      <w:kern w:val="0"/>
      <w:szCs w:val="20"/>
    </w:rPr>
  </w:style>
  <w:style w:type="paragraph" w:customStyle="1" w:styleId="70">
    <w:name w:val="Table Paragraph"/>
    <w:basedOn w:val="1"/>
    <w:qFormat/>
    <w:uiPriority w:val="1"/>
    <w:pPr>
      <w:autoSpaceDE w:val="0"/>
      <w:autoSpaceDN w:val="0"/>
      <w:jc w:val="left"/>
    </w:pPr>
    <w:rPr>
      <w:rFonts w:hint="default" w:ascii="宋体" w:hAnsi="宋体" w:eastAsia="宋体" w:cs="宋体"/>
      <w:color w:val="auto"/>
      <w:kern w:val="0"/>
      <w:sz w:val="22"/>
      <w:szCs w:val="22"/>
    </w:rPr>
  </w:style>
  <w:style w:type="paragraph" w:customStyle="1" w:styleId="71">
    <w:name w:val="修订2"/>
    <w:hidden/>
    <w:unhideWhenUsed/>
    <w:qFormat/>
    <w:uiPriority w:val="99"/>
    <w:rPr>
      <w:rFonts w:hint="eastAsia" w:ascii="Arial Unicode MS" w:hAnsi="Arial Unicode MS" w:eastAsia="Arial Unicode MS" w:cs="Times New Roman"/>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17583</Words>
  <Characters>18230</Characters>
  <Lines>163</Lines>
  <Paragraphs>46</Paragraphs>
  <TotalTime>9</TotalTime>
  <ScaleCrop>false</ScaleCrop>
  <LinksUpToDate>false</LinksUpToDate>
  <CharactersWithSpaces>18357</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2026-01-25T17:04:00Z</dcterms:created>
  <dc:creator>40955</dc:creator>
  <cp:lastModifiedBy>冯子倩</cp:lastModifiedBy>
  <dcterms:modified xsi:type="dcterms:W3CDTF">2026-02-03T11:17:44Z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eyJoZGlkIjoiYTgxOWMzNzQxYTNjMmRiZmJkMTVhOTU3ZmVmNjIxMGYiLCJ1c2VySWQiOiIzODk3NjY3NjAifQ==</vt:lpwstr>
  </property>
  <property fmtid="{D5CDD505-2E9C-101B-9397-08002B2CF9AE}" pid="3" name="KSOProductBuildVer">
    <vt:lpwstr>2052-12.1.2.24722</vt:lpwstr>
  </property>
  <property fmtid="{D5CDD505-2E9C-101B-9397-08002B2CF9AE}" pid="4" name="ICV">
    <vt:lpwstr>1EAD402365A4C0174D0A7369A463BE6D_43</vt:lpwstr>
  </property>
</Properties>
</file>