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03E3E">
      <w:pPr>
        <w:keepLines w:val="0"/>
        <w:pageBreakBefore w:val="0"/>
        <w:kinsoku/>
        <w:wordWrap/>
        <w:topLinePunct w:val="0"/>
        <w:bidi w:val="0"/>
        <w:snapToGrid w:val="0"/>
        <w:spacing w:before="0" w:after="0" w:line="600" w:lineRule="exact"/>
        <w:jc w:val="center"/>
        <w:outlineLvl w:val="9"/>
        <w:rPr>
          <w:rFonts w:hint="default" w:ascii="Times New Roman" w:hAnsi="Times New Roman" w:eastAsia="方正小标宋简体" w:cs="Times New Roman"/>
          <w:sz w:val="44"/>
          <w:szCs w:val="44"/>
          <w:highlight w:val="none"/>
          <w:lang w:val="en-US" w:eastAsia="zh-CN"/>
        </w:rPr>
      </w:pPr>
    </w:p>
    <w:p w14:paraId="7302FC70">
      <w:pPr>
        <w:keepLines w:val="0"/>
        <w:pageBreakBefore w:val="0"/>
        <w:kinsoku/>
        <w:wordWrap/>
        <w:topLinePunct w:val="0"/>
        <w:bidi w:val="0"/>
        <w:snapToGrid w:val="0"/>
        <w:spacing w:before="0" w:after="0" w:line="600" w:lineRule="exact"/>
        <w:jc w:val="center"/>
        <w:outlineLvl w:val="9"/>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方正小标宋简体" w:cs="Times New Roman"/>
          <w:sz w:val="44"/>
          <w:szCs w:val="44"/>
          <w:highlight w:val="none"/>
          <w:lang w:val="en-US" w:eastAsia="zh-CN"/>
        </w:rPr>
        <w:t>数字公共服务体系建设采购需求书</w:t>
      </w:r>
    </w:p>
    <w:p w14:paraId="1754D59D">
      <w:pPr>
        <w:keepLines w:val="0"/>
        <w:pageBreakBefore w:val="0"/>
        <w:kinsoku/>
        <w:wordWrap/>
        <w:topLinePunct w:val="0"/>
        <w:bidi w:val="0"/>
        <w:snapToGrid w:val="0"/>
        <w:spacing w:line="600" w:lineRule="exact"/>
        <w:ind w:firstLine="643" w:firstLineChars="200"/>
        <w:jc w:val="left"/>
        <w:outlineLvl w:val="9"/>
        <w:rPr>
          <w:rFonts w:hint="default" w:ascii="Times New Roman" w:hAnsi="Times New Roman" w:eastAsia="黑体" w:cs="Times New Roman"/>
          <w:b/>
          <w:bCs/>
          <w:sz w:val="32"/>
          <w:szCs w:val="32"/>
          <w:highlight w:val="none"/>
        </w:rPr>
      </w:pPr>
    </w:p>
    <w:p w14:paraId="70D7B08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rPr>
        <w:t>一、项目背景</w:t>
      </w:r>
      <w:r>
        <w:rPr>
          <w:rFonts w:hint="default" w:ascii="Times New Roman" w:hAnsi="Times New Roman" w:eastAsia="黑体" w:cs="Times New Roman"/>
          <w:b w:val="0"/>
          <w:bCs w:val="0"/>
          <w:sz w:val="32"/>
          <w:szCs w:val="32"/>
          <w:highlight w:val="none"/>
          <w:lang w:val="en-US" w:eastAsia="zh-CN"/>
        </w:rPr>
        <w:t>及概况</w:t>
      </w:r>
    </w:p>
    <w:p w14:paraId="52E83731">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为深入贯彻国家全域数字化转型战略部署，落实上海城市数字化转型工作要求，巩固本市数字公共服务体系建设基础，进一步提升服务规范化、专业化、智能化水平，破解企业数字化转型痛点，助力数字经济高质量发展，拟通过本次采购引入专业服务力量，强化数字公共服务生态建设、国家重大项目申报管理、数字化转型示范场景培育等工作，推动数字公共服务提质增效、走深走实。</w:t>
      </w:r>
    </w:p>
    <w:p w14:paraId="5DAC80F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lang w:val="en-US" w:eastAsia="zh-CN"/>
        </w:rPr>
        <w:t>二</w:t>
      </w:r>
      <w:r>
        <w:rPr>
          <w:rFonts w:hint="default" w:ascii="Times New Roman" w:hAnsi="Times New Roman" w:eastAsia="黑体" w:cs="Times New Roman"/>
          <w:b w:val="0"/>
          <w:bCs w:val="0"/>
          <w:sz w:val="32"/>
          <w:szCs w:val="32"/>
          <w:highlight w:val="none"/>
        </w:rPr>
        <w:t>、</w:t>
      </w:r>
      <w:r>
        <w:rPr>
          <w:rFonts w:hint="default" w:ascii="Times New Roman" w:hAnsi="Times New Roman" w:eastAsia="黑体" w:cs="Times New Roman"/>
          <w:b w:val="0"/>
          <w:bCs w:val="0"/>
          <w:sz w:val="32"/>
          <w:szCs w:val="32"/>
          <w:highlight w:val="none"/>
          <w:lang w:val="en-US" w:eastAsia="zh-CN"/>
        </w:rPr>
        <w:t>服务</w:t>
      </w:r>
      <w:r>
        <w:rPr>
          <w:rFonts w:hint="default" w:ascii="Times New Roman" w:hAnsi="Times New Roman" w:eastAsia="黑体" w:cs="Times New Roman"/>
          <w:b w:val="0"/>
          <w:bCs w:val="0"/>
          <w:sz w:val="32"/>
          <w:szCs w:val="32"/>
          <w:highlight w:val="none"/>
        </w:rPr>
        <w:t>内容</w:t>
      </w:r>
    </w:p>
    <w:p w14:paraId="49E81589">
      <w:pPr>
        <w:keepLines w:val="0"/>
        <w:pageBreakBefore w:val="0"/>
        <w:kinsoku/>
        <w:wordWrap/>
        <w:topLinePunct w:val="0"/>
        <w:bidi w:val="0"/>
        <w:snapToGrid w:val="0"/>
        <w:spacing w:line="600" w:lineRule="exact"/>
        <w:ind w:firstLine="643" w:firstLineChars="200"/>
        <w:jc w:val="left"/>
        <w:outlineLvl w:val="9"/>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（一）数字服务官体系建设与能力提升</w:t>
      </w:r>
    </w:p>
    <w:p w14:paraId="7A283925">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1.数字服务官队伍体系化建设：开展队伍全维度调研梳理，完成服务官画像分析报告，收集数字服务官服务案例、制定数字服务官服务积分手册，开展服务官专题培训等。</w:t>
      </w:r>
    </w:p>
    <w:p w14:paraId="6402294B">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智能化工具箱服务：围绕数字服务官效能提升、企业供需精准对接目标，结合上海数字公共服务体系要求，编制数字服务官智能化工具箱服务内容方案，完成智能化工具箱全流程服务应用，确保工具箱在便捷程度、服务效率、解决方案有效性等指标上达到实用水平。</w:t>
      </w:r>
    </w:p>
    <w:p w14:paraId="78DF8B0F">
      <w:pPr>
        <w:keepLines w:val="0"/>
        <w:pageBreakBefore w:val="0"/>
        <w:kinsoku/>
        <w:wordWrap/>
        <w:topLinePunct w:val="0"/>
        <w:bidi w:val="0"/>
        <w:snapToGrid w:val="0"/>
        <w:spacing w:line="600" w:lineRule="exact"/>
        <w:ind w:firstLine="643" w:firstLineChars="200"/>
        <w:jc w:val="left"/>
        <w:outlineLvl w:val="9"/>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（二）服务机构与平台运营管理</w:t>
      </w:r>
    </w:p>
    <w:p w14:paraId="3BCC4203">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.服务机构运营规范化建设：制定上海市数字公共服务机构运营指引，明确全场景实操标准与量化指标；建立常态化监测评估机制，每月编制运营评估报告、年末形成综合报告，全面掌握服务机构运营情况。</w:t>
      </w:r>
    </w:p>
    <w:p w14:paraId="16B9C83E">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.公共服务平台运营与升级：建立平台常态化问题收集与迭代机制，开展使用培训与指导，输出使用分析及改进方案；推进区块链技术应用，完成上链场景设计、存证模块开发上线，开展效果评估并形成报告。</w:t>
      </w:r>
    </w:p>
    <w:p w14:paraId="68639AB1">
      <w:pPr>
        <w:keepLines w:val="0"/>
        <w:pageBreakBefore w:val="0"/>
        <w:kinsoku/>
        <w:wordWrap/>
        <w:topLinePunct w:val="0"/>
        <w:bidi w:val="0"/>
        <w:snapToGrid w:val="0"/>
        <w:spacing w:line="600" w:lineRule="exact"/>
        <w:ind w:firstLine="643" w:firstLineChars="200"/>
        <w:jc w:val="left"/>
        <w:outlineLvl w:val="9"/>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（三）生态交流与成果推广</w:t>
      </w:r>
    </w:p>
    <w:p w14:paraId="7FCF5CEE">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.举办生态交流活动：制定交流活动产品的遴选细则、政策补贴方案及审核机制，完成活动全流程策划执行与成果总结，做好全流程宣传推广。</w:t>
      </w:r>
    </w:p>
    <w:p w14:paraId="7CA9A9D5">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.典型案例征集与汇编：在全市开展多领域数字公共服务典型案例征集，筛选提炼符合标准的案例，完成编撰汇编，形成体例统一、可复制推广的典型案例集。</w:t>
      </w:r>
    </w:p>
    <w:p w14:paraId="6F77F2D0">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7.组织供需对接会：围绕企业数字化转型痛点与服务商能力供给，常态化组织开展数字公共服务供需对接会，系统收集并梳理企业与服务商在场景应用、服务落地等环节提出的需求与建议，形成问题清单与改进建议，推动供需精准匹配与服务持续优化。</w:t>
      </w:r>
    </w:p>
    <w:p w14:paraId="1849FCB1">
      <w:pPr>
        <w:keepLines w:val="0"/>
        <w:pageBreakBefore w:val="0"/>
        <w:kinsoku/>
        <w:wordWrap/>
        <w:topLinePunct w:val="0"/>
        <w:bidi w:val="0"/>
        <w:snapToGrid w:val="0"/>
        <w:spacing w:line="600" w:lineRule="exact"/>
        <w:ind w:firstLine="643" w:firstLineChars="200"/>
        <w:jc w:val="left"/>
        <w:outlineLvl w:val="9"/>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（四）数字服务资源体系构建与目录管理</w:t>
      </w:r>
    </w:p>
    <w:p w14:paraId="621FCC6A">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.数字公共服务目录编制研究：研究编制上海市数字公共服务目录准入标准，构建完整的产品评估准入体系；梳理全市数字公共服务资源，形成上海市数字公共服务目录并推广复用。</w:t>
      </w:r>
    </w:p>
    <w:p w14:paraId="11F1723C">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提供</w:t>
      </w:r>
      <w:r>
        <w:rPr>
          <w:rFonts w:hint="default" w:ascii="Times New Roman" w:hAnsi="Times New Roman" w:eastAsia="仿宋_GB2312" w:cs="Times New Roman"/>
          <w:sz w:val="32"/>
          <w:szCs w:val="32"/>
          <w:highlight w:val="none"/>
          <w:lang w:val="en-US" w:eastAsia="zh-CN"/>
        </w:rPr>
        <w:t>行业综合解决方案：聚焦人工智能、智能汽车等细分行业领域，研究分析行业特点、供需情况，联合头部供应商，制定行业级数字服务解决方案；制定解决方案常态化推广机制，明确方案落地路径，依托区数据局、行业协会、中心驿站，通过推广会、交流会、社群、服务官等渠道，向全市进行推广落地；打造一批行业解决方案服务标杆案例，加强标杆引领和示范带动作用，推动同行业企业了解获取解决方案。</w:t>
      </w:r>
    </w:p>
    <w:p w14:paraId="0DCEACDF">
      <w:pPr>
        <w:keepLines w:val="0"/>
        <w:pageBreakBefore w:val="0"/>
        <w:kinsoku/>
        <w:wordWrap/>
        <w:topLinePunct w:val="0"/>
        <w:bidi w:val="0"/>
        <w:snapToGrid w:val="0"/>
        <w:spacing w:line="600" w:lineRule="exact"/>
        <w:ind w:firstLine="640" w:firstLineChars="200"/>
        <w:jc w:val="left"/>
        <w:outlineLvl w:val="9"/>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10.数字服务模式研究分析。跟踪捕捉国内外数字服务相关政策导向、行业热点事件、先进实践经验，围绕服务形态、运行机制、引入机制、推广机制等，系统性研究分析数字服务的概念分类、商业模式等，为培育壮大数字服务业提供坚实的内容支撑和专业指引。</w:t>
      </w:r>
    </w:p>
    <w:p w14:paraId="100D3F60">
      <w:pPr>
        <w:keepLines w:val="0"/>
        <w:pageBreakBefore w:val="0"/>
        <w:kinsoku/>
        <w:wordWrap/>
        <w:topLinePunct w:val="0"/>
        <w:bidi w:val="0"/>
        <w:snapToGrid w:val="0"/>
        <w:spacing w:line="600" w:lineRule="exact"/>
        <w:ind w:firstLine="643" w:firstLineChars="200"/>
        <w:jc w:val="left"/>
        <w:outlineLvl w:val="9"/>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（五）项目申报与管理服务</w:t>
      </w:r>
    </w:p>
    <w:p w14:paraId="41D52BD9">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11</w:t>
      </w:r>
      <w:r>
        <w:rPr>
          <w:rFonts w:hint="default" w:ascii="Times New Roman" w:hAnsi="Times New Roman" w:eastAsia="仿宋_GB2312" w:cs="Times New Roman"/>
          <w:sz w:val="32"/>
          <w:szCs w:val="32"/>
          <w:highlight w:val="none"/>
          <w:lang w:val="en-US" w:eastAsia="zh-CN"/>
        </w:rPr>
        <w:t>.重大项目申报与管理服务：组织国家级、市级项目申报/管理交流会，精准解读政策并开展实操辅导；构建项目全流程管理机制，梳理储备优质项目，提供一对一辅导，助力项目入选国家级/市级试点。</w:t>
      </w:r>
    </w:p>
    <w:p w14:paraId="43DF777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lang w:val="en-US" w:eastAsia="zh-CN"/>
        </w:rPr>
        <w:t>三</w:t>
      </w:r>
      <w:r>
        <w:rPr>
          <w:rFonts w:hint="default" w:ascii="Times New Roman" w:hAnsi="Times New Roman" w:eastAsia="黑体" w:cs="Times New Roman"/>
          <w:b w:val="0"/>
          <w:bCs w:val="0"/>
          <w:sz w:val="32"/>
          <w:szCs w:val="32"/>
          <w:highlight w:val="none"/>
        </w:rPr>
        <w:t>、</w:t>
      </w:r>
      <w:r>
        <w:rPr>
          <w:rFonts w:hint="default" w:ascii="Times New Roman" w:hAnsi="Times New Roman" w:eastAsia="黑体" w:cs="Times New Roman"/>
          <w:b w:val="0"/>
          <w:bCs w:val="0"/>
          <w:sz w:val="32"/>
          <w:szCs w:val="32"/>
          <w:highlight w:val="none"/>
          <w:lang w:val="en-US" w:eastAsia="zh-CN"/>
        </w:rPr>
        <w:t>服务</w:t>
      </w:r>
      <w:r>
        <w:rPr>
          <w:rFonts w:hint="default" w:ascii="Times New Roman" w:hAnsi="Times New Roman" w:eastAsia="黑体" w:cs="Times New Roman"/>
          <w:b w:val="0"/>
          <w:bCs w:val="0"/>
          <w:sz w:val="32"/>
          <w:szCs w:val="32"/>
          <w:highlight w:val="none"/>
        </w:rPr>
        <w:t>期限</w:t>
      </w:r>
    </w:p>
    <w:p w14:paraId="177EFF09">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自合同签订之日起至2026年11月30日。</w:t>
      </w:r>
    </w:p>
    <w:p w14:paraId="0C96A2F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四、</w:t>
      </w:r>
      <w:r>
        <w:rPr>
          <w:rFonts w:hint="default" w:ascii="Times New Roman" w:hAnsi="Times New Roman" w:eastAsia="黑体" w:cs="Times New Roman"/>
          <w:sz w:val="32"/>
          <w:szCs w:val="32"/>
        </w:rPr>
        <w:t>供应商及人员要求</w:t>
      </w:r>
    </w:p>
    <w:p w14:paraId="7C9578F5">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lang w:val="en-US" w:eastAsia="zh-CN"/>
        </w:rPr>
        <w:t>团队配置：</w:t>
      </w:r>
      <w:r>
        <w:rPr>
          <w:rFonts w:hint="default" w:ascii="Times New Roman" w:hAnsi="Times New Roman" w:eastAsia="仿宋_GB2312" w:cs="Times New Roman"/>
          <w:sz w:val="32"/>
          <w:szCs w:val="32"/>
          <w:highlight w:val="none"/>
          <w:lang w:val="en-US" w:eastAsia="zh-CN"/>
        </w:rPr>
        <w:t>供应商须组建不少于</w:t>
      </w:r>
      <w:r>
        <w:rPr>
          <w:rFonts w:hint="eastAsia"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lang w:val="en-US" w:eastAsia="zh-CN"/>
        </w:rPr>
        <w:t>人的专属服务团队，明确</w:t>
      </w:r>
      <w:r>
        <w:rPr>
          <w:rFonts w:hint="eastAsia" w:ascii="Times New Roman" w:hAnsi="Times New Roman" w:eastAsia="仿宋_GB2312" w:cs="Times New Roman"/>
          <w:sz w:val="32"/>
          <w:szCs w:val="32"/>
          <w:highlight w:val="none"/>
          <w:lang w:val="en-US" w:eastAsia="zh-CN"/>
        </w:rPr>
        <w:t>项目经理</w:t>
      </w:r>
      <w:r>
        <w:rPr>
          <w:rFonts w:hint="default" w:ascii="Times New Roman" w:hAnsi="Times New Roman" w:eastAsia="仿宋_GB2312" w:cs="Times New Roman"/>
          <w:sz w:val="32"/>
          <w:szCs w:val="32"/>
          <w:highlight w:val="none"/>
          <w:lang w:val="en-US" w:eastAsia="zh-CN"/>
        </w:rPr>
        <w:t>、专职支撑人员及核心执行人员的岗位配置与职责分工</w:t>
      </w:r>
      <w:r>
        <w:rPr>
          <w:rFonts w:hint="eastAsia" w:ascii="Times New Roman" w:hAnsi="Times New Roman" w:eastAsia="仿宋_GB2312" w:cs="Times New Roman"/>
          <w:sz w:val="32"/>
          <w:szCs w:val="32"/>
          <w:highlight w:val="none"/>
          <w:lang w:val="en-US" w:eastAsia="zh-CN"/>
        </w:rPr>
        <w:t>（其中核心执行人员不少于5人）</w:t>
      </w:r>
      <w:r>
        <w:rPr>
          <w:rFonts w:hint="default" w:ascii="Times New Roman" w:hAnsi="Times New Roman" w:eastAsia="仿宋_GB2312" w:cs="Times New Roman"/>
          <w:sz w:val="32"/>
          <w:szCs w:val="32"/>
          <w:highlight w:val="none"/>
          <w:lang w:val="en-US" w:eastAsia="zh-CN"/>
        </w:rPr>
        <w:t>。每月驻场服务人日不少于15人日，确保及时响应项目推进过程中的各类需求。</w:t>
      </w:r>
    </w:p>
    <w:p w14:paraId="4B04A52F">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2.资质经验：项目经理</w:t>
      </w:r>
      <w:r>
        <w:rPr>
          <w:rFonts w:hint="default" w:ascii="Times New Roman" w:hAnsi="Times New Roman" w:eastAsia="仿宋_GB2312" w:cs="Times New Roman"/>
          <w:sz w:val="32"/>
          <w:szCs w:val="32"/>
          <w:highlight w:val="none"/>
          <w:lang w:val="en-US" w:eastAsia="zh-CN"/>
        </w:rPr>
        <w:t>具备8年</w:t>
      </w:r>
      <w:r>
        <w:rPr>
          <w:rFonts w:hint="eastAsia" w:ascii="Times New Roman" w:hAnsi="Times New Roman" w:eastAsia="仿宋_GB2312" w:cs="Times New Roman"/>
          <w:sz w:val="32"/>
          <w:szCs w:val="32"/>
          <w:highlight w:val="none"/>
          <w:lang w:val="en-US" w:eastAsia="zh-CN"/>
        </w:rPr>
        <w:t>及</w:t>
      </w:r>
      <w:r>
        <w:rPr>
          <w:rFonts w:hint="default" w:ascii="Times New Roman" w:hAnsi="Times New Roman" w:eastAsia="仿宋_GB2312" w:cs="Times New Roman"/>
          <w:sz w:val="32"/>
          <w:szCs w:val="32"/>
          <w:highlight w:val="none"/>
          <w:lang w:val="en-US" w:eastAsia="zh-CN"/>
        </w:rPr>
        <w:t>以上政务或数字化项目运营管理经验</w:t>
      </w:r>
      <w:r>
        <w:rPr>
          <w:rFonts w:hint="eastAsia" w:ascii="Times New Roman" w:hAnsi="Times New Roman" w:eastAsia="仿宋_GB2312" w:cs="Times New Roman"/>
          <w:sz w:val="32"/>
          <w:szCs w:val="32"/>
          <w:highlight w:val="none"/>
          <w:lang w:val="en-US" w:eastAsia="zh-CN"/>
        </w:rPr>
        <w:t>的优先考虑</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需</w:t>
      </w:r>
      <w:r>
        <w:rPr>
          <w:rFonts w:hint="default" w:ascii="Times New Roman" w:hAnsi="Times New Roman" w:eastAsia="仿宋_GB2312" w:cs="Times New Roman"/>
          <w:sz w:val="32"/>
          <w:szCs w:val="32"/>
          <w:highlight w:val="none"/>
          <w:lang w:val="en-US" w:eastAsia="zh-CN"/>
        </w:rPr>
        <w:t>具备统筹项目顶层设计、整体规划与团队管理的能力。核心成员具备5年</w:t>
      </w:r>
      <w:r>
        <w:rPr>
          <w:rFonts w:hint="eastAsia" w:ascii="Times New Roman" w:hAnsi="Times New Roman" w:eastAsia="仿宋_GB2312" w:cs="Times New Roman"/>
          <w:sz w:val="32"/>
          <w:szCs w:val="32"/>
          <w:highlight w:val="none"/>
          <w:lang w:val="en-US" w:eastAsia="zh-CN"/>
        </w:rPr>
        <w:t>及</w:t>
      </w:r>
      <w:r>
        <w:rPr>
          <w:rFonts w:hint="default" w:ascii="Times New Roman" w:hAnsi="Times New Roman" w:eastAsia="仿宋_GB2312" w:cs="Times New Roman"/>
          <w:sz w:val="32"/>
          <w:szCs w:val="32"/>
          <w:highlight w:val="none"/>
          <w:lang w:val="en-US" w:eastAsia="zh-CN"/>
        </w:rPr>
        <w:t>以上数字化转型、项目申报管理或政策研究相关经验</w:t>
      </w:r>
      <w:r>
        <w:rPr>
          <w:rFonts w:hint="eastAsia" w:ascii="Times New Roman" w:hAnsi="Times New Roman" w:eastAsia="仿宋_GB2312" w:cs="Times New Roman"/>
          <w:sz w:val="32"/>
          <w:szCs w:val="32"/>
          <w:highlight w:val="none"/>
          <w:lang w:val="en-US" w:eastAsia="zh-CN"/>
        </w:rPr>
        <w:t>的优先考虑</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需</w:t>
      </w:r>
      <w:r>
        <w:rPr>
          <w:rFonts w:hint="default" w:ascii="Times New Roman" w:hAnsi="Times New Roman" w:eastAsia="仿宋_GB2312" w:cs="Times New Roman"/>
          <w:sz w:val="32"/>
          <w:szCs w:val="32"/>
          <w:highlight w:val="none"/>
          <w:lang w:val="en-US" w:eastAsia="zh-CN"/>
        </w:rPr>
        <w:t>熟悉国家及上海市数字化转型相关政策，具备政策解读、标准编撰、研究报告撰写等能力。团队成员应具备良好的文字编撰、数据分析与活动策划执行能力，能够支撑项目全流程服务需求。</w:t>
      </w:r>
    </w:p>
    <w:p w14:paraId="0B5F4CE4">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3.项目经验：项目经理及核心成员应主持或参与过至少2个地市级及以上数字化相关项目，具备数字化规范、标准或白皮书等文件的编撰经验，相关成果曾被市级及以上主管部门采纳或参考。</w:t>
      </w:r>
    </w:p>
    <w:p w14:paraId="3B62341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lang w:val="en-US" w:eastAsia="zh-CN"/>
        </w:rPr>
        <w:t>五</w:t>
      </w:r>
      <w:r>
        <w:rPr>
          <w:rFonts w:hint="default" w:ascii="Times New Roman" w:hAnsi="Times New Roman" w:eastAsia="黑体" w:cs="Times New Roman"/>
          <w:b w:val="0"/>
          <w:bCs w:val="0"/>
          <w:sz w:val="32"/>
          <w:szCs w:val="32"/>
          <w:highlight w:val="none"/>
        </w:rPr>
        <w:t>、付款方式</w:t>
      </w:r>
    </w:p>
    <w:p w14:paraId="100E330B">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合同签订</w:t>
      </w:r>
      <w:r>
        <w:rPr>
          <w:rFonts w:hint="eastAsia" w:ascii="Times New Roman" w:hAnsi="Times New Roman" w:eastAsia="仿宋_GB2312" w:cs="Times New Roman"/>
          <w:sz w:val="32"/>
          <w:szCs w:val="32"/>
          <w:highlight w:val="none"/>
          <w:lang w:val="en-US" w:eastAsia="zh-CN"/>
        </w:rPr>
        <w:t>生效</w:t>
      </w:r>
      <w:r>
        <w:rPr>
          <w:rFonts w:hint="default" w:ascii="Times New Roman" w:hAnsi="Times New Roman" w:eastAsia="仿宋_GB2312" w:cs="Times New Roman"/>
          <w:sz w:val="32"/>
          <w:szCs w:val="32"/>
          <w:highlight w:val="none"/>
          <w:lang w:val="en-US" w:eastAsia="zh-CN"/>
        </w:rPr>
        <w:t>且采购人</w:t>
      </w:r>
      <w:r>
        <w:rPr>
          <w:rFonts w:hint="eastAsia" w:ascii="Times New Roman" w:hAnsi="Times New Roman" w:eastAsia="仿宋_GB2312" w:cs="Times New Roman"/>
          <w:sz w:val="32"/>
          <w:szCs w:val="32"/>
          <w:highlight w:val="none"/>
          <w:lang w:val="en-US" w:eastAsia="zh-CN"/>
        </w:rPr>
        <w:t>收到</w:t>
      </w:r>
      <w:r>
        <w:rPr>
          <w:rFonts w:hint="default" w:ascii="Times New Roman" w:hAnsi="Times New Roman" w:eastAsia="仿宋_GB2312" w:cs="Times New Roman"/>
          <w:sz w:val="32"/>
          <w:szCs w:val="32"/>
          <w:highlight w:val="none"/>
          <w:lang w:val="en-US" w:eastAsia="zh-CN"/>
        </w:rPr>
        <w:t>发票后</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0个工作日内，支付</w:t>
      </w:r>
      <w:r>
        <w:rPr>
          <w:rFonts w:hint="eastAsia" w:ascii="Times New Roman" w:hAnsi="Times New Roman" w:eastAsia="仿宋_GB2312" w:cs="Times New Roman"/>
          <w:sz w:val="32"/>
          <w:szCs w:val="32"/>
          <w:highlight w:val="none"/>
          <w:lang w:val="en-US" w:eastAsia="zh-CN"/>
        </w:rPr>
        <w:t>合同金额的50</w:t>
      </w:r>
      <w:r>
        <w:rPr>
          <w:rFonts w:hint="default" w:ascii="Times New Roman" w:hAnsi="Times New Roman" w:eastAsia="仿宋_GB2312" w:cs="Times New Roman"/>
          <w:sz w:val="32"/>
          <w:szCs w:val="32"/>
          <w:highlight w:val="none"/>
          <w:lang w:val="en-US" w:eastAsia="zh-CN"/>
        </w:rPr>
        <w:t>%。验收通过且采购人</w:t>
      </w:r>
      <w:r>
        <w:rPr>
          <w:rFonts w:hint="eastAsia" w:ascii="Times New Roman" w:hAnsi="Times New Roman" w:eastAsia="仿宋_GB2312" w:cs="Times New Roman"/>
          <w:sz w:val="32"/>
          <w:szCs w:val="32"/>
          <w:highlight w:val="none"/>
          <w:lang w:val="en-US" w:eastAsia="zh-CN"/>
        </w:rPr>
        <w:t>收到</w:t>
      </w:r>
      <w:r>
        <w:rPr>
          <w:rFonts w:hint="default" w:ascii="Times New Roman" w:hAnsi="Times New Roman" w:eastAsia="仿宋_GB2312" w:cs="Times New Roman"/>
          <w:sz w:val="32"/>
          <w:szCs w:val="32"/>
          <w:highlight w:val="none"/>
          <w:lang w:val="en-US" w:eastAsia="zh-CN"/>
        </w:rPr>
        <w:t>发票后</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0个工作日内，支付</w:t>
      </w:r>
      <w:r>
        <w:rPr>
          <w:rFonts w:hint="eastAsia" w:ascii="Times New Roman" w:hAnsi="Times New Roman" w:eastAsia="仿宋_GB2312" w:cs="Times New Roman"/>
          <w:sz w:val="32"/>
          <w:szCs w:val="32"/>
          <w:highlight w:val="none"/>
          <w:lang w:val="en-US" w:eastAsia="zh-CN"/>
        </w:rPr>
        <w:t>合同金额的5</w:t>
      </w:r>
      <w:r>
        <w:rPr>
          <w:rFonts w:hint="default" w:ascii="Times New Roman" w:hAnsi="Times New Roman" w:eastAsia="仿宋_GB2312" w:cs="Times New Roman"/>
          <w:sz w:val="32"/>
          <w:szCs w:val="32"/>
          <w:highlight w:val="none"/>
          <w:lang w:val="en-US" w:eastAsia="zh-CN"/>
        </w:rPr>
        <w:t>0%。</w:t>
      </w:r>
    </w:p>
    <w:p w14:paraId="0BF6DC7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rPr>
        <w:t>六、成果交付</w:t>
      </w:r>
    </w:p>
    <w:p w14:paraId="5C88A58D">
      <w:pPr>
        <w:keepLines w:val="0"/>
        <w:pageBreakBefore w:val="0"/>
        <w:kinsoku/>
        <w:wordWrap/>
        <w:topLinePunct w:val="0"/>
        <w:bidi w:val="0"/>
        <w:snapToGrid w:val="0"/>
        <w:spacing w:line="600" w:lineRule="exact"/>
        <w:ind w:firstLine="643" w:firstLineChars="200"/>
        <w:jc w:val="left"/>
        <w:outlineLvl w:val="9"/>
        <w:rPr>
          <w:rFonts w:hint="default"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（一）数字服务官体系建设与能力提升成果</w:t>
      </w:r>
    </w:p>
    <w:p w14:paraId="5F266DBC">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t>1.全年累计开展不少于20场数字服务官专题培训，每场活动参与人数不少于30人，全年活动累计覆盖不少于600人次。每场活动需明确1个核心培训主题，内容包括但不限于数字政策解读、公共服务数字化技能、平台操作实务、典型案例复盘、问题研讨与解决方案共创等。形成1份《年度数字服务培训成效报告》，需客观反映人员覆盖、内容落实、能力提升及实际培训效果，确保数据真实、内容完整、结论清晰。</w:t>
      </w:r>
    </w:p>
    <w:p w14:paraId="3D3CE8E2">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t>2.形成1份《数字服务官画像分析报告》。对全市数字服务官进行画像建模，标签维度包括但不限于：基础信息、岗位属性、服务年限、参与培训情况、知识掌握程度、实操能力、服务成效、企业评价、擅长领域、薄弱环节、成长潜力等，全面刻画服务官能力特征与履职现状。报告需基于真实数据，客观分析群体特征、能力短板及结构分布，全面展现全市服务官整体能力水平、队伍结构特点。</w:t>
      </w:r>
    </w:p>
    <w:p w14:paraId="4323165F">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t>3.试点数字服务官智能化服务工作台，包括但不限于支持人员、资源、需求、服务事项等多维度智能匹配与精准推荐，为服务官提供业务管理、需求预测、资源整理、方案生成、案例参考、智能问答、政策查询等功能，推动提升服务效能。工作台的功能使用便捷程度、全过程服务效率、解决方案有效性等关键性能指标达到行业实用标准，支持与现有业务系统、数据平台安全对接，具备稳定运行、灵活扩展、便捷维护能力。</w:t>
      </w:r>
    </w:p>
    <w:p w14:paraId="4ABEE4F2">
      <w:pPr>
        <w:keepLines w:val="0"/>
        <w:pageBreakBefore w:val="0"/>
        <w:kinsoku/>
        <w:wordWrap/>
        <w:topLinePunct w:val="0"/>
        <w:bidi w:val="0"/>
        <w:snapToGrid w:val="0"/>
        <w:spacing w:line="600" w:lineRule="exact"/>
        <w:ind w:firstLine="643" w:firstLineChars="200"/>
        <w:jc w:val="left"/>
        <w:outlineLvl w:val="9"/>
        <w:rPr>
          <w:rFonts w:hint="default"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（二）服务机构与平台运营管理成果</w:t>
      </w:r>
    </w:p>
    <w:p w14:paraId="5C925155">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t>4.研究制定1份《上海市数字公共服务机构运营指引》，要求内容体系完整、结构清晰、逻辑严谨，满足机构日常运营、管理、服务、保障等全场景实操需要。运营指引需涵盖场地、人员、平台、工单、生态建设等方面，对场地与设施配置标准、人员岗位职责、服务流程规范、日常运营管理制度、平台使用及规范化操作、服务档案管理规范、服务标准、服务质量管控机制、宣传等内容提出量化指标要求，为全市数字公共服务机构的规范化、标准化、长效化运营提供全流程操作依据与实施手册，推动实现全市31家服务机构实现100%正常运行。</w:t>
      </w:r>
    </w:p>
    <w:p w14:paraId="56574B74">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t>5.全年形成不少于10套（每月1套，</w:t>
      </w:r>
      <w:r>
        <w:rPr>
          <w:rFonts w:hint="eastAsia" w:ascii="Times New Roman" w:hAnsi="Times New Roman" w:eastAsia="仿宋_GB2312" w:cs="Times New Roman"/>
          <w:bCs/>
          <w:sz w:val="32"/>
          <w:szCs w:val="32"/>
          <w:highlight w:val="none"/>
          <w:lang w:val="en-US" w:eastAsia="zh-CN"/>
        </w:rPr>
        <w:t>每套包含</w:t>
      </w:r>
      <w:r>
        <w:rPr>
          <w:rFonts w:hint="default" w:ascii="Times New Roman" w:hAnsi="Times New Roman" w:eastAsia="仿宋_GB2312" w:cs="Times New Roman"/>
          <w:bCs/>
          <w:sz w:val="32"/>
          <w:szCs w:val="32"/>
          <w:highlight w:val="none"/>
          <w:lang w:val="en-US" w:eastAsia="zh-CN"/>
        </w:rPr>
        <w:t>31份）的《上海市数字公共服务机构运营评估报告》和1份年度运营综合评估报告。报告需重点跟踪机构场地运行、人员配置、服务开展、工单录入、资源接入、生态建设等核心运营成效，为机构运营提供操作指引。围绕机构阶段性运营成效与特色化运营方向，开展一对一专项监督，及时发现问题并提出整改意见，全面掌握全市服务机构的运营情况。</w:t>
      </w:r>
    </w:p>
    <w:p w14:paraId="0084BD05">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运营上海市数字公共服务平台。建立常态化问题收集机制，系统梳理用户反馈并分类归档形成清单，对接开发团队推进版本迭代，开展新版本测试与效果评估。提供平台使用培训与操作指导，并形成平台使用活跃度提升与使用情况分析报告和改进方案。推进，明确应用目标、确定技术路径、完成上线运行，实现应用场景100%上链，形成平台区块链应用效果评估报告。</w:t>
      </w:r>
    </w:p>
    <w:p w14:paraId="0922CA89">
      <w:pPr>
        <w:keepLines w:val="0"/>
        <w:pageBreakBefore w:val="0"/>
        <w:kinsoku/>
        <w:wordWrap/>
        <w:topLinePunct w:val="0"/>
        <w:bidi w:val="0"/>
        <w:snapToGrid w:val="0"/>
        <w:spacing w:line="600" w:lineRule="exact"/>
        <w:ind w:firstLine="643" w:firstLineChars="200"/>
        <w:jc w:val="left"/>
        <w:outlineLvl w:val="9"/>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（三）生态交流与成果推广</w:t>
      </w:r>
    </w:p>
    <w:p w14:paraId="3B94B567">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eastAsia" w:ascii="Times New Roman" w:hAnsi="Times New Roman" w:eastAsia="仿宋_GB2312" w:cs="Times New Roman"/>
          <w:bCs/>
          <w:sz w:val="32"/>
          <w:szCs w:val="32"/>
          <w:highlight w:val="none"/>
          <w:lang w:val="en-US" w:eastAsia="zh-CN"/>
        </w:rPr>
        <w:t>7</w:t>
      </w:r>
      <w:r>
        <w:rPr>
          <w:rFonts w:hint="default" w:ascii="Times New Roman" w:hAnsi="Times New Roman" w:eastAsia="仿宋_GB2312" w:cs="Times New Roman"/>
          <w:bCs/>
          <w:sz w:val="32"/>
          <w:szCs w:val="32"/>
          <w:highlight w:val="none"/>
          <w:lang w:val="en-US" w:eastAsia="zh-CN"/>
        </w:rPr>
        <w:t>.全年累计举办不少于10场数字公共服务生态交流活动。需研究形成生态交流活动优秀产品的遴选细则、政策补贴方案及审核机制等内容。活动需设计供需对接、主题沙龙、成果推介、专题研讨等类型，需有效联动各区数据局、数字公共服务中心/驿站、行业协会、龙头企业及中小企业等多元参与方。全年活动参与企业数量不少于200家次，优秀产品发布数量不少于40项，意向合作签约不少于30家。</w:t>
      </w:r>
    </w:p>
    <w:p w14:paraId="7F7C3842">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.全年开展不少于10场数字公共服务供需对接会</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并形成问题需求清单、改进建议清单。聚焦企业数字化转型、场景应用、服务落地等关键环节，精准搭建政府、服务商、企业三方沟通桥梁，组织开展常态化调研和供需对接专题会，广泛征集供应商、企业对数字公共服务的需求、建议与意见，强化数字公共服务供需精准对接，全年涉及的服务供应商不少于50家，服务企业不少于100家，形成问题需求清单与改进建议清单，为优化数字公共服务供给、完善政策体系、提升服务效能提供坚实支撑。</w:t>
      </w:r>
    </w:p>
    <w:p w14:paraId="53CCEC2F">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t>9.形成覆盖多领域、高标准、可推广的数字公共服务典型案例汇编。全市范围内征集并提炼不少于30个上海市数字公共服务体系典型案例。案例需满足问题导向明确、服务举措具体、实施路径清晰、数字化特征突出、服务成效显著、可复制可推广等条件，需具备完整的背景介绍、实施过程、创新做法、量化成效、经验启示与推广建议，形成统一规范体例，确保案例真实、典型、好用、管用，为全市各区、各服务机构提供可复制、可推广的服务模式和实践经验。</w:t>
      </w:r>
    </w:p>
    <w:p w14:paraId="6C021FD2">
      <w:pPr>
        <w:keepLines w:val="0"/>
        <w:pageBreakBefore w:val="0"/>
        <w:kinsoku/>
        <w:wordWrap/>
        <w:topLinePunct w:val="0"/>
        <w:bidi w:val="0"/>
        <w:snapToGrid w:val="0"/>
        <w:spacing w:line="600" w:lineRule="exact"/>
        <w:ind w:firstLine="643" w:firstLineChars="200"/>
        <w:jc w:val="left"/>
        <w:outlineLvl w:val="9"/>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（四）数字服务资源体系构建与目录管理</w:t>
      </w:r>
    </w:p>
    <w:p w14:paraId="0CCEF360">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eastAsia" w:ascii="Times New Roman" w:hAnsi="Times New Roman" w:eastAsia="仿宋_GB2312" w:cs="Times New Roman"/>
          <w:bCs/>
          <w:sz w:val="32"/>
          <w:szCs w:val="32"/>
          <w:highlight w:val="none"/>
          <w:lang w:val="en-US" w:eastAsia="zh-CN"/>
        </w:rPr>
        <w:t>10</w:t>
      </w:r>
      <w:r>
        <w:rPr>
          <w:rFonts w:hint="default" w:ascii="Times New Roman" w:hAnsi="Times New Roman" w:eastAsia="仿宋_GB2312" w:cs="Times New Roman"/>
          <w:bCs/>
          <w:sz w:val="32"/>
          <w:szCs w:val="32"/>
          <w:highlight w:val="none"/>
          <w:lang w:val="en-US" w:eastAsia="zh-CN"/>
        </w:rPr>
        <w:t>.研究编制1份《上海市数字公共服务目录准入标准》。标准需具备对现有数字公共服务目录产品及未来新增数字公共服务产品全面、系统、专业评估的完整准入体系，涵盖准入要求、准入流程、分级标准等核心内容，可精准完成对各类服务的合规性、适用性、安全性、实用性、创新性等多维度评估，确保市级服务目录质量优越、贴合公共服务实际需求。</w:t>
      </w:r>
    </w:p>
    <w:p w14:paraId="16166D6F">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eastAsia" w:ascii="Times New Roman" w:hAnsi="Times New Roman" w:eastAsia="仿宋_GB2312" w:cs="Times New Roman"/>
          <w:bCs/>
          <w:sz w:val="32"/>
          <w:szCs w:val="32"/>
          <w:highlight w:val="none"/>
          <w:lang w:val="en-US" w:eastAsia="zh-CN"/>
        </w:rPr>
        <w:t>11</w:t>
      </w:r>
      <w:r>
        <w:rPr>
          <w:rFonts w:hint="default" w:ascii="Times New Roman" w:hAnsi="Times New Roman" w:eastAsia="仿宋_GB2312" w:cs="Times New Roman"/>
          <w:bCs/>
          <w:sz w:val="32"/>
          <w:szCs w:val="32"/>
          <w:highlight w:val="none"/>
          <w:lang w:val="en-US" w:eastAsia="zh-CN"/>
        </w:rPr>
        <w:t>.研究制定《上海市数字公共服务目录》。需统一市级目录字段规范、分类标准，明确服务名称、服务内容、适用行业、适用场景、服务价格、服务供应商等核心要素，形成结构清晰、查询便捷、口径统一、管理规范的市级目录，目录内容不少于50个，确保目录实用性和可读性。定期更新优化服务目录，根据服务实际使用次数、企业反馈等评价情况，定期完成市级服务目录的更新与优化，充分体现市级服务目录的专业性和前瞻性。</w:t>
      </w:r>
    </w:p>
    <w:p w14:paraId="70AD9E09">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形成不少于5个细分行业的《行业数字服务综合解决方案研究报告》。聚焦人工智能、智能汽车等细分行业领域，研究分析行业特点、痛点需求、供给资源等，联合头部供应商，制定不少于5个细分行业的数字服务综合解决方案。联合各区数据局、行业协会等机构，针对行业特点制定解决方案推广机制，提出方案落地路径，每个行业全年服务企业数量不少于50家。打造不少于10个的行业解决方案服务标杆案例，在全市进行宣传推广。</w:t>
      </w:r>
    </w:p>
    <w:p w14:paraId="59430FBE">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形成《数字商业服务模式研究报告》。建立国内外数字服务领域动态跟踪机制，全面、及时捕捉国内外数字服务相关的政策导向、行业热点事件、先进实践经验，围绕数字服务的形态、运行机制、引入机制、推广机制等，编制《数字服务商业模式研究报告》，研究数字服务的核心概念、服务分类，提出服务商业化、市场化的模式建议，为本地数字服务业培育发展提供专业指引，为孵化一批创新能力强、发展潜力大、服务质量优的优秀数字服务企业提供决策参考、路径建议。</w:t>
      </w:r>
    </w:p>
    <w:p w14:paraId="01AA01D0">
      <w:pPr>
        <w:keepLines w:val="0"/>
        <w:pageBreakBefore w:val="0"/>
        <w:kinsoku/>
        <w:wordWrap/>
        <w:topLinePunct w:val="0"/>
        <w:bidi w:val="0"/>
        <w:snapToGrid w:val="0"/>
        <w:spacing w:line="600" w:lineRule="exact"/>
        <w:ind w:firstLine="643" w:firstLineChars="200"/>
        <w:jc w:val="left"/>
        <w:outlineLvl w:val="9"/>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（五）项目申报与管理服务</w:t>
      </w:r>
    </w:p>
    <w:p w14:paraId="4B472F3C">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Cs/>
          <w:sz w:val="32"/>
          <w:szCs w:val="32"/>
          <w:highlight w:val="none"/>
          <w:lang w:val="en-US" w:eastAsia="zh-CN"/>
        </w:rPr>
        <w:t>组织召开不少于3场国家级或市级项目申报/管理交流会。开展政策精准解读（含申报条件、支持方向、流程规范及资金管理要求）与实操辅导，结合案例剖析讲解申报要点与材料编制，提升项目通过率。需强化资源对接，梳理储备优质项目不少于100个，覆盖全市16区及重点单位，推动深度洽谈与跟踪服务。力争助力上海至少4个重点项目入选国家级/市级试点示范并获得资金支持，培育一批可推广的标杆案例。</w:t>
      </w:r>
    </w:p>
    <w:p w14:paraId="3D433D2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七</w:t>
      </w:r>
      <w:r>
        <w:rPr>
          <w:rFonts w:hint="default" w:ascii="Times New Roman" w:hAnsi="Times New Roman" w:eastAsia="黑体" w:cs="Times New Roman"/>
          <w:b w:val="0"/>
          <w:bCs w:val="0"/>
          <w:sz w:val="32"/>
          <w:szCs w:val="32"/>
          <w:highlight w:val="none"/>
        </w:rPr>
        <w:t>、验收</w:t>
      </w:r>
      <w:r>
        <w:rPr>
          <w:rFonts w:hint="default" w:ascii="Times New Roman" w:hAnsi="Times New Roman" w:eastAsia="黑体" w:cs="Times New Roman"/>
          <w:b w:val="0"/>
          <w:bCs w:val="0"/>
          <w:sz w:val="32"/>
          <w:szCs w:val="32"/>
          <w:highlight w:val="none"/>
          <w:lang w:val="en-US" w:eastAsia="zh-CN"/>
        </w:rPr>
        <w:t>要求</w:t>
      </w:r>
    </w:p>
    <w:p w14:paraId="290D2FB5">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eastAsia" w:ascii="Times New Roman" w:hAnsi="Times New Roman" w:eastAsia="仿宋_GB2312" w:cs="Times New Roman"/>
          <w:bCs/>
          <w:sz w:val="32"/>
          <w:szCs w:val="32"/>
          <w:highlight w:val="none"/>
          <w:lang w:val="en-US" w:eastAsia="zh-CN"/>
        </w:rPr>
        <w:t>中标</w:t>
      </w:r>
      <w:r>
        <w:rPr>
          <w:rFonts w:hint="default" w:ascii="Times New Roman" w:hAnsi="Times New Roman" w:eastAsia="仿宋_GB2312" w:cs="Times New Roman"/>
          <w:bCs/>
          <w:sz w:val="32"/>
          <w:szCs w:val="32"/>
          <w:highlight w:val="none"/>
          <w:lang w:val="en-US" w:eastAsia="zh-CN"/>
        </w:rPr>
        <w:t>供应商应当提交项目对应的服务成果，并向采购人提出验收申请，由采购人自行组织成果验收。</w:t>
      </w:r>
    </w:p>
    <w:p w14:paraId="6CC2AC4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lang w:val="en-US" w:eastAsia="zh-CN"/>
        </w:rPr>
        <w:t>八</w:t>
      </w:r>
      <w:r>
        <w:rPr>
          <w:rFonts w:hint="default" w:ascii="Times New Roman" w:hAnsi="Times New Roman" w:eastAsia="黑体" w:cs="Times New Roman"/>
          <w:b w:val="0"/>
          <w:bCs w:val="0"/>
          <w:sz w:val="32"/>
          <w:szCs w:val="32"/>
          <w:highlight w:val="none"/>
        </w:rPr>
        <w:t>、服务要求</w:t>
      </w:r>
    </w:p>
    <w:p w14:paraId="760B047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为确保项目顺利实施，供应商需满足以下核心要求：</w:t>
      </w:r>
    </w:p>
    <w:p w14:paraId="31F879D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1.响应时效：对</w:t>
      </w:r>
      <w:r>
        <w:rPr>
          <w:rFonts w:hint="eastAsia" w:ascii="Times New Roman" w:hAnsi="Times New Roman" w:eastAsia="仿宋_GB2312" w:cs="Times New Roman"/>
          <w:b w:val="0"/>
          <w:bCs w:val="0"/>
          <w:sz w:val="32"/>
          <w:szCs w:val="32"/>
          <w:highlight w:val="none"/>
          <w:lang w:val="en-US" w:eastAsia="zh-CN"/>
        </w:rPr>
        <w:t>采购人</w:t>
      </w:r>
      <w:r>
        <w:rPr>
          <w:rFonts w:hint="default" w:ascii="Times New Roman" w:hAnsi="Times New Roman" w:eastAsia="仿宋_GB2312" w:cs="Times New Roman"/>
          <w:b w:val="0"/>
          <w:bCs w:val="0"/>
          <w:sz w:val="32"/>
          <w:szCs w:val="32"/>
          <w:highlight w:val="none"/>
          <w:lang w:val="en-US" w:eastAsia="zh-CN"/>
        </w:rPr>
        <w:t>提出的需求、咨询及问题，需在工作日2小时内响应；紧急事项1小时内响应。成果交付、阶段性汇报及线下活动筹备需按约定时间提前完成。平台故障需在24小时内解决。</w:t>
      </w:r>
    </w:p>
    <w:p w14:paraId="1E561F2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2.服务质量：所有交付成果需内容完整、数据准确、逻辑严谨，经内部审核后提交。</w:t>
      </w:r>
    </w:p>
    <w:p w14:paraId="6DD4E9A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3.过程管控：制定详细实施计划，定期汇报进展。对线下活动及成果修改建立档案管理与闭环机制，确保过程可追溯、问题可整改。</w:t>
      </w:r>
    </w:p>
    <w:p w14:paraId="46EF5FD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4.协同配合：主动与</w:t>
      </w:r>
      <w:r>
        <w:rPr>
          <w:rFonts w:hint="eastAsia" w:ascii="Times New Roman" w:hAnsi="Times New Roman" w:eastAsia="仿宋_GB2312" w:cs="Times New Roman"/>
          <w:b w:val="0"/>
          <w:bCs w:val="0"/>
          <w:sz w:val="32"/>
          <w:szCs w:val="32"/>
          <w:highlight w:val="none"/>
          <w:lang w:val="en-US" w:eastAsia="zh-CN"/>
        </w:rPr>
        <w:t>采购人</w:t>
      </w:r>
      <w:r>
        <w:rPr>
          <w:rFonts w:hint="default" w:ascii="Times New Roman" w:hAnsi="Times New Roman" w:eastAsia="仿宋_GB2312" w:cs="Times New Roman"/>
          <w:b w:val="0"/>
          <w:bCs w:val="0"/>
          <w:sz w:val="32"/>
          <w:szCs w:val="32"/>
          <w:highlight w:val="none"/>
          <w:lang w:val="en-US" w:eastAsia="zh-CN"/>
        </w:rPr>
        <w:t>及相关</w:t>
      </w:r>
      <w:bookmarkStart w:id="0" w:name="_GoBack"/>
      <w:bookmarkEnd w:id="0"/>
      <w:r>
        <w:rPr>
          <w:rFonts w:hint="default" w:ascii="Times New Roman" w:hAnsi="Times New Roman" w:eastAsia="仿宋_GB2312" w:cs="Times New Roman"/>
          <w:b w:val="0"/>
          <w:bCs w:val="0"/>
          <w:sz w:val="32"/>
          <w:szCs w:val="32"/>
          <w:highlight w:val="none"/>
          <w:lang w:val="en-US" w:eastAsia="zh-CN"/>
        </w:rPr>
        <w:t>方保持沟通，积极配合验收、调研及成果推广工作。</w:t>
      </w:r>
    </w:p>
    <w:p w14:paraId="66B4771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5.安全与售后：严格遵守数据安全与保密法规，确保项目数据安全。项目结束后提供2个月免费售后支持，协助成果落地与应用。</w:t>
      </w:r>
    </w:p>
    <w:p w14:paraId="7A3203F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outlineLvl w:val="0"/>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z w:val="32"/>
          <w:szCs w:val="32"/>
          <w:highlight w:val="none"/>
          <w:lang w:val="en-US" w:eastAsia="zh-CN"/>
        </w:rPr>
        <w:t>九</w:t>
      </w:r>
      <w:r>
        <w:rPr>
          <w:rFonts w:hint="default" w:ascii="Times New Roman" w:hAnsi="Times New Roman" w:eastAsia="黑体" w:cs="Times New Roman"/>
          <w:b w:val="0"/>
          <w:bCs w:val="0"/>
          <w:sz w:val="32"/>
          <w:szCs w:val="32"/>
          <w:highlight w:val="none"/>
        </w:rPr>
        <w:t>、报价要求</w:t>
      </w:r>
    </w:p>
    <w:p w14:paraId="6C78EA98">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t>1.</w:t>
      </w:r>
      <w:r>
        <w:rPr>
          <w:rFonts w:hint="eastAsia" w:ascii="Times New Roman" w:hAnsi="Times New Roman" w:eastAsia="仿宋_GB2312" w:cs="Times New Roman"/>
          <w:bCs/>
          <w:sz w:val="32"/>
          <w:szCs w:val="32"/>
          <w:highlight w:val="none"/>
          <w:lang w:val="en-US" w:eastAsia="zh-CN"/>
        </w:rPr>
        <w:t>投标</w:t>
      </w:r>
      <w:r>
        <w:rPr>
          <w:rFonts w:hint="default" w:ascii="Times New Roman" w:hAnsi="Times New Roman" w:eastAsia="仿宋_GB2312" w:cs="Times New Roman"/>
          <w:bCs/>
          <w:sz w:val="32"/>
          <w:szCs w:val="32"/>
          <w:highlight w:val="none"/>
          <w:lang w:val="en-US" w:eastAsia="zh-CN"/>
        </w:rPr>
        <w:t>报价应包含达到合同验收要求及完成所有相关服务的所有费用。</w:t>
      </w:r>
    </w:p>
    <w:p w14:paraId="014DDA64">
      <w:pPr>
        <w:keepLines w:val="0"/>
        <w:pageBreakBefore w:val="0"/>
        <w:kinsoku/>
        <w:wordWrap/>
        <w:topLinePunct w:val="0"/>
        <w:bidi w:val="0"/>
        <w:snapToGrid w:val="0"/>
        <w:spacing w:line="600" w:lineRule="exact"/>
        <w:ind w:firstLine="640" w:firstLineChars="200"/>
        <w:jc w:val="left"/>
        <w:outlineLvl w:val="9"/>
        <w:rPr>
          <w:rFonts w:hint="default" w:ascii="Times New Roman" w:hAnsi="Times New Roman" w:cs="Times New Roman"/>
          <w:bCs/>
          <w:sz w:val="22"/>
          <w:szCs w:val="22"/>
          <w:highlight w:val="none"/>
        </w:rPr>
      </w:pPr>
      <w:r>
        <w:rPr>
          <w:rFonts w:hint="default" w:ascii="Times New Roman" w:hAnsi="Times New Roman" w:eastAsia="仿宋_GB2312" w:cs="Times New Roman"/>
          <w:bCs/>
          <w:sz w:val="32"/>
          <w:szCs w:val="32"/>
          <w:highlight w:val="none"/>
          <w:lang w:val="en-US" w:eastAsia="zh-CN"/>
        </w:rPr>
        <w:t>2.供应商必须针对本</w:t>
      </w:r>
      <w:r>
        <w:rPr>
          <w:rFonts w:hint="eastAsia" w:ascii="Times New Roman" w:hAnsi="Times New Roman" w:eastAsia="仿宋_GB2312" w:cs="Times New Roman"/>
          <w:bCs/>
          <w:sz w:val="32"/>
          <w:szCs w:val="32"/>
          <w:highlight w:val="none"/>
          <w:lang w:val="en-US" w:eastAsia="zh-CN"/>
        </w:rPr>
        <w:t>需求</w:t>
      </w:r>
      <w:r>
        <w:rPr>
          <w:rFonts w:hint="default" w:ascii="Times New Roman" w:hAnsi="Times New Roman" w:eastAsia="仿宋_GB2312" w:cs="Times New Roman"/>
          <w:bCs/>
          <w:sz w:val="32"/>
          <w:szCs w:val="32"/>
          <w:highlight w:val="none"/>
          <w:lang w:val="en-US" w:eastAsia="zh-CN"/>
        </w:rPr>
        <w:t>文件里涉及所有的服务及</w:t>
      </w:r>
      <w:r>
        <w:rPr>
          <w:rFonts w:hint="default" w:ascii="Times New Roman" w:hAnsi="Times New Roman" w:eastAsia="仿宋_GB2312" w:cs="Times New Roman"/>
          <w:sz w:val="32"/>
          <w:szCs w:val="32"/>
        </w:rPr>
        <w:t>相关货物（如有）进行报价，不能只对部分服务及货物进行报价</w:t>
      </w:r>
      <w:r>
        <w:rPr>
          <w:rFonts w:hint="eastAsia" w:ascii="Times New Roman" w:hAnsi="Times New Roman" w:eastAsia="仿宋_GB2312" w:cs="Times New Roman"/>
          <w:bCs/>
          <w:sz w:val="32"/>
          <w:szCs w:val="32"/>
          <w:highlight w:val="none"/>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8" w:usb3="00000000" w:csb0="400001FF" w:csb1="FFFF0000"/>
  </w:font>
  <w:font w:name="宋体">
    <w:altName w:val="国标宋体"/>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国标宋体">
    <w:panose1 w:val="02000500000000000000"/>
    <w:charset w:val="86"/>
    <w:family w:val="auto"/>
    <w:pitch w:val="default"/>
    <w:sig w:usb0="00000001" w:usb1="28000000" w:usb2="00000000" w:usb3="00000000" w:csb0="00060007"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4C1C5E"/>
    <w:rsid w:val="0A161A68"/>
    <w:rsid w:val="0BD61204"/>
    <w:rsid w:val="0E9134F3"/>
    <w:rsid w:val="0EAD4F9A"/>
    <w:rsid w:val="0ED6779A"/>
    <w:rsid w:val="12851EC3"/>
    <w:rsid w:val="13082AF4"/>
    <w:rsid w:val="14147ED0"/>
    <w:rsid w:val="15103A92"/>
    <w:rsid w:val="18770500"/>
    <w:rsid w:val="1A450189"/>
    <w:rsid w:val="228700ED"/>
    <w:rsid w:val="27624129"/>
    <w:rsid w:val="2B8C470F"/>
    <w:rsid w:val="2BAA42F0"/>
    <w:rsid w:val="2EAB4F7C"/>
    <w:rsid w:val="2EC70F61"/>
    <w:rsid w:val="2FE7B956"/>
    <w:rsid w:val="30A13F14"/>
    <w:rsid w:val="30C516F9"/>
    <w:rsid w:val="33FBFA7A"/>
    <w:rsid w:val="356F3BD5"/>
    <w:rsid w:val="41297B22"/>
    <w:rsid w:val="419C3006"/>
    <w:rsid w:val="45D24718"/>
    <w:rsid w:val="4670640B"/>
    <w:rsid w:val="490A40DD"/>
    <w:rsid w:val="4AC3634E"/>
    <w:rsid w:val="4B7C0875"/>
    <w:rsid w:val="5173232C"/>
    <w:rsid w:val="56995D60"/>
    <w:rsid w:val="60C42164"/>
    <w:rsid w:val="61EA6C19"/>
    <w:rsid w:val="65004632"/>
    <w:rsid w:val="65DD2F83"/>
    <w:rsid w:val="6B14750C"/>
    <w:rsid w:val="6F800AB1"/>
    <w:rsid w:val="70514F9D"/>
    <w:rsid w:val="73910128"/>
    <w:rsid w:val="73D47729"/>
    <w:rsid w:val="747946CA"/>
    <w:rsid w:val="74A95372"/>
    <w:rsid w:val="764959EF"/>
    <w:rsid w:val="764A1CC0"/>
    <w:rsid w:val="77F73CF4"/>
    <w:rsid w:val="7AA74CCC"/>
    <w:rsid w:val="7BC2430B"/>
    <w:rsid w:val="7BEF31BE"/>
    <w:rsid w:val="7DC3CDDA"/>
    <w:rsid w:val="7E1C5F55"/>
    <w:rsid w:val="7EBB39C0"/>
    <w:rsid w:val="AFFF070F"/>
    <w:rsid w:val="C7FFD372"/>
    <w:rsid w:val="DF9F1EB7"/>
    <w:rsid w:val="DFF7559C"/>
    <w:rsid w:val="F0753A87"/>
    <w:rsid w:val="FFE75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overflowPunct w:val="0"/>
      <w:autoSpaceDE w:val="0"/>
      <w:autoSpaceDN w:val="0"/>
      <w:adjustRightInd w:val="0"/>
      <w:spacing w:before="240" w:after="60"/>
      <w:jc w:val="center"/>
      <w:textAlignment w:val="baseline"/>
      <w:outlineLvl w:val="0"/>
    </w:pPr>
    <w:rPr>
      <w:rFonts w:ascii="Arial" w:hAnsi="Arial"/>
      <w:b/>
      <w:kern w:val="28"/>
      <w:sz w:val="28"/>
      <w:szCs w:val="2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正文内容"/>
    <w:basedOn w:val="1"/>
    <w:qFormat/>
    <w:uiPriority w:val="0"/>
    <w:pPr>
      <w:spacing w:line="600" w:lineRule="exact"/>
      <w:ind w:firstLine="640" w:firstLineChars="200"/>
    </w:pPr>
    <w:rPr>
      <w:rFonts w:ascii="Times New Roman" w:hAnsi="Times New Roman" w:eastAsia="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5013</Words>
  <Characters>5097</Characters>
  <Lines>0</Lines>
  <Paragraphs>0</Paragraphs>
  <TotalTime>471</TotalTime>
  <ScaleCrop>false</ScaleCrop>
  <LinksUpToDate>false</LinksUpToDate>
  <CharactersWithSpaces>5097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2026-01-31T06:16:00Z</dcterms:created>
  <dc:creator>Sandra郭昕</dc:creator>
  <cp:lastModifiedBy>王婉婷</cp:lastModifiedBy>
  <dcterms:modified xsi:type="dcterms:W3CDTF">2026-04-09T16:05:49Z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D67784FBE4CD4E06BF5A62EB6F6563BE_13</vt:lpwstr>
  </property>
  <property fmtid="{D5CDD505-2E9C-101B-9397-08002B2CF9AE}" pid="4" name="KSOTemplateDocerSaveRecord">
    <vt:lpwstr>eyJoZGlkIjoiZmNhYjNmMmI5MGZlMDNhYjgzMDJmNWUyMjAxMTdmNGMiLCJ1c2VySWQiOiIxMjQwNjM1NTg3In0=</vt:lpwstr>
  </property>
</Properties>
</file>