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ascii="仿宋_GB2312" w:hAnsi="仿宋_GB2312" w:eastAsia="仿宋_GB2312" w:cs="仿宋_GB2312"/>
          <w:b/>
          <w:bCs/>
          <w:sz w:val="36"/>
          <w:szCs w:val="36"/>
        </w:rPr>
      </w:pPr>
      <w:r>
        <w:rPr>
          <w:rFonts w:hint="eastAsia" w:ascii="仿宋_GB2312" w:hAnsi="仿宋_GB2312" w:eastAsia="仿宋_GB2312" w:cs="仿宋_GB2312"/>
          <w:b/>
          <w:bCs/>
          <w:sz w:val="36"/>
          <w:szCs w:val="36"/>
        </w:rPr>
        <w:t>上海博物馆（东馆）2026年保安服务</w:t>
      </w:r>
    </w:p>
    <w:p>
      <w:pPr>
        <w:spacing w:line="360" w:lineRule="auto"/>
        <w:jc w:val="center"/>
        <w:outlineLvl w:val="0"/>
        <w:rPr>
          <w:rFonts w:ascii="仿宋_GB2312" w:hAnsi="仿宋_GB2312" w:eastAsia="仿宋_GB2312" w:cs="仿宋_GB2312"/>
          <w:b/>
          <w:bCs/>
          <w:sz w:val="36"/>
          <w:szCs w:val="36"/>
        </w:rPr>
      </w:pPr>
      <w:r>
        <w:rPr>
          <w:rFonts w:hint="eastAsia" w:ascii="仿宋_GB2312" w:hAnsi="仿宋_GB2312" w:eastAsia="仿宋_GB2312" w:cs="仿宋_GB2312"/>
          <w:b/>
          <w:bCs/>
          <w:sz w:val="36"/>
          <w:szCs w:val="36"/>
        </w:rPr>
        <w:t>采购需求</w:t>
      </w:r>
    </w:p>
    <w:p>
      <w:pPr>
        <w:numPr>
          <w:ilvl w:val="0"/>
          <w:numId w:val="1"/>
        </w:numPr>
        <w:spacing w:line="600" w:lineRule="exact"/>
        <w:jc w:val="left"/>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项目名称</w:t>
      </w:r>
    </w:p>
    <w:p>
      <w:pPr>
        <w:numPr>
          <w:ilvl w:val="-1"/>
          <w:numId w:val="0"/>
        </w:numPr>
        <w:spacing w:line="600" w:lineRule="exact"/>
        <w:ind w:left="420" w:firstLine="0"/>
        <w:jc w:val="left"/>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上海博物馆（东馆）保安消安服务项目</w:t>
      </w:r>
    </w:p>
    <w:p>
      <w:pPr>
        <w:numPr>
          <w:ilvl w:val="0"/>
          <w:numId w:val="1"/>
        </w:numPr>
        <w:spacing w:line="600" w:lineRule="exact"/>
        <w:ind w:firstLine="640" w:firstLineChars="200"/>
        <w:jc w:val="left"/>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项目预算</w:t>
      </w:r>
    </w:p>
    <w:p>
      <w:pPr>
        <w:numPr>
          <w:ilvl w:val="0"/>
          <w:numId w:val="0"/>
        </w:numPr>
        <w:spacing w:line="600" w:lineRule="exact"/>
        <w:ind w:firstLine="640" w:firstLineChars="200"/>
        <w:jc w:val="left"/>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2523.36万元（其中保安服务项目2279万，消安服务项目244.36万）</w:t>
      </w:r>
    </w:p>
    <w:p>
      <w:pPr>
        <w:numPr>
          <w:ilvl w:val="0"/>
          <w:numId w:val="1"/>
        </w:numPr>
        <w:spacing w:line="600" w:lineRule="exact"/>
        <w:jc w:val="left"/>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项目简介</w:t>
      </w:r>
    </w:p>
    <w:p>
      <w:pPr>
        <w:widowControl w:val="0"/>
        <w:numPr>
          <w:ilvl w:val="0"/>
          <w:numId w:val="0"/>
        </w:numPr>
        <w:spacing w:line="600" w:lineRule="exact"/>
        <w:ind w:firstLine="640" w:firstLineChars="200"/>
        <w:jc w:val="lef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海博物馆东馆（简称“上博东馆”）是“十三五”时期上海重大文化设施，定位为中国古代艺术博物馆，与人民广场馆、文物保护基地构成“一馆两址”格局，延续国家一级博物馆资质，属国家“一级文物系统风险单位”，是上海核心文化地标。</w:t>
      </w:r>
    </w:p>
    <w:p>
      <w:pPr>
        <w:widowControl w:val="0"/>
        <w:numPr>
          <w:ilvl w:val="0"/>
          <w:numId w:val="0"/>
        </w:numPr>
        <w:spacing w:line="600" w:lineRule="exact"/>
        <w:ind w:firstLine="640" w:firstLineChars="200"/>
        <w:jc w:val="lef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上博东馆位于浦东新区世纪大道1952号，毗邻多个文化设施，区位优势显著。项目2017年开工，2024年12月全面开放，历经7年打造，成为上海文化建设里程碑。</w:t>
      </w:r>
    </w:p>
    <w:p>
      <w:pPr>
        <w:widowControl w:val="0"/>
        <w:numPr>
          <w:ilvl w:val="0"/>
          <w:numId w:val="0"/>
        </w:numPr>
        <w:spacing w:line="600" w:lineRule="exact"/>
        <w:ind w:firstLine="640" w:firstLineChars="200"/>
        <w:jc w:val="lef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占地约4.6万平方米，总建筑面积11.32万平方米，建筑高45米，共八层（地上六层、地下二层）。外立面如海波起伏，融入上海城市特质，每层设落地玻璃引入自然光，五楼屋顶花园“云林”营造江南园林景观。</w:t>
      </w:r>
    </w:p>
    <w:p>
      <w:pPr>
        <w:widowControl w:val="0"/>
        <w:numPr>
          <w:ilvl w:val="0"/>
          <w:numId w:val="0"/>
        </w:numPr>
        <w:spacing w:line="600" w:lineRule="exact"/>
        <w:ind w:firstLine="640" w:firstLineChars="200"/>
        <w:jc w:val="lef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依托上海博物馆雄厚馆藏，馆内设20余个展厅，展陈面积3.36万平方米，涵盖各类常设及临时展厅，其中书画馆为海内外唯一书画分开的通史常设展，大量文物首次公开展出，结合现代技术打造优质观展体验。</w:t>
      </w:r>
    </w:p>
    <w:p>
      <w:pPr>
        <w:widowControl w:val="0"/>
        <w:numPr>
          <w:ilvl w:val="0"/>
          <w:numId w:val="0"/>
        </w:numPr>
        <w:spacing w:line="600" w:lineRule="exact"/>
        <w:ind w:firstLine="640" w:firstLineChars="200"/>
        <w:jc w:val="left"/>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场馆功能齐全，兼顾展陈、保护等多重需求，设独立文物动线及专用库房，配备互动空间与完善公共服务设施。项目严格落实安全标准，构建全方位防护体系，开放后举办多项重磅特展，获评全国博物馆陈列展览精品奖，成为展示中国文化的重要窗口。</w:t>
      </w:r>
    </w:p>
    <w:p>
      <w:pPr>
        <w:numPr>
          <w:ilvl w:val="0"/>
          <w:numId w:val="2"/>
        </w:numPr>
        <w:spacing w:line="600" w:lineRule="exact"/>
        <w:jc w:val="left"/>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保安服务范围</w:t>
      </w:r>
    </w:p>
    <w:p>
      <w:pPr>
        <w:numPr>
          <w:ilvl w:val="0"/>
          <w:numId w:val="0"/>
        </w:numPr>
        <w:spacing w:before="0" w:after="0" w:line="600" w:lineRule="exact"/>
        <w:ind w:firstLine="640" w:firstLineChars="200"/>
        <w:jc w:val="lef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上海博物馆（东馆），上海市浦东新区世纪大道1952号</w:t>
      </w:r>
    </w:p>
    <w:p>
      <w:pPr>
        <w:numPr>
          <w:ilvl w:val="0"/>
          <w:numId w:val="2"/>
        </w:numPr>
        <w:spacing w:line="600" w:lineRule="exact"/>
        <w:jc w:val="left"/>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服务期限</w:t>
      </w:r>
    </w:p>
    <w:p>
      <w:pPr>
        <w:spacing w:line="60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自合同签订之日起1年</w:t>
      </w:r>
    </w:p>
    <w:p>
      <w:pPr>
        <w:numPr>
          <w:ilvl w:val="0"/>
          <w:numId w:val="2"/>
        </w:numPr>
        <w:spacing w:line="600" w:lineRule="exact"/>
        <w:jc w:val="left"/>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保安服务内容</w:t>
      </w:r>
    </w:p>
    <w:p>
      <w:pPr>
        <w:spacing w:line="60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本项目服务要求分为保安服务、消安服务两项，保安服务包括专人安检、值守、巡逻等内容，消安服务包括灭火消防救援、防汛防台、应急救援、动火监护作业、消防检查等内容。</w:t>
      </w:r>
    </w:p>
    <w:p>
      <w:pPr>
        <w:numPr>
          <w:ilvl w:val="0"/>
          <w:numId w:val="2"/>
        </w:numPr>
        <w:spacing w:line="600" w:lineRule="exact"/>
        <w:jc w:val="left"/>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人员要求（★派遣人员数量不得少于</w:t>
      </w:r>
      <w:r>
        <w:rPr>
          <w:rFonts w:hint="eastAsia" w:ascii="仿宋_GB2312" w:hAnsi="仿宋_GB2312" w:eastAsia="仿宋_GB2312" w:cs="仿宋_GB2312"/>
          <w:sz w:val="32"/>
          <w:szCs w:val="32"/>
          <w:lang w:val="en-US" w:eastAsia="zh-CN"/>
        </w:rPr>
        <w:t>296</w:t>
      </w:r>
      <w:r>
        <w:rPr>
          <w:rFonts w:hint="eastAsia" w:ascii="仿宋_GB2312" w:hAnsi="仿宋_GB2312" w:eastAsia="仿宋_GB2312" w:cs="仿宋_GB2312"/>
          <w:sz w:val="32"/>
          <w:szCs w:val="32"/>
        </w:rPr>
        <w:t>人）</w:t>
      </w:r>
    </w:p>
    <w:p>
      <w:pPr>
        <w:numPr>
          <w:ilvl w:val="0"/>
          <w:numId w:val="3"/>
        </w:numPr>
        <w:spacing w:line="600" w:lineRule="exact"/>
        <w:jc w:val="left"/>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保安要求</w:t>
      </w:r>
    </w:p>
    <w:p>
      <w:pPr>
        <w:numPr>
          <w:ilvl w:val="0"/>
          <w:numId w:val="4"/>
        </w:numPr>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人员配置要求</w:t>
      </w:r>
    </w:p>
    <w:p>
      <w:pPr>
        <w:spacing w:line="60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投标人需根据场馆规模、开放时间、客流特点、安全风险等级，配置足额保安人员，确保各区域、各时段均有专人值守、巡逻，具体配置要求如下：</w:t>
      </w:r>
    </w:p>
    <w:p>
      <w:pPr>
        <w:spacing w:line="600" w:lineRule="exact"/>
        <w:ind w:firstLine="640" w:firstLineChars="200"/>
        <w:jc w:val="left"/>
        <w:rPr>
          <w:rFonts w:ascii="仿宋_GB2312" w:hAnsi="仿宋_GB2312" w:eastAsia="仿宋_GB2312" w:cs="仿宋_GB2312"/>
          <w:sz w:val="32"/>
          <w:szCs w:val="32"/>
        </w:rPr>
      </w:pPr>
    </w:p>
    <w:tbl>
      <w:tblPr>
        <w:tblStyle w:val="10"/>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3"/>
        <w:gridCol w:w="792"/>
        <w:gridCol w:w="794"/>
        <w:gridCol w:w="794"/>
        <w:gridCol w:w="649"/>
        <w:gridCol w:w="959"/>
        <w:gridCol w:w="505"/>
        <w:gridCol w:w="928"/>
        <w:gridCol w:w="1804"/>
        <w:gridCol w:w="7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6" w:hRule="atLeast"/>
          <w:jc w:val="center"/>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项目</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岗位类别</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岗位名称</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主要区域</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岗位数</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岗位时间</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班次</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配置人数</w:t>
            </w:r>
            <w:r>
              <w:rPr>
                <w:rFonts w:hint="eastAsia" w:ascii="方正仿宋_GB2312" w:hAnsi="方正仿宋_GB2312" w:eastAsia="方正仿宋_GB2312" w:cs="方正仿宋_GB2312"/>
                <w:i w:val="0"/>
                <w:iCs w:val="0"/>
                <w:color w:val="000000"/>
                <w:kern w:val="0"/>
                <w:sz w:val="21"/>
                <w:szCs w:val="21"/>
                <w:u w:val="none"/>
                <w:lang w:val="en-US" w:eastAsia="zh-CN" w:bidi="ar"/>
              </w:rPr>
              <w:br w:type="textWrapping"/>
            </w:r>
            <w:r>
              <w:rPr>
                <w:rFonts w:hint="eastAsia" w:ascii="方正仿宋_GB2312" w:hAnsi="方正仿宋_GB2312" w:eastAsia="方正仿宋_GB2312" w:cs="方正仿宋_GB2312"/>
                <w:i w:val="0"/>
                <w:iCs w:val="0"/>
                <w:color w:val="000000"/>
                <w:kern w:val="0"/>
                <w:sz w:val="21"/>
                <w:szCs w:val="21"/>
                <w:u w:val="none"/>
                <w:lang w:val="en-US" w:eastAsia="zh-CN" w:bidi="ar"/>
              </w:rPr>
              <w:t>要求</w:t>
            </w: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u w:val="none"/>
                <w:lang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持证要求</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其他要求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16" w:hRule="atLeast"/>
          <w:jc w:val="center"/>
        </w:trPr>
        <w:tc>
          <w:tcPr>
            <w:tcW w:w="5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上博东馆</w:t>
            </w:r>
            <w:r>
              <w:rPr>
                <w:rFonts w:hint="eastAsia" w:ascii="方正仿宋_GB2312" w:hAnsi="方正仿宋_GB2312" w:eastAsia="方正仿宋_GB2312" w:cs="方正仿宋_GB2312"/>
                <w:i w:val="0"/>
                <w:iCs w:val="0"/>
                <w:color w:val="000000"/>
                <w:kern w:val="0"/>
                <w:sz w:val="21"/>
                <w:szCs w:val="21"/>
                <w:u w:val="none"/>
                <w:lang w:val="en-US" w:eastAsia="zh-CN" w:bidi="ar"/>
              </w:rPr>
              <w:br w:type="textWrapping"/>
            </w:r>
            <w:r>
              <w:rPr>
                <w:rFonts w:hint="eastAsia" w:ascii="方正仿宋_GB2312" w:hAnsi="方正仿宋_GB2312" w:eastAsia="方正仿宋_GB2312" w:cs="方正仿宋_GB2312"/>
                <w:i w:val="0"/>
                <w:iCs w:val="0"/>
                <w:color w:val="000000"/>
                <w:kern w:val="0"/>
                <w:sz w:val="21"/>
                <w:szCs w:val="21"/>
                <w:u w:val="none"/>
                <w:lang w:val="en-US" w:eastAsia="zh-CN" w:bidi="ar"/>
              </w:rPr>
              <w:t>保安</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方正仿宋_GB2312" w:hAnsi="方正仿宋_GB2312" w:eastAsia="方正仿宋_GB2312" w:cs="方正仿宋_GB2312"/>
                <w:color w:val="000000"/>
                <w:kern w:val="0"/>
                <w:sz w:val="21"/>
                <w:szCs w:val="21"/>
                <w:lang w:val="en-US" w:eastAsia="zh-CN" w:bidi="ar-SA"/>
              </w:rPr>
            </w:pPr>
            <w:r>
              <w:rPr>
                <w:rFonts w:hint="eastAsia" w:ascii="方正仿宋_GB2312" w:hAnsi="方正仿宋_GB2312" w:eastAsia="方正仿宋_GB2312" w:cs="方正仿宋_GB2312"/>
                <w:color w:val="000000"/>
                <w:kern w:val="0"/>
                <w:sz w:val="21"/>
                <w:szCs w:val="21"/>
              </w:rPr>
              <w:t>管理岗</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队长</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博物馆</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2</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10:00-18:00</w:t>
            </w:r>
            <w:r>
              <w:rPr>
                <w:rFonts w:hint="eastAsia" w:ascii="方正仿宋_GB2312" w:hAnsi="方正仿宋_GB2312" w:eastAsia="方正仿宋_GB2312" w:cs="方正仿宋_GB2312"/>
                <w:i w:val="0"/>
                <w:iCs w:val="0"/>
                <w:color w:val="000000"/>
                <w:kern w:val="0"/>
                <w:sz w:val="21"/>
                <w:szCs w:val="21"/>
                <w:u w:val="none"/>
                <w:lang w:val="en-US" w:eastAsia="zh-CN" w:bidi="ar"/>
              </w:rPr>
              <w:br w:type="textWrapping"/>
            </w:r>
            <w:r>
              <w:rPr>
                <w:rFonts w:hint="eastAsia" w:ascii="方正仿宋_GB2312" w:hAnsi="方正仿宋_GB2312" w:eastAsia="方正仿宋_GB2312" w:cs="方正仿宋_GB2312"/>
                <w:i w:val="0"/>
                <w:iCs w:val="0"/>
                <w:color w:val="000000"/>
                <w:kern w:val="0"/>
                <w:sz w:val="21"/>
                <w:szCs w:val="21"/>
                <w:u w:val="none"/>
                <w:lang w:val="en-US" w:eastAsia="zh-CN" w:bidi="ar"/>
              </w:rPr>
              <w:t>（5/7）</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常日班</w:t>
            </w:r>
            <w:r>
              <w:rPr>
                <w:rFonts w:hint="eastAsia" w:ascii="方正仿宋_GB2312" w:hAnsi="方正仿宋_GB2312" w:eastAsia="方正仿宋_GB2312" w:cs="方正仿宋_GB2312"/>
                <w:i w:val="0"/>
                <w:iCs w:val="0"/>
                <w:color w:val="000000"/>
                <w:kern w:val="0"/>
                <w:sz w:val="21"/>
                <w:szCs w:val="21"/>
                <w:u w:val="none"/>
                <w:lang w:val="en-US" w:eastAsia="zh-CN" w:bidi="ar"/>
              </w:rPr>
              <w:br w:type="textWrapping"/>
            </w:r>
            <w:r>
              <w:rPr>
                <w:rFonts w:hint="eastAsia" w:ascii="方正仿宋_GB2312" w:hAnsi="方正仿宋_GB2312" w:eastAsia="方正仿宋_GB2312" w:cs="方正仿宋_GB2312"/>
                <w:i w:val="0"/>
                <w:iCs w:val="0"/>
                <w:color w:val="000000"/>
                <w:kern w:val="0"/>
                <w:sz w:val="21"/>
                <w:szCs w:val="21"/>
                <w:u w:val="none"/>
                <w:lang w:val="en-US" w:eastAsia="zh-CN" w:bidi="ar"/>
              </w:rPr>
              <w:t>做五休二</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2</w:t>
            </w: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u w:val="none"/>
                <w:lang w:bidi="ar"/>
              </w:rPr>
            </w:pPr>
            <w:r>
              <w:rPr>
                <w:rFonts w:hint="eastAsia" w:ascii="方正仿宋_GB2312" w:hAnsi="方正仿宋_GB2312" w:eastAsia="方正仿宋_GB2312" w:cs="方正仿宋_GB2312"/>
                <w:color w:val="000000"/>
                <w:kern w:val="0"/>
                <w:sz w:val="21"/>
                <w:szCs w:val="21"/>
                <w:u w:val="none"/>
                <w:lang w:bidi="ar"/>
              </w:rPr>
              <w:t>保卫管理员二级及以上证书</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6"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2312" w:hAnsi="方正仿宋_GB2312" w:eastAsia="方正仿宋_GB2312" w:cs="方正仿宋_GB2312"/>
                <w:i w:val="0"/>
                <w:iCs w:val="0"/>
                <w:color w:val="000000"/>
                <w:sz w:val="21"/>
                <w:szCs w:val="21"/>
                <w:u w:val="none"/>
              </w:rPr>
            </w:pPr>
          </w:p>
        </w:tc>
        <w:tc>
          <w:tcPr>
            <w:tcW w:w="84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color w:val="000000"/>
                <w:kern w:val="0"/>
                <w:sz w:val="21"/>
                <w:szCs w:val="21"/>
              </w:rPr>
              <w:t>普通岗</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监控室</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监控室</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1</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8:00-20:00</w:t>
            </w:r>
            <w:r>
              <w:rPr>
                <w:rFonts w:hint="eastAsia" w:ascii="方正仿宋_GB2312" w:hAnsi="方正仿宋_GB2312" w:eastAsia="方正仿宋_GB2312" w:cs="方正仿宋_GB2312"/>
                <w:i w:val="0"/>
                <w:iCs w:val="0"/>
                <w:color w:val="000000"/>
                <w:kern w:val="0"/>
                <w:sz w:val="21"/>
                <w:szCs w:val="21"/>
                <w:u w:val="none"/>
                <w:lang w:val="en-US" w:eastAsia="zh-CN" w:bidi="ar"/>
              </w:rPr>
              <w:br w:type="textWrapping"/>
            </w:r>
            <w:r>
              <w:rPr>
                <w:rFonts w:hint="eastAsia" w:ascii="方正仿宋_GB2312" w:hAnsi="方正仿宋_GB2312" w:eastAsia="方正仿宋_GB2312" w:cs="方正仿宋_GB2312"/>
                <w:i w:val="0"/>
                <w:iCs w:val="0"/>
                <w:color w:val="000000"/>
                <w:kern w:val="0"/>
                <w:sz w:val="21"/>
                <w:szCs w:val="21"/>
                <w:u w:val="none"/>
                <w:lang w:val="en-US" w:eastAsia="zh-CN" w:bidi="ar"/>
              </w:rPr>
              <w:t>20:00-8:00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翻班</w:t>
            </w:r>
            <w:r>
              <w:rPr>
                <w:rFonts w:hint="eastAsia" w:ascii="方正仿宋_GB2312" w:hAnsi="方正仿宋_GB2312" w:eastAsia="方正仿宋_GB2312" w:cs="方正仿宋_GB2312"/>
                <w:i w:val="0"/>
                <w:iCs w:val="0"/>
                <w:color w:val="000000"/>
                <w:kern w:val="0"/>
                <w:sz w:val="21"/>
                <w:szCs w:val="21"/>
                <w:u w:val="none"/>
                <w:lang w:val="en-US" w:eastAsia="zh-CN" w:bidi="ar"/>
              </w:rPr>
              <w:br w:type="textWrapping"/>
            </w:r>
            <w:r>
              <w:rPr>
                <w:rFonts w:hint="eastAsia" w:ascii="方正仿宋_GB2312" w:hAnsi="方正仿宋_GB2312" w:eastAsia="方正仿宋_GB2312" w:cs="方正仿宋_GB2312"/>
                <w:i w:val="0"/>
                <w:iCs w:val="0"/>
                <w:color w:val="000000"/>
                <w:kern w:val="0"/>
                <w:sz w:val="21"/>
                <w:szCs w:val="21"/>
                <w:u w:val="none"/>
                <w:lang w:val="en-US" w:eastAsia="zh-CN" w:bidi="ar"/>
              </w:rPr>
              <w:t>做二休二</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4</w:t>
            </w:r>
          </w:p>
        </w:tc>
        <w:tc>
          <w:tcPr>
            <w:tcW w:w="1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u w:val="none"/>
                <w:lang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保安证</w:t>
            </w:r>
            <w:r>
              <w:rPr>
                <w:rFonts w:hint="eastAsia" w:ascii="方正仿宋_GB2312" w:hAnsi="方正仿宋_GB2312" w:eastAsia="方正仿宋_GB2312" w:cs="方正仿宋_GB2312"/>
                <w:i w:val="0"/>
                <w:iCs w:val="0"/>
                <w:color w:val="000000"/>
                <w:kern w:val="0"/>
                <w:sz w:val="21"/>
                <w:szCs w:val="21"/>
                <w:u w:val="none"/>
                <w:lang w:val="en-US" w:eastAsia="zh-CN" w:bidi="ar"/>
              </w:rPr>
              <w:br w:type="textWrapping"/>
            </w:r>
            <w:r>
              <w:rPr>
                <w:rFonts w:hint="eastAsia" w:ascii="方正仿宋_GB2312" w:hAnsi="方正仿宋_GB2312" w:eastAsia="方正仿宋_GB2312" w:cs="方正仿宋_GB2312"/>
                <w:i w:val="0"/>
                <w:iCs w:val="0"/>
                <w:color w:val="000000"/>
                <w:kern w:val="0"/>
                <w:sz w:val="21"/>
                <w:szCs w:val="21"/>
                <w:u w:val="none"/>
                <w:lang w:val="en-US" w:eastAsia="zh-CN" w:bidi="ar"/>
              </w:rPr>
              <w:t>消控证</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5"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2312" w:hAnsi="方正仿宋_GB2312" w:eastAsia="方正仿宋_GB2312" w:cs="方正仿宋_GB2312"/>
                <w:i w:val="0"/>
                <w:iCs w:val="0"/>
                <w:color w:val="000000"/>
                <w:sz w:val="21"/>
                <w:szCs w:val="21"/>
                <w:u w:val="none"/>
              </w:rPr>
            </w:pPr>
          </w:p>
        </w:tc>
        <w:tc>
          <w:tcPr>
            <w:tcW w:w="849"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开放区域</w:t>
            </w:r>
            <w:r>
              <w:rPr>
                <w:rFonts w:hint="eastAsia" w:ascii="方正仿宋_GB2312" w:hAnsi="方正仿宋_GB2312" w:eastAsia="方正仿宋_GB2312" w:cs="方正仿宋_GB2312"/>
                <w:i w:val="0"/>
                <w:iCs w:val="0"/>
                <w:color w:val="000000"/>
                <w:kern w:val="0"/>
                <w:sz w:val="21"/>
                <w:szCs w:val="21"/>
                <w:u w:val="none"/>
                <w:lang w:val="en-US" w:eastAsia="zh-CN" w:bidi="ar"/>
              </w:rPr>
              <w:br w:type="textWrapping"/>
            </w:r>
            <w:r>
              <w:rPr>
                <w:rFonts w:hint="eastAsia" w:ascii="方正仿宋_GB2312" w:hAnsi="方正仿宋_GB2312" w:eastAsia="方正仿宋_GB2312" w:cs="方正仿宋_GB2312"/>
                <w:i w:val="0"/>
                <w:iCs w:val="0"/>
                <w:color w:val="000000"/>
                <w:kern w:val="0"/>
                <w:sz w:val="21"/>
                <w:szCs w:val="21"/>
                <w:u w:val="none"/>
                <w:lang w:val="en-US" w:eastAsia="zh-CN" w:bidi="ar"/>
              </w:rPr>
              <w:t>保安</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博物馆</w:t>
            </w:r>
            <w:r>
              <w:rPr>
                <w:rFonts w:hint="eastAsia" w:ascii="方正仿宋_GB2312" w:hAnsi="方正仿宋_GB2312" w:eastAsia="方正仿宋_GB2312" w:cs="方正仿宋_GB2312"/>
                <w:i w:val="0"/>
                <w:iCs w:val="0"/>
                <w:color w:val="000000"/>
                <w:kern w:val="0"/>
                <w:sz w:val="21"/>
                <w:szCs w:val="21"/>
                <w:u w:val="none"/>
                <w:lang w:val="en-US" w:eastAsia="zh-CN" w:bidi="ar"/>
              </w:rPr>
              <w:br w:type="textWrapping"/>
            </w:r>
            <w:r>
              <w:rPr>
                <w:rFonts w:hint="eastAsia" w:ascii="方正仿宋_GB2312" w:hAnsi="方正仿宋_GB2312" w:eastAsia="方正仿宋_GB2312" w:cs="方正仿宋_GB2312"/>
                <w:i w:val="0"/>
                <w:iCs w:val="0"/>
                <w:color w:val="000000"/>
                <w:kern w:val="0"/>
                <w:sz w:val="21"/>
                <w:szCs w:val="21"/>
                <w:u w:val="none"/>
                <w:lang w:val="en-US" w:eastAsia="zh-CN" w:bidi="ar"/>
              </w:rPr>
              <w:t>开发区域</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80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10:00-18:00</w:t>
            </w:r>
            <w:r>
              <w:rPr>
                <w:rFonts w:hint="eastAsia" w:ascii="方正仿宋_GB2312" w:hAnsi="方正仿宋_GB2312" w:eastAsia="方正仿宋_GB2312" w:cs="方正仿宋_GB2312"/>
                <w:i w:val="0"/>
                <w:iCs w:val="0"/>
                <w:color w:val="000000"/>
                <w:kern w:val="0"/>
                <w:sz w:val="21"/>
                <w:szCs w:val="21"/>
                <w:u w:val="none"/>
                <w:lang w:val="en-US" w:eastAsia="zh-CN" w:bidi="ar"/>
              </w:rPr>
              <w:br w:type="textWrapping"/>
            </w:r>
            <w:r>
              <w:rPr>
                <w:rFonts w:hint="eastAsia" w:ascii="方正仿宋_GB2312" w:hAnsi="方正仿宋_GB2312" w:eastAsia="方正仿宋_GB2312" w:cs="方正仿宋_GB2312"/>
                <w:i w:val="0"/>
                <w:iCs w:val="0"/>
                <w:color w:val="000000"/>
                <w:kern w:val="0"/>
                <w:sz w:val="21"/>
                <w:szCs w:val="21"/>
                <w:u w:val="none"/>
                <w:lang w:val="en-US" w:eastAsia="zh-CN" w:bidi="ar"/>
              </w:rPr>
              <w:t>（5/7）</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常日班</w:t>
            </w:r>
            <w:r>
              <w:rPr>
                <w:rFonts w:hint="eastAsia" w:ascii="方正仿宋_GB2312" w:hAnsi="方正仿宋_GB2312" w:eastAsia="方正仿宋_GB2312" w:cs="方正仿宋_GB2312"/>
                <w:i w:val="0"/>
                <w:iCs w:val="0"/>
                <w:color w:val="000000"/>
                <w:kern w:val="0"/>
                <w:sz w:val="21"/>
                <w:szCs w:val="21"/>
                <w:u w:val="none"/>
                <w:lang w:val="en-US" w:eastAsia="zh-CN" w:bidi="ar"/>
              </w:rPr>
              <w:br w:type="textWrapping"/>
            </w:r>
            <w:r>
              <w:rPr>
                <w:rFonts w:hint="eastAsia" w:ascii="方正仿宋_GB2312" w:hAnsi="方正仿宋_GB2312" w:eastAsia="方正仿宋_GB2312" w:cs="方正仿宋_GB2312"/>
                <w:i w:val="0"/>
                <w:iCs w:val="0"/>
                <w:color w:val="000000"/>
                <w:kern w:val="0"/>
                <w:sz w:val="21"/>
                <w:szCs w:val="21"/>
                <w:u w:val="none"/>
                <w:lang w:val="en-US" w:eastAsia="zh-CN" w:bidi="ar"/>
              </w:rPr>
              <w:t>做五休二</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154</w:t>
            </w: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保安证</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6"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2312" w:hAnsi="方正仿宋_GB2312" w:eastAsia="方正仿宋_GB2312" w:cs="方正仿宋_GB2312"/>
                <w:i w:val="0"/>
                <w:iCs w:val="0"/>
                <w:color w:val="000000"/>
                <w:sz w:val="21"/>
                <w:szCs w:val="21"/>
                <w:u w:val="none"/>
              </w:rPr>
            </w:pPr>
          </w:p>
        </w:tc>
        <w:tc>
          <w:tcPr>
            <w:tcW w:w="849"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办公区域</w:t>
            </w:r>
            <w:r>
              <w:rPr>
                <w:rFonts w:hint="eastAsia" w:ascii="方正仿宋_GB2312" w:hAnsi="方正仿宋_GB2312" w:eastAsia="方正仿宋_GB2312" w:cs="方正仿宋_GB2312"/>
                <w:i w:val="0"/>
                <w:iCs w:val="0"/>
                <w:color w:val="000000"/>
                <w:kern w:val="0"/>
                <w:sz w:val="21"/>
                <w:szCs w:val="21"/>
                <w:u w:val="none"/>
                <w:lang w:val="en-US" w:eastAsia="zh-CN" w:bidi="ar"/>
              </w:rPr>
              <w:br w:type="textWrapping"/>
            </w:r>
            <w:r>
              <w:rPr>
                <w:rFonts w:hint="eastAsia" w:ascii="方正仿宋_GB2312" w:hAnsi="方正仿宋_GB2312" w:eastAsia="方正仿宋_GB2312" w:cs="方正仿宋_GB2312"/>
                <w:i w:val="0"/>
                <w:iCs w:val="0"/>
                <w:color w:val="000000"/>
                <w:kern w:val="0"/>
                <w:sz w:val="21"/>
                <w:szCs w:val="21"/>
                <w:u w:val="none"/>
                <w:lang w:val="en-US" w:eastAsia="zh-CN" w:bidi="ar"/>
              </w:rPr>
              <w:t>门岗</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博物馆</w:t>
            </w:r>
            <w:r>
              <w:rPr>
                <w:rFonts w:hint="eastAsia" w:ascii="方正仿宋_GB2312" w:hAnsi="方正仿宋_GB2312" w:eastAsia="方正仿宋_GB2312" w:cs="方正仿宋_GB2312"/>
                <w:i w:val="0"/>
                <w:iCs w:val="0"/>
                <w:color w:val="000000"/>
                <w:kern w:val="0"/>
                <w:sz w:val="21"/>
                <w:szCs w:val="21"/>
                <w:u w:val="none"/>
                <w:lang w:val="en-US" w:eastAsia="zh-CN" w:bidi="ar"/>
              </w:rPr>
              <w:br w:type="textWrapping"/>
            </w:r>
            <w:r>
              <w:rPr>
                <w:rFonts w:hint="eastAsia" w:ascii="方正仿宋_GB2312" w:hAnsi="方正仿宋_GB2312" w:eastAsia="方正仿宋_GB2312" w:cs="方正仿宋_GB2312"/>
                <w:i w:val="0"/>
                <w:iCs w:val="0"/>
                <w:color w:val="000000"/>
                <w:kern w:val="0"/>
                <w:sz w:val="21"/>
                <w:szCs w:val="21"/>
                <w:u w:val="none"/>
                <w:lang w:val="en-US" w:eastAsia="zh-CN" w:bidi="ar"/>
              </w:rPr>
              <w:t>办公区域</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13</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8:00-20:00</w:t>
            </w:r>
            <w:r>
              <w:rPr>
                <w:rFonts w:hint="eastAsia" w:ascii="方正仿宋_GB2312" w:hAnsi="方正仿宋_GB2312" w:eastAsia="方正仿宋_GB2312" w:cs="方正仿宋_GB2312"/>
                <w:i w:val="0"/>
                <w:iCs w:val="0"/>
                <w:color w:val="000000"/>
                <w:kern w:val="0"/>
                <w:sz w:val="21"/>
                <w:szCs w:val="21"/>
                <w:u w:val="none"/>
                <w:lang w:val="en-US" w:eastAsia="zh-CN" w:bidi="ar"/>
              </w:rPr>
              <w:br w:type="textWrapping"/>
            </w:r>
            <w:r>
              <w:rPr>
                <w:rFonts w:hint="eastAsia" w:ascii="方正仿宋_GB2312" w:hAnsi="方正仿宋_GB2312" w:eastAsia="方正仿宋_GB2312" w:cs="方正仿宋_GB2312"/>
                <w:i w:val="0"/>
                <w:iCs w:val="0"/>
                <w:color w:val="000000"/>
                <w:kern w:val="0"/>
                <w:sz w:val="21"/>
                <w:szCs w:val="21"/>
                <w:u w:val="none"/>
                <w:lang w:val="en-US" w:eastAsia="zh-CN" w:bidi="ar"/>
              </w:rPr>
              <w:t>20:00-8:00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翻班</w:t>
            </w:r>
            <w:r>
              <w:rPr>
                <w:rFonts w:hint="eastAsia" w:ascii="方正仿宋_GB2312" w:hAnsi="方正仿宋_GB2312" w:eastAsia="方正仿宋_GB2312" w:cs="方正仿宋_GB2312"/>
                <w:i w:val="0"/>
                <w:iCs w:val="0"/>
                <w:color w:val="000000"/>
                <w:kern w:val="0"/>
                <w:sz w:val="21"/>
                <w:szCs w:val="21"/>
                <w:u w:val="none"/>
                <w:lang w:val="en-US" w:eastAsia="zh-CN" w:bidi="ar"/>
              </w:rPr>
              <w:br w:type="textWrapping"/>
            </w:r>
            <w:r>
              <w:rPr>
                <w:rFonts w:hint="eastAsia" w:ascii="方正仿宋_GB2312" w:hAnsi="方正仿宋_GB2312" w:eastAsia="方正仿宋_GB2312" w:cs="方正仿宋_GB2312"/>
                <w:i w:val="0"/>
                <w:iCs w:val="0"/>
                <w:color w:val="000000"/>
                <w:kern w:val="0"/>
                <w:sz w:val="21"/>
                <w:szCs w:val="21"/>
                <w:u w:val="none"/>
                <w:lang w:val="en-US" w:eastAsia="zh-CN" w:bidi="ar"/>
              </w:rPr>
              <w:t>做二休二</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52</w:t>
            </w: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保安证</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6"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2312" w:hAnsi="方正仿宋_GB2312" w:eastAsia="方正仿宋_GB2312" w:cs="方正仿宋_GB2312"/>
                <w:i w:val="0"/>
                <w:iCs w:val="0"/>
                <w:color w:val="000000"/>
                <w:sz w:val="21"/>
                <w:szCs w:val="21"/>
                <w:u w:val="none"/>
              </w:rPr>
            </w:pPr>
          </w:p>
        </w:tc>
        <w:tc>
          <w:tcPr>
            <w:tcW w:w="849"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办公区域</w:t>
            </w:r>
            <w:r>
              <w:rPr>
                <w:rFonts w:hint="eastAsia" w:ascii="方正仿宋_GB2312" w:hAnsi="方正仿宋_GB2312" w:eastAsia="方正仿宋_GB2312" w:cs="方正仿宋_GB2312"/>
                <w:i w:val="0"/>
                <w:iCs w:val="0"/>
                <w:color w:val="000000"/>
                <w:kern w:val="0"/>
                <w:sz w:val="21"/>
                <w:szCs w:val="21"/>
                <w:u w:val="none"/>
                <w:lang w:val="en-US" w:eastAsia="zh-CN" w:bidi="ar"/>
              </w:rPr>
              <w:br w:type="textWrapping"/>
            </w:r>
            <w:r>
              <w:rPr>
                <w:rFonts w:hint="eastAsia" w:ascii="方正仿宋_GB2312" w:hAnsi="方正仿宋_GB2312" w:eastAsia="方正仿宋_GB2312" w:cs="方正仿宋_GB2312"/>
                <w:i w:val="0"/>
                <w:iCs w:val="0"/>
                <w:color w:val="000000"/>
                <w:kern w:val="0"/>
                <w:sz w:val="21"/>
                <w:szCs w:val="21"/>
                <w:u w:val="none"/>
                <w:lang w:val="en-US" w:eastAsia="zh-CN" w:bidi="ar"/>
              </w:rPr>
              <w:t>门岗</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博物馆</w:t>
            </w:r>
            <w:r>
              <w:rPr>
                <w:rFonts w:hint="eastAsia" w:ascii="方正仿宋_GB2312" w:hAnsi="方正仿宋_GB2312" w:eastAsia="方正仿宋_GB2312" w:cs="方正仿宋_GB2312"/>
                <w:i w:val="0"/>
                <w:iCs w:val="0"/>
                <w:color w:val="000000"/>
                <w:kern w:val="0"/>
                <w:sz w:val="21"/>
                <w:szCs w:val="21"/>
                <w:u w:val="none"/>
                <w:lang w:val="en-US" w:eastAsia="zh-CN" w:bidi="ar"/>
              </w:rPr>
              <w:br w:type="textWrapping"/>
            </w:r>
            <w:r>
              <w:rPr>
                <w:rFonts w:hint="eastAsia" w:ascii="方正仿宋_GB2312" w:hAnsi="方正仿宋_GB2312" w:eastAsia="方正仿宋_GB2312" w:cs="方正仿宋_GB2312"/>
                <w:i w:val="0"/>
                <w:iCs w:val="0"/>
                <w:color w:val="000000"/>
                <w:kern w:val="0"/>
                <w:sz w:val="21"/>
                <w:szCs w:val="21"/>
                <w:u w:val="none"/>
                <w:lang w:val="en-US" w:eastAsia="zh-CN" w:bidi="ar"/>
              </w:rPr>
              <w:t>办公区域</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11</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8:00-20:00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日班</w:t>
            </w:r>
            <w:r>
              <w:rPr>
                <w:rFonts w:hint="eastAsia" w:ascii="方正仿宋_GB2312" w:hAnsi="方正仿宋_GB2312" w:eastAsia="方正仿宋_GB2312" w:cs="方正仿宋_GB2312"/>
                <w:i w:val="0"/>
                <w:iCs w:val="0"/>
                <w:color w:val="000000"/>
                <w:kern w:val="0"/>
                <w:sz w:val="21"/>
                <w:szCs w:val="21"/>
                <w:u w:val="none"/>
                <w:lang w:val="en-US" w:eastAsia="zh-CN" w:bidi="ar"/>
              </w:rPr>
              <w:br w:type="textWrapping"/>
            </w:r>
            <w:r>
              <w:rPr>
                <w:rFonts w:hint="eastAsia" w:ascii="方正仿宋_GB2312" w:hAnsi="方正仿宋_GB2312" w:eastAsia="方正仿宋_GB2312" w:cs="方正仿宋_GB2312"/>
                <w:i w:val="0"/>
                <w:iCs w:val="0"/>
                <w:color w:val="000000"/>
                <w:kern w:val="0"/>
                <w:sz w:val="21"/>
                <w:szCs w:val="21"/>
                <w:u w:val="none"/>
                <w:lang w:val="en-US" w:eastAsia="zh-CN" w:bidi="ar"/>
              </w:rPr>
              <w:t>做二休二</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22</w:t>
            </w: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保安证</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0"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2312" w:hAnsi="方正仿宋_GB2312" w:eastAsia="方正仿宋_GB2312" w:cs="方正仿宋_GB2312"/>
                <w:i w:val="0"/>
                <w:iCs w:val="0"/>
                <w:color w:val="000000"/>
                <w:sz w:val="21"/>
                <w:szCs w:val="21"/>
                <w:u w:val="none"/>
              </w:rPr>
            </w:pPr>
          </w:p>
        </w:tc>
        <w:tc>
          <w:tcPr>
            <w:tcW w:w="849"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安检</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安检处</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18</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10:00-18:00</w:t>
            </w:r>
            <w:r>
              <w:rPr>
                <w:rFonts w:hint="eastAsia" w:ascii="方正仿宋_GB2312" w:hAnsi="方正仿宋_GB2312" w:eastAsia="方正仿宋_GB2312" w:cs="方正仿宋_GB2312"/>
                <w:i w:val="0"/>
                <w:iCs w:val="0"/>
                <w:color w:val="000000"/>
                <w:kern w:val="0"/>
                <w:sz w:val="21"/>
                <w:szCs w:val="21"/>
                <w:u w:val="none"/>
                <w:lang w:val="en-US" w:eastAsia="zh-CN" w:bidi="ar"/>
              </w:rPr>
              <w:br w:type="textWrapping"/>
            </w:r>
            <w:r>
              <w:rPr>
                <w:rFonts w:hint="eastAsia" w:ascii="方正仿宋_GB2312" w:hAnsi="方正仿宋_GB2312" w:eastAsia="方正仿宋_GB2312" w:cs="方正仿宋_GB2312"/>
                <w:i w:val="0"/>
                <w:iCs w:val="0"/>
                <w:color w:val="000000"/>
                <w:kern w:val="0"/>
                <w:sz w:val="21"/>
                <w:szCs w:val="21"/>
                <w:u w:val="none"/>
                <w:lang w:val="en-US" w:eastAsia="zh-CN" w:bidi="ar"/>
              </w:rPr>
              <w:t>（5/7）</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常日班</w:t>
            </w:r>
            <w:r>
              <w:rPr>
                <w:rFonts w:hint="eastAsia" w:ascii="方正仿宋_GB2312" w:hAnsi="方正仿宋_GB2312" w:eastAsia="方正仿宋_GB2312" w:cs="方正仿宋_GB2312"/>
                <w:i w:val="0"/>
                <w:iCs w:val="0"/>
                <w:color w:val="000000"/>
                <w:kern w:val="0"/>
                <w:sz w:val="21"/>
                <w:szCs w:val="21"/>
                <w:u w:val="none"/>
                <w:lang w:val="en-US" w:eastAsia="zh-CN" w:bidi="ar"/>
              </w:rPr>
              <w:br w:type="textWrapping"/>
            </w:r>
            <w:r>
              <w:rPr>
                <w:rFonts w:hint="eastAsia" w:ascii="方正仿宋_GB2312" w:hAnsi="方正仿宋_GB2312" w:eastAsia="方正仿宋_GB2312" w:cs="方正仿宋_GB2312"/>
                <w:i w:val="0"/>
                <w:iCs w:val="0"/>
                <w:color w:val="000000"/>
                <w:kern w:val="0"/>
                <w:sz w:val="21"/>
                <w:szCs w:val="21"/>
                <w:u w:val="none"/>
                <w:lang w:val="en-US" w:eastAsia="zh-CN" w:bidi="ar"/>
              </w:rPr>
              <w:t>做五休二</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37</w:t>
            </w:r>
          </w:p>
        </w:tc>
        <w:tc>
          <w:tcPr>
            <w:tcW w:w="1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保安证</w:t>
            </w:r>
            <w:r>
              <w:rPr>
                <w:rFonts w:hint="eastAsia" w:ascii="方正仿宋_GB2312" w:hAnsi="方正仿宋_GB2312" w:eastAsia="方正仿宋_GB2312" w:cs="方正仿宋_GB2312"/>
                <w:i w:val="0"/>
                <w:iCs w:val="0"/>
                <w:color w:val="000000"/>
                <w:kern w:val="0"/>
                <w:sz w:val="21"/>
                <w:szCs w:val="21"/>
                <w:u w:val="none"/>
                <w:lang w:val="en-US" w:eastAsia="zh-CN" w:bidi="ar"/>
              </w:rPr>
              <w:br w:type="textWrapping"/>
            </w:r>
            <w:r>
              <w:rPr>
                <w:rFonts w:hint="eastAsia" w:ascii="方正仿宋_GB2312" w:hAnsi="方正仿宋_GB2312" w:eastAsia="方正仿宋_GB2312" w:cs="方正仿宋_GB2312"/>
                <w:i w:val="0"/>
                <w:iCs w:val="0"/>
                <w:color w:val="000000"/>
                <w:kern w:val="0"/>
                <w:sz w:val="21"/>
                <w:szCs w:val="21"/>
                <w:u w:val="none"/>
                <w:lang w:val="en-US" w:eastAsia="zh-CN" w:bidi="ar"/>
              </w:rPr>
              <w:t>安检证</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1"/>
                <w:szCs w:val="21"/>
                <w:u w:val="none"/>
              </w:rPr>
            </w:pPr>
          </w:p>
        </w:tc>
      </w:tr>
    </w:tbl>
    <w:p>
      <w:pPr>
        <w:numPr>
          <w:ilvl w:val="0"/>
          <w:numId w:val="5"/>
        </w:numPr>
        <w:spacing w:line="600" w:lineRule="exact"/>
        <w:jc w:val="left"/>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sz w:val="32"/>
          <w:szCs w:val="32"/>
        </w:rPr>
        <w:t>热门特展、国定假日、寒暑假等客流高峰期间：需额外增派保安人员，重点加强出入口安检、客流引导、展厅秩序维护，增派人员费用包含在投标报价中，不额外增加费用</w:t>
      </w:r>
      <w:r>
        <w:rPr>
          <w:rFonts w:hint="eastAsia" w:ascii="仿宋_GB2312" w:hAnsi="仿宋_GB2312" w:eastAsia="仿宋_GB2312" w:cs="仿宋_GB2312"/>
          <w:color w:val="000000" w:themeColor="text1"/>
          <w:sz w:val="32"/>
          <w:szCs w:val="32"/>
          <w:highlight w:val="none"/>
          <w14:textFill>
            <w14:solidFill>
              <w14:schemeClr w14:val="tx1"/>
            </w14:solidFill>
          </w14:textFill>
        </w:rPr>
        <w:t>（历年费用约为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8</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w:t>
      </w:r>
    </w:p>
    <w:p>
      <w:pPr>
        <w:numPr>
          <w:ilvl w:val="0"/>
          <w:numId w:val="5"/>
        </w:numPr>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团体参观、大型学术活动期间：配合采购人做好团体引导、现场秩序维护，根据活动规模灵活增派人员，确保活动有序开展。</w:t>
      </w:r>
    </w:p>
    <w:p>
      <w:pPr>
        <w:numPr>
          <w:ilvl w:val="0"/>
          <w:numId w:val="5"/>
        </w:numPr>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具备</w:t>
      </w:r>
      <w:r>
        <w:rPr>
          <w:rFonts w:hint="eastAsia" w:ascii="仿宋_GB2312" w:hAnsi="仿宋_GB2312" w:eastAsia="仿宋_GB2312" w:cs="仿宋_GB2312"/>
          <w:sz w:val="32"/>
          <w:szCs w:val="32"/>
          <w:lang w:eastAsia="zh-CN"/>
        </w:rPr>
        <w:t>大型</w:t>
      </w:r>
      <w:r>
        <w:rPr>
          <w:rFonts w:hint="eastAsia" w:ascii="仿宋_GB2312" w:hAnsi="仿宋_GB2312" w:eastAsia="仿宋_GB2312" w:cs="仿宋_GB2312"/>
          <w:sz w:val="32"/>
          <w:szCs w:val="32"/>
        </w:rPr>
        <w:t>展览活动安全保卫、VIP 警卫及重要宾客接待保障的综合服务能力，能够独立完成活动现场秩序维护、人员疏导、重点区域管控、应急处置及 VIP 贴身警卫、路线安保、现场警戒等全流程服务。</w:t>
      </w:r>
    </w:p>
    <w:p>
      <w:pPr>
        <w:numPr>
          <w:ilvl w:val="0"/>
          <w:numId w:val="4"/>
        </w:numPr>
        <w:spacing w:line="600" w:lineRule="exact"/>
        <w:jc w:val="left"/>
        <w:rPr>
          <w:rFonts w:ascii="仿宋_GB2312" w:hAnsi="仿宋_GB2312" w:eastAsia="仿宋_GB2312" w:cs="仿宋_GB2312"/>
          <w:sz w:val="32"/>
          <w:szCs w:val="32"/>
        </w:rPr>
      </w:pPr>
      <w:bookmarkStart w:id="0" w:name="heading_12"/>
      <w:r>
        <w:rPr>
          <w:rFonts w:hint="eastAsia" w:ascii="仿宋_GB2312" w:hAnsi="仿宋_GB2312" w:eastAsia="仿宋_GB2312" w:cs="仿宋_GB2312"/>
          <w:sz w:val="32"/>
          <w:szCs w:val="32"/>
        </w:rPr>
        <w:t>人员资质及要求</w:t>
      </w:r>
      <w:bookmarkEnd w:id="0"/>
    </w:p>
    <w:p>
      <w:pPr>
        <w:numPr>
          <w:ilvl w:val="0"/>
          <w:numId w:val="6"/>
        </w:numPr>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基本要求：所有保安人员需年满20周岁、不超过60周岁，男性身高不低于1.70米，女性身高不低于1.60米，身体健康、五官端正、无传染性疾病、无精神病史，无犯罪记录、无不良从业记录，品行端正、责任心强、服从管理，具备良好的沟通能力和应急处置能力；</w:t>
      </w:r>
    </w:p>
    <w:p>
      <w:pPr>
        <w:numPr>
          <w:ilvl w:val="0"/>
          <w:numId w:val="6"/>
        </w:numPr>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资质要求：普通岗保安人员需持有有效的《中华人民共和国保安员证》，其中安检保安人员需额外持有有效的安检证，监控室值守人员需额外持有有效的消防设施操作证，管理岗保安队长需具备5年以上博物馆、展馆或文物单位保安服务管理经验，学历本科及以上，持有保卫管理员二级及以上证书，并提供本单位为其缴纳的社保证明，承诺服务期内不擅自更换；</w:t>
      </w:r>
    </w:p>
    <w:p>
      <w:pPr>
        <w:numPr>
          <w:ilvl w:val="0"/>
          <w:numId w:val="6"/>
        </w:numPr>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优先条件：退役军、有文物保护相关从业经验的保安人员优先录用；</w:t>
      </w:r>
    </w:p>
    <w:p>
      <w:pPr>
        <w:numPr>
          <w:ilvl w:val="0"/>
          <w:numId w:val="6"/>
        </w:numPr>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人员管理：投标人需建立完善的保安人员管理制度，对保安人员进行统一招聘、培训、考核、管理，定期开展文物保护知识、消防安全知识、应急处置技能、服务礼仪等培训，确保保安人员熟悉场馆情况、掌握服务规范；保安人员着装统一、整洁，佩戴明显标识，举止文明、服务热情，严禁出现脱岗、睡岗、擅离职守、态度恶劣等行为；投标人需将保安人员名单、资质证书、联系方式等信息报采购人备案，如需更换保安人员，需提前7个工作日书面告知采购人，经采购人同意后方可更换，更换人员需符合本需求书规定的资质要求。</w:t>
      </w:r>
    </w:p>
    <w:p>
      <w:pPr>
        <w:numPr>
          <w:ilvl w:val="0"/>
          <w:numId w:val="3"/>
        </w:numPr>
        <w:spacing w:line="600" w:lineRule="exact"/>
        <w:jc w:val="left"/>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消安要求</w:t>
      </w:r>
    </w:p>
    <w:p>
      <w:pPr>
        <w:numPr>
          <w:ilvl w:val="0"/>
          <w:numId w:val="7"/>
        </w:numPr>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人员配置要求：</w:t>
      </w:r>
    </w:p>
    <w:p>
      <w:pPr>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上海博物馆（</w:t>
      </w:r>
      <w:r>
        <w:rPr>
          <w:rFonts w:hint="eastAsia" w:ascii="仿宋_GB2312" w:hAnsi="仿宋_GB2312" w:eastAsia="仿宋_GB2312" w:cs="仿宋_GB2312"/>
          <w:sz w:val="32"/>
          <w:szCs w:val="32"/>
          <w:lang w:val="en-US" w:eastAsia="zh-CN"/>
        </w:rPr>
        <w:t>东馆</w:t>
      </w:r>
      <w:r>
        <w:rPr>
          <w:rFonts w:hint="eastAsia" w:ascii="仿宋_GB2312" w:hAnsi="仿宋_GB2312" w:eastAsia="仿宋_GB2312" w:cs="仿宋_GB2312"/>
          <w:sz w:val="32"/>
          <w:szCs w:val="32"/>
        </w:rPr>
        <w:t>）需</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名消防安全服务人员；具体配置如下：</w:t>
      </w:r>
    </w:p>
    <w:tbl>
      <w:tblPr>
        <w:tblStyle w:val="10"/>
        <w:tblW w:w="91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1"/>
        <w:gridCol w:w="1219"/>
        <w:gridCol w:w="1219"/>
        <w:gridCol w:w="1348"/>
        <w:gridCol w:w="1127"/>
        <w:gridCol w:w="1125"/>
        <w:gridCol w:w="778"/>
        <w:gridCol w:w="1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61" w:type="dxa"/>
            <w:shd w:val="clear" w:color="auto" w:fill="auto"/>
            <w:vAlign w:val="center"/>
          </w:tcPr>
          <w:p>
            <w:pPr>
              <w:widowControl/>
              <w:spacing w:line="360" w:lineRule="auto"/>
              <w:jc w:val="center"/>
              <w:rPr>
                <w:rFonts w:ascii="仿宋" w:hAnsi="仿宋" w:eastAsia="仿宋" w:cs="仿宋"/>
                <w:b/>
                <w:bCs/>
                <w:color w:val="000000"/>
                <w:kern w:val="0"/>
                <w:sz w:val="22"/>
                <w:szCs w:val="22"/>
              </w:rPr>
            </w:pPr>
            <w:r>
              <w:rPr>
                <w:rFonts w:hint="eastAsia" w:ascii="仿宋" w:hAnsi="仿宋" w:eastAsia="仿宋" w:cs="仿宋"/>
                <w:b/>
                <w:bCs/>
                <w:color w:val="000000"/>
                <w:kern w:val="0"/>
                <w:sz w:val="22"/>
                <w:szCs w:val="22"/>
              </w:rPr>
              <w:t>项目</w:t>
            </w:r>
          </w:p>
        </w:tc>
        <w:tc>
          <w:tcPr>
            <w:tcW w:w="1219" w:type="dxa"/>
            <w:shd w:val="clear" w:color="auto" w:fill="auto"/>
            <w:vAlign w:val="center"/>
          </w:tcPr>
          <w:p>
            <w:pPr>
              <w:widowControl/>
              <w:spacing w:line="360" w:lineRule="auto"/>
              <w:jc w:val="left"/>
              <w:rPr>
                <w:rFonts w:ascii="仿宋" w:hAnsi="仿宋" w:eastAsia="仿宋" w:cs="仿宋"/>
                <w:b/>
                <w:bCs/>
                <w:color w:val="000000"/>
                <w:kern w:val="0"/>
                <w:sz w:val="22"/>
                <w:szCs w:val="22"/>
              </w:rPr>
            </w:pPr>
            <w:r>
              <w:rPr>
                <w:rFonts w:hint="eastAsia" w:ascii="仿宋" w:hAnsi="仿宋" w:eastAsia="仿宋" w:cs="仿宋"/>
                <w:b/>
                <w:bCs/>
                <w:color w:val="000000"/>
                <w:kern w:val="0"/>
                <w:sz w:val="22"/>
                <w:szCs w:val="22"/>
              </w:rPr>
              <w:t>岗位名称</w:t>
            </w:r>
          </w:p>
        </w:tc>
        <w:tc>
          <w:tcPr>
            <w:tcW w:w="1219" w:type="dxa"/>
            <w:shd w:val="clear" w:color="auto" w:fill="auto"/>
            <w:noWrap/>
            <w:vAlign w:val="center"/>
          </w:tcPr>
          <w:p>
            <w:pPr>
              <w:widowControl/>
              <w:spacing w:line="360" w:lineRule="auto"/>
              <w:jc w:val="center"/>
              <w:rPr>
                <w:rFonts w:ascii="仿宋" w:hAnsi="仿宋" w:eastAsia="仿宋" w:cs="仿宋"/>
                <w:b/>
                <w:bCs/>
                <w:color w:val="000000"/>
                <w:kern w:val="0"/>
                <w:sz w:val="22"/>
                <w:szCs w:val="22"/>
              </w:rPr>
            </w:pPr>
            <w:r>
              <w:rPr>
                <w:rFonts w:hint="eastAsia" w:ascii="仿宋" w:hAnsi="仿宋" w:eastAsia="仿宋" w:cs="仿宋"/>
                <w:b/>
                <w:bCs/>
                <w:color w:val="000000"/>
                <w:kern w:val="0"/>
                <w:sz w:val="22"/>
                <w:szCs w:val="22"/>
              </w:rPr>
              <w:t>主要区域</w:t>
            </w:r>
          </w:p>
        </w:tc>
        <w:tc>
          <w:tcPr>
            <w:tcW w:w="1348" w:type="dxa"/>
            <w:shd w:val="clear" w:color="auto" w:fill="auto"/>
            <w:noWrap/>
            <w:vAlign w:val="center"/>
          </w:tcPr>
          <w:p>
            <w:pPr>
              <w:widowControl/>
              <w:spacing w:line="360" w:lineRule="auto"/>
              <w:jc w:val="center"/>
              <w:rPr>
                <w:rFonts w:ascii="仿宋" w:hAnsi="仿宋" w:eastAsia="仿宋" w:cs="仿宋"/>
                <w:b/>
                <w:bCs/>
                <w:color w:val="000000"/>
                <w:kern w:val="0"/>
                <w:sz w:val="22"/>
                <w:szCs w:val="22"/>
              </w:rPr>
            </w:pPr>
            <w:r>
              <w:rPr>
                <w:rFonts w:hint="eastAsia" w:ascii="仿宋" w:hAnsi="仿宋" w:eastAsia="仿宋" w:cs="仿宋"/>
                <w:b/>
                <w:bCs/>
                <w:color w:val="000000"/>
                <w:kern w:val="0"/>
                <w:sz w:val="22"/>
                <w:szCs w:val="22"/>
              </w:rPr>
              <w:t>岗位数</w:t>
            </w:r>
          </w:p>
        </w:tc>
        <w:tc>
          <w:tcPr>
            <w:tcW w:w="1127" w:type="dxa"/>
            <w:shd w:val="clear" w:color="auto" w:fill="auto"/>
            <w:vAlign w:val="center"/>
          </w:tcPr>
          <w:p>
            <w:pPr>
              <w:widowControl/>
              <w:spacing w:line="360" w:lineRule="auto"/>
              <w:jc w:val="center"/>
              <w:rPr>
                <w:rFonts w:ascii="仿宋" w:hAnsi="仿宋" w:eastAsia="仿宋" w:cs="仿宋"/>
                <w:b/>
                <w:bCs/>
                <w:color w:val="000000"/>
                <w:kern w:val="0"/>
                <w:sz w:val="22"/>
                <w:szCs w:val="22"/>
              </w:rPr>
            </w:pPr>
            <w:r>
              <w:rPr>
                <w:rFonts w:hint="eastAsia" w:ascii="仿宋" w:hAnsi="仿宋" w:eastAsia="仿宋" w:cs="仿宋"/>
                <w:b/>
                <w:bCs/>
                <w:color w:val="000000"/>
                <w:kern w:val="0"/>
                <w:sz w:val="22"/>
                <w:szCs w:val="22"/>
              </w:rPr>
              <w:t>岗位时间</w:t>
            </w:r>
          </w:p>
        </w:tc>
        <w:tc>
          <w:tcPr>
            <w:tcW w:w="1125" w:type="dxa"/>
            <w:shd w:val="clear" w:color="auto" w:fill="auto"/>
            <w:noWrap/>
            <w:vAlign w:val="center"/>
          </w:tcPr>
          <w:p>
            <w:pPr>
              <w:widowControl/>
              <w:spacing w:line="360" w:lineRule="auto"/>
              <w:jc w:val="center"/>
              <w:rPr>
                <w:rFonts w:ascii="仿宋" w:hAnsi="仿宋" w:eastAsia="仿宋" w:cs="仿宋"/>
                <w:b/>
                <w:bCs/>
                <w:color w:val="000000"/>
                <w:kern w:val="0"/>
                <w:sz w:val="22"/>
                <w:szCs w:val="22"/>
              </w:rPr>
            </w:pPr>
            <w:r>
              <w:rPr>
                <w:rFonts w:hint="eastAsia" w:ascii="仿宋" w:hAnsi="仿宋" w:eastAsia="仿宋" w:cs="仿宋"/>
                <w:b/>
                <w:bCs/>
                <w:color w:val="000000"/>
                <w:kern w:val="0"/>
                <w:sz w:val="22"/>
                <w:szCs w:val="22"/>
              </w:rPr>
              <w:t>班次</w:t>
            </w:r>
          </w:p>
        </w:tc>
        <w:tc>
          <w:tcPr>
            <w:tcW w:w="778" w:type="dxa"/>
            <w:shd w:val="clear" w:color="auto" w:fill="auto"/>
            <w:noWrap/>
            <w:vAlign w:val="center"/>
          </w:tcPr>
          <w:p>
            <w:pPr>
              <w:widowControl/>
              <w:spacing w:line="360" w:lineRule="auto"/>
              <w:jc w:val="center"/>
              <w:rPr>
                <w:rFonts w:ascii="仿宋" w:hAnsi="仿宋" w:eastAsia="仿宋" w:cs="仿宋"/>
                <w:b/>
                <w:bCs/>
                <w:color w:val="000000"/>
                <w:kern w:val="0"/>
                <w:sz w:val="22"/>
                <w:szCs w:val="22"/>
              </w:rPr>
            </w:pPr>
            <w:r>
              <w:rPr>
                <w:rFonts w:hint="eastAsia" w:ascii="仿宋" w:hAnsi="仿宋" w:eastAsia="仿宋" w:cs="仿宋"/>
                <w:b/>
                <w:bCs/>
                <w:color w:val="000000"/>
                <w:kern w:val="0"/>
                <w:sz w:val="22"/>
                <w:szCs w:val="22"/>
              </w:rPr>
              <w:t>配备人数要求</w:t>
            </w:r>
          </w:p>
        </w:tc>
        <w:tc>
          <w:tcPr>
            <w:tcW w:w="1212" w:type="dxa"/>
            <w:shd w:val="clear" w:color="auto" w:fill="auto"/>
            <w:noWrap/>
            <w:vAlign w:val="center"/>
          </w:tcPr>
          <w:p>
            <w:pPr>
              <w:widowControl/>
              <w:spacing w:line="360" w:lineRule="auto"/>
              <w:jc w:val="center"/>
              <w:rPr>
                <w:rFonts w:ascii="仿宋" w:hAnsi="仿宋" w:eastAsia="仿宋" w:cs="仿宋"/>
                <w:b/>
                <w:bCs/>
                <w:color w:val="000000"/>
                <w:kern w:val="0"/>
                <w:sz w:val="22"/>
                <w:szCs w:val="22"/>
              </w:rPr>
            </w:pPr>
            <w:r>
              <w:rPr>
                <w:rFonts w:hint="eastAsia" w:ascii="仿宋" w:hAnsi="仿宋" w:eastAsia="仿宋" w:cs="仿宋"/>
                <w:b/>
                <w:bCs/>
                <w:color w:val="000000"/>
                <w:kern w:val="0"/>
                <w:sz w:val="22"/>
                <w:szCs w:val="22"/>
              </w:rPr>
              <w:t>持证要求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61" w:type="dxa"/>
            <w:vMerge w:val="restart"/>
            <w:shd w:val="clear" w:color="auto" w:fill="auto"/>
            <w:vAlign w:val="center"/>
          </w:tcPr>
          <w:p>
            <w:pPr>
              <w:widowControl/>
              <w:spacing w:line="360" w:lineRule="auto"/>
              <w:jc w:val="center"/>
              <w:rPr>
                <w:rFonts w:ascii="仿宋" w:hAnsi="仿宋" w:eastAsia="仿宋" w:cs="仿宋"/>
                <w:kern w:val="0"/>
                <w:sz w:val="22"/>
                <w:szCs w:val="22"/>
              </w:rPr>
            </w:pPr>
            <w:r>
              <w:rPr>
                <w:rFonts w:hint="eastAsia" w:ascii="仿宋" w:hAnsi="仿宋" w:eastAsia="仿宋" w:cs="仿宋"/>
                <w:kern w:val="0"/>
                <w:sz w:val="22"/>
                <w:szCs w:val="22"/>
                <w:lang w:val="en-US" w:eastAsia="zh-CN"/>
              </w:rPr>
              <w:t>上博东馆</w:t>
            </w:r>
            <w:r>
              <w:rPr>
                <w:rFonts w:hint="eastAsia" w:ascii="仿宋" w:hAnsi="仿宋" w:eastAsia="仿宋" w:cs="仿宋"/>
                <w:kern w:val="0"/>
                <w:sz w:val="22"/>
                <w:szCs w:val="22"/>
              </w:rPr>
              <w:t>消安服务</w:t>
            </w:r>
          </w:p>
        </w:tc>
        <w:tc>
          <w:tcPr>
            <w:tcW w:w="1219" w:type="dxa"/>
            <w:shd w:val="clear" w:color="auto" w:fill="auto"/>
            <w:vAlign w:val="center"/>
          </w:tcPr>
          <w:p>
            <w:pPr>
              <w:widowControl/>
              <w:spacing w:line="360" w:lineRule="auto"/>
              <w:jc w:val="center"/>
              <w:rPr>
                <w:rFonts w:ascii="仿宋" w:hAnsi="仿宋" w:eastAsia="仿宋" w:cs="仿宋"/>
                <w:kern w:val="0"/>
                <w:sz w:val="22"/>
                <w:szCs w:val="22"/>
              </w:rPr>
            </w:pPr>
            <w:r>
              <w:rPr>
                <w:rFonts w:hint="eastAsia" w:ascii="仿宋" w:hAnsi="仿宋" w:eastAsia="仿宋" w:cs="仿宋"/>
                <w:kern w:val="0"/>
                <w:sz w:val="22"/>
                <w:szCs w:val="22"/>
              </w:rPr>
              <w:t>队长</w:t>
            </w:r>
          </w:p>
        </w:tc>
        <w:tc>
          <w:tcPr>
            <w:tcW w:w="1219" w:type="dxa"/>
            <w:shd w:val="clear" w:color="auto" w:fill="auto"/>
            <w:vAlign w:val="center"/>
          </w:tcPr>
          <w:p>
            <w:pPr>
              <w:widowControl/>
              <w:spacing w:line="360" w:lineRule="auto"/>
              <w:jc w:val="center"/>
              <w:rPr>
                <w:rFonts w:ascii="仿宋" w:hAnsi="仿宋" w:eastAsia="仿宋" w:cs="仿宋"/>
                <w:kern w:val="0"/>
                <w:sz w:val="22"/>
                <w:szCs w:val="22"/>
              </w:rPr>
            </w:pPr>
            <w:r>
              <w:rPr>
                <w:rFonts w:hint="eastAsia" w:ascii="仿宋" w:hAnsi="仿宋" w:eastAsia="仿宋" w:cs="仿宋"/>
                <w:kern w:val="0"/>
                <w:sz w:val="22"/>
                <w:szCs w:val="22"/>
              </w:rPr>
              <w:t>全馆</w:t>
            </w:r>
          </w:p>
        </w:tc>
        <w:tc>
          <w:tcPr>
            <w:tcW w:w="1348" w:type="dxa"/>
            <w:shd w:val="clear" w:color="auto" w:fill="auto"/>
            <w:vAlign w:val="center"/>
          </w:tcPr>
          <w:p>
            <w:pPr>
              <w:widowControl/>
              <w:spacing w:line="360" w:lineRule="auto"/>
              <w:jc w:val="center"/>
              <w:rPr>
                <w:rFonts w:ascii="仿宋" w:hAnsi="仿宋" w:eastAsia="仿宋" w:cs="仿宋"/>
                <w:kern w:val="0"/>
                <w:sz w:val="22"/>
                <w:szCs w:val="22"/>
              </w:rPr>
            </w:pPr>
            <w:r>
              <w:rPr>
                <w:rFonts w:hint="eastAsia" w:ascii="仿宋" w:hAnsi="仿宋" w:eastAsia="仿宋" w:cs="仿宋"/>
                <w:kern w:val="0"/>
                <w:sz w:val="22"/>
                <w:szCs w:val="22"/>
              </w:rPr>
              <w:t>1</w:t>
            </w:r>
          </w:p>
        </w:tc>
        <w:tc>
          <w:tcPr>
            <w:tcW w:w="1127" w:type="dxa"/>
            <w:shd w:val="clear" w:color="auto" w:fill="auto"/>
            <w:vAlign w:val="center"/>
          </w:tcPr>
          <w:p>
            <w:pPr>
              <w:widowControl/>
              <w:spacing w:line="360" w:lineRule="auto"/>
              <w:jc w:val="center"/>
              <w:rPr>
                <w:rFonts w:ascii="仿宋" w:hAnsi="仿宋" w:eastAsia="仿宋" w:cs="仿宋"/>
                <w:kern w:val="0"/>
                <w:sz w:val="22"/>
                <w:szCs w:val="22"/>
              </w:rPr>
            </w:pPr>
            <w:r>
              <w:rPr>
                <w:rFonts w:hint="eastAsia" w:ascii="仿宋" w:hAnsi="仿宋" w:eastAsia="仿宋" w:cs="仿宋"/>
                <w:kern w:val="0"/>
                <w:sz w:val="22"/>
                <w:szCs w:val="22"/>
              </w:rPr>
              <w:t>8小时，做五休二，24小时备勤</w:t>
            </w:r>
          </w:p>
        </w:tc>
        <w:tc>
          <w:tcPr>
            <w:tcW w:w="1125" w:type="dxa"/>
            <w:shd w:val="clear" w:color="auto" w:fill="auto"/>
            <w:vAlign w:val="center"/>
          </w:tcPr>
          <w:p>
            <w:pPr>
              <w:widowControl/>
              <w:spacing w:line="360" w:lineRule="auto"/>
              <w:jc w:val="center"/>
              <w:rPr>
                <w:rFonts w:ascii="仿宋" w:hAnsi="仿宋" w:eastAsia="仿宋" w:cs="仿宋"/>
                <w:kern w:val="0"/>
                <w:sz w:val="22"/>
                <w:szCs w:val="22"/>
              </w:rPr>
            </w:pPr>
            <w:r>
              <w:rPr>
                <w:rFonts w:hint="eastAsia" w:ascii="仿宋" w:hAnsi="仿宋" w:eastAsia="仿宋" w:cs="仿宋"/>
                <w:kern w:val="0"/>
                <w:sz w:val="22"/>
                <w:szCs w:val="22"/>
              </w:rPr>
              <w:t>8小时</w:t>
            </w:r>
          </w:p>
        </w:tc>
        <w:tc>
          <w:tcPr>
            <w:tcW w:w="778" w:type="dxa"/>
            <w:shd w:val="clear" w:color="auto" w:fill="auto"/>
            <w:vAlign w:val="center"/>
          </w:tcPr>
          <w:p>
            <w:pPr>
              <w:widowControl/>
              <w:spacing w:line="360" w:lineRule="auto"/>
              <w:jc w:val="center"/>
              <w:rPr>
                <w:rFonts w:ascii="仿宋" w:hAnsi="仿宋" w:eastAsia="仿宋" w:cs="仿宋"/>
                <w:kern w:val="0"/>
                <w:sz w:val="22"/>
                <w:szCs w:val="22"/>
              </w:rPr>
            </w:pPr>
            <w:r>
              <w:rPr>
                <w:rFonts w:hint="eastAsia" w:ascii="仿宋" w:hAnsi="仿宋" w:eastAsia="仿宋" w:cs="仿宋"/>
                <w:kern w:val="0"/>
                <w:sz w:val="22"/>
                <w:szCs w:val="22"/>
              </w:rPr>
              <w:t>1</w:t>
            </w:r>
          </w:p>
        </w:tc>
        <w:tc>
          <w:tcPr>
            <w:tcW w:w="1212" w:type="dxa"/>
            <w:shd w:val="clear" w:color="auto" w:fill="auto"/>
            <w:vAlign w:val="center"/>
          </w:tcPr>
          <w:p>
            <w:pPr>
              <w:widowControl/>
              <w:spacing w:line="360" w:lineRule="auto"/>
              <w:jc w:val="center"/>
              <w:rPr>
                <w:rFonts w:ascii="仿宋" w:hAnsi="仿宋" w:eastAsia="仿宋" w:cs="仿宋"/>
                <w:kern w:val="0"/>
                <w:sz w:val="22"/>
                <w:szCs w:val="22"/>
              </w:rPr>
            </w:pPr>
            <w:r>
              <w:rPr>
                <w:rFonts w:hint="eastAsia" w:ascii="仿宋" w:hAnsi="仿宋" w:eastAsia="仿宋" w:cs="仿宋"/>
                <w:kern w:val="0"/>
                <w:sz w:val="22"/>
                <w:szCs w:val="22"/>
              </w:rPr>
              <w:t>保卫管理员二级及以上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61" w:type="dxa"/>
            <w:vMerge w:val="continue"/>
            <w:shd w:val="clear" w:color="auto" w:fill="auto"/>
          </w:tcPr>
          <w:p>
            <w:pPr>
              <w:widowControl/>
              <w:spacing w:line="360" w:lineRule="auto"/>
              <w:jc w:val="center"/>
              <w:rPr>
                <w:rFonts w:ascii="仿宋" w:hAnsi="仿宋" w:eastAsia="仿宋" w:cs="仿宋"/>
                <w:kern w:val="0"/>
                <w:sz w:val="22"/>
                <w:szCs w:val="22"/>
              </w:rPr>
            </w:pPr>
          </w:p>
        </w:tc>
        <w:tc>
          <w:tcPr>
            <w:tcW w:w="1219" w:type="dxa"/>
            <w:shd w:val="clear" w:color="auto" w:fill="auto"/>
            <w:vAlign w:val="center"/>
          </w:tcPr>
          <w:p>
            <w:pPr>
              <w:widowControl/>
              <w:spacing w:line="360" w:lineRule="auto"/>
              <w:jc w:val="center"/>
              <w:rPr>
                <w:rFonts w:ascii="仿宋" w:hAnsi="仿宋" w:eastAsia="仿宋" w:cs="仿宋"/>
                <w:kern w:val="0"/>
                <w:sz w:val="22"/>
                <w:szCs w:val="22"/>
              </w:rPr>
            </w:pPr>
            <w:r>
              <w:rPr>
                <w:rFonts w:hint="eastAsia" w:ascii="仿宋" w:hAnsi="仿宋" w:eastAsia="仿宋" w:cs="仿宋"/>
                <w:kern w:val="0"/>
                <w:sz w:val="22"/>
                <w:szCs w:val="22"/>
              </w:rPr>
              <w:t>队员</w:t>
            </w:r>
          </w:p>
        </w:tc>
        <w:tc>
          <w:tcPr>
            <w:tcW w:w="1219" w:type="dxa"/>
            <w:shd w:val="clear" w:color="auto" w:fill="auto"/>
            <w:vAlign w:val="center"/>
          </w:tcPr>
          <w:p>
            <w:pPr>
              <w:widowControl/>
              <w:spacing w:line="360" w:lineRule="auto"/>
              <w:jc w:val="center"/>
              <w:rPr>
                <w:rFonts w:ascii="仿宋" w:hAnsi="仿宋" w:eastAsia="仿宋" w:cs="仿宋"/>
                <w:kern w:val="0"/>
                <w:sz w:val="22"/>
                <w:szCs w:val="22"/>
              </w:rPr>
            </w:pPr>
            <w:r>
              <w:rPr>
                <w:rFonts w:hint="eastAsia" w:ascii="仿宋" w:hAnsi="仿宋" w:eastAsia="仿宋" w:cs="仿宋"/>
                <w:kern w:val="0"/>
                <w:sz w:val="22"/>
                <w:szCs w:val="22"/>
              </w:rPr>
              <w:t>全馆</w:t>
            </w:r>
          </w:p>
        </w:tc>
        <w:tc>
          <w:tcPr>
            <w:tcW w:w="1348" w:type="dxa"/>
            <w:shd w:val="clear" w:color="auto" w:fill="auto"/>
            <w:vAlign w:val="center"/>
          </w:tcPr>
          <w:p>
            <w:pPr>
              <w:widowControl/>
              <w:spacing w:line="360" w:lineRule="auto"/>
              <w:jc w:val="center"/>
              <w:rPr>
                <w:rFonts w:hint="eastAsia" w:ascii="仿宋" w:hAnsi="仿宋" w:eastAsia="仿宋" w:cs="仿宋"/>
                <w:kern w:val="0"/>
                <w:sz w:val="22"/>
                <w:szCs w:val="22"/>
                <w:lang w:eastAsia="zh-CN"/>
              </w:rPr>
            </w:pPr>
            <w:r>
              <w:rPr>
                <w:rFonts w:hint="eastAsia" w:ascii="仿宋" w:hAnsi="仿宋" w:eastAsia="仿宋" w:cs="仿宋"/>
                <w:kern w:val="0"/>
                <w:sz w:val="22"/>
                <w:szCs w:val="22"/>
                <w:lang w:val="en-US" w:eastAsia="zh-CN"/>
              </w:rPr>
              <w:t>6</w:t>
            </w:r>
          </w:p>
        </w:tc>
        <w:tc>
          <w:tcPr>
            <w:tcW w:w="1127" w:type="dxa"/>
            <w:shd w:val="clear" w:color="auto" w:fill="auto"/>
            <w:vAlign w:val="center"/>
          </w:tcPr>
          <w:p>
            <w:pPr>
              <w:widowControl/>
              <w:spacing w:line="360" w:lineRule="auto"/>
              <w:jc w:val="center"/>
              <w:rPr>
                <w:rFonts w:ascii="仿宋" w:hAnsi="仿宋" w:eastAsia="仿宋" w:cs="仿宋"/>
                <w:kern w:val="0"/>
                <w:sz w:val="22"/>
                <w:szCs w:val="22"/>
              </w:rPr>
            </w:pPr>
            <w:r>
              <w:rPr>
                <w:rFonts w:hint="eastAsia" w:ascii="仿宋" w:hAnsi="仿宋" w:eastAsia="仿宋" w:cs="仿宋"/>
                <w:kern w:val="0"/>
                <w:sz w:val="22"/>
                <w:szCs w:val="22"/>
              </w:rPr>
              <w:t>24小时驻勤</w:t>
            </w:r>
          </w:p>
        </w:tc>
        <w:tc>
          <w:tcPr>
            <w:tcW w:w="1125" w:type="dxa"/>
            <w:shd w:val="clear" w:color="auto" w:fill="auto"/>
            <w:vAlign w:val="center"/>
          </w:tcPr>
          <w:p>
            <w:pPr>
              <w:widowControl/>
              <w:spacing w:line="360" w:lineRule="auto"/>
              <w:jc w:val="center"/>
              <w:rPr>
                <w:rFonts w:ascii="仿宋" w:hAnsi="仿宋" w:eastAsia="仿宋" w:cs="仿宋"/>
                <w:kern w:val="0"/>
                <w:sz w:val="22"/>
                <w:szCs w:val="22"/>
              </w:rPr>
            </w:pPr>
            <w:r>
              <w:rPr>
                <w:rFonts w:hint="eastAsia" w:ascii="仿宋" w:hAnsi="仿宋" w:eastAsia="仿宋" w:cs="仿宋"/>
                <w:kern w:val="0"/>
                <w:sz w:val="22"/>
                <w:szCs w:val="22"/>
              </w:rPr>
              <w:t>四班三运行（六休二）</w:t>
            </w:r>
          </w:p>
        </w:tc>
        <w:tc>
          <w:tcPr>
            <w:tcW w:w="778" w:type="dxa"/>
            <w:shd w:val="clear" w:color="auto" w:fill="auto"/>
            <w:vAlign w:val="center"/>
          </w:tcPr>
          <w:p>
            <w:pPr>
              <w:widowControl/>
              <w:spacing w:line="360" w:lineRule="auto"/>
              <w:jc w:val="center"/>
              <w:rPr>
                <w:rFonts w:hint="default"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24</w:t>
            </w:r>
          </w:p>
        </w:tc>
        <w:tc>
          <w:tcPr>
            <w:tcW w:w="1212" w:type="dxa"/>
            <w:shd w:val="clear" w:color="auto" w:fill="auto"/>
            <w:vAlign w:val="center"/>
          </w:tcPr>
          <w:p>
            <w:pPr>
              <w:widowControl/>
              <w:spacing w:line="360" w:lineRule="auto"/>
              <w:jc w:val="center"/>
              <w:rPr>
                <w:rFonts w:ascii="仿宋" w:hAnsi="仿宋" w:eastAsia="仿宋" w:cs="仿宋"/>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61" w:type="dxa"/>
            <w:vMerge w:val="continue"/>
            <w:shd w:val="clear" w:color="auto" w:fill="auto"/>
          </w:tcPr>
          <w:p>
            <w:pPr>
              <w:widowControl/>
              <w:spacing w:line="360" w:lineRule="auto"/>
              <w:jc w:val="center"/>
              <w:rPr>
                <w:rFonts w:ascii="仿宋" w:hAnsi="仿宋" w:eastAsia="仿宋" w:cs="仿宋"/>
                <w:kern w:val="0"/>
                <w:sz w:val="22"/>
                <w:szCs w:val="22"/>
              </w:rPr>
            </w:pPr>
          </w:p>
        </w:tc>
        <w:tc>
          <w:tcPr>
            <w:tcW w:w="1219" w:type="dxa"/>
            <w:shd w:val="clear" w:color="auto" w:fill="auto"/>
            <w:vAlign w:val="center"/>
          </w:tcPr>
          <w:p>
            <w:pPr>
              <w:widowControl/>
              <w:spacing w:line="360" w:lineRule="auto"/>
              <w:jc w:val="center"/>
              <w:rPr>
                <w:rFonts w:ascii="仿宋" w:hAnsi="仿宋" w:eastAsia="仿宋" w:cs="仿宋"/>
                <w:kern w:val="0"/>
                <w:sz w:val="22"/>
                <w:szCs w:val="22"/>
              </w:rPr>
            </w:pPr>
            <w:r>
              <w:rPr>
                <w:rFonts w:hint="eastAsia" w:ascii="仿宋" w:hAnsi="仿宋" w:eastAsia="仿宋" w:cs="仿宋"/>
                <w:kern w:val="0"/>
                <w:sz w:val="22"/>
                <w:szCs w:val="22"/>
              </w:rPr>
              <w:t>合计</w:t>
            </w:r>
          </w:p>
        </w:tc>
        <w:tc>
          <w:tcPr>
            <w:tcW w:w="1219" w:type="dxa"/>
            <w:shd w:val="clear" w:color="auto" w:fill="auto"/>
            <w:vAlign w:val="center"/>
          </w:tcPr>
          <w:p>
            <w:pPr>
              <w:widowControl/>
              <w:spacing w:line="360" w:lineRule="auto"/>
              <w:jc w:val="center"/>
              <w:rPr>
                <w:rFonts w:ascii="仿宋" w:hAnsi="仿宋" w:eastAsia="仿宋" w:cs="仿宋"/>
                <w:kern w:val="0"/>
                <w:sz w:val="22"/>
                <w:szCs w:val="22"/>
              </w:rPr>
            </w:pPr>
          </w:p>
        </w:tc>
        <w:tc>
          <w:tcPr>
            <w:tcW w:w="1348" w:type="dxa"/>
            <w:shd w:val="clear" w:color="auto" w:fill="auto"/>
            <w:vAlign w:val="center"/>
          </w:tcPr>
          <w:p>
            <w:pPr>
              <w:widowControl/>
              <w:spacing w:line="360" w:lineRule="auto"/>
              <w:jc w:val="center"/>
              <w:rPr>
                <w:rFonts w:ascii="仿宋" w:hAnsi="仿宋" w:eastAsia="仿宋" w:cs="仿宋"/>
                <w:kern w:val="0"/>
                <w:sz w:val="22"/>
                <w:szCs w:val="22"/>
              </w:rPr>
            </w:pPr>
          </w:p>
        </w:tc>
        <w:tc>
          <w:tcPr>
            <w:tcW w:w="1127" w:type="dxa"/>
            <w:shd w:val="clear" w:color="auto" w:fill="auto"/>
            <w:vAlign w:val="center"/>
          </w:tcPr>
          <w:p>
            <w:pPr>
              <w:widowControl/>
              <w:spacing w:line="360" w:lineRule="auto"/>
              <w:jc w:val="center"/>
              <w:rPr>
                <w:rFonts w:ascii="仿宋" w:hAnsi="仿宋" w:eastAsia="仿宋" w:cs="仿宋"/>
                <w:kern w:val="0"/>
                <w:sz w:val="22"/>
                <w:szCs w:val="22"/>
              </w:rPr>
            </w:pPr>
          </w:p>
        </w:tc>
        <w:tc>
          <w:tcPr>
            <w:tcW w:w="1125" w:type="dxa"/>
            <w:shd w:val="clear" w:color="auto" w:fill="auto"/>
            <w:vAlign w:val="center"/>
          </w:tcPr>
          <w:p>
            <w:pPr>
              <w:widowControl/>
              <w:spacing w:line="360" w:lineRule="auto"/>
              <w:jc w:val="center"/>
              <w:rPr>
                <w:rFonts w:ascii="仿宋" w:hAnsi="仿宋" w:eastAsia="仿宋" w:cs="仿宋"/>
                <w:kern w:val="0"/>
                <w:sz w:val="22"/>
                <w:szCs w:val="22"/>
              </w:rPr>
            </w:pPr>
          </w:p>
        </w:tc>
        <w:tc>
          <w:tcPr>
            <w:tcW w:w="778" w:type="dxa"/>
            <w:shd w:val="clear" w:color="auto" w:fill="auto"/>
            <w:vAlign w:val="center"/>
          </w:tcPr>
          <w:p>
            <w:pPr>
              <w:widowControl/>
              <w:spacing w:line="360" w:lineRule="auto"/>
              <w:jc w:val="center"/>
              <w:rPr>
                <w:rFonts w:hint="default" w:ascii="仿宋" w:hAnsi="仿宋" w:eastAsia="仿宋" w:cs="仿宋"/>
                <w:kern w:val="0"/>
                <w:sz w:val="22"/>
                <w:szCs w:val="22"/>
                <w:lang w:val="en-US"/>
              </w:rPr>
            </w:pPr>
            <w:r>
              <w:rPr>
                <w:rFonts w:hint="eastAsia" w:ascii="仿宋" w:hAnsi="仿宋" w:eastAsia="仿宋" w:cs="仿宋"/>
                <w:kern w:val="0"/>
                <w:sz w:val="22"/>
                <w:szCs w:val="22"/>
                <w:lang w:val="en-US" w:eastAsia="zh-CN"/>
              </w:rPr>
              <w:t>25</w:t>
            </w:r>
          </w:p>
        </w:tc>
        <w:tc>
          <w:tcPr>
            <w:tcW w:w="1212" w:type="dxa"/>
            <w:shd w:val="clear" w:color="auto" w:fill="auto"/>
            <w:vAlign w:val="center"/>
          </w:tcPr>
          <w:p>
            <w:pPr>
              <w:widowControl/>
              <w:spacing w:line="360" w:lineRule="auto"/>
              <w:jc w:val="center"/>
              <w:rPr>
                <w:rFonts w:ascii="仿宋" w:hAnsi="仿宋" w:eastAsia="仿宋" w:cs="仿宋"/>
                <w:kern w:val="0"/>
                <w:sz w:val="22"/>
                <w:szCs w:val="22"/>
              </w:rPr>
            </w:pPr>
          </w:p>
        </w:tc>
      </w:tr>
    </w:tbl>
    <w:p>
      <w:pPr>
        <w:numPr>
          <w:ilvl w:val="0"/>
          <w:numId w:val="8"/>
        </w:numPr>
        <w:spacing w:line="600" w:lineRule="exact"/>
        <w:ind w:left="425" w:hanging="425"/>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工作时间：所有人员全年24小时驻点驻勤，需保证每日驻勤人员率高于95%。</w:t>
      </w:r>
    </w:p>
    <w:p>
      <w:pPr>
        <w:numPr>
          <w:ilvl w:val="0"/>
          <w:numId w:val="8"/>
        </w:numPr>
        <w:spacing w:line="600" w:lineRule="exact"/>
        <w:ind w:left="425" w:hanging="425"/>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人员资质：派驻的队长应具备2年以上博物馆、展馆或文物单位消安服务管理经验，学历本科及以上，持有保卫管理员二级及以上</w:t>
      </w:r>
      <w:r>
        <w:rPr>
          <w:rFonts w:hint="eastAsia" w:ascii="仿宋_GB2312" w:hAnsi="仿宋_GB2312" w:eastAsia="仿宋_GB2312" w:cs="仿宋_GB2312"/>
          <w:sz w:val="32"/>
          <w:szCs w:val="32"/>
          <w:lang w:eastAsia="zh-CN"/>
        </w:rPr>
        <w:t>证书</w:t>
      </w:r>
      <w:r>
        <w:rPr>
          <w:rFonts w:hint="eastAsia" w:ascii="仿宋_GB2312" w:hAnsi="仿宋_GB2312" w:eastAsia="仿宋_GB2312" w:cs="仿宋_GB2312"/>
          <w:sz w:val="32"/>
          <w:szCs w:val="32"/>
        </w:rPr>
        <w:t>，并提供本单位为其缴纳的</w:t>
      </w:r>
      <w:bookmarkStart w:id="11" w:name="_GoBack"/>
      <w:bookmarkEnd w:id="11"/>
      <w:r>
        <w:rPr>
          <w:rFonts w:hint="eastAsia" w:ascii="仿宋_GB2312" w:hAnsi="仿宋_GB2312" w:eastAsia="仿宋_GB2312" w:cs="仿宋_GB2312"/>
          <w:sz w:val="32"/>
          <w:szCs w:val="32"/>
        </w:rPr>
        <w:t>社保证明，承诺服务期内不擅自更换；</w:t>
      </w:r>
    </w:p>
    <w:p>
      <w:pPr>
        <w:numPr>
          <w:ilvl w:val="0"/>
          <w:numId w:val="8"/>
        </w:numPr>
        <w:spacing w:line="600" w:lineRule="exact"/>
        <w:ind w:left="425" w:hanging="425"/>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人员管理：投标人需建立完善的消安人员管理制度，对消安人员进行统一招聘、培训、考核、管理，定期开展文物保护知识、消防安全知识、应急处置技能、服务礼仪等培训，确保消安人员熟悉场馆情况、掌握服务规范；消安人员着装统一、整洁，佩戴明显标识，举止文明、服务热情，严禁出现脱岗、睡岗、擅离职守、态度恶劣等行为；投标人需将消安人员名单、资质证书、联系方式等信息报采购人备案，如需更换消安人员，需提前7个工作日书面告知采购人，经采购人同意后方可更换，更换人员需符合本需求书规定的资质要求。</w:t>
      </w:r>
    </w:p>
    <w:p>
      <w:pPr>
        <w:numPr>
          <w:ilvl w:val="0"/>
          <w:numId w:val="2"/>
        </w:numPr>
        <w:spacing w:line="600" w:lineRule="exact"/>
        <w:jc w:val="left"/>
        <w:outlineLvl w:val="1"/>
        <w:rPr>
          <w:rFonts w:ascii="仿宋_GB2312" w:hAnsi="仿宋_GB2312" w:eastAsia="仿宋_GB2312" w:cs="仿宋_GB2312"/>
          <w:sz w:val="32"/>
          <w:szCs w:val="32"/>
        </w:rPr>
      </w:pPr>
      <w:bookmarkStart w:id="1" w:name="heading_13"/>
      <w:r>
        <w:rPr>
          <w:rFonts w:hint="eastAsia" w:ascii="仿宋_GB2312" w:hAnsi="仿宋_GB2312" w:eastAsia="仿宋_GB2312" w:cs="仿宋_GB2312"/>
          <w:sz w:val="32"/>
          <w:szCs w:val="32"/>
        </w:rPr>
        <w:t>日常保安服务要求</w:t>
      </w:r>
      <w:bookmarkEnd w:id="1"/>
    </w:p>
    <w:p>
      <w:pPr>
        <w:numPr>
          <w:ilvl w:val="0"/>
          <w:numId w:val="9"/>
        </w:numPr>
        <w:spacing w:line="600" w:lineRule="exact"/>
        <w:jc w:val="left"/>
        <w:outlineLvl w:val="2"/>
        <w:rPr>
          <w:rFonts w:ascii="仿宋_GB2312" w:hAnsi="仿宋_GB2312" w:eastAsia="仿宋_GB2312" w:cs="仿宋_GB2312"/>
          <w:sz w:val="32"/>
          <w:szCs w:val="32"/>
        </w:rPr>
      </w:pPr>
      <w:bookmarkStart w:id="2" w:name="heading_14"/>
      <w:r>
        <w:rPr>
          <w:rFonts w:hint="eastAsia" w:ascii="仿宋_GB2312" w:hAnsi="仿宋_GB2312" w:eastAsia="仿宋_GB2312" w:cs="仿宋_GB2312"/>
          <w:sz w:val="32"/>
          <w:szCs w:val="32"/>
        </w:rPr>
        <w:t>出入口值守服务</w:t>
      </w:r>
      <w:bookmarkEnd w:id="2"/>
    </w:p>
    <w:p>
      <w:pPr>
        <w:numPr>
          <w:ilvl w:val="0"/>
          <w:numId w:val="10"/>
        </w:numPr>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严格执行场馆出入口管理制度，对所有进入场馆的人员、车辆进行身份核验、登记，严禁无关人员、易燃易爆物品、管制刀具等危险物品进入场馆；对参观群众进行引导，核验门票（或预约信息），提醒参观须知；</w:t>
      </w:r>
    </w:p>
    <w:p>
      <w:pPr>
        <w:numPr>
          <w:ilvl w:val="0"/>
          <w:numId w:val="10"/>
        </w:numPr>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负责出入口秩序维护，杜绝拥挤、插队、喧哗等行为，保障出入口畅通；对离开场馆的人员、物品进行必要查验，防范文物被盗、物品丢失等情况；</w:t>
      </w:r>
    </w:p>
    <w:p>
      <w:pPr>
        <w:numPr>
          <w:ilvl w:val="0"/>
          <w:numId w:val="10"/>
        </w:numPr>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做好出入口值守记录，详细记录人员、车辆进出情况、异常情况及处理结果，每日上报采购人相关负责人。</w:t>
      </w:r>
    </w:p>
    <w:p>
      <w:pPr>
        <w:numPr>
          <w:ilvl w:val="0"/>
          <w:numId w:val="9"/>
        </w:numPr>
        <w:spacing w:line="600" w:lineRule="exact"/>
        <w:jc w:val="left"/>
        <w:outlineLvl w:val="2"/>
        <w:rPr>
          <w:rFonts w:ascii="仿宋_GB2312" w:hAnsi="仿宋_GB2312" w:eastAsia="仿宋_GB2312" w:cs="仿宋_GB2312"/>
          <w:sz w:val="32"/>
          <w:szCs w:val="32"/>
        </w:rPr>
      </w:pPr>
      <w:bookmarkStart w:id="3" w:name="heading_15"/>
      <w:r>
        <w:rPr>
          <w:rFonts w:hint="eastAsia" w:ascii="仿宋_GB2312" w:hAnsi="仿宋_GB2312" w:eastAsia="仿宋_GB2312" w:cs="仿宋_GB2312"/>
          <w:sz w:val="32"/>
          <w:szCs w:val="32"/>
        </w:rPr>
        <w:t>巡逻服务</w:t>
      </w:r>
      <w:bookmarkEnd w:id="3"/>
    </w:p>
    <w:p>
      <w:pPr>
        <w:numPr>
          <w:ilvl w:val="0"/>
          <w:numId w:val="11"/>
        </w:numPr>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制定科学合理的巡逻方案，明确巡逻路线、巡逻频次、巡逻重点区域，实行24小时不间断巡逻，其中文物库房、展厅、设备机房等核心区域每30分钟巡逻一次，室外区域、消防通道每1小时巡逻一次，非开放时段增加巡逻频次；</w:t>
      </w:r>
    </w:p>
    <w:p>
      <w:pPr>
        <w:numPr>
          <w:ilvl w:val="0"/>
          <w:numId w:val="11"/>
        </w:numPr>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巡逻过程中，重点检查文物展品、安全设施（监控、消防、门禁等）、建筑设施的完好情况，及时发现并制止盗窃、破坏、损坏等违法行为，发现安全隐患、设备故障及时上报采购人，并采取临时防范措施；</w:t>
      </w:r>
    </w:p>
    <w:p>
      <w:pPr>
        <w:numPr>
          <w:ilvl w:val="0"/>
          <w:numId w:val="11"/>
        </w:numPr>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做好巡逻记录，详细记录巡逻时间、巡逻路线、发现的问题及处理情况，每日汇总上报采购人，巡逻记录需真实、完整、可追溯。</w:t>
      </w:r>
    </w:p>
    <w:p>
      <w:pPr>
        <w:numPr>
          <w:ilvl w:val="0"/>
          <w:numId w:val="9"/>
        </w:numPr>
        <w:spacing w:line="600" w:lineRule="exact"/>
        <w:jc w:val="left"/>
        <w:outlineLvl w:val="2"/>
        <w:rPr>
          <w:rFonts w:ascii="仿宋_GB2312" w:hAnsi="仿宋_GB2312" w:eastAsia="仿宋_GB2312" w:cs="仿宋_GB2312"/>
          <w:sz w:val="32"/>
          <w:szCs w:val="32"/>
        </w:rPr>
      </w:pPr>
      <w:bookmarkStart w:id="4" w:name="heading_16"/>
      <w:r>
        <w:rPr>
          <w:rFonts w:hint="eastAsia" w:ascii="仿宋_GB2312" w:hAnsi="仿宋_GB2312" w:eastAsia="仿宋_GB2312" w:cs="仿宋_GB2312"/>
          <w:sz w:val="32"/>
          <w:szCs w:val="32"/>
        </w:rPr>
        <w:t>监控室值守服务</w:t>
      </w:r>
      <w:bookmarkEnd w:id="4"/>
    </w:p>
    <w:p>
      <w:pPr>
        <w:numPr>
          <w:ilvl w:val="0"/>
          <w:numId w:val="12"/>
        </w:numPr>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监控室实行24小时专人值守，值守人员需熟练操作监控设备，实时监控场馆各区域，及时发现异常情况（人员聚集、可疑人员、设备故障等），并第一时间通知现场保安人员处置，同时做好监控记录；</w:t>
      </w:r>
    </w:p>
    <w:p>
      <w:pPr>
        <w:numPr>
          <w:ilvl w:val="0"/>
          <w:numId w:val="12"/>
        </w:numPr>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负责监控设备、门禁系统、报警系统的日常操作和维护，发现设备故障、报警信号，及时上报采购人，并协助维修人员进行检修；</w:t>
      </w:r>
    </w:p>
    <w:p>
      <w:pPr>
        <w:numPr>
          <w:ilvl w:val="0"/>
          <w:numId w:val="12"/>
        </w:numPr>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妥善保管监控录像资料，录像资料保存期限不少于90天，严禁擅自删除、篡改录像资料，采购人如需调取录像资料，需积极配合；</w:t>
      </w:r>
    </w:p>
    <w:p>
      <w:pPr>
        <w:numPr>
          <w:ilvl w:val="0"/>
          <w:numId w:val="12"/>
        </w:numPr>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严格遵守监控室管理制度，严禁无关人员进入监控室，严禁泄露监控信息、场馆内部信息。</w:t>
      </w:r>
    </w:p>
    <w:p>
      <w:pPr>
        <w:numPr>
          <w:ilvl w:val="0"/>
          <w:numId w:val="9"/>
        </w:numPr>
        <w:spacing w:line="600" w:lineRule="exact"/>
        <w:jc w:val="left"/>
        <w:outlineLvl w:val="2"/>
        <w:rPr>
          <w:rFonts w:ascii="仿宋_GB2312" w:hAnsi="仿宋_GB2312" w:eastAsia="仿宋_GB2312" w:cs="仿宋_GB2312"/>
          <w:sz w:val="32"/>
          <w:szCs w:val="32"/>
        </w:rPr>
      </w:pPr>
      <w:bookmarkStart w:id="5" w:name="heading_17"/>
      <w:r>
        <w:rPr>
          <w:rFonts w:hint="eastAsia" w:ascii="仿宋_GB2312" w:hAnsi="仿宋_GB2312" w:eastAsia="仿宋_GB2312" w:cs="仿宋_GB2312"/>
          <w:sz w:val="32"/>
          <w:szCs w:val="32"/>
        </w:rPr>
        <w:t>文物保护相关服务</w:t>
      </w:r>
      <w:bookmarkEnd w:id="5"/>
    </w:p>
    <w:p>
      <w:pPr>
        <w:numPr>
          <w:ilvl w:val="0"/>
          <w:numId w:val="13"/>
        </w:numPr>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保安人员需熟悉场馆内文物展品的位置、保护要求，严禁触碰、损坏文物展品，严禁在展厅内吸烟、喧哗、追逐打闹等行为；</w:t>
      </w:r>
    </w:p>
    <w:p>
      <w:pPr>
        <w:numPr>
          <w:ilvl w:val="0"/>
          <w:numId w:val="13"/>
        </w:numPr>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协助采购人做好文物展品的保护工作，发现文物展品有异常（损坏、移位、被盗等），立即上报采购人，并采取保护措施，制止无关人员靠近；</w:t>
      </w:r>
    </w:p>
    <w:p>
      <w:pPr>
        <w:numPr>
          <w:ilvl w:val="0"/>
          <w:numId w:val="13"/>
        </w:numPr>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严格执行文物库房安全管理制度，严禁无关人员进入文物库房，协助采购人做好文物库房的值守、巡查工作，确保文物库房安全。</w:t>
      </w:r>
    </w:p>
    <w:p>
      <w:pPr>
        <w:numPr>
          <w:ilvl w:val="0"/>
          <w:numId w:val="9"/>
        </w:numPr>
        <w:spacing w:line="600" w:lineRule="exact"/>
        <w:jc w:val="left"/>
        <w:outlineLvl w:val="2"/>
        <w:rPr>
          <w:rFonts w:ascii="仿宋_GB2312" w:hAnsi="仿宋_GB2312" w:eastAsia="仿宋_GB2312" w:cs="仿宋_GB2312"/>
          <w:sz w:val="32"/>
          <w:szCs w:val="32"/>
        </w:rPr>
      </w:pPr>
      <w:bookmarkStart w:id="6" w:name="heading_18"/>
      <w:r>
        <w:rPr>
          <w:rFonts w:hint="eastAsia" w:ascii="仿宋_GB2312" w:hAnsi="仿宋_GB2312" w:eastAsia="仿宋_GB2312" w:cs="仿宋_GB2312"/>
          <w:sz w:val="32"/>
          <w:szCs w:val="32"/>
        </w:rPr>
        <w:t>秩序维护服务</w:t>
      </w:r>
      <w:bookmarkEnd w:id="6"/>
    </w:p>
    <w:p>
      <w:pPr>
        <w:numPr>
          <w:ilvl w:val="0"/>
          <w:numId w:val="14"/>
        </w:numPr>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负责展厅内参观秩序维护，引导参观群众有序参观，制止插队、喧哗、触摸展品、拍照（禁止拍照区域）等不文明行为；</w:t>
      </w:r>
    </w:p>
    <w:p>
      <w:pPr>
        <w:numPr>
          <w:ilvl w:val="0"/>
          <w:numId w:val="14"/>
        </w:numPr>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负责</w:t>
      </w:r>
      <w:r>
        <w:rPr>
          <w:rFonts w:hint="eastAsia" w:ascii="仿宋_GB2312" w:hAnsi="仿宋_GB2312" w:eastAsia="仿宋_GB2312" w:cs="仿宋_GB2312"/>
          <w:sz w:val="32"/>
          <w:szCs w:val="32"/>
          <w:lang w:eastAsia="zh-CN"/>
        </w:rPr>
        <w:t>大型</w:t>
      </w:r>
      <w:r>
        <w:rPr>
          <w:rFonts w:hint="eastAsia" w:ascii="仿宋_GB2312" w:hAnsi="仿宋_GB2312" w:eastAsia="仿宋_GB2312" w:cs="仿宋_GB2312"/>
          <w:sz w:val="32"/>
          <w:szCs w:val="32"/>
        </w:rPr>
        <w:t>活动、临时展览现场的秩序维护，协助采购人做好人员引导、分流，防范拥挤、踩踏等安全事故；</w:t>
      </w:r>
    </w:p>
    <w:p>
      <w:pPr>
        <w:numPr>
          <w:ilvl w:val="0"/>
          <w:numId w:val="14"/>
        </w:numPr>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负责停车场秩序维护，引导车辆有序停放，严禁车辆乱停乱放、占用消防通道，做好车辆进出登记，防范车辆被盗、损坏等情况；</w:t>
      </w:r>
    </w:p>
    <w:p>
      <w:pPr>
        <w:numPr>
          <w:ilvl w:val="0"/>
          <w:numId w:val="14"/>
        </w:numPr>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维护场馆内公共区域的秩序，制止打架斗殴、寻衅滋事等违法行为，保障公共安全。</w:t>
      </w:r>
    </w:p>
    <w:p>
      <w:pPr>
        <w:numPr>
          <w:ilvl w:val="0"/>
          <w:numId w:val="9"/>
        </w:numPr>
        <w:spacing w:line="600" w:lineRule="exact"/>
        <w:jc w:val="left"/>
        <w:outlineLvl w:val="2"/>
        <w:rPr>
          <w:rFonts w:ascii="仿宋_GB2312" w:hAnsi="仿宋_GB2312" w:eastAsia="仿宋_GB2312" w:cs="仿宋_GB2312"/>
          <w:sz w:val="32"/>
          <w:szCs w:val="32"/>
        </w:rPr>
      </w:pPr>
      <w:bookmarkStart w:id="7" w:name="heading_19"/>
      <w:r>
        <w:rPr>
          <w:rFonts w:hint="eastAsia" w:ascii="仿宋_GB2312" w:hAnsi="仿宋_GB2312" w:eastAsia="仿宋_GB2312" w:cs="仿宋_GB2312"/>
          <w:sz w:val="32"/>
          <w:szCs w:val="32"/>
        </w:rPr>
        <w:t>应急处置要求</w:t>
      </w:r>
      <w:bookmarkEnd w:id="7"/>
    </w:p>
    <w:p>
      <w:pPr>
        <w:numPr>
          <w:ilvl w:val="0"/>
          <w:numId w:val="15"/>
        </w:numPr>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投标人需结合上海博物馆实际情况，制定完善的应急预案，涵盖火灾、地震、文物被盗、突发群体事件、人员突发疾病、设备故障等各类突发事件，应急预案需报采购人备案，并定期组织保安人员开展应急演练（每季度至少1次）；</w:t>
      </w:r>
    </w:p>
    <w:p>
      <w:pPr>
        <w:numPr>
          <w:ilvl w:val="0"/>
          <w:numId w:val="15"/>
        </w:numPr>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发生突发事件时，保安人员需在1分钟内响应，按照应急预案迅速处置，及时上报采购人及相关部门（公安、消防、医疗等），最大限度降低人员伤亡、文物损失及财产损失；</w:t>
      </w:r>
    </w:p>
    <w:p>
      <w:pPr>
        <w:numPr>
          <w:ilvl w:val="0"/>
          <w:numId w:val="15"/>
        </w:numPr>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应急处置过程中，保安人员需服从采购人的统一指挥，配合相关部门开展工作，做好现场保护、人员疏散、秩序维护等工作，事后做好处置记录，总结经验教训；</w:t>
      </w:r>
    </w:p>
    <w:p>
      <w:pPr>
        <w:numPr>
          <w:ilvl w:val="0"/>
          <w:numId w:val="15"/>
        </w:numPr>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保安人员需配备必要的应急装备（急救箱、灭火器、对讲机等），并熟练掌握应急装备的使用方法，确保应急处置时能够正常使用。</w:t>
      </w:r>
    </w:p>
    <w:p>
      <w:pPr>
        <w:numPr>
          <w:ilvl w:val="0"/>
          <w:numId w:val="9"/>
        </w:numPr>
        <w:spacing w:line="600" w:lineRule="exact"/>
        <w:jc w:val="left"/>
        <w:outlineLvl w:val="2"/>
        <w:rPr>
          <w:rFonts w:ascii="仿宋_GB2312" w:hAnsi="仿宋_GB2312" w:eastAsia="仿宋_GB2312" w:cs="仿宋_GB2312"/>
          <w:sz w:val="32"/>
          <w:szCs w:val="32"/>
        </w:rPr>
      </w:pPr>
      <w:bookmarkStart w:id="8" w:name="heading_20"/>
      <w:r>
        <w:rPr>
          <w:rFonts w:hint="eastAsia" w:ascii="仿宋_GB2312" w:hAnsi="仿宋_GB2312" w:eastAsia="仿宋_GB2312" w:cs="仿宋_GB2312"/>
          <w:sz w:val="32"/>
          <w:szCs w:val="32"/>
        </w:rPr>
        <w:t>设备设施维护要求</w:t>
      </w:r>
      <w:bookmarkEnd w:id="8"/>
    </w:p>
    <w:p>
      <w:pPr>
        <w:numPr>
          <w:ilvl w:val="0"/>
          <w:numId w:val="16"/>
        </w:numPr>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负责场馆内安全设施（监控设备、消防设施、门禁系统、报警系统等）的日常巡查，每日检查设施的完好情况，发现故障、损坏及时上报采购人，并协助维修人员进行检修；</w:t>
      </w:r>
    </w:p>
    <w:p>
      <w:pPr>
        <w:numPr>
          <w:ilvl w:val="0"/>
          <w:numId w:val="16"/>
        </w:numPr>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负责保安服务所需装备（对讲机、巡逻器材、急救箱等）的日常维护、保养，确保装备正常使用，装备损坏需及时更换，更换费用由投标人承担；</w:t>
      </w:r>
    </w:p>
    <w:p>
      <w:pPr>
        <w:numPr>
          <w:ilvl w:val="0"/>
          <w:numId w:val="16"/>
        </w:numPr>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配合采购人开展安全设施的定期检测、维护工作，提供必要的协助。</w:t>
      </w:r>
    </w:p>
    <w:p>
      <w:pPr>
        <w:numPr>
          <w:ilvl w:val="0"/>
          <w:numId w:val="9"/>
        </w:numPr>
        <w:spacing w:line="600" w:lineRule="exact"/>
        <w:jc w:val="left"/>
        <w:outlineLvl w:val="2"/>
        <w:rPr>
          <w:rFonts w:ascii="仿宋_GB2312" w:hAnsi="仿宋_GB2312" w:eastAsia="仿宋_GB2312" w:cs="仿宋_GB2312"/>
          <w:sz w:val="32"/>
          <w:szCs w:val="32"/>
        </w:rPr>
      </w:pPr>
      <w:bookmarkStart w:id="9" w:name="heading_21"/>
      <w:r>
        <w:rPr>
          <w:rFonts w:hint="eastAsia" w:ascii="仿宋_GB2312" w:hAnsi="仿宋_GB2312" w:eastAsia="仿宋_GB2312" w:cs="仿宋_GB2312"/>
          <w:sz w:val="32"/>
          <w:szCs w:val="32"/>
        </w:rPr>
        <w:t>服务质量要求</w:t>
      </w:r>
      <w:bookmarkEnd w:id="9"/>
    </w:p>
    <w:p>
      <w:pPr>
        <w:numPr>
          <w:ilvl w:val="0"/>
          <w:numId w:val="17"/>
        </w:numPr>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保安服务需符合《保安服务管理条例》《博物馆安全保卫工作规定》等相关法律法规及采购人各项规章制度，服务规范、高效、文明；</w:t>
      </w:r>
    </w:p>
    <w:p>
      <w:pPr>
        <w:numPr>
          <w:ilvl w:val="0"/>
          <w:numId w:val="17"/>
        </w:numPr>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无重大安全事故（文物被盗、重大人员伤亡、重大财产损失等），无重大秩序混乱事件，无因保安服务不到位引发的投诉、纠纷；</w:t>
      </w:r>
    </w:p>
    <w:p>
      <w:pPr>
        <w:numPr>
          <w:ilvl w:val="0"/>
          <w:numId w:val="17"/>
        </w:numPr>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保安人员值守到位、巡逻到位、处置到位，响应及时，对采购人提出的合理要求，在规定时间内落实到位；</w:t>
      </w:r>
    </w:p>
    <w:p>
      <w:pPr>
        <w:numPr>
          <w:ilvl w:val="0"/>
          <w:numId w:val="17"/>
        </w:numPr>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定期接受采购人的服务质量考核，考核合格后方可继续提供服务，考核不合格的，投标人需在规定时间内整改，整改仍不合格的，采购人有权终止合同。</w:t>
      </w:r>
    </w:p>
    <w:p>
      <w:pPr>
        <w:numPr>
          <w:ilvl w:val="0"/>
          <w:numId w:val="9"/>
        </w:numPr>
        <w:spacing w:line="600" w:lineRule="exact"/>
        <w:jc w:val="left"/>
        <w:outlineLvl w:val="2"/>
        <w:rPr>
          <w:rFonts w:ascii="仿宋_GB2312" w:hAnsi="仿宋_GB2312" w:eastAsia="仿宋_GB2312" w:cs="仿宋_GB2312"/>
          <w:sz w:val="32"/>
          <w:szCs w:val="32"/>
        </w:rPr>
      </w:pPr>
      <w:bookmarkStart w:id="10" w:name="heading_22"/>
      <w:r>
        <w:rPr>
          <w:rFonts w:hint="eastAsia" w:ascii="仿宋_GB2312" w:hAnsi="仿宋_GB2312" w:eastAsia="仿宋_GB2312" w:cs="仿宋_GB2312"/>
          <w:sz w:val="32"/>
          <w:szCs w:val="32"/>
        </w:rPr>
        <w:t>其他服务要求</w:t>
      </w:r>
      <w:bookmarkEnd w:id="10"/>
    </w:p>
    <w:p>
      <w:pPr>
        <w:numPr>
          <w:ilvl w:val="0"/>
          <w:numId w:val="18"/>
        </w:numPr>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投标人需指定专人负责与采购人的沟通对接，及时处理保安服务过程中的问题，每周向采购人提交服务周报，每月提交服务月报，汇报服务情况、存在的问题及改进措施；</w:t>
      </w:r>
    </w:p>
    <w:p>
      <w:pPr>
        <w:numPr>
          <w:ilvl w:val="0"/>
          <w:numId w:val="18"/>
        </w:numPr>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配合采购人开展安全宣传、文物保护宣传等工作，协助采购人落实各项安全管理制度；</w:t>
      </w:r>
    </w:p>
    <w:p>
      <w:pPr>
        <w:numPr>
          <w:ilvl w:val="0"/>
          <w:numId w:val="18"/>
        </w:numPr>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保安人员需严格遵守采购人的保密规定，严禁泄露场馆内部信息、文物信息、监控信息等涉密内容；</w:t>
      </w:r>
    </w:p>
    <w:p>
      <w:pPr>
        <w:numPr>
          <w:ilvl w:val="0"/>
          <w:numId w:val="18"/>
        </w:numPr>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服务期间，因保安人员失职、渎职导致的安全事故、文物损失、财产损失等，由投标人承担全部责任及相应赔偿；</w:t>
      </w:r>
    </w:p>
    <w:p>
      <w:pPr>
        <w:numPr>
          <w:ilvl w:val="0"/>
          <w:numId w:val="18"/>
        </w:numPr>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投标人需按照国家相关规定，为所有保安人员缴纳社会保险（养老保险、医疗保险、失业保险、工伤保险、生育保险），承担保安人员的工资、福利、培训等相关费用，如因投标人未缴纳社会保险引发的纠纷，由投标人承担全部责任；</w:t>
      </w:r>
    </w:p>
    <w:p>
      <w:pPr>
        <w:numPr>
          <w:ilvl w:val="0"/>
          <w:numId w:val="18"/>
        </w:numPr>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服务期间，保安人员的人身安全由投标人负责，如发生工伤、意外事故，由投标人承担全部责任及相关费用。</w:t>
      </w:r>
    </w:p>
    <w:p>
      <w:pPr>
        <w:numPr>
          <w:ilvl w:val="0"/>
          <w:numId w:val="2"/>
        </w:numPr>
        <w:spacing w:line="600" w:lineRule="exact"/>
        <w:jc w:val="left"/>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日常消安工作要求</w:t>
      </w:r>
    </w:p>
    <w:p>
      <w:pPr>
        <w:pStyle w:val="4"/>
        <w:numPr>
          <w:ilvl w:val="0"/>
          <w:numId w:val="19"/>
        </w:numPr>
        <w:spacing w:before="161" w:line="360" w:lineRule="auto"/>
        <w:ind w:right="84"/>
        <w:rPr>
          <w:rFonts w:ascii="仿宋" w:hAnsi="仿宋" w:eastAsia="仿宋" w:cs="仿宋"/>
          <w:sz w:val="32"/>
          <w:szCs w:val="32"/>
        </w:rPr>
      </w:pPr>
      <w:r>
        <w:rPr>
          <w:rFonts w:hint="eastAsia" w:ascii="仿宋" w:hAnsi="仿宋" w:eastAsia="仿宋" w:cs="仿宋"/>
          <w:sz w:val="32"/>
          <w:szCs w:val="32"/>
        </w:rPr>
        <w:t>消安队长负责消安队的日常管理、训练与采购人火场指挥或协助指挥，消安队协助博物馆安保部做好灭火消防救援、防汛防台、应急救援、动火监护作业、消防检查等各项工作。</w:t>
      </w:r>
    </w:p>
    <w:p>
      <w:pPr>
        <w:pStyle w:val="4"/>
        <w:numPr>
          <w:ilvl w:val="0"/>
          <w:numId w:val="19"/>
        </w:numPr>
        <w:spacing w:before="4" w:line="360" w:lineRule="auto"/>
        <w:ind w:right="84"/>
        <w:rPr>
          <w:rFonts w:ascii="仿宋" w:hAnsi="仿宋" w:eastAsia="仿宋" w:cs="仿宋"/>
          <w:sz w:val="32"/>
          <w:szCs w:val="32"/>
        </w:rPr>
      </w:pPr>
      <w:r>
        <w:rPr>
          <w:rFonts w:hint="eastAsia" w:ascii="仿宋" w:hAnsi="仿宋" w:eastAsia="仿宋" w:cs="仿宋"/>
          <w:sz w:val="32"/>
          <w:szCs w:val="32"/>
        </w:rPr>
        <w:t>积极开展对馆区的消防安全培训以及开展消防演练。</w:t>
      </w:r>
    </w:p>
    <w:p>
      <w:pPr>
        <w:numPr>
          <w:ilvl w:val="0"/>
          <w:numId w:val="19"/>
        </w:numPr>
        <w:spacing w:line="360" w:lineRule="auto"/>
        <w:rPr>
          <w:rFonts w:ascii="仿宋" w:hAnsi="仿宋" w:eastAsia="仿宋" w:cs="仿宋"/>
          <w:sz w:val="32"/>
          <w:szCs w:val="32"/>
        </w:rPr>
      </w:pPr>
      <w:r>
        <w:rPr>
          <w:rFonts w:hint="eastAsia" w:ascii="仿宋" w:hAnsi="仿宋" w:eastAsia="仿宋" w:cs="仿宋"/>
          <w:sz w:val="32"/>
          <w:szCs w:val="32"/>
        </w:rPr>
        <w:t>其他由上级部门安排的消防工作。</w:t>
      </w:r>
    </w:p>
    <w:p>
      <w:pPr>
        <w:numPr>
          <w:ilvl w:val="0"/>
          <w:numId w:val="1"/>
        </w:numPr>
        <w:spacing w:line="600" w:lineRule="exact"/>
        <w:jc w:val="left"/>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付款方式</w:t>
      </w:r>
    </w:p>
    <w:p>
      <w:pPr>
        <w:spacing w:before="120" w:after="120"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双方约定保安消安管理服务费、考核费按半年度</w:t>
      </w:r>
      <w:r>
        <w:rPr>
          <w:rFonts w:hint="eastAsia" w:ascii="仿宋" w:hAnsi="仿宋" w:eastAsia="仿宋" w:cs="仿宋"/>
          <w:sz w:val="32"/>
          <w:szCs w:val="32"/>
          <w:lang w:eastAsia="zh-CN"/>
        </w:rPr>
        <w:t>各</w:t>
      </w:r>
      <w:r>
        <w:rPr>
          <w:rFonts w:hint="eastAsia" w:ascii="仿宋" w:hAnsi="仿宋" w:eastAsia="仿宋" w:cs="仿宋"/>
          <w:sz w:val="32"/>
          <w:szCs w:val="32"/>
          <w:lang w:val="en-US" w:eastAsia="zh-CN"/>
        </w:rPr>
        <w:t>50%</w:t>
      </w:r>
      <w:r>
        <w:rPr>
          <w:rFonts w:hint="eastAsia" w:ascii="仿宋" w:hAnsi="仿宋" w:eastAsia="仿宋" w:cs="仿宋"/>
          <w:sz w:val="32"/>
          <w:szCs w:val="32"/>
        </w:rPr>
        <w:t>支付，中标单位在完成半年度的服务工作后，采购人根据合同规定的标准对中标单位半年度的服务情况进行考核，考核合格后且收到发票10个工作日内，支付服务费、考核费。</w:t>
      </w:r>
    </w:p>
    <w:p>
      <w:pPr>
        <w:numPr>
          <w:ilvl w:val="0"/>
          <w:numId w:val="1"/>
        </w:numPr>
        <w:spacing w:line="600" w:lineRule="exact"/>
        <w:jc w:val="left"/>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工作考评</w:t>
      </w:r>
    </w:p>
    <w:p>
      <w:pPr>
        <w:pStyle w:val="5"/>
        <w:adjustRightInd w:val="0"/>
        <w:snapToGrid w:val="0"/>
        <w:spacing w:line="480" w:lineRule="exact"/>
        <w:jc w:val="center"/>
        <w:outlineLvl w:val="0"/>
        <w:rPr>
          <w:rFonts w:ascii="仿宋_GB2312" w:hAnsi="仿宋_GB2312" w:eastAsia="仿宋_GB2312" w:cs="仿宋_GB2312"/>
          <w:b/>
          <w:sz w:val="32"/>
          <w:szCs w:val="32"/>
        </w:rPr>
      </w:pPr>
      <w:r>
        <w:rPr>
          <w:rFonts w:hint="eastAsia" w:ascii="仿宋_GB2312" w:hAnsi="仿宋_GB2312" w:eastAsia="仿宋_GB2312" w:cs="仿宋_GB2312"/>
          <w:b/>
          <w:sz w:val="32"/>
          <w:szCs w:val="32"/>
        </w:rPr>
        <w:t>上海博物馆</w:t>
      </w:r>
      <w:r>
        <w:rPr>
          <w:rFonts w:hint="eastAsia" w:ascii="仿宋_GB2312" w:hAnsi="仿宋_GB2312" w:eastAsia="仿宋_GB2312" w:cs="仿宋_GB2312"/>
          <w:b/>
          <w:sz w:val="32"/>
          <w:szCs w:val="32"/>
          <w:lang w:val="en-US" w:eastAsia="zh-CN"/>
        </w:rPr>
        <w:t>东</w:t>
      </w:r>
      <w:r>
        <w:rPr>
          <w:rFonts w:hint="eastAsia" w:ascii="仿宋_GB2312" w:hAnsi="仿宋_GB2312" w:eastAsia="仿宋_GB2312" w:cs="仿宋_GB2312"/>
          <w:b/>
          <w:sz w:val="32"/>
          <w:szCs w:val="32"/>
        </w:rPr>
        <w:t>馆考核办法和其它说明</w:t>
      </w:r>
    </w:p>
    <w:p>
      <w:pPr>
        <w:pStyle w:val="5"/>
        <w:adjustRightInd w:val="0"/>
        <w:snapToGrid w:val="0"/>
        <w:spacing w:line="480" w:lineRule="exact"/>
        <w:outlineLvl w:val="0"/>
        <w:rPr>
          <w:rFonts w:ascii="仿宋_GB2312" w:hAnsi="仿宋_GB2312" w:eastAsia="仿宋_GB2312" w:cs="仿宋_GB2312"/>
          <w:b/>
          <w:sz w:val="32"/>
          <w:szCs w:val="32"/>
        </w:rPr>
      </w:pPr>
      <w:r>
        <w:rPr>
          <w:rFonts w:hint="eastAsia" w:ascii="仿宋_GB2312" w:hAnsi="仿宋_GB2312" w:eastAsia="仿宋_GB2312" w:cs="仿宋_GB2312"/>
          <w:b/>
          <w:sz w:val="32"/>
          <w:szCs w:val="32"/>
        </w:rPr>
        <w:t>一、关于</w:t>
      </w:r>
      <w:r>
        <w:rPr>
          <w:rFonts w:hint="eastAsia" w:ascii="仿宋_GB2312" w:hAnsi="仿宋_GB2312" w:eastAsia="仿宋_GB2312" w:cs="仿宋_GB2312"/>
          <w:b/>
          <w:sz w:val="32"/>
          <w:szCs w:val="32"/>
          <w:lang w:eastAsia="zh-CN"/>
        </w:rPr>
        <w:t>预算</w:t>
      </w:r>
      <w:r>
        <w:rPr>
          <w:rFonts w:hint="eastAsia" w:ascii="仿宋_GB2312" w:hAnsi="仿宋_GB2312" w:eastAsia="仿宋_GB2312" w:cs="仿宋_GB2312"/>
          <w:b/>
          <w:sz w:val="32"/>
          <w:szCs w:val="32"/>
        </w:rPr>
        <w:t>金额构成</w:t>
      </w:r>
    </w:p>
    <w:p>
      <w:pPr>
        <w:pStyle w:val="5"/>
        <w:adjustRightInd w:val="0"/>
        <w:snapToGrid w:val="0"/>
        <w:spacing w:line="4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预算</w:t>
      </w:r>
      <w:r>
        <w:rPr>
          <w:rFonts w:hint="eastAsia" w:ascii="仿宋_GB2312" w:hAnsi="仿宋_GB2312" w:eastAsia="仿宋_GB2312" w:cs="仿宋_GB2312"/>
          <w:sz w:val="32"/>
          <w:szCs w:val="32"/>
        </w:rPr>
        <w:t>总金额</w:t>
      </w:r>
      <w:r>
        <w:rPr>
          <w:rFonts w:cs="Arial" w:asciiTheme="majorEastAsia" w:hAnsiTheme="majorEastAsia" w:eastAsiaTheme="majorEastAsia"/>
          <w:sz w:val="28"/>
          <w:szCs w:val="28"/>
        </w:rPr>
        <w:t>2523.36</w:t>
      </w:r>
      <w:r>
        <w:rPr>
          <w:rFonts w:hint="eastAsia" w:ascii="仿宋_GB2312" w:hAnsi="仿宋_GB2312" w:eastAsia="仿宋_GB2312" w:cs="仿宋_GB2312"/>
          <w:sz w:val="32"/>
          <w:szCs w:val="32"/>
        </w:rPr>
        <w:t>万元</w:t>
      </w:r>
    </w:p>
    <w:p>
      <w:pPr>
        <w:pStyle w:val="5"/>
        <w:adjustRightInd w:val="0"/>
        <w:snapToGrid w:val="0"/>
        <w:spacing w:line="48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其中保安服务</w:t>
      </w:r>
      <w:r>
        <w:rPr>
          <w:rFonts w:hint="eastAsia" w:cs="Arial" w:asciiTheme="majorEastAsia" w:hAnsiTheme="majorEastAsia" w:eastAsiaTheme="majorEastAsia"/>
          <w:sz w:val="28"/>
          <w:szCs w:val="28"/>
        </w:rPr>
        <w:t>2279</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，由基本服务费和考核费两部分组成，考核费占比</w:t>
      </w:r>
      <w:r>
        <w:rPr>
          <w:rFonts w:hint="eastAsia" w:ascii="仿宋_GB2312" w:hAnsi="仿宋_GB2312" w:eastAsia="仿宋_GB2312" w:cs="仿宋_GB2312"/>
          <w:sz w:val="32"/>
          <w:szCs w:val="32"/>
          <w:highlight w:val="yellow"/>
          <w:lang w:val="en-US" w:eastAsia="zh-CN"/>
        </w:rPr>
        <w:t>21%</w:t>
      </w:r>
      <w:r>
        <w:rPr>
          <w:rFonts w:hint="eastAsia" w:ascii="仿宋_GB2312" w:hAnsi="仿宋_GB2312" w:eastAsia="仿宋_GB2312" w:cs="仿宋_GB2312"/>
          <w:sz w:val="32"/>
          <w:szCs w:val="32"/>
          <w:lang w:val="en-US" w:eastAsia="zh-CN"/>
        </w:rPr>
        <w:t>，考核费包括</w:t>
      </w:r>
      <w:r>
        <w:rPr>
          <w:rFonts w:hint="eastAsia" w:ascii="仿宋_GB2312" w:hAnsi="仿宋_GB2312" w:eastAsia="仿宋_GB2312" w:cs="仿宋_GB2312"/>
          <w:sz w:val="32"/>
          <w:szCs w:val="32"/>
        </w:rPr>
        <w:t>月度考核奖、就餐补贴、重大活动奖及发票税收等全部奖金费用</w:t>
      </w:r>
      <w:r>
        <w:rPr>
          <w:rFonts w:hint="eastAsia" w:ascii="仿宋_GB2312" w:hAnsi="仿宋_GB2312" w:eastAsia="仿宋_GB2312" w:cs="仿宋_GB2312"/>
          <w:sz w:val="32"/>
          <w:szCs w:val="32"/>
          <w:lang w:eastAsia="zh-CN"/>
        </w:rPr>
        <w:t>。</w:t>
      </w:r>
    </w:p>
    <w:p>
      <w:pPr>
        <w:pStyle w:val="5"/>
        <w:adjustRightInd w:val="0"/>
        <w:snapToGrid w:val="0"/>
        <w:spacing w:line="4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消安服务</w:t>
      </w:r>
      <w:r>
        <w:rPr>
          <w:rFonts w:hint="eastAsia" w:cs="Arial" w:asciiTheme="majorEastAsia" w:hAnsiTheme="majorEastAsia" w:eastAsiaTheme="majorEastAsia"/>
          <w:sz w:val="28"/>
          <w:szCs w:val="28"/>
        </w:rPr>
        <w:t>244.36</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，由基本服务费和考核费两部分组成，考核费占比</w:t>
      </w:r>
      <w:r>
        <w:rPr>
          <w:rFonts w:hint="eastAsia" w:ascii="仿宋_GB2312" w:hAnsi="仿宋_GB2312" w:eastAsia="仿宋_GB2312" w:cs="仿宋_GB2312"/>
          <w:sz w:val="32"/>
          <w:szCs w:val="32"/>
          <w:highlight w:val="yellow"/>
          <w:lang w:val="en-US" w:eastAsia="zh-CN"/>
        </w:rPr>
        <w:t>18.95%</w:t>
      </w:r>
      <w:r>
        <w:rPr>
          <w:rFonts w:hint="eastAsia" w:ascii="仿宋_GB2312" w:hAnsi="仿宋_GB2312" w:eastAsia="仿宋_GB2312" w:cs="仿宋_GB2312"/>
          <w:sz w:val="32"/>
          <w:szCs w:val="32"/>
          <w:lang w:val="en-US" w:eastAsia="zh-CN"/>
        </w:rPr>
        <w:t>，考核费包括</w:t>
      </w:r>
      <w:r>
        <w:rPr>
          <w:rFonts w:hint="eastAsia" w:ascii="仿宋_GB2312" w:hAnsi="仿宋_GB2312" w:eastAsia="仿宋_GB2312" w:cs="仿宋_GB2312"/>
          <w:sz w:val="32"/>
          <w:szCs w:val="32"/>
        </w:rPr>
        <w:t>月度考核奖、就餐补贴、重大活动奖及发票税收等全部奖金费用</w:t>
      </w:r>
      <w:r>
        <w:rPr>
          <w:rFonts w:hint="eastAsia" w:ascii="仿宋_GB2312" w:hAnsi="仿宋_GB2312" w:eastAsia="仿宋_GB2312" w:cs="仿宋_GB2312"/>
          <w:sz w:val="32"/>
          <w:szCs w:val="32"/>
          <w:lang w:eastAsia="zh-CN"/>
        </w:rPr>
        <w:t>。</w:t>
      </w:r>
    </w:p>
    <w:p>
      <w:pPr>
        <w:pStyle w:val="5"/>
        <w:adjustRightInd w:val="0"/>
        <w:snapToGrid w:val="0"/>
        <w:spacing w:line="4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保安服务、消安服务报价各自不超上限。</w:t>
      </w:r>
    </w:p>
    <w:p>
      <w:pPr>
        <w:snapToGrid w:val="0"/>
        <w:spacing w:line="440" w:lineRule="exact"/>
        <w:jc w:val="left"/>
        <w:rPr>
          <w:sz w:val="24"/>
        </w:rPr>
      </w:pPr>
    </w:p>
    <w:p>
      <w:pPr>
        <w:pStyle w:val="5"/>
        <w:adjustRightInd w:val="0"/>
        <w:snapToGrid w:val="0"/>
        <w:spacing w:line="480" w:lineRule="exact"/>
        <w:jc w:val="both"/>
        <w:outlineLvl w:val="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二、关于全额支付服务费的支付条件：</w:t>
      </w:r>
    </w:p>
    <w:p>
      <w:pPr>
        <w:pStyle w:val="5"/>
        <w:adjustRightInd w:val="0"/>
        <w:snapToGri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采购人有合理理由（包括但不限于宾客因保安消安人员原因投诉至12345市民服务热线或直接投诉至采购人或在新媒体平台投诉并引起</w:t>
      </w:r>
      <w:r>
        <w:rPr>
          <w:rFonts w:hint="eastAsia" w:ascii="仿宋_GB2312" w:hAnsi="仿宋_GB2312" w:eastAsia="仿宋_GB2312" w:cs="仿宋_GB2312"/>
          <w:sz w:val="32"/>
          <w:szCs w:val="32"/>
          <w:lang w:val="en-US" w:eastAsia="zh-CN"/>
        </w:rPr>
        <w:t>yuqing</w:t>
      </w:r>
      <w:r>
        <w:rPr>
          <w:rFonts w:hint="eastAsia" w:ascii="仿宋_GB2312" w:hAnsi="仿宋_GB2312" w:eastAsia="仿宋_GB2312" w:cs="仿宋_GB2312"/>
          <w:sz w:val="32"/>
          <w:szCs w:val="32"/>
        </w:rPr>
        <w:t>等情况）认为供应商派驻的保安消安人员不称职或对供应商提供的服务有意见的，可以口头或书面形式向供应商提出调换保安消安人员的要求或整改意见。供应商接到采购人的调换要求或整改意见后，应在7个工作日内调换不称职的消安人员或与采购人协商处理整改措施。</w:t>
      </w:r>
    </w:p>
    <w:p>
      <w:pPr>
        <w:pStyle w:val="5"/>
        <w:adjustRightInd w:val="0"/>
        <w:snapToGri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在履行合同期间，供应商按</w:t>
      </w:r>
      <w:r>
        <w:rPr>
          <w:rFonts w:hint="eastAsia" w:ascii="仿宋_GB2312" w:hAnsi="仿宋_GB2312" w:eastAsia="仿宋_GB2312" w:cs="仿宋_GB2312"/>
          <w:sz w:val="32"/>
          <w:szCs w:val="32"/>
          <w:lang w:eastAsia="zh-CN"/>
        </w:rPr>
        <w:t>投标承诺及</w:t>
      </w:r>
      <w:r>
        <w:rPr>
          <w:rFonts w:hint="eastAsia" w:ascii="仿宋_GB2312" w:hAnsi="仿宋_GB2312" w:eastAsia="仿宋_GB2312" w:cs="仿宋_GB2312"/>
          <w:sz w:val="32"/>
          <w:szCs w:val="32"/>
        </w:rPr>
        <w:t>合同</w:t>
      </w:r>
      <w:r>
        <w:rPr>
          <w:rFonts w:hint="eastAsia" w:ascii="仿宋_GB2312" w:hAnsi="仿宋_GB2312" w:eastAsia="仿宋_GB2312" w:cs="仿宋_GB2312"/>
          <w:sz w:val="32"/>
          <w:szCs w:val="32"/>
          <w:lang w:eastAsia="zh-CN"/>
        </w:rPr>
        <w:t>要求</w:t>
      </w:r>
      <w:r>
        <w:rPr>
          <w:rFonts w:hint="eastAsia" w:ascii="仿宋_GB2312" w:hAnsi="仿宋_GB2312" w:eastAsia="仿宋_GB2312" w:cs="仿宋_GB2312"/>
          <w:sz w:val="32"/>
          <w:szCs w:val="32"/>
        </w:rPr>
        <w:t>配置人员。如出现临时缺员（除消安人员正常探亲外），供应商应及时向采购人说明缺员的原因，并由供应商负责及时安排顶岗，确保岗位满勤，顶岗不得超过7个工作日，否则采购人有权扣除缺员的月全额服务费、考核奖。如顶岗产生人员费用的，由供应商全额承担。</w:t>
      </w:r>
    </w:p>
    <w:p>
      <w:pPr>
        <w:pStyle w:val="5"/>
        <w:adjustRightInd w:val="0"/>
        <w:snapToGrid w:val="0"/>
        <w:spacing w:line="480" w:lineRule="exact"/>
        <w:rPr>
          <w:b/>
          <w:sz w:val="24"/>
          <w:szCs w:val="24"/>
        </w:rPr>
      </w:pPr>
    </w:p>
    <w:p>
      <w:pPr>
        <w:pStyle w:val="5"/>
        <w:adjustRightInd w:val="0"/>
        <w:snapToGrid w:val="0"/>
        <w:spacing w:line="480" w:lineRule="exact"/>
        <w:jc w:val="both"/>
        <w:outlineLvl w:val="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三、关于考核办法</w:t>
      </w:r>
    </w:p>
    <w:p>
      <w:pPr>
        <w:pStyle w:val="5"/>
        <w:adjustRightInd w:val="0"/>
        <w:snapToGrid w:val="0"/>
        <w:spacing w:line="480" w:lineRule="exact"/>
        <w:ind w:firstLine="480" w:firstLineChars="200"/>
        <w:rPr>
          <w:rFonts w:hint="eastAsia" w:ascii="仿宋_GB2312" w:hAnsi="仿宋_GB2312" w:eastAsia="仿宋_GB2312" w:cs="仿宋_GB2312"/>
          <w:sz w:val="32"/>
          <w:szCs w:val="32"/>
        </w:rPr>
      </w:pPr>
      <w:r>
        <w:rPr>
          <w:rFonts w:hint="eastAsia" w:ascii="宋体"/>
          <w:sz w:val="24"/>
        </w:rPr>
        <w:t>（</w:t>
      </w:r>
      <w:r>
        <w:rPr>
          <w:rFonts w:hint="eastAsia" w:ascii="仿宋_GB2312" w:hAnsi="仿宋_GB2312" w:eastAsia="仿宋_GB2312" w:cs="仿宋_GB2312"/>
          <w:sz w:val="32"/>
          <w:szCs w:val="32"/>
        </w:rPr>
        <w:t>一）考核依据</w:t>
      </w:r>
    </w:p>
    <w:p>
      <w:pPr>
        <w:pStyle w:val="5"/>
        <w:adjustRightInd w:val="0"/>
        <w:snapToGri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全面考评保安消安服务公司及服务人员的产出目标、效益目标、满意度指标作为合理支付服务人员考核费的依据。</w:t>
      </w:r>
    </w:p>
    <w:p>
      <w:pPr>
        <w:pStyle w:val="5"/>
        <w:adjustRightInd w:val="0"/>
        <w:snapToGri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（二）考核方式和流程</w:t>
      </w:r>
    </w:p>
    <w:p>
      <w:pPr>
        <w:pStyle w:val="5"/>
        <w:adjustRightInd w:val="0"/>
        <w:snapToGri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1、考核方式：按保安消安人员月度服务考核评价和年度绩效指标考评；</w:t>
      </w:r>
    </w:p>
    <w:p>
      <w:pPr>
        <w:pStyle w:val="5"/>
        <w:adjustRightInd w:val="0"/>
        <w:snapToGri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2、考核流程：</w:t>
      </w:r>
    </w:p>
    <w:p>
      <w:pPr>
        <w:pStyle w:val="5"/>
        <w:adjustRightInd w:val="0"/>
        <w:snapToGri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（1）保安消安服务公司应在各月度时间节点内向上海博物馆归口部门提交服务考核材料。</w:t>
      </w:r>
    </w:p>
    <w:p>
      <w:pPr>
        <w:pStyle w:val="5"/>
        <w:adjustRightInd w:val="0"/>
        <w:snapToGri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（2）上海博物馆归口部门根据月度服务考核材料完成对物业公司的月度服务考核评价。</w:t>
      </w:r>
    </w:p>
    <w:p>
      <w:pPr>
        <w:pStyle w:val="5"/>
        <w:adjustRightInd w:val="0"/>
        <w:snapToGri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（三）考核结果应用</w:t>
      </w:r>
    </w:p>
    <w:p>
      <w:pPr>
        <w:pStyle w:val="5"/>
        <w:adjustRightInd w:val="0"/>
        <w:snapToGri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保安消安服务公司根据每月度服务考核评价的结果，考核结果为满意或比较满意或一般的，则支付该月度考核费；考核结果为较不满意或不满意的，则公司须在合理的期限内予以整改，如未能按时整改的，上海博物馆按协议扣除该保安消安队员</w:t>
      </w:r>
      <w:r>
        <w:rPr>
          <w:rFonts w:hint="eastAsia" w:ascii="仿宋_GB2312" w:hAnsi="仿宋_GB2312" w:eastAsia="仿宋_GB2312" w:cs="仿宋_GB2312"/>
          <w:sz w:val="32"/>
          <w:szCs w:val="32"/>
          <w:lang w:eastAsia="zh-CN"/>
        </w:rPr>
        <w:t>人员相应</w:t>
      </w:r>
      <w:r>
        <w:rPr>
          <w:rFonts w:hint="eastAsia" w:ascii="仿宋_GB2312" w:hAnsi="仿宋_GB2312" w:eastAsia="仿宋_GB2312" w:cs="仿宋_GB2312"/>
          <w:sz w:val="32"/>
          <w:szCs w:val="32"/>
        </w:rPr>
        <w:t>比例的考核费。</w:t>
      </w:r>
    </w:p>
    <w:p>
      <w:pPr>
        <w:pStyle w:val="5"/>
        <w:adjustRightInd w:val="0"/>
        <w:snapToGri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2、对公司的服务质量进行监督，上海博物馆对服务情况有建议权。</w:t>
      </w:r>
    </w:p>
    <w:p>
      <w:pPr>
        <w:pStyle w:val="5"/>
        <w:adjustRightInd w:val="0"/>
        <w:snapToGri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3、考核评价表</w:t>
      </w:r>
    </w:p>
    <w:p>
      <w:pPr>
        <w:widowControl/>
        <w:spacing w:line="402" w:lineRule="atLeast"/>
        <w:jc w:val="center"/>
        <w:outlineLvl w:val="0"/>
        <w:rPr>
          <w:rFonts w:ascii="Arial" w:hAnsi="Arial" w:cs="Arial"/>
          <w:b/>
          <w:color w:val="000000"/>
          <w:kern w:val="36"/>
          <w:sz w:val="27"/>
          <w:szCs w:val="27"/>
        </w:rPr>
      </w:pPr>
      <w:r>
        <w:rPr>
          <w:rFonts w:ascii="Arial" w:hAnsi="Arial" w:cs="Arial"/>
          <w:b/>
          <w:color w:val="000000"/>
          <w:kern w:val="36"/>
          <w:sz w:val="27"/>
          <w:szCs w:val="27"/>
        </w:rPr>
        <w:t>博物馆保安</w:t>
      </w:r>
      <w:r>
        <w:rPr>
          <w:rFonts w:hint="eastAsia" w:ascii="Arial" w:hAnsi="Arial" w:cs="Arial"/>
          <w:b/>
          <w:color w:val="000000"/>
          <w:kern w:val="36"/>
          <w:sz w:val="27"/>
          <w:szCs w:val="27"/>
        </w:rPr>
        <w:t>消安</w:t>
      </w:r>
      <w:r>
        <w:rPr>
          <w:rFonts w:ascii="Arial" w:hAnsi="Arial" w:cs="Arial"/>
          <w:b/>
          <w:color w:val="000000"/>
          <w:kern w:val="36"/>
          <w:sz w:val="27"/>
          <w:szCs w:val="27"/>
        </w:rPr>
        <w:t>服务绩效考核打分表</w:t>
      </w:r>
    </w:p>
    <w:p>
      <w:pPr>
        <w:widowControl/>
        <w:spacing w:line="402" w:lineRule="atLeast"/>
        <w:jc w:val="left"/>
        <w:rPr>
          <w:rFonts w:ascii="Arial" w:hAnsi="Arial" w:cs="Arial"/>
          <w:color w:val="000000"/>
          <w:kern w:val="0"/>
          <w:sz w:val="27"/>
          <w:szCs w:val="27"/>
        </w:rPr>
      </w:pPr>
      <w:r>
        <w:rPr>
          <w:rFonts w:ascii="Arial" w:hAnsi="Arial" w:cs="Arial"/>
          <w:b/>
          <w:bCs/>
          <w:color w:val="000000"/>
          <w:kern w:val="0"/>
          <w:sz w:val="27"/>
        </w:rPr>
        <w:t>考核周期：年____月 | 考核日期：年____月____日 | 被考核人： | 岗位：________</w:t>
      </w:r>
    </w:p>
    <w:p>
      <w:pPr>
        <w:widowControl/>
        <w:spacing w:line="402" w:lineRule="atLeast"/>
        <w:jc w:val="left"/>
        <w:rPr>
          <w:rFonts w:ascii="Arial" w:hAnsi="Arial" w:cs="Arial"/>
          <w:color w:val="000000"/>
          <w:kern w:val="0"/>
          <w:sz w:val="27"/>
          <w:szCs w:val="27"/>
        </w:rPr>
      </w:pPr>
      <w:r>
        <w:rPr>
          <w:rFonts w:ascii="Arial" w:hAnsi="Arial" w:cs="Arial"/>
          <w:color w:val="000000"/>
          <w:kern w:val="0"/>
          <w:sz w:val="27"/>
          <w:szCs w:val="27"/>
        </w:rPr>
        <w:t>表格</w:t>
      </w:r>
    </w:p>
    <w:tbl>
      <w:tblPr>
        <w:tblStyle w:val="10"/>
        <w:tblW w:w="0" w:type="auto"/>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133"/>
        <w:gridCol w:w="653"/>
        <w:gridCol w:w="787"/>
        <w:gridCol w:w="572"/>
        <w:gridCol w:w="4290"/>
        <w:gridCol w:w="439"/>
        <w:gridCol w:w="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15" w:type="dxa"/>
        </w:trPr>
        <w:tc>
          <w:tcPr>
            <w:tcW w:w="0" w:type="auto"/>
            <w:vAlign w:val="center"/>
          </w:tcPr>
          <w:p>
            <w:pPr>
              <w:widowControl/>
              <w:spacing w:line="402" w:lineRule="atLeast"/>
              <w:jc w:val="center"/>
              <w:rPr>
                <w:rFonts w:ascii="Arial" w:hAnsi="Arial" w:cs="Arial"/>
                <w:b/>
                <w:bCs/>
                <w:color w:val="000000"/>
                <w:kern w:val="0"/>
                <w:sz w:val="27"/>
                <w:szCs w:val="27"/>
              </w:rPr>
            </w:pPr>
            <w:r>
              <w:rPr>
                <w:rFonts w:ascii="Arial" w:hAnsi="Arial" w:cs="Arial"/>
                <w:b/>
                <w:bCs/>
                <w:color w:val="000000"/>
                <w:kern w:val="0"/>
                <w:sz w:val="27"/>
                <w:szCs w:val="27"/>
              </w:rPr>
              <w:t>一级指标</w:t>
            </w:r>
          </w:p>
        </w:tc>
        <w:tc>
          <w:tcPr>
            <w:tcW w:w="0" w:type="auto"/>
            <w:vAlign w:val="center"/>
          </w:tcPr>
          <w:p>
            <w:pPr>
              <w:widowControl/>
              <w:spacing w:line="402" w:lineRule="atLeast"/>
              <w:jc w:val="center"/>
              <w:rPr>
                <w:rFonts w:ascii="Arial" w:hAnsi="Arial" w:cs="Arial"/>
                <w:b/>
                <w:bCs/>
                <w:color w:val="000000"/>
                <w:kern w:val="0"/>
                <w:sz w:val="27"/>
                <w:szCs w:val="27"/>
              </w:rPr>
            </w:pPr>
            <w:r>
              <w:rPr>
                <w:rFonts w:ascii="Arial" w:hAnsi="Arial" w:cs="Arial"/>
                <w:b/>
                <w:bCs/>
                <w:color w:val="000000"/>
                <w:kern w:val="0"/>
                <w:sz w:val="27"/>
                <w:szCs w:val="27"/>
              </w:rPr>
              <w:t>权重</w:t>
            </w:r>
          </w:p>
        </w:tc>
        <w:tc>
          <w:tcPr>
            <w:tcW w:w="0" w:type="auto"/>
            <w:vAlign w:val="center"/>
          </w:tcPr>
          <w:p>
            <w:pPr>
              <w:widowControl/>
              <w:spacing w:line="402" w:lineRule="atLeast"/>
              <w:jc w:val="center"/>
              <w:rPr>
                <w:rFonts w:ascii="Arial" w:hAnsi="Arial" w:cs="Arial"/>
                <w:b/>
                <w:bCs/>
                <w:color w:val="000000"/>
                <w:kern w:val="0"/>
                <w:sz w:val="27"/>
                <w:szCs w:val="27"/>
              </w:rPr>
            </w:pPr>
            <w:r>
              <w:rPr>
                <w:rFonts w:ascii="Arial" w:hAnsi="Arial" w:cs="Arial"/>
                <w:b/>
                <w:bCs/>
                <w:color w:val="000000"/>
                <w:kern w:val="0"/>
                <w:sz w:val="27"/>
                <w:szCs w:val="27"/>
              </w:rPr>
              <w:t>二级指标</w:t>
            </w:r>
          </w:p>
        </w:tc>
        <w:tc>
          <w:tcPr>
            <w:tcW w:w="0" w:type="auto"/>
            <w:vAlign w:val="center"/>
          </w:tcPr>
          <w:p>
            <w:pPr>
              <w:widowControl/>
              <w:spacing w:line="402" w:lineRule="atLeast"/>
              <w:jc w:val="center"/>
              <w:rPr>
                <w:rFonts w:ascii="Arial" w:hAnsi="Arial" w:cs="Arial"/>
                <w:b/>
                <w:bCs/>
                <w:color w:val="000000"/>
                <w:kern w:val="0"/>
                <w:sz w:val="27"/>
                <w:szCs w:val="27"/>
              </w:rPr>
            </w:pPr>
            <w:r>
              <w:rPr>
                <w:rFonts w:ascii="Arial" w:hAnsi="Arial" w:cs="Arial"/>
                <w:b/>
                <w:bCs/>
                <w:color w:val="000000"/>
                <w:kern w:val="0"/>
                <w:sz w:val="27"/>
                <w:szCs w:val="27"/>
              </w:rPr>
              <w:t>分值</w:t>
            </w:r>
          </w:p>
        </w:tc>
        <w:tc>
          <w:tcPr>
            <w:tcW w:w="0" w:type="auto"/>
            <w:vAlign w:val="center"/>
          </w:tcPr>
          <w:p>
            <w:pPr>
              <w:widowControl/>
              <w:spacing w:line="402" w:lineRule="atLeast"/>
              <w:jc w:val="center"/>
              <w:rPr>
                <w:rFonts w:ascii="Arial" w:hAnsi="Arial" w:cs="Arial"/>
                <w:b/>
                <w:bCs/>
                <w:color w:val="000000"/>
                <w:kern w:val="0"/>
                <w:sz w:val="27"/>
                <w:szCs w:val="27"/>
              </w:rPr>
            </w:pPr>
            <w:r>
              <w:rPr>
                <w:rFonts w:ascii="Arial" w:hAnsi="Arial" w:cs="Arial"/>
                <w:b/>
                <w:bCs/>
                <w:color w:val="000000"/>
                <w:kern w:val="0"/>
                <w:sz w:val="27"/>
                <w:szCs w:val="27"/>
              </w:rPr>
              <w:t>评分标准</w:t>
            </w:r>
          </w:p>
        </w:tc>
        <w:tc>
          <w:tcPr>
            <w:tcW w:w="0" w:type="auto"/>
            <w:vAlign w:val="center"/>
          </w:tcPr>
          <w:p>
            <w:pPr>
              <w:widowControl/>
              <w:spacing w:line="402" w:lineRule="atLeast"/>
              <w:jc w:val="center"/>
              <w:rPr>
                <w:rFonts w:ascii="Arial" w:hAnsi="Arial" w:cs="Arial"/>
                <w:b/>
                <w:bCs/>
                <w:color w:val="000000"/>
                <w:kern w:val="0"/>
                <w:sz w:val="27"/>
                <w:szCs w:val="27"/>
              </w:rPr>
            </w:pPr>
            <w:r>
              <w:rPr>
                <w:rFonts w:ascii="Arial" w:hAnsi="Arial" w:cs="Arial"/>
                <w:b/>
                <w:bCs/>
                <w:color w:val="000000"/>
                <w:kern w:val="0"/>
                <w:sz w:val="27"/>
                <w:szCs w:val="27"/>
              </w:rPr>
              <w:t>实得分</w:t>
            </w:r>
          </w:p>
        </w:tc>
        <w:tc>
          <w:tcPr>
            <w:tcW w:w="0" w:type="auto"/>
            <w:vAlign w:val="center"/>
          </w:tcPr>
          <w:p>
            <w:pPr>
              <w:widowControl/>
              <w:spacing w:line="402" w:lineRule="atLeast"/>
              <w:jc w:val="center"/>
              <w:rPr>
                <w:rFonts w:ascii="Arial" w:hAnsi="Arial" w:cs="Arial"/>
                <w:b/>
                <w:bCs/>
                <w:color w:val="000000"/>
                <w:kern w:val="0"/>
                <w:sz w:val="27"/>
                <w:szCs w:val="27"/>
              </w:rPr>
            </w:pPr>
            <w:r>
              <w:rPr>
                <w:rFonts w:ascii="Arial" w:hAnsi="Arial" w:cs="Arial"/>
                <w:b/>
                <w:bCs/>
                <w:color w:val="000000"/>
                <w:kern w:val="0"/>
                <w:sz w:val="27"/>
                <w:szCs w:val="27"/>
              </w:rPr>
              <w:t>扣分说明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0" w:type="auto"/>
            <w:vAlign w:val="center"/>
          </w:tcPr>
          <w:p>
            <w:pPr>
              <w:widowControl/>
              <w:spacing w:line="402" w:lineRule="atLeast"/>
              <w:jc w:val="left"/>
              <w:rPr>
                <w:rFonts w:ascii="Arial" w:hAnsi="Arial" w:cs="Arial"/>
                <w:color w:val="000000"/>
                <w:kern w:val="0"/>
                <w:sz w:val="27"/>
                <w:szCs w:val="27"/>
              </w:rPr>
            </w:pPr>
            <w:r>
              <w:rPr>
                <w:rFonts w:ascii="Arial" w:hAnsi="Arial" w:cs="Arial"/>
                <w:b/>
                <w:bCs/>
                <w:color w:val="000000"/>
                <w:kern w:val="0"/>
                <w:sz w:val="27"/>
              </w:rPr>
              <w:t>一、工作纪律与仪容仪表</w:t>
            </w:r>
          </w:p>
        </w:tc>
        <w:tc>
          <w:tcPr>
            <w:tcW w:w="0" w:type="auto"/>
            <w:vAlign w:val="center"/>
          </w:tcPr>
          <w:p>
            <w:pPr>
              <w:widowControl/>
              <w:spacing w:line="402" w:lineRule="atLeast"/>
              <w:jc w:val="left"/>
              <w:rPr>
                <w:rFonts w:ascii="Arial" w:hAnsi="Arial" w:cs="Arial"/>
                <w:color w:val="000000"/>
                <w:kern w:val="0"/>
                <w:sz w:val="27"/>
                <w:szCs w:val="27"/>
              </w:rPr>
            </w:pPr>
            <w:r>
              <w:rPr>
                <w:rFonts w:ascii="Arial" w:hAnsi="Arial" w:cs="Arial"/>
                <w:color w:val="000000"/>
                <w:kern w:val="0"/>
                <w:sz w:val="27"/>
                <w:szCs w:val="27"/>
              </w:rPr>
              <w:t>20 分</w:t>
            </w:r>
          </w:p>
        </w:tc>
        <w:tc>
          <w:tcPr>
            <w:tcW w:w="0" w:type="auto"/>
            <w:vAlign w:val="center"/>
          </w:tcPr>
          <w:p>
            <w:pPr>
              <w:widowControl/>
              <w:spacing w:line="402" w:lineRule="atLeast"/>
              <w:jc w:val="left"/>
              <w:rPr>
                <w:rFonts w:ascii="Arial" w:hAnsi="Arial" w:cs="Arial"/>
                <w:color w:val="000000"/>
                <w:kern w:val="0"/>
                <w:sz w:val="27"/>
                <w:szCs w:val="27"/>
              </w:rPr>
            </w:pPr>
            <w:r>
              <w:rPr>
                <w:rFonts w:ascii="Arial" w:hAnsi="Arial" w:cs="Arial"/>
                <w:color w:val="000000"/>
                <w:kern w:val="0"/>
                <w:sz w:val="27"/>
                <w:szCs w:val="27"/>
              </w:rPr>
              <w:t>仪容仪表</w:t>
            </w:r>
          </w:p>
        </w:tc>
        <w:tc>
          <w:tcPr>
            <w:tcW w:w="0" w:type="auto"/>
            <w:vAlign w:val="center"/>
          </w:tcPr>
          <w:p>
            <w:pPr>
              <w:widowControl/>
              <w:spacing w:line="402" w:lineRule="atLeast"/>
              <w:jc w:val="left"/>
              <w:rPr>
                <w:rFonts w:ascii="Arial" w:hAnsi="Arial" w:cs="Arial"/>
                <w:color w:val="000000"/>
                <w:kern w:val="0"/>
                <w:sz w:val="27"/>
                <w:szCs w:val="27"/>
              </w:rPr>
            </w:pPr>
            <w:r>
              <w:rPr>
                <w:rFonts w:ascii="Arial" w:hAnsi="Arial" w:cs="Arial"/>
                <w:color w:val="000000"/>
                <w:kern w:val="0"/>
                <w:sz w:val="27"/>
                <w:szCs w:val="27"/>
              </w:rPr>
              <w:t>5</w:t>
            </w:r>
          </w:p>
        </w:tc>
        <w:tc>
          <w:tcPr>
            <w:tcW w:w="0" w:type="auto"/>
            <w:vAlign w:val="center"/>
          </w:tcPr>
          <w:p>
            <w:pPr>
              <w:widowControl/>
              <w:spacing w:line="402" w:lineRule="atLeast"/>
              <w:jc w:val="left"/>
              <w:rPr>
                <w:rFonts w:ascii="Arial" w:hAnsi="Arial" w:cs="Arial"/>
                <w:color w:val="000000"/>
                <w:kern w:val="0"/>
                <w:sz w:val="27"/>
                <w:szCs w:val="27"/>
              </w:rPr>
            </w:pPr>
            <w:r>
              <w:rPr>
                <w:rFonts w:ascii="Arial" w:hAnsi="Arial" w:cs="Arial"/>
                <w:color w:val="000000"/>
                <w:kern w:val="0"/>
                <w:sz w:val="27"/>
                <w:szCs w:val="27"/>
              </w:rPr>
              <w:t>统一着装、佩戴工牌、仪容整洁；无纹身外露、无怪异发型。违规 1 次扣 2-5 分</w:t>
            </w:r>
          </w:p>
        </w:tc>
        <w:tc>
          <w:tcPr>
            <w:tcW w:w="0" w:type="auto"/>
            <w:vAlign w:val="center"/>
          </w:tcPr>
          <w:p>
            <w:pPr>
              <w:widowControl/>
              <w:spacing w:line="402" w:lineRule="atLeast"/>
              <w:jc w:val="left"/>
              <w:rPr>
                <w:rFonts w:ascii="Arial" w:hAnsi="Arial" w:cs="Arial"/>
                <w:color w:val="000000"/>
                <w:kern w:val="0"/>
                <w:sz w:val="27"/>
                <w:szCs w:val="27"/>
              </w:rPr>
            </w:pPr>
          </w:p>
        </w:tc>
        <w:tc>
          <w:tcPr>
            <w:tcW w:w="0" w:type="auto"/>
            <w:vAlign w:val="center"/>
          </w:tcPr>
          <w:p>
            <w:pPr>
              <w:widowControl/>
              <w:spacing w:line="402" w:lineRule="atLeast"/>
              <w:jc w:val="left"/>
              <w:rPr>
                <w:rFonts w:ascii="Arial" w:hAnsi="Arial" w:cs="Arial"/>
                <w:color w:val="000000"/>
                <w:kern w:val="0"/>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0" w:type="auto"/>
            <w:vAlign w:val="center"/>
          </w:tcPr>
          <w:p>
            <w:pPr>
              <w:widowControl/>
              <w:spacing w:line="402" w:lineRule="atLeast"/>
              <w:jc w:val="left"/>
              <w:rPr>
                <w:rFonts w:ascii="Arial" w:hAnsi="Arial" w:cs="Arial"/>
                <w:color w:val="000000"/>
                <w:kern w:val="0"/>
                <w:sz w:val="27"/>
                <w:szCs w:val="27"/>
              </w:rPr>
            </w:pPr>
          </w:p>
        </w:tc>
        <w:tc>
          <w:tcPr>
            <w:tcW w:w="0" w:type="auto"/>
            <w:vAlign w:val="center"/>
          </w:tcPr>
          <w:p>
            <w:pPr>
              <w:widowControl/>
              <w:spacing w:line="402" w:lineRule="atLeast"/>
              <w:jc w:val="left"/>
              <w:rPr>
                <w:rFonts w:ascii="Arial" w:hAnsi="Arial" w:cs="Arial"/>
                <w:color w:val="000000"/>
                <w:kern w:val="0"/>
                <w:sz w:val="27"/>
                <w:szCs w:val="27"/>
              </w:rPr>
            </w:pPr>
          </w:p>
        </w:tc>
        <w:tc>
          <w:tcPr>
            <w:tcW w:w="0" w:type="auto"/>
            <w:vAlign w:val="center"/>
          </w:tcPr>
          <w:p>
            <w:pPr>
              <w:widowControl/>
              <w:spacing w:line="402" w:lineRule="atLeast"/>
              <w:jc w:val="left"/>
              <w:rPr>
                <w:rFonts w:ascii="Arial" w:hAnsi="Arial" w:cs="Arial"/>
                <w:color w:val="000000"/>
                <w:kern w:val="0"/>
                <w:sz w:val="27"/>
                <w:szCs w:val="27"/>
              </w:rPr>
            </w:pPr>
            <w:r>
              <w:rPr>
                <w:rFonts w:ascii="Arial" w:hAnsi="Arial" w:cs="Arial"/>
                <w:color w:val="000000"/>
                <w:kern w:val="0"/>
                <w:sz w:val="27"/>
                <w:szCs w:val="27"/>
              </w:rPr>
              <w:t>考勤制度</w:t>
            </w:r>
          </w:p>
        </w:tc>
        <w:tc>
          <w:tcPr>
            <w:tcW w:w="0" w:type="auto"/>
            <w:vAlign w:val="center"/>
          </w:tcPr>
          <w:p>
            <w:pPr>
              <w:widowControl/>
              <w:spacing w:line="402" w:lineRule="atLeast"/>
              <w:jc w:val="left"/>
              <w:rPr>
                <w:rFonts w:ascii="Arial" w:hAnsi="Arial" w:cs="Arial"/>
                <w:color w:val="000000"/>
                <w:kern w:val="0"/>
                <w:sz w:val="27"/>
                <w:szCs w:val="27"/>
              </w:rPr>
            </w:pPr>
            <w:r>
              <w:rPr>
                <w:rFonts w:ascii="Arial" w:hAnsi="Arial" w:cs="Arial"/>
                <w:color w:val="000000"/>
                <w:kern w:val="0"/>
                <w:sz w:val="27"/>
                <w:szCs w:val="27"/>
              </w:rPr>
              <w:t>5</w:t>
            </w:r>
          </w:p>
        </w:tc>
        <w:tc>
          <w:tcPr>
            <w:tcW w:w="0" w:type="auto"/>
            <w:vAlign w:val="center"/>
          </w:tcPr>
          <w:p>
            <w:pPr>
              <w:widowControl/>
              <w:spacing w:line="402" w:lineRule="atLeast"/>
              <w:jc w:val="left"/>
              <w:rPr>
                <w:rFonts w:ascii="Arial" w:hAnsi="Arial" w:cs="Arial"/>
                <w:color w:val="000000"/>
                <w:kern w:val="0"/>
                <w:sz w:val="27"/>
                <w:szCs w:val="27"/>
              </w:rPr>
            </w:pPr>
            <w:r>
              <w:rPr>
                <w:rFonts w:ascii="Arial" w:hAnsi="Arial" w:cs="Arial"/>
                <w:color w:val="000000"/>
                <w:kern w:val="0"/>
                <w:sz w:val="27"/>
                <w:szCs w:val="27"/>
              </w:rPr>
              <w:t>无迟到、早退、旷工；调班提前报备，严禁私自顶岗。迟到早退 1 次扣 1 分，私自替岗扣 5 分</w:t>
            </w:r>
          </w:p>
        </w:tc>
        <w:tc>
          <w:tcPr>
            <w:tcW w:w="0" w:type="auto"/>
            <w:vAlign w:val="center"/>
          </w:tcPr>
          <w:p>
            <w:pPr>
              <w:widowControl/>
              <w:spacing w:line="402" w:lineRule="atLeast"/>
              <w:jc w:val="left"/>
              <w:rPr>
                <w:rFonts w:ascii="Arial" w:hAnsi="Arial" w:cs="Arial"/>
                <w:color w:val="000000"/>
                <w:kern w:val="0"/>
                <w:sz w:val="27"/>
                <w:szCs w:val="27"/>
              </w:rPr>
            </w:pPr>
          </w:p>
        </w:tc>
        <w:tc>
          <w:tcPr>
            <w:tcW w:w="0" w:type="auto"/>
            <w:vAlign w:val="center"/>
          </w:tcPr>
          <w:p>
            <w:pPr>
              <w:widowControl/>
              <w:spacing w:line="402" w:lineRule="atLeast"/>
              <w:jc w:val="left"/>
              <w:rPr>
                <w:rFonts w:ascii="Arial" w:hAnsi="Arial" w:cs="Arial"/>
                <w:color w:val="000000"/>
                <w:kern w:val="0"/>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0" w:type="auto"/>
            <w:vAlign w:val="center"/>
          </w:tcPr>
          <w:p>
            <w:pPr>
              <w:widowControl/>
              <w:spacing w:line="402" w:lineRule="atLeast"/>
              <w:jc w:val="left"/>
              <w:rPr>
                <w:rFonts w:ascii="Arial" w:hAnsi="Arial" w:cs="Arial"/>
                <w:color w:val="000000"/>
                <w:kern w:val="0"/>
                <w:sz w:val="27"/>
                <w:szCs w:val="27"/>
              </w:rPr>
            </w:pPr>
          </w:p>
        </w:tc>
        <w:tc>
          <w:tcPr>
            <w:tcW w:w="0" w:type="auto"/>
            <w:vAlign w:val="center"/>
          </w:tcPr>
          <w:p>
            <w:pPr>
              <w:widowControl/>
              <w:spacing w:line="402" w:lineRule="atLeast"/>
              <w:jc w:val="left"/>
              <w:rPr>
                <w:rFonts w:ascii="Arial" w:hAnsi="Arial" w:cs="Arial"/>
                <w:color w:val="000000"/>
                <w:kern w:val="0"/>
                <w:sz w:val="27"/>
                <w:szCs w:val="27"/>
              </w:rPr>
            </w:pPr>
          </w:p>
        </w:tc>
        <w:tc>
          <w:tcPr>
            <w:tcW w:w="0" w:type="auto"/>
            <w:vAlign w:val="center"/>
          </w:tcPr>
          <w:p>
            <w:pPr>
              <w:widowControl/>
              <w:spacing w:line="402" w:lineRule="atLeast"/>
              <w:jc w:val="left"/>
              <w:rPr>
                <w:rFonts w:ascii="Arial" w:hAnsi="Arial" w:cs="Arial"/>
                <w:color w:val="000000"/>
                <w:kern w:val="0"/>
                <w:sz w:val="27"/>
                <w:szCs w:val="27"/>
              </w:rPr>
            </w:pPr>
            <w:r>
              <w:rPr>
                <w:rFonts w:ascii="Arial" w:hAnsi="Arial" w:cs="Arial"/>
                <w:color w:val="000000"/>
                <w:kern w:val="0"/>
                <w:sz w:val="27"/>
                <w:szCs w:val="27"/>
              </w:rPr>
              <w:t>在岗纪律</w:t>
            </w:r>
          </w:p>
        </w:tc>
        <w:tc>
          <w:tcPr>
            <w:tcW w:w="0" w:type="auto"/>
            <w:vAlign w:val="center"/>
          </w:tcPr>
          <w:p>
            <w:pPr>
              <w:widowControl/>
              <w:spacing w:line="402" w:lineRule="atLeast"/>
              <w:jc w:val="left"/>
              <w:rPr>
                <w:rFonts w:ascii="Arial" w:hAnsi="Arial" w:cs="Arial"/>
                <w:color w:val="000000"/>
                <w:kern w:val="0"/>
                <w:sz w:val="27"/>
                <w:szCs w:val="27"/>
              </w:rPr>
            </w:pPr>
            <w:r>
              <w:rPr>
                <w:rFonts w:ascii="Arial" w:hAnsi="Arial" w:cs="Arial"/>
                <w:color w:val="000000"/>
                <w:kern w:val="0"/>
                <w:sz w:val="27"/>
                <w:szCs w:val="27"/>
              </w:rPr>
              <w:t>10</w:t>
            </w:r>
          </w:p>
        </w:tc>
        <w:tc>
          <w:tcPr>
            <w:tcW w:w="0" w:type="auto"/>
            <w:vAlign w:val="center"/>
          </w:tcPr>
          <w:p>
            <w:pPr>
              <w:widowControl/>
              <w:spacing w:line="402" w:lineRule="atLeast"/>
              <w:jc w:val="left"/>
              <w:rPr>
                <w:rFonts w:ascii="Arial" w:hAnsi="Arial" w:cs="Arial"/>
                <w:color w:val="000000"/>
                <w:kern w:val="0"/>
                <w:sz w:val="27"/>
                <w:szCs w:val="27"/>
              </w:rPr>
            </w:pPr>
            <w:r>
              <w:rPr>
                <w:rFonts w:ascii="Arial" w:hAnsi="Arial" w:cs="Arial"/>
                <w:color w:val="000000"/>
                <w:kern w:val="0"/>
                <w:sz w:val="27"/>
                <w:szCs w:val="27"/>
              </w:rPr>
              <w:t>不脱岗、睡岗、玩手机、闲聊；不收受礼品小费。违规 1 次扣 5-10 分，严重直接辞退</w:t>
            </w:r>
          </w:p>
        </w:tc>
        <w:tc>
          <w:tcPr>
            <w:tcW w:w="0" w:type="auto"/>
            <w:vAlign w:val="center"/>
          </w:tcPr>
          <w:p>
            <w:pPr>
              <w:widowControl/>
              <w:spacing w:line="402" w:lineRule="atLeast"/>
              <w:jc w:val="left"/>
              <w:rPr>
                <w:rFonts w:ascii="Arial" w:hAnsi="Arial" w:cs="Arial"/>
                <w:color w:val="000000"/>
                <w:kern w:val="0"/>
                <w:sz w:val="27"/>
                <w:szCs w:val="27"/>
              </w:rPr>
            </w:pPr>
          </w:p>
        </w:tc>
        <w:tc>
          <w:tcPr>
            <w:tcW w:w="0" w:type="auto"/>
            <w:vAlign w:val="center"/>
          </w:tcPr>
          <w:p>
            <w:pPr>
              <w:widowControl/>
              <w:spacing w:line="402" w:lineRule="atLeast"/>
              <w:jc w:val="left"/>
              <w:rPr>
                <w:rFonts w:ascii="Arial" w:hAnsi="Arial" w:cs="Arial"/>
                <w:color w:val="000000"/>
                <w:kern w:val="0"/>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0" w:type="auto"/>
            <w:vAlign w:val="center"/>
          </w:tcPr>
          <w:p>
            <w:pPr>
              <w:widowControl/>
              <w:spacing w:line="402" w:lineRule="atLeast"/>
              <w:jc w:val="left"/>
              <w:rPr>
                <w:rFonts w:ascii="Arial" w:hAnsi="Arial" w:cs="Arial"/>
                <w:color w:val="000000"/>
                <w:kern w:val="0"/>
                <w:sz w:val="27"/>
                <w:szCs w:val="27"/>
              </w:rPr>
            </w:pPr>
            <w:r>
              <w:rPr>
                <w:rFonts w:ascii="Arial" w:hAnsi="Arial" w:cs="Arial"/>
                <w:b/>
                <w:bCs/>
                <w:color w:val="000000"/>
                <w:kern w:val="0"/>
                <w:sz w:val="27"/>
              </w:rPr>
              <w:t>二、核心岗位履职</w:t>
            </w:r>
          </w:p>
        </w:tc>
        <w:tc>
          <w:tcPr>
            <w:tcW w:w="0" w:type="auto"/>
            <w:vAlign w:val="center"/>
          </w:tcPr>
          <w:p>
            <w:pPr>
              <w:widowControl/>
              <w:spacing w:line="402" w:lineRule="atLeast"/>
              <w:jc w:val="left"/>
              <w:rPr>
                <w:rFonts w:ascii="Arial" w:hAnsi="Arial" w:cs="Arial"/>
                <w:color w:val="000000"/>
                <w:kern w:val="0"/>
                <w:sz w:val="27"/>
                <w:szCs w:val="27"/>
              </w:rPr>
            </w:pPr>
            <w:r>
              <w:rPr>
                <w:rFonts w:ascii="Arial" w:hAnsi="Arial" w:cs="Arial"/>
                <w:color w:val="000000"/>
                <w:kern w:val="0"/>
                <w:sz w:val="27"/>
                <w:szCs w:val="27"/>
              </w:rPr>
              <w:t>50 分</w:t>
            </w:r>
          </w:p>
        </w:tc>
        <w:tc>
          <w:tcPr>
            <w:tcW w:w="0" w:type="auto"/>
            <w:vAlign w:val="center"/>
          </w:tcPr>
          <w:p>
            <w:pPr>
              <w:widowControl/>
              <w:spacing w:line="402" w:lineRule="atLeast"/>
              <w:jc w:val="left"/>
              <w:rPr>
                <w:rFonts w:ascii="Arial" w:hAnsi="Arial" w:cs="Arial"/>
                <w:color w:val="000000"/>
                <w:kern w:val="0"/>
                <w:sz w:val="27"/>
                <w:szCs w:val="27"/>
              </w:rPr>
            </w:pPr>
            <w:r>
              <w:rPr>
                <w:rFonts w:ascii="Arial" w:hAnsi="Arial" w:cs="Arial"/>
                <w:color w:val="000000"/>
                <w:kern w:val="0"/>
                <w:sz w:val="27"/>
                <w:szCs w:val="27"/>
              </w:rPr>
              <w:t>门岗与出入口管理</w:t>
            </w:r>
          </w:p>
        </w:tc>
        <w:tc>
          <w:tcPr>
            <w:tcW w:w="0" w:type="auto"/>
            <w:vAlign w:val="center"/>
          </w:tcPr>
          <w:p>
            <w:pPr>
              <w:widowControl/>
              <w:spacing w:line="402" w:lineRule="atLeast"/>
              <w:jc w:val="left"/>
              <w:rPr>
                <w:rFonts w:ascii="Arial" w:hAnsi="Arial" w:cs="Arial"/>
                <w:color w:val="000000"/>
                <w:kern w:val="0"/>
                <w:sz w:val="27"/>
                <w:szCs w:val="27"/>
              </w:rPr>
            </w:pPr>
            <w:r>
              <w:rPr>
                <w:rFonts w:ascii="Arial" w:hAnsi="Arial" w:cs="Arial"/>
                <w:color w:val="000000"/>
                <w:kern w:val="0"/>
                <w:sz w:val="27"/>
                <w:szCs w:val="27"/>
              </w:rPr>
              <w:t>15</w:t>
            </w:r>
          </w:p>
        </w:tc>
        <w:tc>
          <w:tcPr>
            <w:tcW w:w="0" w:type="auto"/>
            <w:vAlign w:val="center"/>
          </w:tcPr>
          <w:p>
            <w:pPr>
              <w:widowControl/>
              <w:spacing w:line="402" w:lineRule="atLeast"/>
              <w:jc w:val="left"/>
              <w:rPr>
                <w:rFonts w:ascii="Arial" w:hAnsi="Arial" w:cs="Arial"/>
                <w:color w:val="000000"/>
                <w:kern w:val="0"/>
                <w:sz w:val="27"/>
                <w:szCs w:val="27"/>
              </w:rPr>
            </w:pPr>
            <w:r>
              <w:rPr>
                <w:rFonts w:ascii="Arial" w:hAnsi="Arial" w:cs="Arial"/>
                <w:color w:val="000000"/>
                <w:kern w:val="0"/>
                <w:sz w:val="27"/>
                <w:szCs w:val="27"/>
              </w:rPr>
              <w:t>访客登记无漏登错登（扣 3-5 分 / 次）；违禁品不漏检（一票否决）；车辆疏导畅通</w:t>
            </w:r>
          </w:p>
        </w:tc>
        <w:tc>
          <w:tcPr>
            <w:tcW w:w="0" w:type="auto"/>
            <w:vAlign w:val="center"/>
          </w:tcPr>
          <w:p>
            <w:pPr>
              <w:widowControl/>
              <w:spacing w:line="402" w:lineRule="atLeast"/>
              <w:jc w:val="left"/>
              <w:rPr>
                <w:rFonts w:ascii="Arial" w:hAnsi="Arial" w:cs="Arial"/>
                <w:color w:val="000000"/>
                <w:kern w:val="0"/>
                <w:sz w:val="27"/>
                <w:szCs w:val="27"/>
              </w:rPr>
            </w:pPr>
          </w:p>
        </w:tc>
        <w:tc>
          <w:tcPr>
            <w:tcW w:w="0" w:type="auto"/>
            <w:vAlign w:val="center"/>
          </w:tcPr>
          <w:p>
            <w:pPr>
              <w:widowControl/>
              <w:spacing w:line="402" w:lineRule="atLeast"/>
              <w:jc w:val="left"/>
              <w:rPr>
                <w:rFonts w:ascii="Arial" w:hAnsi="Arial" w:cs="Arial"/>
                <w:color w:val="000000"/>
                <w:kern w:val="0"/>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0" w:type="auto"/>
            <w:vAlign w:val="center"/>
          </w:tcPr>
          <w:p>
            <w:pPr>
              <w:widowControl/>
              <w:spacing w:line="402" w:lineRule="atLeast"/>
              <w:jc w:val="left"/>
              <w:rPr>
                <w:rFonts w:ascii="Arial" w:hAnsi="Arial" w:cs="Arial"/>
                <w:color w:val="000000"/>
                <w:kern w:val="0"/>
                <w:sz w:val="27"/>
                <w:szCs w:val="27"/>
              </w:rPr>
            </w:pPr>
          </w:p>
        </w:tc>
        <w:tc>
          <w:tcPr>
            <w:tcW w:w="0" w:type="auto"/>
            <w:vAlign w:val="center"/>
          </w:tcPr>
          <w:p>
            <w:pPr>
              <w:widowControl/>
              <w:spacing w:line="402" w:lineRule="atLeast"/>
              <w:jc w:val="left"/>
              <w:rPr>
                <w:rFonts w:ascii="Arial" w:hAnsi="Arial" w:cs="Arial"/>
                <w:color w:val="000000"/>
                <w:kern w:val="0"/>
                <w:sz w:val="27"/>
                <w:szCs w:val="27"/>
              </w:rPr>
            </w:pPr>
          </w:p>
        </w:tc>
        <w:tc>
          <w:tcPr>
            <w:tcW w:w="0" w:type="auto"/>
            <w:vAlign w:val="center"/>
          </w:tcPr>
          <w:p>
            <w:pPr>
              <w:widowControl/>
              <w:spacing w:line="402" w:lineRule="atLeast"/>
              <w:jc w:val="left"/>
              <w:rPr>
                <w:rFonts w:ascii="Arial" w:hAnsi="Arial" w:cs="Arial"/>
                <w:color w:val="000000"/>
                <w:kern w:val="0"/>
                <w:sz w:val="27"/>
                <w:szCs w:val="27"/>
              </w:rPr>
            </w:pPr>
            <w:r>
              <w:rPr>
                <w:rFonts w:ascii="Arial" w:hAnsi="Arial" w:cs="Arial"/>
                <w:color w:val="000000"/>
                <w:kern w:val="0"/>
                <w:sz w:val="27"/>
                <w:szCs w:val="27"/>
              </w:rPr>
              <w:t>巡逻巡查与监控</w:t>
            </w:r>
          </w:p>
        </w:tc>
        <w:tc>
          <w:tcPr>
            <w:tcW w:w="0" w:type="auto"/>
            <w:vAlign w:val="center"/>
          </w:tcPr>
          <w:p>
            <w:pPr>
              <w:widowControl/>
              <w:spacing w:line="402" w:lineRule="atLeast"/>
              <w:jc w:val="left"/>
              <w:rPr>
                <w:rFonts w:ascii="Arial" w:hAnsi="Arial" w:cs="Arial"/>
                <w:color w:val="000000"/>
                <w:kern w:val="0"/>
                <w:sz w:val="27"/>
                <w:szCs w:val="27"/>
              </w:rPr>
            </w:pPr>
            <w:r>
              <w:rPr>
                <w:rFonts w:ascii="Arial" w:hAnsi="Arial" w:cs="Arial"/>
                <w:color w:val="000000"/>
                <w:kern w:val="0"/>
                <w:sz w:val="27"/>
                <w:szCs w:val="27"/>
              </w:rPr>
              <w:t>20</w:t>
            </w:r>
          </w:p>
        </w:tc>
        <w:tc>
          <w:tcPr>
            <w:tcW w:w="0" w:type="auto"/>
            <w:vAlign w:val="center"/>
          </w:tcPr>
          <w:p>
            <w:pPr>
              <w:widowControl/>
              <w:spacing w:line="402" w:lineRule="atLeast"/>
              <w:jc w:val="left"/>
              <w:rPr>
                <w:rFonts w:ascii="Arial" w:hAnsi="Arial" w:cs="Arial"/>
                <w:color w:val="000000"/>
                <w:kern w:val="0"/>
                <w:sz w:val="27"/>
                <w:szCs w:val="27"/>
              </w:rPr>
            </w:pPr>
            <w:r>
              <w:rPr>
                <w:rFonts w:ascii="Arial" w:hAnsi="Arial" w:cs="Arial"/>
                <w:color w:val="000000"/>
                <w:kern w:val="0"/>
                <w:sz w:val="27"/>
                <w:szCs w:val="27"/>
              </w:rPr>
              <w:t>按规巡逻打卡（未打卡扣 5 分 / 次，伪造记录一票否决）；隐患及时上报（漏报扣 10 分 / 次，上报 + 5 分 / 次）；监控 24 小时值守</w:t>
            </w:r>
          </w:p>
        </w:tc>
        <w:tc>
          <w:tcPr>
            <w:tcW w:w="0" w:type="auto"/>
            <w:vAlign w:val="center"/>
          </w:tcPr>
          <w:p>
            <w:pPr>
              <w:widowControl/>
              <w:spacing w:line="402" w:lineRule="atLeast"/>
              <w:jc w:val="left"/>
              <w:rPr>
                <w:rFonts w:ascii="Arial" w:hAnsi="Arial" w:cs="Arial"/>
                <w:color w:val="000000"/>
                <w:kern w:val="0"/>
                <w:sz w:val="27"/>
                <w:szCs w:val="27"/>
              </w:rPr>
            </w:pPr>
          </w:p>
        </w:tc>
        <w:tc>
          <w:tcPr>
            <w:tcW w:w="0" w:type="auto"/>
            <w:vAlign w:val="center"/>
          </w:tcPr>
          <w:p>
            <w:pPr>
              <w:widowControl/>
              <w:spacing w:line="402" w:lineRule="atLeast"/>
              <w:jc w:val="left"/>
              <w:rPr>
                <w:rFonts w:ascii="Arial" w:hAnsi="Arial" w:cs="Arial"/>
                <w:color w:val="000000"/>
                <w:kern w:val="0"/>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0" w:type="auto"/>
            <w:vAlign w:val="center"/>
          </w:tcPr>
          <w:p>
            <w:pPr>
              <w:widowControl/>
              <w:spacing w:line="402" w:lineRule="atLeast"/>
              <w:jc w:val="left"/>
              <w:rPr>
                <w:rFonts w:ascii="Arial" w:hAnsi="Arial" w:cs="Arial"/>
                <w:color w:val="000000"/>
                <w:kern w:val="0"/>
                <w:sz w:val="27"/>
                <w:szCs w:val="27"/>
              </w:rPr>
            </w:pPr>
          </w:p>
        </w:tc>
        <w:tc>
          <w:tcPr>
            <w:tcW w:w="0" w:type="auto"/>
            <w:vAlign w:val="center"/>
          </w:tcPr>
          <w:p>
            <w:pPr>
              <w:widowControl/>
              <w:spacing w:line="402" w:lineRule="atLeast"/>
              <w:jc w:val="left"/>
              <w:rPr>
                <w:rFonts w:ascii="Arial" w:hAnsi="Arial" w:cs="Arial"/>
                <w:color w:val="000000"/>
                <w:kern w:val="0"/>
                <w:sz w:val="27"/>
                <w:szCs w:val="27"/>
              </w:rPr>
            </w:pPr>
          </w:p>
        </w:tc>
        <w:tc>
          <w:tcPr>
            <w:tcW w:w="0" w:type="auto"/>
            <w:vAlign w:val="center"/>
          </w:tcPr>
          <w:p>
            <w:pPr>
              <w:widowControl/>
              <w:spacing w:line="402" w:lineRule="atLeast"/>
              <w:jc w:val="left"/>
              <w:rPr>
                <w:rFonts w:ascii="Arial" w:hAnsi="Arial" w:cs="Arial"/>
                <w:color w:val="000000"/>
                <w:kern w:val="0"/>
                <w:sz w:val="27"/>
                <w:szCs w:val="27"/>
              </w:rPr>
            </w:pPr>
            <w:r>
              <w:rPr>
                <w:rFonts w:ascii="Arial" w:hAnsi="Arial" w:cs="Arial"/>
                <w:color w:val="000000"/>
                <w:kern w:val="0"/>
                <w:sz w:val="27"/>
                <w:szCs w:val="27"/>
              </w:rPr>
              <w:t>文物与重点区域保卫</w:t>
            </w:r>
          </w:p>
        </w:tc>
        <w:tc>
          <w:tcPr>
            <w:tcW w:w="0" w:type="auto"/>
            <w:vAlign w:val="center"/>
          </w:tcPr>
          <w:p>
            <w:pPr>
              <w:widowControl/>
              <w:spacing w:line="402" w:lineRule="atLeast"/>
              <w:jc w:val="left"/>
              <w:rPr>
                <w:rFonts w:ascii="Arial" w:hAnsi="Arial" w:cs="Arial"/>
                <w:color w:val="000000"/>
                <w:kern w:val="0"/>
                <w:sz w:val="27"/>
                <w:szCs w:val="27"/>
              </w:rPr>
            </w:pPr>
            <w:r>
              <w:rPr>
                <w:rFonts w:ascii="Arial" w:hAnsi="Arial" w:cs="Arial"/>
                <w:color w:val="000000"/>
                <w:kern w:val="0"/>
                <w:sz w:val="27"/>
                <w:szCs w:val="27"/>
              </w:rPr>
              <w:t>10</w:t>
            </w:r>
          </w:p>
        </w:tc>
        <w:tc>
          <w:tcPr>
            <w:tcW w:w="0" w:type="auto"/>
            <w:vAlign w:val="center"/>
          </w:tcPr>
          <w:p>
            <w:pPr>
              <w:widowControl/>
              <w:spacing w:line="402" w:lineRule="atLeast"/>
              <w:jc w:val="left"/>
              <w:rPr>
                <w:rFonts w:ascii="Arial" w:hAnsi="Arial" w:cs="Arial"/>
                <w:color w:val="000000"/>
                <w:kern w:val="0"/>
                <w:sz w:val="27"/>
                <w:szCs w:val="27"/>
              </w:rPr>
            </w:pPr>
            <w:r>
              <w:rPr>
                <w:rFonts w:ascii="Arial" w:hAnsi="Arial" w:cs="Arial"/>
                <w:color w:val="000000"/>
                <w:kern w:val="0"/>
                <w:sz w:val="27"/>
                <w:szCs w:val="27"/>
              </w:rPr>
              <w:t>重点展厅 / 库房严控无关人员；重大活动秩序良好，无风险</w:t>
            </w:r>
          </w:p>
        </w:tc>
        <w:tc>
          <w:tcPr>
            <w:tcW w:w="0" w:type="auto"/>
            <w:vAlign w:val="center"/>
          </w:tcPr>
          <w:p>
            <w:pPr>
              <w:widowControl/>
              <w:spacing w:line="402" w:lineRule="atLeast"/>
              <w:jc w:val="left"/>
              <w:rPr>
                <w:rFonts w:ascii="Arial" w:hAnsi="Arial" w:cs="Arial"/>
                <w:color w:val="000000"/>
                <w:kern w:val="0"/>
                <w:sz w:val="27"/>
                <w:szCs w:val="27"/>
              </w:rPr>
            </w:pPr>
          </w:p>
        </w:tc>
        <w:tc>
          <w:tcPr>
            <w:tcW w:w="0" w:type="auto"/>
            <w:vAlign w:val="center"/>
          </w:tcPr>
          <w:p>
            <w:pPr>
              <w:widowControl/>
              <w:spacing w:line="402" w:lineRule="atLeast"/>
              <w:jc w:val="left"/>
              <w:rPr>
                <w:rFonts w:ascii="Arial" w:hAnsi="Arial" w:cs="Arial"/>
                <w:color w:val="000000"/>
                <w:kern w:val="0"/>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0" w:type="auto"/>
            <w:vAlign w:val="center"/>
          </w:tcPr>
          <w:p>
            <w:pPr>
              <w:widowControl/>
              <w:spacing w:line="402" w:lineRule="atLeast"/>
              <w:jc w:val="left"/>
              <w:rPr>
                <w:rFonts w:ascii="Arial" w:hAnsi="Arial" w:cs="Arial"/>
                <w:color w:val="000000"/>
                <w:kern w:val="0"/>
                <w:sz w:val="27"/>
                <w:szCs w:val="27"/>
              </w:rPr>
            </w:pPr>
          </w:p>
        </w:tc>
        <w:tc>
          <w:tcPr>
            <w:tcW w:w="0" w:type="auto"/>
            <w:vAlign w:val="center"/>
          </w:tcPr>
          <w:p>
            <w:pPr>
              <w:widowControl/>
              <w:spacing w:line="402" w:lineRule="atLeast"/>
              <w:jc w:val="left"/>
              <w:rPr>
                <w:rFonts w:ascii="Arial" w:hAnsi="Arial" w:cs="Arial"/>
                <w:color w:val="000000"/>
                <w:kern w:val="0"/>
                <w:sz w:val="27"/>
                <w:szCs w:val="27"/>
              </w:rPr>
            </w:pPr>
          </w:p>
        </w:tc>
        <w:tc>
          <w:tcPr>
            <w:tcW w:w="0" w:type="auto"/>
            <w:vAlign w:val="center"/>
          </w:tcPr>
          <w:p>
            <w:pPr>
              <w:widowControl/>
              <w:spacing w:line="402" w:lineRule="atLeast"/>
              <w:jc w:val="left"/>
              <w:rPr>
                <w:rFonts w:ascii="Arial" w:hAnsi="Arial" w:cs="Arial"/>
                <w:color w:val="000000"/>
                <w:kern w:val="0"/>
                <w:sz w:val="27"/>
                <w:szCs w:val="27"/>
              </w:rPr>
            </w:pPr>
            <w:r>
              <w:rPr>
                <w:rFonts w:ascii="Arial" w:hAnsi="Arial" w:cs="Arial"/>
                <w:color w:val="000000"/>
                <w:kern w:val="0"/>
                <w:sz w:val="27"/>
                <w:szCs w:val="27"/>
              </w:rPr>
              <w:t>消防与设施维护</w:t>
            </w:r>
          </w:p>
        </w:tc>
        <w:tc>
          <w:tcPr>
            <w:tcW w:w="0" w:type="auto"/>
            <w:vAlign w:val="center"/>
          </w:tcPr>
          <w:p>
            <w:pPr>
              <w:widowControl/>
              <w:spacing w:line="402" w:lineRule="atLeast"/>
              <w:jc w:val="left"/>
              <w:rPr>
                <w:rFonts w:ascii="Arial" w:hAnsi="Arial" w:cs="Arial"/>
                <w:color w:val="000000"/>
                <w:kern w:val="0"/>
                <w:sz w:val="27"/>
                <w:szCs w:val="27"/>
              </w:rPr>
            </w:pPr>
            <w:r>
              <w:rPr>
                <w:rFonts w:ascii="Arial" w:hAnsi="Arial" w:cs="Arial"/>
                <w:color w:val="000000"/>
                <w:kern w:val="0"/>
                <w:sz w:val="27"/>
                <w:szCs w:val="27"/>
              </w:rPr>
              <w:t>5</w:t>
            </w:r>
          </w:p>
        </w:tc>
        <w:tc>
          <w:tcPr>
            <w:tcW w:w="0" w:type="auto"/>
            <w:vAlign w:val="center"/>
          </w:tcPr>
          <w:p>
            <w:pPr>
              <w:widowControl/>
              <w:spacing w:line="402" w:lineRule="atLeast"/>
              <w:jc w:val="left"/>
              <w:rPr>
                <w:rFonts w:ascii="Arial" w:hAnsi="Arial" w:cs="Arial"/>
                <w:color w:val="000000"/>
                <w:kern w:val="0"/>
                <w:sz w:val="27"/>
                <w:szCs w:val="27"/>
              </w:rPr>
            </w:pPr>
            <w:r>
              <w:rPr>
                <w:rFonts w:ascii="Arial" w:hAnsi="Arial" w:cs="Arial"/>
                <w:color w:val="000000"/>
                <w:kern w:val="0"/>
                <w:sz w:val="27"/>
                <w:szCs w:val="27"/>
              </w:rPr>
              <w:t>消防器材完好有效，无遮挡、缺失、失效</w:t>
            </w:r>
          </w:p>
        </w:tc>
        <w:tc>
          <w:tcPr>
            <w:tcW w:w="0" w:type="auto"/>
            <w:vAlign w:val="center"/>
          </w:tcPr>
          <w:p>
            <w:pPr>
              <w:widowControl/>
              <w:spacing w:line="402" w:lineRule="atLeast"/>
              <w:jc w:val="left"/>
              <w:rPr>
                <w:rFonts w:ascii="Arial" w:hAnsi="Arial" w:cs="Arial"/>
                <w:color w:val="000000"/>
                <w:kern w:val="0"/>
                <w:sz w:val="27"/>
                <w:szCs w:val="27"/>
              </w:rPr>
            </w:pPr>
          </w:p>
        </w:tc>
        <w:tc>
          <w:tcPr>
            <w:tcW w:w="0" w:type="auto"/>
            <w:vAlign w:val="center"/>
          </w:tcPr>
          <w:p>
            <w:pPr>
              <w:widowControl/>
              <w:spacing w:line="402" w:lineRule="atLeast"/>
              <w:jc w:val="left"/>
              <w:rPr>
                <w:rFonts w:ascii="Arial" w:hAnsi="Arial" w:cs="Arial"/>
                <w:color w:val="000000"/>
                <w:kern w:val="0"/>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0" w:type="auto"/>
            <w:vAlign w:val="center"/>
          </w:tcPr>
          <w:p>
            <w:pPr>
              <w:widowControl/>
              <w:spacing w:line="402" w:lineRule="atLeast"/>
              <w:jc w:val="left"/>
              <w:rPr>
                <w:rFonts w:ascii="Arial" w:hAnsi="Arial" w:cs="Arial"/>
                <w:color w:val="000000"/>
                <w:kern w:val="0"/>
                <w:sz w:val="27"/>
                <w:szCs w:val="27"/>
              </w:rPr>
            </w:pPr>
            <w:r>
              <w:rPr>
                <w:rFonts w:ascii="Arial" w:hAnsi="Arial" w:cs="Arial"/>
                <w:b/>
                <w:bCs/>
                <w:color w:val="000000"/>
                <w:kern w:val="0"/>
                <w:sz w:val="27"/>
              </w:rPr>
              <w:t>三、应急处置与培训</w:t>
            </w:r>
          </w:p>
        </w:tc>
        <w:tc>
          <w:tcPr>
            <w:tcW w:w="0" w:type="auto"/>
            <w:vAlign w:val="center"/>
          </w:tcPr>
          <w:p>
            <w:pPr>
              <w:widowControl/>
              <w:spacing w:line="402" w:lineRule="atLeast"/>
              <w:jc w:val="left"/>
              <w:rPr>
                <w:rFonts w:ascii="Arial" w:hAnsi="Arial" w:cs="Arial"/>
                <w:color w:val="000000"/>
                <w:kern w:val="0"/>
                <w:sz w:val="27"/>
                <w:szCs w:val="27"/>
              </w:rPr>
            </w:pPr>
            <w:r>
              <w:rPr>
                <w:rFonts w:ascii="Arial" w:hAnsi="Arial" w:cs="Arial"/>
                <w:color w:val="000000"/>
                <w:kern w:val="0"/>
                <w:sz w:val="27"/>
                <w:szCs w:val="27"/>
              </w:rPr>
              <w:t>20 分</w:t>
            </w:r>
          </w:p>
        </w:tc>
        <w:tc>
          <w:tcPr>
            <w:tcW w:w="0" w:type="auto"/>
            <w:vAlign w:val="center"/>
          </w:tcPr>
          <w:p>
            <w:pPr>
              <w:widowControl/>
              <w:spacing w:line="402" w:lineRule="atLeast"/>
              <w:jc w:val="left"/>
              <w:rPr>
                <w:rFonts w:ascii="Arial" w:hAnsi="Arial" w:cs="Arial"/>
                <w:color w:val="000000"/>
                <w:kern w:val="0"/>
                <w:sz w:val="27"/>
                <w:szCs w:val="27"/>
              </w:rPr>
            </w:pPr>
            <w:r>
              <w:rPr>
                <w:rFonts w:ascii="Arial" w:hAnsi="Arial" w:cs="Arial"/>
                <w:color w:val="000000"/>
                <w:kern w:val="0"/>
                <w:sz w:val="27"/>
                <w:szCs w:val="27"/>
              </w:rPr>
              <w:t>应急响应</w:t>
            </w:r>
          </w:p>
        </w:tc>
        <w:tc>
          <w:tcPr>
            <w:tcW w:w="0" w:type="auto"/>
            <w:vAlign w:val="center"/>
          </w:tcPr>
          <w:p>
            <w:pPr>
              <w:widowControl/>
              <w:spacing w:line="402" w:lineRule="atLeast"/>
              <w:jc w:val="left"/>
              <w:rPr>
                <w:rFonts w:ascii="Arial" w:hAnsi="Arial" w:cs="Arial"/>
                <w:color w:val="000000"/>
                <w:kern w:val="0"/>
                <w:sz w:val="27"/>
                <w:szCs w:val="27"/>
              </w:rPr>
            </w:pPr>
            <w:r>
              <w:rPr>
                <w:rFonts w:ascii="Arial" w:hAnsi="Arial" w:cs="Arial"/>
                <w:color w:val="000000"/>
                <w:kern w:val="0"/>
                <w:sz w:val="27"/>
                <w:szCs w:val="27"/>
              </w:rPr>
              <w:t>10</w:t>
            </w:r>
          </w:p>
        </w:tc>
        <w:tc>
          <w:tcPr>
            <w:tcW w:w="0" w:type="auto"/>
            <w:vAlign w:val="center"/>
          </w:tcPr>
          <w:p>
            <w:pPr>
              <w:widowControl/>
              <w:spacing w:line="402" w:lineRule="atLeast"/>
              <w:jc w:val="left"/>
              <w:rPr>
                <w:rFonts w:ascii="Arial" w:hAnsi="Arial" w:cs="Arial"/>
                <w:color w:val="000000"/>
                <w:kern w:val="0"/>
                <w:sz w:val="27"/>
                <w:szCs w:val="27"/>
              </w:rPr>
            </w:pPr>
            <w:r>
              <w:rPr>
                <w:rFonts w:ascii="Arial" w:hAnsi="Arial" w:cs="Arial"/>
                <w:color w:val="000000"/>
                <w:kern w:val="0"/>
                <w:sz w:val="27"/>
                <w:szCs w:val="27"/>
              </w:rPr>
              <w:t>突发事件第一时间处置、规范上报；延误 / 瞒报扣 10 分 / 次</w:t>
            </w:r>
          </w:p>
        </w:tc>
        <w:tc>
          <w:tcPr>
            <w:tcW w:w="0" w:type="auto"/>
            <w:vAlign w:val="center"/>
          </w:tcPr>
          <w:p>
            <w:pPr>
              <w:widowControl/>
              <w:spacing w:line="402" w:lineRule="atLeast"/>
              <w:jc w:val="left"/>
              <w:rPr>
                <w:rFonts w:ascii="Arial" w:hAnsi="Arial" w:cs="Arial"/>
                <w:color w:val="000000"/>
                <w:kern w:val="0"/>
                <w:sz w:val="27"/>
                <w:szCs w:val="27"/>
              </w:rPr>
            </w:pPr>
          </w:p>
        </w:tc>
        <w:tc>
          <w:tcPr>
            <w:tcW w:w="0" w:type="auto"/>
            <w:vAlign w:val="center"/>
          </w:tcPr>
          <w:p>
            <w:pPr>
              <w:widowControl/>
              <w:spacing w:line="402" w:lineRule="atLeast"/>
              <w:jc w:val="left"/>
              <w:rPr>
                <w:rFonts w:ascii="Arial" w:hAnsi="Arial" w:cs="Arial"/>
                <w:color w:val="000000"/>
                <w:kern w:val="0"/>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0" w:type="auto"/>
            <w:vAlign w:val="center"/>
          </w:tcPr>
          <w:p>
            <w:pPr>
              <w:widowControl/>
              <w:spacing w:line="402" w:lineRule="atLeast"/>
              <w:jc w:val="left"/>
              <w:rPr>
                <w:rFonts w:ascii="Arial" w:hAnsi="Arial" w:cs="Arial"/>
                <w:color w:val="000000"/>
                <w:kern w:val="0"/>
                <w:sz w:val="27"/>
                <w:szCs w:val="27"/>
              </w:rPr>
            </w:pPr>
          </w:p>
        </w:tc>
        <w:tc>
          <w:tcPr>
            <w:tcW w:w="0" w:type="auto"/>
            <w:vAlign w:val="center"/>
          </w:tcPr>
          <w:p>
            <w:pPr>
              <w:widowControl/>
              <w:spacing w:line="402" w:lineRule="atLeast"/>
              <w:jc w:val="left"/>
              <w:rPr>
                <w:rFonts w:ascii="Arial" w:hAnsi="Arial" w:cs="Arial"/>
                <w:color w:val="000000"/>
                <w:kern w:val="0"/>
                <w:sz w:val="27"/>
                <w:szCs w:val="27"/>
              </w:rPr>
            </w:pPr>
          </w:p>
        </w:tc>
        <w:tc>
          <w:tcPr>
            <w:tcW w:w="0" w:type="auto"/>
            <w:vAlign w:val="center"/>
          </w:tcPr>
          <w:p>
            <w:pPr>
              <w:widowControl/>
              <w:spacing w:line="402" w:lineRule="atLeast"/>
              <w:jc w:val="left"/>
              <w:rPr>
                <w:rFonts w:ascii="Arial" w:hAnsi="Arial" w:cs="Arial"/>
                <w:color w:val="000000"/>
                <w:kern w:val="0"/>
                <w:sz w:val="27"/>
                <w:szCs w:val="27"/>
              </w:rPr>
            </w:pPr>
            <w:r>
              <w:rPr>
                <w:rFonts w:ascii="Arial" w:hAnsi="Arial" w:cs="Arial"/>
                <w:color w:val="000000"/>
                <w:kern w:val="0"/>
                <w:sz w:val="27"/>
                <w:szCs w:val="27"/>
              </w:rPr>
              <w:t>培训与持证</w:t>
            </w:r>
          </w:p>
        </w:tc>
        <w:tc>
          <w:tcPr>
            <w:tcW w:w="0" w:type="auto"/>
            <w:vAlign w:val="center"/>
          </w:tcPr>
          <w:p>
            <w:pPr>
              <w:widowControl/>
              <w:spacing w:line="402" w:lineRule="atLeast"/>
              <w:jc w:val="left"/>
              <w:rPr>
                <w:rFonts w:ascii="Arial" w:hAnsi="Arial" w:cs="Arial"/>
                <w:color w:val="000000"/>
                <w:kern w:val="0"/>
                <w:sz w:val="27"/>
                <w:szCs w:val="27"/>
              </w:rPr>
            </w:pPr>
            <w:r>
              <w:rPr>
                <w:rFonts w:ascii="Arial" w:hAnsi="Arial" w:cs="Arial"/>
                <w:color w:val="000000"/>
                <w:kern w:val="0"/>
                <w:sz w:val="27"/>
                <w:szCs w:val="27"/>
              </w:rPr>
              <w:t>10</w:t>
            </w:r>
          </w:p>
        </w:tc>
        <w:tc>
          <w:tcPr>
            <w:tcW w:w="0" w:type="auto"/>
            <w:vAlign w:val="center"/>
          </w:tcPr>
          <w:p>
            <w:pPr>
              <w:widowControl/>
              <w:spacing w:line="402" w:lineRule="atLeast"/>
              <w:jc w:val="left"/>
              <w:rPr>
                <w:rFonts w:ascii="Arial" w:hAnsi="Arial" w:cs="Arial"/>
                <w:color w:val="000000"/>
                <w:kern w:val="0"/>
                <w:sz w:val="27"/>
                <w:szCs w:val="27"/>
              </w:rPr>
            </w:pPr>
            <w:r>
              <w:rPr>
                <w:rFonts w:ascii="Arial" w:hAnsi="Arial" w:cs="Arial"/>
                <w:color w:val="000000"/>
                <w:kern w:val="0"/>
                <w:sz w:val="27"/>
                <w:szCs w:val="27"/>
              </w:rPr>
              <w:t>证件齐全有效；培训全勤、考核合格（缺训扣 2 分 / 次，不合格扣 5 分 / 次）</w:t>
            </w:r>
          </w:p>
        </w:tc>
        <w:tc>
          <w:tcPr>
            <w:tcW w:w="0" w:type="auto"/>
            <w:vAlign w:val="center"/>
          </w:tcPr>
          <w:p>
            <w:pPr>
              <w:widowControl/>
              <w:spacing w:line="402" w:lineRule="atLeast"/>
              <w:jc w:val="left"/>
              <w:rPr>
                <w:rFonts w:ascii="Arial" w:hAnsi="Arial" w:cs="Arial"/>
                <w:color w:val="000000"/>
                <w:kern w:val="0"/>
                <w:sz w:val="27"/>
                <w:szCs w:val="27"/>
              </w:rPr>
            </w:pPr>
          </w:p>
        </w:tc>
        <w:tc>
          <w:tcPr>
            <w:tcW w:w="0" w:type="auto"/>
            <w:vAlign w:val="center"/>
          </w:tcPr>
          <w:p>
            <w:pPr>
              <w:widowControl/>
              <w:spacing w:line="402" w:lineRule="atLeast"/>
              <w:jc w:val="left"/>
              <w:rPr>
                <w:rFonts w:ascii="Arial" w:hAnsi="Arial" w:cs="Arial"/>
                <w:color w:val="000000"/>
                <w:kern w:val="0"/>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0" w:type="auto"/>
            <w:vAlign w:val="center"/>
          </w:tcPr>
          <w:p>
            <w:pPr>
              <w:widowControl/>
              <w:spacing w:line="402" w:lineRule="atLeast"/>
              <w:jc w:val="left"/>
              <w:rPr>
                <w:rFonts w:ascii="Arial" w:hAnsi="Arial" w:cs="Arial"/>
                <w:color w:val="000000"/>
                <w:kern w:val="0"/>
                <w:sz w:val="27"/>
                <w:szCs w:val="27"/>
              </w:rPr>
            </w:pPr>
            <w:r>
              <w:rPr>
                <w:rFonts w:ascii="Arial" w:hAnsi="Arial" w:cs="Arial"/>
                <w:b/>
                <w:bCs/>
                <w:color w:val="000000"/>
                <w:kern w:val="0"/>
                <w:sz w:val="27"/>
              </w:rPr>
              <w:t>四、服务意识与满意度</w:t>
            </w:r>
          </w:p>
        </w:tc>
        <w:tc>
          <w:tcPr>
            <w:tcW w:w="0" w:type="auto"/>
            <w:vAlign w:val="center"/>
          </w:tcPr>
          <w:p>
            <w:pPr>
              <w:widowControl/>
              <w:spacing w:line="402" w:lineRule="atLeast"/>
              <w:jc w:val="left"/>
              <w:rPr>
                <w:rFonts w:ascii="Arial" w:hAnsi="Arial" w:cs="Arial"/>
                <w:color w:val="000000"/>
                <w:kern w:val="0"/>
                <w:sz w:val="27"/>
                <w:szCs w:val="27"/>
              </w:rPr>
            </w:pPr>
            <w:r>
              <w:rPr>
                <w:rFonts w:ascii="Arial" w:hAnsi="Arial" w:cs="Arial"/>
                <w:color w:val="000000"/>
                <w:kern w:val="0"/>
                <w:sz w:val="27"/>
                <w:szCs w:val="27"/>
              </w:rPr>
              <w:t>10 分</w:t>
            </w:r>
          </w:p>
        </w:tc>
        <w:tc>
          <w:tcPr>
            <w:tcW w:w="0" w:type="auto"/>
            <w:vAlign w:val="center"/>
          </w:tcPr>
          <w:p>
            <w:pPr>
              <w:widowControl/>
              <w:spacing w:line="402" w:lineRule="atLeast"/>
              <w:jc w:val="left"/>
              <w:rPr>
                <w:rFonts w:ascii="Arial" w:hAnsi="Arial" w:cs="Arial"/>
                <w:color w:val="000000"/>
                <w:kern w:val="0"/>
                <w:sz w:val="27"/>
                <w:szCs w:val="27"/>
              </w:rPr>
            </w:pPr>
            <w:r>
              <w:rPr>
                <w:rFonts w:ascii="Arial" w:hAnsi="Arial" w:cs="Arial"/>
                <w:color w:val="000000"/>
                <w:kern w:val="0"/>
                <w:sz w:val="27"/>
                <w:szCs w:val="27"/>
              </w:rPr>
              <w:t>服务态度与配合度</w:t>
            </w:r>
          </w:p>
        </w:tc>
        <w:tc>
          <w:tcPr>
            <w:tcW w:w="0" w:type="auto"/>
            <w:vAlign w:val="center"/>
          </w:tcPr>
          <w:p>
            <w:pPr>
              <w:widowControl/>
              <w:spacing w:line="402" w:lineRule="atLeast"/>
              <w:jc w:val="left"/>
              <w:rPr>
                <w:rFonts w:ascii="Arial" w:hAnsi="Arial" w:cs="Arial"/>
                <w:color w:val="000000"/>
                <w:kern w:val="0"/>
                <w:sz w:val="27"/>
                <w:szCs w:val="27"/>
              </w:rPr>
            </w:pPr>
            <w:r>
              <w:rPr>
                <w:rFonts w:ascii="Arial" w:hAnsi="Arial" w:cs="Arial"/>
                <w:color w:val="000000"/>
                <w:kern w:val="0"/>
                <w:sz w:val="27"/>
                <w:szCs w:val="27"/>
              </w:rPr>
              <w:t>10</w:t>
            </w:r>
          </w:p>
        </w:tc>
        <w:tc>
          <w:tcPr>
            <w:tcW w:w="0" w:type="auto"/>
            <w:vAlign w:val="center"/>
          </w:tcPr>
          <w:p>
            <w:pPr>
              <w:widowControl/>
              <w:spacing w:line="402" w:lineRule="atLeast"/>
              <w:jc w:val="left"/>
              <w:rPr>
                <w:rFonts w:ascii="Arial" w:hAnsi="Arial" w:cs="Arial"/>
                <w:color w:val="000000"/>
                <w:kern w:val="0"/>
                <w:sz w:val="27"/>
                <w:szCs w:val="27"/>
              </w:rPr>
            </w:pPr>
            <w:r>
              <w:rPr>
                <w:rFonts w:ascii="Arial" w:hAnsi="Arial" w:cs="Arial"/>
                <w:color w:val="000000"/>
                <w:kern w:val="0"/>
                <w:sz w:val="27"/>
                <w:szCs w:val="27"/>
              </w:rPr>
              <w:t>文明服务无投诉（有效投诉扣 5-10 分 / 次）；服从管理、配合工作</w:t>
            </w:r>
          </w:p>
        </w:tc>
        <w:tc>
          <w:tcPr>
            <w:tcW w:w="0" w:type="auto"/>
            <w:vAlign w:val="center"/>
          </w:tcPr>
          <w:p>
            <w:pPr>
              <w:widowControl/>
              <w:spacing w:line="402" w:lineRule="atLeast"/>
              <w:jc w:val="left"/>
              <w:rPr>
                <w:rFonts w:ascii="Arial" w:hAnsi="Arial" w:cs="Arial"/>
                <w:color w:val="000000"/>
                <w:kern w:val="0"/>
                <w:sz w:val="27"/>
                <w:szCs w:val="27"/>
              </w:rPr>
            </w:pPr>
          </w:p>
        </w:tc>
        <w:tc>
          <w:tcPr>
            <w:tcW w:w="0" w:type="auto"/>
            <w:vAlign w:val="center"/>
          </w:tcPr>
          <w:p>
            <w:pPr>
              <w:widowControl/>
              <w:spacing w:line="402" w:lineRule="atLeast"/>
              <w:jc w:val="left"/>
              <w:rPr>
                <w:rFonts w:ascii="Arial" w:hAnsi="Arial" w:cs="Arial"/>
                <w:color w:val="000000"/>
                <w:kern w:val="0"/>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0" w:type="auto"/>
            <w:vAlign w:val="center"/>
          </w:tcPr>
          <w:p>
            <w:pPr>
              <w:widowControl/>
              <w:spacing w:line="402" w:lineRule="atLeast"/>
              <w:jc w:val="left"/>
              <w:rPr>
                <w:rFonts w:ascii="Arial" w:hAnsi="Arial" w:cs="Arial"/>
                <w:color w:val="000000"/>
                <w:kern w:val="0"/>
                <w:sz w:val="27"/>
                <w:szCs w:val="27"/>
              </w:rPr>
            </w:pPr>
            <w:r>
              <w:rPr>
                <w:rFonts w:ascii="Arial" w:hAnsi="Arial" w:cs="Arial"/>
                <w:b/>
                <w:bCs/>
                <w:color w:val="000000"/>
                <w:kern w:val="0"/>
                <w:sz w:val="27"/>
              </w:rPr>
              <w:t>加分项</w:t>
            </w:r>
          </w:p>
        </w:tc>
        <w:tc>
          <w:tcPr>
            <w:tcW w:w="0" w:type="auto"/>
            <w:vAlign w:val="center"/>
          </w:tcPr>
          <w:p>
            <w:pPr>
              <w:widowControl/>
              <w:spacing w:line="402" w:lineRule="atLeast"/>
              <w:jc w:val="left"/>
              <w:rPr>
                <w:rFonts w:ascii="Arial" w:hAnsi="Arial" w:cs="Arial"/>
                <w:color w:val="000000"/>
                <w:kern w:val="0"/>
                <w:sz w:val="27"/>
                <w:szCs w:val="27"/>
              </w:rPr>
            </w:pPr>
            <w:r>
              <w:rPr>
                <w:rFonts w:ascii="Arial" w:hAnsi="Arial" w:cs="Arial"/>
                <w:color w:val="000000"/>
                <w:kern w:val="0"/>
                <w:sz w:val="27"/>
                <w:szCs w:val="27"/>
              </w:rPr>
              <w:t>—</w:t>
            </w:r>
          </w:p>
        </w:tc>
        <w:tc>
          <w:tcPr>
            <w:tcW w:w="0" w:type="auto"/>
            <w:vAlign w:val="center"/>
          </w:tcPr>
          <w:p>
            <w:pPr>
              <w:widowControl/>
              <w:spacing w:line="402" w:lineRule="atLeast"/>
              <w:jc w:val="left"/>
              <w:rPr>
                <w:rFonts w:ascii="Arial" w:hAnsi="Arial" w:cs="Arial"/>
                <w:color w:val="000000"/>
                <w:kern w:val="0"/>
                <w:sz w:val="27"/>
                <w:szCs w:val="27"/>
              </w:rPr>
            </w:pPr>
            <w:r>
              <w:rPr>
                <w:rFonts w:ascii="Arial" w:hAnsi="Arial" w:cs="Arial"/>
                <w:color w:val="000000"/>
                <w:kern w:val="0"/>
                <w:sz w:val="27"/>
                <w:szCs w:val="27"/>
              </w:rPr>
              <w:t>突出表现</w:t>
            </w:r>
          </w:p>
        </w:tc>
        <w:tc>
          <w:tcPr>
            <w:tcW w:w="0" w:type="auto"/>
            <w:vAlign w:val="center"/>
          </w:tcPr>
          <w:p>
            <w:pPr>
              <w:widowControl/>
              <w:spacing w:line="402" w:lineRule="atLeast"/>
              <w:jc w:val="left"/>
              <w:rPr>
                <w:rFonts w:ascii="Arial" w:hAnsi="Arial" w:cs="Arial"/>
                <w:color w:val="000000"/>
                <w:kern w:val="0"/>
                <w:sz w:val="27"/>
                <w:szCs w:val="27"/>
              </w:rPr>
            </w:pPr>
            <w:r>
              <w:rPr>
                <w:rFonts w:ascii="Arial" w:hAnsi="Arial" w:cs="Arial"/>
                <w:color w:val="000000"/>
                <w:kern w:val="0"/>
                <w:sz w:val="27"/>
                <w:szCs w:val="27"/>
              </w:rPr>
              <w:t>+5</w:t>
            </w:r>
          </w:p>
        </w:tc>
        <w:tc>
          <w:tcPr>
            <w:tcW w:w="0" w:type="auto"/>
            <w:vAlign w:val="center"/>
          </w:tcPr>
          <w:p>
            <w:pPr>
              <w:widowControl/>
              <w:spacing w:line="402" w:lineRule="atLeast"/>
              <w:jc w:val="left"/>
              <w:rPr>
                <w:rFonts w:ascii="Arial" w:hAnsi="Arial" w:cs="Arial"/>
                <w:color w:val="000000"/>
                <w:kern w:val="0"/>
                <w:sz w:val="27"/>
                <w:szCs w:val="27"/>
              </w:rPr>
            </w:pPr>
            <w:r>
              <w:rPr>
                <w:rFonts w:ascii="Arial" w:hAnsi="Arial" w:cs="Arial"/>
                <w:color w:val="000000"/>
                <w:kern w:val="0"/>
                <w:sz w:val="27"/>
                <w:szCs w:val="27"/>
              </w:rPr>
              <w:t>抓获可疑人员、成功处置险情、拾金不昧、游客书面表扬等（总分不超 100）</w:t>
            </w:r>
          </w:p>
        </w:tc>
        <w:tc>
          <w:tcPr>
            <w:tcW w:w="0" w:type="auto"/>
            <w:vAlign w:val="center"/>
          </w:tcPr>
          <w:p>
            <w:pPr>
              <w:widowControl/>
              <w:spacing w:line="402" w:lineRule="atLeast"/>
              <w:jc w:val="left"/>
              <w:rPr>
                <w:rFonts w:ascii="Arial" w:hAnsi="Arial" w:cs="Arial"/>
                <w:color w:val="000000"/>
                <w:kern w:val="0"/>
                <w:sz w:val="27"/>
                <w:szCs w:val="27"/>
              </w:rPr>
            </w:pPr>
          </w:p>
        </w:tc>
        <w:tc>
          <w:tcPr>
            <w:tcW w:w="0" w:type="auto"/>
            <w:vAlign w:val="center"/>
          </w:tcPr>
          <w:p>
            <w:pPr>
              <w:widowControl/>
              <w:spacing w:line="402" w:lineRule="atLeast"/>
              <w:jc w:val="left"/>
              <w:rPr>
                <w:rFonts w:ascii="Arial" w:hAnsi="Arial" w:cs="Arial"/>
                <w:color w:val="000000"/>
                <w:kern w:val="0"/>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0" w:type="auto"/>
            <w:vAlign w:val="center"/>
          </w:tcPr>
          <w:p>
            <w:pPr>
              <w:widowControl/>
              <w:spacing w:line="402" w:lineRule="atLeast"/>
              <w:jc w:val="left"/>
              <w:rPr>
                <w:rFonts w:ascii="Arial" w:hAnsi="Arial" w:cs="Arial"/>
                <w:color w:val="000000"/>
                <w:kern w:val="0"/>
                <w:sz w:val="27"/>
                <w:szCs w:val="27"/>
              </w:rPr>
            </w:pPr>
            <w:r>
              <w:rPr>
                <w:rFonts w:ascii="Arial" w:hAnsi="Arial" w:cs="Arial"/>
                <w:b/>
                <w:bCs/>
                <w:color w:val="000000"/>
                <w:kern w:val="0"/>
                <w:sz w:val="27"/>
              </w:rPr>
              <w:t>一票否决项</w:t>
            </w:r>
          </w:p>
        </w:tc>
        <w:tc>
          <w:tcPr>
            <w:tcW w:w="0" w:type="auto"/>
            <w:vAlign w:val="center"/>
          </w:tcPr>
          <w:p>
            <w:pPr>
              <w:widowControl/>
              <w:spacing w:line="402" w:lineRule="atLeast"/>
              <w:jc w:val="left"/>
              <w:rPr>
                <w:rFonts w:ascii="Arial" w:hAnsi="Arial" w:cs="Arial"/>
                <w:color w:val="000000"/>
                <w:kern w:val="0"/>
                <w:sz w:val="27"/>
                <w:szCs w:val="27"/>
              </w:rPr>
            </w:pPr>
            <w:r>
              <w:rPr>
                <w:rFonts w:ascii="Arial" w:hAnsi="Arial" w:cs="Arial"/>
                <w:color w:val="000000"/>
                <w:kern w:val="0"/>
                <w:sz w:val="27"/>
                <w:szCs w:val="27"/>
              </w:rPr>
              <w:t>—</w:t>
            </w:r>
          </w:p>
        </w:tc>
        <w:tc>
          <w:tcPr>
            <w:tcW w:w="0" w:type="auto"/>
            <w:vAlign w:val="center"/>
          </w:tcPr>
          <w:p>
            <w:pPr>
              <w:widowControl/>
              <w:spacing w:line="402" w:lineRule="atLeast"/>
              <w:jc w:val="left"/>
              <w:rPr>
                <w:rFonts w:ascii="Arial" w:hAnsi="Arial" w:cs="Arial"/>
                <w:color w:val="000000"/>
                <w:kern w:val="0"/>
                <w:sz w:val="27"/>
                <w:szCs w:val="27"/>
              </w:rPr>
            </w:pPr>
            <w:r>
              <w:rPr>
                <w:rFonts w:ascii="Arial" w:hAnsi="Arial" w:cs="Arial"/>
                <w:color w:val="000000"/>
                <w:kern w:val="0"/>
                <w:sz w:val="27"/>
                <w:szCs w:val="27"/>
              </w:rPr>
              <w:t>重大失职 / 违法</w:t>
            </w:r>
          </w:p>
        </w:tc>
        <w:tc>
          <w:tcPr>
            <w:tcW w:w="0" w:type="auto"/>
            <w:vAlign w:val="center"/>
          </w:tcPr>
          <w:p>
            <w:pPr>
              <w:widowControl/>
              <w:spacing w:line="402" w:lineRule="atLeast"/>
              <w:jc w:val="left"/>
              <w:rPr>
                <w:rFonts w:ascii="Arial" w:hAnsi="Arial" w:cs="Arial"/>
                <w:color w:val="000000"/>
                <w:kern w:val="0"/>
                <w:sz w:val="27"/>
                <w:szCs w:val="27"/>
              </w:rPr>
            </w:pPr>
            <w:r>
              <w:rPr>
                <w:rFonts w:ascii="Arial" w:hAnsi="Arial" w:cs="Arial"/>
                <w:color w:val="000000"/>
                <w:kern w:val="0"/>
                <w:sz w:val="27"/>
                <w:szCs w:val="27"/>
              </w:rPr>
              <w:t>—</w:t>
            </w:r>
          </w:p>
        </w:tc>
        <w:tc>
          <w:tcPr>
            <w:tcW w:w="0" w:type="auto"/>
            <w:vAlign w:val="center"/>
          </w:tcPr>
          <w:p>
            <w:pPr>
              <w:widowControl/>
              <w:spacing w:line="402" w:lineRule="atLeast"/>
              <w:jc w:val="left"/>
              <w:rPr>
                <w:rFonts w:ascii="Arial" w:hAnsi="Arial" w:cs="Arial"/>
                <w:color w:val="000000"/>
                <w:kern w:val="0"/>
                <w:sz w:val="27"/>
                <w:szCs w:val="27"/>
              </w:rPr>
            </w:pPr>
            <w:r>
              <w:rPr>
                <w:rFonts w:ascii="Arial" w:hAnsi="Arial" w:cs="Arial"/>
                <w:color w:val="000000"/>
                <w:kern w:val="0"/>
                <w:sz w:val="27"/>
                <w:szCs w:val="27"/>
              </w:rPr>
              <w:t>文物损坏丢失、重大安全事故、监守自盗、内外勾结、违禁品漏检、伪造记录</w:t>
            </w:r>
          </w:p>
        </w:tc>
        <w:tc>
          <w:tcPr>
            <w:tcW w:w="0" w:type="auto"/>
            <w:vAlign w:val="center"/>
          </w:tcPr>
          <w:p>
            <w:pPr>
              <w:widowControl/>
              <w:spacing w:line="402" w:lineRule="atLeast"/>
              <w:jc w:val="left"/>
              <w:rPr>
                <w:rFonts w:ascii="Arial" w:hAnsi="Arial" w:cs="Arial"/>
                <w:color w:val="000000"/>
                <w:kern w:val="0"/>
                <w:sz w:val="27"/>
                <w:szCs w:val="27"/>
              </w:rPr>
            </w:pPr>
            <w:r>
              <w:rPr>
                <w:rFonts w:ascii="Arial" w:hAnsi="Arial" w:cs="Arial"/>
                <w:color w:val="000000"/>
                <w:kern w:val="0"/>
                <w:sz w:val="27"/>
                <w:szCs w:val="27"/>
              </w:rPr>
              <w:t>—</w:t>
            </w:r>
          </w:p>
        </w:tc>
        <w:tc>
          <w:tcPr>
            <w:tcW w:w="0" w:type="auto"/>
            <w:vAlign w:val="center"/>
          </w:tcPr>
          <w:p>
            <w:pPr>
              <w:widowControl/>
              <w:spacing w:line="402" w:lineRule="atLeast"/>
              <w:jc w:val="left"/>
              <w:rPr>
                <w:rFonts w:ascii="Arial" w:hAnsi="Arial" w:cs="Arial"/>
                <w:color w:val="000000"/>
                <w:kern w:val="0"/>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0" w:type="auto"/>
            <w:vAlign w:val="center"/>
          </w:tcPr>
          <w:p>
            <w:pPr>
              <w:widowControl/>
              <w:spacing w:line="402" w:lineRule="atLeast"/>
              <w:jc w:val="left"/>
              <w:rPr>
                <w:rFonts w:ascii="Arial" w:hAnsi="Arial" w:cs="Arial"/>
                <w:color w:val="000000"/>
                <w:kern w:val="0"/>
                <w:sz w:val="27"/>
                <w:szCs w:val="27"/>
              </w:rPr>
            </w:pPr>
            <w:r>
              <w:rPr>
                <w:rFonts w:ascii="Arial" w:hAnsi="Arial" w:cs="Arial"/>
                <w:b/>
                <w:bCs/>
                <w:color w:val="000000"/>
                <w:kern w:val="0"/>
                <w:sz w:val="27"/>
              </w:rPr>
              <w:t>总分</w:t>
            </w:r>
          </w:p>
        </w:tc>
        <w:tc>
          <w:tcPr>
            <w:tcW w:w="0" w:type="auto"/>
            <w:vAlign w:val="center"/>
          </w:tcPr>
          <w:p>
            <w:pPr>
              <w:widowControl/>
              <w:spacing w:line="402" w:lineRule="atLeast"/>
              <w:jc w:val="left"/>
              <w:rPr>
                <w:rFonts w:ascii="Arial" w:hAnsi="Arial" w:cs="Arial"/>
                <w:color w:val="000000"/>
                <w:kern w:val="0"/>
                <w:sz w:val="27"/>
                <w:szCs w:val="27"/>
              </w:rPr>
            </w:pPr>
            <w:r>
              <w:rPr>
                <w:rFonts w:ascii="Arial" w:hAnsi="Arial" w:cs="Arial"/>
                <w:color w:val="000000"/>
                <w:kern w:val="0"/>
                <w:sz w:val="27"/>
                <w:szCs w:val="27"/>
              </w:rPr>
              <w:t>100 分</w:t>
            </w:r>
          </w:p>
        </w:tc>
        <w:tc>
          <w:tcPr>
            <w:tcW w:w="0" w:type="auto"/>
            <w:vAlign w:val="center"/>
          </w:tcPr>
          <w:p>
            <w:pPr>
              <w:widowControl/>
              <w:spacing w:line="402" w:lineRule="atLeast"/>
              <w:jc w:val="left"/>
              <w:rPr>
                <w:rFonts w:ascii="Arial" w:hAnsi="Arial" w:cs="Arial"/>
                <w:color w:val="000000"/>
                <w:kern w:val="0"/>
                <w:sz w:val="27"/>
                <w:szCs w:val="27"/>
              </w:rPr>
            </w:pPr>
            <w:r>
              <w:rPr>
                <w:rFonts w:ascii="Arial" w:hAnsi="Arial" w:cs="Arial"/>
                <w:color w:val="000000"/>
                <w:kern w:val="0"/>
                <w:sz w:val="27"/>
                <w:szCs w:val="27"/>
              </w:rPr>
              <w:t>—</w:t>
            </w:r>
          </w:p>
        </w:tc>
        <w:tc>
          <w:tcPr>
            <w:tcW w:w="0" w:type="auto"/>
            <w:vAlign w:val="center"/>
          </w:tcPr>
          <w:p>
            <w:pPr>
              <w:widowControl/>
              <w:spacing w:line="402" w:lineRule="atLeast"/>
              <w:jc w:val="left"/>
              <w:rPr>
                <w:rFonts w:ascii="Arial" w:hAnsi="Arial" w:cs="Arial"/>
                <w:color w:val="000000"/>
                <w:kern w:val="0"/>
                <w:sz w:val="27"/>
                <w:szCs w:val="27"/>
              </w:rPr>
            </w:pPr>
            <w:r>
              <w:rPr>
                <w:rFonts w:ascii="Arial" w:hAnsi="Arial" w:cs="Arial"/>
                <w:color w:val="000000"/>
                <w:kern w:val="0"/>
                <w:sz w:val="27"/>
                <w:szCs w:val="27"/>
              </w:rPr>
              <w:t>100</w:t>
            </w:r>
          </w:p>
        </w:tc>
        <w:tc>
          <w:tcPr>
            <w:tcW w:w="0" w:type="auto"/>
            <w:vAlign w:val="center"/>
          </w:tcPr>
          <w:p>
            <w:pPr>
              <w:widowControl/>
              <w:spacing w:line="402" w:lineRule="atLeast"/>
              <w:jc w:val="left"/>
              <w:rPr>
                <w:rFonts w:ascii="Arial" w:hAnsi="Arial" w:cs="Arial"/>
                <w:color w:val="000000"/>
                <w:kern w:val="0"/>
                <w:sz w:val="27"/>
                <w:szCs w:val="27"/>
              </w:rPr>
            </w:pPr>
            <w:r>
              <w:rPr>
                <w:rFonts w:ascii="Arial" w:hAnsi="Arial" w:cs="Arial"/>
                <w:color w:val="000000"/>
                <w:kern w:val="0"/>
                <w:sz w:val="27"/>
                <w:szCs w:val="27"/>
              </w:rPr>
              <w:t>实得分 = 各项得分 + 加分 - 扣分（一票否决直接记 0 分）</w:t>
            </w:r>
          </w:p>
        </w:tc>
        <w:tc>
          <w:tcPr>
            <w:tcW w:w="0" w:type="auto"/>
            <w:vAlign w:val="center"/>
          </w:tcPr>
          <w:p>
            <w:pPr>
              <w:widowControl/>
              <w:spacing w:line="402" w:lineRule="atLeast"/>
              <w:jc w:val="left"/>
              <w:rPr>
                <w:rFonts w:ascii="Arial" w:hAnsi="Arial" w:cs="Arial"/>
                <w:color w:val="000000"/>
                <w:kern w:val="0"/>
                <w:sz w:val="27"/>
                <w:szCs w:val="27"/>
              </w:rPr>
            </w:pPr>
          </w:p>
        </w:tc>
        <w:tc>
          <w:tcPr>
            <w:tcW w:w="0" w:type="auto"/>
            <w:vAlign w:val="center"/>
          </w:tcPr>
          <w:p>
            <w:pPr>
              <w:widowControl/>
              <w:spacing w:line="402" w:lineRule="atLeast"/>
              <w:jc w:val="left"/>
              <w:rPr>
                <w:rFonts w:ascii="Arial" w:hAnsi="Arial" w:cs="Arial"/>
                <w:color w:val="000000"/>
                <w:kern w:val="0"/>
                <w:sz w:val="27"/>
                <w:szCs w:val="27"/>
              </w:rPr>
            </w:pPr>
          </w:p>
        </w:tc>
      </w:tr>
    </w:tbl>
    <w:p>
      <w:pPr>
        <w:widowControl/>
        <w:spacing w:line="402" w:lineRule="atLeast"/>
        <w:jc w:val="left"/>
        <w:outlineLvl w:val="1"/>
        <w:rPr>
          <w:rFonts w:ascii="Arial" w:hAnsi="Arial" w:cs="Arial"/>
          <w:color w:val="000000"/>
          <w:kern w:val="0"/>
          <w:sz w:val="27"/>
          <w:szCs w:val="27"/>
        </w:rPr>
      </w:pPr>
      <w:r>
        <w:rPr>
          <w:rFonts w:ascii="Arial" w:hAnsi="Arial" w:cs="Arial"/>
          <w:color w:val="000000"/>
          <w:kern w:val="0"/>
          <w:sz w:val="27"/>
          <w:szCs w:val="27"/>
        </w:rPr>
        <w:t>考核结果</w:t>
      </w:r>
    </w:p>
    <w:p>
      <w:pPr>
        <w:widowControl/>
        <w:numPr>
          <w:ilvl w:val="0"/>
          <w:numId w:val="20"/>
        </w:numPr>
        <w:spacing w:line="402" w:lineRule="atLeast"/>
        <w:ind w:left="0"/>
        <w:jc w:val="left"/>
        <w:rPr>
          <w:rFonts w:ascii="Arial" w:hAnsi="Arial" w:cs="Arial"/>
          <w:color w:val="000000"/>
          <w:kern w:val="0"/>
          <w:sz w:val="27"/>
          <w:szCs w:val="27"/>
        </w:rPr>
      </w:pPr>
      <w:r>
        <w:rPr>
          <w:rFonts w:ascii="Arial" w:hAnsi="Arial" w:cs="Arial"/>
          <w:color w:val="000000"/>
          <w:kern w:val="0"/>
          <w:sz w:val="27"/>
          <w:szCs w:val="27"/>
        </w:rPr>
        <w:t>总分：________分</w:t>
      </w:r>
    </w:p>
    <w:p>
      <w:pPr>
        <w:widowControl/>
        <w:numPr>
          <w:ilvl w:val="0"/>
          <w:numId w:val="20"/>
        </w:numPr>
        <w:spacing w:line="402" w:lineRule="atLeast"/>
        <w:ind w:left="0"/>
        <w:jc w:val="left"/>
        <w:rPr>
          <w:rFonts w:ascii="Arial" w:hAnsi="Arial" w:cs="Arial"/>
          <w:color w:val="000000"/>
          <w:kern w:val="0"/>
          <w:sz w:val="27"/>
          <w:szCs w:val="27"/>
        </w:rPr>
      </w:pPr>
      <w:r>
        <w:rPr>
          <w:rFonts w:ascii="Arial" w:hAnsi="Arial" w:cs="Arial"/>
          <w:color w:val="000000"/>
          <w:kern w:val="0"/>
          <w:sz w:val="27"/>
          <w:szCs w:val="27"/>
        </w:rPr>
        <w:t>等级：</w:t>
      </w:r>
      <w:r>
        <w:rPr>
          <w:rFonts w:hint="eastAsia" w:ascii="Arial" w:hAnsi="Arial" w:cs="Arial"/>
          <w:color w:val="000000"/>
          <w:kern w:val="0"/>
          <w:sz w:val="27"/>
          <w:szCs w:val="27"/>
        </w:rPr>
        <w:t>满意</w:t>
      </w:r>
      <w:r>
        <w:rPr>
          <w:rFonts w:ascii="Arial" w:hAnsi="Arial" w:cs="Arial"/>
          <w:color w:val="000000"/>
          <w:kern w:val="0"/>
          <w:sz w:val="27"/>
          <w:szCs w:val="27"/>
        </w:rPr>
        <w:t>（</w:t>
      </w:r>
      <w:r>
        <w:rPr>
          <w:rFonts w:hint="eastAsia" w:ascii="Arial" w:hAnsi="Arial" w:cs="Arial"/>
          <w:color w:val="000000"/>
          <w:kern w:val="0"/>
          <w:sz w:val="27"/>
          <w:szCs w:val="27"/>
        </w:rPr>
        <w:t>8</w:t>
      </w:r>
      <w:r>
        <w:rPr>
          <w:rFonts w:ascii="Arial" w:hAnsi="Arial" w:cs="Arial"/>
          <w:color w:val="000000"/>
          <w:kern w:val="0"/>
          <w:sz w:val="27"/>
          <w:szCs w:val="27"/>
        </w:rPr>
        <w:t xml:space="preserve">0+） </w:t>
      </w:r>
      <w:r>
        <w:rPr>
          <w:rFonts w:hint="eastAsia" w:ascii="Arial" w:hAnsi="Arial" w:cs="Arial"/>
          <w:color w:val="000000"/>
          <w:kern w:val="0"/>
          <w:sz w:val="27"/>
          <w:szCs w:val="27"/>
        </w:rPr>
        <w:t>比较满意</w:t>
      </w:r>
      <w:r>
        <w:rPr>
          <w:rFonts w:ascii="Arial" w:hAnsi="Arial" w:cs="Arial"/>
          <w:color w:val="000000"/>
          <w:kern w:val="0"/>
          <w:sz w:val="27"/>
          <w:szCs w:val="27"/>
        </w:rPr>
        <w:t>（</w:t>
      </w:r>
      <w:r>
        <w:rPr>
          <w:rFonts w:hint="eastAsia" w:ascii="Arial" w:hAnsi="Arial" w:cs="Arial"/>
          <w:color w:val="000000"/>
          <w:kern w:val="0"/>
          <w:sz w:val="27"/>
          <w:szCs w:val="27"/>
        </w:rPr>
        <w:t>7</w:t>
      </w:r>
      <w:r>
        <w:rPr>
          <w:rFonts w:ascii="Arial" w:hAnsi="Arial" w:cs="Arial"/>
          <w:color w:val="000000"/>
          <w:kern w:val="0"/>
          <w:sz w:val="27"/>
          <w:szCs w:val="27"/>
        </w:rPr>
        <w:t>0-</w:t>
      </w:r>
      <w:r>
        <w:rPr>
          <w:rFonts w:hint="eastAsia" w:ascii="Arial" w:hAnsi="Arial" w:cs="Arial"/>
          <w:color w:val="000000"/>
          <w:kern w:val="0"/>
          <w:sz w:val="27"/>
          <w:szCs w:val="27"/>
        </w:rPr>
        <w:t>7</w:t>
      </w:r>
      <w:r>
        <w:rPr>
          <w:rFonts w:ascii="Arial" w:hAnsi="Arial" w:cs="Arial"/>
          <w:color w:val="000000"/>
          <w:kern w:val="0"/>
          <w:sz w:val="27"/>
          <w:szCs w:val="27"/>
        </w:rPr>
        <w:t>9）</w:t>
      </w:r>
      <w:r>
        <w:rPr>
          <w:rFonts w:hint="eastAsia" w:ascii="Arial" w:hAnsi="Arial" w:cs="Arial"/>
          <w:color w:val="000000"/>
          <w:kern w:val="0"/>
          <w:sz w:val="27"/>
          <w:szCs w:val="27"/>
        </w:rPr>
        <w:t>较不满意</w:t>
      </w:r>
      <w:r>
        <w:rPr>
          <w:rFonts w:ascii="Arial" w:hAnsi="Arial" w:cs="Arial"/>
          <w:color w:val="000000"/>
          <w:kern w:val="0"/>
          <w:sz w:val="27"/>
          <w:szCs w:val="27"/>
        </w:rPr>
        <w:t>（</w:t>
      </w:r>
      <w:r>
        <w:rPr>
          <w:rFonts w:hint="eastAsia" w:ascii="Arial" w:hAnsi="Arial" w:cs="Arial"/>
          <w:color w:val="000000"/>
          <w:kern w:val="0"/>
          <w:sz w:val="27"/>
          <w:szCs w:val="27"/>
        </w:rPr>
        <w:t>60</w:t>
      </w:r>
      <w:r>
        <w:rPr>
          <w:rFonts w:ascii="Arial" w:hAnsi="Arial" w:cs="Arial"/>
          <w:color w:val="000000"/>
          <w:kern w:val="0"/>
          <w:sz w:val="27"/>
          <w:szCs w:val="27"/>
        </w:rPr>
        <w:t>-</w:t>
      </w:r>
      <w:r>
        <w:rPr>
          <w:rFonts w:hint="eastAsia" w:ascii="Arial" w:hAnsi="Arial" w:cs="Arial"/>
          <w:color w:val="000000"/>
          <w:kern w:val="0"/>
          <w:sz w:val="27"/>
          <w:szCs w:val="27"/>
        </w:rPr>
        <w:t>6</w:t>
      </w:r>
      <w:r>
        <w:rPr>
          <w:rFonts w:ascii="Arial" w:hAnsi="Arial" w:cs="Arial"/>
          <w:color w:val="000000"/>
          <w:kern w:val="0"/>
          <w:sz w:val="27"/>
          <w:szCs w:val="27"/>
        </w:rPr>
        <w:t>9） 不</w:t>
      </w:r>
      <w:r>
        <w:rPr>
          <w:rFonts w:hint="eastAsia" w:ascii="Arial" w:hAnsi="Arial" w:cs="Arial"/>
          <w:color w:val="000000"/>
          <w:kern w:val="0"/>
          <w:sz w:val="27"/>
          <w:szCs w:val="27"/>
        </w:rPr>
        <w:t>满意</w:t>
      </w:r>
      <w:r>
        <w:rPr>
          <w:rFonts w:ascii="Arial" w:hAnsi="Arial" w:cs="Arial"/>
          <w:color w:val="000000"/>
          <w:kern w:val="0"/>
          <w:sz w:val="27"/>
          <w:szCs w:val="27"/>
        </w:rPr>
        <w:t>（</w:t>
      </w:r>
      <w:r>
        <w:rPr>
          <w:rFonts w:hint="eastAsia" w:ascii="Arial" w:hAnsi="Arial" w:cs="Arial"/>
          <w:color w:val="000000"/>
          <w:kern w:val="0"/>
          <w:sz w:val="27"/>
          <w:szCs w:val="27"/>
        </w:rPr>
        <w:t>6</w:t>
      </w:r>
      <w:r>
        <w:rPr>
          <w:rFonts w:ascii="Arial" w:hAnsi="Arial" w:cs="Arial"/>
          <w:color w:val="000000"/>
          <w:kern w:val="0"/>
          <w:sz w:val="27"/>
          <w:szCs w:val="27"/>
        </w:rPr>
        <w:t>0 以下）</w:t>
      </w:r>
    </w:p>
    <w:p>
      <w:pPr>
        <w:widowControl/>
        <w:numPr>
          <w:ilvl w:val="0"/>
          <w:numId w:val="20"/>
        </w:numPr>
        <w:spacing w:line="402" w:lineRule="atLeast"/>
        <w:ind w:left="0"/>
        <w:jc w:val="left"/>
        <w:rPr>
          <w:rFonts w:ascii="Arial" w:hAnsi="Arial" w:cs="Arial"/>
          <w:color w:val="000000"/>
          <w:kern w:val="0"/>
          <w:sz w:val="27"/>
          <w:szCs w:val="27"/>
        </w:rPr>
      </w:pPr>
      <w:r>
        <w:rPr>
          <w:rFonts w:ascii="Arial" w:hAnsi="Arial" w:cs="Arial"/>
          <w:color w:val="000000"/>
          <w:kern w:val="0"/>
          <w:sz w:val="27"/>
          <w:szCs w:val="27"/>
        </w:rPr>
        <w:t>绩效系数：□1.</w:t>
      </w:r>
      <w:r>
        <w:rPr>
          <w:rFonts w:hint="eastAsia" w:ascii="Arial" w:hAnsi="Arial" w:cs="Arial"/>
          <w:color w:val="000000"/>
          <w:kern w:val="0"/>
          <w:sz w:val="27"/>
          <w:szCs w:val="27"/>
        </w:rPr>
        <w:t>0</w:t>
      </w:r>
      <w:r>
        <w:rPr>
          <w:rFonts w:ascii="Arial" w:hAnsi="Arial" w:cs="Arial"/>
          <w:color w:val="000000"/>
          <w:kern w:val="0"/>
          <w:sz w:val="27"/>
          <w:szCs w:val="27"/>
        </w:rPr>
        <w:t xml:space="preserve"> □</w:t>
      </w:r>
      <w:r>
        <w:rPr>
          <w:rFonts w:hint="eastAsia" w:ascii="Arial" w:hAnsi="Arial" w:cs="Arial"/>
          <w:color w:val="000000"/>
          <w:kern w:val="0"/>
          <w:sz w:val="27"/>
          <w:szCs w:val="27"/>
        </w:rPr>
        <w:t>0</w:t>
      </w:r>
      <w:r>
        <w:rPr>
          <w:rFonts w:ascii="Arial" w:hAnsi="Arial" w:cs="Arial"/>
          <w:color w:val="000000"/>
          <w:kern w:val="0"/>
          <w:sz w:val="27"/>
          <w:szCs w:val="27"/>
        </w:rPr>
        <w:t>.</w:t>
      </w:r>
      <w:r>
        <w:rPr>
          <w:rFonts w:hint="eastAsia" w:ascii="Arial" w:hAnsi="Arial" w:cs="Arial"/>
          <w:color w:val="000000"/>
          <w:kern w:val="0"/>
          <w:sz w:val="27"/>
          <w:szCs w:val="27"/>
        </w:rPr>
        <w:t>8</w:t>
      </w:r>
      <w:r>
        <w:rPr>
          <w:rFonts w:ascii="Arial" w:hAnsi="Arial" w:cs="Arial"/>
          <w:color w:val="000000"/>
          <w:kern w:val="0"/>
          <w:sz w:val="27"/>
          <w:szCs w:val="27"/>
        </w:rPr>
        <w:t xml:space="preserve"> □0.</w:t>
      </w:r>
      <w:r>
        <w:rPr>
          <w:rFonts w:hint="eastAsia" w:ascii="Arial" w:hAnsi="Arial" w:cs="Arial"/>
          <w:color w:val="000000"/>
          <w:kern w:val="0"/>
          <w:sz w:val="27"/>
          <w:szCs w:val="27"/>
        </w:rPr>
        <w:t>5</w:t>
      </w:r>
      <w:r>
        <w:rPr>
          <w:rFonts w:ascii="Arial" w:hAnsi="Arial" w:cs="Arial"/>
          <w:color w:val="000000"/>
          <w:kern w:val="0"/>
          <w:sz w:val="27"/>
          <w:szCs w:val="27"/>
        </w:rPr>
        <w:t xml:space="preserve"> □0</w:t>
      </w:r>
    </w:p>
    <w:p>
      <w:pPr>
        <w:widowControl/>
        <w:numPr>
          <w:ilvl w:val="0"/>
          <w:numId w:val="20"/>
        </w:numPr>
        <w:spacing w:line="402" w:lineRule="atLeast"/>
        <w:ind w:left="0"/>
        <w:jc w:val="left"/>
        <w:rPr>
          <w:rFonts w:ascii="Arial" w:hAnsi="Arial" w:cs="Arial"/>
          <w:color w:val="000000"/>
          <w:kern w:val="0"/>
          <w:sz w:val="27"/>
          <w:szCs w:val="27"/>
        </w:rPr>
      </w:pPr>
      <w:r>
        <w:rPr>
          <w:rFonts w:ascii="Arial" w:hAnsi="Arial" w:cs="Arial"/>
          <w:color w:val="000000"/>
          <w:kern w:val="0"/>
          <w:sz w:val="27"/>
          <w:szCs w:val="27"/>
        </w:rPr>
        <w:t>被考核人签字：________</w:t>
      </w:r>
    </w:p>
    <w:p>
      <w:pPr>
        <w:widowControl/>
        <w:numPr>
          <w:ilvl w:val="0"/>
          <w:numId w:val="20"/>
        </w:numPr>
        <w:spacing w:line="402" w:lineRule="atLeast"/>
        <w:ind w:left="0"/>
        <w:jc w:val="left"/>
        <w:rPr>
          <w:rFonts w:ascii="Arial" w:hAnsi="Arial" w:cs="Arial"/>
          <w:color w:val="000000"/>
          <w:kern w:val="0"/>
          <w:sz w:val="27"/>
          <w:szCs w:val="27"/>
        </w:rPr>
      </w:pPr>
      <w:r>
        <w:rPr>
          <w:rFonts w:ascii="Arial" w:hAnsi="Arial" w:cs="Arial"/>
          <w:color w:val="000000"/>
          <w:kern w:val="0"/>
          <w:sz w:val="27"/>
          <w:szCs w:val="27"/>
        </w:rPr>
        <w:t>考核人签字：________</w:t>
      </w:r>
    </w:p>
    <w:p>
      <w:pPr>
        <w:widowControl/>
        <w:numPr>
          <w:ilvl w:val="0"/>
          <w:numId w:val="20"/>
        </w:numPr>
        <w:spacing w:line="402" w:lineRule="atLeast"/>
        <w:ind w:left="0"/>
        <w:jc w:val="left"/>
        <w:rPr>
          <w:rFonts w:ascii="Arial" w:hAnsi="Arial" w:cs="Arial"/>
          <w:color w:val="000000"/>
          <w:kern w:val="0"/>
          <w:sz w:val="27"/>
          <w:szCs w:val="27"/>
        </w:rPr>
      </w:pPr>
      <w:r>
        <w:rPr>
          <w:rFonts w:ascii="Arial" w:hAnsi="Arial" w:cs="Arial"/>
          <w:color w:val="000000"/>
          <w:kern w:val="0"/>
          <w:sz w:val="27"/>
          <w:szCs w:val="27"/>
        </w:rPr>
        <w:t>馆方审核：________</w:t>
      </w:r>
    </w:p>
    <w:p/>
    <w:p>
      <w:pPr>
        <w:pStyle w:val="2"/>
        <w:spacing w:before="0" w:beforeAutospacing="0" w:after="0" w:afterAutospacing="0" w:line="402" w:lineRule="atLeast"/>
        <w:rPr>
          <w:rFonts w:cs="Arial"/>
          <w:b w:val="0"/>
          <w:bCs w:val="0"/>
          <w:color w:val="000000"/>
          <w:sz w:val="21"/>
          <w:szCs w:val="21"/>
        </w:rPr>
      </w:pPr>
      <w:r>
        <w:rPr>
          <w:rFonts w:cs="Arial"/>
          <w:b w:val="0"/>
          <w:bCs w:val="0"/>
          <w:color w:val="000000"/>
          <w:sz w:val="21"/>
          <w:szCs w:val="21"/>
        </w:rPr>
        <w:t>博物馆保安服务绩效考核标准</w:t>
      </w:r>
    </w:p>
    <w:p>
      <w:pPr>
        <w:outlineLvl w:val="0"/>
        <w:rPr>
          <w:rFonts w:ascii="宋体" w:hAnsi="宋体"/>
          <w:szCs w:val="21"/>
        </w:rPr>
      </w:pPr>
      <w:r>
        <w:rPr>
          <w:rFonts w:ascii="宋体" w:hAnsi="宋体"/>
          <w:szCs w:val="21"/>
        </w:rPr>
        <w:t>一、 考核总则</w:t>
      </w:r>
    </w:p>
    <w:p>
      <w:pPr>
        <w:rPr>
          <w:rFonts w:ascii="宋体" w:hAnsi="宋体"/>
          <w:szCs w:val="21"/>
        </w:rPr>
      </w:pPr>
      <w:r>
        <w:rPr>
          <w:rStyle w:val="12"/>
          <w:rFonts w:ascii="宋体" w:hAnsi="宋体" w:cs="Arial"/>
          <w:color w:val="000000"/>
          <w:szCs w:val="21"/>
        </w:rPr>
        <w:t>考核目的</w:t>
      </w:r>
      <w:r>
        <w:rPr>
          <w:rFonts w:ascii="宋体" w:hAnsi="宋体"/>
          <w:szCs w:val="21"/>
        </w:rPr>
        <w:t>：保障博物馆文物、建筑及人员绝对安全，维护馆区秩序，提升应急处置能力。</w:t>
      </w:r>
    </w:p>
    <w:p>
      <w:pPr>
        <w:rPr>
          <w:rFonts w:ascii="宋体" w:hAnsi="宋体"/>
          <w:szCs w:val="21"/>
        </w:rPr>
      </w:pPr>
      <w:r>
        <w:rPr>
          <w:rStyle w:val="12"/>
          <w:rFonts w:ascii="宋体" w:hAnsi="宋体" w:cs="Arial"/>
          <w:color w:val="000000"/>
          <w:szCs w:val="21"/>
        </w:rPr>
        <w:t>考核周期</w:t>
      </w:r>
      <w:r>
        <w:rPr>
          <w:rFonts w:ascii="宋体" w:hAnsi="宋体"/>
          <w:szCs w:val="21"/>
        </w:rPr>
        <w:t>：实行月度考核与年度总评相结合。</w:t>
      </w:r>
    </w:p>
    <w:p>
      <w:pPr>
        <w:rPr>
          <w:rFonts w:ascii="宋体" w:hAnsi="宋体"/>
          <w:szCs w:val="21"/>
        </w:rPr>
      </w:pPr>
      <w:r>
        <w:rPr>
          <w:rStyle w:val="12"/>
          <w:rFonts w:ascii="宋体" w:hAnsi="宋体" w:cs="Arial"/>
          <w:color w:val="000000"/>
          <w:szCs w:val="21"/>
        </w:rPr>
        <w:t>分值权重</w:t>
      </w:r>
      <w:r>
        <w:rPr>
          <w:rFonts w:ascii="宋体" w:hAnsi="宋体"/>
          <w:szCs w:val="21"/>
        </w:rPr>
        <w:t>：总分 100 分，其中工作纪律 20 分，岗位履职 50 分，应急与培训 20 分，客户满意度 10 分。</w:t>
      </w:r>
    </w:p>
    <w:p>
      <w:pPr>
        <w:rPr>
          <w:rFonts w:ascii="宋体" w:hAnsi="宋体" w:cs="宋体"/>
          <w:szCs w:val="21"/>
        </w:rPr>
      </w:pPr>
      <w:r>
        <w:rPr>
          <w:rFonts w:ascii="宋体" w:hAnsi="宋体"/>
          <w:szCs w:val="21"/>
        </w:rPr>
        <w:pict>
          <v:rect id="_x0000_i1025" o:spt="1" style="height:1.5pt;width:0.05pt;" fillcolor="#000000" filled="t" stroked="f" coordsize="21600,21600" o:hr="t" o:hrstd="t" o:hrnoshade="t" o:hralign="center">
            <v:path/>
            <v:fill on="t" focussize="0,0"/>
            <v:stroke on="f"/>
            <v:imagedata o:title=""/>
            <o:lock v:ext="edit"/>
            <w10:wrap type="none"/>
            <w10:anchorlock/>
          </v:rect>
        </w:pict>
      </w:r>
    </w:p>
    <w:p>
      <w:pPr>
        <w:outlineLvl w:val="0"/>
        <w:rPr>
          <w:rFonts w:ascii="宋体" w:hAnsi="宋体"/>
          <w:szCs w:val="21"/>
        </w:rPr>
      </w:pPr>
      <w:r>
        <w:rPr>
          <w:rFonts w:ascii="宋体" w:hAnsi="宋体"/>
          <w:szCs w:val="21"/>
        </w:rPr>
        <w:t>二、 详细考核指标</w:t>
      </w:r>
    </w:p>
    <w:p>
      <w:pPr>
        <w:outlineLvl w:val="1"/>
        <w:rPr>
          <w:rFonts w:ascii="宋体" w:hAnsi="宋体"/>
          <w:szCs w:val="21"/>
        </w:rPr>
      </w:pPr>
      <w:r>
        <w:rPr>
          <w:rFonts w:ascii="宋体" w:hAnsi="宋体"/>
          <w:szCs w:val="21"/>
        </w:rPr>
        <w:t>1. 工作纪律与仪容仪表（权重：20 分）</w:t>
      </w:r>
    </w:p>
    <w:p>
      <w:pPr>
        <w:outlineLvl w:val="2"/>
        <w:rPr>
          <w:rFonts w:ascii="宋体" w:hAnsi="宋体"/>
          <w:szCs w:val="21"/>
        </w:rPr>
      </w:pPr>
      <w:r>
        <w:rPr>
          <w:rStyle w:val="12"/>
          <w:rFonts w:ascii="宋体" w:hAnsi="宋体" w:cs="Arial"/>
          <w:color w:val="000000"/>
          <w:szCs w:val="21"/>
        </w:rPr>
        <w:t>仪容仪表（5 分）</w:t>
      </w:r>
    </w:p>
    <w:p>
      <w:pPr>
        <w:rPr>
          <w:rFonts w:ascii="宋体" w:hAnsi="宋体"/>
          <w:szCs w:val="21"/>
        </w:rPr>
      </w:pPr>
      <w:r>
        <w:rPr>
          <w:rFonts w:ascii="宋体" w:hAnsi="宋体"/>
          <w:szCs w:val="21"/>
        </w:rPr>
        <w:t>统一着装，佩戴工牌，仪容整洁，不留怪异发型。（</w:t>
      </w:r>
      <w:r>
        <w:rPr>
          <w:rStyle w:val="12"/>
          <w:rFonts w:ascii="宋体" w:hAnsi="宋体" w:cs="Arial"/>
          <w:color w:val="000000"/>
          <w:szCs w:val="21"/>
        </w:rPr>
        <w:t>扣 2-5 分 / 次</w:t>
      </w:r>
      <w:r>
        <w:rPr>
          <w:rFonts w:ascii="宋体" w:hAnsi="宋体"/>
          <w:szCs w:val="21"/>
        </w:rPr>
        <w:t>）</w:t>
      </w:r>
    </w:p>
    <w:p>
      <w:pPr>
        <w:rPr>
          <w:rFonts w:ascii="宋体" w:hAnsi="宋体"/>
          <w:szCs w:val="21"/>
        </w:rPr>
      </w:pPr>
      <w:r>
        <w:rPr>
          <w:rFonts w:ascii="宋体" w:hAnsi="宋体"/>
          <w:szCs w:val="21"/>
        </w:rPr>
        <w:t>身体无纹身外露，保持精神状态良好。</w:t>
      </w:r>
    </w:p>
    <w:p>
      <w:pPr>
        <w:outlineLvl w:val="2"/>
        <w:rPr>
          <w:rFonts w:ascii="宋体" w:hAnsi="宋体"/>
          <w:szCs w:val="21"/>
        </w:rPr>
      </w:pPr>
      <w:r>
        <w:rPr>
          <w:rStyle w:val="12"/>
          <w:rFonts w:ascii="宋体" w:hAnsi="宋体" w:cs="Arial"/>
          <w:color w:val="000000"/>
          <w:szCs w:val="21"/>
        </w:rPr>
        <w:t>考勤制度（5 分）</w:t>
      </w:r>
    </w:p>
    <w:p>
      <w:pPr>
        <w:rPr>
          <w:rFonts w:ascii="宋体" w:hAnsi="宋体"/>
          <w:szCs w:val="21"/>
        </w:rPr>
      </w:pPr>
      <w:r>
        <w:rPr>
          <w:rFonts w:ascii="宋体" w:hAnsi="宋体"/>
          <w:szCs w:val="21"/>
        </w:rPr>
        <w:t>严格执行上下班签到，无迟到、早退、旷工现象。</w:t>
      </w:r>
    </w:p>
    <w:p>
      <w:pPr>
        <w:rPr>
          <w:rFonts w:ascii="宋体" w:hAnsi="宋体"/>
          <w:szCs w:val="21"/>
        </w:rPr>
      </w:pPr>
      <w:r>
        <w:rPr>
          <w:rFonts w:ascii="宋体" w:hAnsi="宋体"/>
          <w:szCs w:val="21"/>
        </w:rPr>
        <w:t>调班需提前报备，严禁私自顶岗、替岗。（</w:t>
      </w:r>
      <w:r>
        <w:rPr>
          <w:rStyle w:val="12"/>
          <w:rFonts w:ascii="宋体" w:hAnsi="宋体" w:cs="Arial"/>
          <w:color w:val="000000"/>
          <w:szCs w:val="21"/>
        </w:rPr>
        <w:t>扣 5 分 / 次</w:t>
      </w:r>
      <w:r>
        <w:rPr>
          <w:rFonts w:ascii="宋体" w:hAnsi="宋体"/>
          <w:szCs w:val="21"/>
        </w:rPr>
        <w:t>）</w:t>
      </w:r>
    </w:p>
    <w:p>
      <w:pPr>
        <w:outlineLvl w:val="2"/>
        <w:rPr>
          <w:rFonts w:ascii="宋体" w:hAnsi="宋体"/>
          <w:szCs w:val="21"/>
        </w:rPr>
      </w:pPr>
      <w:r>
        <w:rPr>
          <w:rStyle w:val="12"/>
          <w:rFonts w:ascii="宋体" w:hAnsi="宋体" w:cs="Arial"/>
          <w:color w:val="000000"/>
          <w:szCs w:val="21"/>
        </w:rPr>
        <w:t>在岗纪律（10 分）</w:t>
      </w:r>
    </w:p>
    <w:p>
      <w:pPr>
        <w:rPr>
          <w:rFonts w:ascii="宋体" w:hAnsi="宋体"/>
          <w:szCs w:val="21"/>
        </w:rPr>
      </w:pPr>
      <w:r>
        <w:rPr>
          <w:rFonts w:ascii="宋体" w:hAnsi="宋体"/>
          <w:szCs w:val="21"/>
        </w:rPr>
        <w:t>在岗期间严禁脱岗、睡岗、玩手机、闲聊或做与工作无关的事。（</w:t>
      </w:r>
      <w:r>
        <w:rPr>
          <w:rStyle w:val="12"/>
          <w:rFonts w:ascii="宋体" w:hAnsi="宋体" w:cs="Arial"/>
          <w:color w:val="000000"/>
          <w:szCs w:val="21"/>
        </w:rPr>
        <w:t>扣 5-10 分 / 次，严重者直接辞退</w:t>
      </w:r>
      <w:r>
        <w:rPr>
          <w:rFonts w:ascii="宋体" w:hAnsi="宋体"/>
          <w:szCs w:val="21"/>
        </w:rPr>
        <w:t>）</w:t>
      </w:r>
    </w:p>
    <w:p>
      <w:pPr>
        <w:rPr>
          <w:rFonts w:ascii="宋体" w:hAnsi="宋体"/>
          <w:szCs w:val="21"/>
        </w:rPr>
      </w:pPr>
      <w:r>
        <w:rPr>
          <w:rFonts w:ascii="宋体" w:hAnsi="宋体"/>
          <w:szCs w:val="21"/>
        </w:rPr>
        <w:t>严禁接受游客馈赠或任何形式的小费、礼品。</w:t>
      </w:r>
    </w:p>
    <w:p>
      <w:pPr>
        <w:outlineLvl w:val="1"/>
        <w:rPr>
          <w:rFonts w:ascii="宋体" w:hAnsi="宋体"/>
          <w:szCs w:val="21"/>
        </w:rPr>
      </w:pPr>
      <w:r>
        <w:rPr>
          <w:rFonts w:ascii="宋体" w:hAnsi="宋体"/>
          <w:szCs w:val="21"/>
        </w:rPr>
        <w:t>2. 核心岗位履职（权重：50 分）</w:t>
      </w:r>
    </w:p>
    <w:p>
      <w:pPr>
        <w:outlineLvl w:val="2"/>
        <w:rPr>
          <w:rFonts w:ascii="宋体" w:hAnsi="宋体"/>
          <w:szCs w:val="21"/>
        </w:rPr>
      </w:pPr>
      <w:r>
        <w:rPr>
          <w:rStyle w:val="12"/>
          <w:rFonts w:ascii="宋体" w:hAnsi="宋体" w:cs="Arial"/>
          <w:color w:val="000000"/>
          <w:szCs w:val="21"/>
        </w:rPr>
        <w:t>门岗与出入口管理（15 分）</w:t>
      </w:r>
    </w:p>
    <w:p>
      <w:pPr>
        <w:rPr>
          <w:rFonts w:ascii="宋体" w:hAnsi="宋体"/>
          <w:szCs w:val="21"/>
        </w:rPr>
      </w:pPr>
      <w:r>
        <w:rPr>
          <w:rStyle w:val="12"/>
          <w:rFonts w:ascii="宋体" w:hAnsi="宋体" w:cs="Arial"/>
          <w:color w:val="000000"/>
          <w:szCs w:val="21"/>
        </w:rPr>
        <w:t>身份核验</w:t>
      </w:r>
      <w:r>
        <w:rPr>
          <w:rFonts w:ascii="宋体" w:hAnsi="宋体"/>
          <w:szCs w:val="21"/>
        </w:rPr>
        <w:t>：严格执行访客登记制度，核实入馆人员证件，无漏登、错登情况。（</w:t>
      </w:r>
      <w:r>
        <w:rPr>
          <w:rStyle w:val="12"/>
          <w:rFonts w:ascii="宋体" w:hAnsi="宋体" w:cs="Arial"/>
          <w:color w:val="000000"/>
          <w:szCs w:val="21"/>
        </w:rPr>
        <w:t>扣 3-5 分 / 次</w:t>
      </w:r>
      <w:r>
        <w:rPr>
          <w:rFonts w:ascii="宋体" w:hAnsi="宋体"/>
          <w:szCs w:val="21"/>
        </w:rPr>
        <w:t>）</w:t>
      </w:r>
    </w:p>
    <w:p>
      <w:pPr>
        <w:rPr>
          <w:rFonts w:ascii="宋体" w:hAnsi="宋体"/>
          <w:szCs w:val="21"/>
        </w:rPr>
      </w:pPr>
      <w:r>
        <w:rPr>
          <w:rStyle w:val="12"/>
          <w:rFonts w:ascii="宋体" w:hAnsi="宋体" w:cs="Arial"/>
          <w:color w:val="000000"/>
          <w:szCs w:val="21"/>
        </w:rPr>
        <w:t>违禁品管控</w:t>
      </w:r>
      <w:r>
        <w:rPr>
          <w:rFonts w:ascii="宋体" w:hAnsi="宋体"/>
          <w:szCs w:val="21"/>
        </w:rPr>
        <w:t>：按规定检查包裹，严禁将易燃易爆、管制刀具、酒水等违禁品带入馆内。（</w:t>
      </w:r>
      <w:r>
        <w:rPr>
          <w:rStyle w:val="12"/>
          <w:rFonts w:ascii="宋体" w:hAnsi="宋体" w:cs="Arial"/>
          <w:color w:val="000000"/>
          <w:szCs w:val="21"/>
        </w:rPr>
        <w:t>一票否决</w:t>
      </w:r>
      <w:r>
        <w:rPr>
          <w:rFonts w:ascii="宋体" w:hAnsi="宋体"/>
          <w:szCs w:val="21"/>
        </w:rPr>
        <w:t>）</w:t>
      </w:r>
    </w:p>
    <w:p>
      <w:pPr>
        <w:rPr>
          <w:rFonts w:ascii="宋体" w:hAnsi="宋体"/>
          <w:szCs w:val="21"/>
        </w:rPr>
      </w:pPr>
      <w:r>
        <w:rPr>
          <w:rStyle w:val="12"/>
          <w:rFonts w:ascii="宋体" w:hAnsi="宋体" w:cs="Arial"/>
          <w:color w:val="000000"/>
          <w:szCs w:val="21"/>
        </w:rPr>
        <w:t>车辆疏导</w:t>
      </w:r>
      <w:r>
        <w:rPr>
          <w:rFonts w:ascii="宋体" w:hAnsi="宋体"/>
          <w:szCs w:val="21"/>
        </w:rPr>
        <w:t>：指挥馆区周边车辆有序停放，确保通道畅通，无拥堵事故。</w:t>
      </w:r>
    </w:p>
    <w:p>
      <w:pPr>
        <w:outlineLvl w:val="2"/>
        <w:rPr>
          <w:rFonts w:ascii="宋体" w:hAnsi="宋体"/>
          <w:szCs w:val="21"/>
        </w:rPr>
      </w:pPr>
      <w:r>
        <w:rPr>
          <w:rStyle w:val="12"/>
          <w:rFonts w:ascii="宋体" w:hAnsi="宋体" w:cs="Arial"/>
          <w:color w:val="000000"/>
          <w:szCs w:val="21"/>
        </w:rPr>
        <w:t>巡逻巡查与监控（20 分）</w:t>
      </w:r>
    </w:p>
    <w:p>
      <w:pPr>
        <w:rPr>
          <w:rFonts w:ascii="宋体" w:hAnsi="宋体"/>
          <w:szCs w:val="21"/>
        </w:rPr>
      </w:pPr>
      <w:r>
        <w:rPr>
          <w:rStyle w:val="12"/>
          <w:rFonts w:ascii="宋体" w:hAnsi="宋体" w:cs="Arial"/>
          <w:color w:val="000000"/>
          <w:szCs w:val="21"/>
        </w:rPr>
        <w:t>定时巡逻</w:t>
      </w:r>
      <w:r>
        <w:rPr>
          <w:rFonts w:ascii="宋体" w:hAnsi="宋体"/>
          <w:szCs w:val="21"/>
        </w:rPr>
        <w:t>：严格按规定路线、频次进行巡逻打卡，记录完整无涂改。（</w:t>
      </w:r>
      <w:r>
        <w:rPr>
          <w:rStyle w:val="12"/>
          <w:rFonts w:ascii="宋体" w:hAnsi="宋体" w:cs="Arial"/>
          <w:color w:val="000000"/>
          <w:szCs w:val="21"/>
        </w:rPr>
        <w:t>发现未打卡扣 5 分 / 次，伪造记录一票否决</w:t>
      </w:r>
      <w:r>
        <w:rPr>
          <w:rFonts w:ascii="宋体" w:hAnsi="宋体"/>
          <w:szCs w:val="21"/>
        </w:rPr>
        <w:t>）</w:t>
      </w:r>
    </w:p>
    <w:p>
      <w:pPr>
        <w:rPr>
          <w:rFonts w:ascii="宋体" w:hAnsi="宋体"/>
          <w:szCs w:val="21"/>
        </w:rPr>
      </w:pPr>
      <w:r>
        <w:rPr>
          <w:rStyle w:val="12"/>
          <w:rFonts w:ascii="宋体" w:hAnsi="宋体" w:cs="Arial"/>
          <w:color w:val="000000"/>
          <w:szCs w:val="21"/>
        </w:rPr>
        <w:t>隐患排查</w:t>
      </w:r>
      <w:r>
        <w:rPr>
          <w:rFonts w:ascii="宋体" w:hAnsi="宋体"/>
          <w:szCs w:val="21"/>
        </w:rPr>
        <w:t>：及时发现展厅、消防通道、配电房等区域的安全隐患（如门窗未关、漏水、电线老化），并立即上报处理。（</w:t>
      </w:r>
      <w:r>
        <w:rPr>
          <w:rStyle w:val="12"/>
          <w:rFonts w:ascii="宋体" w:hAnsi="宋体" w:cs="Arial"/>
          <w:color w:val="000000"/>
          <w:szCs w:val="21"/>
        </w:rPr>
        <w:t>发现隐患并上报加 5 分 / 次；漏报隐患扣 10 分 / 次</w:t>
      </w:r>
      <w:r>
        <w:rPr>
          <w:rFonts w:ascii="宋体" w:hAnsi="宋体"/>
          <w:szCs w:val="21"/>
        </w:rPr>
        <w:t>）</w:t>
      </w:r>
    </w:p>
    <w:p>
      <w:pPr>
        <w:rPr>
          <w:rFonts w:ascii="宋体" w:hAnsi="宋体"/>
          <w:szCs w:val="21"/>
        </w:rPr>
      </w:pPr>
      <w:r>
        <w:rPr>
          <w:rStyle w:val="12"/>
          <w:rFonts w:ascii="宋体" w:hAnsi="宋体" w:cs="Arial"/>
          <w:color w:val="000000"/>
          <w:szCs w:val="21"/>
        </w:rPr>
        <w:t>监控值守</w:t>
      </w:r>
      <w:r>
        <w:rPr>
          <w:rFonts w:ascii="宋体" w:hAnsi="宋体"/>
          <w:szCs w:val="21"/>
        </w:rPr>
        <w:t>：监控室 24 小时有人在岗，屏幕显示正常，无长时间黑屏或盲区未监控情况。</w:t>
      </w:r>
    </w:p>
    <w:p>
      <w:pPr>
        <w:outlineLvl w:val="2"/>
        <w:rPr>
          <w:rFonts w:ascii="宋体" w:hAnsi="宋体"/>
          <w:szCs w:val="21"/>
        </w:rPr>
      </w:pPr>
      <w:r>
        <w:rPr>
          <w:rStyle w:val="12"/>
          <w:rFonts w:ascii="宋体" w:hAnsi="宋体" w:cs="Arial"/>
          <w:color w:val="000000"/>
          <w:szCs w:val="21"/>
        </w:rPr>
        <w:t>文物与重点区域保卫（10 分）</w:t>
      </w:r>
    </w:p>
    <w:p>
      <w:pPr>
        <w:rPr>
          <w:rFonts w:ascii="宋体" w:hAnsi="宋体"/>
          <w:szCs w:val="21"/>
        </w:rPr>
      </w:pPr>
      <w:r>
        <w:rPr>
          <w:rFonts w:ascii="宋体" w:hAnsi="宋体"/>
          <w:szCs w:val="21"/>
        </w:rPr>
        <w:t>重点文物展厅、库房实行重点看护，严禁无关人员靠近或触摸展柜。</w:t>
      </w:r>
    </w:p>
    <w:p>
      <w:pPr>
        <w:rPr>
          <w:rFonts w:ascii="宋体" w:hAnsi="宋体"/>
          <w:szCs w:val="21"/>
        </w:rPr>
      </w:pPr>
      <w:r>
        <w:rPr>
          <w:rFonts w:ascii="宋体" w:hAnsi="宋体"/>
          <w:szCs w:val="21"/>
        </w:rPr>
        <w:t>对馆内重大活动、临时特展进行全程安保，确保现场秩序井然，无混乱踩踏风险。</w:t>
      </w:r>
    </w:p>
    <w:p>
      <w:pPr>
        <w:outlineLvl w:val="2"/>
        <w:rPr>
          <w:rFonts w:ascii="宋体" w:hAnsi="宋体"/>
          <w:szCs w:val="21"/>
        </w:rPr>
      </w:pPr>
      <w:r>
        <w:rPr>
          <w:rStyle w:val="12"/>
          <w:rFonts w:ascii="宋体" w:hAnsi="宋体" w:cs="Arial"/>
          <w:color w:val="000000"/>
          <w:szCs w:val="21"/>
        </w:rPr>
        <w:t>消防与设施维护（5 分）</w:t>
      </w:r>
    </w:p>
    <w:p>
      <w:pPr>
        <w:rPr>
          <w:rFonts w:ascii="宋体" w:hAnsi="宋体"/>
          <w:szCs w:val="21"/>
        </w:rPr>
      </w:pPr>
      <w:r>
        <w:rPr>
          <w:rFonts w:ascii="宋体" w:hAnsi="宋体"/>
          <w:szCs w:val="21"/>
        </w:rPr>
        <w:t>每日检查责任区内消防栓、灭火器、应急照明灯是否完好有效，无遮挡、埋压现象。</w:t>
      </w:r>
    </w:p>
    <w:p>
      <w:pPr>
        <w:outlineLvl w:val="1"/>
        <w:rPr>
          <w:rFonts w:ascii="宋体" w:hAnsi="宋体"/>
          <w:szCs w:val="21"/>
        </w:rPr>
      </w:pPr>
      <w:r>
        <w:rPr>
          <w:rFonts w:ascii="宋体" w:hAnsi="宋体"/>
          <w:szCs w:val="21"/>
        </w:rPr>
        <w:t>3. 应急处置与培训（权重：20 分）</w:t>
      </w:r>
    </w:p>
    <w:p>
      <w:pPr>
        <w:outlineLvl w:val="2"/>
        <w:rPr>
          <w:rFonts w:ascii="宋体" w:hAnsi="宋体"/>
          <w:szCs w:val="21"/>
        </w:rPr>
      </w:pPr>
      <w:r>
        <w:rPr>
          <w:rStyle w:val="12"/>
          <w:rFonts w:ascii="宋体" w:hAnsi="宋体" w:cs="Arial"/>
          <w:color w:val="000000"/>
          <w:szCs w:val="21"/>
        </w:rPr>
        <w:t>应急响应（10 分）</w:t>
      </w:r>
    </w:p>
    <w:p>
      <w:pPr>
        <w:rPr>
          <w:rFonts w:ascii="宋体" w:hAnsi="宋体"/>
          <w:szCs w:val="21"/>
        </w:rPr>
      </w:pPr>
      <w:r>
        <w:rPr>
          <w:rFonts w:ascii="宋体" w:hAnsi="宋体"/>
          <w:szCs w:val="21"/>
        </w:rPr>
        <w:t>遇突发事件（如火灾、盗窃、游客冲突、医疗急救），能第一时间到达现场，并按预案采取初期控制措施。</w:t>
      </w:r>
    </w:p>
    <w:p>
      <w:pPr>
        <w:rPr>
          <w:rFonts w:ascii="宋体" w:hAnsi="宋体"/>
          <w:szCs w:val="21"/>
        </w:rPr>
      </w:pPr>
      <w:r>
        <w:rPr>
          <w:rFonts w:ascii="宋体" w:hAnsi="宋体"/>
          <w:szCs w:val="21"/>
        </w:rPr>
        <w:t>上报流程规范，无隐瞒、拖延报告现象。（</w:t>
      </w:r>
      <w:r>
        <w:rPr>
          <w:rStyle w:val="12"/>
          <w:rFonts w:ascii="宋体" w:hAnsi="宋体" w:cs="Arial"/>
          <w:color w:val="000000"/>
          <w:szCs w:val="21"/>
        </w:rPr>
        <w:t>延误报告扣 10 分 / 次</w:t>
      </w:r>
      <w:r>
        <w:rPr>
          <w:rFonts w:ascii="宋体" w:hAnsi="宋体"/>
          <w:szCs w:val="21"/>
        </w:rPr>
        <w:t>）</w:t>
      </w:r>
    </w:p>
    <w:p>
      <w:pPr>
        <w:outlineLvl w:val="2"/>
        <w:rPr>
          <w:rFonts w:ascii="宋体" w:hAnsi="宋体"/>
          <w:szCs w:val="21"/>
        </w:rPr>
      </w:pPr>
      <w:r>
        <w:rPr>
          <w:rStyle w:val="12"/>
          <w:rFonts w:ascii="宋体" w:hAnsi="宋体" w:cs="Arial"/>
          <w:color w:val="000000"/>
          <w:szCs w:val="21"/>
        </w:rPr>
        <w:t>业务培训与持证（10 分）</w:t>
      </w:r>
    </w:p>
    <w:p>
      <w:pPr>
        <w:rPr>
          <w:rFonts w:ascii="宋体" w:hAnsi="宋体"/>
          <w:szCs w:val="21"/>
        </w:rPr>
      </w:pPr>
      <w:r>
        <w:rPr>
          <w:rStyle w:val="12"/>
          <w:rFonts w:ascii="宋体" w:hAnsi="宋体" w:cs="Arial"/>
          <w:color w:val="000000"/>
          <w:szCs w:val="21"/>
        </w:rPr>
        <w:t>持证上岗</w:t>
      </w:r>
      <w:r>
        <w:rPr>
          <w:rFonts w:ascii="宋体" w:hAnsi="宋体"/>
          <w:szCs w:val="21"/>
        </w:rPr>
        <w:t>：消防设施操作员证、保安员证等证件齐全有效。</w:t>
      </w:r>
    </w:p>
    <w:p>
      <w:pPr>
        <w:rPr>
          <w:rFonts w:ascii="宋体" w:hAnsi="宋体"/>
          <w:szCs w:val="21"/>
        </w:rPr>
      </w:pPr>
      <w:r>
        <w:rPr>
          <w:rStyle w:val="12"/>
          <w:rFonts w:ascii="宋体" w:hAnsi="宋体" w:cs="Arial"/>
          <w:color w:val="000000"/>
          <w:szCs w:val="21"/>
        </w:rPr>
        <w:t>培训参与</w:t>
      </w:r>
      <w:r>
        <w:rPr>
          <w:rFonts w:ascii="宋体" w:hAnsi="宋体"/>
          <w:szCs w:val="21"/>
        </w:rPr>
        <w:t>：积极参加馆方组织的消防演练、法律法规、业务技能培训，出勤率 100%，考核合格率 100%。（</w:t>
      </w:r>
      <w:r>
        <w:rPr>
          <w:rStyle w:val="12"/>
          <w:rFonts w:ascii="宋体" w:hAnsi="宋体" w:cs="Arial"/>
          <w:color w:val="000000"/>
          <w:szCs w:val="21"/>
        </w:rPr>
        <w:t>缺训扣 2 分 / 次，不合格扣 5 分 / 次</w:t>
      </w:r>
      <w:r>
        <w:rPr>
          <w:rFonts w:ascii="宋体" w:hAnsi="宋体"/>
          <w:szCs w:val="21"/>
        </w:rPr>
        <w:t>）</w:t>
      </w:r>
    </w:p>
    <w:p>
      <w:pPr>
        <w:outlineLvl w:val="1"/>
        <w:rPr>
          <w:rFonts w:ascii="宋体" w:hAnsi="宋体"/>
          <w:szCs w:val="21"/>
        </w:rPr>
      </w:pPr>
      <w:r>
        <w:rPr>
          <w:rFonts w:ascii="宋体" w:hAnsi="宋体"/>
          <w:szCs w:val="21"/>
        </w:rPr>
        <w:t>4. 服务意识与满意度（权重：10 分）</w:t>
      </w:r>
    </w:p>
    <w:p>
      <w:pPr>
        <w:rPr>
          <w:rFonts w:ascii="宋体" w:hAnsi="宋体"/>
          <w:szCs w:val="21"/>
        </w:rPr>
      </w:pPr>
      <w:r>
        <w:rPr>
          <w:rStyle w:val="12"/>
          <w:rFonts w:ascii="宋体" w:hAnsi="宋体" w:cs="Arial"/>
          <w:color w:val="000000"/>
          <w:szCs w:val="21"/>
        </w:rPr>
        <w:t>服务态度</w:t>
      </w:r>
      <w:r>
        <w:rPr>
          <w:rFonts w:ascii="宋体" w:hAnsi="宋体"/>
          <w:szCs w:val="21"/>
        </w:rPr>
        <w:t>：对待入馆游客热情有礼，耐心解答咨询，无争执、无投诉。（</w:t>
      </w:r>
      <w:r>
        <w:rPr>
          <w:rStyle w:val="12"/>
          <w:rFonts w:ascii="宋体" w:hAnsi="宋体" w:cs="Arial"/>
          <w:color w:val="000000"/>
          <w:szCs w:val="21"/>
        </w:rPr>
        <w:t>收到有效投诉扣 5-10 分 / 次</w:t>
      </w:r>
      <w:r>
        <w:rPr>
          <w:rFonts w:ascii="宋体" w:hAnsi="宋体"/>
          <w:szCs w:val="21"/>
        </w:rPr>
        <w:t>）</w:t>
      </w:r>
    </w:p>
    <w:p>
      <w:pPr>
        <w:rPr>
          <w:rFonts w:ascii="宋体" w:hAnsi="宋体"/>
          <w:szCs w:val="21"/>
        </w:rPr>
      </w:pPr>
      <w:r>
        <w:rPr>
          <w:rStyle w:val="12"/>
          <w:rFonts w:ascii="宋体" w:hAnsi="宋体" w:cs="Arial"/>
          <w:color w:val="000000"/>
          <w:szCs w:val="21"/>
        </w:rPr>
        <w:t>配合度</w:t>
      </w:r>
      <w:r>
        <w:rPr>
          <w:rFonts w:ascii="宋体" w:hAnsi="宋体"/>
          <w:szCs w:val="21"/>
        </w:rPr>
        <w:t>：积极配合馆方行政部门、安保主管的日常检查及临时指派工作。</w:t>
      </w:r>
    </w:p>
    <w:p>
      <w:pPr>
        <w:rPr>
          <w:rFonts w:ascii="宋体" w:hAnsi="宋体" w:cs="宋体"/>
          <w:szCs w:val="21"/>
        </w:rPr>
      </w:pPr>
      <w:r>
        <w:rPr>
          <w:rFonts w:ascii="宋体" w:hAnsi="宋体"/>
          <w:szCs w:val="21"/>
        </w:rPr>
        <w:pict>
          <v:rect id="_x0000_i1026" o:spt="1" style="height:1.5pt;width:0.05pt;" fillcolor="#000000" filled="t" stroked="f" coordsize="21600,21600" o:hr="t" o:hrstd="t" o:hrnoshade="t" o:hralign="center">
            <v:path/>
            <v:fill on="t" focussize="0,0"/>
            <v:stroke on="f"/>
            <v:imagedata o:title=""/>
            <o:lock v:ext="edit"/>
            <w10:wrap type="none"/>
            <w10:anchorlock/>
          </v:rect>
        </w:pict>
      </w:r>
    </w:p>
    <w:p>
      <w:pPr>
        <w:outlineLvl w:val="0"/>
        <w:rPr>
          <w:rFonts w:ascii="宋体" w:hAnsi="宋体"/>
          <w:szCs w:val="21"/>
        </w:rPr>
      </w:pPr>
      <w:r>
        <w:rPr>
          <w:rFonts w:ascii="宋体" w:hAnsi="宋体"/>
          <w:szCs w:val="21"/>
        </w:rPr>
        <w:t>三、 考核结果与奖惩机制</w:t>
      </w:r>
    </w:p>
    <w:p>
      <w:pPr>
        <w:outlineLvl w:val="0"/>
        <w:rPr>
          <w:rFonts w:ascii="宋体" w:hAnsi="宋体"/>
          <w:szCs w:val="21"/>
        </w:rPr>
      </w:pPr>
      <w:r>
        <w:rPr>
          <w:rStyle w:val="12"/>
          <w:rFonts w:ascii="宋体" w:hAnsi="宋体" w:cs="Arial"/>
          <w:color w:val="000000"/>
          <w:szCs w:val="21"/>
        </w:rPr>
        <w:t>月度</w:t>
      </w:r>
      <w:r>
        <w:rPr>
          <w:rStyle w:val="12"/>
          <w:rFonts w:hint="eastAsia" w:ascii="宋体" w:hAnsi="宋体" w:cs="Arial"/>
          <w:color w:val="000000"/>
          <w:szCs w:val="21"/>
        </w:rPr>
        <w:t>考核奖</w:t>
      </w:r>
      <w:r>
        <w:rPr>
          <w:rStyle w:val="12"/>
          <w:rFonts w:ascii="宋体" w:hAnsi="宋体" w:cs="Arial"/>
          <w:color w:val="000000"/>
          <w:szCs w:val="21"/>
        </w:rPr>
        <w:t>系数</w:t>
      </w:r>
    </w:p>
    <w:p>
      <w:pPr>
        <w:outlineLvl w:val="0"/>
        <w:rPr>
          <w:rFonts w:ascii="宋体" w:hAnsi="宋体"/>
          <w:szCs w:val="21"/>
        </w:rPr>
      </w:pPr>
      <w:r>
        <w:rPr>
          <w:rStyle w:val="12"/>
          <w:rFonts w:ascii="宋体" w:hAnsi="宋体" w:cs="Arial"/>
          <w:color w:val="000000"/>
          <w:szCs w:val="21"/>
        </w:rPr>
        <w:t>80-</w:t>
      </w:r>
      <w:r>
        <w:rPr>
          <w:rStyle w:val="12"/>
          <w:rFonts w:hint="eastAsia" w:ascii="宋体" w:hAnsi="宋体" w:cs="Arial"/>
          <w:color w:val="000000"/>
          <w:szCs w:val="21"/>
        </w:rPr>
        <w:t>100</w:t>
      </w:r>
      <w:r>
        <w:rPr>
          <w:rStyle w:val="12"/>
          <w:rFonts w:ascii="宋体" w:hAnsi="宋体" w:cs="Arial"/>
          <w:color w:val="000000"/>
          <w:szCs w:val="21"/>
        </w:rPr>
        <w:t xml:space="preserve"> 分</w:t>
      </w:r>
      <w:r>
        <w:rPr>
          <w:rFonts w:ascii="宋体" w:hAnsi="宋体"/>
          <w:szCs w:val="21"/>
        </w:rPr>
        <w:t>：1.0 倍（</w:t>
      </w:r>
      <w:r>
        <w:rPr>
          <w:rFonts w:hint="eastAsia" w:ascii="宋体" w:hAnsi="宋体"/>
          <w:szCs w:val="21"/>
        </w:rPr>
        <w:t>满意</w:t>
      </w:r>
      <w:r>
        <w:rPr>
          <w:rFonts w:ascii="宋体" w:hAnsi="宋体"/>
          <w:szCs w:val="21"/>
        </w:rPr>
        <w:t>）</w:t>
      </w:r>
    </w:p>
    <w:p>
      <w:pPr>
        <w:outlineLvl w:val="0"/>
        <w:rPr>
          <w:rFonts w:ascii="宋体" w:hAnsi="宋体"/>
          <w:szCs w:val="21"/>
        </w:rPr>
      </w:pPr>
      <w:r>
        <w:rPr>
          <w:rStyle w:val="12"/>
          <w:rFonts w:ascii="宋体" w:hAnsi="宋体" w:cs="Arial"/>
          <w:color w:val="000000"/>
          <w:szCs w:val="21"/>
        </w:rPr>
        <w:t>70-79 分</w:t>
      </w:r>
      <w:r>
        <w:rPr>
          <w:rFonts w:ascii="宋体" w:hAnsi="宋体"/>
          <w:szCs w:val="21"/>
        </w:rPr>
        <w:t>：0.8 倍（基本</w:t>
      </w:r>
      <w:r>
        <w:rPr>
          <w:rFonts w:hint="eastAsia" w:ascii="宋体" w:hAnsi="宋体"/>
          <w:szCs w:val="21"/>
        </w:rPr>
        <w:t>满意</w:t>
      </w:r>
      <w:r>
        <w:rPr>
          <w:rFonts w:ascii="宋体" w:hAnsi="宋体"/>
          <w:szCs w:val="21"/>
        </w:rPr>
        <w:t>，需整改）</w:t>
      </w:r>
    </w:p>
    <w:p>
      <w:pPr>
        <w:outlineLvl w:val="0"/>
        <w:rPr>
          <w:rFonts w:ascii="宋体" w:hAnsi="宋体"/>
          <w:szCs w:val="21"/>
        </w:rPr>
      </w:pPr>
      <w:r>
        <w:rPr>
          <w:rStyle w:val="12"/>
          <w:rFonts w:hint="eastAsia" w:ascii="宋体" w:hAnsi="宋体" w:cs="Arial"/>
          <w:color w:val="000000"/>
          <w:szCs w:val="21"/>
        </w:rPr>
        <w:t>6</w:t>
      </w:r>
      <w:r>
        <w:rPr>
          <w:rStyle w:val="12"/>
          <w:rFonts w:ascii="宋体" w:hAnsi="宋体" w:cs="Arial"/>
          <w:color w:val="000000"/>
          <w:szCs w:val="21"/>
        </w:rPr>
        <w:t>0</w:t>
      </w:r>
      <w:r>
        <w:rPr>
          <w:rStyle w:val="12"/>
          <w:rFonts w:hint="eastAsia" w:ascii="宋体" w:hAnsi="宋体" w:cs="Arial"/>
          <w:color w:val="000000"/>
          <w:szCs w:val="21"/>
        </w:rPr>
        <w:t>-69</w:t>
      </w:r>
      <w:r>
        <w:rPr>
          <w:rStyle w:val="12"/>
          <w:rFonts w:ascii="宋体" w:hAnsi="宋体" w:cs="Arial"/>
          <w:color w:val="000000"/>
          <w:szCs w:val="21"/>
        </w:rPr>
        <w:t xml:space="preserve"> 分</w:t>
      </w:r>
      <w:r>
        <w:rPr>
          <w:rFonts w:ascii="宋体" w:hAnsi="宋体"/>
          <w:szCs w:val="21"/>
        </w:rPr>
        <w:t>：</w:t>
      </w:r>
      <w:r>
        <w:rPr>
          <w:rFonts w:hint="eastAsia" w:ascii="宋体" w:hAnsi="宋体"/>
          <w:szCs w:val="21"/>
        </w:rPr>
        <w:t>0.5倍 （较不满意</w:t>
      </w:r>
      <w:r>
        <w:rPr>
          <w:rFonts w:ascii="宋体" w:hAnsi="宋体"/>
          <w:szCs w:val="21"/>
        </w:rPr>
        <w:t>，需整改</w:t>
      </w:r>
      <w:r>
        <w:rPr>
          <w:rFonts w:hint="eastAsia" w:ascii="宋体" w:hAnsi="宋体"/>
          <w:szCs w:val="21"/>
        </w:rPr>
        <w:t>）</w:t>
      </w:r>
    </w:p>
    <w:p>
      <w:pPr>
        <w:rPr>
          <w:rFonts w:ascii="宋体" w:hAnsi="宋体"/>
          <w:szCs w:val="21"/>
        </w:rPr>
      </w:pPr>
      <w:r>
        <w:rPr>
          <w:rStyle w:val="12"/>
          <w:rFonts w:hint="eastAsia" w:cs="Arial"/>
          <w:color w:val="000000"/>
        </w:rPr>
        <w:t>60分及以下</w:t>
      </w:r>
      <w:r>
        <w:rPr>
          <w:rFonts w:hint="eastAsia" w:ascii="宋体" w:hAnsi="宋体"/>
          <w:szCs w:val="21"/>
        </w:rPr>
        <w:t>：</w:t>
      </w:r>
      <w:r>
        <w:rPr>
          <w:rFonts w:ascii="宋体" w:hAnsi="宋体"/>
          <w:szCs w:val="21"/>
        </w:rPr>
        <w:t>0 倍（不</w:t>
      </w:r>
      <w:r>
        <w:rPr>
          <w:rFonts w:hint="eastAsia" w:ascii="宋体" w:hAnsi="宋体"/>
          <w:szCs w:val="21"/>
        </w:rPr>
        <w:t>满意</w:t>
      </w:r>
      <w:r>
        <w:rPr>
          <w:rFonts w:ascii="宋体" w:hAnsi="宋体"/>
          <w:szCs w:val="21"/>
        </w:rPr>
        <w:t>，扣除当月</w:t>
      </w:r>
      <w:r>
        <w:rPr>
          <w:rFonts w:hint="eastAsia" w:ascii="宋体" w:hAnsi="宋体"/>
          <w:szCs w:val="21"/>
        </w:rPr>
        <w:t>考核奖</w:t>
      </w:r>
      <w:r>
        <w:rPr>
          <w:rFonts w:ascii="宋体" w:hAnsi="宋体"/>
          <w:szCs w:val="21"/>
        </w:rPr>
        <w:t>，视情况辞退）</w:t>
      </w:r>
    </w:p>
    <w:p>
      <w:pPr>
        <w:outlineLvl w:val="0"/>
        <w:rPr>
          <w:rFonts w:ascii="宋体" w:hAnsi="宋体"/>
          <w:szCs w:val="21"/>
        </w:rPr>
      </w:pPr>
      <w:r>
        <w:rPr>
          <w:rStyle w:val="12"/>
          <w:rFonts w:ascii="宋体" w:hAnsi="宋体" w:cs="Arial"/>
          <w:color w:val="000000"/>
          <w:szCs w:val="21"/>
        </w:rPr>
        <w:t>一票否决项</w:t>
      </w:r>
    </w:p>
    <w:p>
      <w:pPr>
        <w:rPr>
          <w:rFonts w:ascii="宋体" w:hAnsi="宋体"/>
          <w:szCs w:val="21"/>
        </w:rPr>
      </w:pPr>
      <w:r>
        <w:rPr>
          <w:rFonts w:ascii="宋体" w:hAnsi="宋体"/>
          <w:szCs w:val="21"/>
        </w:rPr>
        <w:t>因安保失职导致文物损坏、丢失或重大人身伤害事故的。</w:t>
      </w:r>
    </w:p>
    <w:p>
      <w:pPr>
        <w:rPr>
          <w:rFonts w:ascii="宋体" w:hAnsi="宋体"/>
          <w:szCs w:val="21"/>
        </w:rPr>
      </w:pPr>
      <w:r>
        <w:rPr>
          <w:rFonts w:ascii="宋体" w:hAnsi="宋体"/>
          <w:szCs w:val="21"/>
        </w:rPr>
        <w:t>严重违反法律法规或馆纪馆规，造成恶劣社会影响的。</w:t>
      </w:r>
    </w:p>
    <w:p>
      <w:pPr>
        <w:rPr>
          <w:rFonts w:ascii="宋体" w:hAnsi="宋体"/>
          <w:szCs w:val="21"/>
        </w:rPr>
      </w:pPr>
      <w:r>
        <w:rPr>
          <w:rFonts w:ascii="宋体" w:hAnsi="宋体"/>
          <w:szCs w:val="21"/>
        </w:rPr>
        <w:t>私自留客、内外勾结、监守自盗等违法行为。</w:t>
      </w:r>
    </w:p>
    <w:p/>
    <w:p>
      <w:pPr>
        <w:widowControl/>
        <w:spacing w:line="240" w:lineRule="auto"/>
        <w:jc w:val="left"/>
        <w:rPr>
          <w:rFonts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微软雅黑">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480396"/>
    <w:multiLevelType w:val="singleLevel"/>
    <w:tmpl w:val="9A480396"/>
    <w:lvl w:ilvl="0" w:tentative="0">
      <w:start w:val="1"/>
      <w:numFmt w:val="decimal"/>
      <w:lvlText w:val="(%1)"/>
      <w:lvlJc w:val="left"/>
      <w:pPr>
        <w:ind w:left="425" w:hanging="425"/>
      </w:pPr>
      <w:rPr>
        <w:rFonts w:hint="default"/>
      </w:rPr>
    </w:lvl>
  </w:abstractNum>
  <w:abstractNum w:abstractNumId="1">
    <w:nsid w:val="A46F4F81"/>
    <w:multiLevelType w:val="singleLevel"/>
    <w:tmpl w:val="A46F4F81"/>
    <w:lvl w:ilvl="0" w:tentative="0">
      <w:start w:val="1"/>
      <w:numFmt w:val="decimal"/>
      <w:lvlText w:val="(%1)"/>
      <w:lvlJc w:val="left"/>
      <w:pPr>
        <w:ind w:left="425" w:hanging="425"/>
      </w:pPr>
      <w:rPr>
        <w:rFonts w:hint="default"/>
      </w:rPr>
    </w:lvl>
  </w:abstractNum>
  <w:abstractNum w:abstractNumId="2">
    <w:nsid w:val="A69D12B0"/>
    <w:multiLevelType w:val="singleLevel"/>
    <w:tmpl w:val="A69D12B0"/>
    <w:lvl w:ilvl="0" w:tentative="0">
      <w:start w:val="1"/>
      <w:numFmt w:val="decimal"/>
      <w:lvlText w:val="(%1)"/>
      <w:lvlJc w:val="left"/>
      <w:pPr>
        <w:ind w:left="425" w:hanging="425"/>
      </w:pPr>
      <w:rPr>
        <w:rFonts w:hint="default"/>
      </w:rPr>
    </w:lvl>
  </w:abstractNum>
  <w:abstractNum w:abstractNumId="3">
    <w:nsid w:val="A77F80C9"/>
    <w:multiLevelType w:val="singleLevel"/>
    <w:tmpl w:val="A77F80C9"/>
    <w:lvl w:ilvl="0" w:tentative="0">
      <w:start w:val="1"/>
      <w:numFmt w:val="decimal"/>
      <w:lvlText w:val="%1."/>
      <w:lvlJc w:val="left"/>
      <w:pPr>
        <w:ind w:left="425" w:hanging="425"/>
      </w:pPr>
      <w:rPr>
        <w:rFonts w:hint="default"/>
      </w:rPr>
    </w:lvl>
  </w:abstractNum>
  <w:abstractNum w:abstractNumId="4">
    <w:nsid w:val="B4217E31"/>
    <w:multiLevelType w:val="singleLevel"/>
    <w:tmpl w:val="B4217E31"/>
    <w:lvl w:ilvl="0" w:tentative="0">
      <w:start w:val="1"/>
      <w:numFmt w:val="decimal"/>
      <w:lvlText w:val="%1."/>
      <w:lvlJc w:val="left"/>
      <w:pPr>
        <w:ind w:left="425" w:hanging="425"/>
      </w:pPr>
      <w:rPr>
        <w:rFonts w:hint="default"/>
      </w:rPr>
    </w:lvl>
  </w:abstractNum>
  <w:abstractNum w:abstractNumId="5">
    <w:nsid w:val="F7734237"/>
    <w:multiLevelType w:val="singleLevel"/>
    <w:tmpl w:val="F7734237"/>
    <w:lvl w:ilvl="0" w:tentative="0">
      <w:start w:val="1"/>
      <w:numFmt w:val="decimal"/>
      <w:lvlText w:val="%1)"/>
      <w:lvlJc w:val="left"/>
      <w:pPr>
        <w:ind w:left="425" w:hanging="425"/>
      </w:pPr>
      <w:rPr>
        <w:rFonts w:hint="default"/>
      </w:rPr>
    </w:lvl>
  </w:abstractNum>
  <w:abstractNum w:abstractNumId="6">
    <w:nsid w:val="1CA81CB3"/>
    <w:multiLevelType w:val="singleLevel"/>
    <w:tmpl w:val="1CA81CB3"/>
    <w:lvl w:ilvl="0" w:tentative="0">
      <w:start w:val="1"/>
      <w:numFmt w:val="decimal"/>
      <w:lvlText w:val="(%1)"/>
      <w:lvlJc w:val="left"/>
      <w:pPr>
        <w:ind w:left="425" w:hanging="425"/>
      </w:pPr>
      <w:rPr>
        <w:rFonts w:hint="default"/>
      </w:rPr>
    </w:lvl>
  </w:abstractNum>
  <w:abstractNum w:abstractNumId="7">
    <w:nsid w:val="1DBA4F90"/>
    <w:multiLevelType w:val="singleLevel"/>
    <w:tmpl w:val="1DBA4F90"/>
    <w:lvl w:ilvl="0" w:tentative="0">
      <w:start w:val="1"/>
      <w:numFmt w:val="decimal"/>
      <w:lvlText w:val="%1)"/>
      <w:lvlJc w:val="left"/>
      <w:pPr>
        <w:ind w:left="425" w:hanging="425"/>
      </w:pPr>
      <w:rPr>
        <w:rFonts w:hint="default"/>
      </w:rPr>
    </w:lvl>
  </w:abstractNum>
  <w:abstractNum w:abstractNumId="8">
    <w:nsid w:val="2119ADC2"/>
    <w:multiLevelType w:val="singleLevel"/>
    <w:tmpl w:val="2119ADC2"/>
    <w:lvl w:ilvl="0" w:tentative="0">
      <w:start w:val="1"/>
      <w:numFmt w:val="decimal"/>
      <w:lvlText w:val="(%1)"/>
      <w:lvlJc w:val="left"/>
      <w:pPr>
        <w:ind w:left="425" w:hanging="425"/>
      </w:pPr>
      <w:rPr>
        <w:rFonts w:hint="default"/>
      </w:rPr>
    </w:lvl>
  </w:abstractNum>
  <w:abstractNum w:abstractNumId="9">
    <w:nsid w:val="304CEF46"/>
    <w:multiLevelType w:val="singleLevel"/>
    <w:tmpl w:val="304CEF46"/>
    <w:lvl w:ilvl="0" w:tentative="0">
      <w:start w:val="1"/>
      <w:numFmt w:val="chineseCounting"/>
      <w:suff w:val="nothing"/>
      <w:lvlText w:val="%1、"/>
      <w:lvlJc w:val="left"/>
      <w:pPr>
        <w:ind w:left="0" w:firstLine="420"/>
      </w:pPr>
      <w:rPr>
        <w:rFonts w:hint="eastAsia"/>
      </w:rPr>
    </w:lvl>
  </w:abstractNum>
  <w:abstractNum w:abstractNumId="10">
    <w:nsid w:val="3D00799D"/>
    <w:multiLevelType w:val="singleLevel"/>
    <w:tmpl w:val="3D00799D"/>
    <w:lvl w:ilvl="0" w:tentative="0">
      <w:start w:val="1"/>
      <w:numFmt w:val="decimal"/>
      <w:lvlText w:val="%1."/>
      <w:lvlJc w:val="left"/>
      <w:pPr>
        <w:ind w:left="425" w:hanging="425"/>
      </w:pPr>
      <w:rPr>
        <w:rFonts w:hint="default"/>
      </w:rPr>
    </w:lvl>
  </w:abstractNum>
  <w:abstractNum w:abstractNumId="11">
    <w:nsid w:val="3D4EC22A"/>
    <w:multiLevelType w:val="singleLevel"/>
    <w:tmpl w:val="3D4EC22A"/>
    <w:lvl w:ilvl="0" w:tentative="0">
      <w:start w:val="1"/>
      <w:numFmt w:val="decimal"/>
      <w:lvlText w:val="(%1)"/>
      <w:lvlJc w:val="left"/>
      <w:pPr>
        <w:ind w:left="425" w:hanging="425"/>
      </w:pPr>
      <w:rPr>
        <w:rFonts w:hint="default"/>
      </w:rPr>
    </w:lvl>
  </w:abstractNum>
  <w:abstractNum w:abstractNumId="12">
    <w:nsid w:val="430F4B5F"/>
    <w:multiLevelType w:val="singleLevel"/>
    <w:tmpl w:val="430F4B5F"/>
    <w:lvl w:ilvl="0" w:tentative="0">
      <w:start w:val="1"/>
      <w:numFmt w:val="decimal"/>
      <w:lvlText w:val="(%1)"/>
      <w:lvlJc w:val="left"/>
      <w:pPr>
        <w:ind w:left="425" w:hanging="425"/>
      </w:pPr>
      <w:rPr>
        <w:rFonts w:hint="default"/>
      </w:rPr>
    </w:lvl>
  </w:abstractNum>
  <w:abstractNum w:abstractNumId="13">
    <w:nsid w:val="467182BA"/>
    <w:multiLevelType w:val="singleLevel"/>
    <w:tmpl w:val="467182BA"/>
    <w:lvl w:ilvl="0" w:tentative="0">
      <w:start w:val="1"/>
      <w:numFmt w:val="decimal"/>
      <w:lvlText w:val="(%1)"/>
      <w:lvlJc w:val="left"/>
      <w:pPr>
        <w:ind w:left="425" w:hanging="425"/>
      </w:pPr>
      <w:rPr>
        <w:rFonts w:hint="default"/>
      </w:rPr>
    </w:lvl>
  </w:abstractNum>
  <w:abstractNum w:abstractNumId="14">
    <w:nsid w:val="4DBAAB00"/>
    <w:multiLevelType w:val="singleLevel"/>
    <w:tmpl w:val="4DBAAB00"/>
    <w:lvl w:ilvl="0" w:tentative="0">
      <w:start w:val="1"/>
      <w:numFmt w:val="decimal"/>
      <w:lvlText w:val="(%1)"/>
      <w:lvlJc w:val="left"/>
      <w:pPr>
        <w:ind w:left="425" w:hanging="425"/>
      </w:pPr>
      <w:rPr>
        <w:rFonts w:hint="default"/>
      </w:rPr>
    </w:lvl>
  </w:abstractNum>
  <w:abstractNum w:abstractNumId="15">
    <w:nsid w:val="53B39F1B"/>
    <w:multiLevelType w:val="singleLevel"/>
    <w:tmpl w:val="53B39F1B"/>
    <w:lvl w:ilvl="0" w:tentative="0">
      <w:start w:val="1"/>
      <w:numFmt w:val="decimal"/>
      <w:lvlText w:val="(%1)"/>
      <w:lvlJc w:val="left"/>
      <w:pPr>
        <w:ind w:left="425" w:hanging="425"/>
      </w:pPr>
      <w:rPr>
        <w:rFonts w:hint="default"/>
      </w:rPr>
    </w:lvl>
  </w:abstractNum>
  <w:abstractNum w:abstractNumId="16">
    <w:nsid w:val="57F23AB6"/>
    <w:multiLevelType w:val="singleLevel"/>
    <w:tmpl w:val="57F23AB6"/>
    <w:lvl w:ilvl="0" w:tentative="0">
      <w:start w:val="1"/>
      <w:numFmt w:val="decimal"/>
      <w:lvlText w:val="(%1)"/>
      <w:lvlJc w:val="left"/>
      <w:pPr>
        <w:ind w:left="425" w:hanging="425"/>
      </w:pPr>
      <w:rPr>
        <w:rFonts w:hint="default"/>
      </w:rPr>
    </w:lvl>
  </w:abstractNum>
  <w:abstractNum w:abstractNumId="17">
    <w:nsid w:val="6EF188B5"/>
    <w:multiLevelType w:val="singleLevel"/>
    <w:tmpl w:val="6EF188B5"/>
    <w:lvl w:ilvl="0" w:tentative="0">
      <w:start w:val="1"/>
      <w:numFmt w:val="decimal"/>
      <w:lvlText w:val="(%1)"/>
      <w:lvlJc w:val="left"/>
      <w:pPr>
        <w:ind w:left="425" w:hanging="425"/>
      </w:pPr>
      <w:rPr>
        <w:rFonts w:hint="default"/>
      </w:rPr>
    </w:lvl>
  </w:abstractNum>
  <w:abstractNum w:abstractNumId="18">
    <w:nsid w:val="7E3C588F"/>
    <w:multiLevelType w:val="singleLevel"/>
    <w:tmpl w:val="7E3C588F"/>
    <w:lvl w:ilvl="0" w:tentative="0">
      <w:start w:val="1"/>
      <w:numFmt w:val="chineseCounting"/>
      <w:suff w:val="nothing"/>
      <w:lvlText w:val="（%1）"/>
      <w:lvlJc w:val="left"/>
      <w:pPr>
        <w:ind w:left="0" w:firstLine="420"/>
      </w:pPr>
      <w:rPr>
        <w:rFonts w:hint="eastAsia"/>
      </w:rPr>
    </w:lvl>
  </w:abstractNum>
  <w:abstractNum w:abstractNumId="19">
    <w:nsid w:val="7F06697C"/>
    <w:multiLevelType w:val="multilevel"/>
    <w:tmpl w:val="7F06697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9"/>
  </w:num>
  <w:num w:numId="2">
    <w:abstractNumId w:val="18"/>
  </w:num>
  <w:num w:numId="3">
    <w:abstractNumId w:val="3"/>
  </w:num>
  <w:num w:numId="4">
    <w:abstractNumId w:val="15"/>
  </w:num>
  <w:num w:numId="5">
    <w:abstractNumId w:val="5"/>
  </w:num>
  <w:num w:numId="6">
    <w:abstractNumId w:val="7"/>
  </w:num>
  <w:num w:numId="7">
    <w:abstractNumId w:val="16"/>
  </w:num>
  <w:num w:numId="8">
    <w:abstractNumId w:val="12"/>
  </w:num>
  <w:num w:numId="9">
    <w:abstractNumId w:val="10"/>
  </w:num>
  <w:num w:numId="10">
    <w:abstractNumId w:val="0"/>
  </w:num>
  <w:num w:numId="11">
    <w:abstractNumId w:val="2"/>
  </w:num>
  <w:num w:numId="12">
    <w:abstractNumId w:val="6"/>
  </w:num>
  <w:num w:numId="13">
    <w:abstractNumId w:val="1"/>
  </w:num>
  <w:num w:numId="14">
    <w:abstractNumId w:val="8"/>
  </w:num>
  <w:num w:numId="15">
    <w:abstractNumId w:val="11"/>
  </w:num>
  <w:num w:numId="16">
    <w:abstractNumId w:val="14"/>
  </w:num>
  <w:num w:numId="17">
    <w:abstractNumId w:val="13"/>
  </w:num>
  <w:num w:numId="18">
    <w:abstractNumId w:val="17"/>
  </w:num>
  <w:num w:numId="19">
    <w:abstractNumId w:val="4"/>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EA4CEB"/>
    <w:rsid w:val="005B55DA"/>
    <w:rsid w:val="008D5A78"/>
    <w:rsid w:val="00B65657"/>
    <w:rsid w:val="00C91C09"/>
    <w:rsid w:val="044B5507"/>
    <w:rsid w:val="0660783C"/>
    <w:rsid w:val="132971A9"/>
    <w:rsid w:val="195666E8"/>
    <w:rsid w:val="19EA4CEB"/>
    <w:rsid w:val="1C3B1B7F"/>
    <w:rsid w:val="2AE3F9A9"/>
    <w:rsid w:val="2D820B16"/>
    <w:rsid w:val="2EF01DD5"/>
    <w:rsid w:val="32766F82"/>
    <w:rsid w:val="332C287C"/>
    <w:rsid w:val="3BB7ED8A"/>
    <w:rsid w:val="41B83751"/>
    <w:rsid w:val="439D247A"/>
    <w:rsid w:val="4A235542"/>
    <w:rsid w:val="4A717213"/>
    <w:rsid w:val="5518442B"/>
    <w:rsid w:val="5656588E"/>
    <w:rsid w:val="59D8C672"/>
    <w:rsid w:val="6FFF94DA"/>
    <w:rsid w:val="73BB2ACF"/>
    <w:rsid w:val="76FF499F"/>
    <w:rsid w:val="7BB764A1"/>
    <w:rsid w:val="7FE76D6D"/>
    <w:rsid w:val="BFE95B81"/>
    <w:rsid w:val="D7DF3029"/>
    <w:rsid w:val="DEBE4ECB"/>
    <w:rsid w:val="FB184B72"/>
    <w:rsid w:val="FFF7A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unhideWhenUsed/>
    <w:qFormat/>
    <w:uiPriority w:val="99"/>
    <w:pPr>
      <w:spacing w:after="120"/>
    </w:pPr>
  </w:style>
  <w:style w:type="paragraph" w:styleId="5">
    <w:name w:val="Plain Text"/>
    <w:basedOn w:val="1"/>
    <w:qFormat/>
    <w:uiPriority w:val="0"/>
    <w:rPr>
      <w:rFonts w:ascii="宋体" w:hAnsi="Courier New"/>
      <w:szCs w:val="20"/>
    </w:rPr>
  </w:style>
  <w:style w:type="paragraph" w:styleId="6">
    <w:name w:val="Balloon Text"/>
    <w:basedOn w:val="1"/>
    <w:link w:val="14"/>
    <w:qFormat/>
    <w:uiPriority w:val="0"/>
    <w:rPr>
      <w:sz w:val="18"/>
      <w:szCs w:val="18"/>
    </w:rPr>
  </w:style>
  <w:style w:type="paragraph" w:styleId="7">
    <w:name w:val="footer"/>
    <w:basedOn w:val="1"/>
    <w:link w:val="16"/>
    <w:qFormat/>
    <w:uiPriority w:val="0"/>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9">
    <w:name w:val="List"/>
    <w:basedOn w:val="1"/>
    <w:qFormat/>
    <w:uiPriority w:val="0"/>
    <w:pPr>
      <w:ind w:left="200" w:hanging="200" w:hangingChars="200"/>
    </w:pPr>
    <w:rPr>
      <w:rFonts w:ascii="Times New Roman" w:hAnsi="Times New Roman"/>
    </w:rPr>
  </w:style>
  <w:style w:type="character" w:styleId="12">
    <w:name w:val="Strong"/>
    <w:basedOn w:val="11"/>
    <w:qFormat/>
    <w:uiPriority w:val="22"/>
    <w:rPr>
      <w:b/>
      <w:bCs/>
    </w:rPr>
  </w:style>
  <w:style w:type="paragraph" w:styleId="13">
    <w:name w:val="List Paragraph"/>
    <w:basedOn w:val="1"/>
    <w:qFormat/>
    <w:uiPriority w:val="34"/>
    <w:pPr>
      <w:ind w:firstLine="420" w:firstLineChars="200"/>
    </w:pPr>
  </w:style>
  <w:style w:type="character" w:customStyle="1" w:styleId="14">
    <w:name w:val="批注框文本 Char"/>
    <w:basedOn w:val="11"/>
    <w:link w:val="6"/>
    <w:qFormat/>
    <w:uiPriority w:val="0"/>
    <w:rPr>
      <w:rFonts w:asciiTheme="minorHAnsi" w:hAnsiTheme="minorHAnsi" w:eastAsiaTheme="minorEastAsia" w:cstheme="minorBidi"/>
      <w:kern w:val="2"/>
      <w:sz w:val="18"/>
      <w:szCs w:val="18"/>
    </w:rPr>
  </w:style>
  <w:style w:type="character" w:customStyle="1" w:styleId="15">
    <w:name w:val="页眉 Char"/>
    <w:basedOn w:val="11"/>
    <w:link w:val="8"/>
    <w:qFormat/>
    <w:uiPriority w:val="0"/>
    <w:rPr>
      <w:rFonts w:asciiTheme="minorHAnsi" w:hAnsiTheme="minorHAnsi" w:eastAsiaTheme="minorEastAsia" w:cstheme="minorBidi"/>
      <w:kern w:val="2"/>
      <w:sz w:val="18"/>
      <w:szCs w:val="18"/>
    </w:rPr>
  </w:style>
  <w:style w:type="character" w:customStyle="1" w:styleId="16">
    <w:name w:val="页脚 Char"/>
    <w:basedOn w:val="11"/>
    <w:link w:val="7"/>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19</Pages>
  <Words>5986</Words>
  <Characters>6204</Characters>
  <Lines>77</Lines>
  <Paragraphs>21</Paragraphs>
  <TotalTime>17</TotalTime>
  <ScaleCrop>false</ScaleCrop>
  <LinksUpToDate>false</LinksUpToDate>
  <CharactersWithSpaces>6257</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2026-05-10T00:25:00Z</dcterms:created>
  <dc:creator>童超</dc:creator>
  <cp:lastModifiedBy>user</cp:lastModifiedBy>
  <dcterms:modified xsi:type="dcterms:W3CDTF">2026-05-14T08:50:48Z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631E848B6189498CA18EC6B61F65F19C_13</vt:lpwstr>
  </property>
  <property fmtid="{D5CDD505-2E9C-101B-9397-08002B2CF9AE}" pid="4" name="KSOTemplateDocerSaveRecord">
    <vt:lpwstr>eyJoZGlkIjoiYzFkMTQ0ZTliM2NhMjdmMDhhYTE5MDlhNDNlOTE2YTMiLCJ1c2VySWQiOiIyMDgzNDAzMTQifQ==</vt:lpwstr>
  </property>
</Properties>
</file>