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BE0A0">
      <w:pPr>
        <w:spacing w:line="360" w:lineRule="auto"/>
        <w:jc w:val="both"/>
        <w:rPr>
          <w:rFonts w:hint="eastAsia" w:ascii="国标宋体" w:hAnsi="国标宋体" w:eastAsia="国标宋体" w:cs="国标宋体"/>
          <w:sz w:val="52"/>
          <w:szCs w:val="52"/>
        </w:rPr>
      </w:pPr>
      <w:bookmarkStart w:id="18" w:name="_GoBack"/>
      <w:bookmarkEnd w:id="18"/>
    </w:p>
    <w:p w14:paraId="56854C2A">
      <w:pPr>
        <w:spacing w:line="360" w:lineRule="auto"/>
        <w:jc w:val="both"/>
        <w:rPr>
          <w:rFonts w:hint="eastAsia" w:ascii="国标宋体" w:hAnsi="国标宋体" w:eastAsia="国标宋体" w:cs="国标宋体"/>
          <w:sz w:val="44"/>
          <w:szCs w:val="44"/>
        </w:rPr>
      </w:pPr>
    </w:p>
    <w:p w14:paraId="52C7D2A1">
      <w:pPr>
        <w:spacing w:line="360" w:lineRule="auto"/>
        <w:jc w:val="both"/>
        <w:rPr>
          <w:rFonts w:hint="eastAsia" w:ascii="国标宋体" w:hAnsi="国标宋体" w:eastAsia="国标宋体" w:cs="国标宋体"/>
          <w:sz w:val="44"/>
          <w:szCs w:val="44"/>
        </w:rPr>
      </w:pPr>
    </w:p>
    <w:p w14:paraId="56E84F7E">
      <w:pPr>
        <w:spacing w:line="360" w:lineRule="auto"/>
        <w:jc w:val="both"/>
        <w:rPr>
          <w:rFonts w:hint="eastAsia" w:ascii="国标宋体" w:hAnsi="国标宋体" w:eastAsia="国标宋体" w:cs="国标宋体"/>
          <w:sz w:val="44"/>
          <w:szCs w:val="44"/>
        </w:rPr>
      </w:pPr>
    </w:p>
    <w:p w14:paraId="5A4BD889">
      <w:pPr>
        <w:spacing w:line="360" w:lineRule="auto"/>
        <w:jc w:val="center"/>
        <w:rPr>
          <w:rFonts w:hint="eastAsia" w:ascii="国标宋体" w:hAnsi="国标宋体" w:eastAsia="国标宋体" w:cs="国标宋体"/>
          <w:sz w:val="44"/>
          <w:szCs w:val="44"/>
        </w:rPr>
      </w:pPr>
      <w:r>
        <w:rPr>
          <w:rFonts w:hint="eastAsia" w:ascii="国标宋体" w:hAnsi="国标宋体" w:eastAsia="国标宋体" w:cs="国标宋体"/>
          <w:sz w:val="44"/>
          <w:szCs w:val="44"/>
        </w:rPr>
        <w:t>五分中心202</w:t>
      </w:r>
      <w:r>
        <w:rPr>
          <w:rFonts w:hint="eastAsia" w:ascii="国标宋体" w:hAnsi="国标宋体" w:eastAsia="国标宋体" w:cs="国标宋体"/>
          <w:sz w:val="44"/>
          <w:szCs w:val="44"/>
          <w:lang w:val="en-US" w:eastAsia="zh-CN"/>
        </w:rPr>
        <w:t>6</w:t>
      </w:r>
      <w:r>
        <w:rPr>
          <w:rFonts w:hint="eastAsia" w:ascii="国标宋体" w:hAnsi="国标宋体" w:eastAsia="国标宋体" w:cs="国标宋体"/>
          <w:sz w:val="44"/>
          <w:szCs w:val="44"/>
        </w:rPr>
        <w:t>年等保测评服务采购需求</w:t>
      </w:r>
    </w:p>
    <w:p w14:paraId="2ABEDF74">
      <w:pPr>
        <w:spacing w:line="360" w:lineRule="auto"/>
        <w:jc w:val="center"/>
        <w:rPr>
          <w:rFonts w:hint="eastAsia" w:ascii="国标宋体" w:hAnsi="国标宋体" w:eastAsia="国标宋体" w:cs="国标宋体"/>
          <w:sz w:val="52"/>
          <w:szCs w:val="52"/>
        </w:rPr>
      </w:pPr>
    </w:p>
    <w:p w14:paraId="778F3D41">
      <w:pPr>
        <w:spacing w:line="360" w:lineRule="auto"/>
        <w:jc w:val="center"/>
        <w:rPr>
          <w:rFonts w:hint="eastAsia" w:ascii="国标宋体" w:hAnsi="国标宋体" w:eastAsia="国标宋体" w:cs="国标宋体"/>
          <w:sz w:val="52"/>
          <w:szCs w:val="52"/>
        </w:rPr>
      </w:pPr>
    </w:p>
    <w:p w14:paraId="4D2DD7D4">
      <w:pPr>
        <w:spacing w:line="360" w:lineRule="auto"/>
        <w:jc w:val="center"/>
        <w:rPr>
          <w:rFonts w:hint="eastAsia" w:ascii="国标宋体" w:hAnsi="国标宋体" w:eastAsia="国标宋体" w:cs="国标宋体"/>
          <w:sz w:val="52"/>
          <w:szCs w:val="52"/>
        </w:rPr>
      </w:pPr>
    </w:p>
    <w:p w14:paraId="72BDCB89">
      <w:pPr>
        <w:spacing w:line="360" w:lineRule="auto"/>
        <w:jc w:val="center"/>
        <w:rPr>
          <w:rFonts w:hint="eastAsia" w:ascii="国标宋体" w:hAnsi="国标宋体" w:eastAsia="国标宋体" w:cs="国标宋体"/>
          <w:sz w:val="52"/>
          <w:szCs w:val="52"/>
        </w:rPr>
      </w:pPr>
    </w:p>
    <w:p w14:paraId="763639B5">
      <w:pPr>
        <w:spacing w:line="360" w:lineRule="auto"/>
        <w:jc w:val="center"/>
        <w:rPr>
          <w:rFonts w:hint="eastAsia" w:ascii="国标宋体" w:hAnsi="国标宋体" w:eastAsia="国标宋体" w:cs="国标宋体"/>
          <w:sz w:val="52"/>
          <w:szCs w:val="52"/>
        </w:rPr>
      </w:pPr>
    </w:p>
    <w:p w14:paraId="1950C72C">
      <w:pPr>
        <w:jc w:val="center"/>
        <w:rPr>
          <w:rFonts w:hint="eastAsia" w:ascii="国标宋体" w:hAnsi="国标宋体" w:eastAsia="国标宋体" w:cs="国标宋体"/>
          <w:bCs/>
          <w:color w:val="000000" w:themeColor="text1"/>
          <w:sz w:val="28"/>
          <w:szCs w:val="28"/>
          <w14:textFill>
            <w14:solidFill>
              <w14:schemeClr w14:val="tx1"/>
            </w14:solidFill>
          </w14:textFill>
        </w:rPr>
      </w:pPr>
      <w:r>
        <w:rPr>
          <w:rFonts w:hint="eastAsia" w:ascii="国标宋体" w:hAnsi="国标宋体" w:eastAsia="国标宋体" w:cs="国标宋体"/>
          <w:bCs/>
          <w:kern w:val="44"/>
          <w:sz w:val="32"/>
          <w:szCs w:val="32"/>
        </w:rPr>
        <w:t>上海市大数据中心</w:t>
      </w:r>
    </w:p>
    <w:p w14:paraId="4CB6663A">
      <w:pPr>
        <w:spacing w:line="360" w:lineRule="auto"/>
        <w:jc w:val="center"/>
        <w:rPr>
          <w:rFonts w:hint="eastAsia" w:ascii="国标宋体" w:hAnsi="国标宋体" w:eastAsia="国标宋体" w:cs="国标宋体"/>
          <w:sz w:val="52"/>
          <w:szCs w:val="52"/>
        </w:rPr>
      </w:pPr>
    </w:p>
    <w:p w14:paraId="01CB8E7F">
      <w:pPr>
        <w:spacing w:line="360" w:lineRule="auto"/>
        <w:rPr>
          <w:rFonts w:hint="eastAsia" w:ascii="国标宋体" w:hAnsi="国标宋体" w:eastAsia="国标宋体" w:cs="国标宋体"/>
          <w:sz w:val="52"/>
          <w:szCs w:val="52"/>
        </w:rPr>
        <w:sectPr>
          <w:headerReference r:id="rId3" w:type="default"/>
          <w:footerReference r:id="rId4" w:type="even"/>
          <w:pgSz w:w="11906" w:h="16838"/>
          <w:pgMar w:top="1440" w:right="1797" w:bottom="1440" w:left="1400" w:header="851" w:footer="992" w:gutter="0"/>
          <w:cols w:space="720" w:num="1"/>
          <w:docGrid w:type="lines" w:linePitch="312" w:charSpace="0"/>
        </w:sectPr>
      </w:pPr>
    </w:p>
    <w:p w14:paraId="21D24207">
      <w:pPr>
        <w:pStyle w:val="2"/>
        <w:keepLines/>
        <w:widowControl w:val="0"/>
        <w:numPr>
          <w:ilvl w:val="0"/>
          <w:numId w:val="1"/>
        </w:numPr>
        <w:spacing w:before="340" w:after="330" w:line="578" w:lineRule="auto"/>
        <w:ind w:left="0" w:firstLine="0"/>
        <w:jc w:val="left"/>
        <w:rPr>
          <w:rFonts w:hint="eastAsia" w:ascii="国标宋体" w:hAnsi="国标宋体" w:eastAsia="国标宋体" w:cs="国标宋体"/>
          <w:b/>
          <w:kern w:val="44"/>
          <w:sz w:val="32"/>
          <w:szCs w:val="32"/>
        </w:rPr>
      </w:pPr>
      <w:bookmarkStart w:id="0" w:name="_Toc63785461"/>
      <w:bookmarkStart w:id="1" w:name="_Toc5915283"/>
      <w:bookmarkStart w:id="2" w:name="_Toc63630479"/>
      <w:bookmarkStart w:id="3" w:name="_Toc2352_WPSOffice_Level1"/>
      <w:r>
        <w:rPr>
          <w:rFonts w:hint="eastAsia" w:ascii="国标宋体" w:hAnsi="国标宋体" w:eastAsia="国标宋体" w:cs="国标宋体"/>
          <w:b/>
          <w:kern w:val="44"/>
          <w:sz w:val="32"/>
          <w:szCs w:val="32"/>
        </w:rPr>
        <w:t>项目概况</w:t>
      </w:r>
      <w:bookmarkEnd w:id="0"/>
    </w:p>
    <w:p w14:paraId="1A3BC868">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项目背景：</w:t>
      </w:r>
    </w:p>
    <w:p w14:paraId="02840AA9">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随着国家经济的不断发展，信息化对国民经济的推动作用越来越明显，既关系到国家战略，又关系到国计民生。国家对网络安全工作也越来越重视，要求越来越严格。</w:t>
      </w:r>
    </w:p>
    <w:p w14:paraId="1E99B6CF">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网络安全等级保护制度是国家信息安全保障工作的基本制度,开展信息安全等级保护工作不仅是加强国家信息安全保障工作的重要内容，也是一项事关国家安全、社会稳定的政治任务。</w:t>
      </w:r>
    </w:p>
    <w:p w14:paraId="0A06ECA3">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《中华人民共和国网络安全法》中明确规定网络安全等级保护三级系统，每年需要开展一次等保测评。等级保护二级系统，每2年需要开展一次等保测评。</w:t>
      </w:r>
    </w:p>
    <w:p w14:paraId="46B0CDA1">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测评预算：</w:t>
      </w:r>
      <w:r>
        <w:rPr>
          <w:rFonts w:hint="eastAsia" w:ascii="国标宋体" w:hAnsi="国标宋体" w:eastAsia="国标宋体" w:cs="国标宋体"/>
          <w:kern w:val="2"/>
          <w:sz w:val="28"/>
          <w:szCs w:val="28"/>
          <w:lang w:val="en-US" w:eastAsia="zh-CN"/>
        </w:rPr>
        <w:t>3669201</w:t>
      </w:r>
      <w:r>
        <w:rPr>
          <w:rFonts w:hint="eastAsia" w:ascii="国标宋体" w:hAnsi="国标宋体" w:eastAsia="国标宋体" w:cs="国标宋体"/>
          <w:kern w:val="2"/>
          <w:sz w:val="28"/>
          <w:szCs w:val="28"/>
        </w:rPr>
        <w:t>元</w:t>
      </w:r>
    </w:p>
    <w:p w14:paraId="07CD7DF9">
      <w:pPr>
        <w:widowControl w:val="0"/>
        <w:ind w:firstLine="560" w:firstLineChars="200"/>
        <w:jc w:val="both"/>
        <w:rPr>
          <w:rFonts w:hint="eastAsia" w:ascii="国标宋体" w:hAnsi="国标宋体" w:eastAsia="国标宋体" w:cs="国标宋体"/>
          <w:kern w:val="2"/>
          <w:sz w:val="28"/>
          <w:szCs w:val="28"/>
          <w:lang w:val="en-US" w:eastAsia="zh-CN"/>
        </w:rPr>
      </w:pPr>
      <w:r>
        <w:rPr>
          <w:rFonts w:hint="eastAsia" w:ascii="国标宋体" w:hAnsi="国标宋体" w:eastAsia="国标宋体" w:cs="国标宋体"/>
          <w:kern w:val="2"/>
          <w:sz w:val="28"/>
          <w:szCs w:val="28"/>
        </w:rPr>
        <w:t>测评采购方式：</w:t>
      </w:r>
      <w:r>
        <w:rPr>
          <w:rFonts w:hint="eastAsia" w:ascii="国标宋体" w:hAnsi="国标宋体" w:eastAsia="国标宋体" w:cs="国标宋体"/>
          <w:kern w:val="2"/>
          <w:sz w:val="28"/>
          <w:szCs w:val="28"/>
          <w:lang w:val="en-US" w:eastAsia="zh-CN"/>
        </w:rPr>
        <w:t>竞争性磋商</w:t>
      </w:r>
    </w:p>
    <w:p w14:paraId="71665CD2">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测评服务期限：</w:t>
      </w:r>
      <w:r>
        <w:rPr>
          <w:rFonts w:hint="eastAsia" w:ascii="国标宋体" w:hAnsi="国标宋体" w:eastAsia="国标宋体" w:cs="国标宋体"/>
          <w:kern w:val="2"/>
          <w:sz w:val="28"/>
          <w:szCs w:val="28"/>
          <w:lang w:val="en-US" w:eastAsia="zh-CN"/>
        </w:rPr>
        <w:t>自合同签订生效之日起至2026年11月30日前完成所有现场测评工作，出具测评报告并通过验收。</w:t>
      </w:r>
    </w:p>
    <w:bookmarkEnd w:id="1"/>
    <w:bookmarkEnd w:id="2"/>
    <w:bookmarkEnd w:id="3"/>
    <w:p w14:paraId="7F03DA4C">
      <w:pPr>
        <w:pStyle w:val="2"/>
        <w:keepLines/>
        <w:widowControl w:val="0"/>
        <w:numPr>
          <w:ilvl w:val="0"/>
          <w:numId w:val="1"/>
        </w:numPr>
        <w:spacing w:before="340" w:after="330" w:line="578" w:lineRule="auto"/>
        <w:ind w:left="0" w:firstLine="0"/>
        <w:jc w:val="left"/>
        <w:rPr>
          <w:rFonts w:hint="eastAsia" w:ascii="国标宋体" w:hAnsi="国标宋体" w:eastAsia="国标宋体" w:cs="国标宋体"/>
          <w:b/>
          <w:kern w:val="44"/>
          <w:sz w:val="32"/>
          <w:szCs w:val="32"/>
        </w:rPr>
      </w:pPr>
      <w:bookmarkStart w:id="4" w:name="_Toc63630482"/>
      <w:bookmarkStart w:id="5" w:name="_Toc8908_WPSOffice_Level1"/>
      <w:bookmarkStart w:id="6" w:name="_Toc5915286"/>
      <w:r>
        <w:rPr>
          <w:rFonts w:hint="eastAsia" w:ascii="国标宋体" w:hAnsi="国标宋体" w:eastAsia="国标宋体" w:cs="国标宋体"/>
          <w:b/>
          <w:kern w:val="44"/>
          <w:sz w:val="32"/>
          <w:szCs w:val="32"/>
        </w:rPr>
        <w:t>测评服务范围</w:t>
      </w:r>
      <w:bookmarkEnd w:id="4"/>
      <w:bookmarkEnd w:id="5"/>
      <w:bookmarkEnd w:id="6"/>
    </w:p>
    <w:p w14:paraId="51DA991C">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本项目测评范围涵盖：</w:t>
      </w:r>
    </w:p>
    <w:p w14:paraId="4A30989E">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1、等保测评服务内容：</w:t>
      </w:r>
    </w:p>
    <w:p w14:paraId="455BD03F">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依据国家信息安全等级保护制度规定及等保测评技术标准，对测评对象开展等级保护测评，包括安全技术测评和安全管理测评。等保工作流程包括以下几个阶段：等级保护对象定级、备案、建设整改、等级测评、监督检查，此次等保测评服务需包括配合完成定级、备案以及安全等级测评工作。</w:t>
      </w:r>
    </w:p>
    <w:p w14:paraId="6E50DB79">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2、测评对象：</w:t>
      </w:r>
    </w:p>
    <w:p w14:paraId="2F00A1F3">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此次上海市大数据中心等保项目的等保测评服务需求主要包括：</w:t>
      </w:r>
    </w:p>
    <w:p w14:paraId="4651BDD2">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按照相关安全标准如GB/T 22239-2019《信息安全技术 网络安全等级保护基本要求》、GB/T 28448-2019《网络安全等级保护测评要求》、GB/T 28449-2018 《网络安全等级保护测评过程指南》，对上海市大数据中心五中心各信息化服务团队共计</w:t>
      </w:r>
      <w:r>
        <w:rPr>
          <w:rFonts w:hint="eastAsia" w:ascii="国标宋体" w:hAnsi="国标宋体" w:eastAsia="国标宋体" w:cs="国标宋体"/>
          <w:kern w:val="2"/>
          <w:sz w:val="28"/>
          <w:szCs w:val="28"/>
          <w:lang w:val="en-US" w:eastAsia="zh-CN"/>
        </w:rPr>
        <w:t>47</w:t>
      </w:r>
      <w:r>
        <w:rPr>
          <w:rFonts w:hint="eastAsia" w:ascii="国标宋体" w:hAnsi="国标宋体" w:eastAsia="国标宋体" w:cs="国标宋体"/>
          <w:kern w:val="2"/>
          <w:sz w:val="28"/>
          <w:szCs w:val="28"/>
        </w:rPr>
        <w:t>个系统开展等保测评。</w:t>
      </w:r>
    </w:p>
    <w:tbl>
      <w:tblPr>
        <w:tblStyle w:val="18"/>
        <w:tblW w:w="8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0"/>
        <w:gridCol w:w="5738"/>
        <w:gridCol w:w="1358"/>
      </w:tblGrid>
      <w:tr w14:paraId="0BC2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E16">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序号</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DA19">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定级系统名称</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2977">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系统级别</w:t>
            </w:r>
          </w:p>
        </w:tc>
      </w:tr>
      <w:tr w14:paraId="40F8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7F8F">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29E0">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上海市法律援助服务系统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99E9">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55B4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D4C7">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1F15">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上海市司法局全面依法治市大系统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C775">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3333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7C74">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EE1A">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上海市机构编制网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4123">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7AC6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40D1">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B1E1">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上海市事业单位登记管理综合业务系统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B528">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3A2F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72C9">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4CE4">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上海市事业单位机构编制综合管理系统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02D7">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2422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1071">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E5BD">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上海市司法局认罪认罚系统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DB28">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383B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A314">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4DED">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上海市司法局12348公共法律服务系统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2F27">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386A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7A26">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26AC">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上海市司法局司法考试服务平台管理系统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FF64">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356C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7C11">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D80A">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上海市司法局在线公证系统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F82F">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01D6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EA5B">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D26C">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上海市司法局智慧调解系统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075B">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5B14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8EC4">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540C">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上海市司法局仲裁信息管理系统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63DD">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二级</w:t>
            </w:r>
          </w:p>
        </w:tc>
      </w:tr>
      <w:tr w14:paraId="6D55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E6BC">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80C4">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上海市司法行政门户网站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195D">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1B0C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2A9F">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017E">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上海市司法局行政许可审批管理系统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9052">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0B4C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9DCB">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3983">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上海律师综合管理信息系统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D276">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二级</w:t>
            </w:r>
          </w:p>
        </w:tc>
      </w:tr>
      <w:tr w14:paraId="7388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524B">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4622">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上海市法律服务行业信用信息系统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3260">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54E5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DC03">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4E7C">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上海市司法局一网统管基础系统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BEFD">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2478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5359">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C848">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上海市一体化办公平台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08B6">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020D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CF9F">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1D7B">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上海市视频会议基础能力平台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2B14">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35CF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AC91">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8C6D">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司法鉴定统一管理系统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C3EE">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2858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B7AD">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5D1F">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社区矫正一体化大系统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0C87">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3989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A5C7">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667B">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上海城市法规全书应用系统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08B0">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7744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B45E">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4610">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上海市司法局电子卷宗应用系统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0267">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4A88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2932">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C686">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行政复议体制改革信息化配套工程系统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60DA">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3047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74E0">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D2A1">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上海市司法局一体化办公系统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01EA">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2864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858F">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34BB">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上海市司法鉴定执法执业系统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58A2">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0409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80C5">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B384">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上海市司法局“互联网+监管”配套管理系统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61A1">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二级</w:t>
            </w:r>
          </w:p>
        </w:tc>
      </w:tr>
      <w:tr w14:paraId="0FC3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CB86">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D9A3">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上海市司法局刑事执行系统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1DFB">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二级</w:t>
            </w:r>
          </w:p>
        </w:tc>
      </w:tr>
      <w:tr w14:paraId="0FB3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60B4">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D96C">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戒毒执法管理和指挥系统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3597">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0D75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482F">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AA86">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上海市司法局智慧公证系统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C4D3">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14C1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1C70">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1254">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上海市因公电子护照系统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E9CD">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684A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C7E2">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B630">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上海外事网上行政服务中心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7342">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7471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8A8E">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7040">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因公出国（境）综合管理信息系统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E400">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568E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7792">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AA51">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集中办公点信息化基础设施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BA67">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1945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4601">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AD2A">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智慧机管局政务服务系统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74C9">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1F75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3F29">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071A">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市机管局“一网统管”大系统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982F">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18B6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F1C1">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2113">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市级机关集中办公点安全保卫信息化系统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9A4E">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0923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5278">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DA02">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合作交流服务大系统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D1EE">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二级</w:t>
            </w:r>
          </w:p>
        </w:tc>
      </w:tr>
      <w:tr w14:paraId="44BE2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EAF4">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CBB6">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上海市监狱管理局医疗信息一体化系统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FDB9">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3370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A1AB">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6EAE">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上海监狱移动执法系统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A37F">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36C8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19FA">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458A">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上海市监狱管理局警务管理与评估系统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FDD8">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7F4D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AE26">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7478">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上海市监狱管理局刑罚执行网上协同办案系统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EFF0">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7950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0B3A">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AF95">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上海市监狱管理局指挥中心应用管理系统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7D65">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66B6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61DF">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E9C1">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上海监狱场所安全风险预警系统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ACDD">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530B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5FC3">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40BE">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上海监狱工作数据综合应用系统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F058">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6B21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1EEE">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EE53">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上海监狱罪犯管理业务应用系统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ED63">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1AD3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46D2">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5967">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上海市监狱管理局系统协同办公系统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68B5">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r w14:paraId="1BBB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E42A">
            <w:pPr>
              <w:keepNext w:val="0"/>
              <w:keepLines w:val="0"/>
              <w:widowControl/>
              <w:suppressLineNumbers w:val="0"/>
              <w:jc w:val="center"/>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DEFB">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上海市人民政府办公厅政务信息资源应用系统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BCB4">
            <w:pPr>
              <w:keepNext w:val="0"/>
              <w:keepLines w:val="0"/>
              <w:widowControl/>
              <w:suppressLineNumbers w:val="0"/>
              <w:jc w:val="left"/>
              <w:textAlignment w:val="center"/>
              <w:rPr>
                <w:rFonts w:hint="eastAsia" w:ascii="国标宋体" w:hAnsi="国标宋体" w:eastAsia="国标宋体" w:cs="国标宋体"/>
                <w:i w:val="0"/>
                <w:iCs w:val="0"/>
                <w:color w:val="000000"/>
                <w:sz w:val="26"/>
                <w:szCs w:val="26"/>
                <w:u w:val="none"/>
              </w:rPr>
            </w:pPr>
            <w:r>
              <w:rPr>
                <w:rFonts w:hint="eastAsia" w:ascii="国标宋体" w:hAnsi="国标宋体" w:eastAsia="国标宋体" w:cs="国标宋体"/>
                <w:i w:val="0"/>
                <w:iCs w:val="0"/>
                <w:color w:val="000000"/>
                <w:kern w:val="0"/>
                <w:sz w:val="26"/>
                <w:szCs w:val="26"/>
                <w:u w:val="none"/>
                <w:lang w:val="en-US" w:eastAsia="zh-CN" w:bidi="ar"/>
              </w:rPr>
              <w:t>三级</w:t>
            </w:r>
          </w:p>
        </w:tc>
      </w:tr>
    </w:tbl>
    <w:p w14:paraId="21560CDA">
      <w:pPr>
        <w:widowControl w:val="0"/>
        <w:ind w:firstLine="560" w:firstLineChars="200"/>
        <w:jc w:val="both"/>
        <w:rPr>
          <w:rFonts w:hint="eastAsia" w:ascii="国标宋体" w:hAnsi="国标宋体" w:eastAsia="国标宋体" w:cs="国标宋体"/>
          <w:kern w:val="2"/>
          <w:sz w:val="28"/>
          <w:szCs w:val="28"/>
        </w:rPr>
      </w:pPr>
    </w:p>
    <w:p w14:paraId="35B19C59">
      <w:pPr>
        <w:pStyle w:val="2"/>
        <w:keepLines/>
        <w:widowControl w:val="0"/>
        <w:numPr>
          <w:ilvl w:val="0"/>
          <w:numId w:val="1"/>
        </w:numPr>
        <w:spacing w:before="340" w:after="330" w:line="578" w:lineRule="auto"/>
        <w:ind w:left="0" w:firstLine="0"/>
        <w:jc w:val="left"/>
        <w:rPr>
          <w:rFonts w:hint="eastAsia" w:ascii="国标宋体" w:hAnsi="国标宋体" w:eastAsia="国标宋体" w:cs="国标宋体"/>
          <w:b/>
          <w:kern w:val="44"/>
          <w:sz w:val="32"/>
          <w:szCs w:val="32"/>
        </w:rPr>
      </w:pPr>
      <w:bookmarkStart w:id="7" w:name="_Toc5915288"/>
      <w:bookmarkStart w:id="8" w:name="_Toc63630484"/>
      <w:bookmarkStart w:id="9" w:name="_Toc2667_WPSOffice_Level1"/>
      <w:r>
        <w:rPr>
          <w:rFonts w:hint="eastAsia" w:ascii="国标宋体" w:hAnsi="国标宋体" w:eastAsia="国标宋体" w:cs="国标宋体"/>
          <w:b/>
          <w:kern w:val="44"/>
          <w:sz w:val="32"/>
          <w:szCs w:val="32"/>
        </w:rPr>
        <w:t>测评工作内容</w:t>
      </w:r>
      <w:bookmarkEnd w:id="7"/>
      <w:bookmarkEnd w:id="8"/>
      <w:bookmarkEnd w:id="9"/>
    </w:p>
    <w:p w14:paraId="79C7CFA8">
      <w:pPr>
        <w:snapToGrid w:val="0"/>
        <w:spacing w:before="156" w:beforeLines="50" w:after="156" w:afterLines="50" w:line="440" w:lineRule="exact"/>
        <w:ind w:firstLine="561" w:firstLineChars="200"/>
        <w:jc w:val="both"/>
        <w:rPr>
          <w:rFonts w:hint="eastAsia" w:ascii="国标宋体" w:hAnsi="国标宋体" w:eastAsia="国标宋体" w:cs="国标宋体"/>
          <w:b/>
          <w:kern w:val="2"/>
          <w:sz w:val="28"/>
          <w:szCs w:val="28"/>
        </w:rPr>
      </w:pPr>
      <w:r>
        <w:rPr>
          <w:rFonts w:hint="eastAsia" w:ascii="国标宋体" w:hAnsi="国标宋体" w:eastAsia="国标宋体" w:cs="国标宋体"/>
          <w:b/>
          <w:kern w:val="2"/>
          <w:sz w:val="28"/>
          <w:szCs w:val="28"/>
        </w:rPr>
        <w:t>（一）实施标准及相关法律法规</w:t>
      </w:r>
    </w:p>
    <w:p w14:paraId="01764B42">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《中华人民共和国网络安全法》</w:t>
      </w:r>
    </w:p>
    <w:p w14:paraId="3231D3C2">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《中华人民共和国数据安全法》</w:t>
      </w:r>
    </w:p>
    <w:p w14:paraId="3C957678">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《中华人民共和国个人信息保护法》</w:t>
      </w:r>
    </w:p>
    <w:p w14:paraId="4CEEB964">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《关键信息基础设施安全保护条例》</w:t>
      </w:r>
    </w:p>
    <w:p w14:paraId="7D4B00C0">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《信息安全技术 网络安全等级保护基本要求》（GB/T 22239-2019）</w:t>
      </w:r>
    </w:p>
    <w:p w14:paraId="4168B445">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《信息安全技术 网络安全等级保护设计技术要求》（GB/T 25070-2019）</w:t>
      </w:r>
    </w:p>
    <w:p w14:paraId="68D891E8">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《信息安全技术 网络安全等级保护测评要求》（GB/T 28448-2019）</w:t>
      </w:r>
    </w:p>
    <w:p w14:paraId="57625F20">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《信息安全技术 网络安全等级保护测评过程指南》（GB/T 28449-2018）</w:t>
      </w:r>
    </w:p>
    <w:p w14:paraId="73E83367">
      <w:pPr>
        <w:snapToGrid w:val="0"/>
        <w:spacing w:before="156" w:beforeLines="50" w:after="156" w:afterLines="50" w:line="440" w:lineRule="exact"/>
        <w:ind w:firstLine="561" w:firstLineChars="200"/>
        <w:jc w:val="both"/>
        <w:rPr>
          <w:rFonts w:hint="eastAsia" w:ascii="国标宋体" w:hAnsi="国标宋体" w:eastAsia="国标宋体" w:cs="国标宋体"/>
          <w:b/>
          <w:kern w:val="2"/>
          <w:sz w:val="28"/>
          <w:szCs w:val="28"/>
        </w:rPr>
      </w:pPr>
      <w:r>
        <w:rPr>
          <w:rFonts w:hint="eastAsia" w:ascii="国标宋体" w:hAnsi="国标宋体" w:eastAsia="国标宋体" w:cs="国标宋体"/>
          <w:b/>
          <w:kern w:val="2"/>
          <w:sz w:val="28"/>
          <w:szCs w:val="28"/>
        </w:rPr>
        <w:t>（二）等保测评实施流程：</w:t>
      </w:r>
    </w:p>
    <w:p w14:paraId="2E08DC06">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构依据国家信息安全等级保护制度最新规定，按照有关管理规范和技术标准，对处理特定应用的信息系统的保护状况进行检测评估，判定受测系统的技术和管理级别与所定安全等级要求的符合程度，基于符合程度给出是否满足所定安全等级的结论，针对安全不符合项提出安全整改建议。根据应用系统的需要，分别按照定级情况，如二级等保、三级等保测评的测评，包括安全技术测评和安全管理测评。</w:t>
      </w:r>
    </w:p>
    <w:p w14:paraId="24ED9159">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网络安全等级保护工作流程包括以下几个阶段：前期系统调研、配合定级备案、测评方案编制、现场测评实施、测评问题汇总、问题整改复核、测评报告编制。</w:t>
      </w:r>
    </w:p>
    <w:p w14:paraId="48EDBB87">
      <w:pPr>
        <w:snapToGrid w:val="0"/>
        <w:spacing w:before="156" w:beforeLines="50" w:after="156" w:afterLines="50" w:line="440" w:lineRule="exact"/>
        <w:ind w:firstLine="561" w:firstLineChars="200"/>
        <w:jc w:val="both"/>
        <w:rPr>
          <w:rFonts w:hint="eastAsia" w:ascii="国标宋体" w:hAnsi="国标宋体" w:eastAsia="国标宋体" w:cs="国标宋体"/>
          <w:b/>
          <w:kern w:val="2"/>
          <w:sz w:val="28"/>
          <w:szCs w:val="28"/>
        </w:rPr>
      </w:pPr>
      <w:r>
        <w:rPr>
          <w:rFonts w:hint="eastAsia" w:ascii="国标宋体" w:hAnsi="国标宋体" w:eastAsia="国标宋体" w:cs="国标宋体"/>
          <w:b/>
          <w:kern w:val="2"/>
          <w:sz w:val="28"/>
          <w:szCs w:val="28"/>
        </w:rPr>
        <w:t>（三）等保测评阶段实施内容：</w:t>
      </w:r>
    </w:p>
    <w:p w14:paraId="63400CB9">
      <w:pPr>
        <w:widowControl w:val="0"/>
        <w:numPr>
          <w:ilvl w:val="0"/>
          <w:numId w:val="2"/>
        </w:numPr>
        <w:spacing w:line="560" w:lineRule="exact"/>
        <w:jc w:val="both"/>
        <w:rPr>
          <w:rFonts w:hint="eastAsia" w:ascii="国标宋体" w:hAnsi="国标宋体" w:eastAsia="国标宋体" w:cs="国标宋体"/>
          <w:bCs/>
          <w:kern w:val="2"/>
          <w:sz w:val="28"/>
          <w:szCs w:val="28"/>
        </w:rPr>
      </w:pPr>
      <w:r>
        <w:rPr>
          <w:rFonts w:hint="eastAsia" w:ascii="国标宋体" w:hAnsi="国标宋体" w:eastAsia="国标宋体" w:cs="国标宋体"/>
          <w:bCs/>
          <w:kern w:val="2"/>
          <w:sz w:val="28"/>
          <w:szCs w:val="28"/>
        </w:rPr>
        <w:t>前期系统调研：</w:t>
      </w:r>
    </w:p>
    <w:p w14:paraId="2B34F784">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对</w:t>
      </w:r>
      <w:r>
        <w:rPr>
          <w:rFonts w:hint="eastAsia" w:ascii="国标宋体" w:hAnsi="国标宋体" w:eastAsia="国标宋体" w:cs="国标宋体"/>
          <w:kern w:val="2"/>
          <w:sz w:val="28"/>
          <w:szCs w:val="28"/>
          <w:lang w:val="en-US" w:eastAsia="zh-CN"/>
        </w:rPr>
        <w:t>47</w:t>
      </w:r>
      <w:r>
        <w:rPr>
          <w:rFonts w:hint="eastAsia" w:ascii="国标宋体" w:hAnsi="国标宋体" w:eastAsia="国标宋体" w:cs="国标宋体"/>
          <w:kern w:val="2"/>
          <w:sz w:val="28"/>
          <w:szCs w:val="28"/>
        </w:rPr>
        <w:t>个信息系统中的服务器、数据库、虚拟机、网络设备、安全设备、应用平台等测评对象和测评范围的调研；</w:t>
      </w:r>
    </w:p>
    <w:p w14:paraId="2A08426B">
      <w:pPr>
        <w:widowControl w:val="0"/>
        <w:numPr>
          <w:ilvl w:val="0"/>
          <w:numId w:val="2"/>
        </w:numPr>
        <w:spacing w:line="560" w:lineRule="exact"/>
        <w:jc w:val="both"/>
        <w:rPr>
          <w:rFonts w:hint="eastAsia" w:ascii="国标宋体" w:hAnsi="国标宋体" w:eastAsia="国标宋体" w:cs="国标宋体"/>
          <w:bCs/>
          <w:kern w:val="2"/>
          <w:sz w:val="28"/>
          <w:szCs w:val="28"/>
        </w:rPr>
      </w:pPr>
      <w:r>
        <w:rPr>
          <w:rFonts w:hint="eastAsia" w:ascii="国标宋体" w:hAnsi="国标宋体" w:eastAsia="国标宋体" w:cs="国标宋体"/>
          <w:bCs/>
          <w:kern w:val="2"/>
          <w:sz w:val="28"/>
          <w:szCs w:val="28"/>
        </w:rPr>
        <w:t>配合定级备案</w:t>
      </w:r>
    </w:p>
    <w:p w14:paraId="19E8D6F1">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配合完成未定级信息系统的定级指导和备案材料的准备；</w:t>
      </w:r>
    </w:p>
    <w:p w14:paraId="148AADC0">
      <w:pPr>
        <w:widowControl w:val="0"/>
        <w:numPr>
          <w:ilvl w:val="0"/>
          <w:numId w:val="2"/>
        </w:numPr>
        <w:spacing w:line="560" w:lineRule="exact"/>
        <w:jc w:val="both"/>
        <w:rPr>
          <w:rFonts w:hint="eastAsia" w:ascii="国标宋体" w:hAnsi="国标宋体" w:eastAsia="国标宋体" w:cs="国标宋体"/>
          <w:bCs/>
          <w:kern w:val="2"/>
          <w:sz w:val="28"/>
          <w:szCs w:val="28"/>
        </w:rPr>
      </w:pPr>
      <w:r>
        <w:rPr>
          <w:rFonts w:hint="eastAsia" w:ascii="国标宋体" w:hAnsi="国标宋体" w:eastAsia="国标宋体" w:cs="国标宋体"/>
          <w:bCs/>
          <w:kern w:val="2"/>
          <w:sz w:val="28"/>
          <w:szCs w:val="28"/>
        </w:rPr>
        <w:t>测评方案编制</w:t>
      </w:r>
    </w:p>
    <w:p w14:paraId="27385C31">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根据调研内容，完成测评方案和测评计划；</w:t>
      </w:r>
    </w:p>
    <w:p w14:paraId="38359B8B">
      <w:pPr>
        <w:widowControl w:val="0"/>
        <w:numPr>
          <w:ilvl w:val="0"/>
          <w:numId w:val="2"/>
        </w:numPr>
        <w:spacing w:line="560" w:lineRule="exact"/>
        <w:jc w:val="both"/>
        <w:rPr>
          <w:rFonts w:hint="eastAsia" w:ascii="国标宋体" w:hAnsi="国标宋体" w:eastAsia="国标宋体" w:cs="国标宋体"/>
          <w:bCs/>
          <w:kern w:val="2"/>
          <w:sz w:val="28"/>
          <w:szCs w:val="28"/>
        </w:rPr>
      </w:pPr>
      <w:r>
        <w:rPr>
          <w:rFonts w:hint="eastAsia" w:ascii="国标宋体" w:hAnsi="国标宋体" w:eastAsia="国标宋体" w:cs="国标宋体"/>
          <w:bCs/>
          <w:kern w:val="2"/>
          <w:sz w:val="28"/>
          <w:szCs w:val="28"/>
        </w:rPr>
        <w:t>现场测评实施</w:t>
      </w:r>
    </w:p>
    <w:p w14:paraId="7B9CF1DE">
      <w:pPr>
        <w:snapToGrid w:val="0"/>
        <w:spacing w:before="156" w:beforeLines="50" w:after="156" w:afterLines="50" w:line="440" w:lineRule="exact"/>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（1）安全技术测评</w:t>
      </w:r>
    </w:p>
    <w:p w14:paraId="4EF7D1B3">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安全物理环境：针对系统的机房、设备设施等对象进行核查；</w:t>
      </w:r>
    </w:p>
    <w:p w14:paraId="1434AA34">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安全通信网络：针对系统的网络架构、网络设备、网络防护、通信传输等对象和内容进行核查和技术测试；</w:t>
      </w:r>
    </w:p>
    <w:p w14:paraId="43724F21">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安全区域边界：针对系统的网络架构、网络设备的安全区域边界防护情况进行核查和技术测试；</w:t>
      </w:r>
    </w:p>
    <w:p w14:paraId="13526E59">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安全计算环境：针对系统的网络设备、安全设备、服务器、重要客户端的操作系统和数据库、应用系统（如业务系统、办公系统、网站发布系统）等对象进行核查和技术测试；</w:t>
      </w:r>
    </w:p>
    <w:p w14:paraId="5C5FF923">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安全管理中心：针对系统的网络架构、审计系统、运维管理平台等对象进行核查和技术测试；</w:t>
      </w:r>
    </w:p>
    <w:p w14:paraId="68E5A561">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渗透性测试：针对应用系统（如业务系统、办公系统、网站发布系统）等进行渗透性测试，内容包括网站远程扫描、参数过滤漏洞、远程权限控制、敏感信息泄露等；</w:t>
      </w:r>
    </w:p>
    <w:p w14:paraId="4D066922">
      <w:pPr>
        <w:snapToGrid w:val="0"/>
        <w:spacing w:before="156" w:beforeLines="50" w:after="156" w:afterLines="50" w:line="440" w:lineRule="exact"/>
        <w:ind w:firstLine="48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4"/>
          <w:szCs w:val="24"/>
        </w:rPr>
        <w:t>（</w:t>
      </w:r>
      <w:r>
        <w:rPr>
          <w:rFonts w:hint="eastAsia" w:ascii="国标宋体" w:hAnsi="国标宋体" w:eastAsia="国标宋体" w:cs="国标宋体"/>
          <w:kern w:val="2"/>
          <w:sz w:val="28"/>
          <w:szCs w:val="28"/>
        </w:rPr>
        <w:t>2）安全管理测评</w:t>
      </w:r>
    </w:p>
    <w:p w14:paraId="09FC109A">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安全管理制度：针对管理制度、制定和发布、评审和修订等情况进行核查；</w:t>
      </w:r>
    </w:p>
    <w:p w14:paraId="26158FDB">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安全管理机构：针对岗位设置、人员配备、授权和审批、沟通和协作、审核和检查等情况进行审核；</w:t>
      </w:r>
    </w:p>
    <w:p w14:paraId="243C88F8">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安全管理人员：针对人员录用、人员离岗、人员考核、安全意识教育和培训、外部人员访问管理等进行核查；</w:t>
      </w:r>
    </w:p>
    <w:p w14:paraId="415F65B7">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安全建设管理：针对系统建设的全过程，系统定级、安全方案设计、产品采购和使用、自行软件开发、外包软件开发等进行核查；</w:t>
      </w:r>
    </w:p>
    <w:p w14:paraId="03CDEC3C">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安全运维管理：针对资产管理、介质管理、设备管理、监控管理、系统安全管理、恶意代码防范管理、密码管理、变更管理、备份与恢复管理、安全事件处置、应急预案管理进行核查。</w:t>
      </w:r>
    </w:p>
    <w:p w14:paraId="0DEC699B">
      <w:pPr>
        <w:widowControl w:val="0"/>
        <w:numPr>
          <w:ilvl w:val="0"/>
          <w:numId w:val="2"/>
        </w:numPr>
        <w:spacing w:line="560" w:lineRule="exact"/>
        <w:jc w:val="both"/>
        <w:rPr>
          <w:rFonts w:hint="eastAsia" w:ascii="国标宋体" w:hAnsi="国标宋体" w:eastAsia="国标宋体" w:cs="国标宋体"/>
          <w:bCs/>
          <w:kern w:val="2"/>
          <w:sz w:val="28"/>
          <w:szCs w:val="28"/>
        </w:rPr>
      </w:pPr>
      <w:r>
        <w:rPr>
          <w:rFonts w:hint="eastAsia" w:ascii="国标宋体" w:hAnsi="国标宋体" w:eastAsia="国标宋体" w:cs="国标宋体"/>
          <w:bCs/>
          <w:kern w:val="2"/>
          <w:sz w:val="28"/>
          <w:szCs w:val="28"/>
        </w:rPr>
        <w:t>测评问题汇总</w:t>
      </w:r>
    </w:p>
    <w:p w14:paraId="419C0E70">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在安全等级测评工作中发现安全风险问题汇总后及时反馈，同时要求提供实施问题整改意见。</w:t>
      </w:r>
    </w:p>
    <w:p w14:paraId="1AE2C232">
      <w:pPr>
        <w:widowControl w:val="0"/>
        <w:numPr>
          <w:ilvl w:val="0"/>
          <w:numId w:val="2"/>
        </w:numPr>
        <w:spacing w:line="560" w:lineRule="exact"/>
        <w:jc w:val="both"/>
        <w:rPr>
          <w:rFonts w:hint="eastAsia" w:ascii="国标宋体" w:hAnsi="国标宋体" w:eastAsia="国标宋体" w:cs="国标宋体"/>
          <w:bCs/>
          <w:kern w:val="2"/>
          <w:sz w:val="28"/>
          <w:szCs w:val="28"/>
        </w:rPr>
      </w:pPr>
      <w:r>
        <w:rPr>
          <w:rFonts w:hint="eastAsia" w:ascii="国标宋体" w:hAnsi="国标宋体" w:eastAsia="国标宋体" w:cs="国标宋体"/>
          <w:bCs/>
          <w:kern w:val="2"/>
          <w:sz w:val="28"/>
          <w:szCs w:val="28"/>
        </w:rPr>
        <w:t>问题整改复核</w:t>
      </w:r>
    </w:p>
    <w:p w14:paraId="0840B409">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待完成整改后，再对整改情况进行复核，以保证信息系统安全性方面分别满足相应等级保护标准的要求。</w:t>
      </w:r>
    </w:p>
    <w:p w14:paraId="354775C4">
      <w:pPr>
        <w:widowControl w:val="0"/>
        <w:numPr>
          <w:ilvl w:val="0"/>
          <w:numId w:val="2"/>
        </w:numPr>
        <w:spacing w:line="560" w:lineRule="exact"/>
        <w:jc w:val="both"/>
        <w:rPr>
          <w:rFonts w:hint="eastAsia" w:ascii="国标宋体" w:hAnsi="国标宋体" w:eastAsia="国标宋体" w:cs="国标宋体"/>
          <w:bCs/>
          <w:kern w:val="2"/>
          <w:sz w:val="28"/>
          <w:szCs w:val="28"/>
        </w:rPr>
      </w:pPr>
      <w:r>
        <w:rPr>
          <w:rFonts w:hint="eastAsia" w:ascii="国标宋体" w:hAnsi="国标宋体" w:eastAsia="国标宋体" w:cs="国标宋体"/>
          <w:bCs/>
          <w:kern w:val="2"/>
          <w:sz w:val="28"/>
          <w:szCs w:val="28"/>
        </w:rPr>
        <w:t>测评报告编制</w:t>
      </w:r>
    </w:p>
    <w:p w14:paraId="117DB866">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根据</w:t>
      </w:r>
      <w:r>
        <w:rPr>
          <w:rFonts w:hint="eastAsia" w:ascii="国标宋体" w:hAnsi="国标宋体" w:eastAsia="国标宋体" w:cs="国标宋体"/>
          <w:kern w:val="2"/>
          <w:sz w:val="28"/>
          <w:szCs w:val="28"/>
          <w:lang w:val="en-US" w:eastAsia="zh-CN"/>
        </w:rPr>
        <w:t>47</w:t>
      </w:r>
      <w:r>
        <w:rPr>
          <w:rFonts w:hint="eastAsia" w:ascii="国标宋体" w:hAnsi="国标宋体" w:eastAsia="国标宋体" w:cs="国标宋体"/>
          <w:kern w:val="2"/>
          <w:sz w:val="28"/>
          <w:szCs w:val="28"/>
        </w:rPr>
        <w:t>个信息系统的最终测评情况，分别出具网络安全等级测评报告。</w:t>
      </w:r>
    </w:p>
    <w:p w14:paraId="1F17CC84">
      <w:pPr>
        <w:pStyle w:val="2"/>
        <w:keepLines/>
        <w:widowControl w:val="0"/>
        <w:numPr>
          <w:ilvl w:val="0"/>
          <w:numId w:val="1"/>
        </w:numPr>
        <w:spacing w:before="340" w:after="330" w:line="578" w:lineRule="auto"/>
        <w:ind w:left="0" w:firstLine="0"/>
        <w:jc w:val="left"/>
        <w:rPr>
          <w:rFonts w:hint="eastAsia" w:ascii="国标宋体" w:hAnsi="国标宋体" w:eastAsia="国标宋体" w:cs="国标宋体"/>
          <w:b/>
          <w:kern w:val="44"/>
          <w:sz w:val="32"/>
          <w:szCs w:val="32"/>
        </w:rPr>
      </w:pPr>
      <w:bookmarkStart w:id="10" w:name="_Toc5915308"/>
      <w:bookmarkStart w:id="11" w:name="_Toc9447_WPSOffice_Level1"/>
      <w:bookmarkStart w:id="12" w:name="_Toc63630485"/>
      <w:r>
        <w:rPr>
          <w:rFonts w:hint="eastAsia" w:ascii="国标宋体" w:hAnsi="国标宋体" w:eastAsia="国标宋体" w:cs="国标宋体"/>
          <w:b/>
          <w:kern w:val="44"/>
          <w:sz w:val="32"/>
          <w:szCs w:val="32"/>
        </w:rPr>
        <w:t>测评工作目标</w:t>
      </w:r>
      <w:bookmarkEnd w:id="10"/>
      <w:bookmarkEnd w:id="11"/>
      <w:bookmarkEnd w:id="12"/>
    </w:p>
    <w:p w14:paraId="6F0DA4EA">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1、深刻理解本项目实施的背景，同时密切结合该项目的实际情况，提供针对性的项目实施方案，以便充分保障本项目按期完成；</w:t>
      </w:r>
    </w:p>
    <w:p w14:paraId="797C915A">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2、项目的实施方案需包括项目背景之细述、结合该项目实际情况的具体测评实施方案和具体测评进度安排、各分项质量目标及保证措施以及本标书要求的其他应写入项目实施方案的内容；</w:t>
      </w:r>
    </w:p>
    <w:p w14:paraId="3AE11CB6">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3、项目测评工作中，出具每个系统的《问题汇总及整改意见表》等过程文件，以便配合业主督促项目实施运维商进行问题整改，在运维商完成整改后，再进行复核测评；</w:t>
      </w:r>
    </w:p>
    <w:p w14:paraId="69174510">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4、测评工作全部完成后，所有测评都将提供最终测评报告。</w:t>
      </w:r>
    </w:p>
    <w:p w14:paraId="3CC15393">
      <w:pPr>
        <w:pStyle w:val="2"/>
        <w:keepLines/>
        <w:widowControl w:val="0"/>
        <w:numPr>
          <w:ilvl w:val="0"/>
          <w:numId w:val="1"/>
        </w:numPr>
        <w:spacing w:before="340" w:after="330" w:line="578" w:lineRule="auto"/>
        <w:ind w:left="0" w:firstLine="0"/>
        <w:jc w:val="left"/>
        <w:rPr>
          <w:rFonts w:hint="eastAsia" w:ascii="国标宋体" w:hAnsi="国标宋体" w:eastAsia="国标宋体" w:cs="国标宋体"/>
          <w:b/>
          <w:kern w:val="44"/>
          <w:sz w:val="32"/>
          <w:szCs w:val="32"/>
        </w:rPr>
      </w:pPr>
      <w:bookmarkStart w:id="13" w:name="_Toc69194682"/>
      <w:bookmarkStart w:id="14" w:name="_Hlk157085871"/>
      <w:r>
        <w:rPr>
          <w:rFonts w:hint="eastAsia" w:ascii="国标宋体" w:hAnsi="国标宋体" w:eastAsia="国标宋体" w:cs="国标宋体"/>
          <w:b/>
          <w:kern w:val="44"/>
          <w:sz w:val="32"/>
          <w:szCs w:val="32"/>
        </w:rPr>
        <w:t>服务质量考核</w:t>
      </w:r>
      <w:bookmarkEnd w:id="13"/>
      <w:r>
        <w:rPr>
          <w:rFonts w:hint="eastAsia" w:ascii="国标宋体" w:hAnsi="国标宋体" w:eastAsia="国标宋体" w:cs="国标宋体"/>
          <w:b/>
          <w:kern w:val="44"/>
          <w:sz w:val="32"/>
          <w:szCs w:val="32"/>
        </w:rPr>
        <w:t>要求</w:t>
      </w:r>
    </w:p>
    <w:p w14:paraId="5FB0034B">
      <w:pPr>
        <w:pStyle w:val="3"/>
        <w:widowControl w:val="0"/>
        <w:numPr>
          <w:ilvl w:val="0"/>
          <w:numId w:val="3"/>
        </w:numPr>
        <w:spacing w:line="415" w:lineRule="auto"/>
        <w:rPr>
          <w:rFonts w:hint="eastAsia" w:ascii="国标宋体" w:hAnsi="国标宋体" w:eastAsia="国标宋体" w:cs="国标宋体"/>
          <w:kern w:val="2"/>
          <w:sz w:val="28"/>
        </w:rPr>
      </w:pPr>
      <w:r>
        <w:rPr>
          <w:rFonts w:hint="eastAsia" w:ascii="国标宋体" w:hAnsi="国标宋体" w:eastAsia="国标宋体" w:cs="国标宋体"/>
          <w:kern w:val="2"/>
          <w:sz w:val="28"/>
        </w:rPr>
        <w:t xml:space="preserve">考核标准 </w:t>
      </w:r>
    </w:p>
    <w:p w14:paraId="53A754D5">
      <w:pPr>
        <w:spacing w:line="560" w:lineRule="exact"/>
        <w:ind w:firstLine="560" w:firstLineChars="200"/>
        <w:rPr>
          <w:rFonts w:hint="eastAsia" w:ascii="国标宋体" w:hAnsi="国标宋体" w:eastAsia="国标宋体" w:cs="国标宋体"/>
          <w:sz w:val="28"/>
          <w:szCs w:val="28"/>
        </w:rPr>
      </w:pPr>
      <w:r>
        <w:rPr>
          <w:rFonts w:hint="eastAsia" w:ascii="国标宋体" w:hAnsi="国标宋体" w:eastAsia="国标宋体" w:cs="国标宋体"/>
          <w:sz w:val="28"/>
          <w:szCs w:val="28"/>
        </w:rPr>
        <w:t>（1）在履行期限内，服务提供方需遵循合同规定的五大总体服务原则。</w:t>
      </w:r>
    </w:p>
    <w:p w14:paraId="556E4878">
      <w:pPr>
        <w:spacing w:line="560" w:lineRule="exact"/>
        <w:ind w:firstLine="560" w:firstLineChars="200"/>
        <w:rPr>
          <w:rFonts w:hint="eastAsia" w:ascii="国标宋体" w:hAnsi="国标宋体" w:eastAsia="国标宋体" w:cs="国标宋体"/>
          <w:sz w:val="28"/>
          <w:szCs w:val="28"/>
        </w:rPr>
      </w:pPr>
      <w:r>
        <w:rPr>
          <w:rFonts w:hint="eastAsia" w:ascii="国标宋体" w:hAnsi="国标宋体" w:eastAsia="国标宋体" w:cs="国标宋体"/>
          <w:sz w:val="28"/>
          <w:szCs w:val="28"/>
        </w:rPr>
        <w:t>（2）在履行期限内，服务提供方应当按照合同规定的频率和质量完成相关安排测评工作，并以书面形式向用户方递交对应的安全测评报告。</w:t>
      </w:r>
    </w:p>
    <w:p w14:paraId="02DEFC50">
      <w:pPr>
        <w:spacing w:line="560" w:lineRule="exact"/>
        <w:ind w:firstLine="560" w:firstLineChars="200"/>
        <w:rPr>
          <w:rFonts w:hint="eastAsia" w:ascii="国标宋体" w:hAnsi="国标宋体" w:eastAsia="国标宋体" w:cs="国标宋体"/>
          <w:sz w:val="28"/>
          <w:szCs w:val="28"/>
        </w:rPr>
      </w:pPr>
      <w:r>
        <w:rPr>
          <w:rFonts w:hint="eastAsia" w:ascii="国标宋体" w:hAnsi="国标宋体" w:eastAsia="国标宋体" w:cs="国标宋体"/>
          <w:sz w:val="28"/>
          <w:szCs w:val="28"/>
        </w:rPr>
        <w:t>（3）在履行期限内，服务提供方应当积极与用户进行沟通，及时响应用户方测评工作安排，做好服务记录，并按照管理要求提供相关文档。用户满意度95%以上。</w:t>
      </w:r>
    </w:p>
    <w:p w14:paraId="3F823EF0">
      <w:pPr>
        <w:spacing w:line="560" w:lineRule="exact"/>
        <w:ind w:firstLine="560" w:firstLineChars="200"/>
        <w:rPr>
          <w:rFonts w:hint="eastAsia" w:ascii="国标宋体" w:hAnsi="国标宋体" w:eastAsia="国标宋体" w:cs="国标宋体"/>
          <w:sz w:val="28"/>
          <w:szCs w:val="28"/>
        </w:rPr>
      </w:pPr>
      <w:r>
        <w:rPr>
          <w:rFonts w:hint="eastAsia" w:ascii="国标宋体" w:hAnsi="国标宋体" w:eastAsia="国标宋体" w:cs="国标宋体"/>
          <w:sz w:val="28"/>
          <w:szCs w:val="28"/>
        </w:rPr>
        <w:t>（4）在履行期限内，服务提供方提供的安全测评服务能够有效降低安全风险，提高安全管理水平。</w:t>
      </w:r>
    </w:p>
    <w:p w14:paraId="02B547AC">
      <w:pPr>
        <w:spacing w:line="560" w:lineRule="exact"/>
        <w:ind w:firstLine="560" w:firstLineChars="200"/>
        <w:rPr>
          <w:rFonts w:hint="eastAsia" w:ascii="国标宋体" w:hAnsi="国标宋体" w:eastAsia="国标宋体" w:cs="国标宋体"/>
          <w:sz w:val="28"/>
          <w:szCs w:val="28"/>
        </w:rPr>
      </w:pPr>
      <w:r>
        <w:rPr>
          <w:rFonts w:hint="eastAsia" w:ascii="国标宋体" w:hAnsi="国标宋体" w:eastAsia="国标宋体" w:cs="国标宋体"/>
          <w:sz w:val="28"/>
          <w:szCs w:val="28"/>
        </w:rPr>
        <w:t>（5）工作人员进入用户现场，遵守用户现场管理制度：包含不限于人员出勤制度、安全条例等。</w:t>
      </w:r>
    </w:p>
    <w:p w14:paraId="7F8B4ABA">
      <w:pPr>
        <w:spacing w:line="560" w:lineRule="exact"/>
        <w:ind w:firstLine="560" w:firstLineChars="200"/>
        <w:rPr>
          <w:rFonts w:hint="eastAsia" w:ascii="国标宋体" w:hAnsi="国标宋体" w:eastAsia="国标宋体" w:cs="国标宋体"/>
          <w:sz w:val="28"/>
          <w:szCs w:val="28"/>
        </w:rPr>
      </w:pPr>
      <w:r>
        <w:rPr>
          <w:rFonts w:hint="eastAsia" w:ascii="国标宋体" w:hAnsi="国标宋体" w:eastAsia="国标宋体" w:cs="国标宋体"/>
          <w:sz w:val="28"/>
          <w:szCs w:val="28"/>
        </w:rPr>
        <w:t>（6）文档完整度和准确率大于95%。</w:t>
      </w:r>
    </w:p>
    <w:p w14:paraId="1DBEB916">
      <w:pPr>
        <w:spacing w:line="560" w:lineRule="exact"/>
        <w:ind w:firstLine="560" w:firstLineChars="200"/>
        <w:rPr>
          <w:rFonts w:hint="eastAsia" w:ascii="国标宋体" w:hAnsi="国标宋体" w:eastAsia="国标宋体" w:cs="国标宋体"/>
          <w:sz w:val="28"/>
          <w:szCs w:val="28"/>
        </w:rPr>
      </w:pPr>
      <w:r>
        <w:rPr>
          <w:rFonts w:hint="eastAsia" w:ascii="国标宋体" w:hAnsi="国标宋体" w:eastAsia="国标宋体" w:cs="国标宋体"/>
          <w:sz w:val="28"/>
          <w:szCs w:val="28"/>
        </w:rPr>
        <w:t>优秀：考核满足上述6条标准。</w:t>
      </w:r>
    </w:p>
    <w:p w14:paraId="38CF409B">
      <w:pPr>
        <w:spacing w:line="560" w:lineRule="exact"/>
        <w:ind w:firstLine="560" w:firstLineChars="200"/>
        <w:rPr>
          <w:rFonts w:hint="eastAsia" w:ascii="国标宋体" w:hAnsi="国标宋体" w:eastAsia="国标宋体" w:cs="国标宋体"/>
          <w:sz w:val="28"/>
          <w:szCs w:val="28"/>
        </w:rPr>
      </w:pPr>
      <w:r>
        <w:rPr>
          <w:rFonts w:hint="eastAsia" w:ascii="国标宋体" w:hAnsi="国标宋体" w:eastAsia="国标宋体" w:cs="国标宋体"/>
          <w:sz w:val="28"/>
          <w:szCs w:val="28"/>
        </w:rPr>
        <w:t>良好：考核满足上述5条标准。</w:t>
      </w:r>
    </w:p>
    <w:p w14:paraId="01EE5C52">
      <w:pPr>
        <w:spacing w:line="560" w:lineRule="exact"/>
        <w:ind w:firstLine="560" w:firstLineChars="200"/>
        <w:rPr>
          <w:rFonts w:hint="eastAsia" w:ascii="国标宋体" w:hAnsi="国标宋体" w:eastAsia="国标宋体" w:cs="国标宋体"/>
          <w:sz w:val="28"/>
          <w:szCs w:val="28"/>
        </w:rPr>
      </w:pPr>
      <w:r>
        <w:rPr>
          <w:rFonts w:hint="eastAsia" w:ascii="国标宋体" w:hAnsi="国标宋体" w:eastAsia="国标宋体" w:cs="国标宋体"/>
          <w:sz w:val="28"/>
          <w:szCs w:val="28"/>
        </w:rPr>
        <w:t>一般：考核满足上述4条标准。</w:t>
      </w:r>
    </w:p>
    <w:p w14:paraId="30585962">
      <w:pPr>
        <w:pStyle w:val="3"/>
        <w:widowControl w:val="0"/>
        <w:numPr>
          <w:ilvl w:val="0"/>
          <w:numId w:val="3"/>
        </w:numPr>
        <w:spacing w:line="415" w:lineRule="auto"/>
        <w:rPr>
          <w:rFonts w:hint="eastAsia" w:ascii="国标宋体" w:hAnsi="国标宋体" w:eastAsia="国标宋体" w:cs="国标宋体"/>
          <w:kern w:val="2"/>
          <w:sz w:val="28"/>
        </w:rPr>
      </w:pPr>
      <w:r>
        <w:rPr>
          <w:rFonts w:hint="eastAsia" w:ascii="国标宋体" w:hAnsi="国标宋体" w:eastAsia="国标宋体" w:cs="国标宋体"/>
          <w:kern w:val="2"/>
          <w:sz w:val="28"/>
        </w:rPr>
        <w:t>考核方式</w:t>
      </w:r>
    </w:p>
    <w:p w14:paraId="4869C2CB">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（1）在履行期限内，服务提供方应当在服务期限过半及服务验收前以书面形式向用户方递交作证材料，用户方在收到佐证材料后的10个工作日内，完成服务质量考核。</w:t>
      </w:r>
    </w:p>
    <w:p w14:paraId="1C62CD73">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（2）如果由于服务提供方原因未能通过服务质量考核，服务提供方应当自收到通知之日起10日内及时整改，并自行承担相关整改费用，直至服务完全符合要求。</w:t>
      </w:r>
    </w:p>
    <w:bookmarkEnd w:id="14"/>
    <w:p w14:paraId="1570773E">
      <w:pPr>
        <w:pStyle w:val="2"/>
        <w:keepLines/>
        <w:widowControl w:val="0"/>
        <w:numPr>
          <w:ilvl w:val="0"/>
          <w:numId w:val="1"/>
        </w:numPr>
        <w:spacing w:before="340" w:after="330" w:line="578" w:lineRule="auto"/>
        <w:ind w:left="0" w:firstLine="0"/>
        <w:jc w:val="left"/>
        <w:rPr>
          <w:rFonts w:hint="eastAsia" w:ascii="国标宋体" w:hAnsi="国标宋体" w:eastAsia="国标宋体" w:cs="国标宋体"/>
          <w:b/>
          <w:kern w:val="44"/>
          <w:sz w:val="32"/>
          <w:szCs w:val="32"/>
        </w:rPr>
      </w:pPr>
      <w:bookmarkStart w:id="15" w:name="_Toc63630490"/>
      <w:r>
        <w:rPr>
          <w:rFonts w:hint="eastAsia" w:ascii="国标宋体" w:hAnsi="国标宋体" w:eastAsia="国标宋体" w:cs="国标宋体"/>
          <w:b/>
          <w:kern w:val="44"/>
          <w:sz w:val="32"/>
          <w:szCs w:val="32"/>
        </w:rPr>
        <w:t>验收</w:t>
      </w:r>
      <w:bookmarkEnd w:id="15"/>
      <w:r>
        <w:rPr>
          <w:rFonts w:hint="eastAsia" w:ascii="国标宋体" w:hAnsi="国标宋体" w:eastAsia="国标宋体" w:cs="国标宋体"/>
          <w:b/>
          <w:kern w:val="44"/>
          <w:sz w:val="32"/>
          <w:szCs w:val="32"/>
        </w:rPr>
        <w:t>要求</w:t>
      </w:r>
    </w:p>
    <w:p w14:paraId="169B3D6C">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测评服务工作期限终止时，服务提供方应当以书面形式向采购方提交服务总结报告及其他测评服务相关资料。采购方在收到服务提供方提交的相关资料后10个工作日内，对服务提供方的工作进行验收。如属于服务提供方原因致使安全服务未能通过验收的，服务提供方应当在15个工作日内进行整改，并自行承担相关整改费用，再次接受采购方的验收，直至符合约定要求。采购方有权委托第三方机构进行验收，对此服务提供方应当配合。</w:t>
      </w:r>
    </w:p>
    <w:p w14:paraId="5C901F0A">
      <w:pPr>
        <w:pStyle w:val="2"/>
        <w:keepLines/>
        <w:widowControl w:val="0"/>
        <w:numPr>
          <w:ilvl w:val="0"/>
          <w:numId w:val="1"/>
        </w:numPr>
        <w:spacing w:before="340" w:after="330" w:line="578" w:lineRule="auto"/>
        <w:ind w:left="0" w:firstLine="0"/>
        <w:jc w:val="left"/>
        <w:rPr>
          <w:rFonts w:hint="eastAsia" w:ascii="国标宋体" w:hAnsi="国标宋体" w:eastAsia="国标宋体" w:cs="国标宋体"/>
          <w:b/>
          <w:kern w:val="44"/>
          <w:sz w:val="32"/>
          <w:szCs w:val="32"/>
        </w:rPr>
      </w:pPr>
      <w:r>
        <w:rPr>
          <w:rFonts w:hint="eastAsia" w:ascii="国标宋体" w:hAnsi="国标宋体" w:eastAsia="国标宋体" w:cs="国标宋体"/>
          <w:b/>
          <w:kern w:val="44"/>
          <w:sz w:val="32"/>
          <w:szCs w:val="32"/>
        </w:rPr>
        <w:t>服务组织和人员要求</w:t>
      </w:r>
    </w:p>
    <w:p w14:paraId="2003B56D">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投标人必须在上海设有常设办事机构，具有稳定的测评保障力量，能够提供及时的测评支援或服务，应针对本项目提供不少于10人的项目服务团队（包括总负责人、测评组长、测评工程师等），投标单位的相关服务人员需具备相应的服务能力，需提供相关证明（</w:t>
      </w:r>
      <w:r>
        <w:rPr>
          <w:rFonts w:hint="eastAsia" w:ascii="国标宋体" w:hAnsi="国标宋体" w:eastAsia="国标宋体" w:cs="国标宋体"/>
          <w:kern w:val="2"/>
          <w:sz w:val="28"/>
          <w:szCs w:val="28"/>
          <w:lang w:eastAsia="zh-CN"/>
        </w:rPr>
        <w:t>开标前三个月</w:t>
      </w:r>
      <w:r>
        <w:rPr>
          <w:rFonts w:hint="eastAsia" w:ascii="国标宋体" w:hAnsi="国标宋体" w:eastAsia="国标宋体" w:cs="国标宋体"/>
          <w:kern w:val="2"/>
          <w:sz w:val="28"/>
          <w:szCs w:val="28"/>
        </w:rPr>
        <w:t>依法缴纳社保费的证明）。</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746"/>
        <w:gridCol w:w="1239"/>
        <w:gridCol w:w="2999"/>
        <w:gridCol w:w="1483"/>
      </w:tblGrid>
      <w:tr w14:paraId="0C2A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5" w:type="pct"/>
            <w:shd w:val="clear" w:color="auto" w:fill="auto"/>
            <w:noWrap/>
            <w:vAlign w:val="center"/>
          </w:tcPr>
          <w:p w14:paraId="4953D490">
            <w:pPr>
              <w:spacing w:line="360" w:lineRule="auto"/>
              <w:jc w:val="center"/>
              <w:rPr>
                <w:rFonts w:hint="eastAsia" w:ascii="国标宋体" w:hAnsi="国标宋体" w:eastAsia="国标宋体" w:cs="国标宋体"/>
                <w:b/>
                <w:bCs/>
                <w:sz w:val="22"/>
                <w:szCs w:val="22"/>
              </w:rPr>
            </w:pPr>
            <w:r>
              <w:rPr>
                <w:rFonts w:hint="eastAsia" w:ascii="国标宋体" w:hAnsi="国标宋体" w:eastAsia="国标宋体" w:cs="国标宋体"/>
                <w:b/>
                <w:bCs/>
                <w:sz w:val="22"/>
                <w:szCs w:val="22"/>
              </w:rPr>
              <w:t>角色</w:t>
            </w:r>
          </w:p>
        </w:tc>
        <w:tc>
          <w:tcPr>
            <w:tcW w:w="1032" w:type="pct"/>
            <w:shd w:val="clear" w:color="auto" w:fill="auto"/>
            <w:noWrap/>
            <w:vAlign w:val="center"/>
          </w:tcPr>
          <w:p w14:paraId="300E7A78">
            <w:pPr>
              <w:spacing w:line="360" w:lineRule="auto"/>
              <w:ind w:left="142"/>
              <w:jc w:val="center"/>
              <w:rPr>
                <w:rFonts w:hint="eastAsia" w:ascii="国标宋体" w:hAnsi="国标宋体" w:eastAsia="国标宋体" w:cs="国标宋体"/>
                <w:b/>
                <w:bCs/>
                <w:sz w:val="22"/>
                <w:szCs w:val="22"/>
              </w:rPr>
            </w:pPr>
            <w:r>
              <w:rPr>
                <w:rFonts w:hint="eastAsia" w:ascii="国标宋体" w:hAnsi="国标宋体" w:eastAsia="国标宋体" w:cs="国标宋体"/>
                <w:b/>
                <w:bCs/>
                <w:sz w:val="22"/>
                <w:szCs w:val="22"/>
              </w:rPr>
              <w:t>主要职责</w:t>
            </w:r>
          </w:p>
        </w:tc>
        <w:tc>
          <w:tcPr>
            <w:tcW w:w="510" w:type="pct"/>
            <w:shd w:val="clear" w:color="auto" w:fill="auto"/>
            <w:noWrap/>
            <w:vAlign w:val="center"/>
          </w:tcPr>
          <w:p w14:paraId="367D257C">
            <w:pPr>
              <w:spacing w:line="360" w:lineRule="auto"/>
              <w:ind w:left="142"/>
              <w:jc w:val="center"/>
              <w:rPr>
                <w:rFonts w:hint="eastAsia" w:ascii="国标宋体" w:hAnsi="国标宋体" w:eastAsia="国标宋体" w:cs="国标宋体"/>
                <w:b/>
                <w:bCs/>
                <w:sz w:val="22"/>
                <w:szCs w:val="22"/>
              </w:rPr>
            </w:pPr>
            <w:r>
              <w:rPr>
                <w:rFonts w:hint="eastAsia" w:ascii="国标宋体" w:hAnsi="国标宋体" w:eastAsia="国标宋体" w:cs="国标宋体"/>
                <w:b/>
                <w:bCs/>
                <w:sz w:val="22"/>
                <w:szCs w:val="22"/>
              </w:rPr>
              <w:t>人员数量</w:t>
            </w:r>
          </w:p>
        </w:tc>
        <w:tc>
          <w:tcPr>
            <w:tcW w:w="1726" w:type="pct"/>
            <w:vAlign w:val="center"/>
          </w:tcPr>
          <w:p w14:paraId="7A13E25B">
            <w:pPr>
              <w:spacing w:line="360" w:lineRule="auto"/>
              <w:jc w:val="center"/>
              <w:rPr>
                <w:rFonts w:hint="eastAsia" w:ascii="国标宋体" w:hAnsi="国标宋体" w:eastAsia="国标宋体" w:cs="国标宋体"/>
                <w:b/>
                <w:bCs/>
                <w:sz w:val="22"/>
                <w:szCs w:val="22"/>
              </w:rPr>
            </w:pPr>
            <w:r>
              <w:rPr>
                <w:rFonts w:hint="eastAsia" w:ascii="国标宋体" w:hAnsi="国标宋体" w:eastAsia="国标宋体" w:cs="国标宋体"/>
                <w:b/>
                <w:bCs/>
                <w:sz w:val="22"/>
                <w:szCs w:val="22"/>
              </w:rPr>
              <w:t>人员要求</w:t>
            </w:r>
          </w:p>
        </w:tc>
        <w:tc>
          <w:tcPr>
            <w:tcW w:w="877" w:type="pct"/>
            <w:shd w:val="clear" w:color="auto" w:fill="auto"/>
            <w:noWrap/>
            <w:vAlign w:val="center"/>
          </w:tcPr>
          <w:p w14:paraId="67DFB4DE">
            <w:pPr>
              <w:spacing w:line="360" w:lineRule="auto"/>
              <w:ind w:left="142"/>
              <w:jc w:val="center"/>
              <w:rPr>
                <w:rFonts w:hint="eastAsia" w:ascii="国标宋体" w:hAnsi="国标宋体" w:eastAsia="国标宋体" w:cs="国标宋体"/>
                <w:b/>
                <w:bCs/>
                <w:sz w:val="22"/>
                <w:szCs w:val="22"/>
              </w:rPr>
            </w:pPr>
            <w:r>
              <w:rPr>
                <w:rFonts w:hint="eastAsia" w:ascii="国标宋体" w:hAnsi="国标宋体" w:eastAsia="国标宋体" w:cs="国标宋体"/>
                <w:b/>
                <w:bCs/>
                <w:sz w:val="22"/>
                <w:szCs w:val="22"/>
              </w:rPr>
              <w:t>驻场要求</w:t>
            </w:r>
          </w:p>
        </w:tc>
      </w:tr>
      <w:tr w14:paraId="6B6B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5" w:type="pct"/>
            <w:shd w:val="clear" w:color="auto" w:fill="auto"/>
            <w:noWrap/>
            <w:vAlign w:val="center"/>
          </w:tcPr>
          <w:p w14:paraId="586C2998">
            <w:pPr>
              <w:spacing w:line="360" w:lineRule="auto"/>
              <w:ind w:left="142"/>
              <w:jc w:val="both"/>
              <w:rPr>
                <w:rFonts w:hint="eastAsia" w:ascii="国标宋体" w:hAnsi="国标宋体" w:eastAsia="国标宋体" w:cs="国标宋体"/>
                <w:bCs/>
                <w:sz w:val="22"/>
                <w:szCs w:val="22"/>
                <w:lang w:eastAsia="zh-CN"/>
              </w:rPr>
            </w:pPr>
            <w:r>
              <w:rPr>
                <w:rFonts w:hint="eastAsia" w:ascii="国标宋体" w:hAnsi="国标宋体" w:eastAsia="国标宋体" w:cs="国标宋体"/>
                <w:bCs/>
                <w:sz w:val="22"/>
                <w:szCs w:val="22"/>
                <w:lang w:eastAsia="zh-CN"/>
              </w:rPr>
              <w:t>项目经理</w:t>
            </w:r>
          </w:p>
        </w:tc>
        <w:tc>
          <w:tcPr>
            <w:tcW w:w="1032" w:type="pct"/>
            <w:shd w:val="clear" w:color="auto" w:fill="auto"/>
            <w:vAlign w:val="center"/>
          </w:tcPr>
          <w:p w14:paraId="48849917">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负责测评项目的整体协调和沟通工作，确保等保测评工作开展过程中的质量、进度和安全管理等</w:t>
            </w:r>
          </w:p>
        </w:tc>
        <w:tc>
          <w:tcPr>
            <w:tcW w:w="510" w:type="pct"/>
            <w:shd w:val="clear" w:color="auto" w:fill="auto"/>
            <w:noWrap/>
            <w:vAlign w:val="center"/>
          </w:tcPr>
          <w:p w14:paraId="21F1DE46">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1人</w:t>
            </w:r>
          </w:p>
        </w:tc>
        <w:tc>
          <w:tcPr>
            <w:tcW w:w="1726" w:type="pct"/>
            <w:vAlign w:val="center"/>
          </w:tcPr>
          <w:p w14:paraId="08203844">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本科以上学历，具有15年以上网络安全等级保护测评服务工作经验，具备信息安全等级测评师证书（高级）、高级工程师职称、CISP注册信息安全专业人员证书。</w:t>
            </w:r>
          </w:p>
        </w:tc>
        <w:tc>
          <w:tcPr>
            <w:tcW w:w="877" w:type="pct"/>
            <w:shd w:val="clear" w:color="auto" w:fill="auto"/>
            <w:noWrap/>
            <w:vAlign w:val="center"/>
          </w:tcPr>
          <w:p w14:paraId="41942565">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不驻场</w:t>
            </w:r>
          </w:p>
        </w:tc>
      </w:tr>
      <w:tr w14:paraId="1D18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5" w:type="pct"/>
            <w:shd w:val="clear" w:color="auto" w:fill="auto"/>
            <w:noWrap/>
            <w:vAlign w:val="center"/>
          </w:tcPr>
          <w:p w14:paraId="15277721">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测评组长</w:t>
            </w:r>
          </w:p>
        </w:tc>
        <w:tc>
          <w:tcPr>
            <w:tcW w:w="1032" w:type="pct"/>
            <w:shd w:val="clear" w:color="auto" w:fill="auto"/>
            <w:vAlign w:val="center"/>
          </w:tcPr>
          <w:p w14:paraId="2611F6F2">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负责项目测评难点分析及现场测评指导</w:t>
            </w:r>
          </w:p>
        </w:tc>
        <w:tc>
          <w:tcPr>
            <w:tcW w:w="510" w:type="pct"/>
            <w:shd w:val="clear" w:color="auto" w:fill="auto"/>
            <w:noWrap/>
            <w:vAlign w:val="center"/>
          </w:tcPr>
          <w:p w14:paraId="1A3B601B">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1人</w:t>
            </w:r>
          </w:p>
        </w:tc>
        <w:tc>
          <w:tcPr>
            <w:tcW w:w="1726" w:type="pct"/>
            <w:vAlign w:val="center"/>
          </w:tcPr>
          <w:p w14:paraId="72E2BC81">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本科以上学历，具备10年以上网络安全等级保护测评工作服务经验，具备信息安全等级测评师证书（高级）。</w:t>
            </w:r>
          </w:p>
        </w:tc>
        <w:tc>
          <w:tcPr>
            <w:tcW w:w="877" w:type="pct"/>
            <w:shd w:val="clear" w:color="auto" w:fill="auto"/>
            <w:noWrap/>
            <w:vAlign w:val="center"/>
          </w:tcPr>
          <w:p w14:paraId="7F6692C0">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不驻场</w:t>
            </w:r>
          </w:p>
        </w:tc>
      </w:tr>
      <w:tr w14:paraId="0243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5" w:type="pct"/>
            <w:shd w:val="clear" w:color="auto" w:fill="auto"/>
            <w:noWrap/>
            <w:vAlign w:val="center"/>
          </w:tcPr>
          <w:p w14:paraId="5C788F2E">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测评工程师</w:t>
            </w:r>
          </w:p>
        </w:tc>
        <w:tc>
          <w:tcPr>
            <w:tcW w:w="1032" w:type="pct"/>
            <w:shd w:val="clear" w:color="auto" w:fill="auto"/>
            <w:vAlign w:val="center"/>
          </w:tcPr>
          <w:p w14:paraId="1819B214">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负责项目实施包括技术及管理两个层面</w:t>
            </w:r>
          </w:p>
        </w:tc>
        <w:tc>
          <w:tcPr>
            <w:tcW w:w="510" w:type="pct"/>
            <w:shd w:val="clear" w:color="auto" w:fill="auto"/>
            <w:noWrap/>
            <w:vAlign w:val="center"/>
          </w:tcPr>
          <w:p w14:paraId="2CD15EFE">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8人</w:t>
            </w:r>
          </w:p>
        </w:tc>
        <w:tc>
          <w:tcPr>
            <w:tcW w:w="1726" w:type="pct"/>
            <w:vAlign w:val="center"/>
          </w:tcPr>
          <w:p w14:paraId="7735F2D0">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本科以上学历，具备信息安全等级测评师证书（中级）</w:t>
            </w:r>
            <w:r>
              <w:rPr>
                <w:rFonts w:hint="eastAsia" w:ascii="国标宋体" w:hAnsi="国标宋体" w:eastAsia="国标宋体" w:cs="国标宋体"/>
                <w:bCs/>
                <w:sz w:val="22"/>
                <w:szCs w:val="22"/>
                <w:lang w:eastAsia="zh-CN"/>
              </w:rPr>
              <w:t>或以上</w:t>
            </w:r>
            <w:r>
              <w:rPr>
                <w:rFonts w:hint="eastAsia" w:ascii="国标宋体" w:hAnsi="国标宋体" w:eastAsia="国标宋体" w:cs="国标宋体"/>
                <w:bCs/>
                <w:sz w:val="22"/>
                <w:szCs w:val="22"/>
              </w:rPr>
              <w:t>。</w:t>
            </w:r>
          </w:p>
        </w:tc>
        <w:tc>
          <w:tcPr>
            <w:tcW w:w="877" w:type="pct"/>
            <w:shd w:val="clear" w:color="auto" w:fill="auto"/>
            <w:noWrap/>
            <w:vAlign w:val="center"/>
          </w:tcPr>
          <w:p w14:paraId="6BB10CC5">
            <w:pPr>
              <w:spacing w:line="360" w:lineRule="auto"/>
              <w:ind w:left="142"/>
              <w:jc w:val="both"/>
              <w:rPr>
                <w:rFonts w:hint="eastAsia" w:ascii="国标宋体" w:hAnsi="国标宋体" w:eastAsia="国标宋体" w:cs="国标宋体"/>
                <w:bCs/>
                <w:sz w:val="22"/>
                <w:szCs w:val="22"/>
              </w:rPr>
            </w:pPr>
            <w:r>
              <w:rPr>
                <w:rFonts w:hint="eastAsia" w:ascii="国标宋体" w:hAnsi="国标宋体" w:eastAsia="国标宋体" w:cs="国标宋体"/>
                <w:bCs/>
                <w:sz w:val="22"/>
                <w:szCs w:val="22"/>
              </w:rPr>
              <w:t>不驻场</w:t>
            </w:r>
          </w:p>
        </w:tc>
      </w:tr>
    </w:tbl>
    <w:p w14:paraId="012D94D6">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人员具体要求如下：</w:t>
      </w:r>
    </w:p>
    <w:p w14:paraId="4CB379DC">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ab/>
      </w:r>
      <w:r>
        <w:rPr>
          <w:rFonts w:hint="eastAsia" w:ascii="国标宋体" w:hAnsi="国标宋体" w:eastAsia="国标宋体" w:cs="国标宋体"/>
          <w:kern w:val="2"/>
          <w:sz w:val="28"/>
          <w:szCs w:val="28"/>
        </w:rPr>
        <w:t>1、专门负责本项目的测评团队人数不得少于10人。必须具备国家认可的信息安全等级测评师证书，投标单位测评团队成员须具有类似信息化项目经验，项目负责人需提供担任过与本次招标项目类似的测评业绩证明材料。需附测评名单、相关大学本科及以上学历证书复印件、测评相关资质证书复印件、技术职称复印件、身份证复印件、</w:t>
      </w:r>
      <w:r>
        <w:rPr>
          <w:rFonts w:hint="eastAsia" w:ascii="国标宋体" w:hAnsi="国标宋体" w:eastAsia="国标宋体" w:cs="国标宋体"/>
          <w:kern w:val="2"/>
          <w:sz w:val="28"/>
          <w:szCs w:val="28"/>
          <w:lang w:eastAsia="zh-CN"/>
        </w:rPr>
        <w:t>开标前三个月任意一月为其</w:t>
      </w:r>
      <w:r>
        <w:rPr>
          <w:rFonts w:hint="eastAsia" w:ascii="国标宋体" w:hAnsi="国标宋体" w:eastAsia="国标宋体" w:cs="国标宋体"/>
          <w:kern w:val="2"/>
          <w:sz w:val="28"/>
          <w:szCs w:val="28"/>
        </w:rPr>
        <w:t>依法缴纳的社保有效证明材料。</w:t>
      </w:r>
    </w:p>
    <w:p w14:paraId="1C56CC87">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ab/>
      </w:r>
      <w:r>
        <w:rPr>
          <w:rFonts w:hint="eastAsia" w:ascii="国标宋体" w:hAnsi="国标宋体" w:eastAsia="国标宋体" w:cs="国标宋体"/>
          <w:kern w:val="2"/>
          <w:sz w:val="28"/>
          <w:szCs w:val="28"/>
        </w:rPr>
        <w:t>2、项目成员需熟悉《信息安全等级保护管理办法》、《信息安全 技术网络安全等级保护基本要求》（GB/T 22239-2019）等国家、行业最新测评标准。</w:t>
      </w:r>
    </w:p>
    <w:p w14:paraId="48F11515">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ab/>
      </w:r>
      <w:r>
        <w:rPr>
          <w:rFonts w:hint="eastAsia" w:ascii="国标宋体" w:hAnsi="国标宋体" w:eastAsia="国标宋体" w:cs="国标宋体"/>
          <w:kern w:val="2"/>
          <w:sz w:val="28"/>
          <w:szCs w:val="28"/>
        </w:rPr>
        <w:t>3、有应急事项发生时，人员2小时内到达现场。</w:t>
      </w:r>
    </w:p>
    <w:p w14:paraId="63C2AFC0">
      <w:pPr>
        <w:pStyle w:val="2"/>
        <w:keepLines/>
        <w:widowControl w:val="0"/>
        <w:numPr>
          <w:ilvl w:val="0"/>
          <w:numId w:val="1"/>
        </w:numPr>
        <w:spacing w:before="340" w:after="330" w:line="578" w:lineRule="auto"/>
        <w:ind w:left="0" w:firstLine="0"/>
        <w:jc w:val="left"/>
        <w:rPr>
          <w:rFonts w:hint="eastAsia" w:ascii="国标宋体" w:hAnsi="国标宋体" w:eastAsia="国标宋体" w:cs="国标宋体"/>
          <w:b/>
          <w:kern w:val="44"/>
          <w:sz w:val="32"/>
          <w:szCs w:val="32"/>
        </w:rPr>
      </w:pPr>
      <w:r>
        <w:rPr>
          <w:rFonts w:hint="eastAsia" w:ascii="国标宋体" w:hAnsi="国标宋体" w:eastAsia="国标宋体" w:cs="国标宋体"/>
          <w:b/>
          <w:kern w:val="44"/>
          <w:sz w:val="32"/>
          <w:szCs w:val="32"/>
          <w:lang w:eastAsia="zh-CN"/>
        </w:rPr>
        <w:t>供应商能力要求</w:t>
      </w:r>
    </w:p>
    <w:p w14:paraId="4BC184CA">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供应商具有ISO27001信息安全管理体系认证证书、CCRC信息安全服务资质认证证书</w:t>
      </w:r>
      <w:r>
        <w:rPr>
          <w:rFonts w:hint="eastAsia" w:ascii="国标宋体" w:hAnsi="国标宋体" w:eastAsia="国标宋体" w:cs="国标宋体"/>
          <w:kern w:val="2"/>
          <w:sz w:val="28"/>
          <w:szCs w:val="28"/>
          <w:lang w:eastAsia="zh-CN"/>
        </w:rPr>
        <w:t>（风险评估服务资质）</w:t>
      </w:r>
      <w:r>
        <w:rPr>
          <w:rFonts w:hint="eastAsia" w:ascii="国标宋体" w:hAnsi="国标宋体" w:eastAsia="国标宋体" w:cs="国标宋体"/>
          <w:kern w:val="2"/>
          <w:sz w:val="28"/>
          <w:szCs w:val="28"/>
        </w:rPr>
        <w:t>、中国合格评定国家认可委员会（CNAS）检验机构认可证书的优先考虑。</w:t>
      </w:r>
    </w:p>
    <w:p w14:paraId="5A10074F">
      <w:pPr>
        <w:pStyle w:val="2"/>
        <w:keepLines/>
        <w:widowControl w:val="0"/>
        <w:numPr>
          <w:ilvl w:val="0"/>
          <w:numId w:val="1"/>
        </w:numPr>
        <w:spacing w:before="340" w:after="330" w:line="578" w:lineRule="auto"/>
        <w:ind w:left="0" w:firstLine="0"/>
        <w:jc w:val="left"/>
        <w:rPr>
          <w:rFonts w:hint="eastAsia" w:ascii="国标宋体" w:hAnsi="国标宋体" w:eastAsia="国标宋体" w:cs="国标宋体"/>
          <w:b/>
          <w:kern w:val="44"/>
          <w:sz w:val="32"/>
          <w:szCs w:val="32"/>
        </w:rPr>
      </w:pPr>
      <w:bookmarkStart w:id="16" w:name="_Toc67249662"/>
      <w:r>
        <w:rPr>
          <w:rFonts w:hint="eastAsia" w:ascii="国标宋体" w:hAnsi="国标宋体" w:eastAsia="国标宋体" w:cs="国标宋体"/>
          <w:b/>
          <w:kern w:val="44"/>
          <w:sz w:val="32"/>
          <w:szCs w:val="32"/>
        </w:rPr>
        <w:t>应急服务</w:t>
      </w:r>
      <w:bookmarkEnd w:id="16"/>
    </w:p>
    <w:p w14:paraId="33F537F1">
      <w:pPr>
        <w:ind w:firstLine="560" w:firstLineChars="200"/>
        <w:rPr>
          <w:rFonts w:hint="eastAsia" w:ascii="国标宋体" w:hAnsi="国标宋体" w:eastAsia="国标宋体" w:cs="国标宋体"/>
          <w:sz w:val="28"/>
          <w:szCs w:val="28"/>
        </w:rPr>
      </w:pPr>
      <w:r>
        <w:rPr>
          <w:rFonts w:hint="eastAsia" w:ascii="国标宋体" w:hAnsi="国标宋体" w:eastAsia="国标宋体" w:cs="国标宋体"/>
          <w:sz w:val="28"/>
          <w:szCs w:val="28"/>
        </w:rPr>
        <w:t>如在测评期间发生安全事件，服务提供方有义务参与应急响应。</w:t>
      </w:r>
    </w:p>
    <w:p w14:paraId="1E960EA7">
      <w:pPr>
        <w:pStyle w:val="2"/>
        <w:keepLines/>
        <w:widowControl w:val="0"/>
        <w:numPr>
          <w:ilvl w:val="0"/>
          <w:numId w:val="1"/>
        </w:numPr>
        <w:spacing w:before="340" w:after="330" w:line="578" w:lineRule="auto"/>
        <w:ind w:left="0" w:firstLine="0"/>
        <w:jc w:val="left"/>
        <w:rPr>
          <w:rFonts w:hint="eastAsia" w:ascii="国标宋体" w:hAnsi="国标宋体" w:eastAsia="国标宋体" w:cs="国标宋体"/>
          <w:b/>
          <w:kern w:val="44"/>
          <w:sz w:val="32"/>
          <w:szCs w:val="32"/>
        </w:rPr>
      </w:pPr>
      <w:r>
        <w:rPr>
          <w:rFonts w:hint="eastAsia" w:ascii="国标宋体" w:hAnsi="国标宋体" w:eastAsia="国标宋体" w:cs="国标宋体"/>
          <w:b/>
          <w:kern w:val="44"/>
          <w:sz w:val="32"/>
          <w:szCs w:val="32"/>
        </w:rPr>
        <w:t>保密责任</w:t>
      </w:r>
    </w:p>
    <w:p w14:paraId="7DBCE040">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项目过程中不出现任何泄密事件和安全事故，在合同期内或合同终止后，未征得有建设单位同意，不得泄露与本项目及本合同业务有关的保密资料。</w:t>
      </w:r>
    </w:p>
    <w:p w14:paraId="51F3F14F">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1）测评单位因为本项目提供测评服务而知悉的所有数据、信息和资料（包括但不限于账号信息、图表、文字、计算过程、电子文件、访谈记录、现场实测数据、建设单位相关工作程序等）以及因为本项目提供测评服务而形成的数据、信息和任何形式的工作成果，属于建设单位所有，均是建设单位要求保密的信息。除法律法规另有规定外，未经建设单位书面同意，测评单位不得对外泄露建设单位要求保密的信息，不得用于其他用途，否则测评单位需承担由此引起的法律责任和经济损失，包括但不限于直接损失、律师费、诉讼费/仲裁费、调查费、公证费等。</w:t>
      </w:r>
    </w:p>
    <w:p w14:paraId="167D397F">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（2） 测评单位应采取必要的有效措施保证其参与本项目的人员（包括测评单位聘用的人员、借调的人员、在投标单位实习的人员）无论是在职或离职后，以及投标单位的合作方无论是合作中或合作终止后，都能够履行本项目约定的保密义务。若测评单位参与本项目的人员或测评单位合作方违反本条规定，测评单位应承担连带责任。</w:t>
      </w:r>
    </w:p>
    <w:p w14:paraId="5D136FC9">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（3）保密期限自测评单位知悉保密信息起始至保密信息被合法公开之日止。</w:t>
      </w:r>
    </w:p>
    <w:p w14:paraId="4DB46A21">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4）除法律法规另有规定外，测评单位（含测评单位参与本项目的人员）未经建设单位书面许可，不得以任何形式自行使用或以任何方式向第三方披露、转让、授权、出售与本合同有关的技术成果、计算机软件、源代码、策划文档、技术诀窍、秘密信息、技术资料和其他文件。</w:t>
      </w:r>
    </w:p>
    <w:p w14:paraId="1D585459">
      <w:pPr>
        <w:widowControl w:val="0"/>
        <w:ind w:firstLine="560" w:firstLineChars="200"/>
        <w:jc w:val="both"/>
        <w:rPr>
          <w:rFonts w:hint="eastAsia" w:ascii="国标宋体" w:hAnsi="国标宋体" w:eastAsia="国标宋体" w:cs="国标宋体"/>
          <w:kern w:val="2"/>
          <w:sz w:val="28"/>
          <w:szCs w:val="28"/>
        </w:rPr>
      </w:pPr>
      <w:r>
        <w:rPr>
          <w:rFonts w:hint="eastAsia" w:ascii="国标宋体" w:hAnsi="国标宋体" w:eastAsia="国标宋体" w:cs="国标宋体"/>
          <w:kern w:val="2"/>
          <w:sz w:val="28"/>
          <w:szCs w:val="28"/>
        </w:rPr>
        <w:t>（5） 在本项目合同无效、终止或解除之后，合同各方在本合同中的保密义务并不随之终止，各方仍需依据本合同的保密规定履行保密义务。</w:t>
      </w:r>
    </w:p>
    <w:p w14:paraId="60A8A46F">
      <w:pPr>
        <w:spacing w:line="360" w:lineRule="auto"/>
        <w:ind w:firstLine="480" w:firstLineChars="200"/>
        <w:jc w:val="both"/>
        <w:rPr>
          <w:rFonts w:hint="eastAsia" w:ascii="国标宋体" w:hAnsi="国标宋体" w:eastAsia="国标宋体" w:cs="国标宋体"/>
          <w:sz w:val="24"/>
          <w:szCs w:val="24"/>
        </w:rPr>
      </w:pPr>
      <w:bookmarkStart w:id="17" w:name="_Toc63630488"/>
    </w:p>
    <w:bookmarkEnd w:id="17"/>
    <w:p w14:paraId="1608298A">
      <w:pPr>
        <w:spacing w:line="360" w:lineRule="auto"/>
        <w:jc w:val="both"/>
        <w:rPr>
          <w:rFonts w:hint="eastAsia" w:ascii="国标宋体" w:hAnsi="国标宋体" w:eastAsia="国标宋体" w:cs="国标宋体"/>
          <w:bCs/>
          <w:sz w:val="24"/>
          <w:szCs w:val="24"/>
        </w:rPr>
      </w:pPr>
    </w:p>
    <w:p w14:paraId="522E3ED1">
      <w:pPr>
        <w:rPr>
          <w:rFonts w:hint="eastAsia" w:ascii="国标宋体" w:hAnsi="国标宋体" w:eastAsia="国标宋体" w:cs="国标宋体"/>
        </w:rPr>
      </w:pPr>
    </w:p>
    <w:sectPr>
      <w:headerReference r:id="rId5" w:type="default"/>
      <w:footerReference r:id="rId6" w:type="default"/>
      <w:pgSz w:w="11906" w:h="16838"/>
      <w:pgMar w:top="1440" w:right="1797" w:bottom="1440" w:left="14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19ABE">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37</w:t>
    </w:r>
    <w:r>
      <w:fldChar w:fldCharType="end"/>
    </w:r>
  </w:p>
  <w:p w14:paraId="384A0E0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A005">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2C30">
    <w:pPr>
      <w:rPr>
        <w:rFonts w:hint="eastAsia" w:ascii="宋体" w:hAnsi="宋体"/>
        <w:sz w:val="21"/>
        <w:szCs w:val="21"/>
      </w:rPr>
    </w:pPr>
    <w:r>
      <w:rPr>
        <w:rFonts w:ascii="宋体" w:hAnsi="宋体"/>
        <w:sz w:val="21"/>
        <w:szCs w:val="21"/>
        <w:u w:val="single"/>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270510</wp:posOffset>
              </wp:positionV>
              <wp:extent cx="635" cy="0"/>
              <wp:effectExtent l="19050" t="19050" r="18415" b="0"/>
              <wp:wrapNone/>
              <wp:docPr id="3"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0pt;margin-top:21.3pt;height:0pt;width:0.05pt;z-index:251659264;mso-width-relative:page;mso-height-relative:page;" filled="f" stroked="t" coordsize="21600,21600" o:allowincell="f" o:gfxdata="UEsDBAoAAAAAAIdO4kAAAAAAAAAAAAAAAAAEAAAAZHJzL1BLAwQUAAAACACHTuJADjWXS9EAAAAD&#10;AQAADwAAAGRycy9kb3ducmV2LnhtbE2PzWrDMBCE74W+g9hCbo2UUELjWg5tIJTQXpr0ATbWxjax&#10;Vsba/Pjto7aH5jjMMPNNvrj4Vp2oj01gC5OxAUVcBtdwZeF7u3p8BhUF2WEbmCwMFGFR3N/lmLlw&#10;5i86baRSqYRjhhZqkS7TOpY1eYzj0BEnbx96j5JkX2nX4zmV+1ZPjZlpjw2nhRo7WtZUHjZHb0EO&#10;5v3jDVfDq9+vpZoPpV8vP60dPUzMCyihi/yH4Qc/oUORmHbhyC6q1kI6IhaepjNQv67a/Sld5PqW&#10;vbgCUEsDBBQAAAAIAIdO4kCExtOW7wEAAOMDAAAOAAAAZHJzL2Uyb0RvYy54bWytU0uOEzEQ3SNx&#10;B8t70p2MGI1a6cxiwrBBEAk4QMWuTlvyT7YnnVyCCyCxgxVL9tyGmWNQdmfCfDZZ0At3lV31qt5z&#10;eX65M5ptMUTlbMunk5oztMJJZTct//zp+tUFZzGBlaCdxZbvMfLLxcsX88E3OHO90xIDIxAbm8G3&#10;vE/JN1UVRY8G4sR5tHTYuWAgkRs2lQwwELrR1ayuz6vBBemDExgj7S7HQ35ADKcAuq5TApdO3Bi0&#10;aUQNqCERpdgrH/midNt1KNKHrouYmG45MU1lpSJkr/NaLebQbAL4XolDC3BKC084GVCWih6hlpCA&#10;3QT1DMooEVx0XZoIZ6qRSFGEWEzrJ9p87MFj4UJSR38UPf4/WPF+uwpMyZafcWbB0IXffv3158v3&#10;u9/faL39+YPNskiDjw3FXtlVOHjRr0JmvOuCyX/iwnZF2P1RWNwlJmjz/Ow1Z+J+v/qX5ENMb9EZ&#10;lo2Wa2UzX2hg+y4mKkSh9yF5W1s2UKcX05ruTwBNX0e3TqbxxECudUmOTit5rbTOKTFs1lc6sC3k&#10;CShf5kPAj8JylSXEfowrR+Ns9AjyjZUs7T1pY+lJ8NyDQcmZRnpB2SJAaBIofUokldY2J2CZzwPR&#10;LPAoabbWTu6L0lX26O5Lx4c5zcP10Cf74dtc/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NZdL&#10;0QAAAAMBAAAPAAAAAAAAAAEAIAAAACIAAABkcnMvZG93bnJldi54bWxQSwECFAAUAAAACACHTuJA&#10;hMbTlu8BAADjAwAADgAAAAAAAAABACAAAAAgAQAAZHJzL2Uyb0RvYy54bWxQSwUGAAAAAAYABgBZ&#10;AQAAgQUAAAAA&#10;">
              <v:fill on="f" focussize="0,0"/>
              <v:stroke weight="3pt" color="#000000" linestyle="thinThin"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7FF6E">
    <w:pPr>
      <w:rPr>
        <w:rFonts w:hint="eastAsia" w:ascii="宋体" w:hAnsi="宋体"/>
        <w:sz w:val="21"/>
        <w:szCs w:val="21"/>
      </w:rPr>
    </w:pPr>
    <w:r>
      <w:rPr>
        <w:rFonts w:ascii="宋体" w:hAnsi="宋体"/>
        <w:sz w:val="21"/>
        <w:szCs w:val="21"/>
        <w:u w:val="single"/>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270510</wp:posOffset>
              </wp:positionV>
              <wp:extent cx="635" cy="0"/>
              <wp:effectExtent l="19050" t="19050" r="18415"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0pt;margin-top:21.3pt;height:0pt;width:0.05pt;z-index:251660288;mso-width-relative:page;mso-height-relative:page;" filled="f" stroked="t" coordsize="21600,21600" o:allowincell="f" o:gfxdata="UEsDBAoAAAAAAIdO4kAAAAAAAAAAAAAAAAAEAAAAZHJzL1BLAwQUAAAACACHTuJADjWXS9EAAAAD&#10;AQAADwAAAGRycy9kb3ducmV2LnhtbE2PzWrDMBCE74W+g9hCbo2UUELjWg5tIJTQXpr0ATbWxjax&#10;Vsba/Pjto7aH5jjMMPNNvrj4Vp2oj01gC5OxAUVcBtdwZeF7u3p8BhUF2WEbmCwMFGFR3N/lmLlw&#10;5i86baRSqYRjhhZqkS7TOpY1eYzj0BEnbx96j5JkX2nX4zmV+1ZPjZlpjw2nhRo7WtZUHjZHb0EO&#10;5v3jDVfDq9+vpZoPpV8vP60dPUzMCyihi/yH4Qc/oUORmHbhyC6q1kI6IhaepjNQv67a/Sld5PqW&#10;vbgCUEsDBBQAAAAIAIdO4kDwDo/o7wEAAOMDAAAOAAAAZHJzL2Uyb0RvYy54bWytU0uOEzEQ3SNx&#10;B8t70p2MGI1a6cxiwrBBEAk4QMWuTlvyT7YnnVyCCyCxgxVL9tyGmWNQdmfCfDZZ0At3uVx+Ve9V&#10;eX65M5ptMUTlbMunk5oztMJJZTct//zp+tUFZzGBlaCdxZbvMfLLxcsX88E3OHO90xIDIxAbm8G3&#10;vE/JN1UVRY8G4sR5tHTYuWAg0TZsKhlgIHSjq1ldn1eDC9IHJzBG8i7HQ35ADKcAuq5TApdO3Bi0&#10;aUQNqCERpdgrH/miVNt1KNKHrouYmG45MU1lpSRkr/NaLebQbAL4XolDCXBKCU84GVCWkh6hlpCA&#10;3QT1DMooEVx0XZoIZ6qRSFGEWEzrJ9p87MFj4UJSR38UPf4/WPF+uwpMyZbPOLNgqOG3X3/9+fL9&#10;7vc3Wm9//mDTLNLgY0OxV3YVDrvoVyEz3nXB5D9xYbsi7P4oLO4SE+Q8P3vNmbj3V/8u+RDTW3SG&#10;ZaPlWtnMFxrYvouJElHofUh2a8uGlp9dTGvqnwCavo66TqbxxECudbkcnVbyWmmdr8SwWV/pwLaQ&#10;J6B8mQ8BPwrLWZYQ+zGuHI2z0SPIN1aytPekjaUnwXMNBiVnGukFZYsAoUmg9CmRlFrbfAHLfB6I&#10;ZoFHSbO1dnJflK7yjnpfKj7MaR6uh3uyH77Nx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NZdL&#10;0QAAAAMBAAAPAAAAAAAAAAEAIAAAACIAAABkcnMvZG93bnJldi54bWxQSwECFAAUAAAACACHTuJA&#10;8A6P6O8BAADjAwAADgAAAAAAAAABACAAAAAgAQAAZHJzL2Uyb0RvYy54bWxQSwUGAAAAAAYABgBZ&#10;AQAAgQUAAAAA&#10;">
              <v:fill on="f" focussize="0,0"/>
              <v:stroke weight="3pt" color="#000000" linestyle="thinThin" joinstyle="round"/>
              <v:imagedata o:title=""/>
              <o:lock v:ext="edit" aspectratio="f"/>
            </v:line>
          </w:pict>
        </mc:Fallback>
      </mc:AlternateContent>
    </w:r>
    <w:r>
      <w:rPr>
        <w:rFonts w:ascii="宋体" w:hAnsi="宋体"/>
        <w:sz w:val="18"/>
        <w:szCs w:val="21"/>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F2957"/>
    <w:multiLevelType w:val="multilevel"/>
    <w:tmpl w:val="0F7F2957"/>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82A0B95"/>
    <w:multiLevelType w:val="multilevel"/>
    <w:tmpl w:val="282A0B95"/>
    <w:lvl w:ilvl="0" w:tentative="0">
      <w:start w:val="1"/>
      <w:numFmt w:val="decimal"/>
      <w:lvlText w:val="5.%1"/>
      <w:lvlJc w:val="left"/>
      <w:pPr>
        <w:ind w:left="8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1F582E"/>
    <w:multiLevelType w:val="multilevel"/>
    <w:tmpl w:val="341F582E"/>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BB1CDA"/>
    <w:rsid w:val="0000198A"/>
    <w:rsid w:val="00004740"/>
    <w:rsid w:val="00004973"/>
    <w:rsid w:val="00006728"/>
    <w:rsid w:val="00017A0C"/>
    <w:rsid w:val="000231A4"/>
    <w:rsid w:val="00030657"/>
    <w:rsid w:val="00030FAC"/>
    <w:rsid w:val="000348E6"/>
    <w:rsid w:val="0005379D"/>
    <w:rsid w:val="00054FA7"/>
    <w:rsid w:val="00056995"/>
    <w:rsid w:val="000577AB"/>
    <w:rsid w:val="0006455A"/>
    <w:rsid w:val="00072D19"/>
    <w:rsid w:val="00073047"/>
    <w:rsid w:val="00074789"/>
    <w:rsid w:val="00077F1C"/>
    <w:rsid w:val="00080853"/>
    <w:rsid w:val="000878E0"/>
    <w:rsid w:val="0009056E"/>
    <w:rsid w:val="00096249"/>
    <w:rsid w:val="000A0B73"/>
    <w:rsid w:val="000A1BE6"/>
    <w:rsid w:val="000B5781"/>
    <w:rsid w:val="000C1412"/>
    <w:rsid w:val="000C3BC7"/>
    <w:rsid w:val="000C6958"/>
    <w:rsid w:val="000D4597"/>
    <w:rsid w:val="000D4E1C"/>
    <w:rsid w:val="000D51C7"/>
    <w:rsid w:val="000D58A4"/>
    <w:rsid w:val="000D5F6E"/>
    <w:rsid w:val="000E0328"/>
    <w:rsid w:val="000E330B"/>
    <w:rsid w:val="000F1208"/>
    <w:rsid w:val="000F2884"/>
    <w:rsid w:val="00100006"/>
    <w:rsid w:val="001014A0"/>
    <w:rsid w:val="00106858"/>
    <w:rsid w:val="001069A3"/>
    <w:rsid w:val="00107A36"/>
    <w:rsid w:val="00115788"/>
    <w:rsid w:val="00126AAF"/>
    <w:rsid w:val="00130107"/>
    <w:rsid w:val="00131B82"/>
    <w:rsid w:val="001338DA"/>
    <w:rsid w:val="00134D0D"/>
    <w:rsid w:val="00137F59"/>
    <w:rsid w:val="00144713"/>
    <w:rsid w:val="0014531F"/>
    <w:rsid w:val="00160E06"/>
    <w:rsid w:val="00164BF5"/>
    <w:rsid w:val="00166BBF"/>
    <w:rsid w:val="00167553"/>
    <w:rsid w:val="001941AD"/>
    <w:rsid w:val="00194550"/>
    <w:rsid w:val="0019525F"/>
    <w:rsid w:val="001A3869"/>
    <w:rsid w:val="001A4EA6"/>
    <w:rsid w:val="001B0C91"/>
    <w:rsid w:val="001B2DA1"/>
    <w:rsid w:val="001B49E6"/>
    <w:rsid w:val="001B595A"/>
    <w:rsid w:val="001C3CB1"/>
    <w:rsid w:val="001D1610"/>
    <w:rsid w:val="001E0824"/>
    <w:rsid w:val="001E1095"/>
    <w:rsid w:val="001F21DC"/>
    <w:rsid w:val="001F52D0"/>
    <w:rsid w:val="001F6599"/>
    <w:rsid w:val="001F7AFF"/>
    <w:rsid w:val="00203DFA"/>
    <w:rsid w:val="0020422F"/>
    <w:rsid w:val="002147FD"/>
    <w:rsid w:val="00225A49"/>
    <w:rsid w:val="00232E23"/>
    <w:rsid w:val="00237601"/>
    <w:rsid w:val="00240B10"/>
    <w:rsid w:val="00265404"/>
    <w:rsid w:val="00276A8E"/>
    <w:rsid w:val="00295554"/>
    <w:rsid w:val="00295961"/>
    <w:rsid w:val="002A02B5"/>
    <w:rsid w:val="002A7074"/>
    <w:rsid w:val="002B1C92"/>
    <w:rsid w:val="002C1DB1"/>
    <w:rsid w:val="002D0706"/>
    <w:rsid w:val="002D4B1D"/>
    <w:rsid w:val="002E0BB1"/>
    <w:rsid w:val="002E262F"/>
    <w:rsid w:val="002E43FF"/>
    <w:rsid w:val="002F468D"/>
    <w:rsid w:val="00304B68"/>
    <w:rsid w:val="00313472"/>
    <w:rsid w:val="00313DB3"/>
    <w:rsid w:val="00320A79"/>
    <w:rsid w:val="003249BD"/>
    <w:rsid w:val="00326486"/>
    <w:rsid w:val="003275A7"/>
    <w:rsid w:val="0033207C"/>
    <w:rsid w:val="00335434"/>
    <w:rsid w:val="00355CB2"/>
    <w:rsid w:val="00355FEB"/>
    <w:rsid w:val="003628AC"/>
    <w:rsid w:val="00362C36"/>
    <w:rsid w:val="00365D41"/>
    <w:rsid w:val="00367FD0"/>
    <w:rsid w:val="00372745"/>
    <w:rsid w:val="00377788"/>
    <w:rsid w:val="00381FB6"/>
    <w:rsid w:val="00382843"/>
    <w:rsid w:val="00391B6B"/>
    <w:rsid w:val="003933E2"/>
    <w:rsid w:val="0039532D"/>
    <w:rsid w:val="00396D47"/>
    <w:rsid w:val="003A1356"/>
    <w:rsid w:val="003A4946"/>
    <w:rsid w:val="003B30C4"/>
    <w:rsid w:val="003B3606"/>
    <w:rsid w:val="003C0FD8"/>
    <w:rsid w:val="003C6888"/>
    <w:rsid w:val="003E4D06"/>
    <w:rsid w:val="003E5743"/>
    <w:rsid w:val="00401300"/>
    <w:rsid w:val="00401563"/>
    <w:rsid w:val="00403D46"/>
    <w:rsid w:val="00404D1E"/>
    <w:rsid w:val="004320DA"/>
    <w:rsid w:val="004331FA"/>
    <w:rsid w:val="00446C2E"/>
    <w:rsid w:val="00456D66"/>
    <w:rsid w:val="004672B5"/>
    <w:rsid w:val="004701F0"/>
    <w:rsid w:val="00473E1F"/>
    <w:rsid w:val="00477213"/>
    <w:rsid w:val="00480EF0"/>
    <w:rsid w:val="004A7E1A"/>
    <w:rsid w:val="004B1A81"/>
    <w:rsid w:val="004B7765"/>
    <w:rsid w:val="004C0AE8"/>
    <w:rsid w:val="004C11CA"/>
    <w:rsid w:val="004C1230"/>
    <w:rsid w:val="004C2F71"/>
    <w:rsid w:val="004D3964"/>
    <w:rsid w:val="004D579A"/>
    <w:rsid w:val="004D6286"/>
    <w:rsid w:val="004F1C2B"/>
    <w:rsid w:val="004F2888"/>
    <w:rsid w:val="004F2DC1"/>
    <w:rsid w:val="004F2FD7"/>
    <w:rsid w:val="004F50B6"/>
    <w:rsid w:val="0051247A"/>
    <w:rsid w:val="00522CBC"/>
    <w:rsid w:val="0052558F"/>
    <w:rsid w:val="00530B03"/>
    <w:rsid w:val="00532026"/>
    <w:rsid w:val="00534357"/>
    <w:rsid w:val="00537BD1"/>
    <w:rsid w:val="0054665B"/>
    <w:rsid w:val="0054671F"/>
    <w:rsid w:val="00556FBD"/>
    <w:rsid w:val="005671CA"/>
    <w:rsid w:val="00576E6D"/>
    <w:rsid w:val="005916FF"/>
    <w:rsid w:val="005A05D1"/>
    <w:rsid w:val="005A5585"/>
    <w:rsid w:val="005B3FCF"/>
    <w:rsid w:val="005E1762"/>
    <w:rsid w:val="005E5185"/>
    <w:rsid w:val="005E5197"/>
    <w:rsid w:val="005E76A4"/>
    <w:rsid w:val="005F470A"/>
    <w:rsid w:val="005F56FE"/>
    <w:rsid w:val="005F6AF8"/>
    <w:rsid w:val="00601DBB"/>
    <w:rsid w:val="00605F03"/>
    <w:rsid w:val="006074B6"/>
    <w:rsid w:val="006126B8"/>
    <w:rsid w:val="00624B31"/>
    <w:rsid w:val="00624F98"/>
    <w:rsid w:val="00631924"/>
    <w:rsid w:val="00631A63"/>
    <w:rsid w:val="00631E5C"/>
    <w:rsid w:val="00631EBC"/>
    <w:rsid w:val="006329BF"/>
    <w:rsid w:val="00633280"/>
    <w:rsid w:val="00636375"/>
    <w:rsid w:val="00655E38"/>
    <w:rsid w:val="00660643"/>
    <w:rsid w:val="00661017"/>
    <w:rsid w:val="00663BC5"/>
    <w:rsid w:val="00664931"/>
    <w:rsid w:val="00674FDD"/>
    <w:rsid w:val="0068050F"/>
    <w:rsid w:val="00691B60"/>
    <w:rsid w:val="006A1F93"/>
    <w:rsid w:val="006A7F7B"/>
    <w:rsid w:val="006B0912"/>
    <w:rsid w:val="006B5AC1"/>
    <w:rsid w:val="006C6975"/>
    <w:rsid w:val="006D11DE"/>
    <w:rsid w:val="006E737D"/>
    <w:rsid w:val="006F010C"/>
    <w:rsid w:val="006F7868"/>
    <w:rsid w:val="0070054B"/>
    <w:rsid w:val="0070126F"/>
    <w:rsid w:val="007142E0"/>
    <w:rsid w:val="00717BD4"/>
    <w:rsid w:val="007220DA"/>
    <w:rsid w:val="0072351A"/>
    <w:rsid w:val="00727087"/>
    <w:rsid w:val="00746A82"/>
    <w:rsid w:val="007569B2"/>
    <w:rsid w:val="007637B4"/>
    <w:rsid w:val="007640DA"/>
    <w:rsid w:val="00765449"/>
    <w:rsid w:val="00774BB6"/>
    <w:rsid w:val="00793AE6"/>
    <w:rsid w:val="007957E6"/>
    <w:rsid w:val="0079610A"/>
    <w:rsid w:val="007A20D9"/>
    <w:rsid w:val="007A7135"/>
    <w:rsid w:val="007C2D16"/>
    <w:rsid w:val="007C32CF"/>
    <w:rsid w:val="007C6BF7"/>
    <w:rsid w:val="007E1AE4"/>
    <w:rsid w:val="00805349"/>
    <w:rsid w:val="00807E9D"/>
    <w:rsid w:val="00815616"/>
    <w:rsid w:val="00815710"/>
    <w:rsid w:val="00816CC1"/>
    <w:rsid w:val="00821AC4"/>
    <w:rsid w:val="00821FCE"/>
    <w:rsid w:val="00823E47"/>
    <w:rsid w:val="008276AC"/>
    <w:rsid w:val="00830BFC"/>
    <w:rsid w:val="008361DC"/>
    <w:rsid w:val="008379E2"/>
    <w:rsid w:val="00846173"/>
    <w:rsid w:val="00854905"/>
    <w:rsid w:val="0086109C"/>
    <w:rsid w:val="008658A6"/>
    <w:rsid w:val="00867CC1"/>
    <w:rsid w:val="00875398"/>
    <w:rsid w:val="008842EC"/>
    <w:rsid w:val="00886A78"/>
    <w:rsid w:val="00892356"/>
    <w:rsid w:val="00893AD4"/>
    <w:rsid w:val="008B7B9F"/>
    <w:rsid w:val="008C0809"/>
    <w:rsid w:val="008C5FEE"/>
    <w:rsid w:val="008C685E"/>
    <w:rsid w:val="008E04B9"/>
    <w:rsid w:val="008E06D0"/>
    <w:rsid w:val="008E2262"/>
    <w:rsid w:val="008F0D2C"/>
    <w:rsid w:val="008F1604"/>
    <w:rsid w:val="008F278E"/>
    <w:rsid w:val="009102E7"/>
    <w:rsid w:val="00911A6B"/>
    <w:rsid w:val="00922B49"/>
    <w:rsid w:val="00926CA0"/>
    <w:rsid w:val="00940282"/>
    <w:rsid w:val="00940DF3"/>
    <w:rsid w:val="009410DA"/>
    <w:rsid w:val="009416EE"/>
    <w:rsid w:val="00941FE9"/>
    <w:rsid w:val="00944E1E"/>
    <w:rsid w:val="00951199"/>
    <w:rsid w:val="00957938"/>
    <w:rsid w:val="00961075"/>
    <w:rsid w:val="00964779"/>
    <w:rsid w:val="009719C3"/>
    <w:rsid w:val="0097221A"/>
    <w:rsid w:val="009857E6"/>
    <w:rsid w:val="009877BC"/>
    <w:rsid w:val="00996E63"/>
    <w:rsid w:val="009B004C"/>
    <w:rsid w:val="009B4FD5"/>
    <w:rsid w:val="009B6B0B"/>
    <w:rsid w:val="009B7154"/>
    <w:rsid w:val="009C1C3D"/>
    <w:rsid w:val="009C6B24"/>
    <w:rsid w:val="009D1C79"/>
    <w:rsid w:val="009D666B"/>
    <w:rsid w:val="009D74FD"/>
    <w:rsid w:val="009D76FC"/>
    <w:rsid w:val="009E3351"/>
    <w:rsid w:val="00A014C4"/>
    <w:rsid w:val="00A02897"/>
    <w:rsid w:val="00A03B1D"/>
    <w:rsid w:val="00A13B29"/>
    <w:rsid w:val="00A15DF0"/>
    <w:rsid w:val="00A269C4"/>
    <w:rsid w:val="00A3317D"/>
    <w:rsid w:val="00A332F5"/>
    <w:rsid w:val="00A4697D"/>
    <w:rsid w:val="00A51B0A"/>
    <w:rsid w:val="00A53216"/>
    <w:rsid w:val="00A64017"/>
    <w:rsid w:val="00A64E32"/>
    <w:rsid w:val="00A72B56"/>
    <w:rsid w:val="00A7487D"/>
    <w:rsid w:val="00A77309"/>
    <w:rsid w:val="00A83385"/>
    <w:rsid w:val="00A97A5B"/>
    <w:rsid w:val="00AA12BA"/>
    <w:rsid w:val="00AA3AA2"/>
    <w:rsid w:val="00AA73AA"/>
    <w:rsid w:val="00AB7B1C"/>
    <w:rsid w:val="00AD2A49"/>
    <w:rsid w:val="00AD6DF6"/>
    <w:rsid w:val="00AE256F"/>
    <w:rsid w:val="00AE2D78"/>
    <w:rsid w:val="00AE4849"/>
    <w:rsid w:val="00AE62DA"/>
    <w:rsid w:val="00AF1C1B"/>
    <w:rsid w:val="00AF3FF5"/>
    <w:rsid w:val="00B12A1D"/>
    <w:rsid w:val="00B15592"/>
    <w:rsid w:val="00B15DB8"/>
    <w:rsid w:val="00B20450"/>
    <w:rsid w:val="00B2189B"/>
    <w:rsid w:val="00B24E48"/>
    <w:rsid w:val="00B2646D"/>
    <w:rsid w:val="00B27E0D"/>
    <w:rsid w:val="00B3395B"/>
    <w:rsid w:val="00B50FD1"/>
    <w:rsid w:val="00B5513D"/>
    <w:rsid w:val="00B624D9"/>
    <w:rsid w:val="00B63B96"/>
    <w:rsid w:val="00B719A0"/>
    <w:rsid w:val="00B74EE7"/>
    <w:rsid w:val="00B75D5A"/>
    <w:rsid w:val="00B84A3C"/>
    <w:rsid w:val="00B87801"/>
    <w:rsid w:val="00B94E6C"/>
    <w:rsid w:val="00BA29E9"/>
    <w:rsid w:val="00BA3362"/>
    <w:rsid w:val="00BA4A32"/>
    <w:rsid w:val="00BA4F29"/>
    <w:rsid w:val="00BD4652"/>
    <w:rsid w:val="00BD7B37"/>
    <w:rsid w:val="00BE3D4A"/>
    <w:rsid w:val="00BE4191"/>
    <w:rsid w:val="00BF7C01"/>
    <w:rsid w:val="00C005F6"/>
    <w:rsid w:val="00C0146D"/>
    <w:rsid w:val="00C02E6B"/>
    <w:rsid w:val="00C06E3D"/>
    <w:rsid w:val="00C12DE3"/>
    <w:rsid w:val="00C20F28"/>
    <w:rsid w:val="00C22F8A"/>
    <w:rsid w:val="00C35CB4"/>
    <w:rsid w:val="00C36C96"/>
    <w:rsid w:val="00C36FD1"/>
    <w:rsid w:val="00C425EE"/>
    <w:rsid w:val="00C43782"/>
    <w:rsid w:val="00C45853"/>
    <w:rsid w:val="00C54A08"/>
    <w:rsid w:val="00C55F82"/>
    <w:rsid w:val="00C56173"/>
    <w:rsid w:val="00C60ACA"/>
    <w:rsid w:val="00C60DC1"/>
    <w:rsid w:val="00CA4459"/>
    <w:rsid w:val="00CB0717"/>
    <w:rsid w:val="00CC0165"/>
    <w:rsid w:val="00CC2C7C"/>
    <w:rsid w:val="00CC6EFE"/>
    <w:rsid w:val="00CE01F5"/>
    <w:rsid w:val="00CE2076"/>
    <w:rsid w:val="00CE413E"/>
    <w:rsid w:val="00CE66EB"/>
    <w:rsid w:val="00CF18EF"/>
    <w:rsid w:val="00CF48B4"/>
    <w:rsid w:val="00D00B0B"/>
    <w:rsid w:val="00D07699"/>
    <w:rsid w:val="00D139C5"/>
    <w:rsid w:val="00D1429A"/>
    <w:rsid w:val="00D15494"/>
    <w:rsid w:val="00D21A3D"/>
    <w:rsid w:val="00D226FD"/>
    <w:rsid w:val="00D30B19"/>
    <w:rsid w:val="00D337FF"/>
    <w:rsid w:val="00D34DA6"/>
    <w:rsid w:val="00D44A4F"/>
    <w:rsid w:val="00D547BF"/>
    <w:rsid w:val="00D611CE"/>
    <w:rsid w:val="00D61AC0"/>
    <w:rsid w:val="00D62AB5"/>
    <w:rsid w:val="00D6687D"/>
    <w:rsid w:val="00D67E90"/>
    <w:rsid w:val="00D724DC"/>
    <w:rsid w:val="00D74677"/>
    <w:rsid w:val="00D91270"/>
    <w:rsid w:val="00D945A4"/>
    <w:rsid w:val="00DA534B"/>
    <w:rsid w:val="00DB11BB"/>
    <w:rsid w:val="00DB1257"/>
    <w:rsid w:val="00DB413F"/>
    <w:rsid w:val="00DC0AF3"/>
    <w:rsid w:val="00DC0B9B"/>
    <w:rsid w:val="00DD4141"/>
    <w:rsid w:val="00DE0014"/>
    <w:rsid w:val="00DE22C6"/>
    <w:rsid w:val="00DE754B"/>
    <w:rsid w:val="00DE7DEF"/>
    <w:rsid w:val="00DF740B"/>
    <w:rsid w:val="00E00FA2"/>
    <w:rsid w:val="00E01534"/>
    <w:rsid w:val="00E018B9"/>
    <w:rsid w:val="00E046B3"/>
    <w:rsid w:val="00E13B9E"/>
    <w:rsid w:val="00E16F4D"/>
    <w:rsid w:val="00E17198"/>
    <w:rsid w:val="00E20C9F"/>
    <w:rsid w:val="00E2601A"/>
    <w:rsid w:val="00E3279A"/>
    <w:rsid w:val="00E636F3"/>
    <w:rsid w:val="00E646C8"/>
    <w:rsid w:val="00E66C05"/>
    <w:rsid w:val="00E7001A"/>
    <w:rsid w:val="00E76AF7"/>
    <w:rsid w:val="00E8368B"/>
    <w:rsid w:val="00E84BD3"/>
    <w:rsid w:val="00E85895"/>
    <w:rsid w:val="00E86B4E"/>
    <w:rsid w:val="00E912B3"/>
    <w:rsid w:val="00E94F50"/>
    <w:rsid w:val="00EA2B2C"/>
    <w:rsid w:val="00EA497F"/>
    <w:rsid w:val="00EA539A"/>
    <w:rsid w:val="00EA726E"/>
    <w:rsid w:val="00EB349D"/>
    <w:rsid w:val="00EC253E"/>
    <w:rsid w:val="00EC6F6A"/>
    <w:rsid w:val="00EE0BA8"/>
    <w:rsid w:val="00EE40D4"/>
    <w:rsid w:val="00EE4220"/>
    <w:rsid w:val="00EE44E6"/>
    <w:rsid w:val="00EE4692"/>
    <w:rsid w:val="00EE4ED9"/>
    <w:rsid w:val="00F1077F"/>
    <w:rsid w:val="00F13063"/>
    <w:rsid w:val="00F13ACF"/>
    <w:rsid w:val="00F13EA8"/>
    <w:rsid w:val="00F21DD1"/>
    <w:rsid w:val="00F267DC"/>
    <w:rsid w:val="00F26ED1"/>
    <w:rsid w:val="00F270F5"/>
    <w:rsid w:val="00F3570B"/>
    <w:rsid w:val="00F358DB"/>
    <w:rsid w:val="00F46E18"/>
    <w:rsid w:val="00F50BDA"/>
    <w:rsid w:val="00F53AB5"/>
    <w:rsid w:val="00F55221"/>
    <w:rsid w:val="00F570A3"/>
    <w:rsid w:val="00F65287"/>
    <w:rsid w:val="00F727CA"/>
    <w:rsid w:val="00F759E4"/>
    <w:rsid w:val="00F8251B"/>
    <w:rsid w:val="00F90595"/>
    <w:rsid w:val="00FA2E67"/>
    <w:rsid w:val="00FA5496"/>
    <w:rsid w:val="00FC12A8"/>
    <w:rsid w:val="00FE24F2"/>
    <w:rsid w:val="00FF25EA"/>
    <w:rsid w:val="00FF3C2A"/>
    <w:rsid w:val="00FF7EAC"/>
    <w:rsid w:val="03E86DF8"/>
    <w:rsid w:val="066A1296"/>
    <w:rsid w:val="0E5A2C08"/>
    <w:rsid w:val="0FBA585B"/>
    <w:rsid w:val="10A4568D"/>
    <w:rsid w:val="11AA4801"/>
    <w:rsid w:val="1340403C"/>
    <w:rsid w:val="178C784F"/>
    <w:rsid w:val="18E35AEC"/>
    <w:rsid w:val="1FCD4EA9"/>
    <w:rsid w:val="200D1114"/>
    <w:rsid w:val="20C26A6E"/>
    <w:rsid w:val="257174C8"/>
    <w:rsid w:val="27197B4D"/>
    <w:rsid w:val="2A550F16"/>
    <w:rsid w:val="2C5108E4"/>
    <w:rsid w:val="2C5B2D1B"/>
    <w:rsid w:val="2EE83BB3"/>
    <w:rsid w:val="2F79473F"/>
    <w:rsid w:val="315E1E05"/>
    <w:rsid w:val="36795F90"/>
    <w:rsid w:val="3A233BEC"/>
    <w:rsid w:val="3F0E650B"/>
    <w:rsid w:val="3FC97F85"/>
    <w:rsid w:val="42BB1CDA"/>
    <w:rsid w:val="476C1251"/>
    <w:rsid w:val="4B693428"/>
    <w:rsid w:val="4DAE6A2B"/>
    <w:rsid w:val="4DEB2162"/>
    <w:rsid w:val="566766D6"/>
    <w:rsid w:val="5C1235B1"/>
    <w:rsid w:val="631F6D97"/>
    <w:rsid w:val="67901F6C"/>
    <w:rsid w:val="6ABF15AE"/>
    <w:rsid w:val="6B5B2716"/>
    <w:rsid w:val="71F9266C"/>
    <w:rsid w:val="75901DEC"/>
    <w:rsid w:val="784E2268"/>
    <w:rsid w:val="785F489B"/>
    <w:rsid w:val="78E44E27"/>
    <w:rsid w:val="7BCA76C1"/>
    <w:rsid w:val="7D903B07"/>
    <w:rsid w:val="8DFFC0D0"/>
    <w:rsid w:val="9FBF5E54"/>
    <w:rsid w:val="AB773738"/>
    <w:rsid w:val="BEF69E13"/>
    <w:rsid w:val="F6FE5375"/>
    <w:rsid w:val="FF5B5B5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41"/>
    <w:qFormat/>
    <w:uiPriority w:val="9"/>
    <w:pPr>
      <w:keepNext/>
      <w:spacing w:line="440" w:lineRule="exact"/>
      <w:jc w:val="center"/>
      <w:outlineLvl w:val="0"/>
    </w:pPr>
    <w:rPr>
      <w:rFonts w:ascii="宋体" w:hAnsi="宋体"/>
      <w:sz w:val="2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widowControl w:val="0"/>
      <w:spacing w:before="260" w:after="260" w:line="416" w:lineRule="auto"/>
      <w:ind w:left="1559"/>
      <w:jc w:val="both"/>
      <w:outlineLvl w:val="2"/>
    </w:pPr>
    <w:rPr>
      <w:rFonts w:eastAsia="仿宋" w:asciiTheme="minorHAnsi" w:hAnsiTheme="minorHAnsi" w:cstheme="minorBidi"/>
      <w:b/>
      <w:bCs/>
      <w:kern w:val="2"/>
      <w:sz w:val="28"/>
      <w:szCs w:val="32"/>
    </w:rPr>
  </w:style>
  <w:style w:type="paragraph" w:styleId="5">
    <w:name w:val="heading 4"/>
    <w:basedOn w:val="1"/>
    <w:next w:val="1"/>
    <w:link w:val="35"/>
    <w:unhideWhenUsed/>
    <w:qFormat/>
    <w:uiPriority w:val="9"/>
    <w:pPr>
      <w:keepNext/>
      <w:keepLines/>
      <w:widowControl w:val="0"/>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6"/>
    <w:unhideWhenUsed/>
    <w:qFormat/>
    <w:uiPriority w:val="9"/>
    <w:pPr>
      <w:keepNext/>
      <w:keepLines/>
      <w:widowControl w:val="0"/>
      <w:spacing w:before="280" w:after="290" w:line="376" w:lineRule="auto"/>
      <w:jc w:val="both"/>
      <w:outlineLvl w:val="4"/>
    </w:pPr>
    <w:rPr>
      <w:rFonts w:asciiTheme="minorHAnsi" w:hAnsiTheme="minorHAnsi" w:eastAsiaTheme="minorEastAsia" w:cstheme="minorBidi"/>
      <w:b/>
      <w:bCs/>
      <w:kern w:val="2"/>
      <w:sz w:val="28"/>
      <w:szCs w:val="28"/>
    </w:rPr>
  </w:style>
  <w:style w:type="paragraph" w:styleId="7">
    <w:name w:val="heading 6"/>
    <w:basedOn w:val="1"/>
    <w:next w:val="1"/>
    <w:link w:val="37"/>
    <w:semiHidden/>
    <w:unhideWhenUsed/>
    <w:qFormat/>
    <w:uiPriority w:val="9"/>
    <w:pPr>
      <w:keepNext/>
      <w:keepLines/>
      <w:widowControl w:val="0"/>
      <w:spacing w:before="240" w:after="64" w:line="320" w:lineRule="auto"/>
      <w:jc w:val="both"/>
      <w:outlineLvl w:val="5"/>
    </w:pPr>
    <w:rPr>
      <w:rFonts w:asciiTheme="majorHAnsi" w:hAnsiTheme="majorHAnsi" w:eastAsiaTheme="majorEastAsia" w:cstheme="majorBidi"/>
      <w:b/>
      <w:bCs/>
      <w:kern w:val="2"/>
      <w:sz w:val="24"/>
      <w:szCs w:val="24"/>
    </w:rPr>
  </w:style>
  <w:style w:type="paragraph" w:styleId="8">
    <w:name w:val="heading 7"/>
    <w:basedOn w:val="1"/>
    <w:next w:val="1"/>
    <w:link w:val="38"/>
    <w:unhideWhenUsed/>
    <w:qFormat/>
    <w:uiPriority w:val="9"/>
    <w:pPr>
      <w:keepNext/>
      <w:keepLines/>
      <w:widowControl w:val="0"/>
      <w:spacing w:before="240" w:after="64" w:line="320" w:lineRule="auto"/>
      <w:jc w:val="both"/>
      <w:outlineLvl w:val="6"/>
    </w:pPr>
    <w:rPr>
      <w:rFonts w:asciiTheme="minorHAnsi" w:hAnsiTheme="minorHAnsi" w:eastAsiaTheme="minorEastAsia" w:cstheme="minorBidi"/>
      <w:b/>
      <w:bCs/>
      <w:kern w:val="2"/>
      <w:sz w:val="24"/>
      <w:szCs w:val="24"/>
    </w:rPr>
  </w:style>
  <w:style w:type="paragraph" w:styleId="9">
    <w:name w:val="heading 8"/>
    <w:basedOn w:val="1"/>
    <w:next w:val="1"/>
    <w:link w:val="39"/>
    <w:unhideWhenUsed/>
    <w:qFormat/>
    <w:uiPriority w:val="9"/>
    <w:pPr>
      <w:keepNext/>
      <w:keepLines/>
      <w:widowControl w:val="0"/>
      <w:spacing w:before="240" w:after="64" w:line="320" w:lineRule="auto"/>
      <w:jc w:val="both"/>
      <w:outlineLvl w:val="7"/>
    </w:pPr>
    <w:rPr>
      <w:rFonts w:asciiTheme="majorHAnsi" w:hAnsiTheme="majorHAnsi" w:eastAsiaTheme="majorEastAsia" w:cstheme="majorBidi"/>
      <w:kern w:val="2"/>
      <w:sz w:val="24"/>
      <w:szCs w:val="24"/>
    </w:rPr>
  </w:style>
  <w:style w:type="paragraph" w:styleId="10">
    <w:name w:val="heading 9"/>
    <w:basedOn w:val="1"/>
    <w:next w:val="1"/>
    <w:link w:val="40"/>
    <w:unhideWhenUsed/>
    <w:qFormat/>
    <w:uiPriority w:val="9"/>
    <w:pPr>
      <w:keepNext/>
      <w:keepLines/>
      <w:widowControl w:val="0"/>
      <w:spacing w:before="240" w:after="64" w:line="320" w:lineRule="auto"/>
      <w:jc w:val="both"/>
      <w:outlineLvl w:val="8"/>
    </w:pPr>
    <w:rPr>
      <w:rFonts w:asciiTheme="majorHAnsi" w:hAnsiTheme="majorHAnsi" w:eastAsiaTheme="majorEastAsia" w:cstheme="majorBidi"/>
      <w:kern w:val="2"/>
      <w:sz w:val="21"/>
      <w:szCs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1"/>
    <w:qFormat/>
    <w:uiPriority w:val="99"/>
  </w:style>
  <w:style w:type="paragraph" w:styleId="12">
    <w:name w:val="Balloon Text"/>
    <w:basedOn w:val="1"/>
    <w:link w:val="29"/>
    <w:qFormat/>
    <w:uiPriority w:val="0"/>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after="100" w:line="276" w:lineRule="auto"/>
    </w:pPr>
    <w:rPr>
      <w:rFonts w:ascii="Calibri" w:hAnsi="Calibri"/>
      <w:sz w:val="22"/>
      <w:szCs w:val="22"/>
    </w:rPr>
  </w:style>
  <w:style w:type="paragraph" w:styleId="16">
    <w:name w:val="Title"/>
    <w:basedOn w:val="1"/>
    <w:next w:val="1"/>
    <w:link w:val="27"/>
    <w:qFormat/>
    <w:uiPriority w:val="0"/>
    <w:pPr>
      <w:spacing w:before="240" w:after="60"/>
      <w:jc w:val="center"/>
      <w:outlineLvl w:val="0"/>
    </w:pPr>
    <w:rPr>
      <w:rFonts w:ascii="等线 Light" w:hAnsi="等线 Light" w:eastAsia="Times New Roman"/>
      <w:b/>
      <w:bCs/>
      <w:sz w:val="32"/>
      <w:szCs w:val="32"/>
      <w:lang w:eastAsia="en-US"/>
    </w:rPr>
  </w:style>
  <w:style w:type="paragraph" w:styleId="17">
    <w:name w:val="annotation subject"/>
    <w:basedOn w:val="11"/>
    <w:next w:val="11"/>
    <w:link w:val="32"/>
    <w:semiHidden/>
    <w:unhideWhenUsed/>
    <w:qFormat/>
    <w:uiPriority w:val="0"/>
    <w:rPr>
      <w:b/>
      <w:bCs/>
    </w:rPr>
  </w:style>
  <w:style w:type="character" w:styleId="20">
    <w:name w:val="page number"/>
    <w:basedOn w:val="19"/>
    <w:qFormat/>
    <w:uiPriority w:val="0"/>
    <w:rPr>
      <w:rFonts w:ascii="Times New Roman" w:hAnsi="Times New Roman" w:eastAsia="宋体" w:cs="Times New Roman"/>
    </w:rPr>
  </w:style>
  <w:style w:type="character" w:styleId="21">
    <w:name w:val="Hyperlink"/>
    <w:qFormat/>
    <w:uiPriority w:val="99"/>
    <w:rPr>
      <w:rFonts w:ascii="Times New Roman" w:hAnsi="Times New Roman" w:eastAsia="宋体" w:cs="Times New Roman"/>
      <w:color w:val="0000FF"/>
      <w:u w:val="single"/>
    </w:rPr>
  </w:style>
  <w:style w:type="character" w:styleId="22">
    <w:name w:val="annotation reference"/>
    <w:basedOn w:val="19"/>
    <w:qFormat/>
    <w:uiPriority w:val="99"/>
    <w:rPr>
      <w:sz w:val="21"/>
      <w:szCs w:val="21"/>
    </w:rPr>
  </w:style>
  <w:style w:type="paragraph" w:customStyle="1" w:styleId="23">
    <w:name w:val="_Style 2"/>
    <w:basedOn w:val="2"/>
    <w:next w:val="1"/>
    <w:unhideWhenUsed/>
    <w:qFormat/>
    <w:uiPriority w:val="39"/>
    <w:pPr>
      <w:spacing w:line="259" w:lineRule="auto"/>
      <w:jc w:val="left"/>
      <w:outlineLvl w:val="9"/>
    </w:pPr>
    <w:rPr>
      <w:rFonts w:ascii="等线 Light" w:hAnsi="等线 Light" w:eastAsia="等线 Light"/>
      <w:color w:val="2E74B5"/>
      <w:sz w:val="32"/>
      <w:szCs w:val="32"/>
    </w:rPr>
  </w:style>
  <w:style w:type="paragraph" w:customStyle="1" w:styleId="24">
    <w:name w:val="技术规范-样式1"/>
    <w:basedOn w:val="16"/>
    <w:qFormat/>
    <w:uiPriority w:val="0"/>
    <w:pPr>
      <w:overflowPunct w:val="0"/>
      <w:autoSpaceDE w:val="0"/>
      <w:autoSpaceDN w:val="0"/>
      <w:adjustRightInd w:val="0"/>
      <w:spacing w:before="0" w:after="0" w:line="360" w:lineRule="auto"/>
      <w:jc w:val="left"/>
      <w:textAlignment w:val="baseline"/>
      <w:outlineLvl w:val="9"/>
    </w:pPr>
    <w:rPr>
      <w:rFonts w:ascii="仿宋_GB2312" w:hAnsi="Calibri" w:eastAsia="仿宋_GB2312"/>
      <w:b w:val="0"/>
      <w:sz w:val="24"/>
      <w:szCs w:val="24"/>
      <w:lang w:val="en-GB"/>
    </w:rPr>
  </w:style>
  <w:style w:type="paragraph" w:customStyle="1" w:styleId="25">
    <w:name w:val="列出段落1"/>
    <w:basedOn w:val="1"/>
    <w:qFormat/>
    <w:uiPriority w:val="0"/>
    <w:pPr>
      <w:widowControl w:val="0"/>
      <w:ind w:firstLine="420" w:firstLineChars="200"/>
      <w:jc w:val="both"/>
    </w:pPr>
    <w:rPr>
      <w:rFonts w:ascii="Calibri" w:hAnsi="Calibri" w:cs="Calibri"/>
      <w:kern w:val="2"/>
      <w:sz w:val="21"/>
      <w:szCs w:val="21"/>
    </w:rPr>
  </w:style>
  <w:style w:type="character" w:customStyle="1" w:styleId="26">
    <w:name w:val="页眉 字符"/>
    <w:basedOn w:val="19"/>
    <w:link w:val="14"/>
    <w:qFormat/>
    <w:uiPriority w:val="0"/>
    <w:rPr>
      <w:sz w:val="18"/>
      <w:szCs w:val="18"/>
    </w:rPr>
  </w:style>
  <w:style w:type="character" w:customStyle="1" w:styleId="27">
    <w:name w:val="标题 字符"/>
    <w:basedOn w:val="19"/>
    <w:link w:val="16"/>
    <w:qFormat/>
    <w:uiPriority w:val="0"/>
    <w:rPr>
      <w:rFonts w:ascii="等线 Light" w:hAnsi="等线 Light" w:eastAsia="Times New Roman"/>
      <w:b/>
      <w:bCs/>
      <w:sz w:val="32"/>
      <w:szCs w:val="32"/>
      <w:lang w:eastAsia="en-US"/>
    </w:rPr>
  </w:style>
  <w:style w:type="paragraph" w:styleId="28">
    <w:name w:val="List Paragraph"/>
    <w:basedOn w:val="1"/>
    <w:qFormat/>
    <w:uiPriority w:val="34"/>
    <w:pPr>
      <w:ind w:firstLine="420" w:firstLineChars="200"/>
    </w:pPr>
  </w:style>
  <w:style w:type="character" w:customStyle="1" w:styleId="29">
    <w:name w:val="批注框文本 字符"/>
    <w:basedOn w:val="19"/>
    <w:link w:val="12"/>
    <w:qFormat/>
    <w:uiPriority w:val="0"/>
    <w:rPr>
      <w:rFonts w:ascii="Times New Roman" w:hAnsi="Times New Roman"/>
      <w:sz w:val="18"/>
      <w:szCs w:val="18"/>
    </w:rPr>
  </w:style>
  <w:style w:type="paragraph" w:customStyle="1" w:styleId="30">
    <w:name w:val="修订1"/>
    <w:hidden/>
    <w:semiHidden/>
    <w:qFormat/>
    <w:uiPriority w:val="99"/>
    <w:rPr>
      <w:rFonts w:ascii="Times New Roman" w:hAnsi="Times New Roman" w:eastAsia="宋体" w:cs="Times New Roman"/>
      <w:lang w:val="en-US" w:eastAsia="zh-CN" w:bidi="ar-SA"/>
    </w:rPr>
  </w:style>
  <w:style w:type="character" w:customStyle="1" w:styleId="31">
    <w:name w:val="批注文字 字符"/>
    <w:basedOn w:val="19"/>
    <w:link w:val="11"/>
    <w:qFormat/>
    <w:uiPriority w:val="99"/>
    <w:rPr>
      <w:rFonts w:ascii="Times New Roman" w:hAnsi="Times New Roman"/>
    </w:rPr>
  </w:style>
  <w:style w:type="character" w:customStyle="1" w:styleId="32">
    <w:name w:val="批注主题 字符"/>
    <w:basedOn w:val="31"/>
    <w:link w:val="17"/>
    <w:semiHidden/>
    <w:qFormat/>
    <w:uiPriority w:val="0"/>
    <w:rPr>
      <w:rFonts w:ascii="Times New Roman" w:hAnsi="Times New Roman"/>
      <w:b/>
      <w:bCs/>
    </w:rPr>
  </w:style>
  <w:style w:type="character" w:customStyle="1" w:styleId="33">
    <w:name w:val="标题 2 字符"/>
    <w:basedOn w:val="19"/>
    <w:link w:val="3"/>
    <w:qFormat/>
    <w:uiPriority w:val="9"/>
    <w:rPr>
      <w:rFonts w:asciiTheme="majorHAnsi" w:hAnsiTheme="majorHAnsi" w:eastAsiaTheme="majorEastAsia" w:cstheme="majorBidi"/>
      <w:b/>
      <w:bCs/>
      <w:sz w:val="32"/>
      <w:szCs w:val="32"/>
    </w:rPr>
  </w:style>
  <w:style w:type="character" w:customStyle="1" w:styleId="34">
    <w:name w:val="标题 3 字符"/>
    <w:basedOn w:val="19"/>
    <w:link w:val="4"/>
    <w:qFormat/>
    <w:uiPriority w:val="9"/>
    <w:rPr>
      <w:rFonts w:eastAsia="仿宋" w:asciiTheme="minorHAnsi" w:hAnsiTheme="minorHAnsi" w:cstheme="minorBidi"/>
      <w:b/>
      <w:bCs/>
      <w:kern w:val="2"/>
      <w:sz w:val="28"/>
      <w:szCs w:val="32"/>
    </w:rPr>
  </w:style>
  <w:style w:type="character" w:customStyle="1" w:styleId="35">
    <w:name w:val="标题 4 字符"/>
    <w:basedOn w:val="19"/>
    <w:link w:val="5"/>
    <w:qFormat/>
    <w:uiPriority w:val="9"/>
    <w:rPr>
      <w:rFonts w:asciiTheme="majorHAnsi" w:hAnsiTheme="majorHAnsi" w:eastAsiaTheme="majorEastAsia" w:cstheme="majorBidi"/>
      <w:b/>
      <w:bCs/>
      <w:kern w:val="2"/>
      <w:sz w:val="28"/>
      <w:szCs w:val="28"/>
    </w:rPr>
  </w:style>
  <w:style w:type="character" w:customStyle="1" w:styleId="36">
    <w:name w:val="标题 5 字符"/>
    <w:basedOn w:val="19"/>
    <w:link w:val="6"/>
    <w:qFormat/>
    <w:uiPriority w:val="9"/>
    <w:rPr>
      <w:rFonts w:asciiTheme="minorHAnsi" w:hAnsiTheme="minorHAnsi" w:eastAsiaTheme="minorEastAsia" w:cstheme="minorBidi"/>
      <w:b/>
      <w:bCs/>
      <w:kern w:val="2"/>
      <w:sz w:val="28"/>
      <w:szCs w:val="28"/>
    </w:rPr>
  </w:style>
  <w:style w:type="character" w:customStyle="1" w:styleId="37">
    <w:name w:val="标题 6 字符"/>
    <w:basedOn w:val="19"/>
    <w:link w:val="7"/>
    <w:semiHidden/>
    <w:qFormat/>
    <w:uiPriority w:val="9"/>
    <w:rPr>
      <w:rFonts w:asciiTheme="majorHAnsi" w:hAnsiTheme="majorHAnsi" w:eastAsiaTheme="majorEastAsia" w:cstheme="majorBidi"/>
      <w:b/>
      <w:bCs/>
      <w:kern w:val="2"/>
      <w:sz w:val="24"/>
      <w:szCs w:val="24"/>
    </w:rPr>
  </w:style>
  <w:style w:type="character" w:customStyle="1" w:styleId="38">
    <w:name w:val="标题 7 字符"/>
    <w:basedOn w:val="19"/>
    <w:link w:val="8"/>
    <w:qFormat/>
    <w:uiPriority w:val="9"/>
    <w:rPr>
      <w:rFonts w:asciiTheme="minorHAnsi" w:hAnsiTheme="minorHAnsi" w:eastAsiaTheme="minorEastAsia" w:cstheme="minorBidi"/>
      <w:b/>
      <w:bCs/>
      <w:kern w:val="2"/>
      <w:sz w:val="24"/>
      <w:szCs w:val="24"/>
    </w:rPr>
  </w:style>
  <w:style w:type="character" w:customStyle="1" w:styleId="39">
    <w:name w:val="标题 8 字符"/>
    <w:basedOn w:val="19"/>
    <w:link w:val="9"/>
    <w:qFormat/>
    <w:uiPriority w:val="9"/>
    <w:rPr>
      <w:rFonts w:asciiTheme="majorHAnsi" w:hAnsiTheme="majorHAnsi" w:eastAsiaTheme="majorEastAsia" w:cstheme="majorBidi"/>
      <w:kern w:val="2"/>
      <w:sz w:val="24"/>
      <w:szCs w:val="24"/>
    </w:rPr>
  </w:style>
  <w:style w:type="character" w:customStyle="1" w:styleId="40">
    <w:name w:val="标题 9 字符"/>
    <w:basedOn w:val="19"/>
    <w:link w:val="10"/>
    <w:qFormat/>
    <w:uiPriority w:val="9"/>
    <w:rPr>
      <w:rFonts w:asciiTheme="majorHAnsi" w:hAnsiTheme="majorHAnsi" w:eastAsiaTheme="majorEastAsia" w:cstheme="majorBidi"/>
      <w:kern w:val="2"/>
      <w:sz w:val="21"/>
      <w:szCs w:val="21"/>
    </w:rPr>
  </w:style>
  <w:style w:type="character" w:customStyle="1" w:styleId="41">
    <w:name w:val="标题 1 字符"/>
    <w:basedOn w:val="19"/>
    <w:link w:val="2"/>
    <w:autoRedefine/>
    <w:qFormat/>
    <w:uiPriority w:val="9"/>
    <w:rPr>
      <w:rFonts w:ascii="宋体" w:hAnsi="宋体"/>
      <w:sz w:val="24"/>
    </w:rPr>
  </w:style>
  <w:style w:type="paragraph" w:customStyle="1" w:styleId="42">
    <w:name w:val="修订2"/>
    <w:hidden/>
    <w:unhideWhenUsed/>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AB3142-70E1-47D0-9CE0-0570A8D424DC}">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5660</Words>
  <Characters>5864</Characters>
  <Lines>56</Lines>
  <Paragraphs>15</Paragraphs>
  <TotalTime>124</TotalTime>
  <ScaleCrop>false</ScaleCrop>
  <LinksUpToDate>false</LinksUpToDate>
  <CharactersWithSpaces>5887</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2024-01-24T19:12:00Z</dcterms:created>
  <dc:creator>ME</dc:creator>
  <cp:lastModifiedBy>user</cp:lastModifiedBy>
  <dcterms:modified xsi:type="dcterms:W3CDTF">2026-01-07T14:51:07Z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D953479B9DE644C1B5E5CD71081A1140_13</vt:lpwstr>
  </property>
  <property fmtid="{D5CDD505-2E9C-101B-9397-08002B2CF9AE}" pid="4" name="KSOTemplateDocerSaveRecord">
    <vt:lpwstr>eyJoZGlkIjoiNzI1MzljODBiNDliMzEyMzFlZWNlN2EzYjU0N2YzMWEiLCJ1c2VySWQiOiI2NDIwNzY4ODcifQ==</vt:lpwstr>
  </property>
</Properties>
</file>