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b/>
          <w:sz w:val="24"/>
          <w:highlight w:val="none"/>
        </w:rPr>
      </w:pPr>
      <w:r>
        <w:rPr>
          <w:rFonts w:hint="eastAsia" w:ascii="宋体" w:hAnsi="宋体"/>
          <w:b/>
          <w:sz w:val="24"/>
          <w:highlight w:val="none"/>
        </w:rPr>
        <w:t>市管道路照明ACU设施日常维护采购需求</w:t>
      </w:r>
    </w:p>
    <w:p>
      <w:pPr>
        <w:pStyle w:val="11"/>
        <w:ind w:left="0" w:leftChars="0" w:firstLine="0" w:firstLineChars="0"/>
      </w:pP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一、项目服务范围、内容及目标要求</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1.服务范围</w:t>
      </w:r>
    </w:p>
    <w:p>
      <w:pPr>
        <w:spacing w:line="360" w:lineRule="auto"/>
        <w:ind w:firstLine="420" w:firstLineChars="200"/>
        <w:rPr>
          <w:rFonts w:hint="default" w:hAnsi="宋体" w:eastAsia="宋体"/>
          <w:bCs/>
          <w:szCs w:val="21"/>
          <w:highlight w:val="none"/>
          <w:lang w:val="en-US" w:eastAsia="zh-CN"/>
        </w:rPr>
      </w:pPr>
      <w:r>
        <w:rPr>
          <w:rFonts w:hint="eastAsia" w:hAnsi="宋体"/>
          <w:bCs/>
          <w:szCs w:val="21"/>
          <w:highlight w:val="none"/>
        </w:rPr>
        <w:t>（1）市管道路照明ACU设施日常维护范围包括：市管道路照明ACU设施养护范围包括：市管快速路、市管公路，黄浦、静安、长宁、徐汇、杨浦、虹口、普陀、宝山、闵行等区去区管城市道路和区管公路，以及移交市管的地道、跨江桥隧，合计约</w:t>
      </w:r>
      <w:r>
        <w:rPr>
          <w:rFonts w:hint="eastAsia" w:hAnsi="宋体"/>
          <w:bCs/>
          <w:szCs w:val="21"/>
          <w:highlight w:val="none"/>
          <w:lang w:val="en-US" w:eastAsia="zh-CN"/>
        </w:rPr>
        <w:t>5800</w:t>
      </w:r>
      <w:r>
        <w:rPr>
          <w:rFonts w:hint="eastAsia" w:hAnsi="宋体"/>
          <w:bCs/>
          <w:szCs w:val="21"/>
          <w:highlight w:val="none"/>
        </w:rPr>
        <w:t>台道路照明ACU设施</w:t>
      </w:r>
      <w:r>
        <w:rPr>
          <w:rFonts w:hint="eastAsia" w:hAnsi="宋体"/>
          <w:bCs/>
          <w:szCs w:val="21"/>
          <w:highlight w:val="none"/>
          <w:lang w:eastAsia="zh-CN"/>
        </w:rPr>
        <w:t>以及配套</w:t>
      </w:r>
      <w:r>
        <w:rPr>
          <w:rFonts w:hint="eastAsia" w:hAnsi="宋体"/>
          <w:bCs/>
          <w:szCs w:val="21"/>
          <w:highlight w:val="none"/>
          <w:lang w:val="en-US" w:eastAsia="zh-CN"/>
        </w:rPr>
        <w:t>光照度采集设备，</w:t>
      </w:r>
      <w:r>
        <w:rPr>
          <w:rFonts w:hint="eastAsia" w:hAnsi="宋体"/>
          <w:bCs/>
          <w:szCs w:val="21"/>
          <w:highlight w:val="none"/>
        </w:rPr>
        <w:t>以及养护期间</w:t>
      </w:r>
      <w:r>
        <w:rPr>
          <w:rFonts w:hint="eastAsia" w:hAnsi="宋体"/>
          <w:bCs/>
          <w:szCs w:val="21"/>
          <w:highlight w:val="none"/>
          <w:lang w:eastAsia="zh-CN"/>
        </w:rPr>
        <w:t>招标人</w:t>
      </w:r>
      <w:r>
        <w:rPr>
          <w:rFonts w:hint="eastAsia" w:hAnsi="宋体"/>
          <w:bCs/>
          <w:szCs w:val="21"/>
          <w:highlight w:val="none"/>
        </w:rPr>
        <w:t>新接管的ACU设施，不含综合杆</w:t>
      </w:r>
      <w:r>
        <w:rPr>
          <w:rFonts w:hint="eastAsia" w:hAnsi="宋体"/>
          <w:bCs/>
          <w:szCs w:val="21"/>
          <w:highlight w:val="none"/>
          <w:lang w:val="en-US" w:eastAsia="zh-CN"/>
        </w:rPr>
        <w:t>ACU设施</w:t>
      </w:r>
      <w:r>
        <w:rPr>
          <w:rFonts w:hint="eastAsia" w:hAnsi="宋体"/>
          <w:bCs/>
          <w:szCs w:val="21"/>
          <w:highlight w:val="none"/>
        </w:rPr>
        <w:t>。</w:t>
      </w:r>
    </w:p>
    <w:p>
      <w:pPr>
        <w:spacing w:line="360" w:lineRule="auto"/>
        <w:ind w:firstLine="420" w:firstLineChars="200"/>
        <w:rPr>
          <w:rFonts w:hAnsi="宋体"/>
          <w:bCs/>
          <w:szCs w:val="21"/>
          <w:highlight w:val="none"/>
        </w:rPr>
      </w:pPr>
      <w:r>
        <w:rPr>
          <w:rFonts w:hint="eastAsia" w:hAnsi="宋体"/>
          <w:bCs/>
          <w:szCs w:val="21"/>
          <w:highlight w:val="none"/>
        </w:rPr>
        <w:t>（2）与市管道路照明设施日常维护的职责分界：</w:t>
      </w:r>
    </w:p>
    <w:p>
      <w:pPr>
        <w:spacing w:line="360" w:lineRule="auto"/>
        <w:ind w:firstLine="420" w:firstLineChars="200"/>
        <w:rPr>
          <w:rFonts w:hAnsi="宋体"/>
          <w:bCs/>
          <w:szCs w:val="21"/>
          <w:highlight w:val="none"/>
        </w:rPr>
      </w:pPr>
      <w:r>
        <w:rPr>
          <w:rFonts w:hint="eastAsia" w:hAnsi="宋体"/>
          <w:bCs/>
          <w:szCs w:val="21"/>
          <w:highlight w:val="none"/>
        </w:rPr>
        <w:t>1）设备</w:t>
      </w:r>
      <w:r>
        <w:rPr>
          <w:rFonts w:hint="eastAsia" w:hAnsi="宋体"/>
          <w:bCs/>
          <w:szCs w:val="21"/>
          <w:highlight w:val="none"/>
          <w:lang w:eastAsia="zh-CN"/>
        </w:rPr>
        <w:t>维护部分</w:t>
      </w:r>
      <w:r>
        <w:rPr>
          <w:rFonts w:hint="eastAsia" w:hAnsi="宋体"/>
          <w:bCs/>
          <w:szCs w:val="21"/>
          <w:highlight w:val="none"/>
        </w:rPr>
        <w:t>：</w:t>
      </w:r>
    </w:p>
    <w:p>
      <w:pPr>
        <w:spacing w:line="360" w:lineRule="auto"/>
        <w:ind w:firstLine="420" w:firstLineChars="200"/>
        <w:rPr>
          <w:rFonts w:hAnsi="宋体"/>
          <w:bCs/>
          <w:szCs w:val="21"/>
          <w:highlight w:val="none"/>
        </w:rPr>
      </w:pPr>
      <w:r>
        <w:rPr>
          <w:rFonts w:hint="eastAsia" w:hAnsi="宋体"/>
          <w:bCs/>
          <w:szCs w:val="21"/>
          <w:highlight w:val="none"/>
        </w:rPr>
        <w:t>控制设备电源断路器为分界点，ACU电源断路器、</w:t>
      </w:r>
      <w:r>
        <w:rPr>
          <w:rFonts w:hAnsi="宋体"/>
          <w:bCs/>
          <w:szCs w:val="21"/>
          <w:highlight w:val="none"/>
        </w:rPr>
        <w:t>ACU</w:t>
      </w:r>
      <w:r>
        <w:rPr>
          <w:rFonts w:hint="eastAsia" w:hAnsi="宋体"/>
          <w:bCs/>
          <w:szCs w:val="21"/>
          <w:highlight w:val="none"/>
        </w:rPr>
        <w:t>接线端子排及电源线、互感器、采集线由</w:t>
      </w:r>
      <w:r>
        <w:rPr>
          <w:rFonts w:hAnsi="宋体"/>
          <w:bCs/>
          <w:szCs w:val="21"/>
          <w:highlight w:val="none"/>
        </w:rPr>
        <w:t>ACU</w:t>
      </w:r>
      <w:r>
        <w:rPr>
          <w:rFonts w:hint="eastAsia" w:hAnsi="宋体"/>
          <w:bCs/>
          <w:szCs w:val="21"/>
          <w:highlight w:val="none"/>
        </w:rPr>
        <w:t>维护单位负责，除此之外的控制箱以内的设备均由道路照明设施日常维护单位负责。</w:t>
      </w:r>
    </w:p>
    <w:p>
      <w:pPr>
        <w:spacing w:line="360" w:lineRule="auto"/>
        <w:ind w:firstLine="420" w:firstLineChars="200"/>
        <w:rPr>
          <w:rFonts w:hAnsi="宋体"/>
          <w:bCs/>
          <w:szCs w:val="21"/>
          <w:highlight w:val="none"/>
        </w:rPr>
      </w:pPr>
      <w:r>
        <w:rPr>
          <w:rFonts w:hint="eastAsia" w:hAnsi="宋体"/>
          <w:bCs/>
          <w:szCs w:val="21"/>
          <w:highlight w:val="none"/>
        </w:rPr>
        <w:t>2）抢修</w:t>
      </w:r>
      <w:r>
        <w:rPr>
          <w:rFonts w:hint="eastAsia" w:hAnsi="宋体"/>
          <w:bCs/>
          <w:szCs w:val="21"/>
          <w:highlight w:val="none"/>
          <w:lang w:eastAsia="zh-CN"/>
        </w:rPr>
        <w:t>部分</w:t>
      </w:r>
      <w:r>
        <w:rPr>
          <w:rFonts w:hint="eastAsia" w:hAnsi="宋体"/>
          <w:bCs/>
          <w:szCs w:val="21"/>
          <w:highlight w:val="none"/>
        </w:rPr>
        <w:t>：</w:t>
      </w:r>
    </w:p>
    <w:p>
      <w:pPr>
        <w:spacing w:line="360" w:lineRule="auto"/>
        <w:ind w:firstLine="420" w:firstLineChars="200"/>
        <w:rPr>
          <w:rFonts w:hAnsi="宋体"/>
          <w:bCs/>
          <w:szCs w:val="21"/>
          <w:highlight w:val="none"/>
        </w:rPr>
      </w:pPr>
      <w:r>
        <w:rPr>
          <w:rFonts w:hint="eastAsia" w:hAnsi="宋体"/>
          <w:bCs/>
          <w:szCs w:val="21"/>
          <w:highlight w:val="none"/>
        </w:rPr>
        <w:t>大片失明、白天放光故障由道路照明设施日常维护单位先到现场处置，判断为控制设备故障的由</w:t>
      </w:r>
      <w:r>
        <w:rPr>
          <w:rFonts w:hAnsi="宋体"/>
          <w:bCs/>
          <w:szCs w:val="21"/>
          <w:highlight w:val="none"/>
        </w:rPr>
        <w:t>ACU</w:t>
      </w:r>
      <w:r>
        <w:rPr>
          <w:rFonts w:hint="eastAsia" w:hAnsi="宋体"/>
          <w:bCs/>
          <w:szCs w:val="21"/>
          <w:highlight w:val="none"/>
        </w:rPr>
        <w:t>维护单位负责抢修；开关灯时间不准确的路灯报修由</w:t>
      </w:r>
      <w:r>
        <w:rPr>
          <w:rFonts w:hAnsi="宋体"/>
          <w:bCs/>
          <w:szCs w:val="21"/>
          <w:highlight w:val="none"/>
        </w:rPr>
        <w:t>ACU</w:t>
      </w:r>
      <w:r>
        <w:rPr>
          <w:rFonts w:hint="eastAsia" w:hAnsi="宋体"/>
          <w:bCs/>
          <w:szCs w:val="21"/>
          <w:highlight w:val="none"/>
        </w:rPr>
        <w:t>维护单位负责抢修；信息平台上发现的</w:t>
      </w:r>
      <w:r>
        <w:rPr>
          <w:rFonts w:hAnsi="宋体"/>
          <w:bCs/>
          <w:szCs w:val="21"/>
          <w:highlight w:val="none"/>
        </w:rPr>
        <w:t>ACU</w:t>
      </w:r>
      <w:r>
        <w:rPr>
          <w:rFonts w:hint="eastAsia" w:hAnsi="宋体"/>
          <w:bCs/>
          <w:szCs w:val="21"/>
          <w:highlight w:val="none"/>
        </w:rPr>
        <w:t>故障由</w:t>
      </w:r>
      <w:r>
        <w:rPr>
          <w:rFonts w:hAnsi="宋体"/>
          <w:bCs/>
          <w:szCs w:val="21"/>
          <w:highlight w:val="none"/>
        </w:rPr>
        <w:t>ACU</w:t>
      </w:r>
      <w:r>
        <w:rPr>
          <w:rFonts w:hint="eastAsia" w:hAnsi="宋体"/>
          <w:bCs/>
          <w:szCs w:val="21"/>
          <w:highlight w:val="none"/>
        </w:rPr>
        <w:t>维护单位负责抢修。</w:t>
      </w:r>
    </w:p>
    <w:p>
      <w:pPr>
        <w:spacing w:line="360" w:lineRule="auto"/>
        <w:ind w:firstLine="420" w:firstLineChars="200"/>
        <w:rPr>
          <w:rFonts w:hAnsi="宋体"/>
          <w:bCs/>
          <w:szCs w:val="21"/>
          <w:highlight w:val="none"/>
        </w:rPr>
      </w:pPr>
      <w:r>
        <w:rPr>
          <w:rFonts w:hint="eastAsia" w:hAnsi="宋体"/>
          <w:bCs/>
          <w:szCs w:val="21"/>
          <w:highlight w:val="none"/>
        </w:rPr>
        <w:t>3）操作</w:t>
      </w:r>
      <w:r>
        <w:rPr>
          <w:rFonts w:hint="eastAsia" w:hAnsi="宋体"/>
          <w:bCs/>
          <w:szCs w:val="21"/>
          <w:highlight w:val="none"/>
          <w:lang w:eastAsia="zh-CN"/>
        </w:rPr>
        <w:t>要求</w:t>
      </w:r>
      <w:r>
        <w:rPr>
          <w:rFonts w:hint="eastAsia" w:hAnsi="宋体"/>
          <w:bCs/>
          <w:szCs w:val="21"/>
          <w:highlight w:val="none"/>
        </w:rPr>
        <w:t>：</w:t>
      </w:r>
    </w:p>
    <w:p>
      <w:pPr>
        <w:spacing w:line="360" w:lineRule="auto"/>
        <w:ind w:firstLine="420" w:firstLineChars="200"/>
        <w:rPr>
          <w:rFonts w:hAnsi="宋体"/>
          <w:bCs/>
          <w:szCs w:val="21"/>
          <w:highlight w:val="none"/>
        </w:rPr>
      </w:pPr>
      <w:r>
        <w:rPr>
          <w:rFonts w:hint="eastAsia" w:hAnsi="宋体"/>
          <w:bCs/>
          <w:szCs w:val="21"/>
          <w:highlight w:val="none"/>
        </w:rPr>
        <w:t>ACU养护单位在打开路灯控制箱（含杆上箱）、控制站、路灯箱变前需和监控中心联系，得到许可后方可操作。ACU维护单位在调试时应断开出线熔丝，一般不得白天亮灯操作。</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2.服务内容</w:t>
      </w:r>
    </w:p>
    <w:p>
      <w:pPr>
        <w:spacing w:line="360" w:lineRule="auto"/>
        <w:ind w:firstLine="420" w:firstLineChars="200"/>
        <w:rPr>
          <w:rFonts w:hAnsi="宋体"/>
          <w:bCs/>
          <w:szCs w:val="21"/>
          <w:highlight w:val="none"/>
        </w:rPr>
      </w:pPr>
      <w:r>
        <w:rPr>
          <w:rFonts w:hint="eastAsia" w:hAnsi="宋体"/>
          <w:bCs/>
          <w:szCs w:val="21"/>
          <w:highlight w:val="none"/>
        </w:rPr>
        <w:t>根据《道路照明设施日常维护标准》和招标人的管理需求，中标人对市管道路照明设施运行维护的内容包括但不限于：巡检、投诉处置、故障处置、控制设备设施管理、重大节日（活动）保障、应急保障、相关管理工作。</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3.服务目标要求</w:t>
      </w:r>
    </w:p>
    <w:p>
      <w:pPr>
        <w:spacing w:line="360" w:lineRule="auto"/>
        <w:ind w:firstLine="420" w:firstLineChars="200"/>
        <w:rPr>
          <w:rFonts w:hAnsi="宋体"/>
          <w:bCs/>
          <w:szCs w:val="21"/>
          <w:highlight w:val="none"/>
        </w:rPr>
      </w:pPr>
      <w:r>
        <w:rPr>
          <w:rFonts w:hint="eastAsia" w:hAnsi="宋体"/>
          <w:bCs/>
          <w:szCs w:val="21"/>
          <w:highlight w:val="none"/>
        </w:rPr>
        <w:t>（1）中标人的服务内容应满足但不限于下述“服务要求”中的条款，保证市管道路照明设施日常维护管理工作安全规范，且必须符合附件1所列的标准、规范及规范性文件的要求，相关标准、规范及规范性文件在合同期间更新的，按新标准要求执行。</w:t>
      </w:r>
    </w:p>
    <w:p>
      <w:pPr>
        <w:spacing w:line="360" w:lineRule="auto"/>
        <w:ind w:firstLine="420" w:firstLineChars="200"/>
        <w:rPr>
          <w:rFonts w:hAnsi="宋体"/>
          <w:bCs/>
          <w:szCs w:val="21"/>
          <w:highlight w:val="none"/>
        </w:rPr>
      </w:pPr>
      <w:r>
        <w:rPr>
          <w:rFonts w:hint="eastAsia" w:hAnsi="宋体"/>
          <w:bCs/>
          <w:szCs w:val="21"/>
          <w:highlight w:val="none"/>
        </w:rPr>
        <w:t>（2）中标人应采取各种有效措施，确保招标人市管道路照明设施安全生产运行，努力降低生产运行成本费用，并达到如下养护目标：4G ACU在线率应≥9</w:t>
      </w:r>
      <w:r>
        <w:rPr>
          <w:rFonts w:hint="eastAsia" w:hAnsi="宋体"/>
          <w:bCs/>
          <w:szCs w:val="21"/>
          <w:highlight w:val="none"/>
          <w:lang w:val="en-US" w:eastAsia="zh-CN"/>
        </w:rPr>
        <w:t>8</w:t>
      </w:r>
      <w:r>
        <w:rPr>
          <w:rFonts w:hint="eastAsia" w:hAnsi="宋体"/>
          <w:bCs/>
          <w:szCs w:val="21"/>
          <w:highlight w:val="none"/>
        </w:rPr>
        <w:t>%</w:t>
      </w:r>
      <w:r>
        <w:rPr>
          <w:rFonts w:hint="eastAsia" w:hAnsi="宋体"/>
          <w:bCs/>
          <w:szCs w:val="21"/>
          <w:highlight w:val="none"/>
          <w:lang w:eastAsia="zh-CN"/>
        </w:rPr>
        <w:t>，</w:t>
      </w:r>
      <w:r>
        <w:rPr>
          <w:rFonts w:hint="eastAsia" w:hAnsi="宋体"/>
          <w:bCs/>
          <w:szCs w:val="21"/>
          <w:highlight w:val="none"/>
        </w:rPr>
        <w:t>非联网（离线）的</w:t>
      </w:r>
      <w:r>
        <w:rPr>
          <w:rFonts w:hint="eastAsia" w:hAnsi="宋体"/>
          <w:bCs/>
          <w:szCs w:val="21"/>
          <w:highlight w:val="none"/>
          <w:lang w:eastAsia="zh-CN"/>
        </w:rPr>
        <w:t>A</w:t>
      </w:r>
      <w:r>
        <w:rPr>
          <w:rFonts w:hint="eastAsia" w:hAnsi="宋体"/>
          <w:bCs/>
          <w:szCs w:val="21"/>
          <w:highlight w:val="none"/>
          <w:lang w:val="en-US" w:eastAsia="zh-CN"/>
        </w:rPr>
        <w:t>CU</w:t>
      </w:r>
      <w:r>
        <w:rPr>
          <w:rFonts w:hint="eastAsia" w:hAnsi="宋体"/>
          <w:bCs/>
          <w:szCs w:val="21"/>
          <w:highlight w:val="none"/>
        </w:rPr>
        <w:t>时钟误差（按 24 h 计）不应超过 5 min</w:t>
      </w:r>
      <w:r>
        <w:rPr>
          <w:rFonts w:hint="eastAsia" w:hAnsi="宋体"/>
          <w:bCs/>
          <w:szCs w:val="21"/>
          <w:highlight w:val="none"/>
          <w:lang w:eastAsia="zh-CN"/>
        </w:rPr>
        <w:t>，设施完好率≥</w:t>
      </w:r>
      <w:r>
        <w:rPr>
          <w:rFonts w:hint="eastAsia" w:hAnsi="宋体"/>
          <w:bCs/>
          <w:szCs w:val="21"/>
          <w:highlight w:val="none"/>
          <w:lang w:val="en-US" w:eastAsia="zh-CN"/>
        </w:rPr>
        <w:t>96%，</w:t>
      </w:r>
      <w:r>
        <w:rPr>
          <w:rFonts w:hint="eastAsia" w:hAnsi="宋体"/>
          <w:bCs/>
          <w:szCs w:val="21"/>
          <w:highlight w:val="none"/>
          <w:lang w:eastAsia="zh-CN"/>
        </w:rPr>
        <w:t>及时</w:t>
      </w:r>
      <w:r>
        <w:rPr>
          <w:rFonts w:hint="eastAsia" w:hAnsi="宋体"/>
          <w:bCs/>
          <w:szCs w:val="21"/>
          <w:highlight w:val="none"/>
        </w:rPr>
        <w:t>修复率应达到100%；。</w:t>
      </w:r>
    </w:p>
    <w:p>
      <w:pPr>
        <w:spacing w:line="360" w:lineRule="auto"/>
        <w:ind w:firstLine="420" w:firstLineChars="200"/>
        <w:rPr>
          <w:rFonts w:ascii="宋体" w:hAnsi="宋体" w:cs="宋体"/>
          <w:szCs w:val="21"/>
          <w:highlight w:val="none"/>
        </w:rPr>
      </w:pPr>
      <w:r>
        <w:rPr>
          <w:rFonts w:hint="eastAsia" w:ascii="宋体" w:hAnsi="宋体" w:cs="宋体"/>
          <w:szCs w:val="21"/>
          <w:highlight w:val="none"/>
          <w:lang w:eastAsia="zh-CN"/>
        </w:rPr>
        <w:t>二</w:t>
      </w:r>
      <w:r>
        <w:rPr>
          <w:rFonts w:hint="eastAsia" w:ascii="宋体" w:hAnsi="宋体" w:cs="宋体"/>
          <w:szCs w:val="21"/>
          <w:highlight w:val="none"/>
        </w:rPr>
        <w:t>、项目管理要求</w:t>
      </w:r>
    </w:p>
    <w:p>
      <w:pPr>
        <w:spacing w:line="360" w:lineRule="auto"/>
        <w:ind w:firstLine="420" w:firstLineChars="200"/>
        <w:rPr>
          <w:rFonts w:hAnsi="宋体"/>
          <w:bCs/>
          <w:szCs w:val="21"/>
          <w:highlight w:val="none"/>
        </w:rPr>
      </w:pPr>
      <w:r>
        <w:rPr>
          <w:rFonts w:hint="eastAsia" w:hAnsi="宋体"/>
          <w:bCs/>
          <w:szCs w:val="21"/>
          <w:highlight w:val="none"/>
        </w:rPr>
        <w:t>（一）基本要求</w:t>
      </w:r>
    </w:p>
    <w:p>
      <w:pPr>
        <w:spacing w:line="360" w:lineRule="auto"/>
        <w:ind w:firstLine="420" w:firstLineChars="200"/>
        <w:rPr>
          <w:rFonts w:hAnsi="宋体"/>
          <w:bCs/>
          <w:szCs w:val="21"/>
          <w:highlight w:val="none"/>
        </w:rPr>
      </w:pPr>
      <w:bookmarkStart w:id="0" w:name="_Hlk91771684"/>
      <w:r>
        <w:rPr>
          <w:rFonts w:hint="eastAsia" w:hAnsi="宋体"/>
          <w:bCs/>
          <w:szCs w:val="21"/>
          <w:highlight w:val="none"/>
        </w:rPr>
        <w:t>1.应遵守国家、地方有关法律、法规、行业规范和招标人的有关管理办法。</w:t>
      </w:r>
    </w:p>
    <w:p>
      <w:pPr>
        <w:spacing w:line="360" w:lineRule="auto"/>
        <w:ind w:firstLine="420" w:firstLineChars="200"/>
        <w:rPr>
          <w:rFonts w:hAnsi="宋体"/>
          <w:bCs/>
          <w:szCs w:val="21"/>
          <w:highlight w:val="none"/>
        </w:rPr>
      </w:pPr>
      <w:r>
        <w:rPr>
          <w:rFonts w:hint="eastAsia" w:hAnsi="宋体"/>
          <w:bCs/>
          <w:szCs w:val="21"/>
          <w:highlight w:val="none"/>
        </w:rPr>
        <w:t>2.严守安全底线，严禁在运行维护过程中发生任何安全事故，严禁发生由道路照明设施运行维护不到位导致的行人及车辆等第三方的安全事故。</w:t>
      </w:r>
    </w:p>
    <w:p>
      <w:pPr>
        <w:spacing w:line="360" w:lineRule="auto"/>
        <w:ind w:firstLine="420" w:firstLineChars="200"/>
        <w:rPr>
          <w:rFonts w:hAnsi="宋体"/>
          <w:bCs/>
          <w:szCs w:val="21"/>
          <w:highlight w:val="none"/>
        </w:rPr>
      </w:pPr>
      <w:r>
        <w:rPr>
          <w:rFonts w:hint="eastAsia" w:hAnsi="宋体"/>
          <w:bCs/>
          <w:szCs w:val="21"/>
          <w:highlight w:val="none"/>
        </w:rPr>
        <w:t>3.应严格按国家、上海市有关规定开展养护工作，并无条件地接受招标人、项目监理单位、审计单位等对项目质量、进度、造价、安全、现场文明施工等方面的考核与监督管理。</w:t>
      </w:r>
    </w:p>
    <w:bookmarkEnd w:id="0"/>
    <w:p>
      <w:pPr>
        <w:spacing w:line="360" w:lineRule="auto"/>
        <w:ind w:firstLine="420" w:firstLineChars="200"/>
        <w:rPr>
          <w:rFonts w:hAnsi="宋体"/>
          <w:bCs/>
          <w:szCs w:val="21"/>
          <w:highlight w:val="none"/>
        </w:rPr>
      </w:pPr>
      <w:r>
        <w:rPr>
          <w:rFonts w:hint="eastAsia" w:hAnsi="宋体"/>
          <w:bCs/>
          <w:szCs w:val="21"/>
          <w:highlight w:val="none"/>
        </w:rPr>
        <w:t>（二）日常运行维护的要求</w:t>
      </w:r>
    </w:p>
    <w:p>
      <w:pPr>
        <w:spacing w:line="360" w:lineRule="auto"/>
        <w:ind w:firstLine="420" w:firstLineChars="200"/>
        <w:rPr>
          <w:rFonts w:hAnsi="宋体"/>
          <w:bCs/>
          <w:szCs w:val="21"/>
          <w:highlight w:val="none"/>
        </w:rPr>
      </w:pPr>
      <w:r>
        <w:rPr>
          <w:rFonts w:hint="eastAsia" w:hAnsi="宋体"/>
          <w:bCs/>
          <w:szCs w:val="21"/>
          <w:highlight w:val="none"/>
        </w:rPr>
        <w:t>1.巡检</w:t>
      </w:r>
    </w:p>
    <w:p>
      <w:pPr>
        <w:pStyle w:val="5"/>
        <w:snapToGrid w:val="0"/>
        <w:spacing w:line="360" w:lineRule="auto"/>
        <w:ind w:firstLine="411" w:firstLineChars="196"/>
        <w:rPr>
          <w:color w:val="000000"/>
          <w:szCs w:val="21"/>
          <w:highlight w:val="none"/>
        </w:rPr>
      </w:pPr>
      <w:r>
        <w:rPr>
          <w:rFonts w:hint="eastAsia"/>
          <w:color w:val="000000"/>
          <w:szCs w:val="21"/>
          <w:highlight w:val="none"/>
        </w:rPr>
        <w:t>对设施缺陷进行逐项检查、检测和记录，对缺陷及其原因进行登记和分类，完成缺陷处理要求如下：</w:t>
      </w:r>
    </w:p>
    <w:p>
      <w:pPr>
        <w:pStyle w:val="5"/>
        <w:snapToGrid w:val="0"/>
        <w:spacing w:line="360" w:lineRule="auto"/>
        <w:ind w:firstLine="411" w:firstLineChars="196"/>
        <w:rPr>
          <w:color w:val="000000"/>
          <w:szCs w:val="21"/>
          <w:highlight w:val="none"/>
        </w:rPr>
      </w:pPr>
      <w:r>
        <w:rPr>
          <w:rFonts w:hint="eastAsia"/>
          <w:color w:val="000000"/>
          <w:szCs w:val="21"/>
          <w:highlight w:val="none"/>
        </w:rPr>
        <w:t>1）重点区域巡检</w:t>
      </w:r>
      <w:r>
        <w:rPr>
          <w:rFonts w:hint="eastAsia"/>
          <w:color w:val="000000"/>
          <w:szCs w:val="21"/>
          <w:highlight w:val="none"/>
          <w:lang w:eastAsia="zh-CN"/>
        </w:rPr>
        <w:t>周期为</w:t>
      </w:r>
      <w:r>
        <w:rPr>
          <w:rFonts w:hint="eastAsia"/>
          <w:color w:val="000000"/>
          <w:szCs w:val="21"/>
          <w:highlight w:val="none"/>
          <w:lang w:val="en-US" w:eastAsia="zh-CN"/>
        </w:rPr>
        <w:t>3个月</w:t>
      </w:r>
      <w:r>
        <w:rPr>
          <w:rFonts w:hint="eastAsia"/>
          <w:color w:val="000000"/>
          <w:szCs w:val="21"/>
          <w:highlight w:val="none"/>
          <w:lang w:eastAsia="zh-CN"/>
        </w:rPr>
        <w:t>，一般区域巡检周期为</w:t>
      </w:r>
      <w:r>
        <w:rPr>
          <w:rFonts w:hint="eastAsia"/>
          <w:color w:val="000000"/>
          <w:szCs w:val="21"/>
          <w:highlight w:val="none"/>
          <w:lang w:val="en-US" w:eastAsia="zh-CN"/>
        </w:rPr>
        <w:t>6个月；</w:t>
      </w:r>
    </w:p>
    <w:p>
      <w:pPr>
        <w:pStyle w:val="5"/>
        <w:snapToGrid w:val="0"/>
        <w:spacing w:line="360" w:lineRule="auto"/>
        <w:ind w:firstLine="411" w:firstLineChars="196"/>
        <w:rPr>
          <w:highlight w:val="none"/>
        </w:rPr>
      </w:pPr>
      <w:r>
        <w:rPr>
          <w:rFonts w:hint="eastAsia"/>
          <w:color w:val="000000"/>
          <w:szCs w:val="21"/>
          <w:highlight w:val="none"/>
          <w:lang w:val="en-US" w:eastAsia="zh-CN"/>
        </w:rPr>
        <w:t>2</w:t>
      </w:r>
      <w:r>
        <w:rPr>
          <w:rFonts w:hint="eastAsia"/>
          <w:color w:val="000000"/>
          <w:szCs w:val="21"/>
          <w:highlight w:val="none"/>
        </w:rPr>
        <w:t>）光照度采集设备每</w:t>
      </w:r>
      <w:r>
        <w:rPr>
          <w:rFonts w:hint="eastAsia"/>
          <w:color w:val="000000"/>
          <w:szCs w:val="21"/>
          <w:highlight w:val="none"/>
          <w:lang w:eastAsia="zh-CN"/>
        </w:rPr>
        <w:t>半年</w:t>
      </w:r>
      <w:r>
        <w:rPr>
          <w:rFonts w:hint="eastAsia"/>
          <w:color w:val="000000"/>
          <w:szCs w:val="21"/>
          <w:highlight w:val="none"/>
        </w:rPr>
        <w:t>清洁1次</w:t>
      </w:r>
      <w:r>
        <w:rPr>
          <w:rFonts w:hint="eastAsia"/>
          <w:color w:val="000000"/>
          <w:szCs w:val="21"/>
          <w:highlight w:val="none"/>
          <w:lang w:eastAsia="zh-CN"/>
        </w:rPr>
        <w:t>，</w:t>
      </w:r>
      <w:r>
        <w:rPr>
          <w:rFonts w:hint="eastAsia"/>
          <w:color w:val="000000"/>
          <w:szCs w:val="21"/>
          <w:highlight w:val="none"/>
          <w:lang w:val="en-US" w:eastAsia="zh-CN"/>
        </w:rPr>
        <w:t>1年完成1次校验</w:t>
      </w:r>
      <w:r>
        <w:rPr>
          <w:rFonts w:hint="eastAsia"/>
          <w:color w:val="000000"/>
          <w:szCs w:val="21"/>
          <w:highlight w:val="none"/>
        </w:rPr>
        <w:t>。</w:t>
      </w:r>
    </w:p>
    <w:p>
      <w:pPr>
        <w:pStyle w:val="5"/>
        <w:snapToGrid w:val="0"/>
        <w:spacing w:line="360" w:lineRule="auto"/>
        <w:ind w:firstLine="411" w:firstLineChars="196"/>
        <w:rPr>
          <w:color w:val="000000"/>
          <w:szCs w:val="21"/>
          <w:highlight w:val="none"/>
        </w:rPr>
      </w:pPr>
      <w:r>
        <w:rPr>
          <w:rFonts w:hint="eastAsia"/>
          <w:color w:val="000000"/>
          <w:szCs w:val="21"/>
          <w:highlight w:val="none"/>
        </w:rPr>
        <w:t>各类缺陷自发现至消除或降低等级的时间应符合下列规定：</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49"/>
        <w:gridCol w:w="2735"/>
        <w:gridCol w:w="2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89"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道路照明设施分级</w:t>
            </w: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缺陷等级</w:t>
            </w: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处置时间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89" w:type="pct"/>
            <w:vMerge w:val="restar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重点区域道路照明设施</w:t>
            </w: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危急缺陷</w:t>
            </w: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lang w:val="en-US" w:eastAsia="zh-CN"/>
              </w:rPr>
              <w:t>1天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89" w:type="pct"/>
            <w:vMerge w:val="continue"/>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严重缺陷</w:t>
            </w: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3</w:t>
            </w:r>
            <w:r>
              <w:rPr>
                <w:rFonts w:hint="eastAsia" w:ascii="宋体" w:hAnsi="宋体" w:cs="宋体"/>
                <w:szCs w:val="21"/>
                <w:highlight w:val="none"/>
                <w:lang w:eastAsia="zh-CN"/>
              </w:rPr>
              <w:t>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89" w:type="pct"/>
            <w:vMerge w:val="continue"/>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一般缺陷</w:t>
            </w: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2周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89" w:type="pct"/>
            <w:vMerge w:val="continue"/>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轻微缺陷</w:t>
            </w: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一个</w:t>
            </w:r>
            <w:r>
              <w:rPr>
                <w:rFonts w:hint="eastAsia" w:ascii="宋体" w:hAnsi="宋体" w:cs="宋体"/>
                <w:szCs w:val="21"/>
                <w:highlight w:val="none"/>
                <w:lang w:eastAsia="zh-CN"/>
              </w:rPr>
              <w:t>巡检周期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89" w:type="pct"/>
            <w:vMerge w:val="restar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一般区域道路照明设施</w:t>
            </w: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危急缺陷</w:t>
            </w: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hint="eastAsia" w:ascii="宋体" w:hAnsi="宋体" w:eastAsia="宋体" w:cs="宋体"/>
                <w:highlight w:val="none"/>
                <w:lang w:eastAsia="zh-CN"/>
              </w:rPr>
            </w:pPr>
            <w:r>
              <w:rPr>
                <w:rFonts w:hint="eastAsia" w:ascii="宋体" w:hAnsi="宋体" w:cs="宋体"/>
                <w:szCs w:val="21"/>
                <w:highlight w:val="none"/>
                <w:lang w:val="en-US" w:eastAsia="zh-CN"/>
              </w:rPr>
              <w:t>1天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89" w:type="pct"/>
            <w:vMerge w:val="continue"/>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严重缺陷</w:t>
            </w: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1周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89" w:type="pct"/>
            <w:vMerge w:val="continue"/>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一般缺陷</w:t>
            </w: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1个月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89" w:type="pct"/>
            <w:vMerge w:val="continue"/>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轻微缺陷</w:t>
            </w: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hint="eastAsia" w:ascii="宋体" w:hAnsi="宋体" w:eastAsia="宋体" w:cs="宋体"/>
                <w:highlight w:val="none"/>
                <w:lang w:eastAsia="zh-CN"/>
              </w:rPr>
            </w:pPr>
            <w:r>
              <w:rPr>
                <w:rFonts w:hint="eastAsia" w:ascii="宋体" w:hAnsi="宋体" w:cs="宋体"/>
                <w:szCs w:val="21"/>
                <w:highlight w:val="none"/>
                <w:lang w:eastAsia="zh-CN"/>
              </w:rPr>
              <w:t>一个巡检周期</w:t>
            </w:r>
          </w:p>
        </w:tc>
      </w:tr>
    </w:tbl>
    <w:p>
      <w:pPr>
        <w:spacing w:line="360" w:lineRule="auto"/>
        <w:ind w:firstLine="420" w:firstLineChars="200"/>
        <w:rPr>
          <w:highlight w:val="none"/>
        </w:rPr>
      </w:pPr>
      <w:r>
        <w:rPr>
          <w:rFonts w:hint="eastAsia"/>
          <w:highlight w:val="none"/>
        </w:rPr>
        <w:t>2.投诉处置</w:t>
      </w:r>
    </w:p>
    <w:p>
      <w:pPr>
        <w:spacing w:line="360" w:lineRule="auto"/>
        <w:ind w:firstLine="420" w:firstLineChars="200"/>
        <w:rPr>
          <w:rFonts w:ascii="宋体" w:hAnsi="宋体" w:cs="宋体"/>
          <w:highlight w:val="none"/>
        </w:rPr>
      </w:pPr>
      <w:r>
        <w:rPr>
          <w:rFonts w:hint="eastAsia" w:ascii="宋体" w:hAnsi="宋体" w:cs="宋体"/>
          <w:szCs w:val="21"/>
          <w:highlight w:val="none"/>
        </w:rPr>
        <w:t>（1）处理来自12345、12319、各区网格、监控告警和电话报修的投诉案件，及时前往现场查看情况，及时反馈至投诉人。</w:t>
      </w:r>
    </w:p>
    <w:p>
      <w:pPr>
        <w:spacing w:line="360" w:lineRule="auto"/>
        <w:ind w:firstLine="420" w:firstLineChars="200"/>
        <w:rPr>
          <w:rFonts w:ascii="宋体" w:hAnsi="宋体" w:cs="宋体"/>
          <w:highlight w:val="none"/>
        </w:rPr>
      </w:pPr>
      <w:r>
        <w:rPr>
          <w:rFonts w:hint="eastAsia" w:ascii="宋体" w:hAnsi="宋体" w:cs="宋体"/>
          <w:szCs w:val="21"/>
          <w:highlight w:val="none"/>
        </w:rPr>
        <w:t>（2）按招标人要求配合调查非市管照明设施的投诉。</w:t>
      </w:r>
    </w:p>
    <w:p>
      <w:pPr>
        <w:spacing w:line="360" w:lineRule="auto"/>
        <w:ind w:firstLine="420" w:firstLineChars="200"/>
        <w:rPr>
          <w:highlight w:val="none"/>
        </w:rPr>
      </w:pPr>
      <w:r>
        <w:rPr>
          <w:rFonts w:hint="eastAsia" w:ascii="宋体" w:hAnsi="宋体" w:cs="宋体"/>
          <w:szCs w:val="21"/>
          <w:highlight w:val="none"/>
        </w:rPr>
        <w:t>（3）及时修复投诉报修，</w:t>
      </w:r>
      <w:r>
        <w:rPr>
          <w:rFonts w:hint="eastAsia"/>
          <w:highlight w:val="none"/>
        </w:rPr>
        <w:t>工单、故障报修修复时间不超过</w:t>
      </w:r>
      <w:r>
        <w:rPr>
          <w:highlight w:val="none"/>
        </w:rPr>
        <w:t>24 h</w:t>
      </w:r>
      <w:r>
        <w:rPr>
          <w:rFonts w:hint="eastAsia"/>
          <w:highlight w:val="none"/>
        </w:rPr>
        <w:t>。强台风、强降雨等不可抗力造成的严重故障或损坏，应在</w:t>
      </w:r>
      <w:r>
        <w:rPr>
          <w:highlight w:val="none"/>
        </w:rPr>
        <w:t>5 d</w:t>
      </w:r>
      <w:r>
        <w:rPr>
          <w:rFonts w:hint="eastAsia"/>
          <w:highlight w:val="none"/>
        </w:rPr>
        <w:t>内修复。</w:t>
      </w:r>
    </w:p>
    <w:p>
      <w:pPr>
        <w:spacing w:line="360" w:lineRule="auto"/>
        <w:ind w:firstLine="420" w:firstLineChars="200"/>
        <w:rPr>
          <w:rFonts w:ascii="宋体" w:hAnsi="宋体" w:cs="宋体"/>
          <w:highlight w:val="none"/>
        </w:rPr>
      </w:pPr>
      <w:r>
        <w:rPr>
          <w:rFonts w:hint="eastAsia" w:ascii="宋体" w:hAnsi="宋体" w:cs="宋体"/>
          <w:szCs w:val="21"/>
          <w:highlight w:val="none"/>
        </w:rPr>
        <w:t>（4）配合招标人完成本市道路照明投诉托底处置工作。</w:t>
      </w:r>
    </w:p>
    <w:p>
      <w:pPr>
        <w:spacing w:line="360" w:lineRule="auto"/>
        <w:ind w:firstLine="420" w:firstLineChars="200"/>
        <w:rPr>
          <w:rFonts w:ascii="宋体" w:hAnsi="宋体" w:cs="宋体"/>
          <w:highlight w:val="none"/>
        </w:rPr>
      </w:pPr>
      <w:r>
        <w:rPr>
          <w:rFonts w:hint="eastAsia" w:ascii="宋体" w:hAnsi="宋体" w:cs="宋体"/>
          <w:szCs w:val="21"/>
          <w:highlight w:val="none"/>
        </w:rPr>
        <w:t>（5）中标人应有能力处置一般投诉工单，对疑难投诉工单提出建议处置方案，供招标人决策。</w:t>
      </w:r>
    </w:p>
    <w:p>
      <w:pPr>
        <w:spacing w:line="360" w:lineRule="auto"/>
        <w:ind w:firstLine="420" w:firstLineChars="200"/>
        <w:rPr>
          <w:rFonts w:hAnsi="宋体"/>
          <w:bCs/>
          <w:szCs w:val="21"/>
          <w:highlight w:val="none"/>
        </w:rPr>
      </w:pPr>
      <w:r>
        <w:rPr>
          <w:rFonts w:hint="eastAsia"/>
          <w:highlight w:val="none"/>
        </w:rPr>
        <w:t>3</w:t>
      </w:r>
      <w:r>
        <w:rPr>
          <w:rFonts w:hint="eastAsia" w:hAnsi="宋体"/>
          <w:bCs/>
          <w:szCs w:val="21"/>
          <w:highlight w:val="none"/>
        </w:rPr>
        <w:t>.</w:t>
      </w:r>
      <w:r>
        <w:rPr>
          <w:rFonts w:hint="eastAsia"/>
          <w:color w:val="000000"/>
          <w:szCs w:val="21"/>
          <w:highlight w:val="none"/>
        </w:rPr>
        <w:t>故障处置要求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3.1平台告警处置</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应在接到信息平台告警工单24h内完成处置，抢修除外。</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3.2 故障抢修</w:t>
      </w:r>
    </w:p>
    <w:p>
      <w:pPr>
        <w:spacing w:line="360" w:lineRule="auto"/>
        <w:ind w:firstLine="420" w:firstLineChars="200"/>
        <w:rPr>
          <w:rFonts w:ascii="宋体" w:hAnsi="宋体" w:cs="宋体"/>
          <w:highlight w:val="none"/>
        </w:rPr>
      </w:pPr>
      <w:r>
        <w:rPr>
          <w:rFonts w:hint="eastAsia" w:ascii="宋体" w:hAnsi="宋体" w:cs="宋体"/>
          <w:szCs w:val="21"/>
          <w:highlight w:val="none"/>
        </w:rPr>
        <w:t>ACU原因导致的大面积白天放光、白天亮灯等系统性故障，或照明设施出现危及行人、行车或环境安全的事件，应进行故障抢修，到场时限要求如下。</w:t>
      </w:r>
    </w:p>
    <w:tbl>
      <w:tblPr>
        <w:tblStyle w:val="12"/>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49"/>
        <w:gridCol w:w="3211"/>
        <w:gridCol w:w="2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89"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道路照明设施分级</w:t>
            </w:r>
          </w:p>
        </w:tc>
        <w:tc>
          <w:tcPr>
            <w:tcW w:w="1884"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空间区域</w:t>
            </w:r>
          </w:p>
        </w:tc>
        <w:tc>
          <w:tcPr>
            <w:tcW w:w="1326"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应急抢修到场时限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89" w:type="pct"/>
            <w:vMerge w:val="restar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重点区域道路照明设施</w:t>
            </w:r>
          </w:p>
        </w:tc>
        <w:tc>
          <w:tcPr>
            <w:tcW w:w="1884"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highlight w:val="none"/>
              </w:rPr>
              <w:t>中心城区（外环高速以内）</w:t>
            </w:r>
          </w:p>
        </w:tc>
        <w:tc>
          <w:tcPr>
            <w:tcW w:w="1326"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highlight w:val="none"/>
              </w:rPr>
              <w:t>不应超过</w:t>
            </w:r>
            <w:r>
              <w:rPr>
                <w:rFonts w:ascii="宋体" w:hAnsi="宋体" w:cs="宋体"/>
                <w:highlight w:val="none"/>
              </w:rPr>
              <w:t>1h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89" w:type="pct"/>
            <w:vMerge w:val="continue"/>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p>
        </w:tc>
        <w:tc>
          <w:tcPr>
            <w:tcW w:w="1884"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非中心城区</w:t>
            </w:r>
          </w:p>
        </w:tc>
        <w:tc>
          <w:tcPr>
            <w:tcW w:w="1326"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不应超过1h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89" w:type="pct"/>
            <w:vMerge w:val="restar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一般区域道路照明设施</w:t>
            </w:r>
          </w:p>
        </w:tc>
        <w:tc>
          <w:tcPr>
            <w:tcW w:w="1884"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中心城区（外环高速以内）</w:t>
            </w:r>
          </w:p>
        </w:tc>
        <w:tc>
          <w:tcPr>
            <w:tcW w:w="1326"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不宜超过1h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89" w:type="pct"/>
            <w:vMerge w:val="continue"/>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p>
        </w:tc>
        <w:tc>
          <w:tcPr>
            <w:tcW w:w="1884"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非中心城区</w:t>
            </w:r>
          </w:p>
        </w:tc>
        <w:tc>
          <w:tcPr>
            <w:tcW w:w="1326"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不</w:t>
            </w:r>
            <w:r>
              <w:rPr>
                <w:rFonts w:hint="eastAsia" w:ascii="宋体" w:hAnsi="宋体" w:cs="宋体"/>
                <w:szCs w:val="21"/>
                <w:highlight w:val="none"/>
                <w:lang w:eastAsia="zh-CN"/>
              </w:rPr>
              <w:t>宜</w:t>
            </w:r>
            <w:r>
              <w:rPr>
                <w:rFonts w:hint="eastAsia" w:ascii="宋体" w:hAnsi="宋体" w:cs="宋体"/>
                <w:szCs w:val="21"/>
                <w:highlight w:val="none"/>
              </w:rPr>
              <w:t>超过2h</w:t>
            </w:r>
          </w:p>
        </w:tc>
      </w:tr>
    </w:tbl>
    <w:p>
      <w:pPr>
        <w:spacing w:line="360" w:lineRule="auto"/>
        <w:ind w:firstLine="420" w:firstLineChars="200"/>
        <w:rPr>
          <w:rFonts w:hAnsi="宋体"/>
          <w:bCs/>
          <w:szCs w:val="21"/>
          <w:highlight w:val="none"/>
        </w:rPr>
      </w:pPr>
      <w:r>
        <w:rPr>
          <w:rFonts w:hint="eastAsia" w:hAnsi="宋体"/>
          <w:bCs/>
          <w:szCs w:val="21"/>
          <w:highlight w:val="none"/>
        </w:rPr>
        <w:t>4.</w:t>
      </w:r>
      <w:r>
        <w:rPr>
          <w:rFonts w:hint="eastAsia"/>
          <w:color w:val="000000"/>
          <w:szCs w:val="21"/>
          <w:highlight w:val="none"/>
        </w:rPr>
        <w:t>重大节日（活动）保障</w:t>
      </w:r>
    </w:p>
    <w:p>
      <w:pPr>
        <w:pStyle w:val="5"/>
        <w:snapToGrid w:val="0"/>
        <w:spacing w:line="360" w:lineRule="auto"/>
        <w:ind w:firstLine="411" w:firstLineChars="196"/>
        <w:rPr>
          <w:color w:val="000000"/>
          <w:szCs w:val="21"/>
          <w:highlight w:val="none"/>
        </w:rPr>
      </w:pPr>
      <w:r>
        <w:rPr>
          <w:rFonts w:hint="eastAsia"/>
          <w:color w:val="000000"/>
          <w:szCs w:val="21"/>
          <w:highlight w:val="none"/>
        </w:rPr>
        <w:t>在重大节日（活动）前，根据招标人要求编制方案，在重大节日（活动）开展过程中落实方案。</w:t>
      </w:r>
    </w:p>
    <w:p>
      <w:pPr>
        <w:spacing w:line="360" w:lineRule="auto"/>
        <w:ind w:firstLine="420" w:firstLineChars="200"/>
        <w:rPr>
          <w:rFonts w:hAnsi="宋体"/>
          <w:bCs/>
          <w:szCs w:val="21"/>
          <w:highlight w:val="none"/>
        </w:rPr>
      </w:pPr>
      <w:r>
        <w:rPr>
          <w:rFonts w:hint="eastAsia" w:hAnsi="宋体"/>
          <w:bCs/>
          <w:szCs w:val="21"/>
          <w:highlight w:val="none"/>
        </w:rPr>
        <w:t>5.</w:t>
      </w:r>
      <w:r>
        <w:rPr>
          <w:rFonts w:hint="eastAsia"/>
          <w:color w:val="000000"/>
          <w:szCs w:val="21"/>
          <w:highlight w:val="none"/>
        </w:rPr>
        <w:t>应急保障要求</w:t>
      </w:r>
    </w:p>
    <w:p>
      <w:pPr>
        <w:spacing w:line="360" w:lineRule="auto"/>
        <w:ind w:firstLine="420" w:firstLineChars="200"/>
        <w:rPr>
          <w:color w:val="000000"/>
          <w:szCs w:val="21"/>
          <w:highlight w:val="none"/>
        </w:rPr>
      </w:pPr>
      <w:r>
        <w:rPr>
          <w:rFonts w:hint="eastAsia"/>
          <w:color w:val="000000"/>
          <w:szCs w:val="21"/>
          <w:highlight w:val="none"/>
        </w:rPr>
        <w:t>中标人应根据《中华人民共和国突发事件应对法》和《上海市突发公共事件总体应急预案》要求，编制有针对性的应急预案，按招标人要求开展应急演练。</w:t>
      </w:r>
    </w:p>
    <w:p>
      <w:pPr>
        <w:spacing w:line="360" w:lineRule="auto"/>
        <w:ind w:firstLine="420" w:firstLineChars="200"/>
        <w:rPr>
          <w:rFonts w:hAnsi="宋体"/>
          <w:bCs/>
          <w:szCs w:val="21"/>
          <w:highlight w:val="none"/>
        </w:rPr>
      </w:pPr>
      <w:r>
        <w:rPr>
          <w:rFonts w:hint="eastAsia" w:hAnsi="宋体"/>
          <w:bCs/>
          <w:szCs w:val="21"/>
          <w:highlight w:val="none"/>
        </w:rPr>
        <w:t>6.</w:t>
      </w:r>
      <w:r>
        <w:rPr>
          <w:rFonts w:hint="eastAsia"/>
          <w:color w:val="000000"/>
          <w:szCs w:val="21"/>
          <w:highlight w:val="none"/>
        </w:rPr>
        <w:t>控制设备设施管理</w:t>
      </w:r>
    </w:p>
    <w:p>
      <w:pPr>
        <w:pStyle w:val="5"/>
        <w:snapToGrid w:val="0"/>
        <w:spacing w:line="360" w:lineRule="auto"/>
        <w:ind w:firstLine="411" w:firstLineChars="196"/>
        <w:rPr>
          <w:color w:val="000000"/>
          <w:szCs w:val="21"/>
          <w:highlight w:val="none"/>
        </w:rPr>
      </w:pPr>
      <w:r>
        <w:rPr>
          <w:rFonts w:hint="eastAsia"/>
          <w:color w:val="000000"/>
          <w:szCs w:val="21"/>
          <w:highlight w:val="none"/>
        </w:rPr>
        <w:t>（1）做好设施数据更新，确保账实相符。</w:t>
      </w:r>
    </w:p>
    <w:p>
      <w:pPr>
        <w:pStyle w:val="5"/>
        <w:snapToGrid w:val="0"/>
        <w:spacing w:line="360" w:lineRule="auto"/>
        <w:ind w:firstLine="411" w:firstLineChars="196"/>
        <w:rPr>
          <w:color w:val="000000"/>
          <w:szCs w:val="21"/>
          <w:highlight w:val="none"/>
        </w:rPr>
      </w:pPr>
      <w:r>
        <w:rPr>
          <w:rFonts w:hint="eastAsia"/>
          <w:color w:val="000000"/>
          <w:szCs w:val="21"/>
          <w:highlight w:val="none"/>
        </w:rPr>
        <w:t>（2）落实废旧设施仓储。</w:t>
      </w:r>
    </w:p>
    <w:p>
      <w:pPr>
        <w:pStyle w:val="5"/>
        <w:snapToGrid w:val="0"/>
        <w:spacing w:line="360" w:lineRule="auto"/>
        <w:ind w:firstLine="411" w:firstLineChars="196"/>
        <w:rPr>
          <w:color w:val="000000"/>
          <w:szCs w:val="21"/>
          <w:highlight w:val="none"/>
        </w:rPr>
      </w:pPr>
      <w:r>
        <w:rPr>
          <w:rFonts w:hint="eastAsia"/>
          <w:color w:val="000000"/>
          <w:szCs w:val="21"/>
          <w:highlight w:val="none"/>
        </w:rPr>
        <w:t>（3）配合资产评估。</w:t>
      </w:r>
    </w:p>
    <w:p>
      <w:pPr>
        <w:pStyle w:val="5"/>
        <w:snapToGrid w:val="0"/>
        <w:spacing w:line="360" w:lineRule="auto"/>
        <w:ind w:firstLine="411" w:firstLineChars="196"/>
        <w:rPr>
          <w:color w:val="000000"/>
          <w:szCs w:val="21"/>
          <w:highlight w:val="none"/>
        </w:rPr>
      </w:pPr>
      <w:r>
        <w:rPr>
          <w:rFonts w:hint="eastAsia"/>
          <w:color w:val="000000"/>
          <w:szCs w:val="21"/>
          <w:highlight w:val="none"/>
        </w:rPr>
        <w:t>7.相关管理工作</w:t>
      </w:r>
    </w:p>
    <w:p>
      <w:pPr>
        <w:pStyle w:val="5"/>
        <w:snapToGrid w:val="0"/>
        <w:spacing w:line="360" w:lineRule="auto"/>
        <w:ind w:firstLine="411" w:firstLineChars="196"/>
        <w:rPr>
          <w:color w:val="000000"/>
          <w:szCs w:val="21"/>
          <w:highlight w:val="none"/>
        </w:rPr>
      </w:pPr>
      <w:r>
        <w:rPr>
          <w:rFonts w:hint="eastAsia"/>
          <w:color w:val="000000"/>
          <w:szCs w:val="21"/>
          <w:highlight w:val="none"/>
        </w:rPr>
        <w:t>（1）架空线入地和杆箱整治工作中有关设施交底、安全交底、验收接管等配合工作。</w:t>
      </w:r>
    </w:p>
    <w:p>
      <w:pPr>
        <w:pStyle w:val="5"/>
        <w:snapToGrid w:val="0"/>
        <w:spacing w:line="360" w:lineRule="auto"/>
        <w:ind w:firstLine="411" w:firstLineChars="196"/>
        <w:rPr>
          <w:color w:val="000000"/>
          <w:szCs w:val="21"/>
          <w:highlight w:val="none"/>
        </w:rPr>
      </w:pPr>
      <w:r>
        <w:rPr>
          <w:rFonts w:hint="eastAsia"/>
          <w:color w:val="000000"/>
          <w:szCs w:val="21"/>
          <w:highlight w:val="none"/>
        </w:rPr>
        <w:t>（2）</w:t>
      </w:r>
      <w:r>
        <w:rPr>
          <w:rFonts w:hint="eastAsia"/>
          <w:color w:val="000000"/>
          <w:szCs w:val="21"/>
          <w:highlight w:val="none"/>
          <w:lang w:eastAsia="zh-CN"/>
        </w:rPr>
        <w:t>参与</w:t>
      </w:r>
      <w:r>
        <w:rPr>
          <w:rFonts w:hint="eastAsia"/>
          <w:color w:val="000000"/>
          <w:szCs w:val="21"/>
          <w:highlight w:val="none"/>
        </w:rPr>
        <w:t>新建、改扩建工程</w:t>
      </w:r>
      <w:r>
        <w:rPr>
          <w:rFonts w:hint="eastAsia"/>
          <w:color w:val="000000"/>
          <w:szCs w:val="21"/>
          <w:highlight w:val="none"/>
          <w:lang w:eastAsia="zh-CN"/>
        </w:rPr>
        <w:t>新建</w:t>
      </w:r>
      <w:r>
        <w:rPr>
          <w:rFonts w:hint="eastAsia"/>
          <w:color w:val="000000"/>
          <w:szCs w:val="21"/>
          <w:highlight w:val="none"/>
        </w:rPr>
        <w:t>道路照明设施的移交接管</w:t>
      </w:r>
      <w:r>
        <w:rPr>
          <w:rFonts w:hint="eastAsia"/>
          <w:color w:val="000000"/>
          <w:szCs w:val="21"/>
          <w:highlight w:val="none"/>
          <w:lang w:eastAsia="zh-CN"/>
        </w:rPr>
        <w:t>验收</w:t>
      </w:r>
      <w:r>
        <w:rPr>
          <w:rFonts w:hint="eastAsia"/>
          <w:color w:val="000000"/>
          <w:szCs w:val="21"/>
          <w:highlight w:val="none"/>
        </w:rPr>
        <w:t>工作。</w:t>
      </w:r>
    </w:p>
    <w:p>
      <w:pPr>
        <w:pStyle w:val="5"/>
        <w:snapToGrid w:val="0"/>
        <w:spacing w:line="360" w:lineRule="auto"/>
        <w:ind w:firstLine="411" w:firstLineChars="196"/>
        <w:rPr>
          <w:color w:val="000000"/>
          <w:szCs w:val="21"/>
          <w:highlight w:val="none"/>
        </w:rPr>
      </w:pPr>
      <w:r>
        <w:rPr>
          <w:rFonts w:hint="eastAsia"/>
          <w:color w:val="000000"/>
          <w:szCs w:val="21"/>
          <w:highlight w:val="none"/>
        </w:rPr>
        <w:t>（3）招标人建设的道路照明设施专项改造工程的相关配合工作。</w:t>
      </w:r>
    </w:p>
    <w:p>
      <w:pPr>
        <w:pStyle w:val="5"/>
        <w:snapToGrid w:val="0"/>
        <w:spacing w:line="360" w:lineRule="auto"/>
        <w:ind w:firstLine="411" w:firstLineChars="196"/>
        <w:rPr>
          <w:rFonts w:hint="eastAsia" w:eastAsia="宋体"/>
          <w:color w:val="000000"/>
          <w:szCs w:val="21"/>
          <w:highlight w:val="none"/>
          <w:lang w:eastAsia="zh-CN"/>
        </w:rPr>
      </w:pPr>
      <w:r>
        <w:rPr>
          <w:rFonts w:hint="eastAsia"/>
          <w:color w:val="000000"/>
          <w:szCs w:val="21"/>
          <w:highlight w:val="none"/>
        </w:rPr>
        <w:t>（4）</w:t>
      </w:r>
      <w:r>
        <w:rPr>
          <w:rFonts w:hint="eastAsia"/>
          <w:color w:val="000000"/>
          <w:szCs w:val="21"/>
          <w:highlight w:val="none"/>
          <w:lang w:eastAsia="zh-CN"/>
        </w:rPr>
        <w:t>道路改扩建工程临时移交设施的托底处置工作。</w:t>
      </w:r>
    </w:p>
    <w:p>
      <w:pPr>
        <w:pStyle w:val="5"/>
        <w:snapToGrid w:val="0"/>
        <w:spacing w:line="360" w:lineRule="auto"/>
        <w:ind w:firstLine="411" w:firstLineChars="196"/>
        <w:rPr>
          <w:color w:val="000000"/>
          <w:szCs w:val="21"/>
          <w:highlight w:val="none"/>
        </w:rPr>
      </w:pPr>
      <w:r>
        <w:rPr>
          <w:rFonts w:hint="eastAsia"/>
          <w:color w:val="000000"/>
          <w:szCs w:val="21"/>
          <w:highlight w:val="none"/>
          <w:lang w:eastAsia="zh-CN"/>
        </w:rPr>
        <w:t>（</w:t>
      </w:r>
      <w:r>
        <w:rPr>
          <w:rFonts w:hint="eastAsia"/>
          <w:color w:val="000000"/>
          <w:szCs w:val="21"/>
          <w:highlight w:val="none"/>
          <w:lang w:val="en-US" w:eastAsia="zh-CN"/>
        </w:rPr>
        <w:t>5</w:t>
      </w:r>
      <w:r>
        <w:rPr>
          <w:rFonts w:hint="eastAsia"/>
          <w:color w:val="000000"/>
          <w:szCs w:val="21"/>
          <w:highlight w:val="none"/>
          <w:lang w:eastAsia="zh-CN"/>
        </w:rPr>
        <w:t>）</w:t>
      </w:r>
      <w:r>
        <w:rPr>
          <w:rFonts w:hint="eastAsia"/>
          <w:color w:val="000000"/>
          <w:szCs w:val="21"/>
          <w:highlight w:val="none"/>
        </w:rPr>
        <w:t>配合招标人开展各类道路照明设施管理工作，完善市管道路照明设施中设备的技术档案。</w:t>
      </w:r>
    </w:p>
    <w:p>
      <w:pPr>
        <w:pStyle w:val="5"/>
        <w:snapToGrid w:val="0"/>
        <w:spacing w:line="360" w:lineRule="auto"/>
        <w:ind w:firstLine="411" w:firstLineChars="196"/>
        <w:rPr>
          <w:color w:val="000000"/>
          <w:szCs w:val="21"/>
          <w:highlight w:val="none"/>
        </w:rPr>
      </w:pPr>
      <w:r>
        <w:rPr>
          <w:rFonts w:hint="eastAsia"/>
          <w:color w:val="000000"/>
          <w:szCs w:val="21"/>
          <w:highlight w:val="none"/>
        </w:rPr>
        <w:t>（</w:t>
      </w:r>
      <w:r>
        <w:rPr>
          <w:rFonts w:hint="eastAsia"/>
          <w:color w:val="000000"/>
          <w:szCs w:val="21"/>
          <w:highlight w:val="none"/>
          <w:lang w:val="en-US" w:eastAsia="zh-CN"/>
        </w:rPr>
        <w:t>6</w:t>
      </w:r>
      <w:r>
        <w:rPr>
          <w:rFonts w:hint="eastAsia"/>
          <w:color w:val="000000"/>
          <w:szCs w:val="21"/>
          <w:highlight w:val="none"/>
        </w:rPr>
        <w:t>）</w:t>
      </w:r>
      <w:r>
        <w:rPr>
          <w:rFonts w:hint="eastAsia"/>
          <w:color w:val="000000"/>
          <w:szCs w:val="21"/>
          <w:highlight w:val="none"/>
          <w:lang w:eastAsia="zh-CN"/>
        </w:rPr>
        <w:t>投标人应当</w:t>
      </w:r>
      <w:r>
        <w:rPr>
          <w:rFonts w:hint="eastAsia"/>
          <w:color w:val="000000"/>
          <w:szCs w:val="21"/>
          <w:highlight w:val="none"/>
        </w:rPr>
        <w:t>拥有信息平台开展养护工作，平台应具备设备台账管理、应急管理、策略管理、工单管理、维修管理、日常工作管理、物料管理等功能。</w:t>
      </w:r>
    </w:p>
    <w:p>
      <w:pPr>
        <w:spacing w:line="360" w:lineRule="auto"/>
        <w:ind w:firstLine="420" w:firstLineChars="200"/>
        <w:rPr>
          <w:rFonts w:hAnsi="宋体"/>
          <w:bCs/>
          <w:szCs w:val="21"/>
          <w:highlight w:val="none"/>
        </w:rPr>
      </w:pPr>
      <w:r>
        <w:rPr>
          <w:rFonts w:hint="eastAsia" w:hAnsi="宋体"/>
          <w:bCs/>
          <w:szCs w:val="21"/>
          <w:highlight w:val="none"/>
        </w:rPr>
        <w:t>8.其他</w:t>
      </w:r>
    </w:p>
    <w:p>
      <w:pPr>
        <w:spacing w:line="360" w:lineRule="auto"/>
        <w:ind w:firstLine="420" w:firstLineChars="200"/>
        <w:rPr>
          <w:rFonts w:hAnsi="宋体"/>
          <w:bCs/>
          <w:szCs w:val="21"/>
          <w:highlight w:val="none"/>
        </w:rPr>
      </w:pPr>
      <w:r>
        <w:rPr>
          <w:rFonts w:hint="eastAsia" w:hAnsi="宋体"/>
          <w:bCs/>
          <w:szCs w:val="21"/>
          <w:highlight w:val="none"/>
        </w:rPr>
        <w:t>1）应定期参加招标人组织的运行分析会，对设备运行情况、存在缺陷和所发生的异常及事故进行分析。针对存在问题，及时提出具体改进或调整措施并予以实施。</w:t>
      </w:r>
    </w:p>
    <w:p>
      <w:pPr>
        <w:spacing w:line="360" w:lineRule="auto"/>
        <w:ind w:firstLine="420" w:firstLineChars="200"/>
        <w:rPr>
          <w:rFonts w:hAnsi="宋体"/>
          <w:bCs/>
          <w:szCs w:val="21"/>
          <w:highlight w:val="none"/>
        </w:rPr>
      </w:pPr>
      <w:r>
        <w:rPr>
          <w:rFonts w:hint="eastAsia" w:hAnsi="宋体"/>
          <w:bCs/>
          <w:szCs w:val="21"/>
          <w:highlight w:val="none"/>
        </w:rPr>
        <w:t>2）应严格执行招标人安全生产及运行情况报告制度，及时上报事故、运行情况。发生事故应迅速组织应急抢修工作，并在规定时间内提交事故分析报告。</w:t>
      </w:r>
    </w:p>
    <w:p>
      <w:pPr>
        <w:spacing w:line="360" w:lineRule="auto"/>
        <w:ind w:firstLine="420" w:firstLineChars="200"/>
        <w:rPr>
          <w:rFonts w:hAnsi="宋体"/>
          <w:bCs/>
          <w:szCs w:val="21"/>
          <w:highlight w:val="none"/>
        </w:rPr>
      </w:pPr>
      <w:r>
        <w:rPr>
          <w:rFonts w:hint="eastAsia" w:hAnsi="宋体"/>
          <w:bCs/>
          <w:szCs w:val="21"/>
          <w:highlight w:val="none"/>
        </w:rPr>
        <w:t>3）有害材料回收要求。危险化学品的仓储、运输和管理应符合中华人民共和国国务院令第591号《危险化学品安全管理条例》的相关规定。含汞物料应单独存放，废旧光源和电子装置应由具有环保部门指定资质的企业进行回收处理，回收企业资质情况应上报招标人审核通过后方可委托其开展回收处理服务。</w:t>
      </w:r>
    </w:p>
    <w:p>
      <w:pPr>
        <w:spacing w:line="360" w:lineRule="auto"/>
        <w:ind w:firstLine="420" w:firstLineChars="200"/>
        <w:rPr>
          <w:rFonts w:hAnsi="宋体"/>
          <w:bCs/>
          <w:szCs w:val="21"/>
          <w:highlight w:val="none"/>
        </w:rPr>
      </w:pPr>
      <w:r>
        <w:rPr>
          <w:rFonts w:hint="eastAsia" w:hAnsi="宋体"/>
          <w:bCs/>
          <w:szCs w:val="21"/>
          <w:highlight w:val="none"/>
        </w:rPr>
        <w:t>（三）运行月报、报表、技术标准等资料的要求</w:t>
      </w:r>
    </w:p>
    <w:p>
      <w:pPr>
        <w:spacing w:line="360" w:lineRule="auto"/>
        <w:ind w:firstLine="420" w:firstLineChars="200"/>
        <w:rPr>
          <w:rFonts w:hAnsi="宋体"/>
          <w:bCs/>
          <w:szCs w:val="21"/>
          <w:highlight w:val="none"/>
        </w:rPr>
      </w:pPr>
      <w:r>
        <w:rPr>
          <w:rFonts w:hint="eastAsia" w:hAnsi="宋体"/>
          <w:bCs/>
          <w:szCs w:val="21"/>
          <w:highlight w:val="none"/>
        </w:rPr>
        <w:t>1.运行维护进场开始前10天内向招标人提交以下材料：运行维护方案（大纲）、年度运行维护计划、应急预案、各类作业指导书、管理标准和技术标准、下季度运行维护计划、下月运行维护计划、管理人员情况、特殊人员工种、仪器设备、施工机械设备等。监理审核通过后由招标人批准执行。</w:t>
      </w:r>
    </w:p>
    <w:p>
      <w:pPr>
        <w:spacing w:line="360" w:lineRule="auto"/>
        <w:ind w:firstLine="420" w:firstLineChars="200"/>
        <w:rPr>
          <w:rFonts w:hAnsi="宋体"/>
          <w:szCs w:val="21"/>
          <w:highlight w:val="none"/>
        </w:rPr>
      </w:pPr>
      <w:r>
        <w:rPr>
          <w:rFonts w:hint="eastAsia" w:hAnsi="宋体"/>
          <w:bCs/>
          <w:szCs w:val="21"/>
          <w:highlight w:val="none"/>
        </w:rPr>
        <w:t>2.</w:t>
      </w:r>
      <w:r>
        <w:rPr>
          <w:rFonts w:hint="eastAsia" w:hAnsi="宋体"/>
          <w:szCs w:val="21"/>
          <w:highlight w:val="none"/>
        </w:rPr>
        <w:t>每月5号前应根据招标人要求将上月的“养护月报”和下个月工作计划报送养护监理和招标人。</w:t>
      </w:r>
    </w:p>
    <w:p>
      <w:pPr>
        <w:pStyle w:val="5"/>
        <w:snapToGrid w:val="0"/>
        <w:spacing w:line="360" w:lineRule="auto"/>
        <w:ind w:firstLine="411" w:firstLineChars="196"/>
        <w:rPr>
          <w:rFonts w:hAnsi="宋体"/>
          <w:szCs w:val="21"/>
          <w:highlight w:val="none"/>
        </w:rPr>
      </w:pPr>
      <w:r>
        <w:rPr>
          <w:rFonts w:hint="eastAsia" w:hAnsi="宋体"/>
          <w:szCs w:val="21"/>
          <w:highlight w:val="none"/>
        </w:rPr>
        <w:t>3.应将工作日志、设施设备的缺陷、故障情况以及维修情况等资料录入道路照明信息管理平台。</w:t>
      </w:r>
    </w:p>
    <w:p>
      <w:pPr>
        <w:pStyle w:val="5"/>
        <w:snapToGrid w:val="0"/>
        <w:spacing w:line="360" w:lineRule="auto"/>
        <w:ind w:firstLine="411" w:firstLineChars="196"/>
        <w:rPr>
          <w:rFonts w:hAnsi="宋体"/>
          <w:szCs w:val="21"/>
          <w:highlight w:val="none"/>
        </w:rPr>
      </w:pPr>
      <w:r>
        <w:rPr>
          <w:rFonts w:hint="eastAsia" w:hAnsi="宋体"/>
          <w:szCs w:val="21"/>
          <w:highlight w:val="none"/>
        </w:rPr>
        <w:t>4.合同履行结束后，提交年度运行分析总结报告，经发包人审核通过后，退还履约保函。</w:t>
      </w:r>
    </w:p>
    <w:p>
      <w:pPr>
        <w:spacing w:line="360" w:lineRule="auto"/>
        <w:ind w:firstLine="420" w:firstLineChars="200"/>
        <w:rPr>
          <w:rFonts w:hAnsi="宋体"/>
          <w:bCs/>
          <w:szCs w:val="21"/>
          <w:highlight w:val="none"/>
        </w:rPr>
      </w:pPr>
      <w:r>
        <w:rPr>
          <w:rFonts w:hint="eastAsia" w:hAnsi="宋体"/>
          <w:bCs/>
          <w:szCs w:val="21"/>
          <w:highlight w:val="none"/>
        </w:rPr>
        <w:t>（四）备品备件的管理要求</w:t>
      </w:r>
    </w:p>
    <w:p>
      <w:pPr>
        <w:pStyle w:val="5"/>
        <w:snapToGrid w:val="0"/>
        <w:spacing w:line="360" w:lineRule="auto"/>
        <w:ind w:firstLine="411" w:firstLineChars="196"/>
        <w:rPr>
          <w:color w:val="000000"/>
          <w:szCs w:val="21"/>
          <w:highlight w:val="none"/>
        </w:rPr>
      </w:pPr>
      <w:r>
        <w:rPr>
          <w:rFonts w:hint="eastAsia"/>
          <w:color w:val="000000"/>
          <w:szCs w:val="21"/>
          <w:highlight w:val="none"/>
        </w:rPr>
        <w:t>1.中标人采购的供应商近3年内在产品质量方面不得有行政处罚等失信行为。</w:t>
      </w:r>
    </w:p>
    <w:p>
      <w:pPr>
        <w:pStyle w:val="5"/>
        <w:snapToGrid w:val="0"/>
        <w:spacing w:line="360" w:lineRule="auto"/>
        <w:ind w:firstLine="411" w:firstLineChars="196"/>
        <w:rPr>
          <w:color w:val="000000"/>
          <w:szCs w:val="21"/>
          <w:highlight w:val="none"/>
        </w:rPr>
      </w:pPr>
      <w:r>
        <w:rPr>
          <w:rFonts w:hint="eastAsia"/>
          <w:color w:val="000000"/>
          <w:szCs w:val="21"/>
          <w:highlight w:val="none"/>
        </w:rPr>
        <w:t>2.所有设备、材料和配件均应符合相关国家、地方和行业标准，拟使用的品牌型号须经招标人同意后才可使用。</w:t>
      </w:r>
    </w:p>
    <w:p>
      <w:pPr>
        <w:pStyle w:val="5"/>
        <w:snapToGrid w:val="0"/>
        <w:spacing w:line="360" w:lineRule="auto"/>
        <w:ind w:firstLine="411" w:firstLineChars="196"/>
        <w:rPr>
          <w:color w:val="000000"/>
          <w:szCs w:val="21"/>
          <w:highlight w:val="none"/>
        </w:rPr>
      </w:pPr>
      <w:r>
        <w:rPr>
          <w:rFonts w:hint="eastAsia"/>
          <w:color w:val="000000"/>
          <w:szCs w:val="21"/>
          <w:highlight w:val="none"/>
        </w:rPr>
        <w:t>3.物料和仓库管理应满足《道路照明设施养护技术标准》的要求。</w:t>
      </w:r>
    </w:p>
    <w:p>
      <w:pPr>
        <w:spacing w:line="360" w:lineRule="auto"/>
        <w:ind w:firstLine="420" w:firstLineChars="200"/>
        <w:rPr>
          <w:rFonts w:hAnsi="宋体"/>
          <w:bCs/>
          <w:szCs w:val="21"/>
          <w:highlight w:val="none"/>
        </w:rPr>
      </w:pPr>
      <w:r>
        <w:rPr>
          <w:rFonts w:hint="eastAsia" w:hAnsi="宋体"/>
          <w:bCs/>
          <w:szCs w:val="21"/>
          <w:highlight w:val="none"/>
        </w:rPr>
        <w:t>（五）安全文明施工要求</w:t>
      </w:r>
    </w:p>
    <w:p>
      <w:pPr>
        <w:spacing w:line="360" w:lineRule="auto"/>
        <w:ind w:firstLine="420" w:firstLineChars="200"/>
        <w:rPr>
          <w:rFonts w:hAnsi="宋体"/>
          <w:bCs/>
          <w:szCs w:val="21"/>
          <w:highlight w:val="none"/>
        </w:rPr>
      </w:pPr>
      <w:r>
        <w:rPr>
          <w:rFonts w:hint="eastAsia" w:hAnsi="宋体"/>
          <w:bCs/>
          <w:szCs w:val="21"/>
          <w:highlight w:val="none"/>
        </w:rPr>
        <w:t>本服务项目的安全文明施工管理应贯彻执行国家和本市建设工程安全文明施工方面的法律、法规，中标人应认真做好施工区域内的安全文明施工，保证在生产过程中不发生以下八种情况：</w:t>
      </w:r>
    </w:p>
    <w:p>
      <w:pPr>
        <w:spacing w:line="360" w:lineRule="auto"/>
        <w:ind w:firstLine="420" w:firstLineChars="200"/>
        <w:rPr>
          <w:rFonts w:hAnsi="宋体"/>
          <w:bCs/>
          <w:szCs w:val="21"/>
          <w:highlight w:val="none"/>
        </w:rPr>
      </w:pPr>
      <w:r>
        <w:rPr>
          <w:rFonts w:hint="eastAsia" w:hAnsi="宋体"/>
          <w:bCs/>
          <w:szCs w:val="21"/>
          <w:highlight w:val="none"/>
        </w:rPr>
        <w:t>1.不发生人身伤亡事故；</w:t>
      </w:r>
    </w:p>
    <w:p>
      <w:pPr>
        <w:spacing w:line="360" w:lineRule="auto"/>
        <w:ind w:firstLine="420" w:firstLineChars="200"/>
        <w:rPr>
          <w:rFonts w:hAnsi="宋体"/>
          <w:bCs/>
          <w:szCs w:val="21"/>
          <w:highlight w:val="none"/>
        </w:rPr>
      </w:pPr>
      <w:r>
        <w:rPr>
          <w:rFonts w:hint="eastAsia" w:hAnsi="宋体"/>
          <w:bCs/>
          <w:szCs w:val="21"/>
          <w:highlight w:val="none"/>
        </w:rPr>
        <w:t>2.不发生转包情况；</w:t>
      </w:r>
    </w:p>
    <w:p>
      <w:pPr>
        <w:spacing w:line="360" w:lineRule="auto"/>
        <w:ind w:firstLine="420" w:firstLineChars="200"/>
        <w:rPr>
          <w:rFonts w:hAnsi="宋体"/>
          <w:bCs/>
          <w:szCs w:val="21"/>
          <w:highlight w:val="none"/>
        </w:rPr>
      </w:pPr>
      <w:r>
        <w:rPr>
          <w:rFonts w:hint="eastAsia" w:hAnsi="宋体"/>
          <w:bCs/>
          <w:szCs w:val="21"/>
          <w:highlight w:val="none"/>
        </w:rPr>
        <w:t>3.不发生负主要责任的重大交通事故；</w:t>
      </w:r>
    </w:p>
    <w:p>
      <w:pPr>
        <w:spacing w:line="360" w:lineRule="auto"/>
        <w:ind w:firstLine="420" w:firstLineChars="200"/>
        <w:rPr>
          <w:rFonts w:hAnsi="宋体"/>
          <w:bCs/>
          <w:szCs w:val="21"/>
          <w:highlight w:val="none"/>
        </w:rPr>
      </w:pPr>
      <w:r>
        <w:rPr>
          <w:rFonts w:hint="eastAsia" w:hAnsi="宋体"/>
          <w:bCs/>
          <w:szCs w:val="21"/>
          <w:highlight w:val="none"/>
        </w:rPr>
        <w:t>4.不发生不按标准规范施工，延误送电亮灯造成严重后果的；</w:t>
      </w:r>
    </w:p>
    <w:p>
      <w:pPr>
        <w:spacing w:line="360" w:lineRule="auto"/>
        <w:ind w:firstLine="420" w:firstLineChars="200"/>
        <w:rPr>
          <w:rFonts w:hAnsi="宋体"/>
          <w:bCs/>
          <w:szCs w:val="21"/>
          <w:highlight w:val="none"/>
        </w:rPr>
      </w:pPr>
      <w:r>
        <w:rPr>
          <w:rFonts w:hint="eastAsia" w:hAnsi="宋体"/>
          <w:bCs/>
          <w:szCs w:val="21"/>
          <w:highlight w:val="none"/>
        </w:rPr>
        <w:t>5.不发生因养护不力造成社会负面影响的事件；</w:t>
      </w:r>
    </w:p>
    <w:p>
      <w:pPr>
        <w:spacing w:line="360" w:lineRule="auto"/>
        <w:ind w:firstLine="420" w:firstLineChars="200"/>
        <w:rPr>
          <w:rFonts w:hAnsi="宋体"/>
          <w:bCs/>
          <w:szCs w:val="21"/>
          <w:highlight w:val="none"/>
        </w:rPr>
      </w:pPr>
      <w:r>
        <w:rPr>
          <w:rFonts w:hint="eastAsia" w:hAnsi="宋体"/>
          <w:bCs/>
          <w:szCs w:val="21"/>
          <w:highlight w:val="none"/>
        </w:rPr>
        <w:t>6.不发生截留工程余废料并擅自处置；</w:t>
      </w:r>
    </w:p>
    <w:p>
      <w:pPr>
        <w:spacing w:line="360" w:lineRule="auto"/>
        <w:ind w:firstLine="420" w:firstLineChars="200"/>
        <w:rPr>
          <w:rFonts w:hAnsi="宋体"/>
          <w:bCs/>
          <w:szCs w:val="21"/>
          <w:highlight w:val="none"/>
        </w:rPr>
      </w:pPr>
      <w:r>
        <w:rPr>
          <w:rFonts w:hint="eastAsia" w:hAnsi="宋体"/>
          <w:bCs/>
          <w:szCs w:val="21"/>
          <w:highlight w:val="none"/>
        </w:rPr>
        <w:t>7.不发生恶性违章，造成严重后果；</w:t>
      </w:r>
    </w:p>
    <w:p>
      <w:pPr>
        <w:spacing w:line="360" w:lineRule="auto"/>
        <w:ind w:firstLine="420" w:firstLineChars="200"/>
        <w:rPr>
          <w:rFonts w:hAnsi="宋体"/>
          <w:bCs/>
          <w:szCs w:val="21"/>
          <w:highlight w:val="none"/>
        </w:rPr>
      </w:pPr>
      <w:r>
        <w:rPr>
          <w:rFonts w:hint="eastAsia" w:hAnsi="宋体"/>
          <w:bCs/>
          <w:szCs w:val="21"/>
          <w:highlight w:val="none"/>
        </w:rPr>
        <w:t>8.不发生路灯设备自盗案件。</w:t>
      </w:r>
    </w:p>
    <w:p>
      <w:pPr>
        <w:spacing w:line="360" w:lineRule="auto"/>
        <w:ind w:firstLine="420" w:firstLineChars="200"/>
        <w:rPr>
          <w:rFonts w:hAnsi="宋体"/>
          <w:bCs/>
          <w:szCs w:val="21"/>
          <w:highlight w:val="none"/>
        </w:rPr>
      </w:pPr>
      <w:r>
        <w:rPr>
          <w:rFonts w:hint="eastAsia" w:hAnsi="宋体"/>
          <w:bCs/>
          <w:szCs w:val="21"/>
          <w:highlight w:val="none"/>
        </w:rPr>
        <w:t>（六）场地和设备要求</w:t>
      </w:r>
    </w:p>
    <w:p>
      <w:pPr>
        <w:spacing w:line="360" w:lineRule="auto"/>
        <w:ind w:firstLine="420" w:firstLineChars="200"/>
        <w:rPr>
          <w:rFonts w:hint="eastAsia" w:hAnsi="宋体" w:eastAsia="宋体"/>
          <w:bCs/>
          <w:szCs w:val="21"/>
          <w:highlight w:val="none"/>
          <w:lang w:eastAsia="zh-CN"/>
        </w:rPr>
      </w:pPr>
      <w:r>
        <w:rPr>
          <w:rFonts w:hint="eastAsia" w:hAnsi="宋体"/>
          <w:bCs/>
          <w:szCs w:val="21"/>
          <w:highlight w:val="none"/>
        </w:rPr>
        <w:t>1.</w:t>
      </w:r>
      <w:r>
        <w:rPr>
          <w:rFonts w:hint="eastAsia" w:hAnsi="宋体"/>
          <w:bCs/>
          <w:szCs w:val="21"/>
          <w:highlight w:val="none"/>
          <w:lang w:eastAsia="zh-CN"/>
        </w:rPr>
        <w:t>自备养护基地</w:t>
      </w:r>
      <w:r>
        <w:rPr>
          <w:rFonts w:hint="eastAsia" w:hAnsi="宋体"/>
          <w:bCs/>
          <w:szCs w:val="21"/>
          <w:highlight w:val="none"/>
        </w:rPr>
        <w:t>，形式可以为自有或租赁</w:t>
      </w:r>
      <w:r>
        <w:rPr>
          <w:rFonts w:hint="eastAsia" w:hAnsi="宋体"/>
          <w:bCs/>
          <w:szCs w:val="21"/>
          <w:highlight w:val="none"/>
          <w:lang w:eastAsia="zh-CN"/>
        </w:rPr>
        <w:t>。</w:t>
      </w:r>
    </w:p>
    <w:p>
      <w:pPr>
        <w:spacing w:line="360" w:lineRule="auto"/>
        <w:ind w:firstLine="420" w:firstLineChars="200"/>
        <w:rPr>
          <w:rFonts w:hAnsi="宋体"/>
          <w:bCs/>
          <w:szCs w:val="21"/>
          <w:highlight w:val="none"/>
        </w:rPr>
      </w:pPr>
      <w:r>
        <w:rPr>
          <w:rFonts w:hint="eastAsia" w:hAnsi="宋体"/>
          <w:bCs/>
          <w:szCs w:val="21"/>
          <w:highlight w:val="none"/>
        </w:rPr>
        <w:t>2.场地能够满足人员办公、仓储和作业设备停放的需求。</w:t>
      </w:r>
    </w:p>
    <w:p>
      <w:pPr>
        <w:spacing w:line="360" w:lineRule="auto"/>
        <w:ind w:firstLine="420" w:firstLineChars="200"/>
        <w:rPr>
          <w:rFonts w:hAnsi="宋体"/>
          <w:bCs/>
          <w:szCs w:val="21"/>
          <w:highlight w:val="none"/>
        </w:rPr>
      </w:pPr>
      <w:r>
        <w:rPr>
          <w:rFonts w:hint="eastAsia" w:hAnsi="宋体"/>
          <w:bCs/>
          <w:szCs w:val="21"/>
          <w:highlight w:val="none"/>
        </w:rPr>
        <w:t>3.场地应方便运行维护作业，规定时间内能赶赴报修现场。</w:t>
      </w:r>
    </w:p>
    <w:p>
      <w:pPr>
        <w:spacing w:line="360" w:lineRule="auto"/>
        <w:ind w:firstLine="420" w:firstLineChars="200"/>
        <w:rPr>
          <w:rFonts w:hAnsi="宋体"/>
          <w:bCs/>
          <w:szCs w:val="21"/>
          <w:highlight w:val="none"/>
        </w:rPr>
      </w:pPr>
      <w:r>
        <w:rPr>
          <w:rFonts w:hint="eastAsia" w:hAnsi="宋体"/>
          <w:bCs/>
          <w:szCs w:val="21"/>
          <w:highlight w:val="none"/>
        </w:rPr>
        <w:t>4.为招标人及养护监理提供合适、能满足现场管理的办公用房及相应设施，为方便监理抽查提供必要的交通保障。</w:t>
      </w:r>
    </w:p>
    <w:tbl>
      <w:tblPr>
        <w:tblStyle w:val="27"/>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777"/>
        <w:gridCol w:w="1871"/>
        <w:gridCol w:w="1200"/>
        <w:gridCol w:w="45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04" w:hRule="atLeast"/>
          <w:jc w:val="center"/>
        </w:trPr>
        <w:tc>
          <w:tcPr>
            <w:tcW w:w="465" w:type="pct"/>
            <w:vAlign w:val="center"/>
          </w:tcPr>
          <w:p>
            <w:pPr>
              <w:spacing w:line="360" w:lineRule="auto"/>
              <w:jc w:val="center"/>
              <w:rPr>
                <w:rFonts w:ascii="宋体" w:hAnsi="宋体" w:cs="宋体"/>
                <w:highlight w:val="none"/>
              </w:rPr>
            </w:pPr>
            <w:r>
              <w:rPr>
                <w:rFonts w:hint="eastAsia" w:ascii="宋体" w:hAnsi="宋体" w:cs="宋体"/>
                <w:szCs w:val="21"/>
                <w:highlight w:val="none"/>
              </w:rPr>
              <w:t>序号</w:t>
            </w:r>
          </w:p>
        </w:tc>
        <w:tc>
          <w:tcPr>
            <w:tcW w:w="1119" w:type="pct"/>
            <w:vAlign w:val="center"/>
          </w:tcPr>
          <w:p>
            <w:pPr>
              <w:spacing w:line="360" w:lineRule="auto"/>
              <w:jc w:val="center"/>
              <w:rPr>
                <w:rFonts w:ascii="宋体" w:hAnsi="宋体" w:cs="宋体"/>
                <w:highlight w:val="none"/>
              </w:rPr>
            </w:pPr>
            <w:r>
              <w:rPr>
                <w:rFonts w:hint="eastAsia" w:ascii="宋体" w:hAnsi="宋体" w:cs="宋体"/>
                <w:szCs w:val="21"/>
                <w:highlight w:val="none"/>
              </w:rPr>
              <w:t>场地名称</w:t>
            </w:r>
          </w:p>
        </w:tc>
        <w:tc>
          <w:tcPr>
            <w:tcW w:w="718" w:type="pct"/>
            <w:vAlign w:val="center"/>
          </w:tcPr>
          <w:p>
            <w:pPr>
              <w:spacing w:line="360" w:lineRule="auto"/>
              <w:jc w:val="center"/>
              <w:rPr>
                <w:rFonts w:ascii="宋体" w:hAnsi="宋体" w:cs="宋体"/>
                <w:highlight w:val="none"/>
              </w:rPr>
            </w:pPr>
            <w:r>
              <w:rPr>
                <w:rFonts w:hint="eastAsia" w:ascii="宋体" w:hAnsi="宋体" w:cs="宋体"/>
                <w:szCs w:val="21"/>
                <w:highlight w:val="none"/>
              </w:rPr>
              <w:t>点位要求</w:t>
            </w:r>
          </w:p>
        </w:tc>
        <w:tc>
          <w:tcPr>
            <w:tcW w:w="2698" w:type="pct"/>
            <w:vAlign w:val="center"/>
          </w:tcPr>
          <w:p>
            <w:pPr>
              <w:spacing w:line="360" w:lineRule="auto"/>
              <w:jc w:val="center"/>
              <w:rPr>
                <w:rFonts w:ascii="宋体" w:hAnsi="宋体" w:cs="宋体"/>
                <w:highlight w:val="none"/>
              </w:rPr>
            </w:pPr>
            <w:r>
              <w:rPr>
                <w:rFonts w:hint="eastAsia" w:ascii="宋体" w:hAnsi="宋体" w:cs="宋体"/>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707" w:hRule="atLeast"/>
          <w:jc w:val="center"/>
        </w:trPr>
        <w:tc>
          <w:tcPr>
            <w:tcW w:w="465" w:type="pct"/>
            <w:vAlign w:val="center"/>
          </w:tcPr>
          <w:p>
            <w:pPr>
              <w:spacing w:line="360" w:lineRule="auto"/>
              <w:jc w:val="center"/>
              <w:rPr>
                <w:rFonts w:ascii="宋体" w:hAnsi="宋体" w:cs="宋体"/>
                <w:highlight w:val="none"/>
              </w:rPr>
            </w:pPr>
            <w:r>
              <w:rPr>
                <w:rFonts w:hint="eastAsia" w:ascii="宋体" w:hAnsi="宋体" w:cs="宋体"/>
                <w:szCs w:val="21"/>
                <w:highlight w:val="none"/>
              </w:rPr>
              <w:t>1</w:t>
            </w:r>
          </w:p>
        </w:tc>
        <w:tc>
          <w:tcPr>
            <w:tcW w:w="1119" w:type="pct"/>
            <w:vAlign w:val="center"/>
          </w:tcPr>
          <w:p>
            <w:pPr>
              <w:spacing w:line="360" w:lineRule="auto"/>
              <w:jc w:val="center"/>
              <w:rPr>
                <w:rFonts w:ascii="宋体" w:hAnsi="宋体" w:cs="宋体"/>
                <w:highlight w:val="none"/>
              </w:rPr>
            </w:pPr>
            <w:r>
              <w:rPr>
                <w:rFonts w:hint="eastAsia" w:ascii="宋体" w:hAnsi="宋体" w:cs="宋体"/>
                <w:szCs w:val="21"/>
                <w:highlight w:val="none"/>
              </w:rPr>
              <w:t>养护基地</w:t>
            </w:r>
          </w:p>
        </w:tc>
        <w:tc>
          <w:tcPr>
            <w:tcW w:w="718" w:type="pct"/>
            <w:vAlign w:val="center"/>
          </w:tcPr>
          <w:p>
            <w:pPr>
              <w:spacing w:line="360" w:lineRule="auto"/>
              <w:jc w:val="center"/>
              <w:rPr>
                <w:rFonts w:ascii="宋体" w:hAnsi="宋体" w:cs="宋体"/>
                <w:highlight w:val="none"/>
              </w:rPr>
            </w:pPr>
            <w:r>
              <w:rPr>
                <w:rFonts w:hint="eastAsia" w:ascii="宋体" w:hAnsi="宋体" w:cs="宋体"/>
                <w:szCs w:val="21"/>
                <w:highlight w:val="none"/>
              </w:rPr>
              <w:t>2</w:t>
            </w:r>
          </w:p>
        </w:tc>
        <w:tc>
          <w:tcPr>
            <w:tcW w:w="2698" w:type="pct"/>
            <w:vAlign w:val="center"/>
          </w:tcPr>
          <w:p>
            <w:pPr>
              <w:spacing w:line="360" w:lineRule="auto"/>
              <w:rPr>
                <w:rFonts w:ascii="宋体" w:hAnsi="宋体" w:cs="宋体"/>
                <w:highlight w:val="none"/>
              </w:rPr>
            </w:pPr>
            <w:r>
              <w:rPr>
                <w:rFonts w:hint="eastAsia" w:ascii="宋体" w:hAnsi="宋体" w:cs="宋体"/>
                <w:szCs w:val="21"/>
                <w:highlight w:val="none"/>
              </w:rPr>
              <w:t>用于停放车辆设备、存放备品备件设施、应急物资和废旧设施等。</w:t>
            </w:r>
            <w:r>
              <w:rPr>
                <w:rFonts w:hint="eastAsia" w:ascii="宋体" w:hAnsi="宋体" w:cs="宋体"/>
                <w:highlight w:val="none"/>
              </w:rPr>
              <w:t>其中1处位于中环内。</w:t>
            </w:r>
            <w:r>
              <w:rPr>
                <w:rFonts w:ascii="宋体" w:hAnsi="宋体" w:cs="宋体"/>
                <w:highlight w:val="none"/>
              </w:rPr>
              <w:t xml:space="preserve"> </w:t>
            </w:r>
          </w:p>
        </w:tc>
      </w:tr>
    </w:tbl>
    <w:p>
      <w:pPr>
        <w:spacing w:line="360" w:lineRule="auto"/>
        <w:ind w:firstLine="422" w:firstLineChars="200"/>
        <w:rPr>
          <w:rFonts w:hint="eastAsia" w:hAnsi="宋体"/>
          <w:bCs/>
          <w:szCs w:val="21"/>
          <w:highlight w:val="none"/>
        </w:rPr>
      </w:pPr>
      <w:r>
        <w:rPr>
          <w:rFonts w:hint="eastAsia" w:ascii="Times New Roman" w:hAnsi="宋体" w:eastAsia="宋体" w:cs="Times New Roman"/>
          <w:b/>
          <w:szCs w:val="21"/>
          <w:highlight w:val="none"/>
        </w:rPr>
        <w:t>投标人若</w:t>
      </w:r>
      <w:r>
        <w:rPr>
          <w:rFonts w:hint="eastAsia" w:ascii="Times New Roman" w:hAnsi="宋体" w:eastAsia="宋体" w:cs="Times New Roman"/>
          <w:b/>
          <w:szCs w:val="21"/>
          <w:highlight w:val="none"/>
          <w:lang w:eastAsia="zh-CN"/>
        </w:rPr>
        <w:t>现无</w:t>
      </w:r>
      <w:r>
        <w:rPr>
          <w:rFonts w:hint="eastAsia" w:hAnsi="宋体" w:cs="Times New Roman"/>
          <w:b/>
          <w:szCs w:val="21"/>
          <w:highlight w:val="none"/>
          <w:lang w:eastAsia="zh-CN"/>
        </w:rPr>
        <w:t>养护基地</w:t>
      </w:r>
      <w:r>
        <w:rPr>
          <w:rFonts w:hint="eastAsia" w:ascii="Times New Roman" w:hAnsi="宋体" w:eastAsia="宋体" w:cs="Times New Roman"/>
          <w:b/>
          <w:szCs w:val="21"/>
          <w:highlight w:val="none"/>
        </w:rPr>
        <w:t>的，应提供成交后</w:t>
      </w:r>
      <w:r>
        <w:rPr>
          <w:rFonts w:hint="eastAsia" w:ascii="Times New Roman" w:hAnsi="宋体" w:eastAsia="宋体" w:cs="Times New Roman"/>
          <w:b/>
          <w:szCs w:val="21"/>
          <w:highlight w:val="none"/>
          <w:lang w:val="en-US" w:eastAsia="zh-CN"/>
        </w:rPr>
        <w:t>10天</w:t>
      </w:r>
      <w:r>
        <w:rPr>
          <w:rFonts w:hint="eastAsia" w:ascii="Times New Roman" w:hAnsi="宋体" w:eastAsia="宋体" w:cs="Times New Roman"/>
          <w:b/>
          <w:szCs w:val="21"/>
          <w:highlight w:val="none"/>
        </w:rPr>
        <w:t>内解决满足本项目需求的</w:t>
      </w:r>
      <w:r>
        <w:rPr>
          <w:rFonts w:hint="eastAsia" w:hAnsi="宋体" w:cs="Times New Roman"/>
          <w:b/>
          <w:szCs w:val="21"/>
          <w:highlight w:val="none"/>
          <w:lang w:eastAsia="zh-CN"/>
        </w:rPr>
        <w:t>养护基地</w:t>
      </w:r>
      <w:bookmarkStart w:id="1" w:name="_GoBack"/>
      <w:bookmarkEnd w:id="1"/>
      <w:r>
        <w:rPr>
          <w:rFonts w:hint="eastAsia" w:ascii="Times New Roman" w:hAnsi="宋体" w:eastAsia="宋体" w:cs="Times New Roman"/>
          <w:b/>
          <w:szCs w:val="21"/>
          <w:highlight w:val="none"/>
        </w:rPr>
        <w:t>的承诺。</w:t>
      </w:r>
    </w:p>
    <w:p>
      <w:pPr>
        <w:spacing w:line="360" w:lineRule="auto"/>
        <w:ind w:firstLine="420" w:firstLineChars="200"/>
        <w:rPr>
          <w:rFonts w:hAnsi="宋体"/>
          <w:bCs/>
          <w:szCs w:val="21"/>
          <w:highlight w:val="none"/>
        </w:rPr>
      </w:pPr>
      <w:r>
        <w:rPr>
          <w:rFonts w:hint="eastAsia" w:hAnsi="宋体"/>
          <w:bCs/>
          <w:szCs w:val="21"/>
          <w:highlight w:val="none"/>
        </w:rPr>
        <w:t>5.应配备满足运行维护的车辆和设备：</w:t>
      </w:r>
    </w:p>
    <w:tbl>
      <w:tblPr>
        <w:tblStyle w:val="12"/>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986"/>
        <w:gridCol w:w="1276"/>
        <w:gridCol w:w="4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bCs/>
                <w:szCs w:val="21"/>
                <w:highlight w:val="none"/>
              </w:rPr>
            </w:pPr>
            <w:r>
              <w:rPr>
                <w:rFonts w:hint="eastAsia" w:ascii="宋体" w:hAnsi="宋体"/>
                <w:bCs/>
                <w:szCs w:val="21"/>
                <w:highlight w:val="none"/>
              </w:rPr>
              <w:t>序号</w:t>
            </w:r>
          </w:p>
        </w:tc>
        <w:tc>
          <w:tcPr>
            <w:tcW w:w="198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Cs/>
                <w:szCs w:val="21"/>
                <w:highlight w:val="none"/>
              </w:rPr>
            </w:pPr>
            <w:r>
              <w:rPr>
                <w:rFonts w:hint="eastAsia" w:ascii="宋体" w:hAnsi="宋体"/>
                <w:bCs/>
                <w:szCs w:val="21"/>
                <w:highlight w:val="none"/>
              </w:rPr>
              <w:t>机械名称</w:t>
            </w:r>
          </w:p>
        </w:tc>
        <w:tc>
          <w:tcPr>
            <w:tcW w:w="127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Cs/>
                <w:szCs w:val="21"/>
                <w:highlight w:val="none"/>
              </w:rPr>
            </w:pPr>
            <w:r>
              <w:rPr>
                <w:rFonts w:hint="eastAsia" w:ascii="宋体" w:hAnsi="宋体"/>
                <w:bCs/>
                <w:szCs w:val="21"/>
                <w:highlight w:val="none"/>
              </w:rPr>
              <w:t>最低配备</w:t>
            </w:r>
          </w:p>
        </w:tc>
        <w:tc>
          <w:tcPr>
            <w:tcW w:w="478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Cs/>
                <w:szCs w:val="21"/>
                <w:highlight w:val="none"/>
              </w:rPr>
            </w:pPr>
            <w:r>
              <w:rPr>
                <w:rFonts w:hint="eastAsia" w:ascii="宋体" w:hAnsi="宋体"/>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bCs/>
                <w:szCs w:val="21"/>
                <w:highlight w:val="none"/>
              </w:rPr>
            </w:pPr>
            <w:r>
              <w:rPr>
                <w:rFonts w:hint="eastAsia" w:ascii="宋体" w:hAnsi="宋体"/>
                <w:bCs/>
                <w:szCs w:val="21"/>
                <w:highlight w:val="none"/>
              </w:rPr>
              <w:t>1</w:t>
            </w:r>
          </w:p>
        </w:tc>
        <w:tc>
          <w:tcPr>
            <w:tcW w:w="198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Cs/>
                <w:szCs w:val="21"/>
                <w:highlight w:val="none"/>
              </w:rPr>
            </w:pPr>
            <w:r>
              <w:rPr>
                <w:rFonts w:hint="eastAsia" w:ascii="宋体" w:hAnsi="宋体"/>
                <w:bCs/>
                <w:szCs w:val="21"/>
                <w:highlight w:val="none"/>
              </w:rPr>
              <w:t>14米以上登高车</w:t>
            </w:r>
          </w:p>
        </w:tc>
        <w:tc>
          <w:tcPr>
            <w:tcW w:w="127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Cs/>
                <w:szCs w:val="21"/>
                <w:highlight w:val="none"/>
              </w:rPr>
            </w:pPr>
            <w:r>
              <w:rPr>
                <w:rFonts w:hint="eastAsia" w:ascii="宋体" w:hAnsi="宋体"/>
                <w:bCs/>
                <w:szCs w:val="21"/>
                <w:highlight w:val="none"/>
              </w:rPr>
              <w:t>1辆</w:t>
            </w:r>
          </w:p>
        </w:tc>
        <w:tc>
          <w:tcPr>
            <w:tcW w:w="4782" w:type="dxa"/>
            <w:tcBorders>
              <w:top w:val="single" w:color="auto" w:sz="4" w:space="0"/>
              <w:left w:val="single" w:color="auto" w:sz="4" w:space="0"/>
              <w:bottom w:val="single" w:color="auto" w:sz="4" w:space="0"/>
              <w:right w:val="single" w:color="auto" w:sz="4" w:space="0"/>
            </w:tcBorders>
          </w:tcPr>
          <w:p>
            <w:pPr>
              <w:pStyle w:val="20"/>
              <w:snapToGrid w:val="0"/>
              <w:spacing w:line="360" w:lineRule="auto"/>
              <w:ind w:firstLine="0" w:firstLineChars="0"/>
              <w:rPr>
                <w:rFonts w:ascii="宋体" w:hAnsi="宋体"/>
                <w:bCs/>
                <w:szCs w:val="21"/>
                <w:highlight w:val="none"/>
              </w:rPr>
            </w:pPr>
            <w:r>
              <w:rPr>
                <w:rFonts w:hint="eastAsia" w:ascii="宋体" w:hAnsi="宋体"/>
                <w:bCs/>
                <w:szCs w:val="21"/>
                <w:highlight w:val="none"/>
              </w:rPr>
              <w:t>自有或租赁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bCs/>
                <w:szCs w:val="21"/>
                <w:highlight w:val="none"/>
              </w:rPr>
            </w:pPr>
            <w:r>
              <w:rPr>
                <w:rFonts w:hint="eastAsia" w:ascii="宋体" w:hAnsi="宋体"/>
                <w:bCs/>
                <w:szCs w:val="21"/>
                <w:highlight w:val="none"/>
              </w:rPr>
              <w:t>2</w:t>
            </w:r>
          </w:p>
        </w:tc>
        <w:tc>
          <w:tcPr>
            <w:tcW w:w="198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Cs/>
                <w:szCs w:val="21"/>
                <w:highlight w:val="none"/>
              </w:rPr>
            </w:pPr>
            <w:r>
              <w:rPr>
                <w:rFonts w:hint="eastAsia" w:ascii="宋体" w:hAnsi="宋体"/>
                <w:bCs/>
                <w:szCs w:val="21"/>
                <w:highlight w:val="none"/>
              </w:rPr>
              <w:t>巡视车</w:t>
            </w:r>
          </w:p>
        </w:tc>
        <w:tc>
          <w:tcPr>
            <w:tcW w:w="127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Cs/>
                <w:szCs w:val="21"/>
                <w:highlight w:val="none"/>
              </w:rPr>
            </w:pPr>
            <w:r>
              <w:rPr>
                <w:rFonts w:hint="eastAsia" w:ascii="宋体" w:hAnsi="宋体"/>
                <w:bCs/>
                <w:szCs w:val="21"/>
                <w:highlight w:val="none"/>
              </w:rPr>
              <w:t>5辆</w:t>
            </w:r>
          </w:p>
        </w:tc>
        <w:tc>
          <w:tcPr>
            <w:tcW w:w="4782" w:type="dxa"/>
            <w:tcBorders>
              <w:top w:val="single" w:color="auto" w:sz="4" w:space="0"/>
              <w:left w:val="single" w:color="auto" w:sz="4" w:space="0"/>
              <w:bottom w:val="single" w:color="auto" w:sz="4" w:space="0"/>
              <w:right w:val="single" w:color="auto" w:sz="4" w:space="0"/>
            </w:tcBorders>
          </w:tcPr>
          <w:p>
            <w:pPr>
              <w:pStyle w:val="20"/>
              <w:snapToGrid w:val="0"/>
              <w:spacing w:line="360" w:lineRule="auto"/>
              <w:ind w:firstLine="0" w:firstLineChars="0"/>
              <w:rPr>
                <w:rFonts w:ascii="宋体" w:hAnsi="宋体"/>
                <w:bCs/>
                <w:szCs w:val="21"/>
                <w:highlight w:val="none"/>
              </w:rPr>
            </w:pPr>
            <w:r>
              <w:rPr>
                <w:rFonts w:hint="eastAsia" w:ascii="宋体" w:hAnsi="宋体"/>
                <w:bCs/>
                <w:szCs w:val="21"/>
                <w:highlight w:val="none"/>
              </w:rPr>
              <w:t>自有或租赁</w:t>
            </w:r>
            <w:r>
              <w:rPr>
                <w:rFonts w:hint="eastAsia" w:ascii="宋体" w:hAnsi="宋体"/>
                <w:bCs/>
                <w:szCs w:val="21"/>
                <w:highlight w:val="none"/>
                <w:lang w:eastAsia="zh-CN"/>
              </w:rPr>
              <w:t>，</w:t>
            </w:r>
            <w:r>
              <w:rPr>
                <w:rFonts w:hint="eastAsia" w:ascii="宋体" w:hAnsi="宋体"/>
                <w:bCs/>
                <w:szCs w:val="21"/>
                <w:highlight w:val="none"/>
              </w:rPr>
              <w:t>车辆须为沪牌车辆，且有GPS定位功能。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5"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bCs/>
                <w:szCs w:val="21"/>
                <w:highlight w:val="none"/>
              </w:rPr>
            </w:pPr>
            <w:r>
              <w:rPr>
                <w:rFonts w:hint="eastAsia" w:ascii="宋体" w:hAnsi="宋体"/>
                <w:bCs/>
                <w:szCs w:val="21"/>
                <w:highlight w:val="none"/>
              </w:rPr>
              <w:t>3</w:t>
            </w:r>
          </w:p>
        </w:tc>
        <w:tc>
          <w:tcPr>
            <w:tcW w:w="198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Cs/>
                <w:szCs w:val="21"/>
                <w:highlight w:val="none"/>
              </w:rPr>
            </w:pPr>
            <w:r>
              <w:rPr>
                <w:rFonts w:hint="eastAsia" w:ascii="宋体" w:hAnsi="宋体"/>
                <w:bCs/>
                <w:szCs w:val="21"/>
                <w:highlight w:val="none"/>
              </w:rPr>
              <w:t>30kW移动发电机</w:t>
            </w:r>
          </w:p>
        </w:tc>
        <w:tc>
          <w:tcPr>
            <w:tcW w:w="127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Cs/>
                <w:szCs w:val="21"/>
                <w:highlight w:val="none"/>
              </w:rPr>
            </w:pPr>
            <w:r>
              <w:rPr>
                <w:rFonts w:hint="eastAsia" w:ascii="宋体" w:hAnsi="宋体"/>
                <w:bCs/>
                <w:szCs w:val="21"/>
                <w:highlight w:val="none"/>
              </w:rPr>
              <w:t>2台</w:t>
            </w:r>
          </w:p>
        </w:tc>
        <w:tc>
          <w:tcPr>
            <w:tcW w:w="478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Cs/>
                <w:szCs w:val="21"/>
                <w:highlight w:val="none"/>
              </w:rPr>
            </w:pPr>
            <w:r>
              <w:rPr>
                <w:rFonts w:hint="eastAsia" w:ascii="宋体" w:hAnsi="宋体"/>
                <w:bCs/>
                <w:szCs w:val="21"/>
                <w:highlight w:val="none"/>
              </w:rPr>
              <w:t>自有或租赁。</w:t>
            </w:r>
          </w:p>
        </w:tc>
      </w:tr>
    </w:tbl>
    <w:p>
      <w:pPr>
        <w:spacing w:line="360" w:lineRule="auto"/>
        <w:ind w:firstLine="422" w:firstLineChars="200"/>
        <w:rPr>
          <w:rFonts w:hint="eastAsia" w:ascii="宋体" w:hAnsi="宋体" w:eastAsia="宋体" w:cs="宋体"/>
          <w:highlight w:val="none"/>
          <w:lang w:eastAsia="zh-CN"/>
        </w:rPr>
      </w:pPr>
      <w:r>
        <w:rPr>
          <w:rFonts w:hint="eastAsia" w:hAnsi="宋体"/>
          <w:b/>
          <w:szCs w:val="21"/>
          <w:highlight w:val="none"/>
        </w:rPr>
        <w:t>说明：均需符合上海市排放标准。其中沪牌车辆配置是为了满足</w:t>
      </w:r>
      <w:r>
        <w:rPr>
          <w:rFonts w:hint="eastAsia" w:ascii="宋体" w:hAnsi="宋体" w:eastAsia="宋体" w:cs="宋体"/>
          <w:highlight w:val="none"/>
          <w:lang w:eastAsia="zh-CN"/>
        </w:rPr>
        <w:t>限行范围内抢险需求。</w:t>
      </w:r>
    </w:p>
    <w:p>
      <w:pPr>
        <w:spacing w:line="360" w:lineRule="auto"/>
        <w:ind w:firstLine="422" w:firstLineChars="200"/>
        <w:rPr>
          <w:rFonts w:hint="eastAsia" w:ascii="Times New Roman" w:hAnsi="宋体" w:eastAsia="宋体" w:cs="Times New Roman"/>
          <w:b/>
          <w:szCs w:val="21"/>
          <w:highlight w:val="none"/>
        </w:rPr>
      </w:pPr>
      <w:r>
        <w:rPr>
          <w:rFonts w:hint="eastAsia" w:ascii="Times New Roman" w:hAnsi="宋体" w:eastAsia="宋体" w:cs="Times New Roman"/>
          <w:b/>
          <w:szCs w:val="21"/>
          <w:highlight w:val="none"/>
        </w:rPr>
        <w:t>投标人若</w:t>
      </w:r>
      <w:r>
        <w:rPr>
          <w:rFonts w:hint="eastAsia" w:ascii="Times New Roman" w:hAnsi="宋体" w:eastAsia="宋体" w:cs="Times New Roman"/>
          <w:b/>
          <w:szCs w:val="21"/>
          <w:highlight w:val="none"/>
          <w:lang w:eastAsia="zh-CN"/>
        </w:rPr>
        <w:t>现无</w:t>
      </w:r>
      <w:r>
        <w:rPr>
          <w:rFonts w:hint="eastAsia" w:ascii="Times New Roman" w:hAnsi="宋体" w:eastAsia="宋体" w:cs="Times New Roman"/>
          <w:b/>
          <w:szCs w:val="21"/>
          <w:highlight w:val="none"/>
        </w:rPr>
        <w:t>机械设备、作业车辆的，应提供成交后</w:t>
      </w:r>
      <w:r>
        <w:rPr>
          <w:rFonts w:hint="eastAsia" w:ascii="Times New Roman" w:hAnsi="宋体" w:eastAsia="宋体" w:cs="Times New Roman"/>
          <w:b/>
          <w:szCs w:val="21"/>
          <w:highlight w:val="none"/>
          <w:lang w:val="en-US" w:eastAsia="zh-CN"/>
        </w:rPr>
        <w:t>10天</w:t>
      </w:r>
      <w:r>
        <w:rPr>
          <w:rFonts w:hint="eastAsia" w:ascii="Times New Roman" w:hAnsi="宋体" w:eastAsia="宋体" w:cs="Times New Roman"/>
          <w:b/>
          <w:szCs w:val="21"/>
          <w:highlight w:val="none"/>
        </w:rPr>
        <w:t>内解决满足本项目需求的机械设备、作业车辆的承诺。</w:t>
      </w:r>
    </w:p>
    <w:p>
      <w:pPr>
        <w:spacing w:line="360" w:lineRule="auto"/>
        <w:ind w:firstLine="420" w:firstLineChars="200"/>
        <w:rPr>
          <w:rFonts w:hAnsi="宋体"/>
          <w:bCs/>
          <w:szCs w:val="21"/>
          <w:highlight w:val="none"/>
        </w:rPr>
      </w:pPr>
      <w:r>
        <w:rPr>
          <w:rFonts w:hint="eastAsia" w:hAnsi="宋体"/>
          <w:bCs/>
          <w:szCs w:val="21"/>
          <w:highlight w:val="none"/>
        </w:rPr>
        <w:t>（七）人员要求</w:t>
      </w:r>
    </w:p>
    <w:tbl>
      <w:tblPr>
        <w:tblStyle w:val="13"/>
        <w:tblW w:w="6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1132"/>
        <w:gridCol w:w="708"/>
        <w:gridCol w:w="267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30" w:type="dxa"/>
            <w:vAlign w:val="center"/>
          </w:tcPr>
          <w:p>
            <w:pPr>
              <w:pStyle w:val="11"/>
              <w:spacing w:after="0"/>
              <w:ind w:left="0" w:leftChars="0" w:firstLine="0" w:firstLineChars="0"/>
              <w:rPr>
                <w:rFonts w:ascii="宋体" w:hAnsi="宋体"/>
                <w:sz w:val="21"/>
                <w:szCs w:val="21"/>
                <w:highlight w:val="none"/>
              </w:rPr>
            </w:pPr>
            <w:r>
              <w:rPr>
                <w:rFonts w:hint="eastAsia" w:ascii="宋体" w:hAnsi="宋体"/>
                <w:sz w:val="21"/>
                <w:szCs w:val="21"/>
                <w:highlight w:val="none"/>
              </w:rPr>
              <w:t>序号</w:t>
            </w:r>
          </w:p>
        </w:tc>
        <w:tc>
          <w:tcPr>
            <w:tcW w:w="1132" w:type="dxa"/>
            <w:vAlign w:val="center"/>
          </w:tcPr>
          <w:p>
            <w:pPr>
              <w:pStyle w:val="11"/>
              <w:spacing w:after="0"/>
              <w:ind w:left="0" w:leftChars="0" w:firstLine="0" w:firstLineChars="0"/>
              <w:rPr>
                <w:rFonts w:ascii="宋体" w:hAnsi="宋体"/>
                <w:sz w:val="21"/>
                <w:szCs w:val="21"/>
                <w:highlight w:val="none"/>
              </w:rPr>
            </w:pPr>
            <w:r>
              <w:rPr>
                <w:rFonts w:hint="eastAsia" w:ascii="宋体" w:hAnsi="宋体"/>
                <w:sz w:val="21"/>
                <w:szCs w:val="21"/>
                <w:highlight w:val="none"/>
              </w:rPr>
              <w:t>名称</w:t>
            </w:r>
          </w:p>
        </w:tc>
        <w:tc>
          <w:tcPr>
            <w:tcW w:w="708" w:type="dxa"/>
            <w:vAlign w:val="center"/>
          </w:tcPr>
          <w:p>
            <w:pPr>
              <w:pStyle w:val="11"/>
              <w:spacing w:after="0"/>
              <w:ind w:left="0" w:leftChars="0" w:firstLine="0" w:firstLineChars="0"/>
              <w:rPr>
                <w:rFonts w:ascii="宋体" w:hAnsi="宋体"/>
                <w:sz w:val="21"/>
                <w:szCs w:val="21"/>
                <w:highlight w:val="none"/>
              </w:rPr>
            </w:pPr>
            <w:r>
              <w:rPr>
                <w:rFonts w:hint="eastAsia" w:ascii="宋体" w:hAnsi="宋体"/>
                <w:sz w:val="21"/>
                <w:szCs w:val="21"/>
                <w:highlight w:val="none"/>
              </w:rPr>
              <w:t>数量</w:t>
            </w:r>
          </w:p>
        </w:tc>
        <w:tc>
          <w:tcPr>
            <w:tcW w:w="2671" w:type="dxa"/>
            <w:vAlign w:val="center"/>
          </w:tcPr>
          <w:p>
            <w:pPr>
              <w:pStyle w:val="11"/>
              <w:spacing w:after="0"/>
              <w:ind w:left="0" w:leftChars="0" w:firstLine="0" w:firstLineChars="0"/>
              <w:rPr>
                <w:rFonts w:ascii="宋体" w:hAnsi="宋体"/>
                <w:sz w:val="21"/>
                <w:szCs w:val="21"/>
                <w:highlight w:val="none"/>
              </w:rPr>
            </w:pPr>
            <w:r>
              <w:rPr>
                <w:rFonts w:hint="eastAsia" w:ascii="宋体" w:hAnsi="宋体"/>
                <w:sz w:val="21"/>
                <w:szCs w:val="21"/>
                <w:highlight w:val="none"/>
              </w:rPr>
              <w:t>要求</w:t>
            </w:r>
          </w:p>
        </w:tc>
        <w:tc>
          <w:tcPr>
            <w:tcW w:w="1701" w:type="dxa"/>
            <w:vAlign w:val="center"/>
          </w:tcPr>
          <w:p>
            <w:pPr>
              <w:pStyle w:val="11"/>
              <w:spacing w:after="0"/>
              <w:ind w:left="0" w:leftChars="0" w:firstLine="0" w:firstLineChars="0"/>
              <w:rPr>
                <w:rFonts w:ascii="宋体" w:hAnsi="宋体"/>
                <w:sz w:val="21"/>
                <w:szCs w:val="21"/>
                <w:highlight w:val="none"/>
              </w:rPr>
            </w:pPr>
            <w:r>
              <w:rPr>
                <w:rFonts w:hint="eastAsia" w:ascii="宋体" w:hAnsi="宋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530" w:type="dxa"/>
            <w:vAlign w:val="center"/>
          </w:tcPr>
          <w:p>
            <w:pPr>
              <w:pStyle w:val="11"/>
              <w:spacing w:after="0"/>
              <w:ind w:left="0" w:leftChars="0" w:firstLine="0" w:firstLineChars="0"/>
              <w:rPr>
                <w:rFonts w:ascii="宋体" w:hAnsi="宋体"/>
                <w:sz w:val="21"/>
                <w:szCs w:val="21"/>
                <w:highlight w:val="none"/>
              </w:rPr>
            </w:pPr>
            <w:r>
              <w:rPr>
                <w:rFonts w:hint="eastAsia" w:ascii="宋体" w:hAnsi="宋体"/>
                <w:sz w:val="21"/>
                <w:szCs w:val="21"/>
                <w:highlight w:val="none"/>
              </w:rPr>
              <w:t>1</w:t>
            </w:r>
          </w:p>
        </w:tc>
        <w:tc>
          <w:tcPr>
            <w:tcW w:w="1132" w:type="dxa"/>
            <w:vAlign w:val="center"/>
          </w:tcPr>
          <w:p>
            <w:pPr>
              <w:pStyle w:val="11"/>
              <w:spacing w:after="0"/>
              <w:ind w:left="0" w:leftChars="0" w:firstLine="0" w:firstLineChars="0"/>
              <w:rPr>
                <w:rFonts w:ascii="宋体" w:hAnsi="宋体"/>
                <w:sz w:val="21"/>
                <w:szCs w:val="21"/>
                <w:highlight w:val="none"/>
              </w:rPr>
            </w:pPr>
            <w:r>
              <w:rPr>
                <w:rFonts w:hint="eastAsia" w:ascii="宋体" w:hAnsi="宋体"/>
                <w:sz w:val="21"/>
                <w:szCs w:val="21"/>
                <w:highlight w:val="none"/>
              </w:rPr>
              <w:t>项目经理</w:t>
            </w:r>
          </w:p>
        </w:tc>
        <w:tc>
          <w:tcPr>
            <w:tcW w:w="708" w:type="dxa"/>
            <w:vAlign w:val="center"/>
          </w:tcPr>
          <w:p>
            <w:pPr>
              <w:pStyle w:val="11"/>
              <w:spacing w:after="0"/>
              <w:ind w:left="0" w:leftChars="0" w:firstLine="0" w:firstLineChars="0"/>
              <w:jc w:val="center"/>
              <w:rPr>
                <w:rFonts w:ascii="宋体" w:hAnsi="宋体"/>
                <w:sz w:val="21"/>
                <w:szCs w:val="21"/>
                <w:highlight w:val="none"/>
              </w:rPr>
            </w:pPr>
            <w:r>
              <w:rPr>
                <w:rFonts w:hint="eastAsia" w:ascii="宋体" w:hAnsi="宋体"/>
                <w:sz w:val="21"/>
                <w:szCs w:val="21"/>
                <w:highlight w:val="none"/>
              </w:rPr>
              <w:t>1</w:t>
            </w:r>
          </w:p>
        </w:tc>
        <w:tc>
          <w:tcPr>
            <w:tcW w:w="2671" w:type="dxa"/>
            <w:vAlign w:val="center"/>
          </w:tcPr>
          <w:p>
            <w:pPr>
              <w:pStyle w:val="11"/>
              <w:spacing w:after="0"/>
              <w:ind w:left="0" w:leftChars="0" w:firstLine="0" w:firstLineChars="0"/>
              <w:rPr>
                <w:rFonts w:ascii="宋体" w:hAnsi="宋体"/>
                <w:sz w:val="21"/>
                <w:szCs w:val="21"/>
                <w:highlight w:val="none"/>
              </w:rPr>
            </w:pPr>
            <w:r>
              <w:rPr>
                <w:rFonts w:hint="eastAsia" w:ascii="宋体" w:hAnsi="宋体"/>
                <w:sz w:val="21"/>
                <w:szCs w:val="21"/>
                <w:highlight w:val="none"/>
              </w:rPr>
              <w:t>★必须具有机电工程专业二级（或以上）注册建造师执业资格；</w:t>
            </w:r>
            <w:r>
              <w:rPr>
                <w:rFonts w:hint="eastAsia" w:ascii="宋体" w:hAnsi="宋体"/>
                <w:sz w:val="21"/>
                <w:szCs w:val="21"/>
                <w:highlight w:val="none"/>
              </w:rPr>
              <w:br w:type="textWrapping"/>
            </w:r>
            <w:r>
              <w:rPr>
                <w:rFonts w:hint="eastAsia" w:ascii="宋体" w:hAnsi="宋体"/>
                <w:sz w:val="21"/>
                <w:szCs w:val="21"/>
                <w:highlight w:val="none"/>
              </w:rPr>
              <w:t>★投标人须承诺一旦中标项目经理不得兼任其他设施的项目经理。</w:t>
            </w:r>
          </w:p>
        </w:tc>
        <w:tc>
          <w:tcPr>
            <w:tcW w:w="1701" w:type="dxa"/>
            <w:vAlign w:val="center"/>
          </w:tcPr>
          <w:p>
            <w:pPr>
              <w:pStyle w:val="11"/>
              <w:spacing w:after="0"/>
              <w:ind w:left="0" w:leftChars="0" w:firstLine="0" w:firstLineChars="0"/>
              <w:rPr>
                <w:rFonts w:ascii="宋体" w:hAnsi="宋体"/>
                <w:sz w:val="21"/>
                <w:szCs w:val="21"/>
                <w:highlight w:val="none"/>
              </w:rPr>
            </w:pPr>
            <w:r>
              <w:rPr>
                <w:rFonts w:hint="eastAsia" w:ascii="宋体" w:hAnsi="宋体"/>
                <w:sz w:val="21"/>
                <w:szCs w:val="21"/>
                <w:highlight w:val="none"/>
              </w:rPr>
              <w:t>需提供证书的原件扫描件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30" w:type="dxa"/>
            <w:vAlign w:val="center"/>
          </w:tcPr>
          <w:p>
            <w:pPr>
              <w:pStyle w:val="11"/>
              <w:spacing w:after="0"/>
              <w:ind w:left="0" w:leftChars="0" w:firstLine="0" w:firstLineChars="0"/>
              <w:rPr>
                <w:rFonts w:ascii="宋体" w:hAnsi="宋体"/>
                <w:sz w:val="21"/>
                <w:szCs w:val="21"/>
                <w:highlight w:val="none"/>
              </w:rPr>
            </w:pPr>
            <w:r>
              <w:rPr>
                <w:rFonts w:hint="eastAsia" w:ascii="宋体" w:hAnsi="宋体"/>
                <w:sz w:val="21"/>
                <w:szCs w:val="21"/>
                <w:highlight w:val="none"/>
              </w:rPr>
              <w:t>2</w:t>
            </w:r>
          </w:p>
        </w:tc>
        <w:tc>
          <w:tcPr>
            <w:tcW w:w="1132" w:type="dxa"/>
            <w:vAlign w:val="center"/>
          </w:tcPr>
          <w:p>
            <w:pPr>
              <w:pStyle w:val="11"/>
              <w:spacing w:after="0"/>
              <w:ind w:left="0" w:leftChars="0" w:firstLine="0" w:firstLineChars="0"/>
              <w:rPr>
                <w:rFonts w:ascii="宋体" w:hAnsi="宋体"/>
                <w:sz w:val="21"/>
                <w:szCs w:val="21"/>
                <w:highlight w:val="none"/>
              </w:rPr>
            </w:pPr>
            <w:r>
              <w:rPr>
                <w:rFonts w:hint="eastAsia" w:ascii="宋体" w:hAnsi="宋体"/>
                <w:sz w:val="21"/>
                <w:szCs w:val="21"/>
                <w:highlight w:val="none"/>
              </w:rPr>
              <w:t>技术负责人</w:t>
            </w:r>
          </w:p>
        </w:tc>
        <w:tc>
          <w:tcPr>
            <w:tcW w:w="708" w:type="dxa"/>
            <w:vAlign w:val="center"/>
          </w:tcPr>
          <w:p>
            <w:pPr>
              <w:pStyle w:val="11"/>
              <w:spacing w:after="0"/>
              <w:ind w:left="0" w:leftChars="0" w:firstLine="0" w:firstLineChars="0"/>
              <w:jc w:val="center"/>
              <w:rPr>
                <w:rFonts w:ascii="宋体" w:hAnsi="宋体"/>
                <w:sz w:val="21"/>
                <w:szCs w:val="21"/>
                <w:highlight w:val="none"/>
              </w:rPr>
            </w:pPr>
            <w:r>
              <w:rPr>
                <w:rFonts w:hint="eastAsia" w:ascii="宋体" w:hAnsi="宋体"/>
                <w:sz w:val="21"/>
                <w:szCs w:val="21"/>
                <w:highlight w:val="none"/>
              </w:rPr>
              <w:t>1</w:t>
            </w:r>
          </w:p>
        </w:tc>
        <w:tc>
          <w:tcPr>
            <w:tcW w:w="2671" w:type="dxa"/>
            <w:vAlign w:val="center"/>
          </w:tcPr>
          <w:p>
            <w:pPr>
              <w:pStyle w:val="11"/>
              <w:spacing w:after="0"/>
              <w:ind w:left="0" w:leftChars="0" w:firstLine="0" w:firstLineChars="0"/>
              <w:rPr>
                <w:rFonts w:hint="eastAsia" w:ascii="宋体" w:hAnsi="宋体" w:eastAsia="宋体"/>
                <w:sz w:val="21"/>
                <w:szCs w:val="21"/>
                <w:highlight w:val="none"/>
                <w:lang w:eastAsia="zh-CN"/>
              </w:rPr>
            </w:pPr>
            <w:r>
              <w:rPr>
                <w:rFonts w:hint="eastAsia" w:ascii="宋体" w:hAnsi="宋体"/>
                <w:sz w:val="21"/>
                <w:szCs w:val="21"/>
                <w:highlight w:val="none"/>
              </w:rPr>
              <w:t>熟悉道路照明监控系统，熟悉系统软硬件。</w:t>
            </w:r>
            <w:r>
              <w:rPr>
                <w:rFonts w:hint="eastAsia" w:ascii="宋体" w:hAnsi="宋体"/>
                <w:sz w:val="21"/>
                <w:szCs w:val="21"/>
                <w:highlight w:val="none"/>
                <w:lang w:eastAsia="zh-CN"/>
              </w:rPr>
              <w:t>具有建筑、市政或机电类专业</w:t>
            </w:r>
            <w:r>
              <w:rPr>
                <w:rFonts w:hint="eastAsia" w:ascii="宋体" w:hAnsi="宋体"/>
                <w:sz w:val="21"/>
                <w:szCs w:val="21"/>
                <w:highlight w:val="none"/>
              </w:rPr>
              <w:t>高级职称</w:t>
            </w:r>
            <w:r>
              <w:rPr>
                <w:rFonts w:hint="eastAsia" w:ascii="宋体" w:hAnsi="宋体"/>
                <w:sz w:val="21"/>
                <w:szCs w:val="21"/>
                <w:highlight w:val="none"/>
                <w:lang w:eastAsia="zh-CN"/>
              </w:rPr>
              <w:t>。</w:t>
            </w:r>
          </w:p>
        </w:tc>
        <w:tc>
          <w:tcPr>
            <w:tcW w:w="1701" w:type="dxa"/>
            <w:vAlign w:val="center"/>
          </w:tcPr>
          <w:p>
            <w:pPr>
              <w:pStyle w:val="11"/>
              <w:spacing w:after="0"/>
              <w:ind w:left="0" w:leftChars="0" w:firstLine="0" w:firstLineChars="0"/>
              <w:rPr>
                <w:rFonts w:ascii="宋体" w:hAnsi="宋体"/>
                <w:sz w:val="21"/>
                <w:szCs w:val="21"/>
                <w:highlight w:val="none"/>
              </w:rPr>
            </w:pPr>
            <w:r>
              <w:rPr>
                <w:rFonts w:hint="eastAsia" w:ascii="宋体" w:hAnsi="宋体"/>
                <w:sz w:val="21"/>
                <w:szCs w:val="21"/>
                <w:highlight w:val="none"/>
              </w:rPr>
              <w:t>需提供证书的原件扫描件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30" w:type="dxa"/>
            <w:vAlign w:val="center"/>
          </w:tcPr>
          <w:p>
            <w:pPr>
              <w:pStyle w:val="11"/>
              <w:spacing w:after="0"/>
              <w:ind w:left="0" w:leftChars="0" w:firstLine="0" w:firstLineChars="0"/>
              <w:rPr>
                <w:rFonts w:ascii="宋体" w:hAnsi="宋体"/>
                <w:sz w:val="21"/>
                <w:szCs w:val="21"/>
                <w:highlight w:val="none"/>
              </w:rPr>
            </w:pPr>
            <w:r>
              <w:rPr>
                <w:rFonts w:hint="eastAsia" w:ascii="宋体" w:hAnsi="宋体"/>
                <w:sz w:val="21"/>
                <w:szCs w:val="21"/>
                <w:highlight w:val="none"/>
              </w:rPr>
              <w:t>3</w:t>
            </w:r>
          </w:p>
        </w:tc>
        <w:tc>
          <w:tcPr>
            <w:tcW w:w="1132" w:type="dxa"/>
            <w:vAlign w:val="center"/>
          </w:tcPr>
          <w:p>
            <w:pPr>
              <w:pStyle w:val="11"/>
              <w:spacing w:after="0"/>
              <w:ind w:left="0" w:leftChars="0" w:firstLine="0" w:firstLineChars="0"/>
              <w:rPr>
                <w:rFonts w:ascii="宋体" w:hAnsi="宋体"/>
                <w:sz w:val="21"/>
                <w:szCs w:val="21"/>
                <w:highlight w:val="none"/>
              </w:rPr>
            </w:pPr>
            <w:r>
              <w:rPr>
                <w:rFonts w:hint="eastAsia" w:ascii="宋体" w:hAnsi="宋体"/>
                <w:sz w:val="21"/>
                <w:szCs w:val="21"/>
                <w:highlight w:val="none"/>
              </w:rPr>
              <w:t>通信工程负责人</w:t>
            </w:r>
          </w:p>
        </w:tc>
        <w:tc>
          <w:tcPr>
            <w:tcW w:w="708" w:type="dxa"/>
            <w:vAlign w:val="center"/>
          </w:tcPr>
          <w:p>
            <w:pPr>
              <w:pStyle w:val="11"/>
              <w:spacing w:after="0"/>
              <w:ind w:left="0" w:leftChars="0" w:firstLine="0" w:firstLineChars="0"/>
              <w:jc w:val="center"/>
              <w:rPr>
                <w:rFonts w:ascii="宋体" w:hAnsi="宋体"/>
                <w:sz w:val="21"/>
                <w:szCs w:val="21"/>
                <w:highlight w:val="none"/>
              </w:rPr>
            </w:pPr>
            <w:r>
              <w:rPr>
                <w:rFonts w:hint="eastAsia" w:ascii="宋体" w:hAnsi="宋体"/>
                <w:sz w:val="21"/>
                <w:szCs w:val="21"/>
                <w:highlight w:val="none"/>
              </w:rPr>
              <w:t>2</w:t>
            </w:r>
          </w:p>
        </w:tc>
        <w:tc>
          <w:tcPr>
            <w:tcW w:w="2671" w:type="dxa"/>
            <w:vAlign w:val="center"/>
          </w:tcPr>
          <w:p>
            <w:pPr>
              <w:pStyle w:val="11"/>
              <w:spacing w:after="0"/>
              <w:ind w:left="0" w:leftChars="0" w:firstLine="0" w:firstLineChars="0"/>
              <w:rPr>
                <w:rFonts w:ascii="宋体" w:hAnsi="宋体"/>
                <w:sz w:val="21"/>
                <w:szCs w:val="21"/>
                <w:highlight w:val="none"/>
              </w:rPr>
            </w:pPr>
            <w:r>
              <w:rPr>
                <w:rFonts w:hint="eastAsia" w:ascii="宋体" w:hAnsi="宋体"/>
                <w:sz w:val="21"/>
                <w:szCs w:val="21"/>
                <w:highlight w:val="none"/>
              </w:rPr>
              <w:t>具有机电或通信专业本科学历</w:t>
            </w:r>
          </w:p>
        </w:tc>
        <w:tc>
          <w:tcPr>
            <w:tcW w:w="1701" w:type="dxa"/>
            <w:vAlign w:val="center"/>
          </w:tcPr>
          <w:p>
            <w:pPr>
              <w:pStyle w:val="11"/>
              <w:spacing w:after="0"/>
              <w:ind w:left="0" w:leftChars="0" w:firstLine="0" w:firstLineChars="0"/>
              <w:rPr>
                <w:rFonts w:ascii="宋体" w:hAnsi="宋体"/>
                <w:sz w:val="21"/>
                <w:szCs w:val="21"/>
                <w:highlight w:val="none"/>
              </w:rPr>
            </w:pPr>
            <w:r>
              <w:rPr>
                <w:rFonts w:hint="eastAsia" w:ascii="宋体" w:hAnsi="宋体"/>
                <w:sz w:val="21"/>
                <w:szCs w:val="21"/>
                <w:highlight w:val="none"/>
              </w:rPr>
              <w:t>通讯 ACU 维护经验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30" w:type="dxa"/>
            <w:vAlign w:val="center"/>
          </w:tcPr>
          <w:p>
            <w:pPr>
              <w:pStyle w:val="11"/>
              <w:spacing w:after="0"/>
              <w:ind w:left="0" w:leftChars="0" w:firstLine="0" w:firstLineChars="0"/>
              <w:rPr>
                <w:rFonts w:ascii="宋体" w:hAnsi="宋体"/>
                <w:sz w:val="21"/>
                <w:szCs w:val="21"/>
                <w:highlight w:val="none"/>
              </w:rPr>
            </w:pPr>
            <w:r>
              <w:rPr>
                <w:rFonts w:hint="eastAsia" w:ascii="宋体" w:hAnsi="宋体"/>
                <w:sz w:val="21"/>
                <w:szCs w:val="21"/>
                <w:highlight w:val="none"/>
              </w:rPr>
              <w:t>4</w:t>
            </w:r>
          </w:p>
        </w:tc>
        <w:tc>
          <w:tcPr>
            <w:tcW w:w="1132" w:type="dxa"/>
            <w:vAlign w:val="center"/>
          </w:tcPr>
          <w:p>
            <w:pPr>
              <w:pStyle w:val="11"/>
              <w:spacing w:after="0"/>
              <w:ind w:left="0" w:leftChars="0" w:firstLine="0" w:firstLineChars="0"/>
              <w:rPr>
                <w:rFonts w:ascii="宋体" w:hAnsi="宋体"/>
                <w:sz w:val="21"/>
                <w:szCs w:val="21"/>
                <w:highlight w:val="none"/>
              </w:rPr>
            </w:pPr>
            <w:r>
              <w:rPr>
                <w:rFonts w:hint="eastAsia" w:ascii="宋体" w:hAnsi="宋体"/>
                <w:sz w:val="21"/>
                <w:szCs w:val="21"/>
                <w:highlight w:val="none"/>
              </w:rPr>
              <w:t>硬件负责人</w:t>
            </w:r>
          </w:p>
        </w:tc>
        <w:tc>
          <w:tcPr>
            <w:tcW w:w="708" w:type="dxa"/>
            <w:vAlign w:val="center"/>
          </w:tcPr>
          <w:p>
            <w:pPr>
              <w:pStyle w:val="11"/>
              <w:spacing w:after="0"/>
              <w:ind w:left="0" w:leftChars="0" w:firstLine="0" w:firstLineChars="0"/>
              <w:jc w:val="center"/>
              <w:rPr>
                <w:rFonts w:ascii="宋体" w:hAnsi="宋体"/>
                <w:sz w:val="21"/>
                <w:szCs w:val="21"/>
                <w:highlight w:val="none"/>
              </w:rPr>
            </w:pPr>
            <w:r>
              <w:rPr>
                <w:rFonts w:hint="eastAsia" w:ascii="宋体" w:hAnsi="宋体"/>
                <w:sz w:val="21"/>
                <w:szCs w:val="21"/>
                <w:highlight w:val="none"/>
              </w:rPr>
              <w:t>1</w:t>
            </w:r>
          </w:p>
        </w:tc>
        <w:tc>
          <w:tcPr>
            <w:tcW w:w="2671" w:type="dxa"/>
            <w:vAlign w:val="center"/>
          </w:tcPr>
          <w:p>
            <w:pPr>
              <w:pStyle w:val="11"/>
              <w:spacing w:after="0"/>
              <w:ind w:left="0" w:leftChars="0" w:firstLine="0" w:firstLineChars="0"/>
              <w:rPr>
                <w:rFonts w:ascii="宋体" w:hAnsi="宋体"/>
                <w:sz w:val="21"/>
                <w:szCs w:val="21"/>
                <w:highlight w:val="none"/>
              </w:rPr>
            </w:pPr>
            <w:r>
              <w:rPr>
                <w:rFonts w:hint="eastAsia" w:ascii="宋体" w:hAnsi="宋体"/>
                <w:sz w:val="21"/>
                <w:szCs w:val="21"/>
                <w:highlight w:val="none"/>
              </w:rPr>
              <w:t>具有电子或计算机类专业本科学历</w:t>
            </w:r>
          </w:p>
        </w:tc>
        <w:tc>
          <w:tcPr>
            <w:tcW w:w="1701" w:type="dxa"/>
            <w:vAlign w:val="center"/>
          </w:tcPr>
          <w:p>
            <w:pPr>
              <w:pStyle w:val="11"/>
              <w:spacing w:after="0"/>
              <w:ind w:left="0" w:leftChars="0" w:firstLine="0" w:firstLineChars="0"/>
              <w:rPr>
                <w:rFonts w:ascii="宋体" w:hAnsi="宋体"/>
                <w:sz w:val="21"/>
                <w:szCs w:val="21"/>
                <w:highlight w:val="none"/>
              </w:rPr>
            </w:pPr>
            <w:r>
              <w:rPr>
                <w:rFonts w:hint="eastAsia" w:ascii="宋体" w:hAnsi="宋体"/>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30" w:type="dxa"/>
            <w:vAlign w:val="center"/>
          </w:tcPr>
          <w:p>
            <w:pPr>
              <w:pStyle w:val="11"/>
              <w:spacing w:after="0"/>
              <w:ind w:left="0" w:leftChars="0" w:firstLine="0" w:firstLineChars="0"/>
              <w:rPr>
                <w:rFonts w:ascii="宋体" w:hAnsi="宋体"/>
                <w:sz w:val="21"/>
                <w:szCs w:val="21"/>
                <w:highlight w:val="none"/>
              </w:rPr>
            </w:pPr>
            <w:r>
              <w:rPr>
                <w:rFonts w:hint="eastAsia" w:ascii="宋体" w:hAnsi="宋体"/>
                <w:sz w:val="21"/>
                <w:szCs w:val="21"/>
                <w:highlight w:val="none"/>
              </w:rPr>
              <w:t>5</w:t>
            </w:r>
          </w:p>
        </w:tc>
        <w:tc>
          <w:tcPr>
            <w:tcW w:w="1132" w:type="dxa"/>
            <w:vAlign w:val="center"/>
          </w:tcPr>
          <w:p>
            <w:pPr>
              <w:pStyle w:val="11"/>
              <w:spacing w:after="0"/>
              <w:ind w:left="0" w:leftChars="0" w:firstLine="0" w:firstLineChars="0"/>
              <w:rPr>
                <w:rFonts w:ascii="宋体" w:hAnsi="宋体"/>
                <w:sz w:val="21"/>
                <w:szCs w:val="21"/>
                <w:highlight w:val="none"/>
              </w:rPr>
            </w:pPr>
            <w:r>
              <w:rPr>
                <w:rFonts w:hint="eastAsia" w:ascii="宋体" w:hAnsi="宋体"/>
                <w:sz w:val="21"/>
                <w:szCs w:val="21"/>
                <w:highlight w:val="none"/>
              </w:rPr>
              <w:t>专职安全员</w:t>
            </w:r>
          </w:p>
        </w:tc>
        <w:tc>
          <w:tcPr>
            <w:tcW w:w="708" w:type="dxa"/>
            <w:vAlign w:val="center"/>
          </w:tcPr>
          <w:p>
            <w:pPr>
              <w:pStyle w:val="11"/>
              <w:spacing w:after="0"/>
              <w:ind w:left="0" w:leftChars="0" w:firstLine="0" w:firstLineChars="0"/>
              <w:jc w:val="center"/>
              <w:rPr>
                <w:rFonts w:ascii="宋体" w:hAnsi="宋体"/>
                <w:sz w:val="21"/>
                <w:szCs w:val="21"/>
                <w:highlight w:val="none"/>
              </w:rPr>
            </w:pPr>
            <w:r>
              <w:rPr>
                <w:rFonts w:hint="eastAsia" w:ascii="宋体" w:hAnsi="宋体"/>
                <w:sz w:val="21"/>
                <w:szCs w:val="21"/>
                <w:highlight w:val="none"/>
              </w:rPr>
              <w:t>2</w:t>
            </w:r>
          </w:p>
        </w:tc>
        <w:tc>
          <w:tcPr>
            <w:tcW w:w="2671" w:type="dxa"/>
            <w:vAlign w:val="center"/>
          </w:tcPr>
          <w:p>
            <w:pPr>
              <w:pStyle w:val="11"/>
              <w:spacing w:after="0"/>
              <w:ind w:left="0" w:leftChars="0" w:firstLine="0" w:firstLineChars="0"/>
              <w:rPr>
                <w:rFonts w:ascii="宋体" w:hAnsi="宋体"/>
                <w:sz w:val="21"/>
                <w:szCs w:val="21"/>
                <w:highlight w:val="none"/>
              </w:rPr>
            </w:pPr>
            <w:r>
              <w:rPr>
                <w:rFonts w:hint="eastAsia" w:ascii="宋体" w:hAnsi="宋体"/>
                <w:sz w:val="21"/>
                <w:szCs w:val="21"/>
                <w:highlight w:val="none"/>
              </w:rPr>
              <w:t>★安全员（C 证）</w:t>
            </w:r>
          </w:p>
        </w:tc>
        <w:tc>
          <w:tcPr>
            <w:tcW w:w="1701" w:type="dxa"/>
            <w:vAlign w:val="center"/>
          </w:tcPr>
          <w:p>
            <w:pPr>
              <w:pStyle w:val="11"/>
              <w:spacing w:after="0"/>
              <w:ind w:left="0" w:leftChars="0" w:firstLine="0" w:firstLineChars="0"/>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30" w:type="dxa"/>
            <w:vAlign w:val="center"/>
          </w:tcPr>
          <w:p>
            <w:pPr>
              <w:pStyle w:val="11"/>
              <w:spacing w:after="0"/>
              <w:ind w:left="0" w:leftChars="0" w:firstLine="0" w:firstLineChars="0"/>
              <w:rPr>
                <w:rFonts w:ascii="宋体" w:hAnsi="宋体"/>
                <w:sz w:val="21"/>
                <w:szCs w:val="21"/>
                <w:highlight w:val="none"/>
              </w:rPr>
            </w:pPr>
            <w:r>
              <w:rPr>
                <w:rFonts w:hint="eastAsia" w:ascii="宋体" w:hAnsi="宋体"/>
                <w:sz w:val="21"/>
                <w:szCs w:val="21"/>
                <w:highlight w:val="none"/>
              </w:rPr>
              <w:t>6</w:t>
            </w:r>
          </w:p>
        </w:tc>
        <w:tc>
          <w:tcPr>
            <w:tcW w:w="1132" w:type="dxa"/>
            <w:vAlign w:val="center"/>
          </w:tcPr>
          <w:p>
            <w:pPr>
              <w:pStyle w:val="11"/>
              <w:spacing w:after="0"/>
              <w:ind w:left="0" w:leftChars="0" w:firstLine="0" w:firstLineChars="0"/>
              <w:rPr>
                <w:rFonts w:ascii="宋体" w:hAnsi="宋体"/>
                <w:sz w:val="21"/>
                <w:szCs w:val="21"/>
                <w:highlight w:val="none"/>
              </w:rPr>
            </w:pPr>
            <w:r>
              <w:rPr>
                <w:rFonts w:hint="eastAsia" w:ascii="宋体" w:hAnsi="宋体"/>
                <w:sz w:val="21"/>
                <w:szCs w:val="21"/>
                <w:highlight w:val="none"/>
              </w:rPr>
              <w:t>资料员</w:t>
            </w:r>
          </w:p>
        </w:tc>
        <w:tc>
          <w:tcPr>
            <w:tcW w:w="708" w:type="dxa"/>
            <w:vAlign w:val="center"/>
          </w:tcPr>
          <w:p>
            <w:pPr>
              <w:pStyle w:val="11"/>
              <w:spacing w:after="0"/>
              <w:ind w:left="0" w:leftChars="0" w:firstLine="0" w:firstLineChars="0"/>
              <w:jc w:val="center"/>
              <w:rPr>
                <w:rFonts w:ascii="宋体" w:hAnsi="宋体"/>
                <w:sz w:val="21"/>
                <w:szCs w:val="21"/>
                <w:highlight w:val="none"/>
              </w:rPr>
            </w:pPr>
            <w:r>
              <w:rPr>
                <w:rFonts w:hint="eastAsia" w:ascii="宋体" w:hAnsi="宋体"/>
                <w:sz w:val="21"/>
                <w:szCs w:val="21"/>
                <w:highlight w:val="none"/>
              </w:rPr>
              <w:t>1</w:t>
            </w:r>
          </w:p>
        </w:tc>
        <w:tc>
          <w:tcPr>
            <w:tcW w:w="2671" w:type="dxa"/>
            <w:vAlign w:val="center"/>
          </w:tcPr>
          <w:p>
            <w:pPr>
              <w:pStyle w:val="11"/>
              <w:spacing w:after="0"/>
              <w:ind w:left="0" w:leftChars="0" w:firstLine="0" w:firstLineChars="0"/>
              <w:rPr>
                <w:rFonts w:ascii="宋体" w:hAnsi="宋体"/>
                <w:sz w:val="21"/>
                <w:szCs w:val="21"/>
                <w:highlight w:val="none"/>
              </w:rPr>
            </w:pPr>
            <w:r>
              <w:rPr>
                <w:rFonts w:hint="eastAsia" w:ascii="宋体" w:hAnsi="宋体"/>
                <w:sz w:val="21"/>
                <w:szCs w:val="21"/>
                <w:highlight w:val="none"/>
              </w:rPr>
              <w:t>熟悉养护资料填报</w:t>
            </w:r>
          </w:p>
        </w:tc>
        <w:tc>
          <w:tcPr>
            <w:tcW w:w="1701" w:type="dxa"/>
            <w:vAlign w:val="center"/>
          </w:tcPr>
          <w:p>
            <w:pPr>
              <w:pStyle w:val="11"/>
              <w:spacing w:after="0"/>
              <w:ind w:left="0" w:leftChars="0" w:firstLine="0" w:firstLineChars="0"/>
              <w:rPr>
                <w:rFonts w:ascii="宋体" w:hAnsi="宋体"/>
                <w:sz w:val="21"/>
                <w:szCs w:val="21"/>
                <w:highlight w:val="none"/>
              </w:rPr>
            </w:pPr>
          </w:p>
        </w:tc>
      </w:tr>
    </w:tbl>
    <w:p>
      <w:pPr>
        <w:spacing w:line="360" w:lineRule="auto"/>
        <w:ind w:firstLine="420" w:firstLineChars="200"/>
        <w:rPr>
          <w:rFonts w:hAnsi="宋体"/>
          <w:bCs/>
          <w:szCs w:val="21"/>
          <w:highlight w:val="none"/>
        </w:rPr>
      </w:pPr>
      <w:r>
        <w:rPr>
          <w:rFonts w:hint="eastAsia" w:hAnsi="宋体"/>
          <w:bCs/>
          <w:szCs w:val="21"/>
          <w:highlight w:val="none"/>
        </w:rPr>
        <w:t>（八）其它要求</w:t>
      </w:r>
    </w:p>
    <w:p>
      <w:pPr>
        <w:spacing w:line="360" w:lineRule="auto"/>
        <w:ind w:firstLine="420" w:firstLineChars="200"/>
        <w:rPr>
          <w:rFonts w:hAnsi="宋体"/>
          <w:bCs/>
          <w:szCs w:val="21"/>
          <w:highlight w:val="none"/>
        </w:rPr>
      </w:pPr>
      <w:r>
        <w:rPr>
          <w:rFonts w:hint="eastAsia" w:hAnsi="宋体"/>
          <w:bCs/>
          <w:szCs w:val="21"/>
          <w:highlight w:val="none"/>
        </w:rPr>
        <w:t>1.中标人主要负责人应参加招标人每月召开的运行维护月度例会。</w:t>
      </w:r>
    </w:p>
    <w:p>
      <w:pPr>
        <w:spacing w:line="360" w:lineRule="auto"/>
        <w:ind w:firstLine="420" w:firstLineChars="200"/>
        <w:rPr>
          <w:rFonts w:hAnsi="宋体"/>
          <w:bCs/>
          <w:szCs w:val="21"/>
          <w:highlight w:val="none"/>
        </w:rPr>
      </w:pPr>
      <w:r>
        <w:rPr>
          <w:rFonts w:hint="eastAsia" w:hAnsi="宋体"/>
          <w:bCs/>
          <w:szCs w:val="21"/>
          <w:highlight w:val="none"/>
        </w:rPr>
        <w:t>2.按要求做好相关资料，并配合招标人开展ACU日常运行维护经费的审计工作。</w:t>
      </w:r>
    </w:p>
    <w:p>
      <w:pPr>
        <w:spacing w:line="360" w:lineRule="auto"/>
        <w:ind w:firstLine="420" w:firstLineChars="200"/>
        <w:rPr>
          <w:rFonts w:hAnsi="宋体"/>
          <w:bCs/>
          <w:szCs w:val="21"/>
          <w:highlight w:val="none"/>
        </w:rPr>
      </w:pPr>
      <w:r>
        <w:rPr>
          <w:rFonts w:hint="eastAsia" w:hAnsi="宋体"/>
          <w:bCs/>
          <w:szCs w:val="21"/>
          <w:highlight w:val="none"/>
        </w:rPr>
        <w:t>3.按照道路照明设施管理相关法律法规做好有关工作，配合招标人处理市管道路照明设施范围内的法律事务。</w:t>
      </w:r>
    </w:p>
    <w:p>
      <w:pPr>
        <w:spacing w:line="360" w:lineRule="auto"/>
        <w:ind w:firstLine="420" w:firstLineChars="200"/>
        <w:rPr>
          <w:rFonts w:hAnsi="宋体"/>
          <w:bCs/>
          <w:szCs w:val="21"/>
          <w:highlight w:val="none"/>
        </w:rPr>
      </w:pPr>
      <w:r>
        <w:rPr>
          <w:rFonts w:hint="eastAsia" w:hAnsi="宋体"/>
          <w:bCs/>
          <w:szCs w:val="21"/>
          <w:highlight w:val="none"/>
        </w:rPr>
        <w:t>4.配合招标人开展专项改造、新建工程验收、架空线入地和合杆整治工程等事项</w:t>
      </w:r>
      <w:r>
        <w:rPr>
          <w:rFonts w:hint="eastAsia" w:hAnsi="宋体"/>
          <w:bCs/>
          <w:szCs w:val="21"/>
          <w:highlight w:val="none"/>
          <w:lang w:eastAsia="zh-CN"/>
        </w:rPr>
        <w:t>。专项改造等内容会委托其他单位完成，中标人需配合完成</w:t>
      </w:r>
      <w:r>
        <w:rPr>
          <w:rFonts w:hint="eastAsia" w:hAnsi="宋体"/>
          <w:bCs/>
          <w:szCs w:val="21"/>
          <w:highlight w:val="none"/>
        </w:rPr>
        <w:t>。</w:t>
      </w:r>
    </w:p>
    <w:p>
      <w:pPr>
        <w:spacing w:line="360" w:lineRule="auto"/>
        <w:ind w:firstLine="420" w:firstLineChars="200"/>
        <w:rPr>
          <w:rFonts w:hAnsi="宋体"/>
          <w:bCs/>
          <w:szCs w:val="21"/>
          <w:highlight w:val="none"/>
        </w:rPr>
      </w:pPr>
      <w:r>
        <w:rPr>
          <w:rFonts w:hint="eastAsia" w:hAnsi="宋体"/>
          <w:bCs/>
          <w:szCs w:val="21"/>
          <w:highlight w:val="none"/>
        </w:rPr>
        <w:t>5.中标人进场作业需要的占掘路手续等所有手续由中标人负责办理并承担费用。</w:t>
      </w:r>
    </w:p>
    <w:p>
      <w:pPr>
        <w:spacing w:line="360" w:lineRule="auto"/>
        <w:ind w:firstLine="420" w:firstLineChars="200"/>
        <w:rPr>
          <w:rFonts w:hAnsi="宋体"/>
          <w:bCs/>
          <w:szCs w:val="21"/>
          <w:highlight w:val="none"/>
        </w:rPr>
      </w:pPr>
    </w:p>
    <w:p>
      <w:pPr>
        <w:spacing w:line="360" w:lineRule="auto"/>
        <w:ind w:firstLine="420" w:firstLineChars="200"/>
        <w:rPr>
          <w:rFonts w:hAnsi="宋体"/>
          <w:bCs/>
          <w:szCs w:val="21"/>
          <w:highlight w:val="none"/>
        </w:rPr>
      </w:pPr>
    </w:p>
    <w:p>
      <w:pPr>
        <w:widowControl/>
        <w:spacing w:line="360" w:lineRule="auto"/>
        <w:jc w:val="left"/>
        <w:rPr>
          <w:rFonts w:hAnsi="宋体"/>
          <w:bCs/>
          <w:szCs w:val="21"/>
          <w:highlight w:val="none"/>
        </w:rPr>
      </w:pPr>
    </w:p>
    <w:p>
      <w:pPr>
        <w:widowControl/>
        <w:spacing w:line="360" w:lineRule="auto"/>
        <w:jc w:val="left"/>
        <w:rPr>
          <w:rFonts w:hAnsi="宋体"/>
          <w:bCs/>
          <w:szCs w:val="21"/>
          <w:highlight w:val="none"/>
        </w:rPr>
      </w:pPr>
      <w:r>
        <w:rPr>
          <w:rFonts w:hAnsi="宋体"/>
          <w:bCs/>
          <w:szCs w:val="21"/>
          <w:highlight w:val="none"/>
        </w:rPr>
        <w:br w:type="page"/>
      </w:r>
    </w:p>
    <w:p>
      <w:pPr>
        <w:rPr>
          <w:b/>
          <w:bCs/>
          <w:sz w:val="21"/>
          <w:szCs w:val="21"/>
          <w:highlight w:val="none"/>
        </w:rPr>
      </w:pPr>
      <w:r>
        <w:rPr>
          <w:rFonts w:hint="eastAsia"/>
          <w:b/>
          <w:bCs/>
          <w:sz w:val="21"/>
          <w:szCs w:val="21"/>
          <w:highlight w:val="none"/>
        </w:rPr>
        <w:t xml:space="preserve">附件1 </w:t>
      </w:r>
      <w:r>
        <w:rPr>
          <w:b/>
          <w:bCs/>
          <w:sz w:val="21"/>
          <w:szCs w:val="21"/>
          <w:highlight w:val="none"/>
        </w:rPr>
        <w:t xml:space="preserve"> </w:t>
      </w:r>
      <w:r>
        <w:rPr>
          <w:rFonts w:hint="eastAsia"/>
          <w:b/>
          <w:bCs/>
          <w:sz w:val="21"/>
          <w:szCs w:val="21"/>
          <w:highlight w:val="none"/>
        </w:rPr>
        <w:t>技术规范、规定、规程、标准及规范性文件</w:t>
      </w:r>
    </w:p>
    <w:p>
      <w:pPr>
        <w:pStyle w:val="22"/>
        <w:numPr>
          <w:ilvl w:val="0"/>
          <w:numId w:val="1"/>
        </w:numPr>
        <w:snapToGrid w:val="0"/>
        <w:spacing w:line="360" w:lineRule="auto"/>
        <w:ind w:firstLineChars="0"/>
        <w:rPr>
          <w:rFonts w:ascii="宋体" w:hAnsi="宋体"/>
          <w:sz w:val="21"/>
          <w:szCs w:val="21"/>
          <w:highlight w:val="none"/>
        </w:rPr>
      </w:pPr>
      <w:r>
        <w:rPr>
          <w:rFonts w:hint="eastAsia" w:ascii="宋体" w:hAnsi="宋体"/>
          <w:sz w:val="21"/>
          <w:szCs w:val="21"/>
          <w:highlight w:val="none"/>
        </w:rPr>
        <w:t>《中华人民共和国建筑法》</w:t>
      </w:r>
    </w:p>
    <w:p>
      <w:pPr>
        <w:pStyle w:val="22"/>
        <w:numPr>
          <w:ilvl w:val="0"/>
          <w:numId w:val="1"/>
        </w:numPr>
        <w:snapToGrid w:val="0"/>
        <w:spacing w:line="360" w:lineRule="auto"/>
        <w:ind w:firstLineChars="0"/>
        <w:rPr>
          <w:rFonts w:ascii="宋体" w:hAnsi="宋体"/>
          <w:sz w:val="21"/>
          <w:szCs w:val="21"/>
          <w:highlight w:val="none"/>
        </w:rPr>
      </w:pPr>
      <w:r>
        <w:rPr>
          <w:rFonts w:hint="eastAsia" w:ascii="宋体" w:hAnsi="宋体"/>
          <w:sz w:val="21"/>
          <w:szCs w:val="21"/>
          <w:highlight w:val="none"/>
        </w:rPr>
        <w:t>《中华人民共和国突发事件应对法》</w:t>
      </w:r>
    </w:p>
    <w:p>
      <w:pPr>
        <w:pStyle w:val="22"/>
        <w:numPr>
          <w:ilvl w:val="0"/>
          <w:numId w:val="1"/>
        </w:numPr>
        <w:snapToGrid w:val="0"/>
        <w:spacing w:line="360" w:lineRule="auto"/>
        <w:ind w:firstLineChars="0"/>
        <w:rPr>
          <w:rFonts w:ascii="宋体" w:hAnsi="宋体"/>
          <w:sz w:val="21"/>
          <w:szCs w:val="21"/>
          <w:highlight w:val="none"/>
        </w:rPr>
      </w:pPr>
      <w:r>
        <w:rPr>
          <w:rFonts w:hint="eastAsia" w:ascii="宋体" w:hAnsi="宋体"/>
          <w:sz w:val="21"/>
          <w:szCs w:val="21"/>
          <w:highlight w:val="none"/>
        </w:rPr>
        <w:t>《中华人民共和国安全生产法》</w:t>
      </w:r>
    </w:p>
    <w:p>
      <w:pPr>
        <w:pStyle w:val="22"/>
        <w:numPr>
          <w:ilvl w:val="0"/>
          <w:numId w:val="1"/>
        </w:numPr>
        <w:snapToGrid w:val="0"/>
        <w:spacing w:line="360" w:lineRule="auto"/>
        <w:ind w:firstLineChars="0"/>
        <w:rPr>
          <w:rFonts w:ascii="宋体" w:hAnsi="宋体"/>
          <w:sz w:val="21"/>
          <w:szCs w:val="21"/>
          <w:highlight w:val="none"/>
        </w:rPr>
      </w:pPr>
      <w:r>
        <w:rPr>
          <w:rFonts w:hint="eastAsia" w:ascii="宋体" w:hAnsi="宋体"/>
          <w:sz w:val="21"/>
          <w:szCs w:val="21"/>
          <w:highlight w:val="none"/>
        </w:rPr>
        <w:t>《中华人民共和国道路交通安全法》</w:t>
      </w:r>
    </w:p>
    <w:p>
      <w:pPr>
        <w:pStyle w:val="22"/>
        <w:numPr>
          <w:ilvl w:val="0"/>
          <w:numId w:val="1"/>
        </w:numPr>
        <w:snapToGrid w:val="0"/>
        <w:spacing w:line="360" w:lineRule="auto"/>
        <w:ind w:firstLineChars="0"/>
        <w:rPr>
          <w:rFonts w:ascii="宋体" w:hAnsi="宋体"/>
          <w:sz w:val="21"/>
          <w:szCs w:val="21"/>
          <w:highlight w:val="none"/>
        </w:rPr>
      </w:pPr>
      <w:r>
        <w:rPr>
          <w:rFonts w:hint="eastAsia" w:ascii="宋体" w:hAnsi="宋体"/>
          <w:sz w:val="21"/>
          <w:szCs w:val="21"/>
          <w:highlight w:val="none"/>
        </w:rPr>
        <w:t>《中华人民共和国电力法》</w:t>
      </w:r>
    </w:p>
    <w:p>
      <w:pPr>
        <w:pStyle w:val="22"/>
        <w:numPr>
          <w:ilvl w:val="0"/>
          <w:numId w:val="1"/>
        </w:numPr>
        <w:snapToGrid w:val="0"/>
        <w:spacing w:line="360" w:lineRule="auto"/>
        <w:ind w:firstLineChars="0"/>
        <w:rPr>
          <w:rFonts w:ascii="宋体" w:hAnsi="宋体"/>
          <w:sz w:val="21"/>
          <w:szCs w:val="21"/>
          <w:highlight w:val="none"/>
        </w:rPr>
      </w:pPr>
      <w:r>
        <w:rPr>
          <w:rFonts w:hint="eastAsia" w:ascii="宋体" w:hAnsi="宋体"/>
          <w:sz w:val="21"/>
          <w:szCs w:val="21"/>
          <w:highlight w:val="none"/>
        </w:rPr>
        <w:t>《中华人民共和国安全生产管理条例》</w:t>
      </w:r>
    </w:p>
    <w:p>
      <w:pPr>
        <w:pStyle w:val="22"/>
        <w:numPr>
          <w:ilvl w:val="0"/>
          <w:numId w:val="1"/>
        </w:numPr>
        <w:snapToGrid w:val="0"/>
        <w:spacing w:line="360" w:lineRule="auto"/>
        <w:ind w:firstLineChars="0"/>
        <w:rPr>
          <w:rFonts w:ascii="宋体" w:hAnsi="宋体"/>
          <w:sz w:val="21"/>
          <w:szCs w:val="21"/>
          <w:highlight w:val="none"/>
        </w:rPr>
      </w:pPr>
      <w:r>
        <w:rPr>
          <w:rFonts w:hint="eastAsia" w:ascii="宋体" w:hAnsi="宋体"/>
          <w:sz w:val="21"/>
          <w:szCs w:val="21"/>
          <w:highlight w:val="none"/>
        </w:rPr>
        <w:t>《城市照明管理规定》（中华人民共和国住房和城乡建设部令第4号令）</w:t>
      </w:r>
    </w:p>
    <w:p>
      <w:pPr>
        <w:pStyle w:val="22"/>
        <w:numPr>
          <w:ilvl w:val="0"/>
          <w:numId w:val="1"/>
        </w:numPr>
        <w:snapToGrid w:val="0"/>
        <w:spacing w:line="360" w:lineRule="auto"/>
        <w:ind w:firstLineChars="0"/>
        <w:rPr>
          <w:rFonts w:ascii="宋体" w:hAnsi="宋体"/>
          <w:sz w:val="21"/>
          <w:szCs w:val="21"/>
          <w:highlight w:val="none"/>
        </w:rPr>
      </w:pPr>
      <w:r>
        <w:rPr>
          <w:rFonts w:hint="eastAsia" w:ascii="宋体" w:hAnsi="宋体"/>
          <w:sz w:val="21"/>
          <w:szCs w:val="21"/>
          <w:highlight w:val="none"/>
        </w:rPr>
        <w:t>《上海市绿化条例》</w:t>
      </w:r>
    </w:p>
    <w:p>
      <w:pPr>
        <w:pStyle w:val="22"/>
        <w:numPr>
          <w:ilvl w:val="0"/>
          <w:numId w:val="1"/>
        </w:numPr>
        <w:snapToGrid w:val="0"/>
        <w:spacing w:line="360" w:lineRule="auto"/>
        <w:ind w:firstLineChars="0"/>
        <w:rPr>
          <w:rFonts w:ascii="宋体" w:hAnsi="宋体"/>
          <w:sz w:val="21"/>
          <w:szCs w:val="21"/>
          <w:highlight w:val="none"/>
        </w:rPr>
      </w:pPr>
      <w:r>
        <w:rPr>
          <w:rFonts w:hint="eastAsia" w:ascii="宋体" w:hAnsi="宋体"/>
          <w:sz w:val="21"/>
          <w:szCs w:val="21"/>
          <w:highlight w:val="none"/>
        </w:rPr>
        <w:t>《上海市城市道路管理条例》</w:t>
      </w:r>
    </w:p>
    <w:p>
      <w:pPr>
        <w:pStyle w:val="22"/>
        <w:numPr>
          <w:ilvl w:val="0"/>
          <w:numId w:val="1"/>
        </w:numPr>
        <w:snapToGrid w:val="0"/>
        <w:spacing w:line="360" w:lineRule="auto"/>
        <w:ind w:firstLineChars="0"/>
        <w:rPr>
          <w:rFonts w:ascii="宋体" w:hAnsi="宋体"/>
          <w:sz w:val="21"/>
          <w:szCs w:val="21"/>
          <w:highlight w:val="none"/>
        </w:rPr>
      </w:pPr>
      <w:r>
        <w:rPr>
          <w:rFonts w:hint="eastAsia" w:ascii="宋体" w:hAnsi="宋体"/>
          <w:sz w:val="21"/>
          <w:szCs w:val="21"/>
          <w:highlight w:val="none"/>
        </w:rPr>
        <w:t>《上海市建设工程文明施工管理规定》</w:t>
      </w:r>
    </w:p>
    <w:p>
      <w:pPr>
        <w:pStyle w:val="22"/>
        <w:numPr>
          <w:ilvl w:val="0"/>
          <w:numId w:val="1"/>
        </w:numPr>
        <w:snapToGrid w:val="0"/>
        <w:spacing w:line="360" w:lineRule="auto"/>
        <w:ind w:firstLineChars="0"/>
        <w:rPr>
          <w:rFonts w:ascii="宋体" w:hAnsi="宋体"/>
          <w:sz w:val="21"/>
          <w:szCs w:val="21"/>
          <w:highlight w:val="none"/>
        </w:rPr>
      </w:pPr>
      <w:r>
        <w:rPr>
          <w:rFonts w:hint="eastAsia" w:ascii="宋体" w:hAnsi="宋体"/>
          <w:sz w:val="21"/>
          <w:szCs w:val="21"/>
          <w:highlight w:val="none"/>
        </w:rPr>
        <w:t>《上海市建设工程文明施工标准》</w:t>
      </w:r>
    </w:p>
    <w:p>
      <w:pPr>
        <w:pStyle w:val="22"/>
        <w:numPr>
          <w:ilvl w:val="0"/>
          <w:numId w:val="1"/>
        </w:numPr>
        <w:snapToGrid w:val="0"/>
        <w:spacing w:line="360" w:lineRule="auto"/>
        <w:ind w:firstLineChars="0"/>
        <w:rPr>
          <w:rFonts w:ascii="宋体" w:hAnsi="宋体"/>
          <w:sz w:val="21"/>
          <w:szCs w:val="21"/>
          <w:highlight w:val="none"/>
        </w:rPr>
      </w:pPr>
      <w:r>
        <w:rPr>
          <w:rFonts w:hint="eastAsia" w:ascii="宋体" w:hAnsi="宋体"/>
          <w:sz w:val="21"/>
          <w:szCs w:val="21"/>
          <w:highlight w:val="none"/>
        </w:rPr>
        <w:t>《上海市突发公共事件总体应急预案》</w:t>
      </w:r>
    </w:p>
    <w:p>
      <w:pPr>
        <w:pStyle w:val="22"/>
        <w:numPr>
          <w:ilvl w:val="0"/>
          <w:numId w:val="1"/>
        </w:numPr>
        <w:snapToGrid w:val="0"/>
        <w:spacing w:line="360" w:lineRule="auto"/>
        <w:ind w:firstLineChars="0"/>
        <w:rPr>
          <w:rFonts w:ascii="宋体" w:hAnsi="宋体"/>
          <w:sz w:val="21"/>
          <w:szCs w:val="21"/>
          <w:highlight w:val="none"/>
        </w:rPr>
      </w:pPr>
      <w:r>
        <w:rPr>
          <w:rFonts w:hint="eastAsia" w:ascii="宋体" w:hAnsi="宋体"/>
          <w:sz w:val="21"/>
          <w:szCs w:val="21"/>
          <w:highlight w:val="none"/>
        </w:rPr>
        <w:t>《上海市安全生产条例》</w:t>
      </w:r>
    </w:p>
    <w:p>
      <w:pPr>
        <w:pStyle w:val="22"/>
        <w:numPr>
          <w:ilvl w:val="0"/>
          <w:numId w:val="1"/>
        </w:numPr>
        <w:snapToGrid w:val="0"/>
        <w:spacing w:line="360" w:lineRule="auto"/>
        <w:ind w:firstLineChars="0"/>
        <w:rPr>
          <w:rFonts w:ascii="宋体" w:hAnsi="宋体"/>
          <w:sz w:val="21"/>
          <w:szCs w:val="21"/>
          <w:highlight w:val="none"/>
        </w:rPr>
      </w:pPr>
      <w:r>
        <w:rPr>
          <w:rFonts w:hint="eastAsia" w:ascii="宋体" w:hAnsi="宋体"/>
          <w:sz w:val="21"/>
          <w:szCs w:val="21"/>
          <w:highlight w:val="none"/>
        </w:rPr>
        <w:t>《城市道路照明设计标准》(CJJ45-2015)</w:t>
      </w:r>
    </w:p>
    <w:p>
      <w:pPr>
        <w:pStyle w:val="22"/>
        <w:numPr>
          <w:ilvl w:val="0"/>
          <w:numId w:val="1"/>
        </w:numPr>
        <w:snapToGrid w:val="0"/>
        <w:spacing w:line="360" w:lineRule="auto"/>
        <w:ind w:firstLineChars="0"/>
        <w:rPr>
          <w:rFonts w:ascii="宋体" w:hAnsi="宋体"/>
          <w:sz w:val="21"/>
          <w:szCs w:val="21"/>
          <w:highlight w:val="none"/>
        </w:rPr>
      </w:pPr>
      <w:r>
        <w:rPr>
          <w:rFonts w:hint="eastAsia" w:ascii="宋体" w:hAnsi="宋体"/>
          <w:sz w:val="21"/>
          <w:szCs w:val="21"/>
          <w:highlight w:val="none"/>
        </w:rPr>
        <w:t>《城市道路工程设计规范》（CJJ37-2012）</w:t>
      </w:r>
    </w:p>
    <w:p>
      <w:pPr>
        <w:pStyle w:val="22"/>
        <w:numPr>
          <w:ilvl w:val="0"/>
          <w:numId w:val="1"/>
        </w:numPr>
        <w:snapToGrid w:val="0"/>
        <w:spacing w:line="360" w:lineRule="auto"/>
        <w:ind w:firstLineChars="0"/>
        <w:rPr>
          <w:rFonts w:ascii="宋体" w:hAnsi="宋体"/>
          <w:sz w:val="21"/>
          <w:szCs w:val="21"/>
          <w:highlight w:val="none"/>
        </w:rPr>
      </w:pPr>
      <w:r>
        <w:rPr>
          <w:rFonts w:hint="eastAsia" w:ascii="宋体" w:hAnsi="宋体"/>
          <w:sz w:val="21"/>
          <w:szCs w:val="21"/>
          <w:highlight w:val="none"/>
        </w:rPr>
        <w:t>《城市道路照明工程施工及验收规程》（CJJ89-2012）</w:t>
      </w:r>
    </w:p>
    <w:p>
      <w:pPr>
        <w:pStyle w:val="22"/>
        <w:numPr>
          <w:ilvl w:val="0"/>
          <w:numId w:val="1"/>
        </w:numPr>
        <w:snapToGrid w:val="0"/>
        <w:spacing w:line="360" w:lineRule="auto"/>
        <w:ind w:firstLineChars="0"/>
        <w:rPr>
          <w:rFonts w:ascii="宋体" w:hAnsi="宋体"/>
          <w:sz w:val="21"/>
          <w:szCs w:val="21"/>
          <w:highlight w:val="none"/>
        </w:rPr>
      </w:pPr>
      <w:r>
        <w:rPr>
          <w:rFonts w:hint="eastAsia" w:ascii="宋体" w:hAnsi="宋体"/>
          <w:sz w:val="21"/>
          <w:szCs w:val="21"/>
          <w:highlight w:val="none"/>
        </w:rPr>
        <w:t>《城市照明自动控制系统技术规范》（CJJ/T227-2014）</w:t>
      </w:r>
    </w:p>
    <w:p>
      <w:pPr>
        <w:pStyle w:val="22"/>
        <w:numPr>
          <w:ilvl w:val="0"/>
          <w:numId w:val="1"/>
        </w:numPr>
        <w:snapToGrid w:val="0"/>
        <w:spacing w:line="360" w:lineRule="auto"/>
        <w:ind w:firstLineChars="0"/>
        <w:rPr>
          <w:rFonts w:ascii="宋体" w:hAnsi="宋体"/>
          <w:sz w:val="21"/>
          <w:szCs w:val="21"/>
          <w:highlight w:val="none"/>
        </w:rPr>
      </w:pPr>
      <w:r>
        <w:rPr>
          <w:rFonts w:hint="eastAsia" w:ascii="宋体" w:hAnsi="宋体"/>
          <w:sz w:val="21"/>
          <w:szCs w:val="21"/>
          <w:highlight w:val="none"/>
        </w:rPr>
        <w:t>《额定电压450/750v及以下聚乙烯绝缘电缆》（GB/T2023-2008）</w:t>
      </w:r>
    </w:p>
    <w:p>
      <w:pPr>
        <w:pStyle w:val="22"/>
        <w:numPr>
          <w:ilvl w:val="0"/>
          <w:numId w:val="1"/>
        </w:numPr>
        <w:snapToGrid w:val="0"/>
        <w:spacing w:line="360" w:lineRule="auto"/>
        <w:ind w:firstLineChars="0"/>
        <w:rPr>
          <w:rFonts w:ascii="宋体" w:hAnsi="宋体"/>
          <w:sz w:val="21"/>
          <w:szCs w:val="21"/>
          <w:highlight w:val="none"/>
        </w:rPr>
      </w:pPr>
      <w:r>
        <w:rPr>
          <w:rFonts w:hint="eastAsia" w:ascii="宋体" w:hAnsi="宋体"/>
          <w:sz w:val="21"/>
          <w:szCs w:val="21"/>
          <w:highlight w:val="none"/>
        </w:rPr>
        <w:t>《电气装置安装工程电缆线路施工及验收规范》（GB50168-2006）</w:t>
      </w:r>
    </w:p>
    <w:p>
      <w:pPr>
        <w:pStyle w:val="22"/>
        <w:numPr>
          <w:ilvl w:val="0"/>
          <w:numId w:val="1"/>
        </w:numPr>
        <w:snapToGrid w:val="0"/>
        <w:spacing w:line="360" w:lineRule="auto"/>
        <w:ind w:firstLineChars="0"/>
        <w:rPr>
          <w:rFonts w:ascii="宋体" w:hAnsi="宋体"/>
          <w:sz w:val="21"/>
          <w:szCs w:val="21"/>
          <w:highlight w:val="none"/>
        </w:rPr>
      </w:pPr>
      <w:r>
        <w:rPr>
          <w:rFonts w:hint="eastAsia" w:ascii="宋体" w:hAnsi="宋体"/>
          <w:sz w:val="21"/>
          <w:szCs w:val="21"/>
          <w:highlight w:val="none"/>
        </w:rPr>
        <w:t>《道路照明设施运行养护标准》（DG/TJ08-2215-20</w:t>
      </w:r>
      <w:r>
        <w:rPr>
          <w:rFonts w:hint="eastAsia" w:ascii="宋体" w:hAnsi="宋体"/>
          <w:sz w:val="21"/>
          <w:szCs w:val="21"/>
          <w:highlight w:val="none"/>
          <w:lang w:val="en-US" w:eastAsia="zh-CN"/>
        </w:rPr>
        <w:t>25</w:t>
      </w:r>
      <w:r>
        <w:rPr>
          <w:rFonts w:hint="eastAsia" w:ascii="宋体" w:hAnsi="宋体"/>
          <w:sz w:val="21"/>
          <w:szCs w:val="21"/>
          <w:highlight w:val="none"/>
        </w:rPr>
        <w:t>）</w:t>
      </w:r>
    </w:p>
    <w:p>
      <w:pPr>
        <w:pStyle w:val="22"/>
        <w:numPr>
          <w:ilvl w:val="0"/>
          <w:numId w:val="1"/>
        </w:numPr>
        <w:snapToGrid w:val="0"/>
        <w:spacing w:line="360" w:lineRule="auto"/>
        <w:ind w:firstLineChars="0"/>
        <w:rPr>
          <w:rFonts w:ascii="宋体" w:hAnsi="宋体"/>
          <w:sz w:val="21"/>
          <w:szCs w:val="21"/>
          <w:highlight w:val="none"/>
        </w:rPr>
      </w:pPr>
      <w:r>
        <w:rPr>
          <w:rFonts w:hint="eastAsia" w:ascii="宋体" w:hAnsi="宋体"/>
          <w:sz w:val="21"/>
          <w:szCs w:val="21"/>
          <w:highlight w:val="none"/>
        </w:rPr>
        <w:t>《道路照明设施监控系统技术规程》（DG/TJ 08-2296-2019）</w:t>
      </w:r>
    </w:p>
    <w:p>
      <w:pPr>
        <w:pStyle w:val="22"/>
        <w:numPr>
          <w:ilvl w:val="0"/>
          <w:numId w:val="1"/>
        </w:numPr>
        <w:snapToGrid w:val="0"/>
        <w:spacing w:line="360" w:lineRule="auto"/>
        <w:ind w:firstLineChars="0"/>
        <w:rPr>
          <w:rFonts w:ascii="宋体" w:hAnsi="宋体"/>
          <w:sz w:val="21"/>
          <w:szCs w:val="21"/>
          <w:highlight w:val="none"/>
        </w:rPr>
      </w:pPr>
      <w:r>
        <w:rPr>
          <w:rFonts w:hint="eastAsia" w:ascii="宋体" w:hAnsi="宋体"/>
          <w:sz w:val="21"/>
          <w:szCs w:val="21"/>
          <w:highlight w:val="none"/>
        </w:rPr>
        <w:t>《废旧道路照明设施收运、仓储工作实施细则》（沪综管中心[2024]73号）</w:t>
      </w:r>
    </w:p>
    <w:p>
      <w:pPr>
        <w:pStyle w:val="22"/>
        <w:numPr>
          <w:ilvl w:val="0"/>
          <w:numId w:val="1"/>
        </w:numPr>
        <w:snapToGrid w:val="0"/>
        <w:spacing w:line="360" w:lineRule="auto"/>
        <w:ind w:firstLineChars="0"/>
        <w:rPr>
          <w:rFonts w:ascii="宋体" w:hAnsi="宋体"/>
          <w:sz w:val="21"/>
          <w:szCs w:val="21"/>
          <w:highlight w:val="none"/>
        </w:rPr>
      </w:pPr>
      <w:r>
        <w:rPr>
          <w:rFonts w:hint="eastAsia" w:ascii="宋体" w:hAnsi="宋体"/>
          <w:sz w:val="21"/>
          <w:szCs w:val="21"/>
          <w:highlight w:val="none"/>
        </w:rPr>
        <w:t>《上海市城市综合管理事务中心道路照明设施资产管理办法（2024版）》（沪综管中心[2024]69号）</w:t>
      </w:r>
    </w:p>
    <w:p>
      <w:pPr>
        <w:pStyle w:val="22"/>
        <w:numPr>
          <w:ilvl w:val="0"/>
          <w:numId w:val="1"/>
        </w:numPr>
        <w:snapToGrid w:val="0"/>
        <w:spacing w:line="360" w:lineRule="auto"/>
        <w:ind w:firstLineChars="0"/>
        <w:rPr>
          <w:rFonts w:ascii="宋体" w:hAnsi="宋体"/>
          <w:sz w:val="21"/>
          <w:szCs w:val="21"/>
          <w:highlight w:val="none"/>
        </w:rPr>
      </w:pPr>
      <w:r>
        <w:rPr>
          <w:rFonts w:hint="eastAsia" w:ascii="宋体" w:hAnsi="宋体"/>
          <w:sz w:val="21"/>
          <w:szCs w:val="21"/>
          <w:highlight w:val="none"/>
        </w:rPr>
        <w:t>《上海市城市综合管理事务中心防汛防台工作预案（试行）》（沪综管中心[2023]23号）</w:t>
      </w:r>
    </w:p>
    <w:p>
      <w:pPr>
        <w:pStyle w:val="22"/>
        <w:numPr>
          <w:ilvl w:val="0"/>
          <w:numId w:val="1"/>
        </w:numPr>
        <w:ind w:left="900" w:hanging="420" w:firstLineChars="0"/>
        <w:rPr>
          <w:rFonts w:hint="eastAsia" w:ascii="宋体" w:hAnsi="宋体"/>
          <w:sz w:val="21"/>
          <w:szCs w:val="21"/>
          <w:highlight w:val="none"/>
        </w:rPr>
      </w:pPr>
      <w:r>
        <w:rPr>
          <w:rFonts w:hint="eastAsia" w:ascii="宋体" w:hAnsi="宋体"/>
          <w:sz w:val="21"/>
          <w:szCs w:val="21"/>
          <w:highlight w:val="none"/>
        </w:rPr>
        <w:t>市委市政府、市住建委、招标人相关通知、要求等。</w:t>
      </w:r>
    </w:p>
    <w:p>
      <w:pPr>
        <w:pStyle w:val="22"/>
        <w:ind w:firstLine="480"/>
        <w:rPr>
          <w:highlight w:val="none"/>
        </w:rPr>
      </w:pPr>
      <w:r>
        <w:rPr>
          <w:rFonts w:hint="eastAsia"/>
          <w:b/>
          <w:bCs/>
          <w:sz w:val="28"/>
          <w:szCs w:val="28"/>
          <w:highlight w:val="none"/>
        </w:rPr>
        <w:t xml:space="preserve"> </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1F00FF" w:csb1="FFFF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931277"/>
    <w:multiLevelType w:val="multilevel"/>
    <w:tmpl w:val="13931277"/>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7E4"/>
    <w:rsid w:val="00014455"/>
    <w:rsid w:val="00021BC4"/>
    <w:rsid w:val="000315F6"/>
    <w:rsid w:val="00041D1D"/>
    <w:rsid w:val="00084077"/>
    <w:rsid w:val="00092243"/>
    <w:rsid w:val="000B0134"/>
    <w:rsid w:val="00121893"/>
    <w:rsid w:val="001B325F"/>
    <w:rsid w:val="001D11E5"/>
    <w:rsid w:val="001F741A"/>
    <w:rsid w:val="00206F9B"/>
    <w:rsid w:val="00207B51"/>
    <w:rsid w:val="002334C4"/>
    <w:rsid w:val="002901AA"/>
    <w:rsid w:val="002B6BB5"/>
    <w:rsid w:val="002B783D"/>
    <w:rsid w:val="00303A8B"/>
    <w:rsid w:val="00314C22"/>
    <w:rsid w:val="00347889"/>
    <w:rsid w:val="0037469A"/>
    <w:rsid w:val="00397B36"/>
    <w:rsid w:val="003B1FB1"/>
    <w:rsid w:val="003C7016"/>
    <w:rsid w:val="003D05A2"/>
    <w:rsid w:val="003E2F62"/>
    <w:rsid w:val="003E3597"/>
    <w:rsid w:val="00414F68"/>
    <w:rsid w:val="00425CA4"/>
    <w:rsid w:val="004413BB"/>
    <w:rsid w:val="00453B88"/>
    <w:rsid w:val="00465689"/>
    <w:rsid w:val="004B12E6"/>
    <w:rsid w:val="004B39FC"/>
    <w:rsid w:val="004C3398"/>
    <w:rsid w:val="004E7C1B"/>
    <w:rsid w:val="00507B1D"/>
    <w:rsid w:val="00523B73"/>
    <w:rsid w:val="00524772"/>
    <w:rsid w:val="00535B30"/>
    <w:rsid w:val="005506EA"/>
    <w:rsid w:val="00564C07"/>
    <w:rsid w:val="005837EB"/>
    <w:rsid w:val="00636A3D"/>
    <w:rsid w:val="00672C44"/>
    <w:rsid w:val="0067680E"/>
    <w:rsid w:val="0067751C"/>
    <w:rsid w:val="00681AAD"/>
    <w:rsid w:val="00681C08"/>
    <w:rsid w:val="00682D97"/>
    <w:rsid w:val="006963D9"/>
    <w:rsid w:val="006F0999"/>
    <w:rsid w:val="006F6987"/>
    <w:rsid w:val="00722B18"/>
    <w:rsid w:val="00723FFC"/>
    <w:rsid w:val="00733359"/>
    <w:rsid w:val="00736939"/>
    <w:rsid w:val="00752166"/>
    <w:rsid w:val="007552F7"/>
    <w:rsid w:val="00796351"/>
    <w:rsid w:val="007D26FC"/>
    <w:rsid w:val="008163E5"/>
    <w:rsid w:val="00827B65"/>
    <w:rsid w:val="00846073"/>
    <w:rsid w:val="00867A0F"/>
    <w:rsid w:val="008915AF"/>
    <w:rsid w:val="008D1A36"/>
    <w:rsid w:val="00913552"/>
    <w:rsid w:val="00925C3A"/>
    <w:rsid w:val="0094161A"/>
    <w:rsid w:val="009430AA"/>
    <w:rsid w:val="009438C3"/>
    <w:rsid w:val="009951F4"/>
    <w:rsid w:val="009D3960"/>
    <w:rsid w:val="009D4A92"/>
    <w:rsid w:val="009E2707"/>
    <w:rsid w:val="009E6427"/>
    <w:rsid w:val="00A11533"/>
    <w:rsid w:val="00A1422F"/>
    <w:rsid w:val="00A16628"/>
    <w:rsid w:val="00A275F5"/>
    <w:rsid w:val="00A510AE"/>
    <w:rsid w:val="00A96BD9"/>
    <w:rsid w:val="00B2003D"/>
    <w:rsid w:val="00B25249"/>
    <w:rsid w:val="00B8090B"/>
    <w:rsid w:val="00BB1E24"/>
    <w:rsid w:val="00BD0FA3"/>
    <w:rsid w:val="00BE1C22"/>
    <w:rsid w:val="00C27DEB"/>
    <w:rsid w:val="00C320D6"/>
    <w:rsid w:val="00C43A8A"/>
    <w:rsid w:val="00CA1E22"/>
    <w:rsid w:val="00CC30B9"/>
    <w:rsid w:val="00CD5380"/>
    <w:rsid w:val="00CE1BAC"/>
    <w:rsid w:val="00D430F8"/>
    <w:rsid w:val="00D52FF0"/>
    <w:rsid w:val="00D56ECE"/>
    <w:rsid w:val="00D91862"/>
    <w:rsid w:val="00DC17E4"/>
    <w:rsid w:val="00DC2FD8"/>
    <w:rsid w:val="00DC5A9E"/>
    <w:rsid w:val="00DD0BD2"/>
    <w:rsid w:val="00DE6396"/>
    <w:rsid w:val="00EE7051"/>
    <w:rsid w:val="00F002AD"/>
    <w:rsid w:val="00F27B9F"/>
    <w:rsid w:val="00F31EA9"/>
    <w:rsid w:val="00F642EE"/>
    <w:rsid w:val="00FA46D2"/>
    <w:rsid w:val="00FC462D"/>
    <w:rsid w:val="00FD48EB"/>
    <w:rsid w:val="08E6680F"/>
    <w:rsid w:val="17F66D0E"/>
    <w:rsid w:val="1AEB1A58"/>
    <w:rsid w:val="1BFD170D"/>
    <w:rsid w:val="1F06E504"/>
    <w:rsid w:val="1FFB74A4"/>
    <w:rsid w:val="29FFDB02"/>
    <w:rsid w:val="2FF7E879"/>
    <w:rsid w:val="3D9EDC0E"/>
    <w:rsid w:val="3DF968BC"/>
    <w:rsid w:val="3DFFD2BE"/>
    <w:rsid w:val="456E525C"/>
    <w:rsid w:val="4DFE772B"/>
    <w:rsid w:val="4FCF8A8E"/>
    <w:rsid w:val="5AFB8401"/>
    <w:rsid w:val="5BFFC5B8"/>
    <w:rsid w:val="5DD39531"/>
    <w:rsid w:val="5DFF16C1"/>
    <w:rsid w:val="5DFF3CCB"/>
    <w:rsid w:val="5EBD76BA"/>
    <w:rsid w:val="5EBF18B4"/>
    <w:rsid w:val="67CA6188"/>
    <w:rsid w:val="77FFD8EA"/>
    <w:rsid w:val="79DFC712"/>
    <w:rsid w:val="7BBA8B42"/>
    <w:rsid w:val="7DDEAB35"/>
    <w:rsid w:val="7EB39628"/>
    <w:rsid w:val="7FED4018"/>
    <w:rsid w:val="7FF3F6E4"/>
    <w:rsid w:val="7FFF2810"/>
    <w:rsid w:val="9CF125E4"/>
    <w:rsid w:val="A3EFA4F8"/>
    <w:rsid w:val="AE7B242D"/>
    <w:rsid w:val="B1E76F3E"/>
    <w:rsid w:val="B5FCD716"/>
    <w:rsid w:val="BBBDD765"/>
    <w:rsid w:val="BDBF8640"/>
    <w:rsid w:val="BFFF5A9C"/>
    <w:rsid w:val="CFBF640B"/>
    <w:rsid w:val="CFD4F7A2"/>
    <w:rsid w:val="D7FB6CBA"/>
    <w:rsid w:val="DEEF20C0"/>
    <w:rsid w:val="EFBF1761"/>
    <w:rsid w:val="EFDBE6F7"/>
    <w:rsid w:val="F73D6CA0"/>
    <w:rsid w:val="F7F7E42F"/>
    <w:rsid w:val="FB53C12C"/>
    <w:rsid w:val="FBBC03E1"/>
    <w:rsid w:val="FBD56DE4"/>
    <w:rsid w:val="FBF7B5D7"/>
    <w:rsid w:val="FD416F9D"/>
    <w:rsid w:val="FDDEBF29"/>
    <w:rsid w:val="FFAF8410"/>
    <w:rsid w:val="FFEF37A0"/>
    <w:rsid w:val="FFFD6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link w:val="21"/>
    <w:qFormat/>
    <w:uiPriority w:val="9"/>
    <w:pPr>
      <w:keepNext/>
      <w:keepLines/>
      <w:spacing w:before="260" w:after="260" w:line="415" w:lineRule="auto"/>
      <w:outlineLvl w:val="1"/>
    </w:pPr>
    <w:rPr>
      <w:b/>
      <w:kern w:val="0"/>
      <w:sz w:val="20"/>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5"/>
    </w:pPr>
    <w:rPr>
      <w:szCs w:val="20"/>
    </w:rPr>
  </w:style>
  <w:style w:type="paragraph" w:styleId="4">
    <w:name w:val="annotation text"/>
    <w:basedOn w:val="1"/>
    <w:link w:val="18"/>
    <w:unhideWhenUsed/>
    <w:qFormat/>
    <w:uiPriority w:val="0"/>
    <w:pPr>
      <w:jc w:val="left"/>
    </w:pPr>
  </w:style>
  <w:style w:type="paragraph" w:styleId="5">
    <w:name w:val="Salutation"/>
    <w:basedOn w:val="1"/>
    <w:next w:val="1"/>
    <w:link w:val="23"/>
    <w:qFormat/>
    <w:uiPriority w:val="0"/>
    <w:rPr>
      <w:szCs w:val="20"/>
    </w:rPr>
  </w:style>
  <w:style w:type="paragraph" w:styleId="6">
    <w:name w:val="Body Text Indent"/>
    <w:basedOn w:val="1"/>
    <w:qFormat/>
    <w:uiPriority w:val="0"/>
    <w:pPr>
      <w:ind w:left="560"/>
    </w:pPr>
    <w:rPr>
      <w:sz w:val="28"/>
    </w:r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Title"/>
    <w:basedOn w:val="1"/>
    <w:link w:val="25"/>
    <w:qFormat/>
    <w:uiPriority w:val="10"/>
    <w:pPr>
      <w:jc w:val="center"/>
    </w:pPr>
    <w:rPr>
      <w:rFonts w:asciiTheme="minorHAnsi" w:hAnsiTheme="minorHAnsi" w:eastAsiaTheme="minorEastAsia" w:cstheme="minorBidi"/>
      <w:b/>
      <w:bCs/>
      <w:kern w:val="0"/>
      <w:sz w:val="20"/>
    </w:rPr>
  </w:style>
  <w:style w:type="paragraph" w:styleId="10">
    <w:name w:val="annotation subject"/>
    <w:basedOn w:val="4"/>
    <w:next w:val="4"/>
    <w:link w:val="19"/>
    <w:semiHidden/>
    <w:unhideWhenUsed/>
    <w:qFormat/>
    <w:uiPriority w:val="99"/>
    <w:rPr>
      <w:b/>
      <w:bCs/>
    </w:rPr>
  </w:style>
  <w:style w:type="paragraph" w:styleId="11">
    <w:name w:val="Body Text First Indent 2"/>
    <w:basedOn w:val="6"/>
    <w:unhideWhenUsed/>
    <w:qFormat/>
    <w:uiPriority w:val="0"/>
    <w:pPr>
      <w:spacing w:after="120"/>
      <w:ind w:left="420" w:leftChars="200" w:firstLine="420" w:firstLineChars="200"/>
    </w:pPr>
    <w:rPr>
      <w:sz w:val="30"/>
      <w:szCs w:val="20"/>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字符"/>
    <w:basedOn w:val="14"/>
    <w:link w:val="8"/>
    <w:qFormat/>
    <w:uiPriority w:val="99"/>
    <w:rPr>
      <w:sz w:val="18"/>
      <w:szCs w:val="18"/>
    </w:rPr>
  </w:style>
  <w:style w:type="character" w:customStyle="1" w:styleId="17">
    <w:name w:val="页脚 字符"/>
    <w:basedOn w:val="14"/>
    <w:link w:val="7"/>
    <w:qFormat/>
    <w:uiPriority w:val="99"/>
    <w:rPr>
      <w:sz w:val="18"/>
      <w:szCs w:val="18"/>
    </w:rPr>
  </w:style>
  <w:style w:type="character" w:customStyle="1" w:styleId="18">
    <w:name w:val="批注文字 字符"/>
    <w:basedOn w:val="14"/>
    <w:link w:val="4"/>
    <w:qFormat/>
    <w:uiPriority w:val="0"/>
    <w:rPr>
      <w:rFonts w:ascii="Times New Roman" w:hAnsi="Times New Roman" w:eastAsia="宋体" w:cs="Times New Roman"/>
      <w:szCs w:val="24"/>
    </w:rPr>
  </w:style>
  <w:style w:type="character" w:customStyle="1" w:styleId="19">
    <w:name w:val="批注主题 字符"/>
    <w:basedOn w:val="18"/>
    <w:link w:val="10"/>
    <w:semiHidden/>
    <w:qFormat/>
    <w:uiPriority w:val="99"/>
    <w:rPr>
      <w:rFonts w:ascii="Times New Roman" w:hAnsi="Times New Roman" w:eastAsia="宋体" w:cs="Times New Roman"/>
      <w:b/>
      <w:bCs/>
      <w:szCs w:val="24"/>
    </w:rPr>
  </w:style>
  <w:style w:type="paragraph" w:customStyle="1" w:styleId="20">
    <w:name w:val="列出段落5"/>
    <w:basedOn w:val="1"/>
    <w:qFormat/>
    <w:uiPriority w:val="99"/>
    <w:pPr>
      <w:ind w:firstLine="420" w:firstLineChars="200"/>
    </w:pPr>
    <w:rPr>
      <w:szCs w:val="20"/>
    </w:rPr>
  </w:style>
  <w:style w:type="character" w:customStyle="1" w:styleId="21">
    <w:name w:val="标题 2 字符"/>
    <w:basedOn w:val="14"/>
    <w:link w:val="2"/>
    <w:qFormat/>
    <w:uiPriority w:val="9"/>
    <w:rPr>
      <w:rFonts w:ascii="Times New Roman" w:hAnsi="Times New Roman" w:eastAsia="宋体" w:cs="Times New Roman"/>
      <w:b/>
      <w:kern w:val="0"/>
      <w:sz w:val="20"/>
      <w:szCs w:val="20"/>
    </w:rPr>
  </w:style>
  <w:style w:type="paragraph" w:styleId="22">
    <w:name w:val="List Paragraph"/>
    <w:basedOn w:val="1"/>
    <w:qFormat/>
    <w:uiPriority w:val="34"/>
    <w:pPr>
      <w:ind w:firstLine="420" w:firstLineChars="200"/>
    </w:pPr>
    <w:rPr>
      <w:rFonts w:ascii="Calibri" w:hAnsi="Calibri"/>
      <w:szCs w:val="22"/>
    </w:rPr>
  </w:style>
  <w:style w:type="character" w:customStyle="1" w:styleId="23">
    <w:name w:val="称呼 字符"/>
    <w:basedOn w:val="14"/>
    <w:link w:val="5"/>
    <w:qFormat/>
    <w:uiPriority w:val="0"/>
    <w:rPr>
      <w:rFonts w:ascii="Times New Roman" w:hAnsi="Times New Roman" w:eastAsia="宋体" w:cs="Times New Roman"/>
      <w:kern w:val="2"/>
      <w:sz w:val="21"/>
    </w:rPr>
  </w:style>
  <w:style w:type="paragraph" w:customStyle="1" w:styleId="24">
    <w:name w:val="列出段落9"/>
    <w:basedOn w:val="1"/>
    <w:qFormat/>
    <w:uiPriority w:val="99"/>
    <w:pPr>
      <w:ind w:firstLine="420" w:firstLineChars="200"/>
    </w:pPr>
    <w:rPr>
      <w:szCs w:val="20"/>
    </w:rPr>
  </w:style>
  <w:style w:type="character" w:customStyle="1" w:styleId="25">
    <w:name w:val="标题 字符"/>
    <w:link w:val="9"/>
    <w:qFormat/>
    <w:uiPriority w:val="10"/>
    <w:rPr>
      <w:b/>
      <w:bCs/>
      <w:szCs w:val="24"/>
    </w:rPr>
  </w:style>
  <w:style w:type="character" w:customStyle="1" w:styleId="26">
    <w:name w:val="标题 字符1"/>
    <w:basedOn w:val="14"/>
    <w:qFormat/>
    <w:uiPriority w:val="10"/>
    <w:rPr>
      <w:rFonts w:asciiTheme="majorHAnsi" w:hAnsiTheme="majorHAnsi" w:eastAsiaTheme="majorEastAsia" w:cstheme="majorBidi"/>
      <w:b/>
      <w:bCs/>
      <w:kern w:val="2"/>
      <w:sz w:val="32"/>
      <w:szCs w:val="32"/>
    </w:rPr>
  </w:style>
  <w:style w:type="table" w:customStyle="1" w:styleId="27">
    <w:name w:val="Table Normal"/>
    <w:unhideWhenUse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28">
    <w:name w:val="font51"/>
    <w:basedOn w:val="14"/>
    <w:qFormat/>
    <w:uiPriority w:val="0"/>
    <w:rPr>
      <w:rFonts w:hint="default" w:ascii="仿宋_GB2312" w:eastAsia="仿宋_GB2312" w:cs="仿宋_GB2312"/>
      <w:color w:val="000000"/>
      <w:sz w:val="32"/>
      <w:szCs w:val="32"/>
      <w:u w:val="none"/>
    </w:rPr>
  </w:style>
  <w:style w:type="character" w:customStyle="1" w:styleId="29">
    <w:name w:val="font61"/>
    <w:basedOn w:val="14"/>
    <w:qFormat/>
    <w:uiPriority w:val="0"/>
    <w:rPr>
      <w:rFonts w:hint="eastAsia" w:ascii="宋体" w:hAnsi="宋体" w:eastAsia="宋体" w:cs="宋体"/>
      <w:color w:val="000000"/>
      <w:sz w:val="30"/>
      <w:szCs w:val="30"/>
      <w:u w:val="none"/>
    </w:rPr>
  </w:style>
  <w:style w:type="paragraph" w:customStyle="1" w:styleId="3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F1CFAB6C-8F83-4225-B32C-DF604EDB5E18}">
  <ds:schemaRefs/>
</ds:datastoreItem>
</file>

<file path=docProps/app.xml><?xml version="1.0" encoding="utf-8"?>
<Properties xmlns="http://schemas.openxmlformats.org/officeDocument/2006/extended-properties" xmlns:vt="http://schemas.openxmlformats.org/officeDocument/2006/docPropsVTypes">
  <Template>Normal</Template>
  <Pages>7</Pages>
  <Words>1215</Words>
  <Characters>6932</Characters>
  <Lines>57</Lines>
  <Paragraphs>16</Paragraphs>
  <TotalTime>1</TotalTime>
  <ScaleCrop>false</ScaleCrop>
  <LinksUpToDate>false</LinksUpToDate>
  <CharactersWithSpaces>8131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2025-01-05T00:55:00Z</dcterms:created>
  <dc:creator>Qyl</dc:creator>
  <cp:lastModifiedBy>高际航</cp:lastModifiedBy>
  <dcterms:modified xsi:type="dcterms:W3CDTF">2025-12-03T14:56:10Z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352702A2326FEE9FBB882F696E7A2B68_43</vt:lpwstr>
  </property>
</Properties>
</file>