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 w:hAnsi="仿宋" w:eastAsia="仿宋"/>
          <w:sz w:val="32"/>
          <w:szCs w:val="32"/>
        </w:rPr>
      </w:pPr>
      <w:bookmarkStart w:id="88" w:name="_GoBack"/>
      <w:bookmarkEnd w:id="88"/>
    </w:p>
    <w:p>
      <w:pPr>
        <w:spacing w:line="276" w:lineRule="auto"/>
        <w:jc w:val="center"/>
        <w:rPr>
          <w:rFonts w:ascii="黑体" w:hAnsi="黑体" w:eastAsia="黑体"/>
          <w:sz w:val="48"/>
          <w:szCs w:val="48"/>
        </w:rPr>
      </w:pPr>
      <w:bookmarkStart w:id="0" w:name="_Toc34080388"/>
      <w:bookmarkStart w:id="1" w:name="_Toc34080571"/>
    </w:p>
    <w:p>
      <w:pPr>
        <w:spacing w:line="276" w:lineRule="auto"/>
        <w:rPr>
          <w:rFonts w:ascii="黑体" w:hAnsi="黑体" w:eastAsia="黑体"/>
          <w:sz w:val="48"/>
          <w:szCs w:val="48"/>
        </w:rPr>
      </w:pPr>
    </w:p>
    <w:p>
      <w:pPr>
        <w:spacing w:line="276" w:lineRule="auto"/>
        <w:jc w:val="center"/>
        <w:rPr>
          <w:rFonts w:ascii="黑体" w:hAnsi="黑体" w:eastAsia="黑体"/>
          <w:sz w:val="52"/>
          <w:szCs w:val="52"/>
        </w:rPr>
      </w:pPr>
      <w:r>
        <w:rPr>
          <w:rFonts w:ascii="黑体" w:hAnsi="黑体" w:eastAsia="黑体"/>
          <w:sz w:val="52"/>
          <w:szCs w:val="52"/>
        </w:rPr>
        <w:t>上海市政务云基础设施服务</w:t>
      </w:r>
    </w:p>
    <w:p>
      <w:pPr>
        <w:spacing w:line="276" w:lineRule="auto"/>
        <w:jc w:val="center"/>
        <w:rPr>
          <w:rFonts w:ascii="黑体" w:hAnsi="黑体" w:eastAsia="黑体"/>
          <w:sz w:val="52"/>
          <w:szCs w:val="52"/>
        </w:rPr>
      </w:pPr>
      <w:r>
        <w:rPr>
          <w:rFonts w:ascii="黑体" w:hAnsi="黑体" w:eastAsia="黑体"/>
          <w:sz w:val="52"/>
          <w:szCs w:val="52"/>
        </w:rPr>
        <w:t>城市服务类</w:t>
      </w:r>
    </w:p>
    <w:p>
      <w:pPr>
        <w:spacing w:line="276" w:lineRule="auto"/>
        <w:jc w:val="center"/>
        <w:rPr>
          <w:rFonts w:ascii="黑体" w:hAnsi="黑体" w:eastAsia="黑体"/>
          <w:sz w:val="52"/>
          <w:szCs w:val="52"/>
        </w:rPr>
      </w:pPr>
    </w:p>
    <w:p>
      <w:pPr>
        <w:spacing w:line="276" w:lineRule="auto"/>
        <w:jc w:val="center"/>
        <w:rPr>
          <w:rFonts w:ascii="黑体" w:hAnsi="黑体" w:eastAsia="黑体"/>
          <w:sz w:val="52"/>
          <w:szCs w:val="52"/>
        </w:rPr>
      </w:pPr>
      <w:r>
        <w:rPr>
          <w:rFonts w:ascii="黑体" w:hAnsi="黑体" w:eastAsia="黑体"/>
          <w:sz w:val="52"/>
          <w:szCs w:val="52"/>
        </w:rPr>
        <w:t>招标技术需求书</w:t>
      </w:r>
    </w:p>
    <w:p>
      <w:pPr>
        <w:spacing w:line="276" w:lineRule="auto"/>
        <w:ind w:left="420"/>
        <w:rPr>
          <w:rFonts w:ascii="宋体" w:hAnsi="宋体"/>
          <w:b/>
        </w:rPr>
      </w:pPr>
    </w:p>
    <w:p>
      <w:pPr>
        <w:spacing w:line="276" w:lineRule="auto"/>
        <w:ind w:left="420"/>
        <w:rPr>
          <w:rFonts w:ascii="宋体" w:hAnsi="宋体"/>
          <w:b/>
        </w:rPr>
      </w:pPr>
    </w:p>
    <w:p>
      <w:pPr>
        <w:spacing w:line="276" w:lineRule="auto"/>
        <w:ind w:left="420"/>
        <w:rPr>
          <w:rFonts w:ascii="宋体" w:hAnsi="宋体"/>
          <w:b/>
        </w:rPr>
      </w:pPr>
    </w:p>
    <w:p>
      <w:pPr>
        <w:spacing w:line="276" w:lineRule="auto"/>
        <w:ind w:left="420"/>
        <w:rPr>
          <w:rFonts w:ascii="宋体" w:hAnsi="宋体"/>
          <w:b/>
        </w:rPr>
      </w:pPr>
    </w:p>
    <w:p>
      <w:pPr>
        <w:spacing w:line="276" w:lineRule="auto"/>
        <w:ind w:left="420"/>
        <w:rPr>
          <w:rFonts w:ascii="宋体" w:hAnsi="宋体"/>
          <w:b/>
        </w:rPr>
      </w:pPr>
    </w:p>
    <w:p>
      <w:pPr>
        <w:spacing w:line="276" w:lineRule="auto"/>
        <w:ind w:left="420"/>
        <w:rPr>
          <w:rFonts w:ascii="宋体" w:hAnsi="宋体"/>
          <w:b/>
        </w:rPr>
      </w:pPr>
    </w:p>
    <w:p>
      <w:pPr>
        <w:spacing w:line="276" w:lineRule="auto"/>
        <w:ind w:left="420"/>
        <w:rPr>
          <w:rFonts w:ascii="宋体" w:hAnsi="宋体"/>
          <w:b/>
        </w:rPr>
      </w:pPr>
    </w:p>
    <w:p>
      <w:pPr>
        <w:spacing w:line="276" w:lineRule="auto"/>
        <w:ind w:left="420"/>
        <w:rPr>
          <w:rFonts w:ascii="宋体" w:hAnsi="宋体"/>
          <w:b/>
        </w:rPr>
      </w:pPr>
    </w:p>
    <w:p>
      <w:pPr>
        <w:spacing w:line="276" w:lineRule="auto"/>
        <w:ind w:left="420"/>
        <w:rPr>
          <w:rFonts w:ascii="宋体" w:hAnsi="宋体"/>
          <w:b/>
        </w:rPr>
      </w:pPr>
    </w:p>
    <w:p>
      <w:pPr>
        <w:spacing w:line="276" w:lineRule="auto"/>
        <w:ind w:left="420"/>
        <w:rPr>
          <w:rFonts w:ascii="宋体" w:hAnsi="宋体"/>
          <w:b/>
        </w:rPr>
      </w:pPr>
    </w:p>
    <w:p>
      <w:pPr>
        <w:spacing w:line="276" w:lineRule="auto"/>
        <w:ind w:left="420"/>
        <w:rPr>
          <w:rFonts w:ascii="宋体" w:hAnsi="宋体"/>
          <w:b/>
        </w:rPr>
      </w:pPr>
    </w:p>
    <w:p>
      <w:pPr>
        <w:spacing w:line="276" w:lineRule="auto"/>
        <w:ind w:left="420"/>
        <w:rPr>
          <w:rFonts w:ascii="宋体" w:hAnsi="宋体"/>
          <w:b/>
        </w:rPr>
      </w:pPr>
    </w:p>
    <w:p>
      <w:pPr>
        <w:spacing w:line="276" w:lineRule="auto"/>
        <w:ind w:left="420"/>
        <w:rPr>
          <w:rFonts w:ascii="宋体" w:hAnsi="宋体"/>
          <w:b/>
        </w:rPr>
      </w:pPr>
    </w:p>
    <w:p>
      <w:pPr>
        <w:pStyle w:val="2"/>
        <w:numPr>
          <w:ilvl w:val="0"/>
          <w:numId w:val="4"/>
        </w:numPr>
        <w:spacing w:line="276" w:lineRule="auto"/>
        <w:ind w:left="0" w:firstLine="0"/>
        <w:rPr>
          <w:rFonts w:hint="default" w:ascii="宋体" w:hAnsi="宋体"/>
        </w:rPr>
      </w:pPr>
      <w:r>
        <w:rPr>
          <w:rFonts w:ascii="宋体" w:hAnsi="宋体"/>
        </w:rPr>
        <w:t>项目总体要求</w:t>
      </w:r>
      <w:bookmarkEnd w:id="0"/>
      <w:bookmarkEnd w:id="1"/>
    </w:p>
    <w:p>
      <w:pPr>
        <w:spacing w:line="276" w:lineRule="auto"/>
        <w:ind w:left="420" w:firstLine="420"/>
      </w:pPr>
      <w:r>
        <w:t>充分运用云计算、大数据等先进理念和技术，按照“集约高效、共享开放、安全可靠、按需服务”的原则，以“云网合一、云数联动”为构架，建成市级电子政务云平台，实现市政府各部门基础设施共建共用、信息系统整体部署、数据资源汇聚共享、业务应用有效协同，开展政务大数据开发利用，为政府管理和公共服务提供有力支持，提高为民服务水平，提升政府现代治理能力。</w:t>
      </w:r>
    </w:p>
    <w:p>
      <w:pPr>
        <w:pStyle w:val="3"/>
        <w:numPr>
          <w:ilvl w:val="1"/>
          <w:numId w:val="5"/>
        </w:numPr>
        <w:tabs>
          <w:tab w:val="clear" w:pos="840"/>
        </w:tabs>
        <w:ind w:left="720" w:hanging="720" w:hangingChars="200"/>
        <w:rPr>
          <w:rFonts w:ascii="宋体" w:hAnsi="宋体"/>
          <w:lang w:eastAsia="zh-CN"/>
        </w:rPr>
      </w:pPr>
      <w:bookmarkStart w:id="2" w:name="_Toc34080572"/>
      <w:bookmarkStart w:id="3" w:name="_Toc34080389"/>
      <w:r>
        <w:rPr>
          <w:rFonts w:ascii="宋体" w:hAnsi="宋体"/>
          <w:lang w:eastAsia="zh-CN"/>
        </w:rPr>
        <w:t>项目总体服务要求</w:t>
      </w:r>
      <w:bookmarkEnd w:id="2"/>
      <w:bookmarkEnd w:id="3"/>
    </w:p>
    <w:p>
      <w:pPr>
        <w:widowControl/>
        <w:numPr>
          <w:ilvl w:val="0"/>
          <w:numId w:val="6"/>
        </w:numPr>
        <w:topLinePunct/>
        <w:adjustRightInd w:val="0"/>
        <w:snapToGrid w:val="0"/>
        <w:spacing w:before="100" w:after="100" w:line="300" w:lineRule="exact"/>
        <w:ind w:left="420" w:hangingChars="200"/>
        <w:jc w:val="left"/>
        <w:rPr>
          <w:rFonts w:ascii="宋体" w:hAnsi="宋体"/>
        </w:rPr>
      </w:pPr>
      <w:r>
        <w:rPr>
          <w:rFonts w:hint="eastAsia" w:ascii="宋体" w:hAnsi="宋体"/>
        </w:rPr>
        <w:t>中</w:t>
      </w:r>
      <w:r>
        <w:rPr>
          <w:rFonts w:ascii="宋体" w:hAnsi="宋体"/>
        </w:rPr>
        <w:t>标人提供的政务云平台整体可用性应不低于99.99%，数据可靠性应不低于99.999%，对每一项云服务的可用性、可靠性等SLA指标进行明确描述。</w:t>
      </w:r>
    </w:p>
    <w:p>
      <w:pPr>
        <w:widowControl/>
        <w:numPr>
          <w:ilvl w:val="0"/>
          <w:numId w:val="6"/>
        </w:numPr>
        <w:topLinePunct/>
        <w:adjustRightInd w:val="0"/>
        <w:snapToGrid w:val="0"/>
        <w:spacing w:before="100" w:after="100" w:line="300" w:lineRule="exact"/>
        <w:ind w:left="420" w:hangingChars="200"/>
        <w:jc w:val="left"/>
        <w:rPr>
          <w:rFonts w:ascii="宋体" w:hAnsi="宋体"/>
        </w:rPr>
      </w:pPr>
      <w:r>
        <w:rPr>
          <w:rFonts w:hint="eastAsia" w:ascii="宋体" w:hAnsi="宋体"/>
        </w:rPr>
        <w:t>中</w:t>
      </w:r>
      <w:r>
        <w:rPr>
          <w:rFonts w:ascii="宋体" w:hAnsi="宋体"/>
        </w:rPr>
        <w:t>标人应构建有效的高可用云平台，除分别独立为用户提供私有政务云服务外，还需形成数据共享机制，可在最短时间内对用户的应用系统进行快速响应、处置和恢复。</w:t>
      </w:r>
    </w:p>
    <w:p>
      <w:pPr>
        <w:widowControl/>
        <w:numPr>
          <w:ilvl w:val="0"/>
          <w:numId w:val="6"/>
        </w:numPr>
        <w:topLinePunct/>
        <w:adjustRightInd w:val="0"/>
        <w:snapToGrid w:val="0"/>
        <w:spacing w:before="100" w:after="100" w:line="300" w:lineRule="exact"/>
        <w:ind w:left="420" w:hangingChars="200"/>
        <w:jc w:val="left"/>
        <w:rPr>
          <w:rFonts w:ascii="宋体" w:hAnsi="宋体"/>
        </w:rPr>
      </w:pPr>
      <w:r>
        <w:rPr>
          <w:rFonts w:hint="eastAsia" w:ascii="宋体" w:hAnsi="宋体"/>
        </w:rPr>
        <w:t>本项目中平台软件服务类别的服务范围（除</w:t>
      </w:r>
      <w:r>
        <w:rPr>
          <w:rFonts w:hint="eastAsia" w:ascii="宋体" w:hAnsi="宋体"/>
          <w:lang w:val="en-US" w:eastAsia="zh-CN"/>
        </w:rPr>
        <w:t>主机安全防护服务PC客户端</w:t>
      </w:r>
      <w:r>
        <w:rPr>
          <w:rFonts w:hint="eastAsia" w:ascii="宋体" w:hAnsi="宋体"/>
        </w:rPr>
        <w:t>）为上海市电子政务云基础设施服务城市服务类、民生经济类和创新能力类的服务范围，服务对象为市级政务云使用单位。</w:t>
      </w:r>
      <w:r>
        <w:rPr>
          <w:rFonts w:hint="eastAsia" w:ascii="宋体" w:hAnsi="宋体"/>
          <w:lang w:val="en-US" w:eastAsia="zh-CN"/>
        </w:rPr>
        <w:t>主机安全防护服务PC客户端</w:t>
      </w:r>
      <w:r>
        <w:rPr>
          <w:rFonts w:hint="eastAsia" w:ascii="宋体" w:hAnsi="宋体"/>
        </w:rPr>
        <w:t>覆盖范围为市级财政支持的预算单位。</w:t>
      </w:r>
    </w:p>
    <w:p>
      <w:pPr>
        <w:widowControl/>
        <w:numPr>
          <w:ilvl w:val="0"/>
          <w:numId w:val="6"/>
        </w:numPr>
        <w:topLinePunct/>
        <w:adjustRightInd w:val="0"/>
        <w:snapToGrid w:val="0"/>
        <w:spacing w:before="100" w:after="100" w:line="300" w:lineRule="exact"/>
        <w:ind w:left="420" w:hangingChars="200"/>
        <w:jc w:val="left"/>
        <w:rPr>
          <w:rFonts w:ascii="宋体" w:hAnsi="宋体"/>
        </w:rPr>
      </w:pPr>
      <w:r>
        <w:rPr>
          <w:rFonts w:hint="eastAsia" w:ascii="宋体" w:hAnsi="宋体"/>
        </w:rPr>
        <w:t>中</w:t>
      </w:r>
      <w:r>
        <w:rPr>
          <w:rFonts w:ascii="宋体" w:hAnsi="宋体"/>
        </w:rPr>
        <w:t>标人应严格执行国家、地方、行业各项有关本项目业务管理和安全作业的法律、法规和制度，积极主动加强和服务业务及安全等有关的管理工作，并按规定承担相应的费用。</w:t>
      </w:r>
      <w:r>
        <w:rPr>
          <w:rFonts w:hint="eastAsia" w:ascii="宋体" w:hAnsi="宋体"/>
        </w:rPr>
        <w:t>中</w:t>
      </w:r>
      <w:r>
        <w:rPr>
          <w:rFonts w:ascii="宋体" w:hAnsi="宋体"/>
        </w:rPr>
        <w:t>标人因违反规定等原因造成的一切损失和责任由</w:t>
      </w:r>
      <w:r>
        <w:rPr>
          <w:rFonts w:hint="eastAsia" w:ascii="宋体" w:hAnsi="宋体"/>
        </w:rPr>
        <w:t>中</w:t>
      </w:r>
      <w:r>
        <w:rPr>
          <w:rFonts w:ascii="宋体" w:hAnsi="宋体"/>
        </w:rPr>
        <w:t>标人承担。</w:t>
      </w:r>
    </w:p>
    <w:p>
      <w:pPr>
        <w:widowControl/>
        <w:numPr>
          <w:ilvl w:val="0"/>
          <w:numId w:val="6"/>
        </w:numPr>
        <w:topLinePunct/>
        <w:adjustRightInd w:val="0"/>
        <w:snapToGrid w:val="0"/>
        <w:spacing w:before="100" w:after="100" w:line="300" w:lineRule="exact"/>
        <w:ind w:left="420" w:hangingChars="200"/>
        <w:jc w:val="left"/>
        <w:rPr>
          <w:rFonts w:ascii="宋体" w:hAnsi="宋体"/>
        </w:rPr>
      </w:pPr>
      <w:r>
        <w:rPr>
          <w:rFonts w:hint="eastAsia" w:ascii="宋体" w:hAnsi="宋体"/>
        </w:rPr>
        <w:t>中</w:t>
      </w:r>
      <w:r>
        <w:rPr>
          <w:rFonts w:ascii="宋体" w:hAnsi="宋体"/>
        </w:rPr>
        <w:t>标人用于项目的设备规格型号和数量，</w:t>
      </w:r>
      <w:r>
        <w:rPr>
          <w:rFonts w:hint="eastAsia" w:ascii="宋体" w:hAnsi="宋体"/>
        </w:rPr>
        <w:t>本招标周期内的变化</w:t>
      </w:r>
      <w:r>
        <w:rPr>
          <w:rFonts w:ascii="宋体" w:hAnsi="宋体"/>
        </w:rPr>
        <w:t>必须满足或优于招标文件要求，用于本项目的设备在入网前必须经过采购人组织开展的符合性审查。未经采购人书面批准不得上架、调换或更改，若自行上架、调换或更改，按照合同违约处理。</w:t>
      </w:r>
      <w:r>
        <w:rPr>
          <w:rFonts w:hint="eastAsia" w:ascii="宋体" w:hAnsi="宋体"/>
        </w:rPr>
        <w:t>存量设备应当满足采购人组织开展的技术审查</w:t>
      </w:r>
      <w:r>
        <w:rPr>
          <w:rFonts w:ascii="宋体" w:hAnsi="宋体"/>
        </w:rPr>
        <w:t>。</w:t>
      </w:r>
    </w:p>
    <w:p>
      <w:pPr>
        <w:widowControl/>
        <w:numPr>
          <w:ilvl w:val="0"/>
          <w:numId w:val="6"/>
        </w:numPr>
        <w:topLinePunct/>
        <w:adjustRightInd w:val="0"/>
        <w:snapToGrid w:val="0"/>
        <w:spacing w:before="100" w:after="100" w:line="300" w:lineRule="exact"/>
        <w:ind w:left="420" w:hangingChars="200"/>
        <w:jc w:val="left"/>
        <w:rPr>
          <w:rFonts w:ascii="宋体" w:hAnsi="宋体"/>
        </w:rPr>
      </w:pPr>
      <w:r>
        <w:rPr>
          <w:rFonts w:hint="eastAsia" w:ascii="宋体" w:hAnsi="宋体"/>
        </w:rPr>
        <w:t>中</w:t>
      </w:r>
      <w:r>
        <w:rPr>
          <w:rFonts w:ascii="宋体" w:hAnsi="宋体"/>
        </w:rPr>
        <w:t>标人在履行政务云服务的过程中，需遵守《市级政务云资源管理办法》《市级政务云PaaS服务管理规范》《市级政务云安全管理办法》和《市级政务云监管管理办法》</w:t>
      </w:r>
      <w:r>
        <w:rPr>
          <w:rFonts w:hint="eastAsia" w:ascii="宋体" w:hAnsi="宋体"/>
        </w:rPr>
        <w:t>及其他本市及国家政务云相关</w:t>
      </w:r>
      <w:r>
        <w:rPr>
          <w:rFonts w:ascii="宋体" w:hAnsi="宋体"/>
        </w:rPr>
        <w:t>管理要求，若违反文件相关规定，按照合同违约处理。</w:t>
      </w:r>
    </w:p>
    <w:p>
      <w:pPr>
        <w:widowControl/>
        <w:numPr>
          <w:ilvl w:val="0"/>
          <w:numId w:val="6"/>
        </w:numPr>
        <w:topLinePunct/>
        <w:adjustRightInd w:val="0"/>
        <w:snapToGrid w:val="0"/>
        <w:spacing w:before="100" w:after="100" w:line="300" w:lineRule="exact"/>
        <w:ind w:left="420" w:hangingChars="200"/>
        <w:jc w:val="left"/>
        <w:rPr>
          <w:rFonts w:ascii="宋体" w:hAnsi="宋体"/>
        </w:rPr>
      </w:pPr>
      <w:r>
        <w:rPr>
          <w:rFonts w:hint="eastAsia" w:ascii="宋体" w:hAnsi="宋体"/>
        </w:rPr>
        <w:t>中标人因提供平台软件服务而需要采购第三方软件产品时应当直接向原厂商或原厂授权的代理商、经销商进行采购</w:t>
      </w:r>
    </w:p>
    <w:p>
      <w:pPr>
        <w:widowControl/>
        <w:numPr>
          <w:ilvl w:val="0"/>
          <w:numId w:val="6"/>
        </w:numPr>
        <w:topLinePunct/>
        <w:adjustRightInd w:val="0"/>
        <w:snapToGrid w:val="0"/>
        <w:spacing w:before="100" w:after="100" w:line="300" w:lineRule="exact"/>
        <w:ind w:left="420" w:hangingChars="200"/>
        <w:jc w:val="left"/>
        <w:rPr>
          <w:rFonts w:ascii="宋体" w:hAnsi="宋体"/>
        </w:rPr>
      </w:pPr>
      <w:r>
        <w:rPr>
          <w:rFonts w:hint="eastAsia" w:ascii="宋体" w:hAnsi="宋体"/>
        </w:rPr>
        <w:t>采购人已根据预估用量进行了封顶价测算</w:t>
      </w:r>
      <w:r>
        <w:rPr>
          <w:rFonts w:ascii="宋体" w:hAnsi="宋体"/>
        </w:rPr>
        <w:t>，</w:t>
      </w:r>
      <w:r>
        <w:rPr>
          <w:rFonts w:hint="eastAsia" w:ascii="宋体" w:hAnsi="宋体"/>
        </w:rPr>
        <w:t>中标人在履行服务的过程中，</w:t>
      </w:r>
      <w:r>
        <w:rPr>
          <w:rFonts w:ascii="宋体" w:hAnsi="宋体"/>
        </w:rPr>
        <w:t>采购人</w:t>
      </w:r>
      <w:r>
        <w:rPr>
          <w:rFonts w:hint="eastAsia" w:ascii="宋体" w:hAnsi="宋体"/>
        </w:rPr>
        <w:t>使用在服务目录中各项服务在</w:t>
      </w:r>
      <w:r>
        <w:rPr>
          <w:rFonts w:hint="eastAsia" w:ascii="宋体" w:hAnsi="宋体"/>
          <w:lang w:val="en-US" w:eastAsia="zh-CN"/>
        </w:rPr>
        <w:t>本年度</w:t>
      </w:r>
      <w:r>
        <w:rPr>
          <w:rFonts w:hint="eastAsia" w:ascii="宋体" w:hAnsi="宋体"/>
        </w:rPr>
        <w:t>服务周期内有可能超出服务周期封顶价时，中标人应免费提供超出部分的服务</w:t>
      </w:r>
      <w:r>
        <w:rPr>
          <w:rFonts w:ascii="宋体" w:hAnsi="宋体"/>
        </w:rPr>
        <w:t>，</w:t>
      </w:r>
      <w:r>
        <w:rPr>
          <w:rFonts w:hint="eastAsia" w:ascii="宋体" w:hAnsi="宋体"/>
        </w:rPr>
        <w:t>投标人在报价时应综合考虑此因素，</w:t>
      </w:r>
      <w:r>
        <w:rPr>
          <w:rFonts w:ascii="宋体" w:hAnsi="宋体"/>
        </w:rPr>
        <w:t>采购人</w:t>
      </w:r>
      <w:r>
        <w:rPr>
          <w:rFonts w:hint="eastAsia" w:ascii="宋体" w:hAnsi="宋体"/>
        </w:rPr>
        <w:t>不再承担超出封顶价的其他费用。</w:t>
      </w:r>
    </w:p>
    <w:p>
      <w:pPr>
        <w:widowControl/>
        <w:numPr>
          <w:ilvl w:val="0"/>
          <w:numId w:val="6"/>
        </w:numPr>
        <w:topLinePunct/>
        <w:adjustRightInd w:val="0"/>
        <w:snapToGrid w:val="0"/>
        <w:spacing w:before="100" w:after="100" w:line="300" w:lineRule="exact"/>
        <w:ind w:left="420" w:hangingChars="200"/>
        <w:jc w:val="left"/>
        <w:rPr>
          <w:rFonts w:ascii="宋体" w:hAnsi="宋体"/>
        </w:rPr>
      </w:pPr>
      <w:r>
        <w:rPr>
          <w:rFonts w:hint="eastAsia" w:ascii="宋体" w:hAnsi="宋体"/>
        </w:rPr>
        <w:t>中标人面向使用市级政务云资源的区级使用单位提供服务时，应当按照本次采购确定的服务目录、服务单价、服务标准等自行与区级政务云运行管理单位签订服务合同，相关费用由各区承担，签订服务合同过程中不得再次议价。</w:t>
      </w:r>
    </w:p>
    <w:p>
      <w:pPr>
        <w:widowControl/>
        <w:numPr>
          <w:ilvl w:val="0"/>
          <w:numId w:val="6"/>
        </w:numPr>
        <w:topLinePunct/>
        <w:adjustRightInd w:val="0"/>
        <w:snapToGrid w:val="0"/>
        <w:spacing w:before="100" w:after="100" w:line="300" w:lineRule="exact"/>
        <w:ind w:left="420" w:hangingChars="200"/>
        <w:jc w:val="left"/>
        <w:rPr>
          <w:rFonts w:ascii="宋体" w:hAnsi="宋体"/>
        </w:rPr>
      </w:pPr>
      <w:r>
        <w:rPr>
          <w:rFonts w:hint="eastAsia" w:ascii="宋体" w:hAnsi="宋体"/>
        </w:rPr>
        <w:t>中</w:t>
      </w:r>
      <w:r>
        <w:rPr>
          <w:rFonts w:ascii="宋体" w:hAnsi="宋体"/>
        </w:rPr>
        <w:t>标人在服务期内通过签署补充协议或备忘录政务云服务绩效目标、SLA服务要求、用户满意率目标以及服务目录细则予以确认和约定。</w:t>
      </w:r>
    </w:p>
    <w:p>
      <w:pPr>
        <w:widowControl/>
        <w:numPr>
          <w:ilvl w:val="0"/>
          <w:numId w:val="6"/>
        </w:numPr>
        <w:topLinePunct/>
        <w:adjustRightInd w:val="0"/>
        <w:snapToGrid w:val="0"/>
        <w:spacing w:before="100" w:after="100" w:line="300" w:lineRule="exact"/>
        <w:ind w:left="420" w:hangingChars="200"/>
        <w:jc w:val="left"/>
        <w:rPr>
          <w:rFonts w:ascii="宋体" w:hAnsi="宋体"/>
        </w:rPr>
      </w:pPr>
      <w:r>
        <w:rPr>
          <w:rFonts w:hint="eastAsia" w:ascii="宋体" w:hAnsi="宋体"/>
        </w:rPr>
        <w:t>中</w:t>
      </w:r>
      <w:r>
        <w:rPr>
          <w:rFonts w:ascii="宋体" w:hAnsi="宋体"/>
        </w:rPr>
        <w:t>标人确认的项目运维团队人员及数量，必须与投标文件承诺一致，未经采购人书面批准不得随意调换或撤离，若自行更换或撤离，按照合同违约处理。</w:t>
      </w:r>
    </w:p>
    <w:p>
      <w:pPr>
        <w:widowControl/>
        <w:numPr>
          <w:ilvl w:val="0"/>
          <w:numId w:val="6"/>
        </w:numPr>
        <w:topLinePunct/>
        <w:adjustRightInd w:val="0"/>
        <w:snapToGrid w:val="0"/>
        <w:spacing w:before="100" w:after="100" w:line="300" w:lineRule="exact"/>
        <w:ind w:left="420" w:hangingChars="200"/>
        <w:jc w:val="left"/>
        <w:rPr>
          <w:rFonts w:ascii="宋体" w:hAnsi="宋体"/>
          <w:color w:val="222222"/>
          <w:shd w:val="clear" w:color="auto" w:fill="FFFFFF"/>
        </w:rPr>
      </w:pPr>
      <w:r>
        <w:rPr>
          <w:rFonts w:hint="eastAsia" w:ascii="宋体" w:hAnsi="宋体"/>
        </w:rPr>
        <w:t>中</w:t>
      </w:r>
      <w:r>
        <w:rPr>
          <w:rFonts w:ascii="宋体" w:hAnsi="宋体"/>
        </w:rPr>
        <w:t>标人承担政务云平台（主要包括物理资源、计算资源、存储资源、网络资源）</w:t>
      </w:r>
      <w:r>
        <w:rPr>
          <w:rFonts w:hint="eastAsia" w:ascii="宋体" w:hAnsi="宋体"/>
        </w:rPr>
        <w:t>自身的</w:t>
      </w:r>
      <w:r>
        <w:rPr>
          <w:rFonts w:ascii="宋体" w:hAnsi="宋体"/>
        </w:rPr>
        <w:t>数据防篡改、防丢失的安全责任</w:t>
      </w:r>
      <w:r>
        <w:rPr>
          <w:rFonts w:hint="eastAsia" w:ascii="宋体" w:hAnsi="宋体"/>
        </w:rPr>
        <w:t>以及上海市政务云基础设施与云上应用系统之间由中标人提供平台软件服务的范围</w:t>
      </w:r>
      <w:r>
        <w:rPr>
          <w:rFonts w:ascii="宋体" w:hAnsi="宋体"/>
        </w:rPr>
        <w:t>。</w:t>
      </w:r>
      <w:r>
        <w:rPr>
          <w:rFonts w:hint="eastAsia" w:ascii="宋体" w:hAnsi="宋体"/>
          <w:color w:val="222222"/>
          <w:shd w:val="clear" w:color="auto" w:fill="FFFFFF"/>
        </w:rPr>
        <w:t>中标人应当确保所提供的各项服务日志保存时长不低于</w:t>
      </w:r>
      <w:r>
        <w:rPr>
          <w:rFonts w:ascii="宋体" w:hAnsi="宋体"/>
          <w:color w:val="222222"/>
          <w:shd w:val="clear" w:color="auto" w:fill="FFFFFF"/>
        </w:rPr>
        <w:t>180</w:t>
      </w:r>
      <w:r>
        <w:rPr>
          <w:rFonts w:hint="eastAsia" w:ascii="宋体" w:hAnsi="宋体"/>
          <w:color w:val="222222"/>
          <w:shd w:val="clear" w:color="auto" w:fill="FFFFFF"/>
        </w:rPr>
        <w:t>天</w:t>
      </w:r>
      <w:r>
        <w:rPr>
          <w:rFonts w:ascii="宋体" w:hAnsi="宋体"/>
          <w:color w:val="222222"/>
          <w:shd w:val="clear" w:color="auto" w:fill="FFFFFF"/>
        </w:rPr>
        <w:t>。</w:t>
      </w:r>
      <w:r>
        <w:rPr>
          <w:rFonts w:hint="eastAsia" w:ascii="宋体" w:hAnsi="宋体"/>
          <w:color w:val="222222"/>
          <w:shd w:val="clear" w:color="auto" w:fill="FFFFFF"/>
        </w:rPr>
        <w:t>若合同终止，中标人应配合采购人将符合保存期限要求的日志数据完整迁移至新平台或指定存储介质，迁移完成前不得销毁。</w:t>
      </w:r>
    </w:p>
    <w:p>
      <w:pPr>
        <w:widowControl/>
        <w:numPr>
          <w:ilvl w:val="0"/>
          <w:numId w:val="6"/>
        </w:numPr>
        <w:topLinePunct/>
        <w:adjustRightInd w:val="0"/>
        <w:snapToGrid w:val="0"/>
        <w:spacing w:before="100" w:after="100" w:line="300" w:lineRule="exact"/>
        <w:ind w:left="420" w:hangingChars="200"/>
        <w:jc w:val="left"/>
        <w:rPr>
          <w:rFonts w:ascii="宋体" w:hAnsi="宋体"/>
          <w:color w:val="222222"/>
          <w:shd w:val="clear" w:color="auto" w:fill="FFFFFF"/>
        </w:rPr>
      </w:pPr>
      <w:r>
        <w:rPr>
          <w:rFonts w:hint="eastAsia" w:ascii="宋体" w:hAnsi="宋体"/>
        </w:rPr>
        <w:t>中</w:t>
      </w:r>
      <w:r>
        <w:rPr>
          <w:rFonts w:ascii="宋体" w:hAnsi="宋体"/>
        </w:rPr>
        <w:t>标人必须配合采购人及采购人指定的</w:t>
      </w:r>
      <w:r>
        <w:rPr>
          <w:rFonts w:hint="eastAsia" w:ascii="宋体" w:hAnsi="宋体"/>
          <w:lang w:val="en-US" w:eastAsia="zh-CN"/>
        </w:rPr>
        <w:t>政务云专业服务</w:t>
      </w:r>
      <w:r>
        <w:rPr>
          <w:rFonts w:ascii="宋体" w:hAnsi="宋体"/>
        </w:rPr>
        <w:t>团队的管理工作。</w:t>
      </w:r>
    </w:p>
    <w:p>
      <w:pPr>
        <w:widowControl/>
        <w:numPr>
          <w:ilvl w:val="0"/>
          <w:numId w:val="6"/>
        </w:numPr>
        <w:topLinePunct/>
        <w:adjustRightInd w:val="0"/>
        <w:snapToGrid w:val="0"/>
        <w:spacing w:before="100" w:after="100" w:line="300" w:lineRule="exact"/>
        <w:ind w:left="420" w:hangingChars="200"/>
        <w:jc w:val="left"/>
        <w:rPr>
          <w:rFonts w:ascii="宋体" w:hAnsi="宋体"/>
        </w:rPr>
      </w:pPr>
      <w:r>
        <w:rPr>
          <w:rFonts w:hint="eastAsia" w:ascii="宋体" w:hAnsi="宋体"/>
        </w:rPr>
        <w:t>中</w:t>
      </w:r>
      <w:r>
        <w:rPr>
          <w:rFonts w:ascii="宋体" w:hAnsi="宋体"/>
        </w:rPr>
        <w:t>标人需根据采购人要求提供云用户应用上云所需的测试资源，免费提供服务。</w:t>
      </w:r>
    </w:p>
    <w:p>
      <w:pPr>
        <w:widowControl/>
        <w:numPr>
          <w:ilvl w:val="0"/>
          <w:numId w:val="6"/>
        </w:numPr>
        <w:topLinePunct/>
        <w:adjustRightInd w:val="0"/>
        <w:snapToGrid w:val="0"/>
        <w:spacing w:before="100" w:after="100" w:line="300" w:lineRule="exact"/>
        <w:ind w:left="420" w:hangingChars="200"/>
        <w:jc w:val="left"/>
        <w:rPr>
          <w:rFonts w:ascii="宋体" w:hAnsi="宋体"/>
        </w:rPr>
      </w:pPr>
      <w:r>
        <w:rPr>
          <w:rFonts w:hint="eastAsia" w:ascii="宋体" w:hAnsi="宋体"/>
        </w:rPr>
        <w:t>验收要求：中标人提供的政务云服务符合本次招标要求，应当根据本市和市大数据中心数字化项目验收要求提供相关材料并指派负责人协助验收。服务期限终止时，中标人应当以书面形式向采购人提交验收申请，经采购人审核同意后提供包括不限于项目实施方案、项目实施计划、项目运行维护手册、应急预案、合同履行情况自查表、项目过程性材料（会议纪要、测试报告、培训方案等）、服务涉及的软件产品相关文档以及本项目总结报告等。采购人在收到服务提供方提交材料后应尽快组织开展验收工作。中标人未能通过验收的应当在15个工作日内进行整改，并自行承担相关整改费用，再次接受采购人的验收，直至符合约定要求。采购人有权委托第三方机构进行验收，对此服务提供方应当配合。如本项目连续3次验收未通过，采购人有权解除项目，并追究中标人的违约责任。</w:t>
      </w:r>
    </w:p>
    <w:p>
      <w:pPr>
        <w:widowControl/>
        <w:numPr>
          <w:ilvl w:val="0"/>
          <w:numId w:val="6"/>
        </w:numPr>
        <w:topLinePunct/>
        <w:adjustRightInd w:val="0"/>
        <w:snapToGrid w:val="0"/>
        <w:spacing w:before="100" w:after="100" w:line="300" w:lineRule="exact"/>
        <w:ind w:left="420" w:hangingChars="200"/>
        <w:jc w:val="left"/>
        <w:rPr>
          <w:rFonts w:ascii="宋体" w:hAnsi="宋体"/>
          <w:highlight w:val="none"/>
        </w:rPr>
      </w:pPr>
      <w:r>
        <w:rPr>
          <w:rFonts w:hint="eastAsia" w:ascii="宋体" w:hAnsi="宋体"/>
          <w:highlight w:val="none"/>
        </w:rPr>
        <w:t>中标人须承诺在本项目合同服务期届满后、后续服务单位完成接管前，提供连续的服务保障，过渡期原则上不超过</w:t>
      </w:r>
      <w:r>
        <w:rPr>
          <w:rFonts w:hint="eastAsia" w:ascii="宋体" w:hAnsi="宋体"/>
          <w:highlight w:val="none"/>
          <w:lang w:val="en-US" w:eastAsia="zh-CN"/>
        </w:rPr>
        <w:t>1</w:t>
      </w:r>
      <w:r>
        <w:rPr>
          <w:rFonts w:hint="eastAsia" w:ascii="宋体" w:hAnsi="宋体"/>
          <w:highlight w:val="none"/>
        </w:rPr>
        <w:t>个月，中标人应配合完成数据迁移、权限移交等工作，不得以合同到期为由中断服务或设置障碍，过渡期间费用结算按原合同单价及政府采购有关规定执行，否则按本项目违约条款处理。</w:t>
      </w:r>
    </w:p>
    <w:p>
      <w:pPr>
        <w:widowControl/>
        <w:numPr>
          <w:ilvl w:val="0"/>
          <w:numId w:val="6"/>
        </w:numPr>
        <w:topLinePunct/>
        <w:adjustRightInd w:val="0"/>
        <w:snapToGrid w:val="0"/>
        <w:spacing w:before="100" w:after="100" w:line="300" w:lineRule="exact"/>
        <w:ind w:left="420" w:hangingChars="200"/>
        <w:jc w:val="left"/>
        <w:rPr>
          <w:rFonts w:ascii="宋体" w:hAnsi="宋体"/>
        </w:rPr>
      </w:pPr>
      <w:r>
        <w:rPr>
          <w:rFonts w:ascii="宋体" w:hAnsi="宋体"/>
        </w:rPr>
        <w:t>软件合法、合规授权，满足知识产权方面的有关规定和要求。</w:t>
      </w:r>
    </w:p>
    <w:p>
      <w:pPr>
        <w:pStyle w:val="3"/>
        <w:numPr>
          <w:ilvl w:val="1"/>
          <w:numId w:val="5"/>
        </w:numPr>
        <w:tabs>
          <w:tab w:val="clear" w:pos="840"/>
        </w:tabs>
        <w:ind w:left="720" w:hanging="720" w:hangingChars="200"/>
        <w:rPr>
          <w:lang w:eastAsia="zh-CN"/>
        </w:rPr>
      </w:pPr>
      <w:bookmarkStart w:id="4" w:name="_Toc34080573"/>
      <w:bookmarkStart w:id="5" w:name="_Toc34080390"/>
      <w:r>
        <w:rPr>
          <w:rFonts w:hint="eastAsia" w:ascii="宋体" w:hAnsi="宋体"/>
          <w:lang w:val="en-US" w:eastAsia="zh-CN"/>
        </w:rPr>
        <w:t>服务目录</w:t>
      </w:r>
    </w:p>
    <w:p>
      <w:pPr>
        <w:pStyle w:val="7"/>
        <w:numPr>
          <w:ins w:id="0" w:author="administrator" w:date="2026-03-12T15:25:38Z"/>
        </w:numPr>
        <w:rPr>
          <w:rFonts w:hint="eastAsia" w:ascii="Times New Roman"/>
          <w:color w:val="auto"/>
          <w:sz w:val="21"/>
          <w:szCs w:val="21"/>
          <w:highlight w:val="none"/>
          <w:lang w:eastAsia="zh-CN"/>
        </w:rPr>
      </w:pPr>
      <w:r>
        <w:rPr>
          <w:rFonts w:hint="eastAsia" w:ascii="Times New Roman"/>
          <w:color w:val="auto"/>
          <w:sz w:val="21"/>
          <w:szCs w:val="21"/>
          <w:highlight w:val="none"/>
        </w:rPr>
        <w:t>上海市政务云基础设施服务城市服务类最高限价参见下表</w:t>
      </w:r>
      <w:r>
        <w:rPr>
          <w:rFonts w:hint="eastAsia" w:ascii="Times New Roman"/>
          <w:color w:val="auto"/>
          <w:sz w:val="21"/>
          <w:szCs w:val="21"/>
          <w:highlight w:val="none"/>
          <w:lang w:eastAsia="zh-CN"/>
        </w:rPr>
        <w:t>：</w:t>
      </w:r>
    </w:p>
    <w:tbl>
      <w:tblPr>
        <w:tblStyle w:val="12"/>
        <w:tblW w:w="0" w:type="auto"/>
        <w:tblInd w:w="8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39"/>
        <w:gridCol w:w="513"/>
        <w:gridCol w:w="513"/>
        <w:gridCol w:w="1196"/>
        <w:gridCol w:w="1196"/>
        <w:gridCol w:w="1266"/>
        <w:gridCol w:w="653"/>
        <w:gridCol w:w="265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服务类别</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服务子类</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服务项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服务子项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服务内容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难度系数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基础设施服务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物理托管服务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机房机柜服务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整机柜租用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提供整机柜空间租赁服务，用于业务系统设备托管。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网络资源服务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互联网公有IP服务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互联网公有IP服务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提供互联网公有IP地址分配服务，支持业务系统接入互联网。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互联网带宽（骨干级-含DDoS防护）</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互联网带宽（骨干级-含DDoS防护）</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提供骨干级互联网带宽接入服务，含DDoS防护，保障互联网访问。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Gb/月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应用负载均衡服务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应用负载均衡服务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提供网络流量负载均衡服务，提升应用可用性和扩展性。</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每IP/月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5</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安全交换区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安全交换区（网闸）</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提供基于网闸的安全数据交换服务，实现政务外网与互联网安全隔离互通。</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每IP/月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6</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计算资源服务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CPU</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CPU</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提供云服务器CPU计算资源服务。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核/月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7</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内存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内存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提供云服务器内存资源服务。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G/月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cstheme="minorEastAsia"/>
                <w:color w:val="000000"/>
                <w:kern w:val="0"/>
                <w:szCs w:val="21"/>
                <w:u w:val="none"/>
                <w:lang w:bidi="ar"/>
              </w:rPr>
            </w:pPr>
            <w:r>
              <w:rPr>
                <w:rFonts w:hint="eastAsia" w:asciiTheme="minorEastAsia" w:hAnsiTheme="minorEastAsia" w:cstheme="minorEastAsia"/>
                <w:color w:val="000000"/>
                <w:kern w:val="0"/>
                <w:szCs w:val="21"/>
                <w:u w:val="none"/>
                <w:lang w:bidi="ar"/>
              </w:rPr>
              <w:t>按工作的复杂度，取难度系数N(N=1.00～0.25)确定单价，其中难度系数评估与单台主机的内存容量相关联。单台服务器的内存资源费用采用分段累进计费方式，即不同内存容量区间适用不同的单价，仅对落入该区间的超出部分按对应单价计算，不对全部容量统一适用单价</w:t>
            </w:r>
          </w:p>
          <w:p>
            <w:pPr>
              <w:keepNext w:val="0"/>
              <w:keepLines w:val="0"/>
              <w:widowControl/>
              <w:suppressLineNumbers w:val="0"/>
              <w:jc w:val="center"/>
              <w:textAlignment w:val="center"/>
              <w:rPr>
                <w:rFonts w:hint="eastAsia" w:asciiTheme="minorEastAsia" w:hAnsiTheme="minorEastAsia" w:cstheme="minorEastAsia"/>
                <w:color w:val="000000"/>
                <w:kern w:val="0"/>
                <w:szCs w:val="21"/>
                <w:u w:val="none"/>
                <w:lang w:bidi="ar"/>
              </w:rPr>
            </w:pPr>
            <w:r>
              <w:rPr>
                <w:rFonts w:hint="eastAsia" w:asciiTheme="minorEastAsia" w:hAnsiTheme="minorEastAsia" w:cstheme="minorEastAsia"/>
                <w:color w:val="000000"/>
                <w:kern w:val="0"/>
                <w:szCs w:val="21"/>
                <w:u w:val="none"/>
                <w:lang w:bidi="ar"/>
              </w:rPr>
              <w:t>难度系数 1.00</w:t>
            </w:r>
          </w:p>
          <w:p>
            <w:pPr>
              <w:keepNext w:val="0"/>
              <w:keepLines w:val="0"/>
              <w:widowControl/>
              <w:suppressLineNumbers w:val="0"/>
              <w:jc w:val="center"/>
              <w:textAlignment w:val="center"/>
              <w:rPr>
                <w:rFonts w:hint="eastAsia" w:asciiTheme="minorEastAsia" w:hAnsiTheme="minorEastAsia" w:cstheme="minorEastAsia"/>
                <w:color w:val="000000"/>
                <w:kern w:val="0"/>
                <w:szCs w:val="21"/>
                <w:u w:val="none"/>
                <w:lang w:bidi="ar"/>
              </w:rPr>
            </w:pPr>
            <w:r>
              <w:rPr>
                <w:rFonts w:hint="eastAsia" w:asciiTheme="minorEastAsia" w:hAnsiTheme="minorEastAsia" w:cstheme="minorEastAsia"/>
                <w:color w:val="000000"/>
                <w:kern w:val="0"/>
                <w:szCs w:val="21"/>
                <w:u w:val="none"/>
                <w:lang w:bidi="ar"/>
              </w:rPr>
              <w:t>按照内存容量区间标准，单台主机中所使用内存容量小于等于 128 GB 的部分。</w:t>
            </w:r>
          </w:p>
          <w:p>
            <w:pPr>
              <w:keepNext w:val="0"/>
              <w:keepLines w:val="0"/>
              <w:widowControl/>
              <w:suppressLineNumbers w:val="0"/>
              <w:jc w:val="center"/>
              <w:textAlignment w:val="center"/>
              <w:rPr>
                <w:rFonts w:hint="eastAsia" w:asciiTheme="minorEastAsia" w:hAnsiTheme="minorEastAsia" w:cstheme="minorEastAsia"/>
                <w:color w:val="000000"/>
                <w:kern w:val="0"/>
                <w:szCs w:val="21"/>
                <w:u w:val="none"/>
                <w:lang w:bidi="ar"/>
              </w:rPr>
            </w:pPr>
            <w:r>
              <w:rPr>
                <w:rFonts w:hint="eastAsia" w:asciiTheme="minorEastAsia" w:hAnsiTheme="minorEastAsia" w:cstheme="minorEastAsia"/>
                <w:color w:val="000000"/>
                <w:kern w:val="0"/>
                <w:szCs w:val="21"/>
                <w:u w:val="none"/>
                <w:lang w:bidi="ar"/>
              </w:rPr>
              <w:t>难度系数 0.5</w:t>
            </w:r>
          </w:p>
          <w:p>
            <w:pPr>
              <w:keepNext w:val="0"/>
              <w:keepLines w:val="0"/>
              <w:widowControl/>
              <w:suppressLineNumbers w:val="0"/>
              <w:jc w:val="center"/>
              <w:textAlignment w:val="center"/>
              <w:rPr>
                <w:rFonts w:hint="eastAsia" w:asciiTheme="minorEastAsia" w:hAnsiTheme="minorEastAsia" w:cstheme="minorEastAsia"/>
                <w:color w:val="000000"/>
                <w:kern w:val="0"/>
                <w:szCs w:val="21"/>
                <w:u w:val="none"/>
                <w:lang w:bidi="ar"/>
              </w:rPr>
            </w:pPr>
            <w:r>
              <w:rPr>
                <w:rFonts w:hint="eastAsia" w:asciiTheme="minorEastAsia" w:hAnsiTheme="minorEastAsia" w:cstheme="minorEastAsia"/>
                <w:color w:val="000000"/>
                <w:kern w:val="0"/>
                <w:szCs w:val="21"/>
                <w:u w:val="none"/>
                <w:lang w:bidi="ar"/>
              </w:rPr>
              <w:t>按照内存容量区间标准，单台主机中所使用内存容量大于 128 GB 且小于等于 256 GB 的部分。</w:t>
            </w:r>
          </w:p>
          <w:p>
            <w:pPr>
              <w:keepNext w:val="0"/>
              <w:keepLines w:val="0"/>
              <w:widowControl/>
              <w:suppressLineNumbers w:val="0"/>
              <w:jc w:val="center"/>
              <w:textAlignment w:val="center"/>
              <w:rPr>
                <w:rFonts w:hint="eastAsia" w:asciiTheme="minorEastAsia" w:hAnsiTheme="minorEastAsia" w:cstheme="minorEastAsia"/>
                <w:color w:val="000000"/>
                <w:kern w:val="0"/>
                <w:szCs w:val="21"/>
                <w:u w:val="none"/>
                <w:lang w:bidi="ar"/>
              </w:rPr>
            </w:pPr>
            <w:r>
              <w:rPr>
                <w:rFonts w:hint="eastAsia" w:asciiTheme="minorEastAsia" w:hAnsiTheme="minorEastAsia" w:cstheme="minorEastAsia"/>
                <w:color w:val="000000"/>
                <w:kern w:val="0"/>
                <w:szCs w:val="21"/>
                <w:u w:val="none"/>
                <w:lang w:bidi="ar"/>
              </w:rPr>
              <w:t>难度系数 0.25</w:t>
            </w:r>
          </w:p>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cstheme="minorEastAsia"/>
                <w:color w:val="000000"/>
                <w:kern w:val="0"/>
                <w:szCs w:val="21"/>
                <w:u w:val="none"/>
                <w:lang w:bidi="ar"/>
              </w:rPr>
              <w:t>按照内存容量区间标准，单台主机所使用内存容量分级等级大于 256 GB 的部分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GPU</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GPU</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提供多元加速计算资源服务，适用于AI计算（算法/训练/推理）、图形处理等场景。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块/月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按工作的复杂度，取难度系数N(N=1.0～4.0)确定单价。</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难度系数 1.00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按照资源类型标准，主要用于算法处理的GPU。</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难度系数 2.00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按照资源类型标准，主要用于模型推理GPU。</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难度系数 4.00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按照资源类型标准，主要用于模型训练GPU。</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9</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存储资源服务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存储空间服务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存储空间服务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提供云硬盘存储空间服务，用于数据存储。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TB/月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按工作的复杂度，取难度系数N(N=1.0～3.7)确定单价。</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难度系数 1.00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按照存储服务类型标准，涉及应用存储空间服务、数据备份服务。</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难度系数 1.90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按照存储服务类型标准，涉及高性能数据库存储服务。</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难度系数 3.70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按照存储服务类型标准，涉及加密存储服务。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10</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数据归档服务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数据归档服务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提供长期离线数据归档存储服务。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套/月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11</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信息安全技术服务</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安全防护服务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网络访问控制服务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网络访问控制服务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提供网络边界访问策略控制与威胁检测服务。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租户/月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12</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入侵防御服务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入侵防御服务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提供网络入侵行为检测与防御服务。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租户/月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13</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用户安全服务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用户身份认证服务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用户身份认证服务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提供云平台用户身份认证与管理服务。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租户/月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14</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安全隐患感知服务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安全隐患感知服务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提供蜜罐服务，主动诱捕和发现潜在安全威胁。</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节点/月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15</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安全接入服务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VPN接入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VPN接入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提供IPSec VPN服务，安全连接本地网络与政务云。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隧道数/月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16</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安全管理服务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数据库审计服务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数据库审计服务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提供数据库操作行为审计服务。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实例/月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17</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安全扫描服务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安全扫描服务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安全扫描服务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提供主机安全漏洞扫描服务，含主机漏洞扫描、基线检查。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次*VM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18</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网站防护服务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在线防护WAF</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在线防护WAF</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提供Web应用防火墙(WAF)服务，防御网站常见攻击。</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套/月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19</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网页防篡服务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网页防篡服务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提供网页防篡改监控与恢复服务。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套/月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20</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主机安全防护服务</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主机安全防护服务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主机安全防护服务(服务器端)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提供服务器端主机安全防护服务。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套/月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21</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主机安全防护服务(PC端)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提供客户端主机安全防护服务。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套/月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22</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软件支撑服务</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人工智能服务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实时语音转写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实时语音转写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提供普通话语音实时转写文字服务。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23</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在线语音合成服务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在线语音合成服务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提供文本转普通话语音合成服务。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24</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文字识别服务（OCR）</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文字识别服务（OCR）</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提供图像与文档文字识别(OCR)服务。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25</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人像身份核验服务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人像身份核验服务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提供人脸核身与人证比对服务。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按工作的复杂度，取难度系数N(N=1.0～12.0)确定单价。</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难度系数 1.00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按照人脸身份核验能力，涉及人脸对比。</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难度系数 4.00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按照人脸身份核验能力，涉及人脸标准检查。</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难度系数 12.0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按照人脸识别类型标准，涉及身份认证能力。</w:t>
            </w:r>
          </w:p>
        </w:tc>
      </w:tr>
    </w:tbl>
    <w:p>
      <w:pPr>
        <w:pStyle w:val="7"/>
        <w:numPr>
          <w:ins w:id="1" w:author="administrator" w:date="2026-03-12T15:25:38Z"/>
        </w:numPr>
        <w:rPr>
          <w:rFonts w:hint="eastAsia" w:ascii="Times New Roman"/>
          <w:color w:val="auto"/>
          <w:sz w:val="21"/>
          <w:szCs w:val="21"/>
          <w:highlight w:val="none"/>
          <w:lang w:eastAsia="zh-CN"/>
        </w:rPr>
      </w:pPr>
    </w:p>
    <w:p>
      <w:pPr>
        <w:pStyle w:val="3"/>
        <w:numPr>
          <w:ilvl w:val="1"/>
          <w:numId w:val="5"/>
        </w:numPr>
        <w:tabs>
          <w:tab w:val="clear" w:pos="840"/>
        </w:tabs>
        <w:ind w:left="720" w:hanging="720" w:hangingChars="200"/>
        <w:rPr>
          <w:rFonts w:ascii="宋体" w:hAnsi="宋体"/>
          <w:lang w:eastAsia="zh-CN"/>
        </w:rPr>
      </w:pPr>
      <w:r>
        <w:rPr>
          <w:rFonts w:ascii="宋体" w:hAnsi="宋体"/>
          <w:lang w:eastAsia="zh-CN"/>
        </w:rPr>
        <w:t>项目违约条款</w:t>
      </w:r>
      <w:bookmarkEnd w:id="4"/>
      <w:bookmarkEnd w:id="5"/>
    </w:p>
    <w:p>
      <w:pPr>
        <w:pStyle w:val="3"/>
        <w:numPr>
          <w:ilvl w:val="0"/>
          <w:numId w:val="0"/>
        </w:numPr>
        <w:spacing w:line="600" w:lineRule="exact"/>
        <w:rPr>
          <w:rFonts w:ascii="宋体" w:hAnsi="宋体"/>
          <w:lang w:eastAsia="zh-CN"/>
        </w:rPr>
      </w:pPr>
      <w:r>
        <w:rPr>
          <w:rFonts w:ascii="宋体" w:hAnsi="宋体" w:cs="Segoe UI Symbol"/>
          <w:lang w:eastAsia="zh-CN"/>
        </w:rPr>
        <w:t>★</w:t>
      </w:r>
      <w:r>
        <w:rPr>
          <w:rFonts w:hint="eastAsia" w:ascii="宋体" w:hAnsi="宋体" w:cs="Arial"/>
          <w:bCs w:val="0"/>
          <w:kern w:val="2"/>
          <w:sz w:val="21"/>
          <w:szCs w:val="21"/>
          <w:lang w:eastAsia="zh-CN"/>
        </w:rPr>
        <w:t>中标人应当对以下项目违约条款作出无条件响应承诺。</w:t>
      </w:r>
    </w:p>
    <w:p>
      <w:pPr>
        <w:widowControl/>
        <w:numPr>
          <w:ilvl w:val="0"/>
          <w:numId w:val="7"/>
        </w:numPr>
        <w:topLinePunct/>
        <w:adjustRightInd w:val="0"/>
        <w:snapToGrid w:val="0"/>
        <w:spacing w:before="100" w:after="100" w:line="300" w:lineRule="exact"/>
        <w:ind w:left="420" w:hangingChars="200"/>
        <w:jc w:val="left"/>
        <w:rPr>
          <w:rFonts w:hint="default" w:ascii="宋体" w:hAnsi="宋体"/>
        </w:rPr>
      </w:pPr>
      <w:r>
        <w:rPr>
          <w:rFonts w:hint="default" w:ascii="宋体" w:hAnsi="宋体"/>
        </w:rPr>
        <w:t>政务云服务运营采用闭环管理。中标人在投标文件和合同中承诺的服务内容（SLA）、性能指标、安全要求及管理规范，在实际运行过程中未能满足或出现问题的，均视为违约。采购人将根据违约事件的类型、性质、影响范围、持续时间、后果严重程度以及中标人采取的补救措施和响应速度，依据本条款进行相应的违约处理。违约处理方式包括但不限于发出书面警告、限期整改要求、按合同约定计收违约金、按比例扣减当期服务费用、终止合同、报请财政部门备案、追究法律责任等。</w:t>
      </w:r>
    </w:p>
    <w:p>
      <w:pPr>
        <w:widowControl/>
        <w:numPr>
          <w:ilvl w:val="0"/>
          <w:numId w:val="7"/>
        </w:numPr>
        <w:topLinePunct/>
        <w:adjustRightInd w:val="0"/>
        <w:snapToGrid w:val="0"/>
        <w:spacing w:before="100" w:after="100" w:line="300" w:lineRule="exact"/>
        <w:ind w:left="420" w:hangingChars="200"/>
        <w:jc w:val="left"/>
        <w:rPr>
          <w:rFonts w:hint="default" w:ascii="宋体" w:hAnsi="宋体"/>
        </w:rPr>
      </w:pPr>
      <w:r>
        <w:rPr>
          <w:rFonts w:hint="default" w:ascii="宋体" w:hAnsi="宋体"/>
        </w:rPr>
        <w:t>中标人须严格按照《上海市大数据中心市政务云服务商服务考核标准（试行）》接受采购人的定期考核评定。考核内容涵盖服务交付、人员管理、投诉处理、服务可用性、故障管理、变更管理、安全合规、制度执行有效性等关键领域。采购人将根据考评结果及考评过程中发现的具体问题，结合本违约责任条款，进行相应的违约处理。考评结果将作为服务费用结算、续约决策的重要依据。</w:t>
      </w:r>
    </w:p>
    <w:p>
      <w:pPr>
        <w:widowControl/>
        <w:numPr>
          <w:ilvl w:val="0"/>
          <w:numId w:val="7"/>
        </w:numPr>
        <w:topLinePunct/>
        <w:adjustRightInd w:val="0"/>
        <w:snapToGrid w:val="0"/>
        <w:spacing w:before="100" w:after="100" w:line="300" w:lineRule="exact"/>
        <w:ind w:left="420" w:hangingChars="200"/>
        <w:jc w:val="left"/>
        <w:rPr>
          <w:rFonts w:ascii="宋体" w:hAnsi="宋体"/>
        </w:rPr>
      </w:pPr>
      <w:r>
        <w:rPr>
          <w:rFonts w:hint="default" w:ascii="宋体" w:hAnsi="宋体"/>
        </w:rPr>
        <w:t>出现服务中断、性能下降、安全事件或其他违约情形时，由采购人委托的第三方专业服务单位负责界定责任边界、事件原因和严重程度等级。采购人将依据第三方的界定结论、事件的严重程度以及中标人的响应和整改情况，依据本条款对中标人实施相应的违约处理措施。对于中标人未按期完成整改或整改无效的，采购人有权加重处罚。</w:t>
      </w:r>
    </w:p>
    <w:p>
      <w:pPr>
        <w:widowControl/>
        <w:numPr>
          <w:ilvl w:val="0"/>
          <w:numId w:val="7"/>
        </w:numPr>
        <w:topLinePunct/>
        <w:adjustRightInd w:val="0"/>
        <w:snapToGrid w:val="0"/>
        <w:spacing w:before="100" w:after="100" w:line="300" w:lineRule="exact"/>
        <w:ind w:left="420" w:hangingChars="200"/>
        <w:jc w:val="left"/>
        <w:rPr>
          <w:rFonts w:ascii="宋体" w:hAnsi="宋体"/>
        </w:rPr>
      </w:pPr>
      <w:r>
        <w:rPr>
          <w:rFonts w:hint="default" w:ascii="宋体" w:hAnsi="宋体"/>
        </w:rPr>
        <w:t>若因中标人责任导致业务生产数据泄露，除按本条款第</w:t>
      </w:r>
      <w:r>
        <w:rPr>
          <w:rFonts w:hint="default" w:ascii="宋体" w:hAnsi="宋体"/>
          <w:lang w:val="en-US"/>
        </w:rPr>
        <w:t>8</w:t>
      </w:r>
      <w:r>
        <w:rPr>
          <w:rFonts w:hint="default" w:ascii="宋体" w:hAnsi="宋体"/>
        </w:rPr>
        <w:t>项支付</w:t>
      </w:r>
      <w:r>
        <w:rPr>
          <w:rFonts w:hint="eastAsia" w:ascii="宋体" w:hAnsi="宋体"/>
          <w:lang w:eastAsia="zh-CN"/>
        </w:rPr>
        <w:t>1</w:t>
      </w:r>
      <w:r>
        <w:rPr>
          <w:rFonts w:hint="eastAsia" w:ascii="宋体" w:hAnsi="宋体"/>
          <w:lang w:val="en-US" w:eastAsia="zh-CN"/>
        </w:rPr>
        <w:t>00</w:t>
      </w:r>
      <w:r>
        <w:rPr>
          <w:rFonts w:hint="default" w:ascii="宋体" w:hAnsi="宋体"/>
        </w:rPr>
        <w:t>万元违约金外，采购人有权另行追究由此造成的直接经济损失，</w:t>
      </w:r>
    </w:p>
    <w:p>
      <w:pPr>
        <w:widowControl/>
        <w:numPr>
          <w:ilvl w:val="0"/>
          <w:numId w:val="7"/>
        </w:numPr>
        <w:topLinePunct/>
        <w:adjustRightInd w:val="0"/>
        <w:snapToGrid w:val="0"/>
        <w:spacing w:before="100" w:after="100" w:line="300" w:lineRule="exact"/>
        <w:ind w:left="420" w:hangingChars="200"/>
        <w:jc w:val="left"/>
        <w:rPr>
          <w:rFonts w:ascii="宋体" w:hAnsi="宋体"/>
        </w:rPr>
      </w:pPr>
      <w:r>
        <w:rPr>
          <w:rFonts w:hint="default" w:ascii="宋体" w:hAnsi="宋体"/>
        </w:rPr>
        <w:t>违约金标准</w:t>
      </w:r>
      <w:r>
        <w:rPr>
          <w:rFonts w:hint="eastAsia" w:ascii="宋体" w:hAnsi="宋体"/>
          <w:lang w:eastAsia="zh-CN"/>
        </w:rPr>
        <w:t>（运营考评标准见本需求附件）</w:t>
      </w:r>
      <w:r>
        <w:rPr>
          <w:rFonts w:hint="default" w:ascii="宋体" w:hAnsi="宋体"/>
        </w:rPr>
        <w:t>：</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4853"/>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shd w:val="clear" w:color="auto" w:fill="D9D9D9"/>
          </w:tcPr>
          <w:p>
            <w:pPr>
              <w:jc w:val="center"/>
              <w:rPr>
                <w:rFonts w:ascii="宋体" w:hAnsi="宋体" w:cs="Times New Roman"/>
              </w:rPr>
            </w:pPr>
            <w:r>
              <w:rPr>
                <w:rFonts w:ascii="宋体" w:hAnsi="宋体" w:cs="Times New Roman"/>
              </w:rPr>
              <w:t>序号</w:t>
            </w:r>
          </w:p>
        </w:tc>
        <w:tc>
          <w:tcPr>
            <w:tcW w:w="4853" w:type="dxa"/>
            <w:shd w:val="clear" w:color="auto" w:fill="D9D9D9"/>
          </w:tcPr>
          <w:p>
            <w:pPr>
              <w:jc w:val="center"/>
              <w:rPr>
                <w:rFonts w:ascii="宋体" w:hAnsi="宋体" w:cs="Times New Roman"/>
              </w:rPr>
            </w:pPr>
            <w:r>
              <w:rPr>
                <w:rFonts w:ascii="宋体" w:hAnsi="宋体" w:cs="Times New Roman"/>
              </w:rPr>
              <w:t>违约条件</w:t>
            </w:r>
          </w:p>
        </w:tc>
        <w:tc>
          <w:tcPr>
            <w:tcW w:w="2841" w:type="dxa"/>
            <w:shd w:val="clear" w:color="auto" w:fill="D9D9D9"/>
          </w:tcPr>
          <w:p>
            <w:pPr>
              <w:jc w:val="center"/>
              <w:rPr>
                <w:rFonts w:ascii="宋体" w:hAnsi="宋体" w:cs="Times New Roman"/>
              </w:rPr>
            </w:pPr>
            <w:r>
              <w:rPr>
                <w:rFonts w:ascii="宋体" w:hAnsi="宋体" w:cs="Times New Roman"/>
              </w:rPr>
              <w:t>违约金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pPr>
              <w:jc w:val="center"/>
              <w:rPr>
                <w:rFonts w:ascii="宋体" w:hAnsi="宋体" w:cs="Times New Roman"/>
              </w:rPr>
            </w:pPr>
            <w:r>
              <w:rPr>
                <w:rFonts w:ascii="宋体" w:hAnsi="宋体" w:cs="Times New Roman"/>
              </w:rPr>
              <w:t>1</w:t>
            </w:r>
          </w:p>
        </w:tc>
        <w:tc>
          <w:tcPr>
            <w:tcW w:w="4853" w:type="dxa"/>
          </w:tcPr>
          <w:p>
            <w:pPr>
              <w:jc w:val="center"/>
              <w:rPr>
                <w:rFonts w:ascii="宋体" w:hAnsi="宋体" w:cs="Times New Roman"/>
              </w:rPr>
            </w:pPr>
            <w:r>
              <w:rPr>
                <w:rFonts w:ascii="宋体" w:hAnsi="宋体" w:cs="Times New Roman"/>
                <w:lang w:val="en-US" w:eastAsia="zh-CN"/>
              </w:rPr>
              <w:t>因中标人责任导致</w:t>
            </w:r>
            <w:r>
              <w:rPr>
                <w:rFonts w:hint="eastAsia" w:ascii="宋体" w:hAnsi="宋体" w:cs="Times New Roman"/>
                <w:lang w:val="en-US" w:eastAsia="zh-CN"/>
              </w:rPr>
              <w:t>主管部门、管理部门或者</w:t>
            </w:r>
            <w:r>
              <w:rPr>
                <w:rFonts w:ascii="宋体" w:hAnsi="宋体" w:cs="Times New Roman"/>
                <w:lang w:val="en-US" w:eastAsia="zh-CN"/>
              </w:rPr>
              <w:t>使用单位投诉云服务质量问题。</w:t>
            </w:r>
          </w:p>
        </w:tc>
        <w:tc>
          <w:tcPr>
            <w:tcW w:w="2841" w:type="dxa"/>
          </w:tcPr>
          <w:p>
            <w:pPr>
              <w:jc w:val="center"/>
              <w:rPr>
                <w:rFonts w:ascii="宋体" w:hAnsi="宋体" w:cs="Times New Roman"/>
              </w:rPr>
            </w:pPr>
            <w:r>
              <w:rPr>
                <w:rFonts w:hint="eastAsia" w:ascii="宋体" w:hAnsi="宋体" w:cs="Times New Roman"/>
                <w:lang w:val="en-US" w:eastAsia="zh-CN"/>
              </w:rPr>
              <w:t>5</w:t>
            </w:r>
            <w:r>
              <w:rPr>
                <w:rFonts w:ascii="宋体" w:hAnsi="宋体" w:cs="Times New Roman"/>
              </w:rPr>
              <w:t xml:space="preserve">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pPr>
              <w:jc w:val="center"/>
              <w:rPr>
                <w:rFonts w:hint="eastAsia" w:ascii="宋体" w:hAnsi="宋体" w:cs="Times New Roman" w:eastAsiaTheme="minorEastAsia"/>
                <w:lang w:val="en-US" w:eastAsia="zh-CN"/>
              </w:rPr>
            </w:pPr>
            <w:r>
              <w:rPr>
                <w:rFonts w:hint="eastAsia" w:ascii="宋体" w:hAnsi="宋体" w:cs="Times New Roman"/>
                <w:lang w:val="en-US" w:eastAsia="zh-CN"/>
              </w:rPr>
              <w:t>2</w:t>
            </w:r>
          </w:p>
        </w:tc>
        <w:tc>
          <w:tcPr>
            <w:tcW w:w="4853" w:type="dxa"/>
            <w:shd w:val="clear" w:color="auto" w:fill="auto"/>
            <w:vAlign w:val="top"/>
          </w:tcPr>
          <w:p>
            <w:pPr>
              <w:jc w:val="center"/>
              <w:rPr>
                <w:rFonts w:hint="default" w:ascii="宋体" w:hAnsi="宋体" w:cs="Times New Roman" w:eastAsiaTheme="minorEastAsia"/>
                <w:kern w:val="2"/>
                <w:sz w:val="21"/>
                <w:szCs w:val="24"/>
                <w:lang w:val="en-US" w:eastAsia="zh-CN" w:bidi="ar-SA"/>
              </w:rPr>
            </w:pPr>
            <w:r>
              <w:rPr>
                <w:rFonts w:ascii="宋体" w:hAnsi="宋体" w:cs="Times New Roman"/>
                <w:lang w:val="en-US" w:eastAsia="zh-CN"/>
              </w:rPr>
              <w:t>关键服务指标（SLA）未达标。</w:t>
            </w:r>
          </w:p>
        </w:tc>
        <w:tc>
          <w:tcPr>
            <w:tcW w:w="2841" w:type="dxa"/>
            <w:shd w:val="clear" w:color="auto" w:fill="auto"/>
            <w:vAlign w:val="top"/>
          </w:tcPr>
          <w:p>
            <w:pPr>
              <w:jc w:val="center"/>
              <w:rPr>
                <w:rFonts w:ascii="宋体" w:hAnsi="宋体" w:cs="Times New Roman" w:eastAsiaTheme="minorEastAsia"/>
                <w:kern w:val="2"/>
                <w:sz w:val="21"/>
                <w:szCs w:val="24"/>
                <w:lang w:val="en-US" w:eastAsia="zh-CN" w:bidi="ar-SA"/>
              </w:rPr>
            </w:pPr>
            <w:r>
              <w:rPr>
                <w:rFonts w:hint="eastAsia" w:ascii="宋体" w:hAnsi="宋体" w:cs="Times New Roman"/>
                <w:lang w:val="en-US" w:eastAsia="zh-CN"/>
              </w:rPr>
              <w:t>1</w:t>
            </w:r>
            <w:r>
              <w:rPr>
                <w:rFonts w:ascii="宋体" w:hAnsi="宋体" w:cs="Times New Roman"/>
              </w:rPr>
              <w:t>0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16" w:type="dxa"/>
          </w:tcPr>
          <w:p>
            <w:pPr>
              <w:jc w:val="center"/>
              <w:rPr>
                <w:rFonts w:hint="eastAsia" w:ascii="宋体" w:hAnsi="宋体" w:cs="Times New Roman" w:eastAsiaTheme="minorEastAsia"/>
                <w:lang w:eastAsia="zh-CN"/>
              </w:rPr>
            </w:pPr>
            <w:r>
              <w:rPr>
                <w:rFonts w:hint="eastAsia" w:ascii="宋体" w:hAnsi="宋体" w:cs="Times New Roman"/>
                <w:lang w:val="en-US" w:eastAsia="zh-CN"/>
              </w:rPr>
              <w:t>3</w:t>
            </w:r>
          </w:p>
        </w:tc>
        <w:tc>
          <w:tcPr>
            <w:tcW w:w="4853" w:type="dxa"/>
          </w:tcPr>
          <w:p>
            <w:pPr>
              <w:jc w:val="center"/>
              <w:rPr>
                <w:rFonts w:ascii="宋体" w:hAnsi="宋体" w:cs="Times New Roman"/>
              </w:rPr>
            </w:pPr>
            <w:r>
              <w:rPr>
                <w:rFonts w:ascii="宋体" w:hAnsi="宋体" w:cs="Times New Roman"/>
              </w:rPr>
              <w:t>依据本招标要求未能履行的具体条款</w:t>
            </w:r>
          </w:p>
        </w:tc>
        <w:tc>
          <w:tcPr>
            <w:tcW w:w="2841" w:type="dxa"/>
          </w:tcPr>
          <w:p>
            <w:pPr>
              <w:jc w:val="center"/>
              <w:rPr>
                <w:rFonts w:ascii="宋体" w:hAnsi="宋体" w:cs="Times New Roman"/>
              </w:rPr>
            </w:pPr>
            <w:r>
              <w:rPr>
                <w:rFonts w:ascii="宋体" w:hAnsi="宋体" w:cs="Times New Roman"/>
              </w:rPr>
              <w:t>20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pPr>
              <w:jc w:val="center"/>
              <w:rPr>
                <w:rFonts w:hint="eastAsia" w:ascii="宋体" w:hAnsi="宋体" w:cs="Times New Roman" w:eastAsiaTheme="minorEastAsia"/>
                <w:lang w:eastAsia="zh-CN"/>
              </w:rPr>
            </w:pPr>
            <w:r>
              <w:rPr>
                <w:rFonts w:hint="eastAsia" w:ascii="宋体" w:hAnsi="宋体" w:cs="Times New Roman"/>
                <w:lang w:val="en-US" w:eastAsia="zh-CN"/>
              </w:rPr>
              <w:t>4</w:t>
            </w:r>
          </w:p>
        </w:tc>
        <w:tc>
          <w:tcPr>
            <w:tcW w:w="4853" w:type="dxa"/>
          </w:tcPr>
          <w:p>
            <w:pPr>
              <w:jc w:val="center"/>
              <w:rPr>
                <w:rFonts w:ascii="宋体" w:hAnsi="宋体" w:cs="Times New Roman"/>
              </w:rPr>
            </w:pPr>
            <w:r>
              <w:rPr>
                <w:rFonts w:ascii="宋体" w:hAnsi="宋体" w:cs="Times New Roman"/>
                <w:lang w:val="en-US" w:eastAsia="zh-CN"/>
              </w:rPr>
              <w:t>因中标人责任导致</w:t>
            </w:r>
            <w:r>
              <w:rPr>
                <w:rFonts w:ascii="宋体" w:hAnsi="宋体" w:cs="Times New Roman"/>
              </w:rPr>
              <w:t>的</w:t>
            </w:r>
            <w:r>
              <w:rPr>
                <w:rFonts w:hint="eastAsia" w:ascii="宋体" w:hAnsi="宋体" w:cs="Times New Roman"/>
                <w:lang w:val="en-US" w:eastAsia="zh-CN"/>
              </w:rPr>
              <w:t>部分</w:t>
            </w:r>
            <w:r>
              <w:rPr>
                <w:rFonts w:ascii="宋体" w:hAnsi="宋体" w:cs="Times New Roman"/>
              </w:rPr>
              <w:t>业务瘫痪未及时恢复</w:t>
            </w:r>
          </w:p>
        </w:tc>
        <w:tc>
          <w:tcPr>
            <w:tcW w:w="2841" w:type="dxa"/>
          </w:tcPr>
          <w:p>
            <w:pPr>
              <w:jc w:val="center"/>
              <w:rPr>
                <w:rFonts w:ascii="宋体" w:hAnsi="宋体" w:cs="Times New Roman"/>
              </w:rPr>
            </w:pPr>
            <w:r>
              <w:rPr>
                <w:rFonts w:hint="eastAsia" w:ascii="宋体" w:hAnsi="宋体" w:cs="Times New Roman"/>
                <w:lang w:val="en-US" w:eastAsia="zh-CN"/>
              </w:rPr>
              <w:t>2</w:t>
            </w:r>
            <w:r>
              <w:rPr>
                <w:rFonts w:ascii="宋体" w:hAnsi="宋体" w:cs="Times New Roman"/>
              </w:rPr>
              <w:t>0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pPr>
              <w:jc w:val="center"/>
              <w:rPr>
                <w:rFonts w:hint="eastAsia" w:ascii="宋体" w:hAnsi="宋体" w:cs="Times New Roman" w:eastAsiaTheme="minorEastAsia"/>
                <w:lang w:eastAsia="zh-CN"/>
              </w:rPr>
            </w:pPr>
            <w:r>
              <w:rPr>
                <w:rFonts w:hint="eastAsia" w:ascii="宋体" w:hAnsi="宋体" w:cs="Times New Roman"/>
                <w:lang w:val="en-US" w:eastAsia="zh-CN"/>
              </w:rPr>
              <w:t>5</w:t>
            </w:r>
          </w:p>
        </w:tc>
        <w:tc>
          <w:tcPr>
            <w:tcW w:w="4853" w:type="dxa"/>
          </w:tcPr>
          <w:p>
            <w:pPr>
              <w:jc w:val="center"/>
              <w:rPr>
                <w:rFonts w:hint="default" w:ascii="宋体" w:hAnsi="宋体" w:cs="Times New Roman" w:eastAsiaTheme="minorEastAsia"/>
                <w:lang w:val="en-US" w:eastAsia="zh-CN"/>
              </w:rPr>
            </w:pPr>
            <w:r>
              <w:rPr>
                <w:rFonts w:ascii="宋体" w:hAnsi="宋体" w:cs="Times New Roman"/>
                <w:lang w:val="en-US" w:eastAsia="zh-CN"/>
              </w:rPr>
              <w:t>因中标人责任</w:t>
            </w:r>
            <w:r>
              <w:rPr>
                <w:rFonts w:ascii="宋体" w:hAnsi="宋体" w:cs="Times New Roman"/>
              </w:rPr>
              <w:t>导致的业务数据丢失</w:t>
            </w:r>
            <w:r>
              <w:rPr>
                <w:rFonts w:hint="eastAsia" w:ascii="宋体" w:hAnsi="宋体" w:cs="Times New Roman"/>
                <w:lang w:val="en-US" w:eastAsia="zh-CN"/>
              </w:rPr>
              <w:t>未能恢复</w:t>
            </w:r>
          </w:p>
        </w:tc>
        <w:tc>
          <w:tcPr>
            <w:tcW w:w="2841" w:type="dxa"/>
          </w:tcPr>
          <w:p>
            <w:pPr>
              <w:jc w:val="center"/>
              <w:rPr>
                <w:rFonts w:ascii="宋体" w:hAnsi="宋体" w:cs="Times New Roman"/>
              </w:rPr>
            </w:pPr>
            <w:r>
              <w:rPr>
                <w:rFonts w:hint="eastAsia" w:ascii="宋体" w:hAnsi="宋体" w:cs="Times New Roman"/>
                <w:lang w:val="en-US" w:eastAsia="zh-CN"/>
              </w:rPr>
              <w:t>3</w:t>
            </w:r>
            <w:r>
              <w:rPr>
                <w:rFonts w:ascii="宋体" w:hAnsi="宋体" w:cs="Times New Roman"/>
              </w:rPr>
              <w:t>0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pPr>
              <w:jc w:val="center"/>
              <w:rPr>
                <w:rFonts w:hint="eastAsia" w:ascii="宋体" w:hAnsi="宋体" w:cs="Times New Roman" w:eastAsiaTheme="minorEastAsia"/>
                <w:lang w:eastAsia="zh-CN"/>
              </w:rPr>
            </w:pPr>
            <w:r>
              <w:rPr>
                <w:rFonts w:hint="eastAsia" w:ascii="宋体" w:hAnsi="宋体" w:cs="Times New Roman"/>
                <w:lang w:val="en-US" w:eastAsia="zh-CN"/>
              </w:rPr>
              <w:t>6</w:t>
            </w:r>
          </w:p>
        </w:tc>
        <w:tc>
          <w:tcPr>
            <w:tcW w:w="4853" w:type="dxa"/>
          </w:tcPr>
          <w:p>
            <w:pPr>
              <w:jc w:val="center"/>
              <w:rPr>
                <w:rFonts w:ascii="宋体" w:hAnsi="宋体" w:cs="Times New Roman"/>
              </w:rPr>
            </w:pPr>
            <w:r>
              <w:rPr>
                <w:rFonts w:ascii="宋体" w:hAnsi="宋体" w:cs="Times New Roman"/>
                <w:lang w:val="en-US" w:eastAsia="zh-CN"/>
              </w:rPr>
              <w:t>因中标人责任</w:t>
            </w:r>
            <w:r>
              <w:rPr>
                <w:rFonts w:ascii="宋体" w:hAnsi="宋体" w:cs="Times New Roman"/>
              </w:rPr>
              <w:t>导致的业务网页被篡改</w:t>
            </w:r>
          </w:p>
        </w:tc>
        <w:tc>
          <w:tcPr>
            <w:tcW w:w="2841" w:type="dxa"/>
          </w:tcPr>
          <w:p>
            <w:pPr>
              <w:jc w:val="center"/>
              <w:rPr>
                <w:rFonts w:ascii="宋体" w:hAnsi="宋体" w:cs="Times New Roman"/>
              </w:rPr>
            </w:pPr>
            <w:r>
              <w:rPr>
                <w:rFonts w:ascii="宋体" w:hAnsi="宋体" w:cs="Times New Roman"/>
              </w:rPr>
              <w:t>50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16" w:type="dxa"/>
          </w:tcPr>
          <w:p>
            <w:pPr>
              <w:jc w:val="center"/>
              <w:rPr>
                <w:rFonts w:hint="eastAsia" w:ascii="宋体" w:hAnsi="宋体" w:cs="Times New Roman" w:eastAsiaTheme="minorEastAsia"/>
                <w:lang w:eastAsia="zh-CN"/>
              </w:rPr>
            </w:pPr>
            <w:r>
              <w:rPr>
                <w:rFonts w:hint="eastAsia" w:ascii="宋体" w:hAnsi="宋体" w:cs="Times New Roman"/>
                <w:lang w:val="en-US" w:eastAsia="zh-CN"/>
              </w:rPr>
              <w:t>7</w:t>
            </w:r>
          </w:p>
        </w:tc>
        <w:tc>
          <w:tcPr>
            <w:tcW w:w="4853" w:type="dxa"/>
          </w:tcPr>
          <w:p>
            <w:pPr>
              <w:jc w:val="center"/>
              <w:rPr>
                <w:rFonts w:ascii="宋体" w:hAnsi="宋体" w:cs="Times New Roman"/>
              </w:rPr>
            </w:pPr>
            <w:r>
              <w:rPr>
                <w:rFonts w:ascii="宋体" w:hAnsi="宋体" w:cs="Times New Roman"/>
                <w:lang w:val="en-US" w:eastAsia="zh-CN"/>
              </w:rPr>
              <w:t>因中标人责任</w:t>
            </w:r>
            <w:r>
              <w:rPr>
                <w:rFonts w:ascii="宋体" w:hAnsi="宋体" w:cs="Times New Roman"/>
              </w:rPr>
              <w:t>导致的大面积业务瘫痪</w:t>
            </w:r>
          </w:p>
        </w:tc>
        <w:tc>
          <w:tcPr>
            <w:tcW w:w="2841" w:type="dxa"/>
          </w:tcPr>
          <w:p>
            <w:pPr>
              <w:jc w:val="center"/>
              <w:rPr>
                <w:rFonts w:ascii="宋体" w:hAnsi="宋体" w:cs="Times New Roman"/>
              </w:rPr>
            </w:pPr>
            <w:r>
              <w:rPr>
                <w:rFonts w:hint="eastAsia" w:ascii="宋体" w:hAnsi="宋体" w:cs="Times New Roman"/>
                <w:lang w:val="en-US" w:eastAsia="zh-CN"/>
              </w:rPr>
              <w:t>5</w:t>
            </w:r>
            <w:r>
              <w:rPr>
                <w:rFonts w:ascii="宋体" w:hAnsi="宋体" w:cs="Times New Roman"/>
              </w:rPr>
              <w:t>0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pPr>
              <w:jc w:val="center"/>
              <w:rPr>
                <w:rFonts w:hint="eastAsia" w:ascii="宋体" w:hAnsi="宋体" w:cs="Times New Roman" w:eastAsiaTheme="minorEastAsia"/>
                <w:lang w:eastAsia="zh-CN"/>
              </w:rPr>
            </w:pPr>
            <w:r>
              <w:rPr>
                <w:rFonts w:hint="eastAsia" w:ascii="宋体" w:hAnsi="宋体" w:cs="Times New Roman"/>
                <w:lang w:val="en-US" w:eastAsia="zh-CN"/>
              </w:rPr>
              <w:t>8</w:t>
            </w:r>
          </w:p>
        </w:tc>
        <w:tc>
          <w:tcPr>
            <w:tcW w:w="4853" w:type="dxa"/>
          </w:tcPr>
          <w:p>
            <w:pPr>
              <w:jc w:val="center"/>
              <w:rPr>
                <w:rFonts w:ascii="宋体" w:hAnsi="宋体" w:cs="Times New Roman"/>
              </w:rPr>
            </w:pPr>
            <w:r>
              <w:rPr>
                <w:rFonts w:ascii="宋体" w:hAnsi="宋体" w:cs="Times New Roman"/>
                <w:lang w:val="en-US" w:eastAsia="zh-CN"/>
              </w:rPr>
              <w:t>因中标人责任</w:t>
            </w:r>
            <w:r>
              <w:rPr>
                <w:rFonts w:ascii="宋体" w:hAnsi="宋体" w:cs="Times New Roman"/>
              </w:rPr>
              <w:t>导致的业务生产数据泄露</w:t>
            </w:r>
          </w:p>
        </w:tc>
        <w:tc>
          <w:tcPr>
            <w:tcW w:w="2841" w:type="dxa"/>
          </w:tcPr>
          <w:p>
            <w:pPr>
              <w:jc w:val="center"/>
              <w:rPr>
                <w:rFonts w:hint="default" w:ascii="宋体" w:hAnsi="宋体" w:cs="Times New Roman" w:eastAsiaTheme="minorEastAsia"/>
                <w:lang w:val="en-US" w:eastAsia="zh-CN"/>
              </w:rPr>
            </w:pPr>
            <w:r>
              <w:rPr>
                <w:rFonts w:ascii="宋体" w:hAnsi="宋体" w:cs="Times New Roman"/>
              </w:rPr>
              <w:t>100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pPr>
              <w:jc w:val="center"/>
              <w:rPr>
                <w:rFonts w:hint="eastAsia" w:ascii="宋体" w:hAnsi="宋体" w:cs="Times New Roman" w:eastAsiaTheme="minorEastAsia"/>
                <w:lang w:eastAsia="zh-CN"/>
              </w:rPr>
            </w:pPr>
            <w:r>
              <w:rPr>
                <w:rFonts w:hint="eastAsia" w:ascii="宋体" w:hAnsi="宋体" w:cs="Times New Roman"/>
                <w:lang w:val="en-US" w:eastAsia="zh-CN"/>
              </w:rPr>
              <w:t>9</w:t>
            </w:r>
          </w:p>
        </w:tc>
        <w:tc>
          <w:tcPr>
            <w:tcW w:w="4853" w:type="dxa"/>
          </w:tcPr>
          <w:p>
            <w:pPr>
              <w:jc w:val="center"/>
              <w:rPr>
                <w:rFonts w:ascii="宋体" w:hAnsi="宋体" w:cs="Times New Roman"/>
              </w:rPr>
            </w:pPr>
            <w:r>
              <w:rPr>
                <w:rFonts w:ascii="宋体" w:hAnsi="宋体" w:cs="Times New Roman"/>
              </w:rPr>
              <w:t>当年运营考评总体得分低于90分</w:t>
            </w:r>
          </w:p>
        </w:tc>
        <w:tc>
          <w:tcPr>
            <w:tcW w:w="2841" w:type="dxa"/>
          </w:tcPr>
          <w:p>
            <w:pPr>
              <w:jc w:val="center"/>
              <w:rPr>
                <w:rFonts w:ascii="宋体" w:hAnsi="宋体" w:cs="Times New Roman"/>
              </w:rPr>
            </w:pPr>
            <w:r>
              <w:rPr>
                <w:rFonts w:ascii="宋体" w:hAnsi="宋体" w:cs="Times New Roman"/>
              </w:rPr>
              <w:t>当年结算金额的</w:t>
            </w:r>
            <w:r>
              <w:rPr>
                <w:rFonts w:hint="eastAsia" w:ascii="宋体" w:hAnsi="宋体" w:cs="Times New Roman"/>
                <w:lang w:val="en-US" w:eastAsia="zh-CN"/>
              </w:rPr>
              <w:t>1</w:t>
            </w:r>
            <w:r>
              <w:rPr>
                <w:rFonts w:ascii="宋体" w:hAnsi="宋体" w:cs="Times New Roma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pPr>
              <w:jc w:val="center"/>
              <w:rPr>
                <w:rFonts w:ascii="宋体" w:hAnsi="宋体" w:cs="Times New Roman"/>
              </w:rPr>
            </w:pPr>
            <w:r>
              <w:rPr>
                <w:rFonts w:hint="eastAsia" w:ascii="宋体" w:hAnsi="宋体" w:cs="Times New Roman"/>
                <w:lang w:val="en-US" w:eastAsia="zh-CN"/>
              </w:rPr>
              <w:t>10</w:t>
            </w:r>
          </w:p>
        </w:tc>
        <w:tc>
          <w:tcPr>
            <w:tcW w:w="4853" w:type="dxa"/>
          </w:tcPr>
          <w:p>
            <w:pPr>
              <w:jc w:val="center"/>
              <w:rPr>
                <w:rFonts w:ascii="宋体" w:hAnsi="宋体" w:cs="Times New Roman"/>
              </w:rPr>
            </w:pPr>
            <w:r>
              <w:rPr>
                <w:rFonts w:ascii="宋体" w:hAnsi="宋体" w:cs="Times New Roman"/>
              </w:rPr>
              <w:t>当年运营考评总体得分低于80分</w:t>
            </w:r>
          </w:p>
        </w:tc>
        <w:tc>
          <w:tcPr>
            <w:tcW w:w="2841" w:type="dxa"/>
          </w:tcPr>
          <w:p>
            <w:pPr>
              <w:jc w:val="center"/>
              <w:rPr>
                <w:rFonts w:ascii="宋体" w:hAnsi="宋体" w:cs="Times New Roman"/>
              </w:rPr>
            </w:pPr>
            <w:r>
              <w:rPr>
                <w:rFonts w:ascii="宋体" w:hAnsi="宋体" w:cs="Times New Roman"/>
              </w:rPr>
              <w:t>当年结算金额的</w:t>
            </w:r>
            <w:r>
              <w:rPr>
                <w:rFonts w:hint="eastAsia" w:ascii="宋体" w:hAnsi="宋体" w:cs="Times New Roman"/>
                <w:lang w:val="en-US" w:eastAsia="zh-CN"/>
              </w:rPr>
              <w:t>3</w:t>
            </w:r>
            <w:r>
              <w:rPr>
                <w:rFonts w:ascii="宋体" w:hAnsi="宋体" w:cs="Times New Roma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16" w:type="dxa"/>
          </w:tcPr>
          <w:p>
            <w:pPr>
              <w:jc w:val="center"/>
              <w:rPr>
                <w:rFonts w:ascii="宋体" w:hAnsi="宋体" w:cs="Times New Roman"/>
              </w:rPr>
            </w:pPr>
            <w:r>
              <w:rPr>
                <w:rFonts w:ascii="宋体" w:hAnsi="宋体" w:cs="Times New Roman"/>
              </w:rPr>
              <w:t>1</w:t>
            </w:r>
            <w:r>
              <w:rPr>
                <w:rFonts w:hint="eastAsia" w:ascii="宋体" w:hAnsi="宋体" w:cs="Times New Roman"/>
                <w:lang w:val="en-US" w:eastAsia="zh-CN"/>
              </w:rPr>
              <w:t>1</w:t>
            </w:r>
          </w:p>
        </w:tc>
        <w:tc>
          <w:tcPr>
            <w:tcW w:w="4853" w:type="dxa"/>
          </w:tcPr>
          <w:p>
            <w:pPr>
              <w:jc w:val="center"/>
              <w:rPr>
                <w:rFonts w:ascii="宋体" w:hAnsi="宋体" w:cs="Times New Roman"/>
              </w:rPr>
            </w:pPr>
            <w:r>
              <w:rPr>
                <w:rFonts w:ascii="宋体" w:hAnsi="宋体" w:cs="Times New Roman"/>
              </w:rPr>
              <w:t>当年运营考评总体得分低于70分</w:t>
            </w:r>
          </w:p>
        </w:tc>
        <w:tc>
          <w:tcPr>
            <w:tcW w:w="2841" w:type="dxa"/>
          </w:tcPr>
          <w:p>
            <w:pPr>
              <w:jc w:val="center"/>
              <w:rPr>
                <w:rFonts w:ascii="宋体" w:hAnsi="宋体" w:cs="Times New Roman"/>
              </w:rPr>
            </w:pPr>
            <w:r>
              <w:rPr>
                <w:rFonts w:ascii="宋体" w:hAnsi="宋体" w:cs="Times New Roman"/>
              </w:rPr>
              <w:t>当年结算金额的</w:t>
            </w:r>
            <w:r>
              <w:rPr>
                <w:rFonts w:hint="eastAsia" w:ascii="宋体" w:hAnsi="宋体" w:cs="Times New Roman"/>
                <w:lang w:val="en-US" w:eastAsia="zh-CN"/>
              </w:rPr>
              <w:t>5</w:t>
            </w:r>
            <w:r>
              <w:rPr>
                <w:rFonts w:ascii="宋体" w:hAnsi="宋体" w:cs="Times New Roman"/>
              </w:rPr>
              <w:t>%</w:t>
            </w:r>
          </w:p>
        </w:tc>
      </w:tr>
    </w:tbl>
    <w:p>
      <w:pPr>
        <w:pStyle w:val="3"/>
        <w:numPr>
          <w:ilvl w:val="1"/>
          <w:numId w:val="5"/>
        </w:numPr>
        <w:tabs>
          <w:tab w:val="clear" w:pos="840"/>
        </w:tabs>
        <w:ind w:left="720" w:hanging="720" w:hangingChars="200"/>
        <w:rPr>
          <w:rFonts w:ascii="宋体" w:hAnsi="宋体"/>
          <w:lang w:eastAsia="zh-CN"/>
        </w:rPr>
      </w:pPr>
      <w:bookmarkStart w:id="6" w:name="_Toc34080574"/>
      <w:bookmarkStart w:id="7" w:name="_Toc34080391"/>
      <w:r>
        <w:rPr>
          <w:rFonts w:hint="eastAsia" w:ascii="宋体" w:hAnsi="宋体"/>
          <w:lang w:eastAsia="zh-CN"/>
        </w:rPr>
        <w:t>项目保密要求</w:t>
      </w:r>
    </w:p>
    <w:p>
      <w:pPr>
        <w:widowControl/>
        <w:numPr>
          <w:ilvl w:val="0"/>
          <w:numId w:val="8"/>
        </w:numPr>
        <w:topLinePunct/>
        <w:adjustRightInd w:val="0"/>
        <w:snapToGrid w:val="0"/>
        <w:spacing w:before="100" w:after="100" w:line="300" w:lineRule="exact"/>
        <w:ind w:left="420" w:hangingChars="200"/>
        <w:jc w:val="left"/>
        <w:rPr>
          <w:rFonts w:ascii="宋体" w:hAnsi="宋体"/>
        </w:rPr>
      </w:pPr>
      <w:r>
        <w:rPr>
          <w:rFonts w:ascii="宋体" w:hAnsi="宋体"/>
        </w:rPr>
        <w:t xml:space="preserve">投标人因履行本项目而知悉的所有数据、信息和资料（包括但不限于账号信息、图表、文字、计算过程、电子文件、访谈记录、现场实测数据、采购方相关工作程序等）以及因履行本项目而形成的数据、信息和任何形式的工作成果，均是采购人要求保密的信息。未经采购人书面同意，投标人不得对外泄露采购人要求保密的信息，不得用于其他用途，否则投标人需承担由此引起的法律责任和经济责任，包括但不限于直接损失、间接损失、律师费、诉讼费/仲裁费、调查费、公证费等。 </w:t>
      </w:r>
    </w:p>
    <w:p>
      <w:pPr>
        <w:widowControl/>
        <w:numPr>
          <w:ilvl w:val="0"/>
          <w:numId w:val="8"/>
        </w:numPr>
        <w:topLinePunct/>
        <w:adjustRightInd w:val="0"/>
        <w:snapToGrid w:val="0"/>
        <w:spacing w:before="100" w:after="100" w:line="300" w:lineRule="exact"/>
        <w:ind w:left="420" w:hangingChars="200"/>
        <w:jc w:val="left"/>
        <w:rPr>
          <w:rFonts w:ascii="宋体" w:hAnsi="宋体"/>
        </w:rPr>
      </w:pPr>
      <w:r>
        <w:rPr>
          <w:rFonts w:ascii="宋体" w:hAnsi="宋体"/>
        </w:rPr>
        <w:t>构建于政务云平台上的各部门业务系统、所有数据的拥有权及使用权均属于政府，</w:t>
      </w:r>
      <w:r>
        <w:rPr>
          <w:rFonts w:hint="eastAsia" w:ascii="宋体" w:hAnsi="宋体"/>
        </w:rPr>
        <w:t>中</w:t>
      </w:r>
      <w:r>
        <w:rPr>
          <w:rFonts w:ascii="宋体" w:hAnsi="宋体"/>
        </w:rPr>
        <w:t>标人无权对其进行支配，</w:t>
      </w:r>
      <w:r>
        <w:rPr>
          <w:rFonts w:hint="eastAsia" w:ascii="宋体" w:hAnsi="宋体"/>
        </w:rPr>
        <w:t>设备中的非易失性存储介质（包括但不限于机械硬盘、固态硬盘等），未经政务云管理单位同意，在维修全周期内严禁物理移出政务云机房</w:t>
      </w:r>
      <w:r>
        <w:rPr>
          <w:rFonts w:hint="eastAsia" w:ascii="宋体" w:hAnsi="宋体"/>
          <w:lang w:eastAsia="zh-CN"/>
        </w:rPr>
        <w:t>，设备报废时，存储介质必须经过严格的不可复原的数据销毁流程，且该过程需在政务云管理单位全程监管下进行</w:t>
      </w:r>
      <w:r>
        <w:rPr>
          <w:rFonts w:hint="eastAsia" w:ascii="宋体" w:hAnsi="宋体"/>
        </w:rPr>
        <w:t>。</w:t>
      </w:r>
      <w:r>
        <w:rPr>
          <w:rFonts w:ascii="宋体" w:hAnsi="宋体"/>
        </w:rPr>
        <w:t>所有设备的维修、报废等处理需经政务云管理单位同意，并在监管下进行。若发现</w:t>
      </w:r>
      <w:r>
        <w:rPr>
          <w:rFonts w:hint="eastAsia" w:ascii="宋体" w:hAnsi="宋体"/>
        </w:rPr>
        <w:t>中</w:t>
      </w:r>
      <w:r>
        <w:rPr>
          <w:rFonts w:ascii="宋体" w:hAnsi="宋体"/>
        </w:rPr>
        <w:t>标人未经许可对业务系统和数据进行支配，采购人将对</w:t>
      </w:r>
      <w:r>
        <w:rPr>
          <w:rFonts w:hint="eastAsia" w:ascii="宋体" w:hAnsi="宋体"/>
        </w:rPr>
        <w:t>中</w:t>
      </w:r>
      <w:r>
        <w:rPr>
          <w:rFonts w:ascii="宋体" w:hAnsi="宋体"/>
        </w:rPr>
        <w:t>标人采取违约处理并追究其法律责任。</w:t>
      </w:r>
    </w:p>
    <w:p>
      <w:pPr>
        <w:widowControl/>
        <w:numPr>
          <w:ilvl w:val="0"/>
          <w:numId w:val="8"/>
        </w:numPr>
        <w:topLinePunct/>
        <w:adjustRightInd w:val="0"/>
        <w:snapToGrid w:val="0"/>
        <w:spacing w:before="100" w:after="100" w:line="300" w:lineRule="exact"/>
        <w:ind w:left="420" w:hangingChars="200"/>
        <w:jc w:val="left"/>
        <w:rPr>
          <w:rFonts w:ascii="宋体" w:hAnsi="宋体"/>
        </w:rPr>
      </w:pPr>
      <w:r>
        <w:rPr>
          <w:rFonts w:ascii="宋体" w:hAnsi="宋体"/>
        </w:rPr>
        <w:t xml:space="preserve">投标人应采取必要的有效措施保证其参与本项目的人员（包括投标人聘用的人员、借调的人员、在投标人实习的人员）无论是在职或离职后，以及投标人的合作方无论是合作中或合作终止后，都能够履行本项目约定的保密义务。若投标人人员或投标人合作方违反本条规定，投标人应承担连带责任。 </w:t>
      </w:r>
    </w:p>
    <w:p>
      <w:pPr>
        <w:widowControl/>
        <w:numPr>
          <w:ilvl w:val="0"/>
          <w:numId w:val="8"/>
        </w:numPr>
        <w:topLinePunct/>
        <w:adjustRightInd w:val="0"/>
        <w:snapToGrid w:val="0"/>
        <w:spacing w:before="100" w:after="100" w:line="300" w:lineRule="exact"/>
        <w:ind w:left="420" w:hangingChars="200"/>
        <w:jc w:val="left"/>
        <w:rPr>
          <w:rFonts w:ascii="宋体" w:hAnsi="宋体"/>
        </w:rPr>
      </w:pPr>
      <w:r>
        <w:rPr>
          <w:rFonts w:ascii="宋体" w:hAnsi="宋体"/>
        </w:rPr>
        <w:t xml:space="preserve">保密期限自投标人知悉保密信息起始至保密信息被合法公开之日止。 </w:t>
      </w:r>
    </w:p>
    <w:p>
      <w:pPr>
        <w:widowControl/>
        <w:numPr>
          <w:ilvl w:val="0"/>
          <w:numId w:val="8"/>
        </w:numPr>
        <w:topLinePunct/>
        <w:adjustRightInd w:val="0"/>
        <w:snapToGrid w:val="0"/>
        <w:spacing w:before="100" w:after="100" w:line="300" w:lineRule="exact"/>
        <w:ind w:left="420" w:hangingChars="200"/>
        <w:jc w:val="left"/>
        <w:rPr>
          <w:rFonts w:ascii="宋体" w:hAnsi="宋体"/>
        </w:rPr>
      </w:pPr>
      <w:r>
        <w:rPr>
          <w:rFonts w:ascii="宋体" w:hAnsi="宋体"/>
        </w:rPr>
        <w:t xml:space="preserve">投标人（含投标人参与本项目的人员）未经采购人书面许可，不得以任何形式自行使用或以任何方式向第三方披露、转让、授权、出售与本项目有关的技术成果、计算机软件、源代码、策划文档、技术诀窍、秘密信息、技术资料和其他文件。 </w:t>
      </w:r>
    </w:p>
    <w:p>
      <w:pPr>
        <w:widowControl/>
        <w:numPr>
          <w:ilvl w:val="0"/>
          <w:numId w:val="8"/>
        </w:numPr>
        <w:topLinePunct/>
        <w:adjustRightInd w:val="0"/>
        <w:snapToGrid w:val="0"/>
        <w:spacing w:before="100" w:after="100" w:line="300" w:lineRule="exact"/>
        <w:ind w:left="420" w:hangingChars="200"/>
        <w:jc w:val="left"/>
        <w:rPr>
          <w:rFonts w:ascii="宋体" w:hAnsi="宋体"/>
        </w:rPr>
      </w:pPr>
      <w:r>
        <w:rPr>
          <w:rFonts w:ascii="宋体" w:hAnsi="宋体"/>
        </w:rPr>
        <w:t>在本项目终止或完成之后，项目各方在本项目中的保密义务并不随之终止，各方仍需依据本项目的保密规定履行保密义务。</w:t>
      </w:r>
    </w:p>
    <w:p>
      <w:pPr>
        <w:pStyle w:val="2"/>
        <w:numPr>
          <w:ilvl w:val="0"/>
          <w:numId w:val="4"/>
        </w:numPr>
        <w:spacing w:line="276" w:lineRule="auto"/>
        <w:rPr>
          <w:rFonts w:hint="default" w:ascii="宋体" w:hAnsi="宋体"/>
        </w:rPr>
      </w:pPr>
      <w:r>
        <w:rPr>
          <w:rFonts w:ascii="宋体" w:hAnsi="宋体"/>
        </w:rPr>
        <w:t>基础设施层技术要求</w:t>
      </w:r>
      <w:bookmarkEnd w:id="6"/>
      <w:bookmarkEnd w:id="7"/>
    </w:p>
    <w:p>
      <w:pPr>
        <w:pStyle w:val="17"/>
        <w:keepNext/>
        <w:keepLines/>
        <w:widowControl/>
        <w:numPr>
          <w:ilvl w:val="0"/>
          <w:numId w:val="5"/>
        </w:numPr>
        <w:topLinePunct/>
        <w:adjustRightInd w:val="0"/>
        <w:snapToGrid w:val="0"/>
        <w:spacing w:line="360" w:lineRule="auto"/>
        <w:ind w:firstLineChars="0"/>
        <w:jc w:val="left"/>
        <w:outlineLvl w:val="1"/>
        <w:rPr>
          <w:rFonts w:ascii="Book Antiqua" w:hAnsi="Book Antiqua" w:eastAsia="宋体"/>
          <w:bCs/>
          <w:vanish/>
          <w:kern w:val="0"/>
          <w:sz w:val="36"/>
          <w:szCs w:val="36"/>
        </w:rPr>
      </w:pPr>
      <w:bookmarkStart w:id="8" w:name="_Toc34080575"/>
      <w:bookmarkEnd w:id="8"/>
    </w:p>
    <w:p>
      <w:pPr>
        <w:pStyle w:val="3"/>
        <w:numPr>
          <w:ilvl w:val="1"/>
          <w:numId w:val="5"/>
        </w:numPr>
        <w:tabs>
          <w:tab w:val="clear" w:pos="840"/>
        </w:tabs>
        <w:ind w:left="720" w:hanging="720" w:hangingChars="200"/>
        <w:textAlignment w:val="auto"/>
        <w:rPr>
          <w:rFonts w:ascii="宋体" w:hAnsi="宋体"/>
          <w:lang w:eastAsia="zh-CN"/>
        </w:rPr>
      </w:pPr>
      <w:bookmarkStart w:id="9" w:name="_Toc34080576"/>
      <w:bookmarkStart w:id="10" w:name="_Toc34080392"/>
      <w:r>
        <w:rPr>
          <w:rFonts w:hint="eastAsia" w:ascii="宋体" w:hAnsi="宋体"/>
          <w:lang w:eastAsia="zh-CN"/>
        </w:rPr>
        <w:t>基础设施层整体要求</w:t>
      </w:r>
      <w:bookmarkEnd w:id="9"/>
      <w:bookmarkEnd w:id="10"/>
    </w:p>
    <w:p>
      <w:pPr>
        <w:widowControl/>
        <w:numPr>
          <w:ilvl w:val="0"/>
          <w:numId w:val="9"/>
        </w:numPr>
        <w:topLinePunct/>
        <w:adjustRightInd w:val="0"/>
        <w:snapToGrid w:val="0"/>
        <w:spacing w:before="100" w:after="100" w:line="300" w:lineRule="exact"/>
        <w:ind w:left="420" w:hangingChars="200"/>
        <w:jc w:val="left"/>
        <w:rPr>
          <w:rFonts w:ascii="宋体" w:hAnsi="宋体"/>
        </w:rPr>
      </w:pPr>
      <w:r>
        <w:rPr>
          <w:rFonts w:ascii="宋体" w:hAnsi="宋体"/>
        </w:rPr>
        <w:t>系统架构要求：满足电子政务云总体架构，</w:t>
      </w:r>
      <w:r>
        <w:rPr>
          <w:rFonts w:hint="eastAsia" w:ascii="宋体" w:hAnsi="宋体"/>
        </w:rPr>
        <w:t>中</w:t>
      </w:r>
      <w:r>
        <w:rPr>
          <w:rFonts w:ascii="宋体" w:hAnsi="宋体"/>
        </w:rPr>
        <w:t>标人提供的政务云平台与部分委办局分中心，构成市级政务云平台总体架构。以政府购买服务的方式，依托政务外网，统一为各部门提供服务。</w:t>
      </w:r>
    </w:p>
    <w:p>
      <w:pPr>
        <w:widowControl/>
        <w:numPr>
          <w:ilvl w:val="0"/>
          <w:numId w:val="9"/>
        </w:numPr>
        <w:topLinePunct/>
        <w:adjustRightInd w:val="0"/>
        <w:snapToGrid w:val="0"/>
        <w:spacing w:before="100" w:after="100" w:line="300" w:lineRule="exact"/>
        <w:ind w:left="420" w:hangingChars="200"/>
        <w:jc w:val="left"/>
        <w:rPr>
          <w:rFonts w:ascii="宋体" w:hAnsi="宋体"/>
        </w:rPr>
      </w:pPr>
      <w:r>
        <w:rPr>
          <w:rFonts w:ascii="宋体" w:hAnsi="宋体"/>
        </w:rPr>
        <w:t>市级政务云平台结构：政务云平台的网络区域按电子政务网络安全要求划分为电子政务外网和互联网两个区域，政务云平台相应划分为两个部分，分别位于电子政务外网区域的政务外网云平台和位于互联网区域的互联网云平台，两区域间设置安全数据交换区实现不同区域间的数据安全交换，</w:t>
      </w:r>
      <w:r>
        <w:rPr>
          <w:rFonts w:hint="eastAsia" w:ascii="宋体" w:hAnsi="宋体"/>
        </w:rPr>
        <w:t>单个云平台内的核心系统组件（包括计算、存储、网络及虚拟化软件等）应具备高度的兼容性与协同工作能力</w:t>
      </w:r>
      <w:r>
        <w:rPr>
          <w:rFonts w:hint="eastAsia" w:ascii="宋体" w:hAnsi="宋体"/>
          <w:lang w:eastAsia="zh-CN"/>
        </w:rPr>
        <w:t>，以确保平台整体的稳定性、可靠性及故障排查的高效性。</w:t>
      </w:r>
      <w:r>
        <w:rPr>
          <w:rFonts w:ascii="宋体" w:hAnsi="宋体"/>
        </w:rPr>
        <w:t>在符合网络安全等级保护基本要求的前提下，两个云平台之间需使用安全隔离方法保证安全和数据传输。投标人提供的物理设备需要按独立的机房区域划分给云平台使用。</w:t>
      </w:r>
    </w:p>
    <w:p>
      <w:pPr>
        <w:widowControl/>
        <w:numPr>
          <w:ilvl w:val="0"/>
          <w:numId w:val="9"/>
        </w:numPr>
        <w:topLinePunct/>
        <w:adjustRightInd w:val="0"/>
        <w:snapToGrid w:val="0"/>
        <w:spacing w:before="100" w:after="100" w:line="300" w:lineRule="exact"/>
        <w:ind w:left="420" w:hangingChars="200"/>
        <w:jc w:val="left"/>
        <w:rPr>
          <w:rFonts w:ascii="宋体" w:hAnsi="宋体"/>
        </w:rPr>
      </w:pPr>
      <w:r>
        <w:rPr>
          <w:rFonts w:ascii="宋体" w:hAnsi="宋体"/>
        </w:rPr>
        <w:t>硬件资源池：基线资源池规模满足至少物理</w:t>
      </w:r>
      <w:r>
        <w:rPr>
          <w:rFonts w:hint="eastAsia" w:ascii="宋体" w:hAnsi="宋体"/>
          <w:lang w:val="en-US" w:eastAsia="zh-CN"/>
        </w:rPr>
        <w:t>90000</w:t>
      </w:r>
      <w:r>
        <w:rPr>
          <w:rFonts w:ascii="宋体" w:hAnsi="宋体"/>
        </w:rPr>
        <w:t>CPU，内存</w:t>
      </w:r>
      <w:r>
        <w:rPr>
          <w:rFonts w:hint="eastAsia" w:ascii="宋体" w:hAnsi="宋体"/>
          <w:lang w:val="en-US" w:eastAsia="zh-CN"/>
        </w:rPr>
        <w:t>1000</w:t>
      </w:r>
      <w:r>
        <w:rPr>
          <w:rFonts w:ascii="宋体" w:hAnsi="宋体"/>
        </w:rPr>
        <w:t>TB，存储规模达到</w:t>
      </w:r>
      <w:r>
        <w:rPr>
          <w:rFonts w:hint="eastAsia" w:ascii="宋体" w:hAnsi="宋体"/>
          <w:lang w:val="en-US" w:eastAsia="zh-CN"/>
        </w:rPr>
        <w:t>70</w:t>
      </w:r>
      <w:r>
        <w:rPr>
          <w:rFonts w:ascii="宋体" w:hAnsi="宋体"/>
        </w:rPr>
        <w:t>PB</w:t>
      </w:r>
      <w:r>
        <w:rPr>
          <w:rFonts w:hint="eastAsia" w:ascii="宋体" w:hAnsi="宋体"/>
        </w:rPr>
        <w:t>，</w:t>
      </w:r>
      <w:r>
        <w:rPr>
          <w:rFonts w:ascii="宋体" w:hAnsi="宋体"/>
        </w:rPr>
        <w:t>应满足市级与区级的业务需求</w:t>
      </w:r>
      <w:r>
        <w:rPr>
          <w:rFonts w:hint="eastAsia" w:ascii="宋体" w:hAnsi="宋体"/>
        </w:rPr>
        <w:t>。资源池</w:t>
      </w:r>
      <w:r>
        <w:rPr>
          <w:rFonts w:hint="eastAsia" w:ascii="宋体" w:hAnsi="宋体"/>
          <w:lang w:eastAsia="zh-CN"/>
        </w:rPr>
        <w:t>为自有的优先考虑。</w:t>
      </w:r>
    </w:p>
    <w:p>
      <w:pPr>
        <w:widowControl/>
        <w:numPr>
          <w:ilvl w:val="0"/>
          <w:numId w:val="9"/>
        </w:numPr>
        <w:topLinePunct/>
        <w:adjustRightInd w:val="0"/>
        <w:snapToGrid w:val="0"/>
        <w:spacing w:before="100" w:after="100" w:line="300" w:lineRule="exact"/>
        <w:ind w:left="420" w:hangingChars="200"/>
        <w:jc w:val="left"/>
        <w:rPr>
          <w:rFonts w:ascii="宋体" w:hAnsi="宋体"/>
        </w:rPr>
      </w:pPr>
      <w:r>
        <w:rPr>
          <w:rFonts w:ascii="宋体" w:hAnsi="宋体"/>
        </w:rPr>
        <w:t>在</w:t>
      </w:r>
      <w:r>
        <w:rPr>
          <w:rFonts w:hint="eastAsia" w:ascii="宋体" w:hAnsi="宋体"/>
        </w:rPr>
        <w:t>各项</w:t>
      </w:r>
      <w:r>
        <w:rPr>
          <w:rFonts w:ascii="宋体" w:hAnsi="宋体"/>
        </w:rPr>
        <w:t>资源发放水位高于70%时及时报告采购人。</w:t>
      </w:r>
      <w:r>
        <w:rPr>
          <w:rFonts w:hint="eastAsia" w:ascii="宋体" w:hAnsi="宋体"/>
        </w:rPr>
        <w:t>中</w:t>
      </w:r>
      <w:r>
        <w:rPr>
          <w:rFonts w:ascii="宋体" w:hAnsi="宋体"/>
        </w:rPr>
        <w:t>标人应按照采购人的要求，根据实际需求进行扩容。</w:t>
      </w:r>
    </w:p>
    <w:p>
      <w:pPr>
        <w:widowControl/>
        <w:numPr>
          <w:ilvl w:val="0"/>
          <w:numId w:val="9"/>
        </w:numPr>
        <w:topLinePunct/>
        <w:adjustRightInd w:val="0"/>
        <w:snapToGrid w:val="0"/>
        <w:spacing w:before="100" w:after="100" w:line="300" w:lineRule="exact"/>
        <w:ind w:left="420" w:hangingChars="200"/>
        <w:jc w:val="left"/>
        <w:rPr>
          <w:rFonts w:ascii="宋体" w:hAnsi="宋体"/>
        </w:rPr>
      </w:pPr>
      <w:r>
        <w:rPr>
          <w:rFonts w:ascii="宋体" w:hAnsi="宋体"/>
        </w:rPr>
        <w:t>云运维管理平台服务：云服务商应使用自主的、开放的、适应国际标准的商业化虚拟化软件，并搭建统一的个性化云运维管理平台提供服务。云运维管理平台能够基于OpenStack架构的虚拟化软件，提供云运营管理服务和云运维管理服务，能够对IT基础设施进行统一管理。云运维管理平台支持主流虚拟化软件。</w:t>
      </w:r>
    </w:p>
    <w:p>
      <w:pPr>
        <w:widowControl/>
        <w:numPr>
          <w:ilvl w:val="0"/>
          <w:numId w:val="9"/>
        </w:numPr>
        <w:topLinePunct/>
        <w:adjustRightInd w:val="0"/>
        <w:snapToGrid w:val="0"/>
        <w:spacing w:before="100" w:after="100" w:line="300" w:lineRule="exact"/>
        <w:ind w:left="420" w:hangingChars="200"/>
        <w:jc w:val="left"/>
        <w:rPr>
          <w:rFonts w:ascii="宋体" w:hAnsi="宋体"/>
        </w:rPr>
      </w:pPr>
      <w:r>
        <w:rPr>
          <w:rFonts w:ascii="宋体" w:hAnsi="宋体"/>
        </w:rPr>
        <w:t>容灾备份：云服务商应提供完备的基于云的同城异地容灾备份体系，保障用户业务连续性和数据安全性。应具备对政务云平台本身的灾难恢复能力以及为用户业务系统提供的灾难恢复能力。云服务商的容灾备份体系必须提供</w:t>
      </w:r>
      <w:r>
        <w:rPr>
          <w:rFonts w:hint="eastAsia" w:ascii="宋体" w:hAnsi="宋体"/>
        </w:rPr>
        <w:t>满足同城灾备要求的本市范围内2个符合采购需求要求的A类同城异地IDC机房</w:t>
      </w:r>
      <w:r>
        <w:rPr>
          <w:rFonts w:hint="eastAsia" w:ascii="宋体" w:hAnsi="宋体"/>
          <w:lang w:eastAsia="zh-CN"/>
        </w:rPr>
        <w:t>，</w:t>
      </w:r>
      <w:r>
        <w:rPr>
          <w:rFonts w:hint="eastAsia" w:ascii="宋体" w:hAnsi="宋体"/>
        </w:rPr>
        <w:t>机房距上海市中心（人民大道200号）直线距离不超过20公里范围内</w:t>
      </w:r>
      <w:r>
        <w:rPr>
          <w:rFonts w:hint="eastAsia" w:ascii="宋体" w:hAnsi="宋体"/>
          <w:lang w:eastAsia="zh-CN"/>
        </w:rPr>
        <w:t>的优先考虑。</w:t>
      </w:r>
      <w:r>
        <w:rPr>
          <w:rFonts w:ascii="宋体" w:hAnsi="宋体"/>
        </w:rPr>
        <w:t>根据业务数据的特点和实时性需求，可进行数据同城灾备。云服务商提供的云平台应具备支撑业务应用系统双活部署的能力。</w:t>
      </w:r>
    </w:p>
    <w:p>
      <w:pPr>
        <w:widowControl/>
        <w:numPr>
          <w:ilvl w:val="0"/>
          <w:numId w:val="9"/>
        </w:numPr>
        <w:topLinePunct/>
        <w:adjustRightInd w:val="0"/>
        <w:snapToGrid w:val="0"/>
        <w:spacing w:before="100" w:after="100" w:line="300" w:lineRule="exact"/>
        <w:ind w:left="420" w:hangingChars="200"/>
        <w:jc w:val="left"/>
        <w:rPr>
          <w:rFonts w:ascii="宋体" w:hAnsi="宋体"/>
        </w:rPr>
      </w:pPr>
      <w:r>
        <w:rPr>
          <w:rFonts w:ascii="宋体" w:hAnsi="宋体"/>
        </w:rPr>
        <w:t>安全服务：政务云平台需符合网络安全等级保护基本要求第三级安全通用要求和云计算安全扩展要求，满足《信息安全技术网络安全等级保护基本要求》（GB/T 22239-2019）第三级安全测评通用要求和云计算安全扩展要求、满足《信息安全技术云计算服务安全能力要求》（GB/T 31168-2014）增强级。</w:t>
      </w:r>
      <w:r>
        <w:rPr>
          <w:rFonts w:hint="eastAsia" w:ascii="宋体" w:hAnsi="宋体"/>
        </w:rPr>
        <w:t>中</w:t>
      </w:r>
      <w:r>
        <w:rPr>
          <w:rFonts w:ascii="宋体" w:hAnsi="宋体"/>
        </w:rPr>
        <w:t>标人所提供的服务及提供服务所需的软/硬件设备符合《网络安全审查办法》要求及国家网信办的相关要求，所提供的服务及提供服务所需的软/硬件设备符合《中华人民共和国密码法》及国家密码管理部门的相关要求。</w:t>
      </w:r>
    </w:p>
    <w:p>
      <w:pPr>
        <w:widowControl/>
        <w:numPr>
          <w:ilvl w:val="0"/>
          <w:numId w:val="9"/>
        </w:numPr>
        <w:topLinePunct/>
        <w:adjustRightInd w:val="0"/>
        <w:snapToGrid w:val="0"/>
        <w:spacing w:before="100" w:after="100" w:line="300" w:lineRule="exact"/>
        <w:ind w:left="420" w:hangingChars="200"/>
        <w:jc w:val="left"/>
        <w:rPr>
          <w:rFonts w:ascii="宋体" w:hAnsi="宋体"/>
        </w:rPr>
      </w:pPr>
      <w:r>
        <w:rPr>
          <w:rFonts w:ascii="宋体" w:hAnsi="宋体"/>
        </w:rPr>
        <w:t>出口性能：政务云机房的所有网络出口应具备流量监控能力，支持历史流量回放，各出口的监控能力不低于出口实际配置的上联物理带宽。</w:t>
      </w:r>
    </w:p>
    <w:p>
      <w:pPr>
        <w:pStyle w:val="3"/>
        <w:numPr>
          <w:ilvl w:val="1"/>
          <w:numId w:val="5"/>
        </w:numPr>
        <w:tabs>
          <w:tab w:val="clear" w:pos="840"/>
        </w:tabs>
        <w:ind w:left="720" w:hanging="720" w:hangingChars="200"/>
        <w:textAlignment w:val="auto"/>
        <w:rPr>
          <w:rFonts w:ascii="宋体" w:hAnsi="宋体"/>
          <w:lang w:eastAsia="zh-CN"/>
        </w:rPr>
      </w:pPr>
      <w:bookmarkStart w:id="11" w:name="_Toc34080393"/>
      <w:bookmarkStart w:id="12" w:name="_Toc34080577"/>
      <w:r>
        <w:rPr>
          <w:rFonts w:hint="eastAsia" w:ascii="宋体" w:hAnsi="宋体"/>
          <w:lang w:eastAsia="zh-CN"/>
        </w:rPr>
        <w:t>软件技术要求</w:t>
      </w:r>
      <w:bookmarkEnd w:id="11"/>
      <w:bookmarkEnd w:id="12"/>
    </w:p>
    <w:p>
      <w:pPr>
        <w:pStyle w:val="4"/>
        <w:numPr>
          <w:ilvl w:val="2"/>
          <w:numId w:val="5"/>
        </w:numPr>
        <w:spacing w:before="160" w:line="300" w:lineRule="exact"/>
        <w:ind w:left="420"/>
        <w:rPr>
          <w:rFonts w:ascii="宋体" w:hAnsi="宋体"/>
        </w:rPr>
      </w:pPr>
      <w:bookmarkStart w:id="13" w:name="_Toc34080578"/>
      <w:bookmarkStart w:id="14" w:name="_Toc34080394"/>
      <w:bookmarkStart w:id="15" w:name="_Hlk33037736"/>
      <w:r>
        <w:rPr>
          <w:rFonts w:ascii="宋体" w:hAnsi="宋体"/>
        </w:rPr>
        <w:t>云业务管理平台要求</w:t>
      </w:r>
      <w:bookmarkEnd w:id="13"/>
      <w:bookmarkEnd w:id="14"/>
    </w:p>
    <w:p>
      <w:pPr>
        <w:spacing w:line="276" w:lineRule="auto"/>
        <w:ind w:left="420" w:firstLine="420"/>
      </w:pPr>
      <w:r>
        <w:rPr>
          <w:rFonts w:hint="eastAsia"/>
        </w:rPr>
        <w:t>中</w:t>
      </w:r>
      <w:r>
        <w:t>标人须提供一套能够针对市级电子政务云上承载的业务进行综合管理的商业化云业务管理平台软件，提供云业务管理和业务云上资源监控等相关个性化服务，能够对云上业务进行有效管理。云业务管理平台软件需支持与</w:t>
      </w:r>
      <w:r>
        <w:rPr>
          <w:rFonts w:hint="eastAsia"/>
        </w:rPr>
        <w:t>中</w:t>
      </w:r>
      <w:r>
        <w:t>标人所提供的云运维监控平台对接的能力、以及在基础设施层各类服务器及其虚拟化环境中部署的能力。</w:t>
      </w:r>
    </w:p>
    <w:tbl>
      <w:tblPr>
        <w:tblStyle w:val="12"/>
        <w:tblW w:w="4729" w:type="pct"/>
        <w:jc w:val="center"/>
        <w:tblLayout w:type="autofit"/>
        <w:tblCellMar>
          <w:top w:w="0" w:type="dxa"/>
          <w:left w:w="108" w:type="dxa"/>
          <w:bottom w:w="0" w:type="dxa"/>
          <w:right w:w="108" w:type="dxa"/>
        </w:tblCellMar>
      </w:tblPr>
      <w:tblGrid>
        <w:gridCol w:w="1361"/>
        <w:gridCol w:w="6699"/>
      </w:tblGrid>
      <w:tr>
        <w:tblPrEx>
          <w:tblCellMar>
            <w:top w:w="0" w:type="dxa"/>
            <w:left w:w="108" w:type="dxa"/>
            <w:bottom w:w="0" w:type="dxa"/>
            <w:right w:w="108" w:type="dxa"/>
          </w:tblCellMar>
        </w:tblPrEx>
        <w:trPr>
          <w:trHeight w:val="270" w:hRule="atLeast"/>
          <w:jc w:val="center"/>
        </w:trPr>
        <w:tc>
          <w:tcPr>
            <w:tcW w:w="844" w:type="pct"/>
            <w:tcBorders>
              <w:top w:val="single" w:color="auto" w:sz="4" w:space="0"/>
              <w:left w:val="single" w:color="auto" w:sz="4" w:space="0"/>
              <w:bottom w:val="single" w:color="auto" w:sz="4" w:space="0"/>
              <w:right w:val="single" w:color="auto" w:sz="4" w:space="0"/>
            </w:tcBorders>
            <w:shd w:val="clear" w:color="000000" w:fill="D9D9D9"/>
            <w:vAlign w:val="center"/>
          </w:tcPr>
          <w:p>
            <w:pPr>
              <w:jc w:val="center"/>
              <w:rPr>
                <w:rFonts w:ascii="宋体" w:hAnsi="宋体" w:cs="宋体"/>
                <w:b/>
                <w:bCs/>
                <w:color w:val="000000"/>
                <w:kern w:val="0"/>
              </w:rPr>
            </w:pPr>
            <w:r>
              <w:rPr>
                <w:rFonts w:ascii="宋体" w:hAnsi="宋体" w:cs="宋体"/>
                <w:b/>
                <w:bCs/>
                <w:color w:val="000000"/>
                <w:kern w:val="0"/>
              </w:rPr>
              <w:t>规格</w:t>
            </w:r>
          </w:p>
        </w:tc>
        <w:tc>
          <w:tcPr>
            <w:tcW w:w="4156" w:type="pct"/>
            <w:tcBorders>
              <w:top w:val="single" w:color="auto" w:sz="4" w:space="0"/>
              <w:left w:val="nil"/>
              <w:bottom w:val="single" w:color="auto" w:sz="4" w:space="0"/>
              <w:right w:val="single" w:color="auto" w:sz="4" w:space="0"/>
            </w:tcBorders>
            <w:shd w:val="clear" w:color="000000" w:fill="D9D9D9"/>
            <w:vAlign w:val="center"/>
          </w:tcPr>
          <w:p>
            <w:pPr>
              <w:jc w:val="center"/>
              <w:rPr>
                <w:rFonts w:ascii="宋体" w:hAnsi="宋体" w:cs="宋体"/>
                <w:b/>
                <w:bCs/>
                <w:color w:val="000000"/>
                <w:kern w:val="0"/>
              </w:rPr>
            </w:pPr>
            <w:r>
              <w:rPr>
                <w:rFonts w:ascii="宋体" w:hAnsi="宋体" w:cs="宋体"/>
                <w:b/>
                <w:bCs/>
                <w:color w:val="000000"/>
                <w:kern w:val="0"/>
              </w:rPr>
              <w:t>指标要求</w:t>
            </w:r>
          </w:p>
        </w:tc>
      </w:tr>
      <w:tr>
        <w:tblPrEx>
          <w:tblCellMar>
            <w:top w:w="0" w:type="dxa"/>
            <w:left w:w="108" w:type="dxa"/>
            <w:bottom w:w="0" w:type="dxa"/>
            <w:right w:w="108" w:type="dxa"/>
          </w:tblCellMar>
        </w:tblPrEx>
        <w:trPr>
          <w:trHeight w:val="540" w:hRule="atLeast"/>
          <w:jc w:val="center"/>
        </w:trPr>
        <w:tc>
          <w:tcPr>
            <w:tcW w:w="844" w:type="pct"/>
            <w:tcBorders>
              <w:top w:val="nil"/>
              <w:left w:val="single" w:color="auto" w:sz="4" w:space="0"/>
              <w:bottom w:val="single" w:color="auto" w:sz="4" w:space="0"/>
              <w:right w:val="single" w:color="auto" w:sz="4" w:space="0"/>
            </w:tcBorders>
            <w:vAlign w:val="center"/>
          </w:tcPr>
          <w:p>
            <w:pPr>
              <w:rPr>
                <w:rFonts w:ascii="宋体" w:hAnsi="宋体" w:cs="宋体"/>
                <w:color w:val="000000"/>
                <w:kern w:val="0"/>
                <w:sz w:val="22"/>
                <w:szCs w:val="22"/>
              </w:rPr>
            </w:pPr>
            <w:r>
              <w:rPr>
                <w:rFonts w:ascii="宋体" w:hAnsi="宋体" w:cs="宋体"/>
                <w:color w:val="000000"/>
                <w:kern w:val="0"/>
                <w:sz w:val="22"/>
                <w:szCs w:val="22"/>
              </w:rPr>
              <w:t>服务接入管理</w:t>
            </w:r>
          </w:p>
        </w:tc>
        <w:tc>
          <w:tcPr>
            <w:tcW w:w="4156" w:type="pct"/>
            <w:tcBorders>
              <w:top w:val="nil"/>
              <w:left w:val="nil"/>
              <w:bottom w:val="single" w:color="auto" w:sz="4" w:space="0"/>
              <w:right w:val="single" w:color="auto" w:sz="4" w:space="0"/>
            </w:tcBorders>
            <w:vAlign w:val="center"/>
          </w:tcPr>
          <w:p>
            <w:pPr>
              <w:rPr>
                <w:rFonts w:ascii="宋体" w:hAnsi="宋体" w:cs="宋体"/>
                <w:color w:val="000000"/>
                <w:kern w:val="0"/>
                <w:sz w:val="22"/>
                <w:szCs w:val="22"/>
              </w:rPr>
            </w:pPr>
            <w:r>
              <w:rPr>
                <w:rFonts w:ascii="宋体" w:hAnsi="宋体" w:cs="宋体"/>
                <w:color w:val="000000"/>
                <w:kern w:val="0"/>
                <w:sz w:val="22"/>
                <w:szCs w:val="22"/>
              </w:rPr>
              <w:t>提供对各项云服务的接入验证审查管理能力，将各项云服务纳入统一的监管体系，包括云资源服务、云软件服务、云安全服务等。</w:t>
            </w:r>
          </w:p>
        </w:tc>
      </w:tr>
      <w:tr>
        <w:tblPrEx>
          <w:tblCellMar>
            <w:top w:w="0" w:type="dxa"/>
            <w:left w:w="108" w:type="dxa"/>
            <w:bottom w:w="0" w:type="dxa"/>
            <w:right w:w="108" w:type="dxa"/>
          </w:tblCellMar>
        </w:tblPrEx>
        <w:trPr>
          <w:trHeight w:val="540" w:hRule="atLeast"/>
          <w:jc w:val="center"/>
        </w:trPr>
        <w:tc>
          <w:tcPr>
            <w:tcW w:w="844" w:type="pct"/>
            <w:tcBorders>
              <w:top w:val="nil"/>
              <w:left w:val="single" w:color="auto" w:sz="4" w:space="0"/>
              <w:bottom w:val="single" w:color="auto" w:sz="4" w:space="0"/>
              <w:right w:val="single" w:color="auto" w:sz="4" w:space="0"/>
            </w:tcBorders>
            <w:vAlign w:val="center"/>
          </w:tcPr>
          <w:p>
            <w:pPr>
              <w:rPr>
                <w:rFonts w:ascii="宋体" w:hAnsi="宋体" w:cs="宋体"/>
                <w:color w:val="000000"/>
                <w:kern w:val="0"/>
                <w:sz w:val="22"/>
                <w:szCs w:val="22"/>
              </w:rPr>
            </w:pPr>
            <w:r>
              <w:rPr>
                <w:rFonts w:ascii="宋体" w:hAnsi="宋体" w:cs="宋体"/>
                <w:color w:val="000000"/>
                <w:kern w:val="0"/>
                <w:sz w:val="22"/>
                <w:szCs w:val="22"/>
              </w:rPr>
              <w:t>服务申请管理</w:t>
            </w:r>
          </w:p>
        </w:tc>
        <w:tc>
          <w:tcPr>
            <w:tcW w:w="4156" w:type="pct"/>
            <w:tcBorders>
              <w:top w:val="nil"/>
              <w:left w:val="nil"/>
              <w:bottom w:val="single" w:color="auto" w:sz="4" w:space="0"/>
              <w:right w:val="single" w:color="auto" w:sz="4" w:space="0"/>
            </w:tcBorders>
            <w:vAlign w:val="center"/>
          </w:tcPr>
          <w:p>
            <w:pPr>
              <w:rPr>
                <w:rFonts w:ascii="宋体" w:hAnsi="宋体" w:cs="宋体"/>
                <w:color w:val="000000"/>
                <w:kern w:val="0"/>
                <w:sz w:val="22"/>
                <w:szCs w:val="22"/>
              </w:rPr>
            </w:pPr>
            <w:r>
              <w:rPr>
                <w:rFonts w:ascii="宋体" w:hAnsi="宋体" w:cs="宋体"/>
                <w:color w:val="000000"/>
                <w:kern w:val="0"/>
                <w:sz w:val="22"/>
                <w:szCs w:val="22"/>
              </w:rPr>
              <w:t>支持各项云服务申请的统一管理，包括上云、下云、优化、扩容等申请。</w:t>
            </w:r>
          </w:p>
        </w:tc>
      </w:tr>
      <w:tr>
        <w:tblPrEx>
          <w:tblCellMar>
            <w:top w:w="0" w:type="dxa"/>
            <w:left w:w="108" w:type="dxa"/>
            <w:bottom w:w="0" w:type="dxa"/>
            <w:right w:w="108" w:type="dxa"/>
          </w:tblCellMar>
        </w:tblPrEx>
        <w:trPr>
          <w:trHeight w:val="540" w:hRule="atLeast"/>
          <w:jc w:val="center"/>
        </w:trPr>
        <w:tc>
          <w:tcPr>
            <w:tcW w:w="844" w:type="pct"/>
            <w:tcBorders>
              <w:top w:val="nil"/>
              <w:left w:val="single" w:color="auto" w:sz="4" w:space="0"/>
              <w:bottom w:val="single" w:color="auto" w:sz="4" w:space="0"/>
              <w:right w:val="single" w:color="auto" w:sz="4" w:space="0"/>
            </w:tcBorders>
            <w:vAlign w:val="center"/>
          </w:tcPr>
          <w:p>
            <w:pPr>
              <w:rPr>
                <w:rFonts w:ascii="宋体" w:hAnsi="宋体" w:cs="宋体"/>
                <w:color w:val="000000"/>
                <w:kern w:val="0"/>
                <w:sz w:val="22"/>
                <w:szCs w:val="22"/>
              </w:rPr>
            </w:pPr>
            <w:r>
              <w:rPr>
                <w:rFonts w:ascii="宋体" w:hAnsi="宋体" w:cs="宋体"/>
                <w:color w:val="000000"/>
                <w:kern w:val="0"/>
                <w:sz w:val="22"/>
                <w:szCs w:val="22"/>
              </w:rPr>
              <w:t>服务交付管理</w:t>
            </w:r>
          </w:p>
        </w:tc>
        <w:tc>
          <w:tcPr>
            <w:tcW w:w="4156" w:type="pct"/>
            <w:tcBorders>
              <w:top w:val="nil"/>
              <w:left w:val="nil"/>
              <w:bottom w:val="single" w:color="auto" w:sz="4" w:space="0"/>
              <w:right w:val="single" w:color="auto" w:sz="4" w:space="0"/>
            </w:tcBorders>
            <w:vAlign w:val="center"/>
          </w:tcPr>
          <w:p>
            <w:pPr>
              <w:rPr>
                <w:rFonts w:ascii="宋体" w:hAnsi="宋体" w:cs="宋体"/>
                <w:color w:val="000000"/>
                <w:kern w:val="0"/>
                <w:sz w:val="22"/>
                <w:szCs w:val="22"/>
              </w:rPr>
            </w:pPr>
            <w:r>
              <w:rPr>
                <w:rFonts w:ascii="宋体" w:hAnsi="宋体" w:cs="宋体"/>
                <w:color w:val="000000"/>
                <w:kern w:val="0"/>
                <w:sz w:val="22"/>
                <w:szCs w:val="22"/>
              </w:rPr>
              <w:t>支持各项云服务交付的统一管理，包括服务工单发放、服务交付跟踪、服务交付验证等。</w:t>
            </w:r>
          </w:p>
        </w:tc>
      </w:tr>
      <w:tr>
        <w:tblPrEx>
          <w:tblCellMar>
            <w:top w:w="0" w:type="dxa"/>
            <w:left w:w="108" w:type="dxa"/>
            <w:bottom w:w="0" w:type="dxa"/>
            <w:right w:w="108" w:type="dxa"/>
          </w:tblCellMar>
        </w:tblPrEx>
        <w:trPr>
          <w:trHeight w:val="540" w:hRule="atLeast"/>
          <w:jc w:val="center"/>
        </w:trPr>
        <w:tc>
          <w:tcPr>
            <w:tcW w:w="844" w:type="pct"/>
            <w:tcBorders>
              <w:top w:val="nil"/>
              <w:left w:val="single" w:color="auto" w:sz="4" w:space="0"/>
              <w:bottom w:val="single" w:color="auto" w:sz="4" w:space="0"/>
              <w:right w:val="single" w:color="auto" w:sz="4" w:space="0"/>
            </w:tcBorders>
            <w:vAlign w:val="center"/>
          </w:tcPr>
          <w:p>
            <w:pPr>
              <w:rPr>
                <w:rFonts w:ascii="宋体" w:hAnsi="宋体" w:cs="宋体"/>
                <w:color w:val="000000"/>
                <w:kern w:val="0"/>
                <w:sz w:val="22"/>
                <w:szCs w:val="22"/>
              </w:rPr>
            </w:pPr>
            <w:r>
              <w:rPr>
                <w:rFonts w:ascii="宋体" w:hAnsi="宋体" w:cs="宋体"/>
                <w:color w:val="000000"/>
                <w:kern w:val="0"/>
                <w:sz w:val="22"/>
                <w:szCs w:val="22"/>
              </w:rPr>
              <w:t>服务监控管理</w:t>
            </w:r>
          </w:p>
        </w:tc>
        <w:tc>
          <w:tcPr>
            <w:tcW w:w="4156" w:type="pct"/>
            <w:tcBorders>
              <w:top w:val="nil"/>
              <w:left w:val="nil"/>
              <w:bottom w:val="single" w:color="auto" w:sz="4" w:space="0"/>
              <w:right w:val="single" w:color="auto" w:sz="4" w:space="0"/>
            </w:tcBorders>
            <w:vAlign w:val="center"/>
          </w:tcPr>
          <w:p>
            <w:pPr>
              <w:rPr>
                <w:rFonts w:ascii="宋体" w:hAnsi="宋体" w:cs="宋体"/>
                <w:color w:val="000000"/>
                <w:kern w:val="0"/>
                <w:sz w:val="22"/>
                <w:szCs w:val="22"/>
              </w:rPr>
            </w:pPr>
            <w:r>
              <w:rPr>
                <w:rFonts w:ascii="宋体" w:hAnsi="宋体" w:cs="宋体"/>
                <w:color w:val="000000"/>
                <w:kern w:val="0"/>
                <w:sz w:val="22"/>
                <w:szCs w:val="22"/>
              </w:rPr>
              <w:t>支持对各类云服务的监控及分级告警管理。</w:t>
            </w:r>
          </w:p>
        </w:tc>
      </w:tr>
      <w:tr>
        <w:tblPrEx>
          <w:tblCellMar>
            <w:top w:w="0" w:type="dxa"/>
            <w:left w:w="108" w:type="dxa"/>
            <w:bottom w:w="0" w:type="dxa"/>
            <w:right w:w="108" w:type="dxa"/>
          </w:tblCellMar>
        </w:tblPrEx>
        <w:trPr>
          <w:trHeight w:val="540" w:hRule="atLeast"/>
          <w:jc w:val="center"/>
        </w:trPr>
        <w:tc>
          <w:tcPr>
            <w:tcW w:w="844" w:type="pct"/>
            <w:tcBorders>
              <w:top w:val="nil"/>
              <w:left w:val="single" w:color="auto" w:sz="4" w:space="0"/>
              <w:bottom w:val="single" w:color="auto" w:sz="4" w:space="0"/>
              <w:right w:val="single" w:color="auto" w:sz="4" w:space="0"/>
            </w:tcBorders>
            <w:vAlign w:val="center"/>
          </w:tcPr>
          <w:p>
            <w:pPr>
              <w:rPr>
                <w:rFonts w:ascii="宋体" w:hAnsi="宋体" w:cs="宋体"/>
                <w:color w:val="000000"/>
                <w:kern w:val="0"/>
                <w:sz w:val="22"/>
                <w:szCs w:val="22"/>
              </w:rPr>
            </w:pPr>
            <w:r>
              <w:rPr>
                <w:rFonts w:ascii="宋体" w:hAnsi="宋体" w:cs="宋体"/>
                <w:color w:val="000000"/>
                <w:kern w:val="0"/>
                <w:sz w:val="22"/>
                <w:szCs w:val="22"/>
              </w:rPr>
              <w:t>服务响应管理</w:t>
            </w:r>
          </w:p>
        </w:tc>
        <w:tc>
          <w:tcPr>
            <w:tcW w:w="4156" w:type="pct"/>
            <w:tcBorders>
              <w:top w:val="nil"/>
              <w:left w:val="nil"/>
              <w:bottom w:val="single" w:color="auto" w:sz="4" w:space="0"/>
              <w:right w:val="single" w:color="auto" w:sz="4" w:space="0"/>
            </w:tcBorders>
            <w:vAlign w:val="center"/>
          </w:tcPr>
          <w:p>
            <w:pPr>
              <w:rPr>
                <w:rFonts w:ascii="宋体" w:hAnsi="宋体" w:cs="宋体"/>
                <w:color w:val="000000"/>
                <w:kern w:val="0"/>
                <w:sz w:val="22"/>
                <w:szCs w:val="22"/>
              </w:rPr>
            </w:pPr>
            <w:r>
              <w:rPr>
                <w:rFonts w:ascii="宋体" w:hAnsi="宋体" w:cs="宋体"/>
                <w:color w:val="000000"/>
                <w:kern w:val="0"/>
                <w:sz w:val="22"/>
                <w:szCs w:val="22"/>
              </w:rPr>
              <w:t>支持统一的云服务响应管理，包括登记、分发、跟踪、验证、回访等。</w:t>
            </w:r>
          </w:p>
        </w:tc>
      </w:tr>
      <w:tr>
        <w:tblPrEx>
          <w:tblCellMar>
            <w:top w:w="0" w:type="dxa"/>
            <w:left w:w="108" w:type="dxa"/>
            <w:bottom w:w="0" w:type="dxa"/>
            <w:right w:w="108" w:type="dxa"/>
          </w:tblCellMar>
        </w:tblPrEx>
        <w:trPr>
          <w:trHeight w:val="540" w:hRule="atLeast"/>
          <w:jc w:val="center"/>
        </w:trPr>
        <w:tc>
          <w:tcPr>
            <w:tcW w:w="844" w:type="pct"/>
            <w:tcBorders>
              <w:top w:val="nil"/>
              <w:left w:val="single" w:color="auto" w:sz="4" w:space="0"/>
              <w:bottom w:val="single" w:color="auto" w:sz="4" w:space="0"/>
              <w:right w:val="single" w:color="auto" w:sz="4" w:space="0"/>
            </w:tcBorders>
            <w:vAlign w:val="center"/>
          </w:tcPr>
          <w:p>
            <w:pPr>
              <w:rPr>
                <w:rFonts w:ascii="宋体" w:hAnsi="宋体" w:cs="宋体"/>
                <w:color w:val="000000"/>
                <w:kern w:val="0"/>
                <w:sz w:val="22"/>
                <w:szCs w:val="22"/>
              </w:rPr>
            </w:pPr>
            <w:r>
              <w:rPr>
                <w:rFonts w:ascii="宋体" w:hAnsi="宋体" w:cs="宋体"/>
                <w:color w:val="000000"/>
                <w:kern w:val="0"/>
                <w:sz w:val="22"/>
                <w:szCs w:val="22"/>
              </w:rPr>
              <w:t>服务故障管理</w:t>
            </w:r>
          </w:p>
        </w:tc>
        <w:tc>
          <w:tcPr>
            <w:tcW w:w="4156" w:type="pct"/>
            <w:tcBorders>
              <w:top w:val="nil"/>
              <w:left w:val="nil"/>
              <w:bottom w:val="single" w:color="auto" w:sz="4" w:space="0"/>
              <w:right w:val="single" w:color="auto" w:sz="4" w:space="0"/>
            </w:tcBorders>
            <w:vAlign w:val="center"/>
          </w:tcPr>
          <w:p>
            <w:pPr>
              <w:rPr>
                <w:rFonts w:ascii="宋体" w:hAnsi="宋体" w:cs="宋体"/>
                <w:color w:val="000000"/>
                <w:kern w:val="0"/>
                <w:sz w:val="22"/>
                <w:szCs w:val="22"/>
              </w:rPr>
            </w:pPr>
            <w:r>
              <w:rPr>
                <w:rFonts w:ascii="宋体" w:hAnsi="宋体" w:cs="宋体"/>
                <w:color w:val="000000"/>
                <w:kern w:val="0"/>
                <w:sz w:val="22"/>
                <w:szCs w:val="22"/>
              </w:rPr>
              <w:t>支持各类云服务故障的全流程管理，涵盖故障的发现、定位、诊断、修复、核实等环节。</w:t>
            </w:r>
          </w:p>
        </w:tc>
      </w:tr>
      <w:tr>
        <w:tblPrEx>
          <w:tblCellMar>
            <w:top w:w="0" w:type="dxa"/>
            <w:left w:w="108" w:type="dxa"/>
            <w:bottom w:w="0" w:type="dxa"/>
            <w:right w:w="108" w:type="dxa"/>
          </w:tblCellMar>
        </w:tblPrEx>
        <w:trPr>
          <w:trHeight w:val="540" w:hRule="atLeast"/>
          <w:jc w:val="center"/>
        </w:trPr>
        <w:tc>
          <w:tcPr>
            <w:tcW w:w="844" w:type="pct"/>
            <w:tcBorders>
              <w:top w:val="nil"/>
              <w:left w:val="single" w:color="auto" w:sz="4" w:space="0"/>
              <w:bottom w:val="single" w:color="auto" w:sz="4" w:space="0"/>
              <w:right w:val="single" w:color="auto" w:sz="4" w:space="0"/>
            </w:tcBorders>
            <w:vAlign w:val="center"/>
          </w:tcPr>
          <w:p>
            <w:pPr>
              <w:rPr>
                <w:rFonts w:ascii="宋体" w:hAnsi="宋体" w:cs="宋体"/>
                <w:color w:val="000000"/>
                <w:kern w:val="0"/>
                <w:sz w:val="22"/>
                <w:szCs w:val="22"/>
              </w:rPr>
            </w:pPr>
            <w:r>
              <w:rPr>
                <w:rFonts w:ascii="宋体" w:hAnsi="宋体" w:cs="宋体"/>
                <w:color w:val="000000"/>
                <w:kern w:val="0"/>
                <w:sz w:val="22"/>
                <w:szCs w:val="22"/>
              </w:rPr>
              <w:t>服务计量管理</w:t>
            </w:r>
          </w:p>
        </w:tc>
        <w:tc>
          <w:tcPr>
            <w:tcW w:w="4156" w:type="pct"/>
            <w:tcBorders>
              <w:top w:val="nil"/>
              <w:left w:val="nil"/>
              <w:bottom w:val="single" w:color="auto" w:sz="4" w:space="0"/>
              <w:right w:val="single" w:color="auto" w:sz="4" w:space="0"/>
            </w:tcBorders>
            <w:vAlign w:val="center"/>
          </w:tcPr>
          <w:p>
            <w:pPr>
              <w:rPr>
                <w:rFonts w:ascii="宋体" w:hAnsi="宋体" w:cs="宋体"/>
                <w:color w:val="000000"/>
                <w:kern w:val="0"/>
                <w:sz w:val="22"/>
                <w:szCs w:val="22"/>
              </w:rPr>
            </w:pPr>
            <w:r>
              <w:rPr>
                <w:rFonts w:ascii="宋体" w:hAnsi="宋体" w:cs="宋体"/>
                <w:color w:val="000000"/>
                <w:kern w:val="0"/>
                <w:sz w:val="22"/>
                <w:szCs w:val="22"/>
              </w:rPr>
              <w:t>支持针对各类云服务的计量管理，并以数据、日志、报告等形式提供相应的计量依据。</w:t>
            </w:r>
          </w:p>
        </w:tc>
      </w:tr>
      <w:tr>
        <w:tblPrEx>
          <w:tblCellMar>
            <w:top w:w="0" w:type="dxa"/>
            <w:left w:w="108" w:type="dxa"/>
            <w:bottom w:w="0" w:type="dxa"/>
            <w:right w:w="108" w:type="dxa"/>
          </w:tblCellMar>
        </w:tblPrEx>
        <w:trPr>
          <w:trHeight w:val="540" w:hRule="atLeast"/>
          <w:jc w:val="center"/>
        </w:trPr>
        <w:tc>
          <w:tcPr>
            <w:tcW w:w="844" w:type="pct"/>
            <w:tcBorders>
              <w:top w:val="nil"/>
              <w:left w:val="single" w:color="auto" w:sz="4" w:space="0"/>
              <w:bottom w:val="single" w:color="auto" w:sz="4" w:space="0"/>
              <w:right w:val="single" w:color="auto" w:sz="4" w:space="0"/>
            </w:tcBorders>
            <w:vAlign w:val="center"/>
          </w:tcPr>
          <w:p>
            <w:pPr>
              <w:rPr>
                <w:rFonts w:ascii="宋体" w:hAnsi="宋体" w:cs="宋体"/>
                <w:color w:val="000000"/>
                <w:kern w:val="0"/>
                <w:sz w:val="22"/>
                <w:szCs w:val="22"/>
              </w:rPr>
            </w:pPr>
            <w:r>
              <w:rPr>
                <w:rFonts w:ascii="宋体" w:hAnsi="宋体" w:cs="宋体"/>
                <w:color w:val="000000"/>
                <w:kern w:val="0"/>
                <w:sz w:val="22"/>
                <w:szCs w:val="22"/>
              </w:rPr>
              <w:t>服务计费管理</w:t>
            </w:r>
          </w:p>
        </w:tc>
        <w:tc>
          <w:tcPr>
            <w:tcW w:w="4156" w:type="pct"/>
            <w:tcBorders>
              <w:top w:val="nil"/>
              <w:left w:val="nil"/>
              <w:bottom w:val="single" w:color="auto" w:sz="4" w:space="0"/>
              <w:right w:val="single" w:color="auto" w:sz="4" w:space="0"/>
            </w:tcBorders>
            <w:vAlign w:val="center"/>
          </w:tcPr>
          <w:p>
            <w:pPr>
              <w:rPr>
                <w:rFonts w:ascii="宋体" w:hAnsi="宋体" w:cs="宋体"/>
                <w:color w:val="000000"/>
                <w:kern w:val="0"/>
                <w:sz w:val="22"/>
                <w:szCs w:val="22"/>
              </w:rPr>
            </w:pPr>
            <w:r>
              <w:rPr>
                <w:rFonts w:ascii="宋体" w:hAnsi="宋体" w:cs="宋体"/>
                <w:color w:val="000000"/>
                <w:kern w:val="0"/>
                <w:sz w:val="22"/>
                <w:szCs w:val="22"/>
              </w:rPr>
              <w:t>支持各类云服务的计费管理，并以使用单位、云服务商的维度生成月度、季度、年度账单。</w:t>
            </w:r>
          </w:p>
        </w:tc>
      </w:tr>
      <w:tr>
        <w:tblPrEx>
          <w:tblCellMar>
            <w:top w:w="0" w:type="dxa"/>
            <w:left w:w="108" w:type="dxa"/>
            <w:bottom w:w="0" w:type="dxa"/>
            <w:right w:w="108" w:type="dxa"/>
          </w:tblCellMar>
        </w:tblPrEx>
        <w:trPr>
          <w:trHeight w:val="540" w:hRule="atLeast"/>
          <w:jc w:val="center"/>
        </w:trPr>
        <w:tc>
          <w:tcPr>
            <w:tcW w:w="844" w:type="pct"/>
            <w:tcBorders>
              <w:top w:val="nil"/>
              <w:left w:val="single" w:color="auto" w:sz="4" w:space="0"/>
              <w:bottom w:val="single" w:color="auto" w:sz="4" w:space="0"/>
              <w:right w:val="single" w:color="auto" w:sz="4" w:space="0"/>
            </w:tcBorders>
            <w:vAlign w:val="center"/>
          </w:tcPr>
          <w:p>
            <w:pPr>
              <w:rPr>
                <w:rFonts w:ascii="宋体" w:hAnsi="宋体" w:cs="宋体"/>
                <w:color w:val="000000"/>
                <w:kern w:val="0"/>
                <w:sz w:val="22"/>
                <w:szCs w:val="22"/>
              </w:rPr>
            </w:pPr>
            <w:r>
              <w:rPr>
                <w:rFonts w:ascii="宋体" w:hAnsi="宋体" w:cs="宋体"/>
                <w:color w:val="000000"/>
                <w:kern w:val="0"/>
                <w:sz w:val="22"/>
                <w:szCs w:val="22"/>
              </w:rPr>
              <w:t>服务评估管理</w:t>
            </w:r>
          </w:p>
        </w:tc>
        <w:tc>
          <w:tcPr>
            <w:tcW w:w="4156" w:type="pct"/>
            <w:tcBorders>
              <w:top w:val="nil"/>
              <w:left w:val="nil"/>
              <w:bottom w:val="single" w:color="auto" w:sz="4" w:space="0"/>
              <w:right w:val="single" w:color="auto" w:sz="4" w:space="0"/>
            </w:tcBorders>
            <w:vAlign w:val="center"/>
          </w:tcPr>
          <w:p>
            <w:pPr>
              <w:rPr>
                <w:rFonts w:ascii="宋体" w:hAnsi="宋体" w:cs="宋体"/>
                <w:color w:val="000000"/>
                <w:kern w:val="0"/>
                <w:sz w:val="22"/>
                <w:szCs w:val="22"/>
              </w:rPr>
            </w:pPr>
            <w:r>
              <w:rPr>
                <w:rFonts w:ascii="宋体" w:hAnsi="宋体" w:cs="宋体"/>
                <w:color w:val="000000"/>
                <w:kern w:val="0"/>
                <w:sz w:val="22"/>
                <w:szCs w:val="22"/>
              </w:rPr>
              <w:t>支持各项云服务的周期性评估，包括云服务质量、满意度、安全、用量、使用情况等。</w:t>
            </w:r>
          </w:p>
        </w:tc>
      </w:tr>
      <w:tr>
        <w:tblPrEx>
          <w:tblCellMar>
            <w:top w:w="0" w:type="dxa"/>
            <w:left w:w="108" w:type="dxa"/>
            <w:bottom w:w="0" w:type="dxa"/>
            <w:right w:w="108" w:type="dxa"/>
          </w:tblCellMar>
        </w:tblPrEx>
        <w:trPr>
          <w:trHeight w:val="540" w:hRule="atLeast"/>
          <w:jc w:val="center"/>
        </w:trPr>
        <w:tc>
          <w:tcPr>
            <w:tcW w:w="844" w:type="pct"/>
            <w:tcBorders>
              <w:top w:val="nil"/>
              <w:left w:val="single" w:color="auto" w:sz="4" w:space="0"/>
              <w:bottom w:val="single" w:color="auto" w:sz="4" w:space="0"/>
              <w:right w:val="single" w:color="auto" w:sz="4" w:space="0"/>
            </w:tcBorders>
            <w:vAlign w:val="center"/>
          </w:tcPr>
          <w:p>
            <w:pPr>
              <w:rPr>
                <w:rFonts w:ascii="宋体" w:hAnsi="宋体" w:cs="宋体"/>
                <w:color w:val="000000"/>
                <w:kern w:val="0"/>
                <w:sz w:val="22"/>
                <w:szCs w:val="22"/>
              </w:rPr>
            </w:pPr>
            <w:r>
              <w:rPr>
                <w:rFonts w:ascii="宋体" w:hAnsi="宋体" w:cs="宋体"/>
                <w:color w:val="000000"/>
                <w:kern w:val="0"/>
                <w:sz w:val="22"/>
                <w:szCs w:val="22"/>
              </w:rPr>
              <w:t>服务结算管理</w:t>
            </w:r>
          </w:p>
        </w:tc>
        <w:tc>
          <w:tcPr>
            <w:tcW w:w="4156" w:type="pct"/>
            <w:tcBorders>
              <w:top w:val="nil"/>
              <w:left w:val="nil"/>
              <w:bottom w:val="single" w:color="auto" w:sz="4" w:space="0"/>
              <w:right w:val="single" w:color="auto" w:sz="4" w:space="0"/>
            </w:tcBorders>
            <w:vAlign w:val="center"/>
          </w:tcPr>
          <w:p>
            <w:pPr>
              <w:rPr>
                <w:rFonts w:ascii="宋体" w:hAnsi="宋体" w:cs="宋体"/>
                <w:color w:val="000000"/>
                <w:kern w:val="0"/>
                <w:sz w:val="22"/>
                <w:szCs w:val="22"/>
              </w:rPr>
            </w:pPr>
            <w:r>
              <w:rPr>
                <w:rFonts w:ascii="宋体" w:hAnsi="宋体" w:cs="宋体"/>
                <w:color w:val="000000"/>
                <w:kern w:val="0"/>
                <w:sz w:val="22"/>
                <w:szCs w:val="22"/>
              </w:rPr>
              <w:t>支持服务周期内的结算管理，基于平台数据，为服务结算提供依据和参考。</w:t>
            </w:r>
          </w:p>
        </w:tc>
      </w:tr>
      <w:bookmarkEnd w:id="15"/>
    </w:tbl>
    <w:p>
      <w:pPr>
        <w:pStyle w:val="4"/>
        <w:numPr>
          <w:ilvl w:val="2"/>
          <w:numId w:val="5"/>
        </w:numPr>
        <w:spacing w:before="160" w:line="300" w:lineRule="exact"/>
        <w:ind w:left="420"/>
        <w:rPr>
          <w:rFonts w:ascii="宋体" w:hAnsi="宋体"/>
        </w:rPr>
      </w:pPr>
      <w:bookmarkStart w:id="16" w:name="_Toc34080395"/>
      <w:bookmarkStart w:id="17" w:name="_Toc34080579"/>
      <w:bookmarkStart w:id="18" w:name="_Toc342038020"/>
      <w:bookmarkStart w:id="19" w:name="_Toc469556930"/>
      <w:bookmarkStart w:id="20" w:name="_Toc469493474"/>
      <w:r>
        <w:rPr>
          <w:rFonts w:ascii="宋体" w:hAnsi="宋体"/>
        </w:rPr>
        <w:t>云运维管理平台要求</w:t>
      </w:r>
      <w:bookmarkEnd w:id="16"/>
      <w:bookmarkEnd w:id="17"/>
    </w:p>
    <w:p>
      <w:pPr>
        <w:spacing w:line="276" w:lineRule="auto"/>
        <w:ind w:left="420" w:firstLine="420"/>
      </w:pPr>
      <w:r>
        <w:rPr>
          <w:rFonts w:hint="eastAsia"/>
        </w:rPr>
        <w:t>中</w:t>
      </w:r>
      <w:r>
        <w:t>标人须提供统一云运维管理系统，提供高效的运维管理手段，提升问题处理效率，缩减问题处理时间，在问题发生时可快速自动通知到维护人员，提供分析工具，方便研判故障。提供健康分析功能，能够实时监控并分析数据中心的资源使用状态，评估健康度和风险，协助客户主动运维。提供日常的运维报表，后台运维支持，用户发现问题后应快速分级响应。</w:t>
      </w:r>
    </w:p>
    <w:tbl>
      <w:tblPr>
        <w:tblStyle w:val="12"/>
        <w:tblW w:w="4729" w:type="pct"/>
        <w:jc w:val="center"/>
        <w:tblLayout w:type="fixed"/>
        <w:tblCellMar>
          <w:top w:w="0" w:type="dxa"/>
          <w:left w:w="108" w:type="dxa"/>
          <w:bottom w:w="0" w:type="dxa"/>
          <w:right w:w="108" w:type="dxa"/>
        </w:tblCellMar>
      </w:tblPr>
      <w:tblGrid>
        <w:gridCol w:w="613"/>
        <w:gridCol w:w="7447"/>
      </w:tblGrid>
      <w:tr>
        <w:trPr>
          <w:trHeight w:val="270" w:hRule="atLeast"/>
          <w:jc w:val="center"/>
        </w:trPr>
        <w:tc>
          <w:tcPr>
            <w:tcW w:w="380" w:type="pct"/>
            <w:tcBorders>
              <w:top w:val="single" w:color="auto" w:sz="4" w:space="0"/>
              <w:left w:val="single" w:color="auto" w:sz="4" w:space="0"/>
              <w:bottom w:val="single" w:color="auto" w:sz="4" w:space="0"/>
              <w:right w:val="single" w:color="auto" w:sz="4" w:space="0"/>
            </w:tcBorders>
            <w:shd w:val="clear" w:color="000000" w:fill="D9D9D9"/>
            <w:vAlign w:val="center"/>
          </w:tcPr>
          <w:p>
            <w:pPr>
              <w:jc w:val="center"/>
              <w:rPr>
                <w:rFonts w:ascii="宋体" w:hAnsi="宋体" w:cs="宋体"/>
                <w:b/>
                <w:bCs/>
                <w:color w:val="000000"/>
                <w:kern w:val="0"/>
              </w:rPr>
            </w:pPr>
            <w:r>
              <w:rPr>
                <w:rFonts w:ascii="宋体" w:hAnsi="宋体" w:cs="宋体"/>
                <w:b/>
                <w:bCs/>
                <w:color w:val="000000"/>
                <w:kern w:val="0"/>
              </w:rPr>
              <w:t>规格</w:t>
            </w:r>
          </w:p>
        </w:tc>
        <w:tc>
          <w:tcPr>
            <w:tcW w:w="4620" w:type="pct"/>
            <w:tcBorders>
              <w:top w:val="single" w:color="auto" w:sz="4" w:space="0"/>
              <w:left w:val="nil"/>
              <w:bottom w:val="single" w:color="auto" w:sz="4" w:space="0"/>
              <w:right w:val="single" w:color="auto" w:sz="4" w:space="0"/>
            </w:tcBorders>
            <w:shd w:val="clear" w:color="000000" w:fill="D9D9D9"/>
            <w:vAlign w:val="center"/>
          </w:tcPr>
          <w:p>
            <w:pPr>
              <w:jc w:val="center"/>
              <w:rPr>
                <w:rFonts w:ascii="宋体" w:hAnsi="宋体" w:cs="宋体"/>
                <w:b/>
                <w:bCs/>
                <w:color w:val="000000"/>
                <w:kern w:val="0"/>
              </w:rPr>
            </w:pPr>
            <w:r>
              <w:rPr>
                <w:rFonts w:ascii="宋体" w:hAnsi="宋体" w:cs="宋体"/>
                <w:b/>
                <w:bCs/>
                <w:color w:val="000000"/>
                <w:kern w:val="0"/>
              </w:rPr>
              <w:t>指标要求</w:t>
            </w:r>
          </w:p>
        </w:tc>
      </w:tr>
      <w:tr>
        <w:tblPrEx>
          <w:tblCellMar>
            <w:top w:w="0" w:type="dxa"/>
            <w:left w:w="108" w:type="dxa"/>
            <w:bottom w:w="0" w:type="dxa"/>
            <w:right w:w="108" w:type="dxa"/>
          </w:tblCellMar>
        </w:tblPrEx>
        <w:trPr>
          <w:trHeight w:val="510" w:hRule="atLeast"/>
          <w:jc w:val="center"/>
        </w:trPr>
        <w:tc>
          <w:tcPr>
            <w:tcW w:w="380" w:type="pct"/>
            <w:vMerge w:val="restart"/>
            <w:tcBorders>
              <w:top w:val="nil"/>
              <w:left w:val="single" w:color="auto" w:sz="4" w:space="0"/>
              <w:bottom w:val="single" w:color="auto" w:sz="4" w:space="0"/>
              <w:right w:val="single" w:color="auto" w:sz="4" w:space="0"/>
            </w:tcBorders>
            <w:vAlign w:val="center"/>
          </w:tcPr>
          <w:p>
            <w:pPr>
              <w:jc w:val="center"/>
              <w:rPr>
                <w:rFonts w:ascii="宋体" w:hAnsi="宋体" w:cs="宋体"/>
                <w:b/>
                <w:bCs/>
                <w:color w:val="000000"/>
                <w:kern w:val="0"/>
              </w:rPr>
            </w:pPr>
            <w:r>
              <w:rPr>
                <w:rFonts w:ascii="宋体" w:hAnsi="宋体" w:cs="宋体"/>
                <w:b/>
                <w:bCs/>
                <w:color w:val="000000"/>
                <w:kern w:val="0"/>
              </w:rPr>
              <w:t>告警及性能管理</w:t>
            </w:r>
          </w:p>
        </w:tc>
        <w:tc>
          <w:tcPr>
            <w:tcW w:w="4620"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支持多维度告警/事件展现。提供按监控对象、按物理位置、按虚拟逻辑、按来源系统、按服务分组、按VDC等维度查看告警，保证云场景下告警管理的灵活性；</w:t>
            </w:r>
          </w:p>
        </w:tc>
      </w:tr>
      <w:tr>
        <w:tblPrEx>
          <w:tblCellMar>
            <w:top w:w="0" w:type="dxa"/>
            <w:left w:w="108" w:type="dxa"/>
            <w:bottom w:w="0" w:type="dxa"/>
            <w:right w:w="108" w:type="dxa"/>
          </w:tblCellMar>
        </w:tblPrEx>
        <w:trPr>
          <w:trHeight w:val="270" w:hRule="atLeast"/>
          <w:jc w:val="center"/>
        </w:trPr>
        <w:tc>
          <w:tcPr>
            <w:tcW w:w="380" w:type="pct"/>
            <w:vMerge w:val="continue"/>
            <w:tcBorders>
              <w:top w:val="nil"/>
              <w:left w:val="single" w:color="auto" w:sz="4" w:space="0"/>
              <w:bottom w:val="single" w:color="auto" w:sz="4" w:space="0"/>
              <w:right w:val="single" w:color="auto" w:sz="4" w:space="0"/>
            </w:tcBorders>
            <w:vAlign w:val="center"/>
          </w:tcPr>
          <w:p>
            <w:pPr>
              <w:rPr>
                <w:rFonts w:ascii="宋体" w:hAnsi="宋体" w:cs="宋体"/>
                <w:b/>
                <w:bCs/>
                <w:color w:val="000000"/>
                <w:kern w:val="0"/>
              </w:rPr>
            </w:pPr>
          </w:p>
        </w:tc>
        <w:tc>
          <w:tcPr>
            <w:tcW w:w="4620"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提供告警导出，按指定字段模糊查询告警，按指定字段排序告警以及配置告警列表展示字段的能力；</w:t>
            </w:r>
          </w:p>
        </w:tc>
      </w:tr>
      <w:tr>
        <w:tblPrEx>
          <w:tblCellMar>
            <w:top w:w="0" w:type="dxa"/>
            <w:left w:w="108" w:type="dxa"/>
            <w:bottom w:w="0" w:type="dxa"/>
            <w:right w:w="108" w:type="dxa"/>
          </w:tblCellMar>
        </w:tblPrEx>
        <w:trPr>
          <w:trHeight w:val="510" w:hRule="atLeast"/>
          <w:jc w:val="center"/>
        </w:trPr>
        <w:tc>
          <w:tcPr>
            <w:tcW w:w="380" w:type="pct"/>
            <w:vMerge w:val="continue"/>
            <w:tcBorders>
              <w:top w:val="nil"/>
              <w:left w:val="single" w:color="auto" w:sz="4" w:space="0"/>
              <w:bottom w:val="single" w:color="auto" w:sz="4" w:space="0"/>
              <w:right w:val="single" w:color="auto" w:sz="4" w:space="0"/>
            </w:tcBorders>
            <w:vAlign w:val="center"/>
          </w:tcPr>
          <w:p>
            <w:pPr>
              <w:rPr>
                <w:rFonts w:ascii="宋体" w:hAnsi="宋体" w:cs="宋体"/>
                <w:b/>
                <w:bCs/>
                <w:color w:val="000000"/>
                <w:kern w:val="0"/>
              </w:rPr>
            </w:pPr>
          </w:p>
        </w:tc>
        <w:tc>
          <w:tcPr>
            <w:tcW w:w="4620"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提供告警处理功能，包括确认、清除等，对选择的告警进行处理。支持用户进行告警确认、取消确认、清除告警、标识误告警、更新告警级别、编辑告警备注、编辑告警经验、查看告警关联帮助，协助管理员更好的处理告警事件；</w:t>
            </w:r>
          </w:p>
        </w:tc>
      </w:tr>
      <w:tr>
        <w:trPr>
          <w:trHeight w:val="270" w:hRule="atLeast"/>
          <w:jc w:val="center"/>
        </w:trPr>
        <w:tc>
          <w:tcPr>
            <w:tcW w:w="380" w:type="pct"/>
            <w:vMerge w:val="continue"/>
            <w:tcBorders>
              <w:top w:val="nil"/>
              <w:left w:val="single" w:color="auto" w:sz="4" w:space="0"/>
              <w:bottom w:val="single" w:color="auto" w:sz="4" w:space="0"/>
              <w:right w:val="single" w:color="auto" w:sz="4" w:space="0"/>
            </w:tcBorders>
            <w:vAlign w:val="center"/>
          </w:tcPr>
          <w:p>
            <w:pPr>
              <w:rPr>
                <w:rFonts w:ascii="宋体" w:hAnsi="宋体" w:cs="宋体"/>
                <w:b/>
                <w:bCs/>
                <w:color w:val="000000"/>
                <w:kern w:val="0"/>
              </w:rPr>
            </w:pPr>
          </w:p>
        </w:tc>
        <w:tc>
          <w:tcPr>
            <w:tcW w:w="4620"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提供重复告警的归并功能，即多条同源告警合并成一条告警呈现，提供告警的首次发生时间、最后发生时间、发生次数等信息；</w:t>
            </w:r>
          </w:p>
        </w:tc>
      </w:tr>
      <w:tr>
        <w:tblPrEx>
          <w:tblCellMar>
            <w:top w:w="0" w:type="dxa"/>
            <w:left w:w="108" w:type="dxa"/>
            <w:bottom w:w="0" w:type="dxa"/>
            <w:right w:w="108" w:type="dxa"/>
          </w:tblCellMar>
        </w:tblPrEx>
        <w:trPr>
          <w:trHeight w:val="510" w:hRule="atLeast"/>
          <w:jc w:val="center"/>
        </w:trPr>
        <w:tc>
          <w:tcPr>
            <w:tcW w:w="380" w:type="pct"/>
            <w:vMerge w:val="continue"/>
            <w:tcBorders>
              <w:top w:val="nil"/>
              <w:left w:val="single" w:color="auto" w:sz="4" w:space="0"/>
              <w:bottom w:val="single" w:color="auto" w:sz="4" w:space="0"/>
              <w:right w:val="single" w:color="auto" w:sz="4" w:space="0"/>
            </w:tcBorders>
            <w:vAlign w:val="center"/>
          </w:tcPr>
          <w:p>
            <w:pPr>
              <w:rPr>
                <w:rFonts w:ascii="宋体" w:hAnsi="宋体" w:cs="宋体"/>
                <w:b/>
                <w:bCs/>
                <w:color w:val="000000"/>
                <w:kern w:val="0"/>
              </w:rPr>
            </w:pPr>
          </w:p>
        </w:tc>
        <w:tc>
          <w:tcPr>
            <w:tcW w:w="4620"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提供告警通知功能。通过设置通知规则，当收到符合条件的告警时，自动通过邮件、短信通知用户。支持按设置的规则，当收到符合规则告警后，通过邮件、短信方式，通知用户，支持逾期升级通知。支持告警声音，不同级别可设置不同的声音；</w:t>
            </w:r>
          </w:p>
        </w:tc>
      </w:tr>
      <w:tr>
        <w:tblPrEx>
          <w:tblCellMar>
            <w:top w:w="0" w:type="dxa"/>
            <w:left w:w="108" w:type="dxa"/>
            <w:bottom w:w="0" w:type="dxa"/>
            <w:right w:w="108" w:type="dxa"/>
          </w:tblCellMar>
        </w:tblPrEx>
        <w:trPr>
          <w:trHeight w:val="510" w:hRule="atLeast"/>
          <w:jc w:val="center"/>
        </w:trPr>
        <w:tc>
          <w:tcPr>
            <w:tcW w:w="380" w:type="pct"/>
            <w:vMerge w:val="continue"/>
            <w:tcBorders>
              <w:top w:val="nil"/>
              <w:left w:val="single" w:color="auto" w:sz="4" w:space="0"/>
              <w:bottom w:val="single" w:color="auto" w:sz="4" w:space="0"/>
              <w:right w:val="single" w:color="auto" w:sz="4" w:space="0"/>
            </w:tcBorders>
            <w:vAlign w:val="center"/>
          </w:tcPr>
          <w:p>
            <w:pPr>
              <w:rPr>
                <w:rFonts w:ascii="宋体" w:hAnsi="宋体" w:cs="宋体"/>
                <w:b/>
                <w:bCs/>
                <w:color w:val="000000"/>
                <w:kern w:val="0"/>
              </w:rPr>
            </w:pPr>
          </w:p>
        </w:tc>
        <w:tc>
          <w:tcPr>
            <w:tcW w:w="4620"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支持告警自定义筛选。支持按多个维度的条件组合进行筛选，包括但是不限于按告警名称、状态、级别、来源、告警对象位置（如数据中心、机房、集群）、告警对象条件（比如VDC、用户）等筛选条件，并支持告警导出功能；</w:t>
            </w:r>
          </w:p>
        </w:tc>
      </w:tr>
      <w:tr>
        <w:tblPrEx>
          <w:tblCellMar>
            <w:top w:w="0" w:type="dxa"/>
            <w:left w:w="108" w:type="dxa"/>
            <w:bottom w:w="0" w:type="dxa"/>
            <w:right w:w="108" w:type="dxa"/>
          </w:tblCellMar>
        </w:tblPrEx>
        <w:trPr>
          <w:trHeight w:val="270" w:hRule="atLeast"/>
          <w:jc w:val="center"/>
        </w:trPr>
        <w:tc>
          <w:tcPr>
            <w:tcW w:w="380" w:type="pct"/>
            <w:vMerge w:val="continue"/>
            <w:tcBorders>
              <w:top w:val="nil"/>
              <w:left w:val="single" w:color="auto" w:sz="4" w:space="0"/>
              <w:bottom w:val="single" w:color="auto" w:sz="4" w:space="0"/>
              <w:right w:val="single" w:color="auto" w:sz="4" w:space="0"/>
            </w:tcBorders>
            <w:vAlign w:val="center"/>
          </w:tcPr>
          <w:p>
            <w:pPr>
              <w:rPr>
                <w:rFonts w:ascii="宋体" w:hAnsi="宋体" w:cs="宋体"/>
                <w:b/>
                <w:bCs/>
                <w:color w:val="000000"/>
                <w:kern w:val="0"/>
              </w:rPr>
            </w:pPr>
          </w:p>
        </w:tc>
        <w:tc>
          <w:tcPr>
            <w:tcW w:w="4620"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支持设置告警级别、以及告警阈值能力，支持设置告警规则，有符合规则的告警，自动按照预置的告警级别进行告警；</w:t>
            </w:r>
          </w:p>
        </w:tc>
      </w:tr>
      <w:tr>
        <w:tblPrEx>
          <w:tblCellMar>
            <w:top w:w="0" w:type="dxa"/>
            <w:left w:w="108" w:type="dxa"/>
            <w:bottom w:w="0" w:type="dxa"/>
            <w:right w:w="108" w:type="dxa"/>
          </w:tblCellMar>
        </w:tblPrEx>
        <w:trPr>
          <w:trHeight w:val="270" w:hRule="atLeast"/>
          <w:jc w:val="center"/>
        </w:trPr>
        <w:tc>
          <w:tcPr>
            <w:tcW w:w="380" w:type="pct"/>
            <w:vMerge w:val="continue"/>
            <w:tcBorders>
              <w:top w:val="nil"/>
              <w:left w:val="single" w:color="auto" w:sz="4" w:space="0"/>
              <w:bottom w:val="single" w:color="auto" w:sz="4" w:space="0"/>
              <w:right w:val="single" w:color="auto" w:sz="4" w:space="0"/>
            </w:tcBorders>
            <w:vAlign w:val="center"/>
          </w:tcPr>
          <w:p>
            <w:pPr>
              <w:rPr>
                <w:rFonts w:ascii="宋体" w:hAnsi="宋体" w:cs="宋体"/>
                <w:b/>
                <w:bCs/>
                <w:color w:val="000000"/>
                <w:kern w:val="0"/>
              </w:rPr>
            </w:pPr>
          </w:p>
        </w:tc>
        <w:tc>
          <w:tcPr>
            <w:tcW w:w="4620"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支持告警统计报表，可以对已经发生的告警进行分类统计，并输出报表，便于整体的分析数据中心告警事件；</w:t>
            </w:r>
          </w:p>
        </w:tc>
      </w:tr>
      <w:tr>
        <w:trPr>
          <w:trHeight w:val="510" w:hRule="atLeast"/>
          <w:jc w:val="center"/>
        </w:trPr>
        <w:tc>
          <w:tcPr>
            <w:tcW w:w="380" w:type="pct"/>
            <w:vMerge w:val="continue"/>
            <w:tcBorders>
              <w:top w:val="nil"/>
              <w:left w:val="single" w:color="auto" w:sz="4" w:space="0"/>
              <w:bottom w:val="single" w:color="auto" w:sz="4" w:space="0"/>
              <w:right w:val="single" w:color="auto" w:sz="4" w:space="0"/>
            </w:tcBorders>
            <w:vAlign w:val="center"/>
          </w:tcPr>
          <w:p>
            <w:pPr>
              <w:rPr>
                <w:rFonts w:ascii="宋体" w:hAnsi="宋体" w:cs="宋体"/>
                <w:b/>
                <w:bCs/>
                <w:color w:val="000000"/>
                <w:kern w:val="0"/>
              </w:rPr>
            </w:pPr>
          </w:p>
        </w:tc>
        <w:tc>
          <w:tcPr>
            <w:tcW w:w="4620"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提供数据中心所有虚拟机利用率分布概览图查看，支持搜索查看单个虚拟机信息，支持数据中心、虚拟化平台、集群三个不同粒度查看虚拟机概况，支持按照资源使用率过滤显示。</w:t>
            </w:r>
          </w:p>
        </w:tc>
      </w:tr>
      <w:tr>
        <w:tblPrEx>
          <w:tblCellMar>
            <w:top w:w="0" w:type="dxa"/>
            <w:left w:w="108" w:type="dxa"/>
            <w:bottom w:w="0" w:type="dxa"/>
            <w:right w:w="108" w:type="dxa"/>
          </w:tblCellMar>
        </w:tblPrEx>
        <w:trPr>
          <w:trHeight w:val="270" w:hRule="atLeast"/>
          <w:jc w:val="center"/>
        </w:trPr>
        <w:tc>
          <w:tcPr>
            <w:tcW w:w="380" w:type="pct"/>
            <w:vMerge w:val="continue"/>
            <w:tcBorders>
              <w:top w:val="nil"/>
              <w:left w:val="single" w:color="auto" w:sz="4" w:space="0"/>
              <w:bottom w:val="single" w:color="auto" w:sz="4" w:space="0"/>
              <w:right w:val="single" w:color="auto" w:sz="4" w:space="0"/>
            </w:tcBorders>
            <w:vAlign w:val="center"/>
          </w:tcPr>
          <w:p>
            <w:pPr>
              <w:rPr>
                <w:rFonts w:ascii="宋体" w:hAnsi="宋体" w:cs="宋体"/>
                <w:b/>
                <w:bCs/>
                <w:color w:val="000000"/>
                <w:kern w:val="0"/>
              </w:rPr>
            </w:pPr>
          </w:p>
        </w:tc>
        <w:tc>
          <w:tcPr>
            <w:tcW w:w="4620"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支持把用户查看的性能指标、设备参数保存成视图，后续查看直接选择视图即可，不需要重新选择参数，提升操作效率。</w:t>
            </w:r>
          </w:p>
        </w:tc>
      </w:tr>
      <w:tr>
        <w:tblPrEx>
          <w:tblCellMar>
            <w:top w:w="0" w:type="dxa"/>
            <w:left w:w="108" w:type="dxa"/>
            <w:bottom w:w="0" w:type="dxa"/>
            <w:right w:w="108" w:type="dxa"/>
          </w:tblCellMar>
        </w:tblPrEx>
        <w:trPr>
          <w:trHeight w:val="270" w:hRule="atLeast"/>
          <w:jc w:val="center"/>
        </w:trPr>
        <w:tc>
          <w:tcPr>
            <w:tcW w:w="380" w:type="pct"/>
            <w:vMerge w:val="restart"/>
            <w:tcBorders>
              <w:top w:val="nil"/>
              <w:left w:val="single" w:color="auto" w:sz="4" w:space="0"/>
              <w:bottom w:val="single" w:color="auto" w:sz="4" w:space="0"/>
              <w:right w:val="single" w:color="auto" w:sz="4" w:space="0"/>
            </w:tcBorders>
            <w:vAlign w:val="center"/>
          </w:tcPr>
          <w:p>
            <w:pPr>
              <w:jc w:val="center"/>
              <w:rPr>
                <w:rFonts w:ascii="宋体" w:hAnsi="宋体" w:cs="宋体"/>
                <w:b/>
                <w:bCs/>
                <w:color w:val="000000"/>
                <w:kern w:val="0"/>
              </w:rPr>
            </w:pPr>
            <w:r>
              <w:rPr>
                <w:rFonts w:ascii="宋体" w:hAnsi="宋体" w:cs="宋体"/>
                <w:b/>
                <w:bCs/>
                <w:color w:val="000000"/>
                <w:kern w:val="0"/>
              </w:rPr>
              <w:t>报表管理</w:t>
            </w:r>
          </w:p>
        </w:tc>
        <w:tc>
          <w:tcPr>
            <w:tcW w:w="4620"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支持周期性生成报表，立即生成报表，周期类型包括：天、周、月、季度。只需要设置一次报表参数，即可周期提供报表数据。提供界面截图；</w:t>
            </w:r>
          </w:p>
        </w:tc>
      </w:tr>
      <w:tr>
        <w:trPr>
          <w:trHeight w:val="270" w:hRule="atLeast"/>
          <w:jc w:val="center"/>
        </w:trPr>
        <w:tc>
          <w:tcPr>
            <w:tcW w:w="380" w:type="pct"/>
            <w:vMerge w:val="continue"/>
            <w:tcBorders>
              <w:top w:val="nil"/>
              <w:left w:val="single" w:color="auto" w:sz="4" w:space="0"/>
              <w:bottom w:val="single" w:color="auto" w:sz="4" w:space="0"/>
              <w:right w:val="single" w:color="auto" w:sz="4" w:space="0"/>
            </w:tcBorders>
            <w:vAlign w:val="center"/>
          </w:tcPr>
          <w:p>
            <w:pPr>
              <w:jc w:val="center"/>
              <w:rPr>
                <w:rFonts w:ascii="宋体" w:hAnsi="宋体" w:cs="宋体"/>
                <w:b/>
                <w:bCs/>
                <w:color w:val="000000"/>
                <w:kern w:val="0"/>
              </w:rPr>
            </w:pPr>
          </w:p>
        </w:tc>
        <w:tc>
          <w:tcPr>
            <w:tcW w:w="4620"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支持自动将报表发送到指定的Email地址。</w:t>
            </w:r>
          </w:p>
        </w:tc>
      </w:tr>
      <w:tr>
        <w:tblPrEx>
          <w:tblCellMar>
            <w:top w:w="0" w:type="dxa"/>
            <w:left w:w="108" w:type="dxa"/>
            <w:bottom w:w="0" w:type="dxa"/>
            <w:right w:w="108" w:type="dxa"/>
          </w:tblCellMar>
        </w:tblPrEx>
        <w:trPr>
          <w:trHeight w:val="270" w:hRule="atLeast"/>
          <w:jc w:val="center"/>
        </w:trPr>
        <w:tc>
          <w:tcPr>
            <w:tcW w:w="380" w:type="pct"/>
            <w:tcBorders>
              <w:top w:val="nil"/>
              <w:left w:val="single" w:color="auto" w:sz="4" w:space="0"/>
              <w:bottom w:val="single" w:color="auto" w:sz="4" w:space="0"/>
              <w:right w:val="single" w:color="auto" w:sz="4" w:space="0"/>
            </w:tcBorders>
            <w:vAlign w:val="center"/>
          </w:tcPr>
          <w:p>
            <w:pPr>
              <w:jc w:val="center"/>
              <w:rPr>
                <w:rFonts w:hint="default" w:ascii="宋体" w:hAnsi="宋体" w:cs="宋体" w:eastAsiaTheme="minorEastAsia"/>
                <w:b/>
                <w:bCs/>
                <w:color w:val="000000"/>
                <w:kern w:val="0"/>
                <w:lang w:val="en-US" w:eastAsia="zh-CN"/>
              </w:rPr>
            </w:pPr>
            <w:r>
              <w:rPr>
                <w:rFonts w:hint="eastAsia" w:ascii="宋体" w:hAnsi="宋体" w:cs="宋体"/>
                <w:b/>
                <w:bCs/>
                <w:color w:val="000000"/>
                <w:kern w:val="0"/>
                <w:lang w:val="en-US" w:eastAsia="zh-CN"/>
              </w:rPr>
              <w:t>项目管理</w:t>
            </w:r>
          </w:p>
        </w:tc>
        <w:tc>
          <w:tcPr>
            <w:tcW w:w="4620" w:type="pct"/>
            <w:tcBorders>
              <w:top w:val="nil"/>
              <w:left w:val="nil"/>
              <w:bottom w:val="single" w:color="auto" w:sz="4" w:space="0"/>
              <w:right w:val="single" w:color="auto" w:sz="4" w:space="0"/>
            </w:tcBorders>
            <w:vAlign w:val="center"/>
          </w:tcPr>
          <w:p>
            <w:pPr>
              <w:rPr>
                <w:rFonts w:hint="default" w:ascii="宋体" w:hAnsi="宋体" w:cs="宋体" w:eastAsiaTheme="minorEastAsia"/>
                <w:color w:val="000000"/>
                <w:kern w:val="0"/>
                <w:lang w:val="en-US" w:eastAsia="zh-CN"/>
              </w:rPr>
            </w:pPr>
            <w:r>
              <w:rPr>
                <w:rFonts w:hint="eastAsia" w:ascii="宋体" w:hAnsi="宋体" w:cs="宋体"/>
                <w:color w:val="000000"/>
                <w:kern w:val="0"/>
                <w:lang w:val="en-US" w:eastAsia="zh-CN"/>
              </w:rPr>
              <w:t>支持项目管理，实现支持基于资源组的细粒度授权</w:t>
            </w:r>
          </w:p>
        </w:tc>
      </w:tr>
      <w:tr>
        <w:tblPrEx>
          <w:tblCellMar>
            <w:top w:w="0" w:type="dxa"/>
            <w:left w:w="108" w:type="dxa"/>
            <w:bottom w:w="0" w:type="dxa"/>
            <w:right w:w="108" w:type="dxa"/>
          </w:tblCellMar>
        </w:tblPrEx>
        <w:trPr>
          <w:trHeight w:val="270" w:hRule="atLeast"/>
          <w:jc w:val="center"/>
        </w:trPr>
        <w:tc>
          <w:tcPr>
            <w:tcW w:w="380" w:type="pct"/>
            <w:tcBorders>
              <w:top w:val="nil"/>
              <w:left w:val="single" w:color="auto" w:sz="4" w:space="0"/>
              <w:bottom w:val="single" w:color="auto" w:sz="4" w:space="0"/>
              <w:right w:val="single" w:color="auto" w:sz="4" w:space="0"/>
            </w:tcBorders>
            <w:vAlign w:val="center"/>
          </w:tcPr>
          <w:p>
            <w:pPr>
              <w:jc w:val="center"/>
              <w:rPr>
                <w:rFonts w:hint="default" w:ascii="宋体" w:hAnsi="宋体" w:cs="宋体" w:eastAsiaTheme="minorEastAsia"/>
                <w:b/>
                <w:bCs/>
                <w:color w:val="000000"/>
                <w:kern w:val="0"/>
                <w:lang w:val="en-US" w:eastAsia="zh-CN"/>
              </w:rPr>
            </w:pPr>
            <w:r>
              <w:rPr>
                <w:rFonts w:hint="eastAsia" w:ascii="宋体" w:hAnsi="宋体" w:cs="宋体"/>
                <w:b/>
                <w:bCs/>
                <w:color w:val="000000"/>
                <w:kern w:val="0"/>
                <w:lang w:val="en-US" w:eastAsia="zh-CN"/>
              </w:rPr>
              <w:t>权限管理</w:t>
            </w:r>
          </w:p>
        </w:tc>
        <w:tc>
          <w:tcPr>
            <w:tcW w:w="4620" w:type="pct"/>
            <w:tcBorders>
              <w:top w:val="nil"/>
              <w:left w:val="nil"/>
              <w:bottom w:val="single" w:color="auto" w:sz="4" w:space="0"/>
              <w:right w:val="single" w:color="auto" w:sz="4" w:space="0"/>
            </w:tcBorders>
            <w:vAlign w:val="center"/>
          </w:tcPr>
          <w:p>
            <w:pPr>
              <w:rPr>
                <w:rFonts w:hint="default" w:ascii="宋体" w:hAnsi="宋体" w:cs="宋体" w:eastAsiaTheme="minorEastAsia"/>
                <w:color w:val="000000"/>
                <w:kern w:val="0"/>
                <w:lang w:val="en-US" w:eastAsia="zh-CN"/>
              </w:rPr>
            </w:pPr>
            <w:r>
              <w:rPr>
                <w:rFonts w:hint="eastAsia" w:ascii="宋体" w:hAnsi="宋体" w:cs="宋体"/>
                <w:color w:val="000000"/>
                <w:kern w:val="0"/>
                <w:lang w:val="en-US" w:eastAsia="zh-CN"/>
              </w:rPr>
              <w:t>ECS计算服务支持细粒度授，可根据用户的角色不同对用户授予不通的操作权限，达到精细控制的目的</w:t>
            </w:r>
          </w:p>
        </w:tc>
      </w:tr>
      <w:tr>
        <w:tblPrEx>
          <w:tblCellMar>
            <w:top w:w="0" w:type="dxa"/>
            <w:left w:w="108" w:type="dxa"/>
            <w:bottom w:w="0" w:type="dxa"/>
            <w:right w:w="108" w:type="dxa"/>
          </w:tblCellMar>
        </w:tblPrEx>
        <w:trPr>
          <w:trHeight w:val="270" w:hRule="atLeast"/>
          <w:jc w:val="center"/>
        </w:trPr>
        <w:tc>
          <w:tcPr>
            <w:tcW w:w="380" w:type="pct"/>
            <w:vMerge w:val="restart"/>
            <w:tcBorders>
              <w:top w:val="nil"/>
              <w:left w:val="single" w:color="auto" w:sz="4" w:space="0"/>
              <w:bottom w:val="single" w:color="auto" w:sz="4" w:space="0"/>
              <w:right w:val="single" w:color="auto" w:sz="4" w:space="0"/>
            </w:tcBorders>
            <w:vAlign w:val="center"/>
          </w:tcPr>
          <w:p>
            <w:pPr>
              <w:jc w:val="center"/>
              <w:rPr>
                <w:rFonts w:ascii="宋体" w:hAnsi="宋体" w:cs="宋体"/>
                <w:b/>
                <w:bCs/>
                <w:color w:val="000000"/>
                <w:kern w:val="0"/>
              </w:rPr>
            </w:pPr>
            <w:r>
              <w:rPr>
                <w:rFonts w:ascii="宋体" w:hAnsi="宋体" w:cs="宋体"/>
                <w:b/>
                <w:bCs/>
                <w:color w:val="000000"/>
                <w:kern w:val="0"/>
              </w:rPr>
              <w:t>设备管理</w:t>
            </w:r>
          </w:p>
        </w:tc>
        <w:tc>
          <w:tcPr>
            <w:tcW w:w="4620"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一、统一设备管理：</w:t>
            </w:r>
          </w:p>
        </w:tc>
      </w:tr>
      <w:tr>
        <w:tblPrEx>
          <w:tblCellMar>
            <w:top w:w="0" w:type="dxa"/>
            <w:left w:w="108" w:type="dxa"/>
            <w:bottom w:w="0" w:type="dxa"/>
            <w:right w:w="108" w:type="dxa"/>
          </w:tblCellMar>
        </w:tblPrEx>
        <w:trPr>
          <w:trHeight w:val="510" w:hRule="atLeast"/>
          <w:jc w:val="center"/>
        </w:trPr>
        <w:tc>
          <w:tcPr>
            <w:tcW w:w="380" w:type="pct"/>
            <w:vMerge w:val="continue"/>
            <w:tcBorders>
              <w:top w:val="nil"/>
              <w:left w:val="single" w:color="auto" w:sz="4" w:space="0"/>
              <w:bottom w:val="single" w:color="auto" w:sz="4" w:space="0"/>
              <w:right w:val="single" w:color="auto" w:sz="4" w:space="0"/>
            </w:tcBorders>
            <w:vAlign w:val="center"/>
          </w:tcPr>
          <w:p>
            <w:pPr>
              <w:rPr>
                <w:rFonts w:ascii="宋体" w:hAnsi="宋体" w:cs="宋体"/>
                <w:b/>
                <w:bCs/>
                <w:color w:val="000000"/>
                <w:kern w:val="0"/>
              </w:rPr>
            </w:pPr>
          </w:p>
        </w:tc>
        <w:tc>
          <w:tcPr>
            <w:tcW w:w="4620"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1、提供统一设备管理能力，统一管理包括数据中心存储、服务器、应用、网络设备（路由器、交换机、防火墙），提供全网资源信息的Dashboard（分类总数、资源利用情况、关键指标Top，如CPU、内存等）；</w:t>
            </w:r>
          </w:p>
        </w:tc>
      </w:tr>
      <w:tr>
        <w:trPr>
          <w:trHeight w:val="270" w:hRule="atLeast"/>
          <w:jc w:val="center"/>
        </w:trPr>
        <w:tc>
          <w:tcPr>
            <w:tcW w:w="380" w:type="pct"/>
            <w:vMerge w:val="continue"/>
            <w:tcBorders>
              <w:top w:val="nil"/>
              <w:left w:val="single" w:color="auto" w:sz="4" w:space="0"/>
              <w:bottom w:val="single" w:color="auto" w:sz="4" w:space="0"/>
              <w:right w:val="single" w:color="auto" w:sz="4" w:space="0"/>
            </w:tcBorders>
            <w:vAlign w:val="center"/>
          </w:tcPr>
          <w:p>
            <w:pPr>
              <w:rPr>
                <w:rFonts w:ascii="宋体" w:hAnsi="宋体" w:cs="宋体"/>
                <w:b/>
                <w:bCs/>
                <w:color w:val="000000"/>
                <w:kern w:val="0"/>
              </w:rPr>
            </w:pPr>
          </w:p>
        </w:tc>
        <w:tc>
          <w:tcPr>
            <w:tcW w:w="4620"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2、支持管理主机设备、网络设备、存储设备等第三方主流厂商设备的管理；</w:t>
            </w:r>
          </w:p>
        </w:tc>
      </w:tr>
      <w:tr>
        <w:tblPrEx>
          <w:tblCellMar>
            <w:top w:w="0" w:type="dxa"/>
            <w:left w:w="108" w:type="dxa"/>
            <w:bottom w:w="0" w:type="dxa"/>
            <w:right w:w="108" w:type="dxa"/>
          </w:tblCellMar>
        </w:tblPrEx>
        <w:trPr>
          <w:trHeight w:val="270" w:hRule="atLeast"/>
          <w:jc w:val="center"/>
        </w:trPr>
        <w:tc>
          <w:tcPr>
            <w:tcW w:w="380" w:type="pct"/>
            <w:vMerge w:val="continue"/>
            <w:tcBorders>
              <w:top w:val="nil"/>
              <w:left w:val="single" w:color="auto" w:sz="4" w:space="0"/>
              <w:bottom w:val="single" w:color="auto" w:sz="4" w:space="0"/>
              <w:right w:val="single" w:color="auto" w:sz="4" w:space="0"/>
            </w:tcBorders>
            <w:vAlign w:val="center"/>
          </w:tcPr>
          <w:p>
            <w:pPr>
              <w:rPr>
                <w:rFonts w:ascii="宋体" w:hAnsi="宋体" w:cs="宋体"/>
                <w:b/>
                <w:bCs/>
                <w:color w:val="000000"/>
                <w:kern w:val="0"/>
              </w:rPr>
            </w:pPr>
          </w:p>
        </w:tc>
        <w:tc>
          <w:tcPr>
            <w:tcW w:w="4620"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3、设备规模应满足政务云未来设备增长的要求。</w:t>
            </w:r>
          </w:p>
        </w:tc>
      </w:tr>
      <w:tr>
        <w:tblPrEx>
          <w:tblCellMar>
            <w:top w:w="0" w:type="dxa"/>
            <w:left w:w="108" w:type="dxa"/>
            <w:bottom w:w="0" w:type="dxa"/>
            <w:right w:w="108" w:type="dxa"/>
          </w:tblCellMar>
        </w:tblPrEx>
        <w:trPr>
          <w:trHeight w:val="270" w:hRule="atLeast"/>
          <w:jc w:val="center"/>
        </w:trPr>
        <w:tc>
          <w:tcPr>
            <w:tcW w:w="380" w:type="pct"/>
            <w:vMerge w:val="continue"/>
            <w:tcBorders>
              <w:top w:val="nil"/>
              <w:left w:val="single" w:color="auto" w:sz="4" w:space="0"/>
              <w:bottom w:val="single" w:color="auto" w:sz="4" w:space="0"/>
              <w:right w:val="single" w:color="auto" w:sz="4" w:space="0"/>
            </w:tcBorders>
            <w:vAlign w:val="center"/>
          </w:tcPr>
          <w:p>
            <w:pPr>
              <w:rPr>
                <w:rFonts w:ascii="宋体" w:hAnsi="宋体" w:cs="宋体"/>
                <w:b/>
                <w:bCs/>
                <w:color w:val="000000"/>
                <w:kern w:val="0"/>
              </w:rPr>
            </w:pPr>
          </w:p>
        </w:tc>
        <w:tc>
          <w:tcPr>
            <w:tcW w:w="4620"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4、设备分组：提供设备分组能力，支持将多台设备划入一个分组，以简化后续对这些设备的批量操作。分组在拓扑中不显示。</w:t>
            </w:r>
          </w:p>
        </w:tc>
      </w:tr>
      <w:tr>
        <w:tblPrEx>
          <w:tblCellMar>
            <w:top w:w="0" w:type="dxa"/>
            <w:left w:w="108" w:type="dxa"/>
            <w:bottom w:w="0" w:type="dxa"/>
            <w:right w:w="108" w:type="dxa"/>
          </w:tblCellMar>
        </w:tblPrEx>
        <w:trPr>
          <w:trHeight w:val="270" w:hRule="atLeast"/>
          <w:jc w:val="center"/>
        </w:trPr>
        <w:tc>
          <w:tcPr>
            <w:tcW w:w="380" w:type="pct"/>
            <w:vMerge w:val="continue"/>
            <w:tcBorders>
              <w:top w:val="nil"/>
              <w:left w:val="single" w:color="auto" w:sz="4" w:space="0"/>
              <w:bottom w:val="single" w:color="auto" w:sz="4" w:space="0"/>
              <w:right w:val="single" w:color="auto" w:sz="4" w:space="0"/>
            </w:tcBorders>
            <w:vAlign w:val="center"/>
          </w:tcPr>
          <w:p>
            <w:pPr>
              <w:rPr>
                <w:rFonts w:ascii="宋体" w:hAnsi="宋体" w:cs="宋体"/>
                <w:b/>
                <w:bCs/>
                <w:color w:val="000000"/>
                <w:kern w:val="0"/>
              </w:rPr>
            </w:pPr>
          </w:p>
        </w:tc>
        <w:tc>
          <w:tcPr>
            <w:tcW w:w="4620"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二、服务器管理：</w:t>
            </w:r>
          </w:p>
        </w:tc>
      </w:tr>
      <w:tr>
        <w:tblPrEx>
          <w:tblCellMar>
            <w:top w:w="0" w:type="dxa"/>
            <w:left w:w="108" w:type="dxa"/>
            <w:bottom w:w="0" w:type="dxa"/>
            <w:right w:w="108" w:type="dxa"/>
          </w:tblCellMar>
        </w:tblPrEx>
        <w:trPr>
          <w:trHeight w:val="510" w:hRule="atLeast"/>
          <w:jc w:val="center"/>
        </w:trPr>
        <w:tc>
          <w:tcPr>
            <w:tcW w:w="380" w:type="pct"/>
            <w:vMerge w:val="continue"/>
            <w:tcBorders>
              <w:top w:val="nil"/>
              <w:left w:val="single" w:color="auto" w:sz="4" w:space="0"/>
              <w:bottom w:val="single" w:color="auto" w:sz="4" w:space="0"/>
              <w:right w:val="single" w:color="auto" w:sz="4" w:space="0"/>
            </w:tcBorders>
            <w:vAlign w:val="center"/>
          </w:tcPr>
          <w:p>
            <w:pPr>
              <w:rPr>
                <w:rFonts w:ascii="宋体" w:hAnsi="宋体" w:cs="宋体"/>
                <w:b/>
                <w:bCs/>
                <w:color w:val="000000"/>
                <w:kern w:val="0"/>
              </w:rPr>
            </w:pPr>
          </w:p>
        </w:tc>
        <w:tc>
          <w:tcPr>
            <w:tcW w:w="4620"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1、基本信息管理：通过机架图等可视化方式，提供服务器以及各部件基本信息、健康状态的展示功能，并可通过远程KVM和虚拟媒体远程操作服务器；</w:t>
            </w:r>
          </w:p>
        </w:tc>
      </w:tr>
      <w:tr>
        <w:tblPrEx>
          <w:tblCellMar>
            <w:top w:w="0" w:type="dxa"/>
            <w:left w:w="108" w:type="dxa"/>
            <w:bottom w:w="0" w:type="dxa"/>
            <w:right w:w="108" w:type="dxa"/>
          </w:tblCellMar>
        </w:tblPrEx>
        <w:trPr>
          <w:trHeight w:val="270" w:hRule="atLeast"/>
          <w:jc w:val="center"/>
        </w:trPr>
        <w:tc>
          <w:tcPr>
            <w:tcW w:w="380" w:type="pct"/>
            <w:vMerge w:val="continue"/>
            <w:tcBorders>
              <w:top w:val="nil"/>
              <w:left w:val="single" w:color="auto" w:sz="4" w:space="0"/>
              <w:bottom w:val="single" w:color="auto" w:sz="4" w:space="0"/>
              <w:right w:val="single" w:color="auto" w:sz="4" w:space="0"/>
            </w:tcBorders>
            <w:vAlign w:val="center"/>
          </w:tcPr>
          <w:p>
            <w:pPr>
              <w:rPr>
                <w:rFonts w:ascii="宋体" w:hAnsi="宋体" w:cs="宋体"/>
                <w:b/>
                <w:bCs/>
                <w:color w:val="000000"/>
                <w:kern w:val="0"/>
              </w:rPr>
            </w:pPr>
          </w:p>
        </w:tc>
        <w:tc>
          <w:tcPr>
            <w:tcW w:w="4620"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2、性能分析：提供网口性能、服务器功耗、CPU占用率/内存占用率、创建分析任务和时间段性能等多个指标分析；</w:t>
            </w:r>
          </w:p>
        </w:tc>
      </w:tr>
      <w:tr>
        <w:tblPrEx>
          <w:tblCellMar>
            <w:top w:w="0" w:type="dxa"/>
            <w:left w:w="108" w:type="dxa"/>
            <w:bottom w:w="0" w:type="dxa"/>
            <w:right w:w="108" w:type="dxa"/>
          </w:tblCellMar>
        </w:tblPrEx>
        <w:trPr>
          <w:trHeight w:val="270" w:hRule="atLeast"/>
          <w:jc w:val="center"/>
        </w:trPr>
        <w:tc>
          <w:tcPr>
            <w:tcW w:w="380" w:type="pct"/>
            <w:vMerge w:val="continue"/>
            <w:tcBorders>
              <w:top w:val="nil"/>
              <w:left w:val="single" w:color="auto" w:sz="4" w:space="0"/>
              <w:bottom w:val="single" w:color="auto" w:sz="4" w:space="0"/>
              <w:right w:val="single" w:color="auto" w:sz="4" w:space="0"/>
            </w:tcBorders>
            <w:vAlign w:val="center"/>
          </w:tcPr>
          <w:p>
            <w:pPr>
              <w:rPr>
                <w:rFonts w:ascii="宋体" w:hAnsi="宋体" w:cs="宋体"/>
                <w:b/>
                <w:bCs/>
                <w:color w:val="000000"/>
                <w:kern w:val="0"/>
              </w:rPr>
            </w:pPr>
          </w:p>
        </w:tc>
        <w:tc>
          <w:tcPr>
            <w:tcW w:w="4620"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3、无状态计算：通过抽象服务器硬件配置文件，使服务器的配置灵活的变更，以提高服务器故障更换和服务器扩容的效率；</w:t>
            </w:r>
          </w:p>
        </w:tc>
      </w:tr>
      <w:tr>
        <w:trPr>
          <w:trHeight w:val="270" w:hRule="atLeast"/>
          <w:jc w:val="center"/>
        </w:trPr>
        <w:tc>
          <w:tcPr>
            <w:tcW w:w="380" w:type="pct"/>
            <w:vMerge w:val="continue"/>
            <w:tcBorders>
              <w:top w:val="nil"/>
              <w:left w:val="single" w:color="auto" w:sz="4" w:space="0"/>
              <w:bottom w:val="single" w:color="auto" w:sz="4" w:space="0"/>
              <w:right w:val="single" w:color="auto" w:sz="4" w:space="0"/>
            </w:tcBorders>
            <w:vAlign w:val="center"/>
          </w:tcPr>
          <w:p>
            <w:pPr>
              <w:rPr>
                <w:rFonts w:ascii="宋体" w:hAnsi="宋体" w:cs="宋体"/>
                <w:b/>
                <w:bCs/>
                <w:color w:val="000000"/>
                <w:kern w:val="0"/>
              </w:rPr>
            </w:pPr>
          </w:p>
        </w:tc>
        <w:tc>
          <w:tcPr>
            <w:tcW w:w="4620"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4、配置部署：提供对服务器设备的批量配置及部署，包括服务器BIOS配置、网络配置、RAID卡配置、OS部署等功能。</w:t>
            </w:r>
          </w:p>
        </w:tc>
      </w:tr>
      <w:tr>
        <w:tblPrEx>
          <w:tblCellMar>
            <w:top w:w="0" w:type="dxa"/>
            <w:left w:w="108" w:type="dxa"/>
            <w:bottom w:w="0" w:type="dxa"/>
            <w:right w:w="108" w:type="dxa"/>
          </w:tblCellMar>
        </w:tblPrEx>
        <w:trPr>
          <w:trHeight w:val="312" w:hRule="atLeast"/>
          <w:jc w:val="center"/>
        </w:trPr>
        <w:tc>
          <w:tcPr>
            <w:tcW w:w="380" w:type="pct"/>
            <w:vMerge w:val="continue"/>
            <w:tcBorders>
              <w:top w:val="nil"/>
              <w:left w:val="single" w:color="auto" w:sz="4" w:space="0"/>
              <w:bottom w:val="single" w:color="auto" w:sz="4" w:space="0"/>
              <w:right w:val="single" w:color="auto" w:sz="4" w:space="0"/>
            </w:tcBorders>
            <w:vAlign w:val="center"/>
          </w:tcPr>
          <w:p>
            <w:pPr>
              <w:rPr>
                <w:rFonts w:ascii="宋体" w:hAnsi="宋体" w:cs="宋体"/>
                <w:b/>
                <w:bCs/>
                <w:color w:val="000000"/>
                <w:kern w:val="0"/>
              </w:rPr>
            </w:pPr>
          </w:p>
        </w:tc>
        <w:tc>
          <w:tcPr>
            <w:tcW w:w="4620" w:type="pct"/>
            <w:vMerge w:val="restart"/>
            <w:tcBorders>
              <w:top w:val="nil"/>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三、存储管理</w:t>
            </w:r>
          </w:p>
        </w:tc>
      </w:tr>
      <w:tr>
        <w:tblPrEx>
          <w:tblCellMar>
            <w:top w:w="0" w:type="dxa"/>
            <w:left w:w="108" w:type="dxa"/>
            <w:bottom w:w="0" w:type="dxa"/>
            <w:right w:w="108" w:type="dxa"/>
          </w:tblCellMar>
        </w:tblPrEx>
        <w:trPr>
          <w:trHeight w:val="312" w:hRule="atLeast"/>
          <w:jc w:val="center"/>
        </w:trPr>
        <w:tc>
          <w:tcPr>
            <w:tcW w:w="380" w:type="pct"/>
            <w:vMerge w:val="continue"/>
            <w:tcBorders>
              <w:top w:val="nil"/>
              <w:left w:val="single" w:color="auto" w:sz="4" w:space="0"/>
              <w:bottom w:val="single" w:color="auto" w:sz="4" w:space="0"/>
              <w:right w:val="single" w:color="auto" w:sz="4" w:space="0"/>
            </w:tcBorders>
            <w:vAlign w:val="center"/>
          </w:tcPr>
          <w:p>
            <w:pPr>
              <w:rPr>
                <w:rFonts w:ascii="宋体" w:hAnsi="宋体" w:cs="宋体"/>
                <w:b/>
                <w:bCs/>
                <w:color w:val="000000"/>
                <w:kern w:val="0"/>
              </w:rPr>
            </w:pPr>
          </w:p>
        </w:tc>
        <w:tc>
          <w:tcPr>
            <w:tcW w:w="4620" w:type="pct"/>
            <w:vMerge w:val="continue"/>
            <w:tcBorders>
              <w:top w:val="nil"/>
              <w:left w:val="single" w:color="auto" w:sz="4" w:space="0"/>
              <w:bottom w:val="single" w:color="auto" w:sz="4" w:space="0"/>
              <w:right w:val="single" w:color="auto" w:sz="4" w:space="0"/>
            </w:tcBorders>
            <w:vAlign w:val="center"/>
          </w:tcPr>
          <w:p>
            <w:pPr>
              <w:rPr>
                <w:rFonts w:ascii="宋体" w:hAnsi="宋体" w:cs="宋体"/>
                <w:color w:val="000000"/>
                <w:kern w:val="0"/>
              </w:rPr>
            </w:pPr>
          </w:p>
        </w:tc>
      </w:tr>
      <w:tr>
        <w:tblPrEx>
          <w:tblCellMar>
            <w:top w:w="0" w:type="dxa"/>
            <w:left w:w="108" w:type="dxa"/>
            <w:bottom w:w="0" w:type="dxa"/>
            <w:right w:w="108" w:type="dxa"/>
          </w:tblCellMar>
        </w:tblPrEx>
        <w:trPr>
          <w:trHeight w:val="510" w:hRule="atLeast"/>
          <w:jc w:val="center"/>
        </w:trPr>
        <w:tc>
          <w:tcPr>
            <w:tcW w:w="380" w:type="pct"/>
            <w:vMerge w:val="continue"/>
            <w:tcBorders>
              <w:top w:val="nil"/>
              <w:left w:val="single" w:color="auto" w:sz="4" w:space="0"/>
              <w:bottom w:val="single" w:color="auto" w:sz="4" w:space="0"/>
              <w:right w:val="single" w:color="auto" w:sz="4" w:space="0"/>
            </w:tcBorders>
            <w:vAlign w:val="center"/>
          </w:tcPr>
          <w:p>
            <w:pPr>
              <w:rPr>
                <w:rFonts w:ascii="宋体" w:hAnsi="宋体" w:cs="宋体"/>
                <w:b/>
                <w:bCs/>
                <w:color w:val="000000"/>
                <w:kern w:val="0"/>
              </w:rPr>
            </w:pPr>
          </w:p>
        </w:tc>
        <w:tc>
          <w:tcPr>
            <w:tcW w:w="4620"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1、提供存储容量利用率预测能力，支持查看和统计存储空间使用情况，包括磁盘空间分配、存储池利用率；支持主机实际存储、虚拟机存储空间使用率查看；提供容量预测的功能，可作为扩容的依据，比如从主机角度预测硬盘容量、文件系统容量等；</w:t>
            </w:r>
          </w:p>
        </w:tc>
      </w:tr>
      <w:tr>
        <w:tblPrEx>
          <w:tblCellMar>
            <w:top w:w="0" w:type="dxa"/>
            <w:left w:w="108" w:type="dxa"/>
            <w:bottom w:w="0" w:type="dxa"/>
            <w:right w:w="108" w:type="dxa"/>
          </w:tblCellMar>
        </w:tblPrEx>
        <w:trPr>
          <w:trHeight w:val="270" w:hRule="atLeast"/>
          <w:jc w:val="center"/>
        </w:trPr>
        <w:tc>
          <w:tcPr>
            <w:tcW w:w="380" w:type="pct"/>
            <w:vMerge w:val="continue"/>
            <w:tcBorders>
              <w:top w:val="nil"/>
              <w:left w:val="single" w:color="auto" w:sz="4" w:space="0"/>
              <w:bottom w:val="single" w:color="auto" w:sz="4" w:space="0"/>
              <w:right w:val="single" w:color="auto" w:sz="4" w:space="0"/>
            </w:tcBorders>
            <w:vAlign w:val="center"/>
          </w:tcPr>
          <w:p>
            <w:pPr>
              <w:rPr>
                <w:rFonts w:ascii="宋体" w:hAnsi="宋体" w:cs="宋体"/>
                <w:b/>
                <w:bCs/>
                <w:color w:val="000000"/>
                <w:kern w:val="0"/>
              </w:rPr>
            </w:pPr>
          </w:p>
        </w:tc>
        <w:tc>
          <w:tcPr>
            <w:tcW w:w="4620"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2、提供系统内部物理和逻辑组件间的关联关系可视化展示，以便故障发生时能够精确定位。</w:t>
            </w:r>
          </w:p>
        </w:tc>
      </w:tr>
      <w:tr>
        <w:trPr>
          <w:trHeight w:val="270" w:hRule="atLeast"/>
          <w:jc w:val="center"/>
        </w:trPr>
        <w:tc>
          <w:tcPr>
            <w:tcW w:w="380" w:type="pct"/>
            <w:vMerge w:val="continue"/>
            <w:tcBorders>
              <w:top w:val="nil"/>
              <w:left w:val="single" w:color="auto" w:sz="4" w:space="0"/>
              <w:bottom w:val="single" w:color="auto" w:sz="4" w:space="0"/>
              <w:right w:val="single" w:color="auto" w:sz="4" w:space="0"/>
            </w:tcBorders>
            <w:vAlign w:val="center"/>
          </w:tcPr>
          <w:p>
            <w:pPr>
              <w:rPr>
                <w:rFonts w:ascii="宋体" w:hAnsi="宋体" w:cs="宋体"/>
                <w:b/>
                <w:bCs/>
                <w:color w:val="000000"/>
                <w:kern w:val="0"/>
              </w:rPr>
            </w:pPr>
          </w:p>
        </w:tc>
        <w:tc>
          <w:tcPr>
            <w:tcW w:w="4620"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四、安全管理</w:t>
            </w:r>
          </w:p>
        </w:tc>
      </w:tr>
      <w:tr>
        <w:tblPrEx>
          <w:tblCellMar>
            <w:top w:w="0" w:type="dxa"/>
            <w:left w:w="108" w:type="dxa"/>
            <w:bottom w:w="0" w:type="dxa"/>
            <w:right w:w="108" w:type="dxa"/>
          </w:tblCellMar>
        </w:tblPrEx>
        <w:trPr>
          <w:trHeight w:val="510" w:hRule="atLeast"/>
          <w:jc w:val="center"/>
        </w:trPr>
        <w:tc>
          <w:tcPr>
            <w:tcW w:w="380" w:type="pct"/>
            <w:vMerge w:val="continue"/>
            <w:tcBorders>
              <w:top w:val="nil"/>
              <w:left w:val="single" w:color="auto" w:sz="4" w:space="0"/>
              <w:bottom w:val="single" w:color="auto" w:sz="4" w:space="0"/>
              <w:right w:val="single" w:color="auto" w:sz="4" w:space="0"/>
            </w:tcBorders>
            <w:vAlign w:val="center"/>
          </w:tcPr>
          <w:p>
            <w:pPr>
              <w:rPr>
                <w:rFonts w:ascii="宋体" w:hAnsi="宋体" w:cs="宋体"/>
                <w:b/>
                <w:bCs/>
                <w:color w:val="000000"/>
                <w:kern w:val="0"/>
              </w:rPr>
            </w:pPr>
          </w:p>
        </w:tc>
        <w:tc>
          <w:tcPr>
            <w:tcW w:w="4620"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1、用户管理：提供用户创建、删除、查看、修改等功能，缺省提供admin用户作为超级用户。其中，用户密码使用不可逆算法PBKDF2加密存储保障安全性；</w:t>
            </w:r>
          </w:p>
        </w:tc>
      </w:tr>
      <w:tr>
        <w:tblPrEx>
          <w:tblCellMar>
            <w:top w:w="0" w:type="dxa"/>
            <w:left w:w="108" w:type="dxa"/>
            <w:bottom w:w="0" w:type="dxa"/>
            <w:right w:w="108" w:type="dxa"/>
          </w:tblCellMar>
        </w:tblPrEx>
        <w:trPr>
          <w:trHeight w:val="270" w:hRule="atLeast"/>
          <w:jc w:val="center"/>
        </w:trPr>
        <w:tc>
          <w:tcPr>
            <w:tcW w:w="380" w:type="pct"/>
            <w:vMerge w:val="continue"/>
            <w:tcBorders>
              <w:top w:val="nil"/>
              <w:left w:val="single" w:color="auto" w:sz="4" w:space="0"/>
              <w:bottom w:val="single" w:color="auto" w:sz="4" w:space="0"/>
              <w:right w:val="single" w:color="auto" w:sz="4" w:space="0"/>
            </w:tcBorders>
            <w:vAlign w:val="center"/>
          </w:tcPr>
          <w:p>
            <w:pPr>
              <w:rPr>
                <w:rFonts w:ascii="宋体" w:hAnsi="宋体" w:cs="宋体"/>
                <w:b/>
                <w:bCs/>
                <w:color w:val="000000"/>
                <w:kern w:val="0"/>
              </w:rPr>
            </w:pPr>
          </w:p>
        </w:tc>
        <w:tc>
          <w:tcPr>
            <w:tcW w:w="4620"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2、角色管理：提供角色创建、修改、删除及查看等功能；</w:t>
            </w:r>
          </w:p>
        </w:tc>
      </w:tr>
      <w:tr>
        <w:tblPrEx>
          <w:tblCellMar>
            <w:top w:w="0" w:type="dxa"/>
            <w:left w:w="108" w:type="dxa"/>
            <w:bottom w:w="0" w:type="dxa"/>
            <w:right w:w="108" w:type="dxa"/>
          </w:tblCellMar>
        </w:tblPrEx>
        <w:trPr>
          <w:trHeight w:val="270" w:hRule="atLeast"/>
          <w:jc w:val="center"/>
        </w:trPr>
        <w:tc>
          <w:tcPr>
            <w:tcW w:w="380" w:type="pct"/>
            <w:vMerge w:val="continue"/>
            <w:tcBorders>
              <w:top w:val="nil"/>
              <w:left w:val="single" w:color="auto" w:sz="4" w:space="0"/>
              <w:bottom w:val="single" w:color="auto" w:sz="4" w:space="0"/>
              <w:right w:val="single" w:color="auto" w:sz="4" w:space="0"/>
            </w:tcBorders>
            <w:vAlign w:val="center"/>
          </w:tcPr>
          <w:p>
            <w:pPr>
              <w:rPr>
                <w:rFonts w:ascii="宋体" w:hAnsi="宋体" w:cs="宋体"/>
                <w:b/>
                <w:bCs/>
                <w:color w:val="000000"/>
                <w:kern w:val="0"/>
              </w:rPr>
            </w:pPr>
          </w:p>
        </w:tc>
        <w:tc>
          <w:tcPr>
            <w:tcW w:w="4620"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3、鉴权管理：提供多种种鉴权方式。包括不限于</w:t>
            </w:r>
          </w:p>
        </w:tc>
      </w:tr>
      <w:tr>
        <w:tblPrEx>
          <w:tblCellMar>
            <w:top w:w="0" w:type="dxa"/>
            <w:left w:w="108" w:type="dxa"/>
            <w:bottom w:w="0" w:type="dxa"/>
            <w:right w:w="108" w:type="dxa"/>
          </w:tblCellMar>
        </w:tblPrEx>
        <w:trPr>
          <w:trHeight w:val="270" w:hRule="atLeast"/>
          <w:jc w:val="center"/>
        </w:trPr>
        <w:tc>
          <w:tcPr>
            <w:tcW w:w="380" w:type="pct"/>
            <w:vMerge w:val="continue"/>
            <w:tcBorders>
              <w:top w:val="nil"/>
              <w:left w:val="single" w:color="auto" w:sz="4" w:space="0"/>
              <w:bottom w:val="single" w:color="auto" w:sz="4" w:space="0"/>
              <w:right w:val="single" w:color="auto" w:sz="4" w:space="0"/>
            </w:tcBorders>
            <w:vAlign w:val="center"/>
          </w:tcPr>
          <w:p>
            <w:pPr>
              <w:rPr>
                <w:rFonts w:ascii="宋体" w:hAnsi="宋体" w:cs="宋体"/>
                <w:b/>
                <w:bCs/>
                <w:color w:val="000000"/>
                <w:kern w:val="0"/>
              </w:rPr>
            </w:pPr>
          </w:p>
        </w:tc>
        <w:tc>
          <w:tcPr>
            <w:tcW w:w="4620"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4、本地认证：提供用户管理、登录鉴权、安全策略等功能；</w:t>
            </w:r>
          </w:p>
        </w:tc>
      </w:tr>
      <w:tr>
        <w:trPr>
          <w:trHeight w:val="270" w:hRule="atLeast"/>
          <w:jc w:val="center"/>
        </w:trPr>
        <w:tc>
          <w:tcPr>
            <w:tcW w:w="380" w:type="pct"/>
            <w:vMerge w:val="continue"/>
            <w:tcBorders>
              <w:top w:val="nil"/>
              <w:left w:val="single" w:color="auto" w:sz="4" w:space="0"/>
              <w:bottom w:val="single" w:color="auto" w:sz="4" w:space="0"/>
              <w:right w:val="single" w:color="auto" w:sz="4" w:space="0"/>
            </w:tcBorders>
            <w:vAlign w:val="center"/>
          </w:tcPr>
          <w:p>
            <w:pPr>
              <w:rPr>
                <w:rFonts w:ascii="宋体" w:hAnsi="宋体" w:cs="宋体"/>
                <w:b/>
                <w:bCs/>
                <w:color w:val="000000"/>
                <w:kern w:val="0"/>
              </w:rPr>
            </w:pPr>
          </w:p>
        </w:tc>
        <w:tc>
          <w:tcPr>
            <w:tcW w:w="4620"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5、RADIUS认证：由RADIUS服务器对登录请求进行认证，根据用户在RADIUS服务器上的所属用户组，映射到管理系统中所属角色为用户授权；</w:t>
            </w:r>
          </w:p>
        </w:tc>
      </w:tr>
      <w:tr>
        <w:tblPrEx>
          <w:tblCellMar>
            <w:top w:w="0" w:type="dxa"/>
            <w:left w:w="108" w:type="dxa"/>
            <w:bottom w:w="0" w:type="dxa"/>
            <w:right w:w="108" w:type="dxa"/>
          </w:tblCellMar>
        </w:tblPrEx>
        <w:trPr>
          <w:trHeight w:val="270" w:hRule="atLeast"/>
          <w:jc w:val="center"/>
        </w:trPr>
        <w:tc>
          <w:tcPr>
            <w:tcW w:w="380" w:type="pct"/>
            <w:vMerge w:val="continue"/>
            <w:tcBorders>
              <w:top w:val="nil"/>
              <w:left w:val="single" w:color="auto" w:sz="4" w:space="0"/>
              <w:bottom w:val="single" w:color="auto" w:sz="4" w:space="0"/>
              <w:right w:val="single" w:color="auto" w:sz="4" w:space="0"/>
            </w:tcBorders>
            <w:vAlign w:val="center"/>
          </w:tcPr>
          <w:p>
            <w:pPr>
              <w:rPr>
                <w:rFonts w:ascii="宋体" w:hAnsi="宋体" w:cs="宋体"/>
                <w:b/>
                <w:bCs/>
                <w:color w:val="000000"/>
                <w:kern w:val="0"/>
              </w:rPr>
            </w:pPr>
          </w:p>
        </w:tc>
        <w:tc>
          <w:tcPr>
            <w:tcW w:w="4620"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6、LDAP认证：由LDAP服务器对登录请求进行认证；并根据LDAP服务器上用户所属用户组，映射到管理系统中所属角色来为用户授权。</w:t>
            </w:r>
          </w:p>
        </w:tc>
      </w:tr>
      <w:tr>
        <w:tblPrEx>
          <w:tblCellMar>
            <w:top w:w="0" w:type="dxa"/>
            <w:left w:w="108" w:type="dxa"/>
            <w:bottom w:w="0" w:type="dxa"/>
            <w:right w:w="108" w:type="dxa"/>
          </w:tblCellMar>
        </w:tblPrEx>
        <w:trPr>
          <w:trHeight w:val="270" w:hRule="atLeast"/>
          <w:jc w:val="center"/>
        </w:trPr>
        <w:tc>
          <w:tcPr>
            <w:tcW w:w="380" w:type="pct"/>
            <w:vMerge w:val="continue"/>
            <w:tcBorders>
              <w:top w:val="nil"/>
              <w:left w:val="single" w:color="auto" w:sz="4" w:space="0"/>
              <w:bottom w:val="single" w:color="auto" w:sz="4" w:space="0"/>
              <w:right w:val="single" w:color="auto" w:sz="4" w:space="0"/>
            </w:tcBorders>
            <w:vAlign w:val="center"/>
          </w:tcPr>
          <w:p>
            <w:pPr>
              <w:rPr>
                <w:rFonts w:ascii="宋体" w:hAnsi="宋体" w:cs="宋体"/>
                <w:b/>
                <w:bCs/>
                <w:color w:val="000000"/>
                <w:kern w:val="0"/>
              </w:rPr>
            </w:pPr>
          </w:p>
        </w:tc>
        <w:tc>
          <w:tcPr>
            <w:tcW w:w="4620"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五、网络管理：</w:t>
            </w:r>
          </w:p>
        </w:tc>
      </w:tr>
      <w:tr>
        <w:tblPrEx>
          <w:tblCellMar>
            <w:top w:w="0" w:type="dxa"/>
            <w:left w:w="108" w:type="dxa"/>
            <w:bottom w:w="0" w:type="dxa"/>
            <w:right w:w="108" w:type="dxa"/>
          </w:tblCellMar>
        </w:tblPrEx>
        <w:trPr>
          <w:trHeight w:val="510" w:hRule="atLeast"/>
          <w:jc w:val="center"/>
        </w:trPr>
        <w:tc>
          <w:tcPr>
            <w:tcW w:w="380" w:type="pct"/>
            <w:vMerge w:val="continue"/>
            <w:tcBorders>
              <w:top w:val="nil"/>
              <w:left w:val="single" w:color="auto" w:sz="4" w:space="0"/>
              <w:bottom w:val="single" w:color="auto" w:sz="4" w:space="0"/>
              <w:right w:val="single" w:color="auto" w:sz="4" w:space="0"/>
            </w:tcBorders>
            <w:vAlign w:val="center"/>
          </w:tcPr>
          <w:p>
            <w:pPr>
              <w:rPr>
                <w:rFonts w:ascii="宋体" w:hAnsi="宋体" w:cs="宋体"/>
                <w:b/>
                <w:bCs/>
                <w:color w:val="000000"/>
                <w:kern w:val="0"/>
              </w:rPr>
            </w:pPr>
          </w:p>
        </w:tc>
        <w:tc>
          <w:tcPr>
            <w:tcW w:w="4620"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1、支持通过流量分析了解流量的构成和分布。根据接收到的Flow报文自动添加设备， 并且自动分析设备接口流量，提供各种纬度的报表展现；用户也可以灵活调整哪些设备接口监控、哪些不监控；</w:t>
            </w:r>
          </w:p>
        </w:tc>
      </w:tr>
      <w:tr>
        <w:tblPrEx>
          <w:tblCellMar>
            <w:top w:w="0" w:type="dxa"/>
            <w:left w:w="108" w:type="dxa"/>
            <w:bottom w:w="0" w:type="dxa"/>
            <w:right w:w="108" w:type="dxa"/>
          </w:tblCellMar>
        </w:tblPrEx>
        <w:trPr>
          <w:trHeight w:val="270" w:hRule="atLeast"/>
          <w:jc w:val="center"/>
        </w:trPr>
        <w:tc>
          <w:tcPr>
            <w:tcW w:w="380" w:type="pct"/>
            <w:vMerge w:val="continue"/>
            <w:tcBorders>
              <w:top w:val="nil"/>
              <w:left w:val="single" w:color="auto" w:sz="4" w:space="0"/>
              <w:bottom w:val="single" w:color="auto" w:sz="4" w:space="0"/>
              <w:right w:val="single" w:color="auto" w:sz="4" w:space="0"/>
            </w:tcBorders>
            <w:vAlign w:val="center"/>
          </w:tcPr>
          <w:p>
            <w:pPr>
              <w:rPr>
                <w:rFonts w:ascii="宋体" w:hAnsi="宋体" w:cs="宋体"/>
                <w:b/>
                <w:bCs/>
                <w:color w:val="000000"/>
                <w:kern w:val="0"/>
              </w:rPr>
            </w:pPr>
          </w:p>
        </w:tc>
        <w:tc>
          <w:tcPr>
            <w:tcW w:w="4620"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2、支持可订制的dashboard操控板、图形化界面能反馈全网流量状况，并且面板流量数据支持实时动态局部刷新；</w:t>
            </w:r>
          </w:p>
        </w:tc>
      </w:tr>
      <w:tr>
        <w:trPr>
          <w:trHeight w:val="270" w:hRule="atLeast"/>
          <w:jc w:val="center"/>
        </w:trPr>
        <w:tc>
          <w:tcPr>
            <w:tcW w:w="380" w:type="pct"/>
            <w:vMerge w:val="continue"/>
            <w:tcBorders>
              <w:top w:val="nil"/>
              <w:left w:val="single" w:color="auto" w:sz="4" w:space="0"/>
              <w:bottom w:val="single" w:color="auto" w:sz="4" w:space="0"/>
              <w:right w:val="single" w:color="auto" w:sz="4" w:space="0"/>
            </w:tcBorders>
            <w:vAlign w:val="center"/>
          </w:tcPr>
          <w:p>
            <w:pPr>
              <w:rPr>
                <w:rFonts w:ascii="宋体" w:hAnsi="宋体" w:cs="宋体"/>
                <w:b/>
                <w:bCs/>
                <w:color w:val="000000"/>
                <w:kern w:val="0"/>
              </w:rPr>
            </w:pPr>
          </w:p>
        </w:tc>
        <w:tc>
          <w:tcPr>
            <w:tcW w:w="4620"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 xml:space="preserve">3、提供接口、应用、来源主机、目的主机、DSCP、会话、接口组、应用组等多个维度的流量数据； </w:t>
            </w:r>
          </w:p>
        </w:tc>
      </w:tr>
      <w:tr>
        <w:tblPrEx>
          <w:tblCellMar>
            <w:top w:w="0" w:type="dxa"/>
            <w:left w:w="108" w:type="dxa"/>
            <w:bottom w:w="0" w:type="dxa"/>
            <w:right w:w="108" w:type="dxa"/>
          </w:tblCellMar>
        </w:tblPrEx>
        <w:trPr>
          <w:trHeight w:val="270" w:hRule="atLeast"/>
          <w:jc w:val="center"/>
        </w:trPr>
        <w:tc>
          <w:tcPr>
            <w:tcW w:w="380" w:type="pct"/>
            <w:vMerge w:val="continue"/>
            <w:tcBorders>
              <w:top w:val="nil"/>
              <w:left w:val="single" w:color="auto" w:sz="4" w:space="0"/>
              <w:bottom w:val="single" w:color="auto" w:sz="4" w:space="0"/>
              <w:right w:val="single" w:color="auto" w:sz="4" w:space="0"/>
            </w:tcBorders>
            <w:vAlign w:val="center"/>
          </w:tcPr>
          <w:p>
            <w:pPr>
              <w:rPr>
                <w:rFonts w:ascii="宋体" w:hAnsi="宋体" w:cs="宋体"/>
                <w:b/>
                <w:bCs/>
                <w:color w:val="000000"/>
                <w:kern w:val="0"/>
              </w:rPr>
            </w:pPr>
          </w:p>
        </w:tc>
        <w:tc>
          <w:tcPr>
            <w:tcW w:w="4620"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4、支持下钻式的数据获取方式；</w:t>
            </w:r>
          </w:p>
        </w:tc>
      </w:tr>
      <w:tr>
        <w:tblPrEx>
          <w:tblCellMar>
            <w:top w:w="0" w:type="dxa"/>
            <w:left w:w="108" w:type="dxa"/>
            <w:bottom w:w="0" w:type="dxa"/>
            <w:right w:w="108" w:type="dxa"/>
          </w:tblCellMar>
        </w:tblPrEx>
        <w:trPr>
          <w:trHeight w:val="270" w:hRule="atLeast"/>
          <w:jc w:val="center"/>
        </w:trPr>
        <w:tc>
          <w:tcPr>
            <w:tcW w:w="380" w:type="pct"/>
            <w:vMerge w:val="continue"/>
            <w:tcBorders>
              <w:top w:val="nil"/>
              <w:left w:val="single" w:color="auto" w:sz="4" w:space="0"/>
              <w:bottom w:val="single" w:color="auto" w:sz="4" w:space="0"/>
              <w:right w:val="single" w:color="auto" w:sz="4" w:space="0"/>
            </w:tcBorders>
            <w:vAlign w:val="center"/>
          </w:tcPr>
          <w:p>
            <w:pPr>
              <w:rPr>
                <w:rFonts w:ascii="宋体" w:hAnsi="宋体" w:cs="宋体"/>
                <w:b/>
                <w:bCs/>
                <w:color w:val="000000"/>
                <w:kern w:val="0"/>
              </w:rPr>
            </w:pPr>
          </w:p>
        </w:tc>
        <w:tc>
          <w:tcPr>
            <w:tcW w:w="4620"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5、支持原始流量数据的流量审计；</w:t>
            </w:r>
          </w:p>
        </w:tc>
      </w:tr>
      <w:tr>
        <w:tblPrEx>
          <w:tblCellMar>
            <w:top w:w="0" w:type="dxa"/>
            <w:left w:w="108" w:type="dxa"/>
            <w:bottom w:w="0" w:type="dxa"/>
            <w:right w:w="108" w:type="dxa"/>
          </w:tblCellMar>
        </w:tblPrEx>
        <w:trPr>
          <w:trHeight w:val="270" w:hRule="atLeast"/>
          <w:jc w:val="center"/>
        </w:trPr>
        <w:tc>
          <w:tcPr>
            <w:tcW w:w="380" w:type="pct"/>
            <w:vMerge w:val="continue"/>
            <w:tcBorders>
              <w:top w:val="nil"/>
              <w:left w:val="single" w:color="auto" w:sz="4" w:space="0"/>
              <w:bottom w:val="single" w:color="auto" w:sz="4" w:space="0"/>
              <w:right w:val="single" w:color="auto" w:sz="4" w:space="0"/>
            </w:tcBorders>
            <w:vAlign w:val="center"/>
          </w:tcPr>
          <w:p>
            <w:pPr>
              <w:rPr>
                <w:rFonts w:ascii="宋体" w:hAnsi="宋体" w:cs="宋体"/>
                <w:b/>
                <w:bCs/>
                <w:color w:val="000000"/>
                <w:kern w:val="0"/>
              </w:rPr>
            </w:pPr>
          </w:p>
        </w:tc>
        <w:tc>
          <w:tcPr>
            <w:tcW w:w="4620"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六、安全性要求：前后台采用https协议，数据传输加密，涉及密码等敏感信息采用加密存储方式，防止泄露。</w:t>
            </w:r>
          </w:p>
        </w:tc>
      </w:tr>
      <w:tr>
        <w:tblPrEx>
          <w:tblCellMar>
            <w:top w:w="0" w:type="dxa"/>
            <w:left w:w="108" w:type="dxa"/>
            <w:bottom w:w="0" w:type="dxa"/>
            <w:right w:w="108" w:type="dxa"/>
          </w:tblCellMar>
        </w:tblPrEx>
        <w:trPr>
          <w:trHeight w:val="270" w:hRule="atLeast"/>
          <w:jc w:val="center"/>
        </w:trPr>
        <w:tc>
          <w:tcPr>
            <w:tcW w:w="380" w:type="pct"/>
            <w:tcBorders>
              <w:top w:val="nil"/>
              <w:left w:val="single" w:color="auto" w:sz="4" w:space="0"/>
              <w:bottom w:val="single" w:color="auto" w:sz="4" w:space="0"/>
              <w:right w:val="single" w:color="auto" w:sz="4" w:space="0"/>
            </w:tcBorders>
            <w:vAlign w:val="center"/>
          </w:tcPr>
          <w:p>
            <w:pPr>
              <w:rPr>
                <w:rFonts w:ascii="宋体" w:hAnsi="宋体" w:cs="宋体"/>
                <w:b/>
                <w:bCs/>
                <w:color w:val="000000"/>
                <w:kern w:val="0"/>
              </w:rPr>
            </w:pPr>
            <w:r>
              <w:rPr>
                <w:rFonts w:ascii="宋体" w:hAnsi="宋体" w:cs="宋体"/>
                <w:b/>
                <w:bCs/>
                <w:color w:val="000000"/>
                <w:kern w:val="0"/>
              </w:rPr>
              <w:t>流程管理</w:t>
            </w:r>
          </w:p>
        </w:tc>
        <w:tc>
          <w:tcPr>
            <w:tcW w:w="4620"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包括：服务台、事件管理、问题管理、变更管理、配置管理、发布管理等。</w:t>
            </w:r>
          </w:p>
        </w:tc>
      </w:tr>
    </w:tbl>
    <w:p>
      <w:pPr>
        <w:spacing w:line="276" w:lineRule="auto"/>
      </w:pPr>
    </w:p>
    <w:p>
      <w:pPr>
        <w:pStyle w:val="4"/>
        <w:numPr>
          <w:ilvl w:val="2"/>
          <w:numId w:val="5"/>
        </w:numPr>
        <w:spacing w:before="160" w:line="300" w:lineRule="exact"/>
        <w:ind w:left="420"/>
        <w:rPr>
          <w:rFonts w:ascii="宋体" w:hAnsi="宋体"/>
        </w:rPr>
      </w:pPr>
      <w:bookmarkStart w:id="21" w:name="_Toc34080396"/>
      <w:bookmarkStart w:id="22" w:name="_Toc34080580"/>
      <w:r>
        <w:rPr>
          <w:rFonts w:ascii="宋体" w:hAnsi="宋体"/>
        </w:rPr>
        <w:t>云虚拟化平台要求</w:t>
      </w:r>
      <w:bookmarkEnd w:id="21"/>
      <w:bookmarkEnd w:id="22"/>
    </w:p>
    <w:tbl>
      <w:tblPr>
        <w:tblStyle w:val="12"/>
        <w:tblW w:w="472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8"/>
        <w:gridCol w:w="6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5" w:hRule="atLeast"/>
          <w:jc w:val="center"/>
        </w:trPr>
        <w:tc>
          <w:tcPr>
            <w:tcW w:w="674" w:type="pct"/>
            <w:shd w:val="clear" w:color="auto" w:fill="D9D9D9"/>
            <w:vAlign w:val="center"/>
          </w:tcPr>
          <w:p>
            <w:pPr>
              <w:spacing w:line="276" w:lineRule="auto"/>
              <w:jc w:val="center"/>
              <w:rPr>
                <w:rFonts w:ascii="宋体" w:hAnsi="宋体" w:cs="Times New Roman"/>
                <w:b/>
              </w:rPr>
            </w:pPr>
            <w:r>
              <w:rPr>
                <w:rFonts w:ascii="宋体" w:hAnsi="宋体" w:cs="Times New Roman"/>
                <w:b/>
              </w:rPr>
              <w:t>规格</w:t>
            </w:r>
          </w:p>
        </w:tc>
        <w:tc>
          <w:tcPr>
            <w:tcW w:w="4325" w:type="pct"/>
            <w:shd w:val="clear" w:color="auto" w:fill="D9D9D9"/>
            <w:vAlign w:val="center"/>
          </w:tcPr>
          <w:p>
            <w:pPr>
              <w:spacing w:line="276" w:lineRule="auto"/>
              <w:jc w:val="center"/>
              <w:rPr>
                <w:rFonts w:ascii="宋体" w:hAnsi="宋体" w:cs="Times New Roman"/>
                <w:b/>
              </w:rPr>
            </w:pPr>
            <w:r>
              <w:rPr>
                <w:rFonts w:ascii="等线" w:hAnsi="等线" w:eastAsia="等线" w:cs="微软雅黑"/>
                <w:b/>
              </w:rPr>
              <w:t>指标要求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8" w:hRule="atLeast"/>
          <w:jc w:val="center"/>
        </w:trPr>
        <w:tc>
          <w:tcPr>
            <w:tcW w:w="674" w:type="pct"/>
            <w:vAlign w:val="center"/>
          </w:tcPr>
          <w:p>
            <w:pPr>
              <w:spacing w:line="276" w:lineRule="auto"/>
              <w:rPr>
                <w:rFonts w:ascii="宋体" w:hAnsi="宋体" w:cs="Times New Roman"/>
              </w:rPr>
            </w:pPr>
            <w:r>
              <w:rPr>
                <w:rFonts w:ascii="宋体" w:hAnsi="宋体" w:cs="Times New Roman"/>
              </w:rPr>
              <w:t>基础要求</w:t>
            </w:r>
          </w:p>
        </w:tc>
        <w:tc>
          <w:tcPr>
            <w:tcW w:w="4325" w:type="pct"/>
            <w:vAlign w:val="center"/>
          </w:tcPr>
          <w:p>
            <w:pPr>
              <w:spacing w:line="276" w:lineRule="auto"/>
              <w:rPr>
                <w:rFonts w:ascii="宋体" w:hAnsi="宋体" w:cs="Times New Roman"/>
              </w:rPr>
            </w:pPr>
            <w:r>
              <w:rPr>
                <w:rFonts w:ascii="宋体" w:hAnsi="宋体" w:cs="微软雅黑"/>
              </w:rPr>
              <w:t>为了保证云平台的开放性及先进性，虚拟化管理平台基于业界主流OpenStack架构。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jc w:val="center"/>
        </w:trPr>
        <w:tc>
          <w:tcPr>
            <w:tcW w:w="674" w:type="pct"/>
            <w:vMerge w:val="restart"/>
            <w:vAlign w:val="center"/>
          </w:tcPr>
          <w:p>
            <w:pPr>
              <w:spacing w:line="276" w:lineRule="auto"/>
              <w:rPr>
                <w:rFonts w:ascii="宋体" w:hAnsi="宋体" w:cs="Times New Roman"/>
              </w:rPr>
            </w:pPr>
            <w:r>
              <w:rPr>
                <w:rFonts w:ascii="宋体" w:hAnsi="宋体" w:cs="Times New Roman"/>
              </w:rPr>
              <w:t>Openstack增强</w:t>
            </w:r>
          </w:p>
        </w:tc>
        <w:tc>
          <w:tcPr>
            <w:tcW w:w="4325" w:type="pct"/>
            <w:vAlign w:val="center"/>
          </w:tcPr>
          <w:p>
            <w:pPr>
              <w:spacing w:line="276" w:lineRule="auto"/>
              <w:rPr>
                <w:rFonts w:ascii="宋体" w:hAnsi="宋体" w:cs="Times New Roman"/>
              </w:rPr>
            </w:pPr>
            <w:r>
              <w:rPr>
                <w:rFonts w:ascii="宋体" w:hAnsi="宋体" w:cs="Times New Roman"/>
              </w:rPr>
              <w:t>支持物理裸机统一管理。基于OpenStack Ironic开放框架，支持对标准X86服务器、ARM服务器</w:t>
            </w:r>
            <w:r>
              <w:rPr>
                <w:rFonts w:hint="eastAsia" w:ascii="宋体" w:hAnsi="宋体" w:cs="Times New Roman"/>
                <w:lang w:eastAsia="zh-CN"/>
              </w:rPr>
              <w:t>、</w:t>
            </w:r>
            <w:r>
              <w:rPr>
                <w:rFonts w:hint="eastAsia" w:ascii="宋体" w:hAnsi="宋体" w:cs="Times New Roman"/>
                <w:lang w:val="en-US" w:eastAsia="zh-CN"/>
              </w:rPr>
              <w:t>C86服务器</w:t>
            </w:r>
            <w:r>
              <w:rPr>
                <w:rFonts w:ascii="宋体" w:hAnsi="宋体" w:cs="Times New Roman"/>
              </w:rPr>
              <w:t>、GPU服务器的接入和自动化管理。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jc w:val="center"/>
        </w:trPr>
        <w:tc>
          <w:tcPr>
            <w:tcW w:w="674" w:type="pct"/>
            <w:vMerge w:val="continue"/>
            <w:vAlign w:val="center"/>
          </w:tcPr>
          <w:p>
            <w:pPr>
              <w:spacing w:line="276" w:lineRule="auto"/>
              <w:rPr>
                <w:rFonts w:ascii="宋体" w:hAnsi="宋体" w:cs="Times New Roman"/>
              </w:rPr>
            </w:pPr>
          </w:p>
        </w:tc>
        <w:tc>
          <w:tcPr>
            <w:tcW w:w="4325" w:type="pct"/>
            <w:vAlign w:val="center"/>
          </w:tcPr>
          <w:p>
            <w:pPr>
              <w:spacing w:line="276" w:lineRule="auto"/>
              <w:rPr>
                <w:rFonts w:ascii="宋体" w:hAnsi="宋体" w:cs="Times New Roman"/>
              </w:rPr>
            </w:pPr>
            <w:r>
              <w:rPr>
                <w:rFonts w:ascii="宋体" w:hAnsi="宋体" w:cs="Times New Roman"/>
              </w:rPr>
              <w:t>支持物理裸机资源管理和业务发放，可以基于管理系统在物理裸机上自动加载业务部署所需的主流操作系统。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0" w:hRule="atLeast"/>
          <w:jc w:val="center"/>
        </w:trPr>
        <w:tc>
          <w:tcPr>
            <w:tcW w:w="674" w:type="pct"/>
            <w:vMerge w:val="continue"/>
            <w:vAlign w:val="center"/>
          </w:tcPr>
          <w:p>
            <w:pPr>
              <w:spacing w:line="276" w:lineRule="auto"/>
              <w:rPr>
                <w:rFonts w:ascii="宋体" w:hAnsi="宋体" w:cs="Times New Roman"/>
              </w:rPr>
            </w:pPr>
          </w:p>
        </w:tc>
        <w:tc>
          <w:tcPr>
            <w:tcW w:w="4325" w:type="pct"/>
            <w:vAlign w:val="center"/>
          </w:tcPr>
          <w:p>
            <w:pPr>
              <w:spacing w:line="276" w:lineRule="auto"/>
              <w:rPr>
                <w:rFonts w:ascii="宋体" w:hAnsi="宋体" w:cs="Times New Roman"/>
              </w:rPr>
            </w:pPr>
            <w:r>
              <w:rPr>
                <w:rFonts w:ascii="宋体" w:hAnsi="宋体" w:cs="Times New Roman"/>
              </w:rPr>
              <w:t>支持物理裸机资源CPU、内存、磁盘、网络IO等各项资源使用情况的监控。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5" w:hRule="atLeast"/>
          <w:jc w:val="center"/>
        </w:trPr>
        <w:tc>
          <w:tcPr>
            <w:tcW w:w="674" w:type="pct"/>
            <w:vMerge w:val="continue"/>
            <w:vAlign w:val="center"/>
          </w:tcPr>
          <w:p>
            <w:pPr>
              <w:spacing w:line="276" w:lineRule="auto"/>
              <w:rPr>
                <w:rFonts w:ascii="宋体" w:hAnsi="宋体" w:cs="Times New Roman"/>
              </w:rPr>
            </w:pPr>
          </w:p>
        </w:tc>
        <w:tc>
          <w:tcPr>
            <w:tcW w:w="4325" w:type="pct"/>
            <w:vAlign w:val="center"/>
          </w:tcPr>
          <w:p>
            <w:pPr>
              <w:spacing w:line="276" w:lineRule="auto"/>
              <w:rPr>
                <w:rFonts w:ascii="宋体" w:hAnsi="宋体" w:cs="Times New Roman"/>
              </w:rPr>
            </w:pPr>
            <w:r>
              <w:rPr>
                <w:rFonts w:ascii="宋体" w:hAnsi="宋体" w:cs="Times New Roman"/>
              </w:rPr>
              <w:t>支持物理服务器网络自动化配置。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85" w:hRule="atLeast"/>
          <w:jc w:val="center"/>
        </w:trPr>
        <w:tc>
          <w:tcPr>
            <w:tcW w:w="674" w:type="pct"/>
            <w:vMerge w:val="continue"/>
            <w:vAlign w:val="center"/>
          </w:tcPr>
          <w:p>
            <w:pPr>
              <w:spacing w:line="276" w:lineRule="auto"/>
              <w:rPr>
                <w:rFonts w:ascii="宋体" w:hAnsi="宋体" w:cs="Times New Roman"/>
              </w:rPr>
            </w:pPr>
          </w:p>
        </w:tc>
        <w:tc>
          <w:tcPr>
            <w:tcW w:w="4325" w:type="pct"/>
            <w:vAlign w:val="center"/>
          </w:tcPr>
          <w:p>
            <w:pPr>
              <w:spacing w:line="276" w:lineRule="auto"/>
              <w:rPr>
                <w:rFonts w:ascii="宋体" w:hAnsi="宋体" w:cs="Times New Roman"/>
              </w:rPr>
            </w:pPr>
            <w:r>
              <w:rPr>
                <w:rFonts w:ascii="宋体" w:hAnsi="宋体" w:cs="Times New Roman"/>
              </w:rPr>
              <w:t>提供租户专属物理机集群功能，提供专属云服务，将若干台物理服务器组成的集群单独指定给某一特定租户，只允许该租户的虚拟机创建在该集群中。以此实现租户独占物理资源的能力。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85" w:hRule="atLeast"/>
          <w:jc w:val="center"/>
        </w:trPr>
        <w:tc>
          <w:tcPr>
            <w:tcW w:w="674" w:type="pct"/>
            <w:vMerge w:val="continue"/>
            <w:vAlign w:val="center"/>
          </w:tcPr>
          <w:p>
            <w:pPr>
              <w:spacing w:line="276" w:lineRule="auto"/>
              <w:rPr>
                <w:rFonts w:ascii="宋体" w:hAnsi="宋体" w:cs="Times New Roman"/>
              </w:rPr>
            </w:pPr>
          </w:p>
        </w:tc>
        <w:tc>
          <w:tcPr>
            <w:tcW w:w="4325" w:type="pct"/>
            <w:vAlign w:val="center"/>
          </w:tcPr>
          <w:p>
            <w:pPr>
              <w:spacing w:line="276" w:lineRule="auto"/>
              <w:rPr>
                <w:rFonts w:ascii="宋体" w:hAnsi="宋体" w:cs="Times New Roman"/>
              </w:rPr>
            </w:pPr>
            <w:r>
              <w:rPr>
                <w:rFonts w:ascii="宋体" w:hAnsi="宋体" w:cs="Times New Roman"/>
              </w:rPr>
              <w:t>支持基于WebUI的向导式系统升级工具，支持将OpenStack的手动、复杂升级过程简化为自动化、高可靠性的升级，提升升级效率、降低升级风险。降低对运维人员的技能要求。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25" w:hRule="atLeast"/>
          <w:jc w:val="center"/>
        </w:trPr>
        <w:tc>
          <w:tcPr>
            <w:tcW w:w="674" w:type="pct"/>
            <w:vMerge w:val="continue"/>
            <w:vAlign w:val="center"/>
          </w:tcPr>
          <w:p>
            <w:pPr>
              <w:spacing w:line="276" w:lineRule="auto"/>
              <w:rPr>
                <w:rFonts w:ascii="宋体" w:hAnsi="宋体" w:cs="Times New Roman"/>
              </w:rPr>
            </w:pPr>
          </w:p>
        </w:tc>
        <w:tc>
          <w:tcPr>
            <w:tcW w:w="4325" w:type="pct"/>
            <w:vAlign w:val="center"/>
          </w:tcPr>
          <w:p>
            <w:pPr>
              <w:spacing w:line="276" w:lineRule="auto"/>
              <w:rPr>
                <w:rFonts w:ascii="宋体" w:hAnsi="宋体" w:cs="Times New Roman"/>
              </w:rPr>
            </w:pPr>
            <w:r>
              <w:rPr>
                <w:rFonts w:ascii="宋体" w:hAnsi="宋体" w:cs="Times New Roman"/>
              </w:rPr>
              <w:t>相比社区OpenStack，提供可靠性功能增强，包括但不限于：提供黑匣子功能，Guest OS故障能自动保存内核黑匣子信息。针对系统关键进程，支持CPU、内存等资源占用阀值检测及告警上报关键进程资源风险，及时预防、规避系统潜在风险。虚拟机热迁移异常检测，支持热迁移超时取消，避免虚拟机迁移永久卡死，如对迁移时间给出限制。镜像下载支持MD5校验，保证镜像下载完整性。支持管理数据一致性审计，支持一致性审计功能，避免管理系统与计算节点数据不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49" w:hRule="atLeast"/>
          <w:jc w:val="center"/>
        </w:trPr>
        <w:tc>
          <w:tcPr>
            <w:tcW w:w="674" w:type="pct"/>
            <w:vMerge w:val="restart"/>
            <w:shd w:val="clear" w:color="auto" w:fill="auto"/>
            <w:vAlign w:val="center"/>
          </w:tcPr>
          <w:p>
            <w:pPr>
              <w:spacing w:line="276" w:lineRule="auto"/>
              <w:rPr>
                <w:rFonts w:ascii="宋体" w:hAnsi="宋体" w:cs="Times New Roman"/>
              </w:rPr>
            </w:pPr>
            <w:r>
              <w:rPr>
                <w:rFonts w:ascii="宋体" w:hAnsi="宋体" w:cs="Times New Roman"/>
              </w:rPr>
              <w:t>计算虚拟化</w:t>
            </w:r>
          </w:p>
        </w:tc>
        <w:tc>
          <w:tcPr>
            <w:tcW w:w="4325" w:type="pct"/>
            <w:shd w:val="clear" w:color="000000" w:fill="FFFFFF"/>
            <w:vAlign w:val="center"/>
          </w:tcPr>
          <w:p>
            <w:pPr>
              <w:spacing w:line="276" w:lineRule="auto"/>
              <w:rPr>
                <w:rFonts w:ascii="宋体" w:hAnsi="宋体" w:cs="Times New Roman"/>
              </w:rPr>
            </w:pPr>
            <w:r>
              <w:rPr>
                <w:rFonts w:ascii="宋体" w:hAnsi="宋体" w:cs="Times New Roman"/>
              </w:rPr>
              <w:t>虚拟化软件架构须采用裸金属架构，支持标准X86服务器、ARM服务器</w:t>
            </w:r>
            <w:r>
              <w:rPr>
                <w:rFonts w:hint="eastAsia" w:ascii="宋体" w:hAnsi="宋体" w:cs="Times New Roman"/>
                <w:lang w:eastAsia="zh-CN"/>
              </w:rPr>
              <w:t>、</w:t>
            </w:r>
            <w:r>
              <w:rPr>
                <w:rFonts w:hint="eastAsia" w:ascii="宋体" w:hAnsi="宋体" w:cs="Times New Roman"/>
                <w:lang w:val="en-US" w:eastAsia="zh-CN"/>
              </w:rPr>
              <w:t>C86服务器</w:t>
            </w:r>
            <w:r>
              <w:rPr>
                <w:rFonts w:ascii="宋体" w:hAnsi="宋体" w:cs="Times New Roman"/>
              </w:rPr>
              <w:t>，充分利用Intel VT和AMD-V的硬件虚拟化技术，支持Intel扩展页表技术。支持GPU虚拟化。虚拟化软件必须能直接安装在服务器硬件设备上，不能采用在服务器上先安装操作系统的方式，虚拟化软件要能直接管理硬件资源。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center"/>
        </w:trPr>
        <w:tc>
          <w:tcPr>
            <w:tcW w:w="674" w:type="pct"/>
            <w:vMerge w:val="continue"/>
            <w:shd w:val="clear" w:color="auto" w:fill="auto"/>
            <w:vAlign w:val="center"/>
          </w:tcPr>
          <w:p>
            <w:pPr>
              <w:spacing w:line="276" w:lineRule="auto"/>
              <w:rPr>
                <w:rFonts w:ascii="宋体" w:hAnsi="宋体" w:cs="Times New Roman"/>
              </w:rPr>
            </w:pPr>
          </w:p>
        </w:tc>
        <w:tc>
          <w:tcPr>
            <w:tcW w:w="4325" w:type="pct"/>
            <w:shd w:val="clear" w:color="000000" w:fill="FFFFFF"/>
            <w:vAlign w:val="center"/>
          </w:tcPr>
          <w:p>
            <w:pPr>
              <w:spacing w:line="276" w:lineRule="auto"/>
              <w:rPr>
                <w:rFonts w:hint="default" w:ascii="宋体" w:hAnsi="宋体" w:cs="Times New Roman" w:eastAsiaTheme="minorEastAsia"/>
                <w:lang w:val="en-US" w:eastAsia="zh-CN"/>
              </w:rPr>
            </w:pPr>
            <w:r>
              <w:rPr>
                <w:rFonts w:hint="eastAsia" w:ascii="宋体" w:hAnsi="宋体" w:cs="Times New Roman"/>
                <w:lang w:val="en-US" w:eastAsia="zh-CN"/>
              </w:rPr>
              <w:t>ECS支持PCIE插卡式算力卡直通虚拟机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2" w:hRule="atLeast"/>
          <w:jc w:val="center"/>
        </w:trPr>
        <w:tc>
          <w:tcPr>
            <w:tcW w:w="674" w:type="pct"/>
            <w:vMerge w:val="continue"/>
            <w:shd w:val="clear" w:color="auto" w:fill="auto"/>
            <w:vAlign w:val="center"/>
          </w:tcPr>
          <w:p>
            <w:pPr>
              <w:spacing w:line="276" w:lineRule="auto"/>
              <w:rPr>
                <w:rFonts w:ascii="宋体" w:hAnsi="宋体" w:cs="Times New Roman"/>
              </w:rPr>
            </w:pPr>
          </w:p>
        </w:tc>
        <w:tc>
          <w:tcPr>
            <w:tcW w:w="4325" w:type="pct"/>
            <w:shd w:val="clear" w:color="000000" w:fill="FFFFFF"/>
            <w:vAlign w:val="center"/>
          </w:tcPr>
          <w:p>
            <w:pPr>
              <w:spacing w:line="276" w:lineRule="auto"/>
              <w:rPr>
                <w:rFonts w:ascii="宋体" w:hAnsi="宋体" w:cs="Times New Roman"/>
              </w:rPr>
            </w:pPr>
            <w:r>
              <w:rPr>
                <w:rFonts w:ascii="宋体" w:hAnsi="宋体" w:cs="Times New Roman"/>
              </w:rPr>
              <w:t>支持虚拟机基本的生命周期管理动作，包括创建、删除、启动、关闭、重启等。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jc w:val="center"/>
        </w:trPr>
        <w:tc>
          <w:tcPr>
            <w:tcW w:w="674" w:type="pct"/>
            <w:vMerge w:val="continue"/>
            <w:shd w:val="clear" w:color="auto" w:fill="auto"/>
            <w:vAlign w:val="center"/>
          </w:tcPr>
          <w:p>
            <w:pPr>
              <w:spacing w:line="276" w:lineRule="auto"/>
              <w:rPr>
                <w:rFonts w:ascii="宋体" w:hAnsi="宋体" w:cs="Times New Roman"/>
              </w:rPr>
            </w:pPr>
          </w:p>
        </w:tc>
        <w:tc>
          <w:tcPr>
            <w:tcW w:w="4325" w:type="pct"/>
            <w:shd w:val="clear" w:color="000000" w:fill="FFFFFF"/>
            <w:vAlign w:val="center"/>
          </w:tcPr>
          <w:p>
            <w:pPr>
              <w:spacing w:line="276" w:lineRule="auto"/>
              <w:rPr>
                <w:rFonts w:ascii="宋体" w:hAnsi="宋体" w:cs="Times New Roman"/>
              </w:rPr>
            </w:pPr>
            <w:r>
              <w:rPr>
                <w:rFonts w:ascii="宋体" w:hAnsi="宋体" w:cs="Times New Roman"/>
              </w:rPr>
              <w:t>支持容器基本的生命周期管理动作，包括创建、删除、启动、关闭、重启等。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45" w:hRule="atLeast"/>
          <w:jc w:val="center"/>
        </w:trPr>
        <w:tc>
          <w:tcPr>
            <w:tcW w:w="674" w:type="pct"/>
            <w:vMerge w:val="continue"/>
            <w:shd w:val="clear" w:color="auto" w:fill="auto"/>
            <w:vAlign w:val="center"/>
          </w:tcPr>
          <w:p>
            <w:pPr>
              <w:spacing w:line="276" w:lineRule="auto"/>
              <w:rPr>
                <w:rFonts w:ascii="宋体" w:hAnsi="宋体" w:cs="Times New Roman"/>
              </w:rPr>
            </w:pPr>
          </w:p>
        </w:tc>
        <w:tc>
          <w:tcPr>
            <w:tcW w:w="4325" w:type="pct"/>
            <w:shd w:val="clear" w:color="000000" w:fill="FFFFFF"/>
            <w:vAlign w:val="center"/>
          </w:tcPr>
          <w:p>
            <w:pPr>
              <w:spacing w:line="276" w:lineRule="auto"/>
              <w:rPr>
                <w:rFonts w:ascii="宋体" w:hAnsi="宋体" w:cs="Times New Roman"/>
              </w:rPr>
            </w:pPr>
            <w:r>
              <w:rPr>
                <w:rFonts w:ascii="宋体" w:hAnsi="宋体" w:cs="Times New Roman"/>
              </w:rPr>
              <w:t>支持虚拟机迁移，使用同一共享存储的主机之间将处于运行态的虚拟机由当前所在的主机迁移到另一台主机上，在迁移的过程中不影响用户对虚拟机的使用。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84" w:hRule="atLeast"/>
          <w:jc w:val="center"/>
        </w:trPr>
        <w:tc>
          <w:tcPr>
            <w:tcW w:w="674" w:type="pct"/>
            <w:vMerge w:val="continue"/>
            <w:shd w:val="clear" w:color="auto" w:fill="auto"/>
            <w:vAlign w:val="center"/>
          </w:tcPr>
          <w:p>
            <w:pPr>
              <w:spacing w:line="276" w:lineRule="auto"/>
              <w:rPr>
                <w:rFonts w:ascii="宋体" w:hAnsi="宋体" w:cs="Times New Roman"/>
              </w:rPr>
            </w:pPr>
          </w:p>
        </w:tc>
        <w:tc>
          <w:tcPr>
            <w:tcW w:w="4325" w:type="pct"/>
            <w:shd w:val="clear" w:color="000000" w:fill="FFFFFF"/>
            <w:vAlign w:val="center"/>
          </w:tcPr>
          <w:p>
            <w:pPr>
              <w:spacing w:line="276" w:lineRule="auto"/>
              <w:rPr>
                <w:rFonts w:ascii="宋体" w:hAnsi="宋体" w:cs="Times New Roman"/>
              </w:rPr>
            </w:pPr>
            <w:r>
              <w:rPr>
                <w:rFonts w:ascii="宋体" w:hAnsi="宋体" w:cs="Times New Roman"/>
              </w:rPr>
              <w:t>支持虚拟机HA(High Available)机制，提升虚拟机的可用度，允许虚拟机出现故障后能够重新在资源池中自动启动虚拟机。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8" w:hRule="atLeast"/>
          <w:jc w:val="center"/>
        </w:trPr>
        <w:tc>
          <w:tcPr>
            <w:tcW w:w="674" w:type="pct"/>
            <w:vMerge w:val="continue"/>
            <w:shd w:val="clear" w:color="auto" w:fill="auto"/>
            <w:vAlign w:val="center"/>
          </w:tcPr>
          <w:p>
            <w:pPr>
              <w:spacing w:line="276" w:lineRule="auto"/>
              <w:rPr>
                <w:rFonts w:ascii="宋体" w:hAnsi="宋体" w:cs="Times New Roman"/>
              </w:rPr>
            </w:pPr>
          </w:p>
        </w:tc>
        <w:tc>
          <w:tcPr>
            <w:tcW w:w="4325" w:type="pct"/>
            <w:shd w:val="clear" w:color="000000" w:fill="FFFFFF"/>
            <w:vAlign w:val="center"/>
          </w:tcPr>
          <w:p>
            <w:pPr>
              <w:spacing w:line="276" w:lineRule="auto"/>
              <w:rPr>
                <w:rFonts w:ascii="宋体" w:hAnsi="宋体" w:cs="Times New Roman"/>
              </w:rPr>
            </w:pPr>
            <w:r>
              <w:rPr>
                <w:rFonts w:ascii="宋体" w:hAnsi="宋体" w:cs="Times New Roman"/>
              </w:rPr>
              <w:t>支持高精度虚拟机，以满足虚拟机任务处理时，对性能和延迟抖动有严格要求的场景。虚拟机独占分配的VCPU、内存、I/O物理资源，其它虚拟机无法占用。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jc w:val="center"/>
        </w:trPr>
        <w:tc>
          <w:tcPr>
            <w:tcW w:w="674" w:type="pct"/>
            <w:vMerge w:val="continue"/>
            <w:shd w:val="clear" w:color="auto" w:fill="auto"/>
            <w:vAlign w:val="center"/>
          </w:tcPr>
          <w:p>
            <w:pPr>
              <w:spacing w:line="276" w:lineRule="auto"/>
              <w:rPr>
                <w:rFonts w:ascii="宋体" w:hAnsi="宋体" w:cs="Times New Roman"/>
              </w:rPr>
            </w:pPr>
          </w:p>
        </w:tc>
        <w:tc>
          <w:tcPr>
            <w:tcW w:w="4325" w:type="pct"/>
            <w:shd w:val="clear" w:color="000000" w:fill="FFFFFF"/>
            <w:vAlign w:val="center"/>
          </w:tcPr>
          <w:p>
            <w:pPr>
              <w:spacing w:line="276" w:lineRule="auto"/>
              <w:rPr>
                <w:rFonts w:ascii="宋体" w:hAnsi="宋体" w:cs="Times New Roman"/>
              </w:rPr>
            </w:pPr>
            <w:r>
              <w:rPr>
                <w:rFonts w:ascii="宋体" w:hAnsi="宋体" w:cs="Times New Roman"/>
              </w:rPr>
              <w:t>支持对虚拟机镜像的生命周期管理，支持镜像的创建、上传、删除、下载、查询等操作。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7" w:hRule="atLeast"/>
          <w:jc w:val="center"/>
        </w:trPr>
        <w:tc>
          <w:tcPr>
            <w:tcW w:w="674" w:type="pct"/>
            <w:vMerge w:val="continue"/>
            <w:shd w:val="clear" w:color="auto" w:fill="auto"/>
            <w:vAlign w:val="center"/>
          </w:tcPr>
          <w:p>
            <w:pPr>
              <w:spacing w:line="276" w:lineRule="auto"/>
              <w:rPr>
                <w:rFonts w:ascii="宋体" w:hAnsi="宋体" w:cs="Times New Roman"/>
              </w:rPr>
            </w:pPr>
          </w:p>
        </w:tc>
        <w:tc>
          <w:tcPr>
            <w:tcW w:w="4325" w:type="pct"/>
            <w:shd w:val="clear" w:color="000000" w:fill="FFFFFF"/>
            <w:vAlign w:val="center"/>
          </w:tcPr>
          <w:p>
            <w:pPr>
              <w:spacing w:line="276" w:lineRule="auto"/>
              <w:rPr>
                <w:rFonts w:ascii="宋体" w:hAnsi="宋体" w:cs="Times New Roman"/>
              </w:rPr>
            </w:pPr>
            <w:r>
              <w:rPr>
                <w:rFonts w:ascii="宋体" w:hAnsi="宋体" w:cs="Times New Roman"/>
              </w:rPr>
              <w:t>支持虚拟机NUMA亲和性调度，减少VM内存访问时延，提升VM性能。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3" w:hRule="atLeast"/>
          <w:jc w:val="center"/>
        </w:trPr>
        <w:tc>
          <w:tcPr>
            <w:tcW w:w="674" w:type="pct"/>
            <w:vMerge w:val="continue"/>
            <w:vAlign w:val="center"/>
          </w:tcPr>
          <w:p>
            <w:pPr>
              <w:spacing w:line="276" w:lineRule="auto"/>
              <w:rPr>
                <w:rFonts w:ascii="宋体" w:hAnsi="宋体" w:cs="Times New Roman"/>
              </w:rPr>
            </w:pPr>
          </w:p>
        </w:tc>
        <w:tc>
          <w:tcPr>
            <w:tcW w:w="4325" w:type="pct"/>
            <w:vAlign w:val="center"/>
          </w:tcPr>
          <w:p>
            <w:pPr>
              <w:spacing w:line="276" w:lineRule="auto"/>
              <w:rPr>
                <w:rFonts w:ascii="宋体" w:hAnsi="宋体" w:cs="Times New Roman"/>
              </w:rPr>
            </w:pPr>
            <w:r>
              <w:rPr>
                <w:rFonts w:ascii="宋体" w:hAnsi="宋体" w:cs="Times New Roman"/>
              </w:rPr>
              <w:t>支持虚拟机之间亲和性部署规则。虚拟机聚合规则，即多个虚拟机必须运行于同一主机。虚拟机互斥规则，即多个虚拟机必须运行于不同主机，不能同时运行同一主机。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7" w:hRule="atLeast"/>
          <w:jc w:val="center"/>
        </w:trPr>
        <w:tc>
          <w:tcPr>
            <w:tcW w:w="674" w:type="pct"/>
            <w:vMerge w:val="restart"/>
            <w:vAlign w:val="center"/>
          </w:tcPr>
          <w:p>
            <w:pPr>
              <w:spacing w:line="276" w:lineRule="auto"/>
              <w:rPr>
                <w:rFonts w:ascii="宋体" w:hAnsi="宋体" w:cs="Times New Roman"/>
              </w:rPr>
            </w:pPr>
            <w:r>
              <w:rPr>
                <w:rFonts w:ascii="宋体" w:hAnsi="宋体" w:cs="Times New Roman"/>
              </w:rPr>
              <w:t>网络虚拟化</w:t>
            </w:r>
          </w:p>
        </w:tc>
        <w:tc>
          <w:tcPr>
            <w:tcW w:w="4325" w:type="pct"/>
            <w:vAlign w:val="center"/>
          </w:tcPr>
          <w:p>
            <w:pPr>
              <w:spacing w:line="276" w:lineRule="auto"/>
              <w:rPr>
                <w:rFonts w:ascii="宋体" w:hAnsi="宋体" w:cs="Times New Roman"/>
              </w:rPr>
            </w:pPr>
            <w:r>
              <w:rPr>
                <w:rFonts w:ascii="宋体" w:hAnsi="宋体" w:cs="Times New Roman"/>
              </w:rPr>
              <w:t>支持SDN功能，提供自动化网络部署功能。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7" w:hRule="atLeast"/>
          <w:jc w:val="center"/>
        </w:trPr>
        <w:tc>
          <w:tcPr>
            <w:tcW w:w="674" w:type="pct"/>
            <w:vMerge w:val="continue"/>
            <w:vAlign w:val="center"/>
          </w:tcPr>
          <w:p>
            <w:pPr>
              <w:spacing w:line="276" w:lineRule="auto"/>
              <w:rPr>
                <w:rFonts w:ascii="宋体" w:hAnsi="宋体" w:cs="Times New Roman"/>
              </w:rPr>
            </w:pPr>
          </w:p>
        </w:tc>
        <w:tc>
          <w:tcPr>
            <w:tcW w:w="4325" w:type="pct"/>
            <w:vAlign w:val="center"/>
          </w:tcPr>
          <w:p>
            <w:pPr>
              <w:spacing w:line="276" w:lineRule="auto"/>
              <w:rPr>
                <w:rFonts w:hint="default" w:ascii="宋体" w:hAnsi="宋体" w:cs="Times New Roman" w:eastAsiaTheme="minorEastAsia"/>
                <w:lang w:val="en-US" w:eastAsia="zh-CN"/>
              </w:rPr>
            </w:pPr>
            <w:r>
              <w:rPr>
                <w:rFonts w:hint="eastAsia" w:ascii="宋体" w:hAnsi="宋体" w:cs="Times New Roman"/>
                <w:lang w:val="en-US" w:eastAsia="zh-CN"/>
              </w:rPr>
              <w:t>VPC支持源子网路由引流功能，支持主机东西向引流至其他虚拟机（VPC间）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9" w:hRule="atLeast"/>
          <w:jc w:val="center"/>
        </w:trPr>
        <w:tc>
          <w:tcPr>
            <w:tcW w:w="674" w:type="pct"/>
            <w:vMerge w:val="continue"/>
            <w:vAlign w:val="center"/>
          </w:tcPr>
          <w:p>
            <w:pPr>
              <w:spacing w:line="276" w:lineRule="auto"/>
              <w:rPr>
                <w:rFonts w:ascii="宋体" w:hAnsi="宋体" w:cs="Times New Roman"/>
              </w:rPr>
            </w:pPr>
          </w:p>
        </w:tc>
        <w:tc>
          <w:tcPr>
            <w:tcW w:w="4325" w:type="pct"/>
            <w:vAlign w:val="center"/>
          </w:tcPr>
          <w:p>
            <w:pPr>
              <w:spacing w:line="276" w:lineRule="auto"/>
              <w:rPr>
                <w:rFonts w:ascii="宋体" w:hAnsi="宋体" w:cs="Times New Roman"/>
              </w:rPr>
            </w:pPr>
            <w:r>
              <w:rPr>
                <w:rFonts w:ascii="宋体" w:hAnsi="宋体" w:cs="Times New Roman"/>
              </w:rPr>
              <w:t>支持通过基于OpenStack的云管理平台实现计算、网络资源统一自动化发放。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center"/>
        </w:trPr>
        <w:tc>
          <w:tcPr>
            <w:tcW w:w="674" w:type="pct"/>
            <w:vMerge w:val="continue"/>
            <w:vAlign w:val="center"/>
          </w:tcPr>
          <w:p>
            <w:pPr>
              <w:spacing w:line="276" w:lineRule="auto"/>
              <w:rPr>
                <w:rFonts w:ascii="宋体" w:hAnsi="宋体" w:cs="Times New Roman"/>
              </w:rPr>
            </w:pPr>
          </w:p>
        </w:tc>
        <w:tc>
          <w:tcPr>
            <w:tcW w:w="4325" w:type="pct"/>
            <w:vAlign w:val="center"/>
          </w:tcPr>
          <w:p>
            <w:pPr>
              <w:spacing w:line="276" w:lineRule="auto"/>
              <w:rPr>
                <w:rFonts w:ascii="宋体" w:hAnsi="宋体" w:cs="Times New Roman"/>
              </w:rPr>
            </w:pPr>
            <w:r>
              <w:rPr>
                <w:rFonts w:ascii="宋体" w:hAnsi="宋体" w:cs="Times New Roman"/>
              </w:rPr>
              <w:t>支持物理机、虚拟机统一自动化发放功能，包括物理服务器网络自动化配置。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3" w:hRule="atLeast"/>
          <w:jc w:val="center"/>
        </w:trPr>
        <w:tc>
          <w:tcPr>
            <w:tcW w:w="674" w:type="pct"/>
            <w:vMerge w:val="continue"/>
            <w:vAlign w:val="center"/>
          </w:tcPr>
          <w:p>
            <w:pPr>
              <w:spacing w:line="276" w:lineRule="auto"/>
              <w:rPr>
                <w:rFonts w:ascii="宋体" w:hAnsi="宋体" w:cs="Times New Roman"/>
              </w:rPr>
            </w:pPr>
          </w:p>
        </w:tc>
        <w:tc>
          <w:tcPr>
            <w:tcW w:w="4325" w:type="pct"/>
            <w:vAlign w:val="center"/>
          </w:tcPr>
          <w:p>
            <w:pPr>
              <w:spacing w:line="276" w:lineRule="auto"/>
              <w:rPr>
                <w:rFonts w:ascii="宋体" w:hAnsi="宋体" w:cs="Times New Roman"/>
              </w:rPr>
            </w:pPr>
            <w:r>
              <w:rPr>
                <w:rFonts w:ascii="宋体" w:hAnsi="宋体" w:cs="Times New Roman"/>
              </w:rPr>
              <w:t>提供灵活的SNAT和VPC多子网能力</w:t>
            </w:r>
            <w:r>
              <w:rPr>
                <w:rFonts w:hint="eastAsia" w:ascii="宋体" w:hAnsi="宋体" w:cs="Times New Roman"/>
                <w:lang w:eastAsia="zh-CN"/>
              </w:rPr>
              <w:t>，</w:t>
            </w:r>
            <w:r>
              <w:rPr>
                <w:rFonts w:hint="eastAsia" w:ascii="宋体" w:hAnsi="宋体" w:cs="Times New Roman"/>
                <w:lang w:val="en-US" w:eastAsia="zh-CN"/>
              </w:rPr>
              <w:t>支持SNAT绑定多个EIP</w:t>
            </w:r>
            <w:r>
              <w:rPr>
                <w:rFonts w:ascii="宋体" w:hAnsi="宋体" w:cs="Times New Roman"/>
              </w:rPr>
              <w:t>，提供灵活的基于Subnet使能SNAT访问外网的能力，提供单个IPsec连接保护多个本地子网的能力。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3" w:hRule="atLeast"/>
          <w:jc w:val="center"/>
        </w:trPr>
        <w:tc>
          <w:tcPr>
            <w:tcW w:w="674" w:type="pct"/>
            <w:vMerge w:val="continue"/>
            <w:vAlign w:val="center"/>
          </w:tcPr>
          <w:p>
            <w:pPr>
              <w:spacing w:line="276" w:lineRule="auto"/>
              <w:rPr>
                <w:rFonts w:ascii="宋体" w:hAnsi="宋体" w:cs="Times New Roman"/>
              </w:rPr>
            </w:pPr>
          </w:p>
        </w:tc>
        <w:tc>
          <w:tcPr>
            <w:tcW w:w="4325" w:type="pct"/>
            <w:vAlign w:val="center"/>
          </w:tcPr>
          <w:p>
            <w:pPr>
              <w:spacing w:line="276" w:lineRule="auto"/>
              <w:rPr>
                <w:rFonts w:hint="default" w:ascii="宋体" w:hAnsi="宋体" w:cs="Times New Roman" w:eastAsiaTheme="minorEastAsia"/>
                <w:lang w:val="en-US" w:eastAsia="zh-CN"/>
              </w:rPr>
            </w:pPr>
            <w:r>
              <w:rPr>
                <w:rFonts w:hint="eastAsia" w:ascii="宋体" w:hAnsi="宋体" w:cs="Times New Roman"/>
                <w:lang w:val="en-US" w:eastAsia="zh-CN"/>
              </w:rPr>
              <w:t>支持批量申请弹性IP地址，可以自行选择弹性IP地址所属的地址池、分配方式（包括但不限于自动分配和手动分配）等策略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jc w:val="center"/>
        </w:trPr>
        <w:tc>
          <w:tcPr>
            <w:tcW w:w="674" w:type="pct"/>
            <w:vMerge w:val="restart"/>
            <w:vAlign w:val="center"/>
          </w:tcPr>
          <w:p>
            <w:pPr>
              <w:spacing w:line="276" w:lineRule="auto"/>
              <w:rPr>
                <w:rFonts w:ascii="宋体" w:hAnsi="宋体" w:cs="Times New Roman"/>
              </w:rPr>
            </w:pPr>
            <w:r>
              <w:rPr>
                <w:rFonts w:ascii="宋体" w:hAnsi="宋体" w:cs="Times New Roman"/>
              </w:rPr>
              <w:t>存储虚拟化</w:t>
            </w:r>
          </w:p>
        </w:tc>
        <w:tc>
          <w:tcPr>
            <w:tcW w:w="4325" w:type="pct"/>
            <w:vAlign w:val="center"/>
          </w:tcPr>
          <w:p>
            <w:pPr>
              <w:spacing w:line="276" w:lineRule="auto"/>
              <w:rPr>
                <w:rFonts w:ascii="宋体" w:hAnsi="宋体" w:cs="Times New Roman"/>
              </w:rPr>
            </w:pPr>
            <w:r>
              <w:rPr>
                <w:rFonts w:ascii="宋体" w:hAnsi="宋体" w:cs="Times New Roman"/>
              </w:rPr>
              <w:t>支持存储多路径功能，通过自动优选路径和IO负载均衡选路算法优化，提升存储链路的可靠性和性能。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3" w:hRule="atLeast"/>
          <w:jc w:val="center"/>
        </w:trPr>
        <w:tc>
          <w:tcPr>
            <w:tcW w:w="674" w:type="pct"/>
            <w:vMerge w:val="continue"/>
            <w:vAlign w:val="center"/>
          </w:tcPr>
          <w:p>
            <w:pPr>
              <w:spacing w:line="276" w:lineRule="auto"/>
              <w:rPr>
                <w:rFonts w:ascii="宋体" w:hAnsi="宋体" w:cs="Times New Roman"/>
              </w:rPr>
            </w:pPr>
          </w:p>
        </w:tc>
        <w:tc>
          <w:tcPr>
            <w:tcW w:w="4325" w:type="pct"/>
            <w:vAlign w:val="center"/>
          </w:tcPr>
          <w:p>
            <w:pPr>
              <w:spacing w:line="276" w:lineRule="auto"/>
              <w:rPr>
                <w:rFonts w:ascii="宋体" w:hAnsi="宋体" w:cs="Times New Roman"/>
              </w:rPr>
            </w:pPr>
            <w:r>
              <w:rPr>
                <w:rFonts w:ascii="宋体" w:hAnsi="宋体" w:cs="Times New Roman"/>
              </w:rPr>
              <w:t>支持虚拟机运行时快照功能，虚拟机快照内容包括：虚拟机的电源状态(打开、关闭、挂机)、内存、硬盘、网卡以及CPU寄存器。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jc w:val="center"/>
        </w:trPr>
        <w:tc>
          <w:tcPr>
            <w:tcW w:w="674" w:type="pct"/>
            <w:vMerge w:val="restart"/>
            <w:vAlign w:val="center"/>
          </w:tcPr>
          <w:p>
            <w:pPr>
              <w:spacing w:line="276" w:lineRule="auto"/>
              <w:rPr>
                <w:rFonts w:ascii="宋体" w:hAnsi="宋体" w:cs="Times New Roman"/>
              </w:rPr>
            </w:pPr>
            <w:r>
              <w:rPr>
                <w:rFonts w:ascii="宋体" w:hAnsi="宋体" w:cs="Times New Roman"/>
              </w:rPr>
              <w:t>可靠性要求</w:t>
            </w:r>
          </w:p>
        </w:tc>
        <w:tc>
          <w:tcPr>
            <w:tcW w:w="4325" w:type="pct"/>
            <w:vAlign w:val="center"/>
          </w:tcPr>
          <w:p>
            <w:pPr>
              <w:spacing w:line="276" w:lineRule="auto"/>
              <w:rPr>
                <w:rFonts w:ascii="宋体" w:hAnsi="宋体" w:cs="Times New Roman"/>
              </w:rPr>
            </w:pPr>
            <w:r>
              <w:rPr>
                <w:rFonts w:ascii="宋体" w:hAnsi="宋体" w:cs="Times New Roman"/>
              </w:rPr>
              <w:t>管理节点配置负荷分担部署模式，在保障系统运行的可靠性的情况下，可以平滑扩容管理节点，以便管理更大规模的集群。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jc w:val="center"/>
        </w:trPr>
        <w:tc>
          <w:tcPr>
            <w:tcW w:w="674" w:type="pct"/>
            <w:vMerge w:val="continue"/>
            <w:vAlign w:val="center"/>
          </w:tcPr>
          <w:p>
            <w:pPr>
              <w:spacing w:line="276" w:lineRule="auto"/>
              <w:rPr>
                <w:rFonts w:ascii="宋体" w:hAnsi="宋体" w:cs="Times New Roman"/>
              </w:rPr>
            </w:pPr>
          </w:p>
        </w:tc>
        <w:tc>
          <w:tcPr>
            <w:tcW w:w="4325" w:type="pct"/>
            <w:vAlign w:val="center"/>
          </w:tcPr>
          <w:p>
            <w:pPr>
              <w:spacing w:line="276" w:lineRule="auto"/>
              <w:rPr>
                <w:rFonts w:ascii="宋体" w:hAnsi="宋体" w:cs="Times New Roman"/>
              </w:rPr>
            </w:pPr>
            <w:r>
              <w:rPr>
                <w:rFonts w:ascii="宋体" w:hAnsi="宋体" w:cs="Times New Roman"/>
              </w:rPr>
              <w:t>系统支持对OpenStack的管理节点的数据备份与恢复操作。支持每日备份、立即备份。备份介质支持第三方FTP或对象存储。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jc w:val="center"/>
        </w:trPr>
        <w:tc>
          <w:tcPr>
            <w:tcW w:w="674" w:type="pct"/>
            <w:vMerge w:val="continue"/>
            <w:vAlign w:val="center"/>
          </w:tcPr>
          <w:p>
            <w:pPr>
              <w:spacing w:line="276" w:lineRule="auto"/>
              <w:rPr>
                <w:rFonts w:ascii="宋体" w:hAnsi="宋体" w:cs="Times New Roman"/>
              </w:rPr>
            </w:pPr>
          </w:p>
        </w:tc>
        <w:tc>
          <w:tcPr>
            <w:tcW w:w="4325" w:type="pct"/>
            <w:vAlign w:val="center"/>
          </w:tcPr>
          <w:p>
            <w:pPr>
              <w:spacing w:line="276" w:lineRule="auto"/>
              <w:rPr>
                <w:rFonts w:ascii="宋体" w:hAnsi="宋体" w:cs="Times New Roman"/>
              </w:rPr>
            </w:pPr>
            <w:r>
              <w:rPr>
                <w:rFonts w:ascii="宋体" w:hAnsi="宋体" w:cs="Times New Roman"/>
              </w:rPr>
              <w:t>通过心跳检测机制，实时监控管理进程，及时检测管理进程进程故障或僵死，并支持自动重启状态异常的进程。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9" w:hRule="atLeast"/>
          <w:jc w:val="center"/>
        </w:trPr>
        <w:tc>
          <w:tcPr>
            <w:tcW w:w="674" w:type="pct"/>
            <w:vMerge w:val="restart"/>
            <w:vAlign w:val="center"/>
          </w:tcPr>
          <w:p>
            <w:pPr>
              <w:spacing w:line="276" w:lineRule="auto"/>
              <w:rPr>
                <w:rFonts w:ascii="宋体" w:hAnsi="宋体" w:cs="Times New Roman"/>
              </w:rPr>
            </w:pPr>
            <w:r>
              <w:rPr>
                <w:rFonts w:ascii="宋体" w:hAnsi="宋体" w:cs="Times New Roman"/>
              </w:rPr>
              <w:t>备份要求</w:t>
            </w:r>
          </w:p>
        </w:tc>
        <w:tc>
          <w:tcPr>
            <w:tcW w:w="4325" w:type="pct"/>
            <w:vAlign w:val="center"/>
          </w:tcPr>
          <w:p>
            <w:pPr>
              <w:spacing w:line="276" w:lineRule="auto"/>
              <w:rPr>
                <w:rFonts w:ascii="宋体" w:hAnsi="宋体" w:cs="Times New Roman"/>
              </w:rPr>
            </w:pPr>
            <w:r>
              <w:rPr>
                <w:rFonts w:ascii="宋体" w:hAnsi="宋体" w:cs="Times New Roman"/>
              </w:rPr>
              <w:t>支持无代理备份，不需要在虚拟机内安装备份代理软件。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1" w:hRule="atLeast"/>
          <w:jc w:val="center"/>
        </w:trPr>
        <w:tc>
          <w:tcPr>
            <w:tcW w:w="674" w:type="pct"/>
            <w:vMerge w:val="continue"/>
            <w:vAlign w:val="center"/>
          </w:tcPr>
          <w:p>
            <w:pPr>
              <w:spacing w:line="276" w:lineRule="auto"/>
              <w:rPr>
                <w:rFonts w:ascii="宋体" w:hAnsi="宋体" w:cs="Times New Roman"/>
              </w:rPr>
            </w:pPr>
          </w:p>
        </w:tc>
        <w:tc>
          <w:tcPr>
            <w:tcW w:w="4325" w:type="pct"/>
            <w:vAlign w:val="center"/>
          </w:tcPr>
          <w:p>
            <w:pPr>
              <w:spacing w:line="276" w:lineRule="auto"/>
              <w:rPr>
                <w:rFonts w:ascii="宋体" w:hAnsi="宋体" w:cs="Times New Roman"/>
              </w:rPr>
            </w:pPr>
            <w:r>
              <w:rPr>
                <w:rFonts w:ascii="宋体" w:hAnsi="宋体" w:cs="Times New Roman"/>
              </w:rPr>
              <w:t>支持LAN-free备份与恢复，减少对生产服务器的性能影响。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32" w:hRule="atLeast"/>
          <w:jc w:val="center"/>
        </w:trPr>
        <w:tc>
          <w:tcPr>
            <w:tcW w:w="674" w:type="pct"/>
            <w:vMerge w:val="continue"/>
            <w:vAlign w:val="center"/>
          </w:tcPr>
          <w:p>
            <w:pPr>
              <w:spacing w:line="276" w:lineRule="auto"/>
              <w:rPr>
                <w:rFonts w:ascii="宋体" w:hAnsi="宋体" w:cs="Times New Roman"/>
              </w:rPr>
            </w:pPr>
          </w:p>
        </w:tc>
        <w:tc>
          <w:tcPr>
            <w:tcW w:w="4325" w:type="pct"/>
            <w:vAlign w:val="center"/>
          </w:tcPr>
          <w:p>
            <w:pPr>
              <w:spacing w:line="276" w:lineRule="auto"/>
              <w:rPr>
                <w:rFonts w:ascii="宋体" w:hAnsi="宋体" w:cs="Times New Roman"/>
              </w:rPr>
            </w:pPr>
            <w:r>
              <w:rPr>
                <w:rFonts w:ascii="宋体" w:hAnsi="宋体" w:cs="Times New Roman"/>
              </w:rPr>
              <w:t>支持在线备份，在虚拟机是开机和关机状态下都可进行备份。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0" w:hRule="atLeast"/>
          <w:jc w:val="center"/>
        </w:trPr>
        <w:tc>
          <w:tcPr>
            <w:tcW w:w="674" w:type="pct"/>
            <w:vMerge w:val="continue"/>
            <w:vAlign w:val="center"/>
          </w:tcPr>
          <w:p>
            <w:pPr>
              <w:spacing w:line="276" w:lineRule="auto"/>
              <w:rPr>
                <w:rFonts w:ascii="宋体" w:hAnsi="宋体" w:cs="Times New Roman"/>
              </w:rPr>
            </w:pPr>
          </w:p>
        </w:tc>
        <w:tc>
          <w:tcPr>
            <w:tcW w:w="4325" w:type="pct"/>
            <w:vAlign w:val="center"/>
          </w:tcPr>
          <w:p>
            <w:pPr>
              <w:spacing w:line="276" w:lineRule="auto"/>
              <w:rPr>
                <w:rFonts w:ascii="宋体" w:hAnsi="宋体" w:cs="Times New Roman"/>
              </w:rPr>
            </w:pPr>
            <w:r>
              <w:rPr>
                <w:rFonts w:ascii="宋体" w:hAnsi="宋体" w:cs="Times New Roman"/>
              </w:rPr>
              <w:t>支持增量备份，每次只需备份变化数据块，减少备份数据量，降低备份成本。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5" w:hRule="atLeast"/>
          <w:jc w:val="center"/>
        </w:trPr>
        <w:tc>
          <w:tcPr>
            <w:tcW w:w="674" w:type="pct"/>
            <w:vMerge w:val="continue"/>
            <w:vAlign w:val="center"/>
          </w:tcPr>
          <w:p>
            <w:pPr>
              <w:spacing w:line="276" w:lineRule="auto"/>
              <w:rPr>
                <w:rFonts w:ascii="宋体" w:hAnsi="宋体" w:cs="Times New Roman"/>
              </w:rPr>
            </w:pPr>
          </w:p>
        </w:tc>
        <w:tc>
          <w:tcPr>
            <w:tcW w:w="4325" w:type="pct"/>
            <w:vAlign w:val="center"/>
          </w:tcPr>
          <w:p>
            <w:pPr>
              <w:spacing w:line="276" w:lineRule="auto"/>
              <w:rPr>
                <w:rFonts w:ascii="宋体" w:hAnsi="宋体" w:cs="Times New Roman"/>
              </w:rPr>
            </w:pPr>
            <w:r>
              <w:rPr>
                <w:rFonts w:ascii="宋体" w:hAnsi="宋体" w:cs="Times New Roman"/>
              </w:rPr>
              <w:t>支持虚拟机系统卷数据（如安装的软件）的恢复。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7" w:hRule="atLeast"/>
          <w:jc w:val="center"/>
        </w:trPr>
        <w:tc>
          <w:tcPr>
            <w:tcW w:w="674" w:type="pct"/>
            <w:vAlign w:val="center"/>
          </w:tcPr>
          <w:p>
            <w:pPr>
              <w:spacing w:line="276" w:lineRule="auto"/>
              <w:rPr>
                <w:rFonts w:ascii="宋体" w:hAnsi="宋体" w:cs="Times New Roman"/>
              </w:rPr>
            </w:pPr>
            <w:r>
              <w:rPr>
                <w:rFonts w:ascii="宋体" w:hAnsi="宋体" w:cs="Times New Roman"/>
              </w:rPr>
              <w:t>配置要求</w:t>
            </w:r>
          </w:p>
        </w:tc>
        <w:tc>
          <w:tcPr>
            <w:tcW w:w="4325" w:type="pct"/>
            <w:vAlign w:val="center"/>
          </w:tcPr>
          <w:p>
            <w:pPr>
              <w:spacing w:line="276" w:lineRule="auto"/>
              <w:rPr>
                <w:rFonts w:ascii="宋体" w:hAnsi="宋体" w:cs="Times New Roman"/>
              </w:rPr>
            </w:pPr>
            <w:r>
              <w:rPr>
                <w:rFonts w:ascii="宋体" w:hAnsi="宋体" w:cs="Times New Roman"/>
              </w:rPr>
              <w:t>配置提供本期项目实际所需的足够的授权</w:t>
            </w:r>
          </w:p>
        </w:tc>
      </w:tr>
    </w:tbl>
    <w:p>
      <w:pPr>
        <w:spacing w:line="276" w:lineRule="auto"/>
      </w:pPr>
    </w:p>
    <w:bookmarkEnd w:id="18"/>
    <w:bookmarkEnd w:id="19"/>
    <w:bookmarkEnd w:id="20"/>
    <w:p>
      <w:pPr>
        <w:pStyle w:val="4"/>
        <w:numPr>
          <w:ilvl w:val="2"/>
          <w:numId w:val="5"/>
        </w:numPr>
        <w:spacing w:before="160" w:line="300" w:lineRule="exact"/>
        <w:ind w:left="420"/>
        <w:rPr>
          <w:rFonts w:ascii="宋体" w:hAnsi="宋体"/>
        </w:rPr>
      </w:pPr>
      <w:bookmarkStart w:id="23" w:name="_Toc34080581"/>
      <w:bookmarkStart w:id="24" w:name="_Toc34080397"/>
      <w:r>
        <w:rPr>
          <w:rFonts w:ascii="宋体" w:hAnsi="宋体"/>
        </w:rPr>
        <w:t>备份软件要求</w:t>
      </w:r>
      <w:bookmarkEnd w:id="23"/>
      <w:bookmarkEnd w:id="24"/>
    </w:p>
    <w:tbl>
      <w:tblPr>
        <w:tblStyle w:val="1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5"/>
        <w:gridCol w:w="600"/>
        <w:gridCol w:w="7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630" w:type="pct"/>
            <w:gridSpan w:val="2"/>
            <w:shd w:val="clear" w:color="auto" w:fill="D9D9D9"/>
            <w:vAlign w:val="center"/>
          </w:tcPr>
          <w:p>
            <w:pPr>
              <w:jc w:val="center"/>
              <w:rPr>
                <w:rFonts w:ascii="宋体" w:hAnsi="宋体" w:cs="宋体"/>
                <w:color w:val="000000"/>
                <w:kern w:val="0"/>
              </w:rPr>
            </w:pPr>
            <w:r>
              <w:rPr>
                <w:rFonts w:ascii="宋体" w:hAnsi="宋体" w:cs="Times New Roman"/>
                <w:b/>
              </w:rPr>
              <w:t>规格</w:t>
            </w:r>
          </w:p>
        </w:tc>
        <w:tc>
          <w:tcPr>
            <w:tcW w:w="4370" w:type="pct"/>
            <w:shd w:val="clear" w:color="auto" w:fill="D9D9D9"/>
            <w:vAlign w:val="center"/>
          </w:tcPr>
          <w:p>
            <w:pPr>
              <w:jc w:val="center"/>
              <w:rPr>
                <w:rFonts w:ascii="宋体" w:hAnsi="宋体" w:cs="宋体"/>
                <w:color w:val="000000"/>
                <w:kern w:val="0"/>
              </w:rPr>
            </w:pPr>
            <w:r>
              <w:rPr>
                <w:rFonts w:ascii="宋体" w:hAnsi="宋体" w:cs="微软雅黑"/>
                <w:b/>
              </w:rPr>
              <w:t>指标要求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atLeast"/>
        </w:trPr>
        <w:tc>
          <w:tcPr>
            <w:tcW w:w="279" w:type="pct"/>
            <w:vMerge w:val="restart"/>
            <w:vAlign w:val="center"/>
          </w:tcPr>
          <w:p>
            <w:pPr>
              <w:rPr>
                <w:rFonts w:ascii="宋体" w:hAnsi="宋体" w:cs="宋体"/>
                <w:color w:val="000000"/>
                <w:kern w:val="0"/>
              </w:rPr>
            </w:pPr>
            <w:r>
              <w:rPr>
                <w:rFonts w:ascii="宋体" w:hAnsi="宋体" w:cs="宋体"/>
                <w:color w:val="000000"/>
                <w:kern w:val="0"/>
              </w:rPr>
              <w:t>数据备份</w:t>
            </w:r>
          </w:p>
        </w:tc>
        <w:tc>
          <w:tcPr>
            <w:tcW w:w="352" w:type="pct"/>
            <w:vMerge w:val="restart"/>
            <w:vAlign w:val="center"/>
          </w:tcPr>
          <w:p>
            <w:pPr>
              <w:rPr>
                <w:rFonts w:ascii="宋体" w:hAnsi="宋体" w:cs="宋体"/>
                <w:color w:val="000000"/>
                <w:kern w:val="0"/>
              </w:rPr>
            </w:pPr>
            <w:r>
              <w:rPr>
                <w:rFonts w:ascii="宋体" w:hAnsi="宋体" w:cs="宋体"/>
                <w:color w:val="000000"/>
                <w:kern w:val="0"/>
              </w:rPr>
              <w:t>数据库及应用保护</w:t>
            </w:r>
          </w:p>
        </w:tc>
        <w:tc>
          <w:tcPr>
            <w:tcW w:w="4370" w:type="pct"/>
            <w:vAlign w:val="center"/>
          </w:tcPr>
          <w:p>
            <w:pPr>
              <w:rPr>
                <w:rFonts w:ascii="宋体" w:hAnsi="宋体" w:cs="宋体"/>
                <w:color w:val="000000"/>
                <w:kern w:val="0"/>
              </w:rPr>
            </w:pPr>
            <w:r>
              <w:rPr>
                <w:rFonts w:ascii="宋体" w:hAnsi="宋体" w:cs="宋体"/>
                <w:color w:val="000000"/>
                <w:kern w:val="0"/>
              </w:rPr>
              <w:t>支持对SQL Server、Oracle/RAC、DB2、GBase、MySQL等主流数据库进行在线备份保护，备份任务配置过程全部图形化向导指引完成，无需编写脚本。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279" w:type="pct"/>
            <w:vMerge w:val="continue"/>
            <w:vAlign w:val="center"/>
          </w:tcPr>
          <w:p>
            <w:pPr>
              <w:rPr>
                <w:rFonts w:ascii="宋体" w:hAnsi="宋体" w:cs="宋体"/>
                <w:color w:val="000000"/>
                <w:kern w:val="0"/>
              </w:rPr>
            </w:pPr>
          </w:p>
        </w:tc>
        <w:tc>
          <w:tcPr>
            <w:tcW w:w="352" w:type="pct"/>
            <w:vMerge w:val="continue"/>
            <w:vAlign w:val="center"/>
          </w:tcPr>
          <w:p>
            <w:pPr>
              <w:rPr>
                <w:rFonts w:ascii="宋体" w:hAnsi="宋体" w:cs="宋体"/>
                <w:color w:val="000000"/>
                <w:kern w:val="0"/>
              </w:rPr>
            </w:pPr>
          </w:p>
        </w:tc>
        <w:tc>
          <w:tcPr>
            <w:tcW w:w="4370" w:type="pct"/>
            <w:vAlign w:val="center"/>
          </w:tcPr>
          <w:p>
            <w:pPr>
              <w:rPr>
                <w:rFonts w:ascii="宋体" w:hAnsi="宋体" w:cs="宋体"/>
                <w:color w:val="000000"/>
                <w:kern w:val="0"/>
              </w:rPr>
            </w:pPr>
            <w:r>
              <w:rPr>
                <w:rFonts w:ascii="宋体" w:hAnsi="宋体" w:cs="宋体"/>
                <w:color w:val="000000"/>
                <w:kern w:val="0"/>
              </w:rPr>
              <w:t>支持对达梦数据库、人大金仓、神舟通用等数据库在线数据备份保护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279" w:type="pct"/>
            <w:vMerge w:val="continue"/>
            <w:vAlign w:val="center"/>
          </w:tcPr>
          <w:p>
            <w:pPr>
              <w:rPr>
                <w:rFonts w:ascii="宋体" w:hAnsi="宋体" w:cs="宋体"/>
                <w:color w:val="000000"/>
                <w:kern w:val="0"/>
              </w:rPr>
            </w:pPr>
          </w:p>
        </w:tc>
        <w:tc>
          <w:tcPr>
            <w:tcW w:w="352" w:type="pct"/>
            <w:vMerge w:val="continue"/>
            <w:vAlign w:val="center"/>
          </w:tcPr>
          <w:p>
            <w:pPr>
              <w:rPr>
                <w:rFonts w:ascii="宋体" w:hAnsi="宋体" w:cs="宋体"/>
                <w:color w:val="000000"/>
                <w:kern w:val="0"/>
              </w:rPr>
            </w:pPr>
          </w:p>
        </w:tc>
        <w:tc>
          <w:tcPr>
            <w:tcW w:w="4370" w:type="pct"/>
            <w:vAlign w:val="center"/>
          </w:tcPr>
          <w:p>
            <w:pPr>
              <w:rPr>
                <w:rFonts w:ascii="宋体" w:hAnsi="宋体" w:cs="宋体"/>
                <w:color w:val="000000"/>
                <w:kern w:val="0"/>
              </w:rPr>
            </w:pPr>
            <w:r>
              <w:rPr>
                <w:rFonts w:ascii="宋体" w:hAnsi="宋体" w:cs="宋体"/>
                <w:color w:val="000000"/>
                <w:kern w:val="0"/>
              </w:rPr>
              <w:t>支持对GaussDB、SAP HANA等数据库进行有效在线数据备份保护，并提供相关厂商产品兼容性互认证证书或可查询官网链接认证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279" w:type="pct"/>
            <w:vMerge w:val="continue"/>
            <w:vAlign w:val="center"/>
          </w:tcPr>
          <w:p>
            <w:pPr>
              <w:rPr>
                <w:rFonts w:ascii="宋体" w:hAnsi="宋体" w:cs="宋体"/>
                <w:color w:val="000000"/>
                <w:kern w:val="0"/>
              </w:rPr>
            </w:pPr>
          </w:p>
        </w:tc>
        <w:tc>
          <w:tcPr>
            <w:tcW w:w="352" w:type="pct"/>
            <w:vMerge w:val="continue"/>
            <w:vAlign w:val="center"/>
          </w:tcPr>
          <w:p>
            <w:pPr>
              <w:rPr>
                <w:rFonts w:ascii="宋体" w:hAnsi="宋体" w:cs="宋体"/>
                <w:color w:val="000000"/>
                <w:kern w:val="0"/>
              </w:rPr>
            </w:pPr>
          </w:p>
        </w:tc>
        <w:tc>
          <w:tcPr>
            <w:tcW w:w="4370" w:type="pct"/>
            <w:vAlign w:val="center"/>
          </w:tcPr>
          <w:p>
            <w:pPr>
              <w:rPr>
                <w:rFonts w:ascii="宋体" w:hAnsi="宋体" w:cs="宋体"/>
                <w:color w:val="000000"/>
                <w:kern w:val="0"/>
              </w:rPr>
            </w:pPr>
            <w:r>
              <w:rPr>
                <w:rFonts w:ascii="宋体" w:hAnsi="宋体" w:cs="宋体"/>
                <w:color w:val="000000"/>
                <w:kern w:val="0"/>
              </w:rPr>
              <w:t>Oracle数据库备份支持10g、11g、12c和18c，支持自定义脚本，支持支持RMAN备份参数的图形化配置。支持Oracle RAC恢复到单机环境，支持SCN级别的恢复。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279" w:type="pct"/>
            <w:vMerge w:val="continue"/>
            <w:vAlign w:val="center"/>
          </w:tcPr>
          <w:p>
            <w:pPr>
              <w:rPr>
                <w:rFonts w:ascii="宋体" w:hAnsi="宋体" w:cs="宋体"/>
                <w:color w:val="000000"/>
                <w:kern w:val="0"/>
              </w:rPr>
            </w:pPr>
          </w:p>
        </w:tc>
        <w:tc>
          <w:tcPr>
            <w:tcW w:w="352" w:type="pct"/>
            <w:vMerge w:val="continue"/>
            <w:vAlign w:val="center"/>
          </w:tcPr>
          <w:p>
            <w:pPr>
              <w:rPr>
                <w:rFonts w:ascii="宋体" w:hAnsi="宋体" w:cs="宋体"/>
                <w:color w:val="000000"/>
                <w:kern w:val="0"/>
              </w:rPr>
            </w:pPr>
          </w:p>
        </w:tc>
        <w:tc>
          <w:tcPr>
            <w:tcW w:w="4370" w:type="pct"/>
            <w:vAlign w:val="center"/>
          </w:tcPr>
          <w:p>
            <w:pPr>
              <w:rPr>
                <w:rFonts w:ascii="宋体" w:hAnsi="宋体" w:cs="宋体"/>
                <w:color w:val="000000"/>
                <w:kern w:val="0"/>
              </w:rPr>
            </w:pPr>
            <w:r>
              <w:rPr>
                <w:rFonts w:ascii="宋体" w:hAnsi="宋体" w:cs="宋体"/>
                <w:color w:val="000000"/>
                <w:kern w:val="0"/>
              </w:rPr>
              <w:t>支持对Hadoop文件系统进行在线备份保护，支持文件、目录、格式和日期过滤，支持永久增量备份。支持备份数据恢复至原环境和其他Hadoop集群，支持恢复至其他文件系统。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279" w:type="pct"/>
            <w:vMerge w:val="continue"/>
            <w:vAlign w:val="center"/>
          </w:tcPr>
          <w:p>
            <w:pPr>
              <w:rPr>
                <w:rFonts w:ascii="宋体" w:hAnsi="宋体" w:cs="宋体"/>
                <w:color w:val="000000"/>
                <w:kern w:val="0"/>
              </w:rPr>
            </w:pPr>
          </w:p>
        </w:tc>
        <w:tc>
          <w:tcPr>
            <w:tcW w:w="352" w:type="pct"/>
            <w:vAlign w:val="center"/>
          </w:tcPr>
          <w:p>
            <w:pPr>
              <w:rPr>
                <w:rFonts w:ascii="宋体" w:hAnsi="宋体" w:cs="宋体"/>
                <w:color w:val="000000"/>
                <w:kern w:val="0"/>
              </w:rPr>
            </w:pPr>
            <w:r>
              <w:rPr>
                <w:rFonts w:ascii="宋体" w:hAnsi="宋体" w:cs="宋体"/>
                <w:color w:val="000000"/>
                <w:kern w:val="0"/>
              </w:rPr>
              <w:t>国产化支持</w:t>
            </w:r>
          </w:p>
        </w:tc>
        <w:tc>
          <w:tcPr>
            <w:tcW w:w="4370" w:type="pct"/>
            <w:vAlign w:val="center"/>
          </w:tcPr>
          <w:p>
            <w:pPr>
              <w:rPr>
                <w:rFonts w:ascii="宋体" w:hAnsi="宋体" w:cs="宋体"/>
                <w:color w:val="000000"/>
                <w:kern w:val="0"/>
              </w:rPr>
            </w:pPr>
            <w:r>
              <w:rPr>
                <w:rFonts w:ascii="宋体" w:hAnsi="宋体" w:cs="宋体"/>
                <w:color w:val="000000"/>
                <w:kern w:val="0"/>
              </w:rPr>
              <w:t>支持鲲鹏、龙芯、飞腾平台下的软件安装部署和数据保护。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79" w:type="pct"/>
            <w:vMerge w:val="continue"/>
            <w:vAlign w:val="center"/>
          </w:tcPr>
          <w:p>
            <w:pPr>
              <w:rPr>
                <w:rFonts w:ascii="宋体" w:hAnsi="宋体" w:cs="宋体"/>
                <w:color w:val="000000"/>
                <w:kern w:val="0"/>
              </w:rPr>
            </w:pPr>
          </w:p>
        </w:tc>
        <w:tc>
          <w:tcPr>
            <w:tcW w:w="352" w:type="pct"/>
            <w:vAlign w:val="center"/>
          </w:tcPr>
          <w:p>
            <w:pPr>
              <w:rPr>
                <w:rFonts w:ascii="宋体" w:hAnsi="宋体" w:cs="宋体"/>
                <w:color w:val="000000"/>
                <w:kern w:val="0"/>
              </w:rPr>
            </w:pPr>
            <w:r>
              <w:rPr>
                <w:rFonts w:ascii="宋体" w:hAnsi="宋体" w:cs="宋体"/>
                <w:color w:val="000000"/>
                <w:kern w:val="0"/>
              </w:rPr>
              <w:t>卷级备份</w:t>
            </w:r>
          </w:p>
        </w:tc>
        <w:tc>
          <w:tcPr>
            <w:tcW w:w="4370" w:type="pct"/>
            <w:vAlign w:val="center"/>
          </w:tcPr>
          <w:p>
            <w:pPr>
              <w:rPr>
                <w:rFonts w:ascii="宋体" w:hAnsi="宋体" w:cs="宋体"/>
                <w:color w:val="000000"/>
                <w:kern w:val="0"/>
              </w:rPr>
            </w:pPr>
            <w:r>
              <w:rPr>
                <w:rFonts w:ascii="宋体" w:hAnsi="宋体" w:cs="宋体"/>
                <w:color w:val="000000"/>
                <w:kern w:val="0"/>
              </w:rPr>
              <w:t>支持文件系统的卷级备份功能，以整卷为单位进行数据备份，提升海量小文件环境下的备份效率。支持整卷恢复和单文件目录级别的细粒度恢复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279" w:type="pct"/>
            <w:vMerge w:val="continue"/>
            <w:vAlign w:val="center"/>
          </w:tcPr>
          <w:p>
            <w:pPr>
              <w:rPr>
                <w:rFonts w:ascii="宋体" w:hAnsi="宋体" w:cs="宋体"/>
                <w:color w:val="000000"/>
                <w:kern w:val="0"/>
              </w:rPr>
            </w:pPr>
          </w:p>
        </w:tc>
        <w:tc>
          <w:tcPr>
            <w:tcW w:w="352" w:type="pct"/>
            <w:vMerge w:val="restart"/>
            <w:vAlign w:val="center"/>
          </w:tcPr>
          <w:p>
            <w:pPr>
              <w:rPr>
                <w:rFonts w:ascii="宋体" w:hAnsi="宋体" w:cs="宋体"/>
                <w:color w:val="000000"/>
                <w:kern w:val="0"/>
              </w:rPr>
            </w:pPr>
            <w:r>
              <w:rPr>
                <w:rFonts w:ascii="宋体" w:hAnsi="宋体" w:cs="宋体"/>
                <w:color w:val="000000"/>
                <w:kern w:val="0"/>
              </w:rPr>
              <w:t>虚拟化及云平台备份</w:t>
            </w:r>
          </w:p>
        </w:tc>
        <w:tc>
          <w:tcPr>
            <w:tcW w:w="4370" w:type="pct"/>
            <w:vAlign w:val="center"/>
          </w:tcPr>
          <w:p>
            <w:pPr>
              <w:rPr>
                <w:rFonts w:ascii="宋体" w:hAnsi="宋体" w:cs="宋体"/>
                <w:color w:val="000000"/>
                <w:kern w:val="0"/>
              </w:rPr>
            </w:pPr>
            <w:r>
              <w:rPr>
                <w:rFonts w:ascii="宋体" w:hAnsi="宋体" w:cs="宋体"/>
                <w:color w:val="000000"/>
                <w:kern w:val="0"/>
              </w:rPr>
              <w:t>支持对FusionComputer、FusionCloud、CAS、VMware vSphere、XenServer、Hyper-V和OpenStack等主流虚拟化应用的备份，支持单机和集群部署环境。以上虚拟化应用均支持以虚拟机、资源池和整个集群为单位进行备份保护保护，无需在虚拟机内部安装任何代理软件。支持针对FusionCloud的永久增量备份以及基于租户化对接及管理，备份数据流不会占用FusionCloud管理网络导致拥塞，需提供相关于FusionCloud备份对接的互认证兼容性证书及官网查询链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279" w:type="pct"/>
            <w:vMerge w:val="continue"/>
            <w:vAlign w:val="center"/>
          </w:tcPr>
          <w:p>
            <w:pPr>
              <w:rPr>
                <w:rFonts w:ascii="宋体" w:hAnsi="宋体" w:cs="宋体"/>
                <w:color w:val="000000"/>
                <w:kern w:val="0"/>
              </w:rPr>
            </w:pPr>
          </w:p>
        </w:tc>
        <w:tc>
          <w:tcPr>
            <w:tcW w:w="352" w:type="pct"/>
            <w:vMerge w:val="continue"/>
            <w:vAlign w:val="center"/>
          </w:tcPr>
          <w:p>
            <w:pPr>
              <w:rPr>
                <w:rFonts w:ascii="宋体" w:hAnsi="宋体" w:cs="宋体"/>
                <w:color w:val="000000"/>
                <w:kern w:val="0"/>
              </w:rPr>
            </w:pPr>
          </w:p>
        </w:tc>
        <w:tc>
          <w:tcPr>
            <w:tcW w:w="4370" w:type="pct"/>
            <w:vAlign w:val="center"/>
          </w:tcPr>
          <w:p>
            <w:pPr>
              <w:rPr>
                <w:rFonts w:ascii="宋体" w:hAnsi="宋体" w:cs="宋体"/>
                <w:color w:val="000000"/>
                <w:kern w:val="0"/>
              </w:rPr>
            </w:pPr>
            <w:r>
              <w:rPr>
                <w:rFonts w:ascii="宋体" w:hAnsi="宋体" w:cs="宋体"/>
                <w:color w:val="000000"/>
                <w:kern w:val="0"/>
              </w:rPr>
              <w:t>虚拟机恢复时支持选择目标集群、资源池和存储资源，支持原位置恢复和恢复为新虚拟机，能够设置恢复后虚拟机的CPU、内存和网络配置。支持保留源虚拟机MAC地址恢复，支持恢复后自动打开虚拟机。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279" w:type="pct"/>
            <w:vMerge w:val="continue"/>
            <w:vAlign w:val="center"/>
          </w:tcPr>
          <w:p>
            <w:pPr>
              <w:rPr>
                <w:rFonts w:ascii="宋体" w:hAnsi="宋体" w:cs="宋体"/>
                <w:color w:val="000000"/>
                <w:kern w:val="0"/>
              </w:rPr>
            </w:pPr>
          </w:p>
        </w:tc>
        <w:tc>
          <w:tcPr>
            <w:tcW w:w="352" w:type="pct"/>
            <w:vMerge w:val="continue"/>
            <w:vAlign w:val="center"/>
          </w:tcPr>
          <w:p>
            <w:pPr>
              <w:rPr>
                <w:rFonts w:ascii="宋体" w:hAnsi="宋体" w:cs="宋体"/>
                <w:color w:val="000000"/>
                <w:kern w:val="0"/>
              </w:rPr>
            </w:pPr>
          </w:p>
        </w:tc>
        <w:tc>
          <w:tcPr>
            <w:tcW w:w="4370" w:type="pct"/>
            <w:vAlign w:val="center"/>
          </w:tcPr>
          <w:p>
            <w:pPr>
              <w:rPr>
                <w:rFonts w:ascii="宋体" w:hAnsi="宋体" w:cs="宋体"/>
                <w:color w:val="000000"/>
                <w:kern w:val="0"/>
              </w:rPr>
            </w:pPr>
            <w:r>
              <w:rPr>
                <w:rFonts w:ascii="宋体" w:hAnsi="宋体" w:cs="宋体"/>
                <w:color w:val="000000"/>
                <w:kern w:val="0"/>
              </w:rPr>
              <w:t>支持虚拟机分流备份功能，一个任务包含来自多个宿主主机的虚拟机时，会对虚拟机按宿主机进行归类，优先抽取不同宿主机上的虚拟机进行备份，提升备份速度和效率。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279" w:type="pct"/>
            <w:vMerge w:val="continue"/>
            <w:vAlign w:val="center"/>
          </w:tcPr>
          <w:p>
            <w:pPr>
              <w:rPr>
                <w:rFonts w:ascii="宋体" w:hAnsi="宋体" w:cs="宋体"/>
                <w:color w:val="000000"/>
                <w:kern w:val="0"/>
              </w:rPr>
            </w:pPr>
          </w:p>
        </w:tc>
        <w:tc>
          <w:tcPr>
            <w:tcW w:w="352" w:type="pct"/>
            <w:vMerge w:val="continue"/>
            <w:vAlign w:val="center"/>
          </w:tcPr>
          <w:p>
            <w:pPr>
              <w:rPr>
                <w:rFonts w:ascii="宋体" w:hAnsi="宋体" w:cs="宋体"/>
                <w:color w:val="000000"/>
                <w:kern w:val="0"/>
              </w:rPr>
            </w:pPr>
          </w:p>
        </w:tc>
        <w:tc>
          <w:tcPr>
            <w:tcW w:w="4370" w:type="pct"/>
            <w:vAlign w:val="center"/>
          </w:tcPr>
          <w:p>
            <w:pPr>
              <w:rPr>
                <w:rFonts w:ascii="宋体" w:hAnsi="宋体" w:cs="宋体"/>
                <w:color w:val="000000"/>
                <w:kern w:val="0"/>
              </w:rPr>
            </w:pPr>
            <w:r>
              <w:rPr>
                <w:rFonts w:ascii="宋体" w:hAnsi="宋体" w:cs="宋体"/>
                <w:color w:val="000000"/>
                <w:kern w:val="0"/>
              </w:rPr>
              <w:t>支持虚拟机并发备份和恢复功能，支持在WEB页面中设置单个备份和恢复任务中的虚拟机并发备份和恢复数量，可大幅提高备份恢复效率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trPr>
        <w:tc>
          <w:tcPr>
            <w:tcW w:w="279" w:type="pct"/>
            <w:vMerge w:val="continue"/>
            <w:vAlign w:val="center"/>
          </w:tcPr>
          <w:p>
            <w:pPr>
              <w:rPr>
                <w:rFonts w:ascii="宋体" w:hAnsi="宋体" w:cs="宋体"/>
                <w:color w:val="000000"/>
                <w:kern w:val="0"/>
              </w:rPr>
            </w:pPr>
          </w:p>
        </w:tc>
        <w:tc>
          <w:tcPr>
            <w:tcW w:w="352" w:type="pct"/>
            <w:vMerge w:val="restart"/>
            <w:vAlign w:val="center"/>
          </w:tcPr>
          <w:p>
            <w:pPr>
              <w:rPr>
                <w:rFonts w:ascii="宋体" w:hAnsi="宋体" w:cs="宋体"/>
                <w:color w:val="000000"/>
                <w:kern w:val="0"/>
              </w:rPr>
            </w:pPr>
            <w:r>
              <w:rPr>
                <w:rFonts w:ascii="宋体" w:hAnsi="宋体" w:cs="宋体"/>
                <w:color w:val="000000"/>
                <w:kern w:val="0"/>
              </w:rPr>
              <w:t>源端重复数据删除技术</w:t>
            </w:r>
          </w:p>
        </w:tc>
        <w:tc>
          <w:tcPr>
            <w:tcW w:w="4370" w:type="pct"/>
            <w:vAlign w:val="center"/>
          </w:tcPr>
          <w:p>
            <w:pPr>
              <w:rPr>
                <w:rFonts w:ascii="宋体" w:hAnsi="宋体" w:cs="宋体"/>
                <w:color w:val="000000"/>
                <w:kern w:val="0"/>
              </w:rPr>
            </w:pPr>
            <w:r>
              <w:rPr>
                <w:rFonts w:ascii="宋体" w:hAnsi="宋体" w:cs="宋体"/>
                <w:color w:val="000000"/>
                <w:kern w:val="0"/>
              </w:rPr>
              <w:t>支持基于源端的可变长度切片的重复数据删除技术，多个备份任务可以共享同一个重复数据删除指纹池，也可以根据数据的不同单独设置专属指纹池，最大限度的提升重复数据删除效率，减轻带宽压力，降低传输数据量和备份数据存储成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279" w:type="pct"/>
            <w:vMerge w:val="continue"/>
            <w:vAlign w:val="center"/>
          </w:tcPr>
          <w:p>
            <w:pPr>
              <w:rPr>
                <w:rFonts w:ascii="宋体" w:hAnsi="宋体" w:cs="宋体"/>
                <w:color w:val="000000"/>
                <w:kern w:val="0"/>
              </w:rPr>
            </w:pPr>
          </w:p>
        </w:tc>
        <w:tc>
          <w:tcPr>
            <w:tcW w:w="352" w:type="pct"/>
            <w:vMerge w:val="continue"/>
            <w:vAlign w:val="center"/>
          </w:tcPr>
          <w:p>
            <w:pPr>
              <w:rPr>
                <w:rFonts w:ascii="宋体" w:hAnsi="宋体" w:cs="宋体"/>
                <w:color w:val="000000"/>
                <w:kern w:val="0"/>
              </w:rPr>
            </w:pPr>
          </w:p>
        </w:tc>
        <w:tc>
          <w:tcPr>
            <w:tcW w:w="4370" w:type="pct"/>
            <w:vAlign w:val="center"/>
          </w:tcPr>
          <w:p>
            <w:pPr>
              <w:rPr>
                <w:rFonts w:ascii="宋体" w:hAnsi="宋体" w:cs="宋体"/>
                <w:color w:val="000000"/>
                <w:kern w:val="0"/>
              </w:rPr>
            </w:pPr>
            <w:r>
              <w:rPr>
                <w:rFonts w:ascii="宋体" w:hAnsi="宋体" w:cs="宋体"/>
                <w:color w:val="000000"/>
                <w:kern w:val="0"/>
              </w:rPr>
              <w:t>支持并行重复数据删除，通过在多个不同的节点上构建指纹池，并将指纹并行分布于多个节点，有效解决单点性能和存储空间压力问题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9" w:hRule="atLeast"/>
        </w:trPr>
        <w:tc>
          <w:tcPr>
            <w:tcW w:w="279" w:type="pct"/>
            <w:vMerge w:val="continue"/>
            <w:vAlign w:val="center"/>
          </w:tcPr>
          <w:p>
            <w:pPr>
              <w:rPr>
                <w:rFonts w:ascii="宋体" w:hAnsi="宋体" w:cs="宋体"/>
                <w:color w:val="000000"/>
                <w:kern w:val="0"/>
              </w:rPr>
            </w:pPr>
          </w:p>
        </w:tc>
        <w:tc>
          <w:tcPr>
            <w:tcW w:w="352" w:type="pct"/>
            <w:vMerge w:val="continue"/>
            <w:vAlign w:val="center"/>
          </w:tcPr>
          <w:p>
            <w:pPr>
              <w:rPr>
                <w:rFonts w:ascii="宋体" w:hAnsi="宋体" w:cs="宋体"/>
                <w:color w:val="000000"/>
                <w:kern w:val="0"/>
              </w:rPr>
            </w:pPr>
          </w:p>
        </w:tc>
        <w:tc>
          <w:tcPr>
            <w:tcW w:w="4370" w:type="pct"/>
            <w:vAlign w:val="center"/>
          </w:tcPr>
          <w:p>
            <w:pPr>
              <w:rPr>
                <w:rFonts w:ascii="宋体" w:hAnsi="宋体" w:cs="宋体"/>
                <w:color w:val="000000"/>
                <w:kern w:val="0"/>
              </w:rPr>
            </w:pPr>
            <w:r>
              <w:rPr>
                <w:rFonts w:ascii="宋体" w:hAnsi="宋体" w:cs="宋体"/>
                <w:color w:val="000000"/>
                <w:kern w:val="0"/>
              </w:rPr>
              <w:t>采用内存级指纹池进行重删，所有指纹读写全部保存于内存中，从而提升指纹查询和处理效率，并且减少了因磁盘中指纹池增大所导致的随机IO压力。当指纹池不再需要进行备份时，将指纹同步到磁盘当中。指纹池构建在不同重删节点上，而生产数据可以基于多个不同的指纹池，执行并行重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6" w:hRule="atLeast"/>
        </w:trPr>
        <w:tc>
          <w:tcPr>
            <w:tcW w:w="279" w:type="pct"/>
            <w:vMerge w:val="continue"/>
            <w:vAlign w:val="center"/>
          </w:tcPr>
          <w:p>
            <w:pPr>
              <w:rPr>
                <w:rFonts w:ascii="宋体" w:hAnsi="宋体" w:cs="宋体"/>
                <w:color w:val="000000"/>
                <w:kern w:val="0"/>
              </w:rPr>
            </w:pPr>
          </w:p>
        </w:tc>
        <w:tc>
          <w:tcPr>
            <w:tcW w:w="352" w:type="pct"/>
            <w:vMerge w:val="continue"/>
            <w:vAlign w:val="center"/>
          </w:tcPr>
          <w:p>
            <w:pPr>
              <w:rPr>
                <w:rFonts w:ascii="宋体" w:hAnsi="宋体" w:cs="宋体"/>
                <w:color w:val="000000"/>
                <w:kern w:val="0"/>
              </w:rPr>
            </w:pPr>
          </w:p>
        </w:tc>
        <w:tc>
          <w:tcPr>
            <w:tcW w:w="4370" w:type="pct"/>
            <w:vAlign w:val="center"/>
          </w:tcPr>
          <w:p>
            <w:pPr>
              <w:rPr>
                <w:rFonts w:ascii="宋体" w:hAnsi="宋体" w:cs="宋体"/>
                <w:color w:val="000000"/>
                <w:kern w:val="0"/>
              </w:rPr>
            </w:pPr>
            <w:r>
              <w:rPr>
                <w:rFonts w:ascii="宋体" w:hAnsi="宋体" w:cs="宋体"/>
                <w:color w:val="000000"/>
                <w:kern w:val="0"/>
              </w:rPr>
              <w:t>采用内存进行重复数据删除加速，重复数据删除的计算和对比均在内存中进行。重删指纹池实现按需加载到内存，不使用时写入普通机械磁盘中，无须高性能的SSD。大幅提高重复数据删除速度和效率，降低投资成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79" w:type="pct"/>
            <w:vMerge w:val="continue"/>
            <w:vAlign w:val="center"/>
          </w:tcPr>
          <w:p>
            <w:pPr>
              <w:rPr>
                <w:rFonts w:ascii="宋体" w:hAnsi="宋体" w:cs="宋体"/>
                <w:color w:val="000000"/>
                <w:kern w:val="0"/>
              </w:rPr>
            </w:pPr>
          </w:p>
        </w:tc>
        <w:tc>
          <w:tcPr>
            <w:tcW w:w="352" w:type="pct"/>
            <w:vAlign w:val="center"/>
          </w:tcPr>
          <w:p>
            <w:pPr>
              <w:rPr>
                <w:rFonts w:ascii="宋体" w:hAnsi="宋体" w:cs="宋体"/>
                <w:color w:val="000000"/>
                <w:kern w:val="0"/>
              </w:rPr>
            </w:pPr>
            <w:r>
              <w:rPr>
                <w:rFonts w:ascii="宋体" w:hAnsi="宋体" w:cs="宋体"/>
                <w:color w:val="000000"/>
                <w:kern w:val="0"/>
              </w:rPr>
              <w:t>数据安全性</w:t>
            </w:r>
          </w:p>
        </w:tc>
        <w:tc>
          <w:tcPr>
            <w:tcW w:w="4370" w:type="pct"/>
            <w:vAlign w:val="center"/>
          </w:tcPr>
          <w:p>
            <w:pPr>
              <w:rPr>
                <w:rFonts w:ascii="宋体" w:hAnsi="宋体" w:cs="宋体"/>
                <w:color w:val="000000"/>
                <w:kern w:val="0"/>
              </w:rPr>
            </w:pPr>
            <w:r>
              <w:rPr>
                <w:rFonts w:ascii="宋体" w:hAnsi="宋体" w:cs="宋体"/>
                <w:color w:val="000000"/>
                <w:kern w:val="0"/>
              </w:rPr>
              <w:t>支持对备份数据进行加密传输和存储，支持AES256和SM4两种加密算法，提升传输过程以及存储的安全性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279" w:type="pct"/>
            <w:vMerge w:val="restart"/>
            <w:vAlign w:val="center"/>
          </w:tcPr>
          <w:p>
            <w:pPr>
              <w:rPr>
                <w:rFonts w:ascii="宋体" w:hAnsi="宋体" w:cs="宋体"/>
                <w:color w:val="000000"/>
                <w:kern w:val="0"/>
              </w:rPr>
            </w:pPr>
          </w:p>
        </w:tc>
        <w:tc>
          <w:tcPr>
            <w:tcW w:w="352" w:type="pct"/>
            <w:vMerge w:val="restart"/>
            <w:vAlign w:val="center"/>
          </w:tcPr>
          <w:p>
            <w:pPr>
              <w:rPr>
                <w:rFonts w:ascii="宋体" w:hAnsi="宋体" w:cs="宋体"/>
                <w:color w:val="000000"/>
                <w:kern w:val="0"/>
              </w:rPr>
            </w:pPr>
            <w:r>
              <w:rPr>
                <w:rFonts w:ascii="宋体" w:hAnsi="宋体" w:cs="宋体"/>
                <w:color w:val="000000"/>
                <w:kern w:val="0"/>
              </w:rPr>
              <w:t>备份数据存储</w:t>
            </w:r>
          </w:p>
        </w:tc>
        <w:tc>
          <w:tcPr>
            <w:tcW w:w="4370" w:type="pct"/>
            <w:vAlign w:val="center"/>
          </w:tcPr>
          <w:p>
            <w:pPr>
              <w:rPr>
                <w:rFonts w:ascii="宋体" w:hAnsi="宋体" w:cs="宋体"/>
                <w:color w:val="000000"/>
                <w:kern w:val="0"/>
              </w:rPr>
            </w:pPr>
            <w:r>
              <w:rPr>
                <w:rFonts w:ascii="宋体" w:hAnsi="宋体" w:cs="宋体"/>
                <w:color w:val="000000"/>
                <w:kern w:val="0"/>
              </w:rPr>
              <w:t>所有的定时备份任务，其备份数据存储在一个统一的存储介质管理系统中，无需针对不同类型的任务单独配置单独隔离无法空间共享的存储池，提高空间利用率的同事简化管理维护。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279" w:type="pct"/>
            <w:vMerge w:val="continue"/>
            <w:vAlign w:val="center"/>
          </w:tcPr>
          <w:p>
            <w:pPr>
              <w:rPr>
                <w:rFonts w:ascii="宋体" w:hAnsi="宋体" w:cs="宋体"/>
                <w:color w:val="000000"/>
                <w:kern w:val="0"/>
              </w:rPr>
            </w:pPr>
          </w:p>
        </w:tc>
        <w:tc>
          <w:tcPr>
            <w:tcW w:w="352" w:type="pct"/>
            <w:vMerge w:val="continue"/>
            <w:vAlign w:val="center"/>
          </w:tcPr>
          <w:p>
            <w:pPr>
              <w:rPr>
                <w:rFonts w:ascii="宋体" w:hAnsi="宋体" w:cs="宋体"/>
                <w:color w:val="000000"/>
                <w:kern w:val="0"/>
              </w:rPr>
            </w:pPr>
          </w:p>
        </w:tc>
        <w:tc>
          <w:tcPr>
            <w:tcW w:w="4370" w:type="pct"/>
            <w:vAlign w:val="center"/>
          </w:tcPr>
          <w:p>
            <w:pPr>
              <w:rPr>
                <w:rFonts w:ascii="宋体" w:hAnsi="宋体" w:cs="宋体"/>
                <w:color w:val="000000"/>
                <w:kern w:val="0"/>
              </w:rPr>
            </w:pPr>
            <w:r>
              <w:rPr>
                <w:rFonts w:ascii="宋体" w:hAnsi="宋体" w:cs="宋体"/>
                <w:color w:val="000000"/>
                <w:kern w:val="0"/>
              </w:rPr>
              <w:t>支持备份存储介质管理系统支持在线扩容，所有备份节点均可在线增加磁盘，新增磁盘空间自动添加进存储介质管理系统中，且即时可用，现有备份任务无需任何调整，备份数据可自动写入新增加的空间内。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279" w:type="pct"/>
            <w:vMerge w:val="continue"/>
            <w:vAlign w:val="center"/>
          </w:tcPr>
          <w:p>
            <w:pPr>
              <w:rPr>
                <w:rFonts w:ascii="宋体" w:hAnsi="宋体" w:cs="宋体"/>
                <w:color w:val="000000"/>
                <w:kern w:val="0"/>
              </w:rPr>
            </w:pPr>
          </w:p>
        </w:tc>
        <w:tc>
          <w:tcPr>
            <w:tcW w:w="352" w:type="pct"/>
            <w:vAlign w:val="center"/>
          </w:tcPr>
          <w:p>
            <w:pPr>
              <w:rPr>
                <w:rFonts w:ascii="宋体" w:hAnsi="宋体" w:cs="宋体"/>
                <w:color w:val="000000"/>
                <w:kern w:val="0"/>
              </w:rPr>
            </w:pPr>
            <w:r>
              <w:rPr>
                <w:rFonts w:ascii="宋体" w:hAnsi="宋体" w:cs="宋体"/>
                <w:color w:val="000000"/>
                <w:kern w:val="0"/>
              </w:rPr>
              <w:t>永久增量备份</w:t>
            </w:r>
          </w:p>
        </w:tc>
        <w:tc>
          <w:tcPr>
            <w:tcW w:w="4370" w:type="pct"/>
            <w:vAlign w:val="center"/>
          </w:tcPr>
          <w:p>
            <w:pPr>
              <w:rPr>
                <w:rFonts w:ascii="宋体" w:hAnsi="宋体" w:cs="宋体"/>
                <w:color w:val="000000"/>
                <w:kern w:val="0"/>
              </w:rPr>
            </w:pPr>
            <w:r>
              <w:rPr>
                <w:rFonts w:ascii="宋体" w:hAnsi="宋体" w:cs="宋体"/>
                <w:color w:val="000000"/>
                <w:kern w:val="0"/>
              </w:rPr>
              <w:t>支持永久增量备份技术，初次备份对所有数据进行完全备份，之后只对新增加或改动过的数据做增量备份。每个增量备份的数据副本将自动合成为完全副本，但数据存储空间只占用一份完全副本大小及增量数据大小，能够大幅度减少备份时间的同时节省相比传统定期完全备份数据所需的存储空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0" w:hRule="atLeast"/>
        </w:trPr>
        <w:tc>
          <w:tcPr>
            <w:tcW w:w="279" w:type="pct"/>
            <w:vMerge w:val="continue"/>
            <w:vAlign w:val="center"/>
          </w:tcPr>
          <w:p>
            <w:pPr>
              <w:rPr>
                <w:rFonts w:ascii="宋体" w:hAnsi="宋体" w:cs="宋体"/>
                <w:color w:val="000000"/>
                <w:kern w:val="0"/>
              </w:rPr>
            </w:pPr>
          </w:p>
        </w:tc>
        <w:tc>
          <w:tcPr>
            <w:tcW w:w="352" w:type="pct"/>
            <w:vAlign w:val="center"/>
          </w:tcPr>
          <w:p>
            <w:pPr>
              <w:rPr>
                <w:rFonts w:ascii="宋体" w:hAnsi="宋体" w:cs="宋体"/>
                <w:color w:val="000000"/>
                <w:kern w:val="0"/>
              </w:rPr>
            </w:pPr>
            <w:r>
              <w:rPr>
                <w:rFonts w:ascii="宋体" w:hAnsi="宋体" w:cs="宋体"/>
                <w:color w:val="000000"/>
                <w:kern w:val="0"/>
              </w:rPr>
              <w:t>数据保留</w:t>
            </w:r>
          </w:p>
        </w:tc>
        <w:tc>
          <w:tcPr>
            <w:tcW w:w="4370" w:type="pct"/>
            <w:vAlign w:val="center"/>
          </w:tcPr>
          <w:p>
            <w:pPr>
              <w:rPr>
                <w:rFonts w:ascii="宋体" w:hAnsi="宋体" w:cs="宋体"/>
                <w:color w:val="000000"/>
                <w:kern w:val="0"/>
              </w:rPr>
            </w:pPr>
            <w:r>
              <w:rPr>
                <w:rFonts w:ascii="宋体" w:hAnsi="宋体" w:cs="宋体"/>
                <w:color w:val="000000"/>
                <w:kern w:val="0"/>
              </w:rPr>
              <w:t>以单个备份任务为单位设定备份数据的保留周期，支持基于时间范围和完全备份副本数量两种方式控制备份数据的保留周期，同时支持将备份数据直接从客户端D2C备份到对象存储中做长期保留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279" w:type="pct"/>
            <w:vMerge w:val="restart"/>
            <w:vAlign w:val="center"/>
          </w:tcPr>
          <w:p>
            <w:pPr>
              <w:rPr>
                <w:rFonts w:ascii="宋体" w:hAnsi="宋体" w:cs="宋体"/>
                <w:color w:val="000000"/>
                <w:kern w:val="0"/>
              </w:rPr>
            </w:pPr>
            <w:r>
              <w:rPr>
                <w:rFonts w:ascii="宋体" w:hAnsi="宋体" w:cs="宋体"/>
                <w:color w:val="000000"/>
                <w:kern w:val="0"/>
              </w:rPr>
              <w:t>持续数据保护</w:t>
            </w:r>
          </w:p>
        </w:tc>
        <w:tc>
          <w:tcPr>
            <w:tcW w:w="352" w:type="pct"/>
            <w:vMerge w:val="restart"/>
            <w:vAlign w:val="center"/>
          </w:tcPr>
          <w:p>
            <w:pPr>
              <w:rPr>
                <w:rFonts w:ascii="宋体" w:hAnsi="宋体" w:cs="宋体"/>
                <w:color w:val="000000"/>
                <w:kern w:val="0"/>
              </w:rPr>
            </w:pPr>
            <w:r>
              <w:rPr>
                <w:rFonts w:ascii="宋体" w:hAnsi="宋体" w:cs="宋体"/>
                <w:color w:val="000000"/>
                <w:kern w:val="0"/>
              </w:rPr>
              <w:t>数据库复制</w:t>
            </w:r>
          </w:p>
        </w:tc>
        <w:tc>
          <w:tcPr>
            <w:tcW w:w="4370" w:type="pct"/>
            <w:vAlign w:val="center"/>
          </w:tcPr>
          <w:p>
            <w:pPr>
              <w:rPr>
                <w:rFonts w:ascii="宋体" w:hAnsi="宋体" w:cs="宋体"/>
                <w:color w:val="000000"/>
                <w:kern w:val="0"/>
              </w:rPr>
            </w:pPr>
            <w:r>
              <w:rPr>
                <w:rFonts w:ascii="宋体" w:hAnsi="宋体" w:cs="宋体"/>
                <w:color w:val="000000"/>
                <w:kern w:val="0"/>
              </w:rPr>
              <w:t>支持Oracle的逻辑复制，基于生产端日志解析方式的数据库同步，可将生产数据库的日志实时解析为SQL语句并实时传输至备用数据库，并重做SQL操作，使备用数据库与生产数据库数据保持实时同步，备用数据库在复制阶段处于open状态，可提供业务查询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279" w:type="pct"/>
            <w:vMerge w:val="continue"/>
            <w:vAlign w:val="center"/>
          </w:tcPr>
          <w:p>
            <w:pPr>
              <w:rPr>
                <w:rFonts w:ascii="宋体" w:hAnsi="宋体" w:cs="宋体"/>
                <w:color w:val="000000"/>
                <w:kern w:val="0"/>
              </w:rPr>
            </w:pPr>
          </w:p>
        </w:tc>
        <w:tc>
          <w:tcPr>
            <w:tcW w:w="352" w:type="pct"/>
            <w:vMerge w:val="continue"/>
            <w:vAlign w:val="center"/>
          </w:tcPr>
          <w:p>
            <w:pPr>
              <w:rPr>
                <w:rFonts w:ascii="宋体" w:hAnsi="宋体" w:cs="宋体"/>
                <w:color w:val="000000"/>
                <w:kern w:val="0"/>
              </w:rPr>
            </w:pPr>
          </w:p>
        </w:tc>
        <w:tc>
          <w:tcPr>
            <w:tcW w:w="4370" w:type="pct"/>
            <w:vAlign w:val="center"/>
          </w:tcPr>
          <w:p>
            <w:pPr>
              <w:rPr>
                <w:rFonts w:ascii="宋体" w:hAnsi="宋体" w:cs="宋体"/>
                <w:color w:val="000000"/>
                <w:kern w:val="0"/>
              </w:rPr>
            </w:pPr>
            <w:r>
              <w:rPr>
                <w:rFonts w:ascii="宋体" w:hAnsi="宋体" w:cs="宋体"/>
                <w:color w:val="000000"/>
                <w:kern w:val="0"/>
              </w:rPr>
              <w:t>支持Oracle的物理复制，实时捕获生产数据库的所有操作引起的数据块变化，并实时传输至备用数据库中进行应用，保持备用数据库在物理结构上与生产数据库保持实时同步，备用数据库在复制阶段处于mount状态，生产库发生故障后可open并对外提供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25" w:hRule="atLeast"/>
        </w:trPr>
        <w:tc>
          <w:tcPr>
            <w:tcW w:w="279" w:type="pct"/>
            <w:vMerge w:val="continue"/>
            <w:vAlign w:val="center"/>
          </w:tcPr>
          <w:p>
            <w:pPr>
              <w:rPr>
                <w:rFonts w:ascii="宋体" w:hAnsi="宋体" w:cs="宋体"/>
                <w:color w:val="000000"/>
                <w:kern w:val="0"/>
              </w:rPr>
            </w:pPr>
          </w:p>
        </w:tc>
        <w:tc>
          <w:tcPr>
            <w:tcW w:w="352" w:type="pct"/>
            <w:vMerge w:val="restart"/>
            <w:vAlign w:val="center"/>
          </w:tcPr>
          <w:p>
            <w:pPr>
              <w:rPr>
                <w:rFonts w:ascii="宋体" w:hAnsi="宋体" w:cs="宋体"/>
                <w:color w:val="000000"/>
                <w:kern w:val="0"/>
              </w:rPr>
            </w:pPr>
            <w:r>
              <w:rPr>
                <w:rFonts w:ascii="宋体" w:hAnsi="宋体" w:cs="宋体"/>
                <w:color w:val="000000"/>
                <w:kern w:val="0"/>
              </w:rPr>
              <w:t>数据卷复制</w:t>
            </w:r>
          </w:p>
        </w:tc>
        <w:tc>
          <w:tcPr>
            <w:tcW w:w="4370" w:type="pct"/>
            <w:vAlign w:val="center"/>
          </w:tcPr>
          <w:p>
            <w:pPr>
              <w:rPr>
                <w:rFonts w:ascii="宋体" w:hAnsi="宋体" w:cs="宋体"/>
                <w:color w:val="000000"/>
                <w:kern w:val="0"/>
              </w:rPr>
            </w:pPr>
            <w:r>
              <w:rPr>
                <w:rFonts w:ascii="宋体" w:hAnsi="宋体" w:cs="宋体"/>
                <w:color w:val="000000"/>
                <w:kern w:val="0"/>
              </w:rPr>
              <w:t>支持对Windows和Linux服务器的整机（所有磁盘分区，包括操作系统分区）和数据卷进行卷级别的实时复制功能，可将生产服务器上数据卷的数据变化实时复制到目标服务器上指定的数据卷上，保持生产服务器和目标服务器之间的指定数据卷的数据同步。采用整机复制策略时，目标服务器为未安装操作系统的裸机环境，生产服务器故障后直接启用目标服务器接管生产业务，无需重新安装配置操作系统和应用软件。支持备份客户端的内存占用控制，也可以按照自定义的频率间隔复制数据变化以降低对生产系统的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279" w:type="pct"/>
            <w:vMerge w:val="continue"/>
            <w:vAlign w:val="center"/>
          </w:tcPr>
          <w:p>
            <w:pPr>
              <w:rPr>
                <w:rFonts w:ascii="宋体" w:hAnsi="宋体" w:cs="宋体"/>
                <w:color w:val="000000"/>
                <w:kern w:val="0"/>
              </w:rPr>
            </w:pPr>
          </w:p>
        </w:tc>
        <w:tc>
          <w:tcPr>
            <w:tcW w:w="352" w:type="pct"/>
            <w:vMerge w:val="continue"/>
            <w:vAlign w:val="center"/>
          </w:tcPr>
          <w:p>
            <w:pPr>
              <w:rPr>
                <w:rFonts w:ascii="宋体" w:hAnsi="宋体" w:cs="宋体"/>
                <w:color w:val="000000"/>
                <w:kern w:val="0"/>
              </w:rPr>
            </w:pPr>
          </w:p>
        </w:tc>
        <w:tc>
          <w:tcPr>
            <w:tcW w:w="4370" w:type="pct"/>
            <w:vAlign w:val="center"/>
          </w:tcPr>
          <w:p>
            <w:pPr>
              <w:rPr>
                <w:rFonts w:ascii="宋体" w:hAnsi="宋体" w:cs="宋体"/>
                <w:color w:val="000000"/>
                <w:kern w:val="0"/>
              </w:rPr>
            </w:pPr>
            <w:r>
              <w:rPr>
                <w:rFonts w:ascii="宋体" w:hAnsi="宋体" w:cs="宋体"/>
                <w:color w:val="000000"/>
                <w:kern w:val="0"/>
              </w:rPr>
              <w:t>支持差异数据智能识别功能，可自动识别生产服务器和目标服务器上的数据差异性，仅同步差异数据，提升复制效率。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279" w:type="pct"/>
            <w:vMerge w:val="continue"/>
            <w:vAlign w:val="center"/>
          </w:tcPr>
          <w:p>
            <w:pPr>
              <w:rPr>
                <w:rFonts w:ascii="宋体" w:hAnsi="宋体" w:cs="宋体"/>
                <w:color w:val="000000"/>
                <w:kern w:val="0"/>
              </w:rPr>
            </w:pPr>
          </w:p>
        </w:tc>
        <w:tc>
          <w:tcPr>
            <w:tcW w:w="352" w:type="pct"/>
            <w:vMerge w:val="restart"/>
            <w:vAlign w:val="center"/>
          </w:tcPr>
          <w:p>
            <w:pPr>
              <w:rPr>
                <w:rFonts w:ascii="宋体" w:hAnsi="宋体" w:cs="宋体"/>
                <w:color w:val="000000"/>
                <w:kern w:val="0"/>
              </w:rPr>
            </w:pPr>
            <w:r>
              <w:rPr>
                <w:rFonts w:ascii="宋体" w:hAnsi="宋体" w:cs="宋体"/>
                <w:color w:val="000000"/>
                <w:kern w:val="0"/>
              </w:rPr>
              <w:t>实时备份</w:t>
            </w:r>
          </w:p>
        </w:tc>
        <w:tc>
          <w:tcPr>
            <w:tcW w:w="4370" w:type="pct"/>
            <w:vAlign w:val="center"/>
          </w:tcPr>
          <w:p>
            <w:pPr>
              <w:rPr>
                <w:rFonts w:ascii="宋体" w:hAnsi="宋体" w:cs="宋体"/>
                <w:color w:val="000000"/>
                <w:kern w:val="0"/>
              </w:rPr>
            </w:pPr>
            <w:r>
              <w:rPr>
                <w:rFonts w:ascii="宋体" w:hAnsi="宋体" w:cs="宋体"/>
                <w:color w:val="000000"/>
                <w:kern w:val="0"/>
              </w:rPr>
              <w:t>支持对Windows和Linux服务器的整机（所有磁盘分区，包括操作系统分区）和数据卷进行卷级别的实时备份，将生产服务器的数据变化实时备份到备份设备内部保存为日志数据，并同时将变化数据实时写入到备份设备内部与生产服务器一一对应的虚拟磁盘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5" w:hRule="atLeast"/>
        </w:trPr>
        <w:tc>
          <w:tcPr>
            <w:tcW w:w="279" w:type="pct"/>
            <w:vMerge w:val="continue"/>
            <w:vAlign w:val="center"/>
          </w:tcPr>
          <w:p>
            <w:pPr>
              <w:rPr>
                <w:rFonts w:ascii="宋体" w:hAnsi="宋体" w:cs="宋体"/>
                <w:color w:val="000000"/>
                <w:kern w:val="0"/>
              </w:rPr>
            </w:pPr>
          </w:p>
        </w:tc>
        <w:tc>
          <w:tcPr>
            <w:tcW w:w="352" w:type="pct"/>
            <w:vMerge w:val="continue"/>
            <w:vAlign w:val="center"/>
          </w:tcPr>
          <w:p>
            <w:pPr>
              <w:rPr>
                <w:rFonts w:ascii="宋体" w:hAnsi="宋体" w:cs="宋体"/>
                <w:color w:val="000000"/>
                <w:kern w:val="0"/>
              </w:rPr>
            </w:pPr>
          </w:p>
        </w:tc>
        <w:tc>
          <w:tcPr>
            <w:tcW w:w="4370" w:type="pct"/>
            <w:vAlign w:val="center"/>
          </w:tcPr>
          <w:p>
            <w:pPr>
              <w:rPr>
                <w:rFonts w:ascii="宋体" w:hAnsi="宋体" w:cs="宋体"/>
                <w:color w:val="000000"/>
                <w:kern w:val="0"/>
              </w:rPr>
            </w:pPr>
            <w:r>
              <w:rPr>
                <w:rFonts w:ascii="宋体" w:hAnsi="宋体" w:cs="宋体"/>
                <w:color w:val="000000"/>
                <w:kern w:val="0"/>
              </w:rPr>
              <w:t>支持实时备份数据的应急接管和容灾演练功能，基于虚拟磁盘快照和实时备份的日志数据，通过图形化界面快速生成生产服务器在历史某一时间完整状态的完整虚拟磁盘，时间选择精度为微秒（0.000001）级（提供该功能界面截图）。在时间精度选择时，系统界面提供对应时间状态的生产服务器的磁盘IO负载波形图，以辅助选择合适的IO状态。同时，通过图形化界面为该虚拟机磁盘配置相关的存储、计算和网络资源后形成一个完整的虚拟机，可使用备份设备内置的企业级虚拟化软件启动该虚拟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55" w:hRule="atLeast"/>
        </w:trPr>
        <w:tc>
          <w:tcPr>
            <w:tcW w:w="279" w:type="pct"/>
            <w:vMerge w:val="continue"/>
            <w:vAlign w:val="center"/>
          </w:tcPr>
          <w:p>
            <w:pPr>
              <w:rPr>
                <w:rFonts w:ascii="宋体" w:hAnsi="宋体" w:cs="宋体"/>
                <w:color w:val="000000"/>
                <w:kern w:val="0"/>
              </w:rPr>
            </w:pPr>
          </w:p>
        </w:tc>
        <w:tc>
          <w:tcPr>
            <w:tcW w:w="352" w:type="pct"/>
            <w:vMerge w:val="continue"/>
            <w:vAlign w:val="center"/>
          </w:tcPr>
          <w:p>
            <w:pPr>
              <w:rPr>
                <w:rFonts w:ascii="宋体" w:hAnsi="宋体" w:cs="宋体"/>
                <w:color w:val="000000"/>
                <w:kern w:val="0"/>
              </w:rPr>
            </w:pPr>
          </w:p>
        </w:tc>
        <w:tc>
          <w:tcPr>
            <w:tcW w:w="4370" w:type="pct"/>
            <w:vAlign w:val="center"/>
          </w:tcPr>
          <w:p>
            <w:pPr>
              <w:rPr>
                <w:rFonts w:ascii="宋体" w:hAnsi="宋体" w:cs="宋体"/>
                <w:color w:val="000000"/>
                <w:kern w:val="0"/>
              </w:rPr>
            </w:pPr>
            <w:r>
              <w:rPr>
                <w:rFonts w:ascii="宋体" w:hAnsi="宋体" w:cs="宋体"/>
                <w:color w:val="000000"/>
                <w:kern w:val="0"/>
              </w:rPr>
              <w:t>支持在应急接管模式下，管理界面提示对应生成服务器的MAC地址并默认为生成的虚拟机使用该MAC地址，以确保虚拟机启动后无需配置IP地址即可提供业务应急，且应急接管和容灾演练的虚拟机，均可通过备份设备的WEB页面直接进行图形化的管理，无需安装任何插件，包括开机、断电、重启、远程控制等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79" w:type="pct"/>
            <w:vMerge w:val="continue"/>
            <w:vAlign w:val="center"/>
          </w:tcPr>
          <w:p>
            <w:pPr>
              <w:rPr>
                <w:rFonts w:ascii="宋体" w:hAnsi="宋体" w:cs="宋体"/>
                <w:color w:val="000000"/>
                <w:kern w:val="0"/>
              </w:rPr>
            </w:pPr>
          </w:p>
        </w:tc>
        <w:tc>
          <w:tcPr>
            <w:tcW w:w="352" w:type="pct"/>
            <w:vMerge w:val="continue"/>
            <w:vAlign w:val="center"/>
          </w:tcPr>
          <w:p>
            <w:pPr>
              <w:rPr>
                <w:rFonts w:ascii="宋体" w:hAnsi="宋体" w:cs="宋体"/>
                <w:color w:val="000000"/>
                <w:kern w:val="0"/>
              </w:rPr>
            </w:pPr>
          </w:p>
        </w:tc>
        <w:tc>
          <w:tcPr>
            <w:tcW w:w="4370" w:type="pct"/>
            <w:vAlign w:val="center"/>
          </w:tcPr>
          <w:p>
            <w:pPr>
              <w:rPr>
                <w:rFonts w:ascii="宋体" w:hAnsi="宋体" w:cs="宋体"/>
                <w:color w:val="000000"/>
                <w:kern w:val="0"/>
              </w:rPr>
            </w:pPr>
            <w:r>
              <w:rPr>
                <w:rFonts w:ascii="宋体" w:hAnsi="宋体" w:cs="宋体"/>
                <w:color w:val="000000"/>
                <w:kern w:val="0"/>
              </w:rPr>
              <w:t>支持在应容灾演模式下，生成的虚拟机默认与生产服务器网络隔离，避免虚拟机启动后与生产业务冲突。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279" w:type="pct"/>
            <w:vMerge w:val="continue"/>
            <w:vAlign w:val="center"/>
          </w:tcPr>
          <w:p>
            <w:pPr>
              <w:rPr>
                <w:rFonts w:ascii="宋体" w:hAnsi="宋体" w:cs="宋体"/>
                <w:color w:val="000000"/>
                <w:kern w:val="0"/>
              </w:rPr>
            </w:pPr>
          </w:p>
        </w:tc>
        <w:tc>
          <w:tcPr>
            <w:tcW w:w="352" w:type="pct"/>
            <w:vMerge w:val="continue"/>
            <w:vAlign w:val="center"/>
          </w:tcPr>
          <w:p>
            <w:pPr>
              <w:rPr>
                <w:rFonts w:ascii="宋体" w:hAnsi="宋体" w:cs="宋体"/>
                <w:color w:val="000000"/>
                <w:kern w:val="0"/>
              </w:rPr>
            </w:pPr>
          </w:p>
        </w:tc>
        <w:tc>
          <w:tcPr>
            <w:tcW w:w="4370" w:type="pct"/>
            <w:vAlign w:val="center"/>
          </w:tcPr>
          <w:p>
            <w:pPr>
              <w:rPr>
                <w:rFonts w:ascii="宋体" w:hAnsi="宋体" w:cs="宋体"/>
                <w:color w:val="000000"/>
                <w:kern w:val="0"/>
              </w:rPr>
            </w:pPr>
            <w:r>
              <w:rPr>
                <w:rFonts w:ascii="宋体" w:hAnsi="宋体" w:cs="宋体"/>
                <w:color w:val="000000"/>
                <w:kern w:val="0"/>
              </w:rPr>
              <w:t>支持应急接管虚拟机的在线回迁功能，在应急虚拟机持续提供业务访问的同时，实时实现操作系统、应用软件和业务数据回迁到目标裸机服务器环境中，回迁完毕后即可由目标服务器提供业务。</w:t>
            </w:r>
          </w:p>
        </w:tc>
      </w:tr>
    </w:tbl>
    <w:p>
      <w:pPr>
        <w:spacing w:line="276" w:lineRule="auto"/>
        <w:rPr>
          <w:color w:val="FF0000"/>
        </w:rPr>
      </w:pPr>
      <w:bookmarkStart w:id="25" w:name="_Toc34080582"/>
      <w:bookmarkStart w:id="26" w:name="_Toc34080398"/>
    </w:p>
    <w:p>
      <w:pPr>
        <w:pStyle w:val="3"/>
        <w:numPr>
          <w:ilvl w:val="1"/>
          <w:numId w:val="5"/>
        </w:numPr>
        <w:tabs>
          <w:tab w:val="clear" w:pos="840"/>
        </w:tabs>
        <w:ind w:left="720" w:hanging="720" w:hangingChars="200"/>
        <w:textAlignment w:val="auto"/>
        <w:rPr>
          <w:rFonts w:ascii="宋体" w:hAnsi="宋体"/>
          <w:lang w:eastAsia="zh-CN"/>
        </w:rPr>
      </w:pPr>
      <w:r>
        <w:rPr>
          <w:rFonts w:hint="eastAsia" w:ascii="宋体" w:hAnsi="宋体"/>
          <w:lang w:eastAsia="zh-CN"/>
        </w:rPr>
        <w:t>硬件技术要求</w:t>
      </w:r>
      <w:bookmarkEnd w:id="25"/>
      <w:bookmarkEnd w:id="26"/>
    </w:p>
    <w:p>
      <w:pPr>
        <w:pStyle w:val="4"/>
        <w:numPr>
          <w:ilvl w:val="2"/>
          <w:numId w:val="5"/>
        </w:numPr>
        <w:spacing w:before="160" w:line="300" w:lineRule="exact"/>
        <w:ind w:left="420"/>
        <w:rPr>
          <w:rFonts w:ascii="宋体" w:hAnsi="宋体"/>
        </w:rPr>
      </w:pPr>
      <w:bookmarkStart w:id="27" w:name="_Toc34080586"/>
      <w:bookmarkStart w:id="28" w:name="_Toc34080402"/>
      <w:r>
        <w:rPr>
          <w:rFonts w:ascii="宋体" w:hAnsi="宋体"/>
        </w:rPr>
        <w:t>服务器设备</w:t>
      </w:r>
    </w:p>
    <w:p>
      <w:pPr>
        <w:spacing w:line="276" w:lineRule="auto"/>
      </w:pPr>
    </w:p>
    <w:tbl>
      <w:tblPr>
        <w:tblStyle w:val="12"/>
        <w:tblW w:w="460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3"/>
        <w:gridCol w:w="6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blHeader/>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b/>
                <w:kern w:val="0"/>
              </w:rPr>
              <w:t>用途：虚拟化计算资源服务器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2" w:type="pct"/>
            <w:tcBorders>
              <w:top w:val="single" w:color="auto" w:sz="4" w:space="0"/>
              <w:left w:val="single" w:color="auto" w:sz="4" w:space="0"/>
              <w:bottom w:val="single" w:color="auto" w:sz="4" w:space="0"/>
              <w:right w:val="single" w:color="auto" w:sz="4" w:space="0"/>
            </w:tcBorders>
            <w:shd w:val="clear" w:color="auto" w:fill="D9D9D9"/>
            <w:vAlign w:val="center"/>
          </w:tcPr>
          <w:p>
            <w:pPr>
              <w:spacing w:line="276" w:lineRule="auto"/>
              <w:textAlignment w:val="baseline"/>
              <w:rPr>
                <w:rFonts w:ascii="宋体" w:hAnsi="宋体" w:cs="Times New Roman"/>
                <w:b/>
                <w:kern w:val="0"/>
              </w:rPr>
            </w:pPr>
            <w:r>
              <w:rPr>
                <w:rFonts w:ascii="宋体" w:hAnsi="宋体" w:cs="Times New Roman"/>
                <w:b/>
                <w:kern w:val="0"/>
              </w:rPr>
              <w:t>指标项</w:t>
            </w:r>
          </w:p>
        </w:tc>
        <w:tc>
          <w:tcPr>
            <w:tcW w:w="3907" w:type="pct"/>
            <w:tcBorders>
              <w:top w:val="single" w:color="auto" w:sz="4" w:space="0"/>
              <w:left w:val="single" w:color="auto" w:sz="4" w:space="0"/>
              <w:bottom w:val="single" w:color="auto" w:sz="4" w:space="0"/>
              <w:right w:val="single" w:color="auto" w:sz="4" w:space="0"/>
            </w:tcBorders>
            <w:shd w:val="clear" w:color="auto" w:fill="D9D9D9"/>
            <w:vAlign w:val="center"/>
          </w:tcPr>
          <w:p>
            <w:pPr>
              <w:spacing w:line="276" w:lineRule="auto"/>
              <w:textAlignment w:val="baseline"/>
              <w:rPr>
                <w:rFonts w:ascii="宋体" w:hAnsi="宋体" w:cs="Times New Roman"/>
                <w:b/>
                <w:kern w:val="0"/>
              </w:rPr>
            </w:pPr>
            <w:r>
              <w:rPr>
                <w:rFonts w:ascii="宋体" w:hAnsi="宋体" w:cs="Times New Roman"/>
                <w:b/>
                <w:kern w:val="0"/>
              </w:rPr>
              <w:t>指标要求（除特别说明外，以下为单台设备的配置要求）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2"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CPU</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 2.0GHz；≥ 2路*</w:t>
            </w:r>
            <w:r>
              <w:rPr>
                <w:rFonts w:hint="default" w:ascii="宋体" w:hAnsi="宋体" w:cs="Times New Roman"/>
                <w:kern w:val="0"/>
                <w:lang w:val="en-US"/>
              </w:rPr>
              <w:t>20</w:t>
            </w:r>
            <w:r>
              <w:rPr>
                <w:rFonts w:ascii="宋体" w:hAnsi="宋体" w:cs="Times New Roman"/>
                <w:kern w:val="0"/>
              </w:rPr>
              <w:t>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2"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内存配置数量</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 256GB；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2"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硬盘</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 2*480GB；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2"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RAID卡</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支持RAID0/RAID1；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2"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网络接口</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≥2个千兆以太网口，≥4个万兆以太网口；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2"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电源和风扇</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配置冗余电源和风扇；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2"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操作系统</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 xml:space="preserve">支持32/64位Windows、Linux等操作系统； </w:t>
            </w:r>
          </w:p>
        </w:tc>
      </w:tr>
    </w:tbl>
    <w:p>
      <w:pPr>
        <w:spacing w:line="276" w:lineRule="auto"/>
      </w:pPr>
    </w:p>
    <w:tbl>
      <w:tblPr>
        <w:tblStyle w:val="12"/>
        <w:tblW w:w="460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3"/>
        <w:gridCol w:w="6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blHeader/>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b/>
                <w:kern w:val="0"/>
              </w:rPr>
              <w:t>用途：虚拟化ARM计算资源服务器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2" w:type="pct"/>
            <w:tcBorders>
              <w:top w:val="single" w:color="auto" w:sz="4" w:space="0"/>
              <w:left w:val="single" w:color="auto" w:sz="4" w:space="0"/>
              <w:bottom w:val="single" w:color="auto" w:sz="4" w:space="0"/>
              <w:right w:val="single" w:color="auto" w:sz="4" w:space="0"/>
            </w:tcBorders>
            <w:shd w:val="clear" w:color="auto" w:fill="D9D9D9"/>
            <w:vAlign w:val="center"/>
          </w:tcPr>
          <w:p>
            <w:pPr>
              <w:spacing w:line="276" w:lineRule="auto"/>
              <w:textAlignment w:val="baseline"/>
              <w:rPr>
                <w:rFonts w:ascii="宋体" w:hAnsi="宋体" w:cs="Times New Roman"/>
                <w:b/>
                <w:kern w:val="0"/>
              </w:rPr>
            </w:pPr>
            <w:r>
              <w:rPr>
                <w:rFonts w:ascii="宋体" w:hAnsi="宋体" w:cs="Times New Roman"/>
                <w:b/>
                <w:kern w:val="0"/>
              </w:rPr>
              <w:t>指标项</w:t>
            </w:r>
          </w:p>
        </w:tc>
        <w:tc>
          <w:tcPr>
            <w:tcW w:w="3907" w:type="pct"/>
            <w:tcBorders>
              <w:top w:val="single" w:color="auto" w:sz="4" w:space="0"/>
              <w:left w:val="single" w:color="auto" w:sz="4" w:space="0"/>
              <w:bottom w:val="single" w:color="auto" w:sz="4" w:space="0"/>
              <w:right w:val="single" w:color="auto" w:sz="4" w:space="0"/>
            </w:tcBorders>
            <w:shd w:val="clear" w:color="auto" w:fill="D9D9D9"/>
            <w:vAlign w:val="center"/>
          </w:tcPr>
          <w:p>
            <w:pPr>
              <w:spacing w:line="276" w:lineRule="auto"/>
              <w:textAlignment w:val="baseline"/>
              <w:rPr>
                <w:rFonts w:ascii="宋体" w:hAnsi="宋体" w:cs="Times New Roman"/>
                <w:b/>
                <w:kern w:val="0"/>
              </w:rPr>
            </w:pPr>
            <w:r>
              <w:rPr>
                <w:rFonts w:ascii="宋体" w:hAnsi="宋体" w:cs="Times New Roman"/>
                <w:b/>
                <w:kern w:val="0"/>
              </w:rPr>
              <w:t>指标要求（除特别说明外，以下为单台设备的配置要求）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092"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CPU</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 2.6GHz；≥ 2路*32核；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2"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内存配置数量</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 256GB；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2"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硬盘</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 2*480GB；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2"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RAID卡</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支持RAID0/RAID1；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092"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网络接口</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≥2个千兆以太网口，≥4个万兆以太网口；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2"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电源和风扇</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配置冗余电源和风扇；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2"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操作系统</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 xml:space="preserve">支持国产化操作系统； </w:t>
            </w:r>
          </w:p>
        </w:tc>
      </w:tr>
    </w:tbl>
    <w:p>
      <w:pPr>
        <w:spacing w:line="276" w:lineRule="auto"/>
      </w:pPr>
    </w:p>
    <w:tbl>
      <w:tblPr>
        <w:tblStyle w:val="12"/>
        <w:tblW w:w="460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5"/>
        <w:gridCol w:w="6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blHeader/>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b/>
                <w:kern w:val="0"/>
              </w:rPr>
              <w:t>用途：2路物理服务器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3" w:type="pct"/>
            <w:tcBorders>
              <w:top w:val="single" w:color="auto" w:sz="4" w:space="0"/>
              <w:left w:val="single" w:color="auto" w:sz="4" w:space="0"/>
              <w:bottom w:val="single" w:color="auto" w:sz="4" w:space="0"/>
              <w:right w:val="single" w:color="auto" w:sz="4" w:space="0"/>
            </w:tcBorders>
            <w:shd w:val="clear" w:color="auto" w:fill="D9D9D9"/>
            <w:vAlign w:val="center"/>
          </w:tcPr>
          <w:p>
            <w:pPr>
              <w:spacing w:line="276" w:lineRule="auto"/>
              <w:textAlignment w:val="baseline"/>
              <w:rPr>
                <w:rFonts w:ascii="宋体" w:hAnsi="宋体" w:cs="Times New Roman"/>
                <w:b/>
                <w:kern w:val="0"/>
              </w:rPr>
            </w:pPr>
            <w:r>
              <w:rPr>
                <w:rFonts w:ascii="宋体" w:hAnsi="宋体" w:cs="Times New Roman"/>
                <w:b/>
                <w:kern w:val="0"/>
              </w:rPr>
              <w:t>指标项</w:t>
            </w:r>
          </w:p>
        </w:tc>
        <w:tc>
          <w:tcPr>
            <w:tcW w:w="3907" w:type="pct"/>
            <w:tcBorders>
              <w:top w:val="single" w:color="auto" w:sz="4" w:space="0"/>
              <w:left w:val="single" w:color="auto" w:sz="4" w:space="0"/>
              <w:bottom w:val="single" w:color="auto" w:sz="4" w:space="0"/>
              <w:right w:val="single" w:color="auto" w:sz="4" w:space="0"/>
            </w:tcBorders>
            <w:shd w:val="clear" w:color="auto" w:fill="D9D9D9"/>
            <w:vAlign w:val="center"/>
          </w:tcPr>
          <w:p>
            <w:pPr>
              <w:spacing w:line="276" w:lineRule="auto"/>
              <w:textAlignment w:val="baseline"/>
              <w:rPr>
                <w:rFonts w:ascii="宋体" w:hAnsi="宋体" w:cs="Times New Roman"/>
                <w:b/>
                <w:kern w:val="0"/>
              </w:rPr>
            </w:pPr>
            <w:r>
              <w:rPr>
                <w:rFonts w:ascii="宋体" w:hAnsi="宋体" w:cs="Times New Roman"/>
                <w:b/>
                <w:kern w:val="0"/>
              </w:rPr>
              <w:t>指标要求（除特别说明外，以下为单台设备的配置要求）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CPU</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 2.</w:t>
            </w:r>
            <w:r>
              <w:rPr>
                <w:rFonts w:hint="eastAsia" w:ascii="宋体" w:hAnsi="宋体" w:cs="Times New Roman"/>
                <w:kern w:val="0"/>
                <w:lang w:val="en-US" w:eastAsia="zh-CN"/>
              </w:rPr>
              <w:t>0</w:t>
            </w:r>
            <w:r>
              <w:rPr>
                <w:rFonts w:ascii="宋体" w:hAnsi="宋体" w:cs="Times New Roman"/>
                <w:kern w:val="0"/>
              </w:rPr>
              <w:t>GHz；≥ 2路*</w:t>
            </w:r>
            <w:r>
              <w:rPr>
                <w:rFonts w:hint="default" w:ascii="宋体" w:hAnsi="宋体" w:cs="Times New Roman"/>
                <w:kern w:val="0"/>
                <w:lang w:val="en-US"/>
              </w:rPr>
              <w:t>20</w:t>
            </w:r>
            <w:r>
              <w:rPr>
                <w:rFonts w:ascii="宋体" w:hAnsi="宋体" w:cs="Times New Roman"/>
                <w:kern w:val="0"/>
              </w:rPr>
              <w:t>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内存配置数量</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 256GB；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硬盘</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 2*480GB；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RAID卡</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支持RAID0/RAID1；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网络接口</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≥2个千兆以太网口，≥4个万兆以太网口；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HBA卡</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配置2块16GB HBA卡；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电源和风扇</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配置冗余电源和风扇；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操作系统</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 xml:space="preserve">支持32/64位Windows、Linux等操作系统； </w:t>
            </w:r>
          </w:p>
        </w:tc>
      </w:tr>
    </w:tbl>
    <w:p>
      <w:pPr>
        <w:spacing w:line="276" w:lineRule="auto"/>
      </w:pPr>
    </w:p>
    <w:tbl>
      <w:tblPr>
        <w:tblStyle w:val="12"/>
        <w:tblW w:w="460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5"/>
        <w:gridCol w:w="6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b/>
                <w:kern w:val="0"/>
              </w:rPr>
              <w:t>用途：4路物理服务器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093" w:type="pct"/>
            <w:tcBorders>
              <w:top w:val="single" w:color="auto" w:sz="4" w:space="0"/>
              <w:left w:val="single" w:color="auto" w:sz="4" w:space="0"/>
              <w:bottom w:val="single" w:color="auto" w:sz="4" w:space="0"/>
              <w:right w:val="single" w:color="auto" w:sz="4" w:space="0"/>
            </w:tcBorders>
            <w:shd w:val="clear" w:color="auto" w:fill="D9D9D9"/>
            <w:vAlign w:val="center"/>
          </w:tcPr>
          <w:p>
            <w:pPr>
              <w:spacing w:line="276" w:lineRule="auto"/>
              <w:textAlignment w:val="baseline"/>
              <w:rPr>
                <w:rFonts w:ascii="宋体" w:hAnsi="宋体" w:cs="Times New Roman"/>
                <w:b/>
                <w:kern w:val="0"/>
              </w:rPr>
            </w:pPr>
            <w:r>
              <w:rPr>
                <w:rFonts w:ascii="宋体" w:hAnsi="宋体" w:cs="Times New Roman"/>
                <w:b/>
                <w:kern w:val="0"/>
              </w:rPr>
              <w:t>指标项</w:t>
            </w:r>
          </w:p>
        </w:tc>
        <w:tc>
          <w:tcPr>
            <w:tcW w:w="3907" w:type="pct"/>
            <w:tcBorders>
              <w:top w:val="single" w:color="auto" w:sz="4" w:space="0"/>
              <w:left w:val="single" w:color="auto" w:sz="4" w:space="0"/>
              <w:bottom w:val="single" w:color="auto" w:sz="4" w:space="0"/>
              <w:right w:val="single" w:color="auto" w:sz="4" w:space="0"/>
            </w:tcBorders>
            <w:shd w:val="clear" w:color="auto" w:fill="D9D9D9"/>
            <w:vAlign w:val="center"/>
          </w:tcPr>
          <w:p>
            <w:pPr>
              <w:spacing w:line="276" w:lineRule="auto"/>
              <w:textAlignment w:val="baseline"/>
              <w:rPr>
                <w:rFonts w:ascii="宋体" w:hAnsi="宋体" w:cs="Times New Roman"/>
                <w:b/>
                <w:kern w:val="0"/>
              </w:rPr>
            </w:pPr>
            <w:r>
              <w:rPr>
                <w:rFonts w:ascii="宋体" w:hAnsi="宋体" w:cs="Times New Roman"/>
                <w:b/>
                <w:kern w:val="0"/>
              </w:rPr>
              <w:t>指标要求（除特别说明外，以下为单台设备的配置要求）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09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CPU</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 2.1GHz；≥ 4路*10核；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09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内存配置数量</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 512GB；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09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硬盘</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 2*480GB；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09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RAID卡</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支持RAID0/RAID1；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09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网络接口</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≥2个千兆以太网口，≥4个万兆以太网口；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09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HBA卡</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配置2块16GB HBA卡；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09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电源和风扇</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配置冗余电源和风扇；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09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操作系统</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 xml:space="preserve">支持32/64位Windows、Linux等操作系统；； </w:t>
            </w:r>
          </w:p>
        </w:tc>
      </w:tr>
    </w:tbl>
    <w:p>
      <w:pPr>
        <w:spacing w:line="276" w:lineRule="auto"/>
      </w:pPr>
    </w:p>
    <w:tbl>
      <w:tblPr>
        <w:tblStyle w:val="12"/>
        <w:tblW w:w="460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5"/>
        <w:gridCol w:w="61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b/>
                <w:kern w:val="0"/>
              </w:rPr>
              <w:t>用途：GPU虚拟化服务器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3" w:type="pct"/>
            <w:tcBorders>
              <w:top w:val="single" w:color="auto" w:sz="4" w:space="0"/>
              <w:left w:val="single" w:color="auto" w:sz="4" w:space="0"/>
              <w:bottom w:val="single" w:color="auto" w:sz="4" w:space="0"/>
              <w:right w:val="single" w:color="auto" w:sz="4" w:space="0"/>
            </w:tcBorders>
            <w:shd w:val="clear" w:color="auto" w:fill="D9D9D9"/>
            <w:vAlign w:val="center"/>
          </w:tcPr>
          <w:p>
            <w:pPr>
              <w:spacing w:line="276" w:lineRule="auto"/>
              <w:textAlignment w:val="baseline"/>
              <w:rPr>
                <w:rFonts w:ascii="宋体" w:hAnsi="宋体" w:cs="Times New Roman"/>
                <w:b/>
                <w:kern w:val="0"/>
              </w:rPr>
            </w:pPr>
            <w:r>
              <w:rPr>
                <w:rFonts w:ascii="宋体" w:hAnsi="宋体" w:cs="Times New Roman"/>
                <w:b/>
                <w:kern w:val="0"/>
              </w:rPr>
              <w:t>指标项</w:t>
            </w:r>
          </w:p>
        </w:tc>
        <w:tc>
          <w:tcPr>
            <w:tcW w:w="3906" w:type="pct"/>
            <w:tcBorders>
              <w:top w:val="single" w:color="auto" w:sz="4" w:space="0"/>
              <w:left w:val="single" w:color="auto" w:sz="4" w:space="0"/>
              <w:bottom w:val="single" w:color="auto" w:sz="4" w:space="0"/>
              <w:right w:val="single" w:color="auto" w:sz="4" w:space="0"/>
            </w:tcBorders>
            <w:shd w:val="clear" w:color="auto" w:fill="D9D9D9"/>
            <w:vAlign w:val="center"/>
          </w:tcPr>
          <w:p>
            <w:pPr>
              <w:spacing w:line="276" w:lineRule="auto"/>
              <w:textAlignment w:val="baseline"/>
              <w:rPr>
                <w:rFonts w:ascii="宋体" w:hAnsi="宋体" w:cs="Times New Roman"/>
                <w:b/>
                <w:kern w:val="0"/>
              </w:rPr>
            </w:pPr>
            <w:r>
              <w:rPr>
                <w:rFonts w:ascii="宋体" w:hAnsi="宋体" w:cs="Times New Roman"/>
                <w:b/>
                <w:kern w:val="0"/>
              </w:rPr>
              <w:t>指标要求（除特别说明外，以下为单台设备的配置要求）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CPU</w:t>
            </w:r>
          </w:p>
        </w:tc>
        <w:tc>
          <w:tcPr>
            <w:tcW w:w="3906"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≥2.0GHz；≥2路*20核；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09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内存配置数量</w:t>
            </w:r>
          </w:p>
        </w:tc>
        <w:tc>
          <w:tcPr>
            <w:tcW w:w="3906"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≥256GB；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硬盘</w:t>
            </w:r>
          </w:p>
        </w:tc>
        <w:tc>
          <w:tcPr>
            <w:tcW w:w="3906"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≥2*480GB；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GPU卡</w:t>
            </w:r>
          </w:p>
        </w:tc>
        <w:tc>
          <w:tcPr>
            <w:tcW w:w="3906"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≥4块* GPU显卡</w:t>
            </w:r>
          </w:p>
          <w:p>
            <w:pPr>
              <w:spacing w:line="276" w:lineRule="auto"/>
              <w:textAlignment w:val="baseline"/>
              <w:rPr>
                <w:rFonts w:ascii="宋体" w:hAnsi="宋体" w:cs="Times New Roman"/>
                <w:kern w:val="0"/>
              </w:rPr>
            </w:pPr>
            <w:r>
              <w:rPr>
                <w:rFonts w:ascii="宋体" w:hAnsi="宋体" w:cs="Times New Roman"/>
                <w:kern w:val="0"/>
              </w:rPr>
              <w:t>单显卡INT8≥120 TOPS；FP16≥64 TFLOPS；</w:t>
            </w:r>
          </w:p>
          <w:p>
            <w:pPr>
              <w:spacing w:line="276" w:lineRule="auto"/>
              <w:textAlignment w:val="baseline"/>
              <w:rPr>
                <w:rFonts w:ascii="宋体" w:hAnsi="宋体" w:cs="Times New Roman"/>
                <w:kern w:val="0"/>
              </w:rPr>
            </w:pPr>
            <w:r>
              <w:rPr>
                <w:rFonts w:ascii="宋体" w:hAnsi="宋体" w:cs="Times New Roman"/>
                <w:kern w:val="0"/>
              </w:rPr>
              <w:t>单显卡内存规格要求：容量≥16GB，支持ECC；</w:t>
            </w:r>
          </w:p>
          <w:p>
            <w:pPr>
              <w:spacing w:line="276" w:lineRule="auto"/>
              <w:textAlignment w:val="baseline"/>
              <w:rPr>
                <w:rFonts w:ascii="宋体" w:hAnsi="宋体" w:cs="Times New Roman"/>
                <w:kern w:val="0"/>
              </w:rPr>
            </w:pPr>
            <w:r>
              <w:rPr>
                <w:rFonts w:ascii="宋体" w:hAnsi="宋体" w:cs="Times New Roman"/>
                <w:kern w:val="0"/>
              </w:rPr>
              <w:t>要求支持GPU直通模式，能够按单张GPU卡提供给租户使用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RAID卡</w:t>
            </w:r>
          </w:p>
        </w:tc>
        <w:tc>
          <w:tcPr>
            <w:tcW w:w="3906"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支持RAID0/RAID1；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09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网络接口</w:t>
            </w:r>
          </w:p>
        </w:tc>
        <w:tc>
          <w:tcPr>
            <w:tcW w:w="3906"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≥2个千兆以太网口，≥4个万兆以太网口；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电源和风扇</w:t>
            </w:r>
          </w:p>
        </w:tc>
        <w:tc>
          <w:tcPr>
            <w:tcW w:w="3906"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配置冗余电源和风扇；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操作系统</w:t>
            </w:r>
          </w:p>
        </w:tc>
        <w:tc>
          <w:tcPr>
            <w:tcW w:w="3906"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支持32/64位Windows、Linux等操作系统；</w:t>
            </w:r>
          </w:p>
        </w:tc>
      </w:tr>
    </w:tbl>
    <w:p>
      <w:pPr>
        <w:spacing w:line="276" w:lineRule="auto"/>
      </w:pPr>
    </w:p>
    <w:p>
      <w:pPr>
        <w:pStyle w:val="4"/>
        <w:numPr>
          <w:ilvl w:val="2"/>
          <w:numId w:val="5"/>
        </w:numPr>
        <w:spacing w:before="160" w:line="300" w:lineRule="exact"/>
        <w:ind w:left="420"/>
        <w:rPr>
          <w:rFonts w:ascii="宋体" w:hAnsi="宋体"/>
        </w:rPr>
      </w:pPr>
      <w:r>
        <w:rPr>
          <w:rFonts w:ascii="宋体" w:hAnsi="宋体"/>
        </w:rPr>
        <w:t>存储设备</w:t>
      </w:r>
    </w:p>
    <w:tbl>
      <w:tblPr>
        <w:tblStyle w:val="12"/>
        <w:tblW w:w="460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3"/>
        <w:gridCol w:w="6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b/>
                <w:kern w:val="0"/>
              </w:rPr>
              <w:t>用途：IP-SAN存储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2" w:type="pct"/>
            <w:tcBorders>
              <w:top w:val="single" w:color="auto" w:sz="4" w:space="0"/>
              <w:left w:val="single" w:color="auto" w:sz="4" w:space="0"/>
              <w:bottom w:val="single" w:color="auto" w:sz="4" w:space="0"/>
              <w:right w:val="single" w:color="auto" w:sz="4" w:space="0"/>
            </w:tcBorders>
            <w:shd w:val="clear" w:color="auto" w:fill="D9D9D9"/>
            <w:vAlign w:val="center"/>
          </w:tcPr>
          <w:p>
            <w:pPr>
              <w:spacing w:line="276" w:lineRule="auto"/>
              <w:textAlignment w:val="baseline"/>
              <w:rPr>
                <w:rFonts w:ascii="宋体" w:hAnsi="宋体" w:cs="Times New Roman"/>
                <w:b/>
                <w:kern w:val="0"/>
              </w:rPr>
            </w:pPr>
            <w:r>
              <w:rPr>
                <w:rFonts w:ascii="宋体" w:hAnsi="宋体" w:cs="Times New Roman"/>
                <w:b/>
                <w:kern w:val="0"/>
              </w:rPr>
              <w:t>指标项</w:t>
            </w:r>
          </w:p>
        </w:tc>
        <w:tc>
          <w:tcPr>
            <w:tcW w:w="3907" w:type="pct"/>
            <w:tcBorders>
              <w:top w:val="single" w:color="auto" w:sz="4" w:space="0"/>
              <w:left w:val="single" w:color="auto" w:sz="4" w:space="0"/>
              <w:bottom w:val="single" w:color="auto" w:sz="4" w:space="0"/>
              <w:right w:val="single" w:color="auto" w:sz="4" w:space="0"/>
            </w:tcBorders>
            <w:shd w:val="clear" w:color="auto" w:fill="D9D9D9"/>
            <w:vAlign w:val="center"/>
          </w:tcPr>
          <w:p>
            <w:pPr>
              <w:spacing w:line="276" w:lineRule="auto"/>
              <w:textAlignment w:val="baseline"/>
              <w:rPr>
                <w:rFonts w:ascii="宋体" w:hAnsi="宋体" w:cs="Times New Roman"/>
                <w:b/>
                <w:kern w:val="0"/>
              </w:rPr>
            </w:pPr>
            <w:r>
              <w:rPr>
                <w:rFonts w:ascii="宋体" w:hAnsi="宋体" w:cs="Times New Roman"/>
                <w:b/>
                <w:kern w:val="0"/>
              </w:rPr>
              <w:t>指标要求（除特别说明外，以下为单台设备的配置要求，</w:t>
            </w:r>
            <w:r>
              <w:rPr>
                <w:rFonts w:hint="eastAsia" w:ascii="宋体" w:hAnsi="宋体" w:cs="Times New Roman"/>
                <w:b/>
                <w:kern w:val="0"/>
              </w:rPr>
              <w:t>含存量设备</w:t>
            </w:r>
            <w:r>
              <w:rPr>
                <w:rFonts w:ascii="宋体" w:hAnsi="宋体" w:cs="Times New Roman"/>
                <w:b/>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2"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接口</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至少提供32个万兆网络主机接口；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092"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控制器</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至少4个存储控制器，多控制器具备高可靠性；</w:t>
            </w:r>
          </w:p>
          <w:p>
            <w:pPr>
              <w:spacing w:line="276" w:lineRule="auto"/>
              <w:textAlignment w:val="baseline"/>
              <w:rPr>
                <w:rFonts w:ascii="宋体" w:hAnsi="宋体" w:cs="Times New Roman"/>
                <w:kern w:val="0"/>
              </w:rPr>
            </w:pPr>
            <w:r>
              <w:rPr>
                <w:rFonts w:ascii="宋体" w:hAnsi="宋体" w:cs="Times New Roman"/>
                <w:kern w:val="0"/>
              </w:rPr>
              <w:t>控制器可热插拔；</w:t>
            </w:r>
          </w:p>
          <w:p>
            <w:pPr>
              <w:spacing w:line="276" w:lineRule="auto"/>
              <w:textAlignment w:val="baseline"/>
              <w:rPr>
                <w:rFonts w:ascii="宋体" w:hAnsi="宋体" w:cs="Times New Roman"/>
                <w:kern w:val="0"/>
              </w:rPr>
            </w:pPr>
            <w:r>
              <w:rPr>
                <w:rFonts w:ascii="宋体" w:hAnsi="宋体" w:cs="Times New Roman"/>
                <w:kern w:val="0"/>
              </w:rPr>
              <w:t>控制器Active-Active工作方式，支持透明的Fail-Over；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2"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缓存</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每控制器缓存容量不小于256GB；外部供电中断后，高速缓存Cache的数据不会丢失；支持缓存镜像；具有Cache写镜像保护技术；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2"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存储模式、容量</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支持企业级SSD硬盘、SAS、NL SAS异构混插；系统最大支持磁盘数量≥2000块；</w:t>
            </w:r>
            <w:r>
              <w:rPr>
                <w:rFonts w:hint="eastAsia" w:ascii="宋体" w:hAnsi="宋体" w:cs="Times New Roman"/>
                <w:kern w:val="0"/>
              </w:rPr>
              <w:t>单套存储磁盘数量</w:t>
            </w:r>
            <w:r>
              <w:rPr>
                <w:rFonts w:ascii="宋体" w:hAnsi="宋体" w:cs="Times New Roman"/>
                <w:kern w:val="0"/>
              </w:rPr>
              <w:t>≥75</w:t>
            </w:r>
            <w:r>
              <w:rPr>
                <w:rFonts w:hint="eastAsia" w:ascii="宋体" w:hAnsi="宋体" w:cs="Times New Roman"/>
                <w:kern w:val="0"/>
              </w:rPr>
              <w:t>块</w:t>
            </w:r>
            <w:r>
              <w:rPr>
                <w:rFonts w:ascii="宋体" w:hAnsi="宋体" w:cs="Times New Roman"/>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2"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在线扩容方式</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支持在线扩容；</w:t>
            </w:r>
          </w:p>
          <w:p>
            <w:pPr>
              <w:spacing w:line="276" w:lineRule="auto"/>
              <w:textAlignment w:val="baseline"/>
              <w:rPr>
                <w:rFonts w:ascii="宋体" w:hAnsi="宋体" w:cs="Times New Roman"/>
                <w:kern w:val="0"/>
              </w:rPr>
            </w:pPr>
            <w:r>
              <w:rPr>
                <w:rFonts w:ascii="宋体" w:hAnsi="宋体" w:cs="Times New Roman"/>
                <w:kern w:val="0"/>
              </w:rPr>
              <w:t>支持条带方式和级连方式；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092"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操作系统</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支持AIX、HP-UX、Solaris、32/64位Windows Server、32/64位Linux操作系统；支持OpenStack存储接口；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2"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其他功能</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支持自动监控和发现磁盘系统内热点数据，自动迁移热点数据至SSD固态盘中，包括热点发生变化后的自动回迁，自动优化提升磁盘系统I/O性能；</w:t>
            </w:r>
          </w:p>
          <w:p>
            <w:pPr>
              <w:spacing w:line="276" w:lineRule="auto"/>
              <w:textAlignment w:val="baseline"/>
              <w:rPr>
                <w:rFonts w:ascii="宋体" w:hAnsi="宋体" w:cs="Times New Roman"/>
                <w:kern w:val="0"/>
              </w:rPr>
            </w:pPr>
            <w:r>
              <w:rPr>
                <w:rFonts w:ascii="宋体" w:hAnsi="宋体" w:cs="Times New Roman"/>
                <w:kern w:val="0"/>
              </w:rPr>
              <w:t>支持磁盘空间“自动精简配置”，仅在使用时自动分配实际容量，并可实现自动回收存储空间；</w:t>
            </w:r>
          </w:p>
        </w:tc>
      </w:tr>
    </w:tbl>
    <w:p>
      <w:pPr>
        <w:spacing w:line="276" w:lineRule="auto"/>
      </w:pP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3"/>
        <w:gridCol w:w="6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875" w:type="dxa"/>
            <w:gridSpan w:val="2"/>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b/>
                <w:kern w:val="0"/>
              </w:rPr>
              <w:t>用途：FC-SAN存储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713" w:type="dxa"/>
            <w:tcBorders>
              <w:top w:val="single" w:color="auto" w:sz="4" w:space="0"/>
              <w:left w:val="single" w:color="auto" w:sz="4" w:space="0"/>
              <w:bottom w:val="single" w:color="auto" w:sz="4" w:space="0"/>
              <w:right w:val="single" w:color="auto" w:sz="4" w:space="0"/>
            </w:tcBorders>
            <w:shd w:val="clear" w:color="auto" w:fill="D9D9D9"/>
            <w:vAlign w:val="center"/>
          </w:tcPr>
          <w:p>
            <w:pPr>
              <w:spacing w:line="276" w:lineRule="auto"/>
              <w:textAlignment w:val="baseline"/>
              <w:rPr>
                <w:rFonts w:ascii="宋体" w:hAnsi="宋体" w:cs="Times New Roman"/>
                <w:b/>
                <w:kern w:val="0"/>
              </w:rPr>
            </w:pPr>
            <w:r>
              <w:rPr>
                <w:rFonts w:ascii="宋体" w:hAnsi="宋体" w:cs="Times New Roman"/>
                <w:b/>
                <w:kern w:val="0"/>
              </w:rPr>
              <w:t>指标项</w:t>
            </w:r>
          </w:p>
        </w:tc>
        <w:tc>
          <w:tcPr>
            <w:tcW w:w="6162" w:type="dxa"/>
            <w:tcBorders>
              <w:top w:val="single" w:color="auto" w:sz="4" w:space="0"/>
              <w:left w:val="single" w:color="auto" w:sz="4" w:space="0"/>
              <w:bottom w:val="single" w:color="auto" w:sz="4" w:space="0"/>
              <w:right w:val="single" w:color="auto" w:sz="4" w:space="0"/>
            </w:tcBorders>
            <w:shd w:val="clear" w:color="auto" w:fill="D9D9D9"/>
            <w:vAlign w:val="center"/>
          </w:tcPr>
          <w:p>
            <w:pPr>
              <w:spacing w:line="276" w:lineRule="auto"/>
              <w:textAlignment w:val="baseline"/>
              <w:rPr>
                <w:rFonts w:ascii="宋体" w:hAnsi="宋体" w:cs="Times New Roman"/>
                <w:b/>
                <w:kern w:val="0"/>
              </w:rPr>
            </w:pPr>
            <w:r>
              <w:rPr>
                <w:rFonts w:ascii="宋体" w:hAnsi="宋体" w:cs="Times New Roman"/>
                <w:b/>
                <w:kern w:val="0"/>
              </w:rPr>
              <w:t>指标要求（除特别说明外，以下为单台设备的配置要求，</w:t>
            </w:r>
            <w:r>
              <w:rPr>
                <w:rFonts w:hint="eastAsia" w:ascii="宋体" w:hAnsi="宋体" w:cs="Times New Roman"/>
                <w:b/>
                <w:kern w:val="0"/>
              </w:rPr>
              <w:t>含存量设备</w:t>
            </w:r>
            <w:r>
              <w:rPr>
                <w:rFonts w:ascii="宋体" w:hAnsi="宋体" w:cs="Times New Roman"/>
                <w:b/>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713" w:type="dxa"/>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接口</w:t>
            </w:r>
          </w:p>
        </w:tc>
        <w:tc>
          <w:tcPr>
            <w:tcW w:w="6162" w:type="dxa"/>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至少提供32个16GB光纤接口，可扩展不少于128个主机接口；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713" w:type="dxa"/>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控制器</w:t>
            </w:r>
          </w:p>
        </w:tc>
        <w:tc>
          <w:tcPr>
            <w:tcW w:w="6162" w:type="dxa"/>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至少4个SAN控制器，多控制器具备高可靠性；</w:t>
            </w:r>
          </w:p>
          <w:p>
            <w:pPr>
              <w:spacing w:line="276" w:lineRule="auto"/>
              <w:textAlignment w:val="baseline"/>
              <w:rPr>
                <w:rFonts w:ascii="宋体" w:hAnsi="宋体" w:cs="Times New Roman"/>
                <w:kern w:val="0"/>
              </w:rPr>
            </w:pPr>
            <w:r>
              <w:rPr>
                <w:rFonts w:ascii="宋体" w:hAnsi="宋体" w:cs="Times New Roman"/>
                <w:kern w:val="0"/>
              </w:rPr>
              <w:t>控制器可热插拔；</w:t>
            </w:r>
          </w:p>
          <w:p>
            <w:pPr>
              <w:spacing w:line="276" w:lineRule="auto"/>
              <w:textAlignment w:val="baseline"/>
              <w:rPr>
                <w:rFonts w:ascii="宋体" w:hAnsi="宋体" w:cs="Times New Roman"/>
                <w:kern w:val="0"/>
              </w:rPr>
            </w:pPr>
            <w:r>
              <w:rPr>
                <w:rFonts w:ascii="宋体" w:hAnsi="宋体" w:cs="Times New Roman"/>
                <w:kern w:val="0"/>
              </w:rPr>
              <w:t>控制器Active-Active工作方式，支持透明的Fail-Over；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713" w:type="dxa"/>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缓存</w:t>
            </w:r>
          </w:p>
        </w:tc>
        <w:tc>
          <w:tcPr>
            <w:tcW w:w="6162" w:type="dxa"/>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每控制器缓存容量不小于256GB；外部供电中断后，高速缓存Cache的数据不会丢失；支持缓存镜像；具有Cache写镜像保护技术；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713" w:type="dxa"/>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存储模式、容量</w:t>
            </w:r>
          </w:p>
        </w:tc>
        <w:tc>
          <w:tcPr>
            <w:tcW w:w="6162" w:type="dxa"/>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支持企业级SSD硬盘、SAS、NL SAS异构混插；系统最大支持磁盘数量≥2000块；</w:t>
            </w:r>
            <w:r>
              <w:rPr>
                <w:rFonts w:hint="eastAsia" w:ascii="宋体" w:hAnsi="宋体" w:cs="Times New Roman"/>
                <w:kern w:val="0"/>
              </w:rPr>
              <w:t>单套存储磁盘数量</w:t>
            </w:r>
            <w:r>
              <w:rPr>
                <w:rFonts w:ascii="宋体" w:hAnsi="宋体" w:cs="Times New Roman"/>
                <w:kern w:val="0"/>
              </w:rPr>
              <w:t>≥75</w:t>
            </w:r>
            <w:r>
              <w:rPr>
                <w:rFonts w:hint="eastAsia" w:ascii="宋体" w:hAnsi="宋体" w:cs="Times New Roman"/>
                <w:kern w:val="0"/>
              </w:rPr>
              <w:t>块</w:t>
            </w:r>
            <w:r>
              <w:rPr>
                <w:rFonts w:ascii="宋体" w:hAnsi="宋体" w:cs="Times New Roman"/>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713" w:type="dxa"/>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在线扩容方式</w:t>
            </w:r>
          </w:p>
        </w:tc>
        <w:tc>
          <w:tcPr>
            <w:tcW w:w="6162" w:type="dxa"/>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支持在线扩容；</w:t>
            </w:r>
          </w:p>
          <w:p>
            <w:pPr>
              <w:spacing w:line="276" w:lineRule="auto"/>
              <w:textAlignment w:val="baseline"/>
              <w:rPr>
                <w:rFonts w:ascii="宋体" w:hAnsi="宋体" w:cs="Times New Roman"/>
                <w:kern w:val="0"/>
              </w:rPr>
            </w:pPr>
            <w:r>
              <w:rPr>
                <w:rFonts w:ascii="宋体" w:hAnsi="宋体" w:cs="Times New Roman"/>
                <w:kern w:val="0"/>
              </w:rPr>
              <w:t>支持条带方式和级连方式；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713" w:type="dxa"/>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操作系统</w:t>
            </w:r>
          </w:p>
        </w:tc>
        <w:tc>
          <w:tcPr>
            <w:tcW w:w="6162" w:type="dxa"/>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支持AIX、HP-UX、Solaris、32/64位Windows Server、32/64位Linux等操作系统；支持OpenStack存储接口；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713" w:type="dxa"/>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其他功能</w:t>
            </w:r>
          </w:p>
        </w:tc>
        <w:tc>
          <w:tcPr>
            <w:tcW w:w="6162" w:type="dxa"/>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支持自动监控和发现磁盘系统内热点数据，自动迁移热点数据至SSD固态盘中，包括热点发生变化后的自动回迁，自动优化提升磁盘系统I/O性能；</w:t>
            </w:r>
          </w:p>
          <w:p>
            <w:pPr>
              <w:spacing w:line="276" w:lineRule="auto"/>
              <w:textAlignment w:val="baseline"/>
              <w:rPr>
                <w:rFonts w:ascii="宋体" w:hAnsi="宋体" w:cs="Times New Roman"/>
                <w:kern w:val="0"/>
              </w:rPr>
            </w:pPr>
            <w:r>
              <w:rPr>
                <w:rFonts w:ascii="宋体" w:hAnsi="宋体" w:cs="Times New Roman"/>
                <w:kern w:val="0"/>
              </w:rPr>
              <w:t>支持磁盘空间“自动精简配置”，仅在使用时自动分配实际容量，并可实现自动回收存储空间；</w:t>
            </w:r>
          </w:p>
        </w:tc>
      </w:tr>
    </w:tbl>
    <w:p>
      <w:pPr>
        <w:pStyle w:val="7"/>
      </w:pPr>
    </w:p>
    <w:tbl>
      <w:tblPr>
        <w:tblStyle w:val="12"/>
        <w:tblW w:w="460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3"/>
        <w:gridCol w:w="6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5000" w:type="pct"/>
            <w:gridSpan w:val="2"/>
            <w:vAlign w:val="center"/>
          </w:tcPr>
          <w:p>
            <w:pPr>
              <w:spacing w:line="276" w:lineRule="auto"/>
              <w:textAlignment w:val="baseline"/>
              <w:rPr>
                <w:rFonts w:ascii="宋体" w:hAnsi="宋体" w:cs="Times New Roman"/>
                <w:b/>
                <w:bCs/>
                <w:kern w:val="0"/>
              </w:rPr>
            </w:pPr>
            <w:r>
              <w:rPr>
                <w:rFonts w:ascii="宋体" w:hAnsi="宋体" w:cs="Times New Roman"/>
                <w:b/>
                <w:bCs/>
                <w:kern w:val="0"/>
              </w:rPr>
              <w:t>用途：分布式混合块存储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4" w:hRule="atLeast"/>
          <w:jc w:val="center"/>
        </w:trPr>
        <w:tc>
          <w:tcPr>
            <w:tcW w:w="1092" w:type="pct"/>
            <w:shd w:val="clear" w:color="000000" w:fill="D9D9D9"/>
            <w:vAlign w:val="center"/>
          </w:tcPr>
          <w:p>
            <w:pPr>
              <w:spacing w:line="276" w:lineRule="auto"/>
              <w:textAlignment w:val="baseline"/>
              <w:rPr>
                <w:rFonts w:ascii="宋体" w:hAnsi="宋体" w:cs="Times New Roman"/>
                <w:b/>
                <w:bCs/>
                <w:kern w:val="0"/>
              </w:rPr>
            </w:pPr>
            <w:r>
              <w:rPr>
                <w:rFonts w:ascii="宋体" w:hAnsi="宋体" w:cs="Times New Roman"/>
                <w:b/>
                <w:bCs/>
                <w:kern w:val="0"/>
              </w:rPr>
              <w:t>指标项</w:t>
            </w:r>
          </w:p>
        </w:tc>
        <w:tc>
          <w:tcPr>
            <w:tcW w:w="3907" w:type="pct"/>
            <w:shd w:val="clear" w:color="000000" w:fill="D9D9D9"/>
            <w:vAlign w:val="center"/>
          </w:tcPr>
          <w:p>
            <w:pPr>
              <w:spacing w:line="276" w:lineRule="auto"/>
              <w:textAlignment w:val="baseline"/>
              <w:rPr>
                <w:rFonts w:ascii="宋体" w:hAnsi="宋体" w:cs="Times New Roman"/>
                <w:b/>
                <w:bCs/>
                <w:kern w:val="0"/>
              </w:rPr>
            </w:pPr>
            <w:r>
              <w:rPr>
                <w:rFonts w:ascii="宋体" w:hAnsi="宋体" w:cs="Times New Roman"/>
                <w:b/>
                <w:bCs/>
                <w:kern w:val="0"/>
              </w:rPr>
              <w:t>指标要求（除特别说明外，以下为单台设备的配置要求</w:t>
            </w:r>
            <w:r>
              <w:rPr>
                <w:rFonts w:ascii="宋体" w:hAnsi="宋体" w:cs="Times New Roman"/>
                <w:b/>
                <w:kern w:val="0"/>
              </w:rPr>
              <w:t>，</w:t>
            </w:r>
            <w:r>
              <w:rPr>
                <w:rFonts w:hint="eastAsia" w:ascii="宋体" w:hAnsi="宋体" w:cs="Times New Roman"/>
                <w:b/>
                <w:kern w:val="0"/>
              </w:rPr>
              <w:t>含存量设备</w:t>
            </w:r>
            <w:r>
              <w:rPr>
                <w:rFonts w:ascii="宋体" w:hAnsi="宋体" w:cs="Times New Roman"/>
                <w:b/>
                <w:bCs/>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1092" w:type="pct"/>
            <w:shd w:val="clear" w:color="auto" w:fill="auto"/>
            <w:vAlign w:val="center"/>
          </w:tcPr>
          <w:p>
            <w:pPr>
              <w:spacing w:line="276" w:lineRule="auto"/>
              <w:textAlignment w:val="baseline"/>
              <w:rPr>
                <w:rFonts w:ascii="宋体" w:hAnsi="宋体" w:cs="Times New Roman"/>
                <w:kern w:val="0"/>
              </w:rPr>
            </w:pPr>
            <w:r>
              <w:rPr>
                <w:rFonts w:ascii="宋体" w:hAnsi="宋体" w:cs="Times New Roman"/>
                <w:kern w:val="0"/>
              </w:rPr>
              <w:t>服务器</w:t>
            </w:r>
          </w:p>
        </w:tc>
        <w:tc>
          <w:tcPr>
            <w:tcW w:w="3907" w:type="pct"/>
            <w:shd w:val="clear" w:color="000000" w:fill="FFFFFF"/>
            <w:vAlign w:val="center"/>
          </w:tcPr>
          <w:p>
            <w:pPr>
              <w:spacing w:line="276" w:lineRule="auto"/>
              <w:textAlignment w:val="baseline"/>
              <w:rPr>
                <w:rFonts w:ascii="宋体" w:hAnsi="宋体" w:cs="Times New Roman"/>
                <w:kern w:val="0"/>
              </w:rPr>
            </w:pPr>
            <w:r>
              <w:rPr>
                <w:rFonts w:ascii="宋体" w:hAnsi="宋体" w:cs="Times New Roman"/>
                <w:kern w:val="0"/>
              </w:rPr>
              <w:t>支持通用X86及国产ARM服务器；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jc w:val="center"/>
        </w:trPr>
        <w:tc>
          <w:tcPr>
            <w:tcW w:w="1092" w:type="pct"/>
            <w:vMerge w:val="restart"/>
            <w:shd w:val="clear" w:color="auto" w:fill="auto"/>
            <w:vAlign w:val="center"/>
          </w:tcPr>
          <w:p>
            <w:pPr>
              <w:spacing w:line="276" w:lineRule="auto"/>
              <w:textAlignment w:val="baseline"/>
              <w:rPr>
                <w:rFonts w:ascii="宋体" w:hAnsi="宋体" w:cs="Times New Roman"/>
                <w:kern w:val="0"/>
              </w:rPr>
            </w:pPr>
            <w:r>
              <w:rPr>
                <w:rFonts w:ascii="宋体" w:hAnsi="宋体" w:cs="Times New Roman"/>
                <w:kern w:val="0"/>
              </w:rPr>
              <w:t>存储类型</w:t>
            </w:r>
          </w:p>
        </w:tc>
        <w:tc>
          <w:tcPr>
            <w:tcW w:w="3907" w:type="pct"/>
            <w:shd w:val="clear" w:color="000000" w:fill="FFFFFF"/>
            <w:vAlign w:val="center"/>
          </w:tcPr>
          <w:p>
            <w:pPr>
              <w:spacing w:line="276" w:lineRule="auto"/>
              <w:textAlignment w:val="baseline"/>
              <w:rPr>
                <w:rFonts w:ascii="宋体" w:hAnsi="宋体" w:cs="Times New Roman"/>
                <w:kern w:val="0"/>
              </w:rPr>
            </w:pPr>
            <w:r>
              <w:rPr>
                <w:rFonts w:ascii="宋体" w:hAnsi="宋体" w:cs="Times New Roman"/>
                <w:kern w:val="0"/>
              </w:rPr>
              <w:t>支持分布式块存储、分布式文件存储、分布式对象存储、分布式大数据存储；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1092" w:type="pct"/>
            <w:vMerge w:val="continue"/>
            <w:shd w:val="clear" w:color="auto" w:fill="auto"/>
            <w:vAlign w:val="center"/>
          </w:tcPr>
          <w:p>
            <w:pPr>
              <w:spacing w:line="276" w:lineRule="auto"/>
              <w:textAlignment w:val="baseline"/>
              <w:rPr>
                <w:rFonts w:ascii="宋体" w:hAnsi="宋体" w:cs="Times New Roman"/>
                <w:kern w:val="0"/>
              </w:rPr>
            </w:pPr>
          </w:p>
        </w:tc>
        <w:tc>
          <w:tcPr>
            <w:tcW w:w="3907" w:type="pct"/>
            <w:shd w:val="clear" w:color="000000" w:fill="FFFFFF"/>
            <w:vAlign w:val="center"/>
          </w:tcPr>
          <w:p>
            <w:pPr>
              <w:spacing w:line="276" w:lineRule="auto"/>
              <w:textAlignment w:val="baseline"/>
              <w:rPr>
                <w:rFonts w:ascii="宋体" w:hAnsi="宋体" w:cs="Times New Roman"/>
                <w:kern w:val="0"/>
              </w:rPr>
            </w:pPr>
            <w:r>
              <w:rPr>
                <w:rFonts w:ascii="宋体" w:hAnsi="宋体" w:cs="Times New Roman"/>
                <w:kern w:val="0"/>
              </w:rPr>
              <w:t>业务主机可以以iSCSI、SCSI、NFS、CIFS、S3/Swift、HDFS等访问分布式存储；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4" w:hRule="atLeast"/>
          <w:jc w:val="center"/>
        </w:trPr>
        <w:tc>
          <w:tcPr>
            <w:tcW w:w="1092" w:type="pct"/>
            <w:vMerge w:val="restart"/>
            <w:shd w:val="clear" w:color="auto" w:fill="auto"/>
            <w:vAlign w:val="center"/>
          </w:tcPr>
          <w:p>
            <w:pPr>
              <w:spacing w:line="276" w:lineRule="auto"/>
              <w:textAlignment w:val="baseline"/>
              <w:rPr>
                <w:rFonts w:ascii="宋体" w:hAnsi="宋体" w:cs="Times New Roman"/>
                <w:kern w:val="0"/>
              </w:rPr>
            </w:pPr>
            <w:r>
              <w:rPr>
                <w:rFonts w:ascii="宋体" w:hAnsi="宋体" w:cs="Times New Roman"/>
                <w:kern w:val="0"/>
              </w:rPr>
              <w:t>基本功能要求</w:t>
            </w:r>
          </w:p>
        </w:tc>
        <w:tc>
          <w:tcPr>
            <w:tcW w:w="3907" w:type="pct"/>
            <w:shd w:val="clear" w:color="000000" w:fill="FFFFFF"/>
            <w:vAlign w:val="center"/>
          </w:tcPr>
          <w:p>
            <w:pPr>
              <w:spacing w:line="276" w:lineRule="auto"/>
              <w:textAlignment w:val="baseline"/>
              <w:rPr>
                <w:rFonts w:ascii="宋体" w:hAnsi="宋体" w:cs="Times New Roman"/>
                <w:kern w:val="0"/>
              </w:rPr>
            </w:pPr>
            <w:r>
              <w:rPr>
                <w:rFonts w:ascii="宋体" w:hAnsi="宋体" w:cs="Times New Roman"/>
                <w:kern w:val="0"/>
              </w:rPr>
              <w:t>支持多副本或EC纠删码冗余机制，系统最高支持4节点故障，提供界面配置截图证明；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1092" w:type="pct"/>
            <w:vMerge w:val="continue"/>
            <w:shd w:val="clear" w:color="auto" w:fill="auto"/>
            <w:vAlign w:val="center"/>
          </w:tcPr>
          <w:p>
            <w:pPr>
              <w:spacing w:line="276" w:lineRule="auto"/>
              <w:textAlignment w:val="baseline"/>
              <w:rPr>
                <w:rFonts w:ascii="宋体" w:hAnsi="宋体" w:cs="Times New Roman"/>
                <w:kern w:val="0"/>
              </w:rPr>
            </w:pPr>
          </w:p>
        </w:tc>
        <w:tc>
          <w:tcPr>
            <w:tcW w:w="3907" w:type="pct"/>
            <w:shd w:val="clear" w:color="000000" w:fill="FFFFFF"/>
            <w:vAlign w:val="center"/>
          </w:tcPr>
          <w:p>
            <w:pPr>
              <w:spacing w:line="276" w:lineRule="auto"/>
              <w:textAlignment w:val="baseline"/>
              <w:rPr>
                <w:rFonts w:ascii="宋体" w:hAnsi="宋体" w:cs="Times New Roman"/>
                <w:kern w:val="0"/>
              </w:rPr>
            </w:pPr>
            <w:r>
              <w:rPr>
                <w:rFonts w:ascii="宋体" w:hAnsi="宋体" w:cs="Times New Roman"/>
                <w:kern w:val="0"/>
              </w:rPr>
              <w:t>支持配备与存储节点硬件为同一厂商的SSD盘；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4" w:hRule="atLeast"/>
          <w:jc w:val="center"/>
        </w:trPr>
        <w:tc>
          <w:tcPr>
            <w:tcW w:w="1092" w:type="pct"/>
            <w:vMerge w:val="continue"/>
            <w:shd w:val="clear" w:color="auto" w:fill="auto"/>
            <w:vAlign w:val="center"/>
          </w:tcPr>
          <w:p>
            <w:pPr>
              <w:spacing w:line="276" w:lineRule="auto"/>
              <w:textAlignment w:val="baseline"/>
              <w:rPr>
                <w:rFonts w:ascii="宋体" w:hAnsi="宋体" w:cs="Times New Roman"/>
                <w:kern w:val="0"/>
              </w:rPr>
            </w:pPr>
          </w:p>
        </w:tc>
        <w:tc>
          <w:tcPr>
            <w:tcW w:w="3907" w:type="pct"/>
            <w:shd w:val="clear" w:color="000000" w:fill="FFFFFF"/>
            <w:vAlign w:val="center"/>
          </w:tcPr>
          <w:p>
            <w:pPr>
              <w:spacing w:line="276" w:lineRule="auto"/>
              <w:textAlignment w:val="baseline"/>
              <w:rPr>
                <w:rFonts w:eastAsia="Times New Roman"/>
              </w:rPr>
            </w:pPr>
            <w:r>
              <w:rPr>
                <w:rFonts w:ascii="宋体" w:hAnsi="宋体" w:cs="Times New Roman"/>
                <w:kern w:val="0"/>
              </w:rPr>
              <w:t>要求单集群节点规模≥10节点</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1092" w:type="pct"/>
            <w:vMerge w:val="continue"/>
            <w:shd w:val="clear" w:color="auto" w:fill="auto"/>
            <w:vAlign w:val="center"/>
          </w:tcPr>
          <w:p>
            <w:pPr>
              <w:spacing w:line="276" w:lineRule="auto"/>
              <w:textAlignment w:val="baseline"/>
              <w:rPr>
                <w:rFonts w:ascii="宋体" w:hAnsi="宋体" w:cs="Times New Roman"/>
                <w:kern w:val="0"/>
              </w:rPr>
            </w:pPr>
          </w:p>
        </w:tc>
        <w:tc>
          <w:tcPr>
            <w:tcW w:w="3907" w:type="pct"/>
            <w:shd w:val="clear" w:color="000000" w:fill="FFFFFF"/>
            <w:vAlign w:val="center"/>
          </w:tcPr>
          <w:p>
            <w:pPr>
              <w:spacing w:line="276" w:lineRule="auto"/>
              <w:textAlignment w:val="baseline"/>
              <w:rPr>
                <w:rFonts w:ascii="宋体" w:hAnsi="宋体" w:cs="Times New Roman"/>
                <w:kern w:val="0"/>
              </w:rPr>
            </w:pPr>
            <w:r>
              <w:rPr>
                <w:rFonts w:ascii="宋体" w:hAnsi="宋体" w:cs="Times New Roman"/>
                <w:kern w:val="0"/>
              </w:rPr>
              <w:t>要求分布式块存储的SSD容量占比不低于10%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4" w:hRule="atLeast"/>
          <w:jc w:val="center"/>
        </w:trPr>
        <w:tc>
          <w:tcPr>
            <w:tcW w:w="1092" w:type="pct"/>
            <w:vMerge w:val="continue"/>
            <w:shd w:val="clear" w:color="auto" w:fill="auto"/>
            <w:vAlign w:val="center"/>
          </w:tcPr>
          <w:p>
            <w:pPr>
              <w:spacing w:line="276" w:lineRule="auto"/>
              <w:textAlignment w:val="baseline"/>
              <w:rPr>
                <w:rFonts w:ascii="宋体" w:hAnsi="宋体" w:cs="Times New Roman"/>
                <w:kern w:val="0"/>
              </w:rPr>
            </w:pPr>
          </w:p>
        </w:tc>
        <w:tc>
          <w:tcPr>
            <w:tcW w:w="3907" w:type="pct"/>
            <w:shd w:val="clear" w:color="000000" w:fill="FFFFFF"/>
            <w:vAlign w:val="center"/>
          </w:tcPr>
          <w:p>
            <w:pPr>
              <w:spacing w:line="276" w:lineRule="auto"/>
              <w:textAlignment w:val="baseline"/>
              <w:rPr>
                <w:rFonts w:ascii="宋体" w:hAnsi="宋体" w:cs="Times New Roman"/>
                <w:kern w:val="0"/>
              </w:rPr>
            </w:pPr>
            <w:r>
              <w:rPr>
                <w:rFonts w:ascii="宋体" w:hAnsi="宋体" w:cs="Times New Roman"/>
                <w:kern w:val="0"/>
              </w:rPr>
              <w:t>支持大规模横向扩展能力，单集群最大可扩展至≥64节点；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1092" w:type="pct"/>
            <w:vMerge w:val="continue"/>
            <w:shd w:val="clear" w:color="auto" w:fill="auto"/>
            <w:vAlign w:val="center"/>
          </w:tcPr>
          <w:p>
            <w:pPr>
              <w:spacing w:line="276" w:lineRule="auto"/>
              <w:textAlignment w:val="baseline"/>
              <w:rPr>
                <w:rFonts w:ascii="宋体" w:hAnsi="宋体" w:cs="Times New Roman"/>
                <w:kern w:val="0"/>
              </w:rPr>
            </w:pPr>
          </w:p>
        </w:tc>
        <w:tc>
          <w:tcPr>
            <w:tcW w:w="3907" w:type="pct"/>
            <w:shd w:val="clear" w:color="000000" w:fill="FFFFFF"/>
            <w:vAlign w:val="center"/>
          </w:tcPr>
          <w:p>
            <w:pPr>
              <w:spacing w:line="276" w:lineRule="auto"/>
              <w:textAlignment w:val="baseline"/>
              <w:rPr>
                <w:rFonts w:ascii="宋体" w:hAnsi="宋体" w:cs="Times New Roman"/>
                <w:kern w:val="0"/>
              </w:rPr>
            </w:pPr>
            <w:r>
              <w:rPr>
                <w:rFonts w:ascii="宋体" w:hAnsi="宋体" w:cs="Times New Roman"/>
                <w:kern w:val="0"/>
              </w:rPr>
              <w:t>支持EC缩列，当节点故障时，自动调整EC配比，确保数据可靠性不降级，性能不下降；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4" w:hRule="atLeast"/>
          <w:jc w:val="center"/>
        </w:trPr>
        <w:tc>
          <w:tcPr>
            <w:tcW w:w="1092" w:type="pct"/>
            <w:vMerge w:val="continue"/>
            <w:shd w:val="clear" w:color="auto" w:fill="auto"/>
            <w:vAlign w:val="center"/>
          </w:tcPr>
          <w:p>
            <w:pPr>
              <w:spacing w:line="276" w:lineRule="auto"/>
              <w:textAlignment w:val="baseline"/>
              <w:rPr>
                <w:rFonts w:ascii="宋体" w:hAnsi="宋体" w:cs="Times New Roman"/>
                <w:kern w:val="0"/>
              </w:rPr>
            </w:pPr>
          </w:p>
        </w:tc>
        <w:tc>
          <w:tcPr>
            <w:tcW w:w="3907" w:type="pct"/>
            <w:shd w:val="clear" w:color="000000" w:fill="FFFFFF"/>
            <w:vAlign w:val="center"/>
          </w:tcPr>
          <w:p>
            <w:pPr>
              <w:spacing w:line="276" w:lineRule="auto"/>
              <w:textAlignment w:val="baseline"/>
              <w:rPr>
                <w:rFonts w:ascii="宋体" w:hAnsi="宋体" w:cs="Times New Roman"/>
                <w:kern w:val="0"/>
              </w:rPr>
            </w:pPr>
            <w:r>
              <w:rPr>
                <w:rFonts w:ascii="宋体" w:hAnsi="宋体" w:cs="Times New Roman"/>
                <w:kern w:val="0"/>
              </w:rPr>
              <w:t>支持SSD磨损寿命识别，提前告警并隔离处理；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1092" w:type="pct"/>
            <w:vMerge w:val="continue"/>
            <w:shd w:val="clear" w:color="auto" w:fill="auto"/>
            <w:vAlign w:val="center"/>
          </w:tcPr>
          <w:p>
            <w:pPr>
              <w:spacing w:line="276" w:lineRule="auto"/>
              <w:textAlignment w:val="baseline"/>
              <w:rPr>
                <w:rFonts w:ascii="宋体" w:hAnsi="宋体" w:cs="Times New Roman"/>
                <w:kern w:val="0"/>
              </w:rPr>
            </w:pPr>
          </w:p>
        </w:tc>
        <w:tc>
          <w:tcPr>
            <w:tcW w:w="3907" w:type="pct"/>
            <w:shd w:val="clear" w:color="000000" w:fill="FFFFFF"/>
            <w:vAlign w:val="center"/>
          </w:tcPr>
          <w:p>
            <w:pPr>
              <w:spacing w:line="276" w:lineRule="auto"/>
              <w:textAlignment w:val="baseline"/>
              <w:rPr>
                <w:rFonts w:ascii="宋体" w:hAnsi="宋体" w:cs="Times New Roman"/>
                <w:kern w:val="0"/>
              </w:rPr>
            </w:pPr>
            <w:r>
              <w:rPr>
                <w:rFonts w:ascii="宋体" w:hAnsi="宋体" w:cs="Times New Roman"/>
                <w:kern w:val="0"/>
              </w:rPr>
              <w:t>支持存储软件DIF，解决字节跳变、读偏、写偏等静默错误场景；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4" w:hRule="atLeast"/>
          <w:jc w:val="center"/>
        </w:trPr>
        <w:tc>
          <w:tcPr>
            <w:tcW w:w="1092" w:type="pct"/>
            <w:vMerge w:val="restart"/>
            <w:shd w:val="clear" w:color="auto" w:fill="auto"/>
            <w:vAlign w:val="center"/>
          </w:tcPr>
          <w:p>
            <w:pPr>
              <w:spacing w:line="276" w:lineRule="auto"/>
              <w:textAlignment w:val="baseline"/>
              <w:rPr>
                <w:rFonts w:ascii="宋体" w:hAnsi="宋体" w:cs="Times New Roman"/>
                <w:kern w:val="0"/>
              </w:rPr>
            </w:pPr>
            <w:r>
              <w:rPr>
                <w:rFonts w:ascii="宋体" w:hAnsi="宋体" w:cs="Times New Roman"/>
                <w:kern w:val="0"/>
              </w:rPr>
              <w:t>资源池管理</w:t>
            </w:r>
          </w:p>
        </w:tc>
        <w:tc>
          <w:tcPr>
            <w:tcW w:w="3907" w:type="pct"/>
            <w:shd w:val="clear" w:color="000000" w:fill="FFFFFF"/>
            <w:vAlign w:val="center"/>
          </w:tcPr>
          <w:p>
            <w:pPr>
              <w:spacing w:line="276" w:lineRule="auto"/>
              <w:textAlignment w:val="baseline"/>
              <w:rPr>
                <w:rFonts w:ascii="宋体" w:hAnsi="宋体" w:cs="Times New Roman"/>
                <w:kern w:val="0"/>
              </w:rPr>
            </w:pPr>
            <w:r>
              <w:rPr>
                <w:rFonts w:ascii="宋体" w:hAnsi="宋体" w:cs="Times New Roman"/>
                <w:kern w:val="0"/>
              </w:rPr>
              <w:t>支持通过单集群按照服务器维度划分多个存储资源池，每个存储资源池即为一个故障域；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1092" w:type="pct"/>
            <w:vMerge w:val="continue"/>
            <w:shd w:val="clear" w:color="auto" w:fill="auto"/>
            <w:vAlign w:val="center"/>
          </w:tcPr>
          <w:p>
            <w:pPr>
              <w:spacing w:line="276" w:lineRule="auto"/>
              <w:textAlignment w:val="baseline"/>
              <w:rPr>
                <w:rFonts w:ascii="宋体" w:hAnsi="宋体" w:cs="Times New Roman"/>
                <w:kern w:val="0"/>
              </w:rPr>
            </w:pPr>
          </w:p>
        </w:tc>
        <w:tc>
          <w:tcPr>
            <w:tcW w:w="3907" w:type="pct"/>
            <w:shd w:val="clear" w:color="000000" w:fill="FFFFFF"/>
            <w:vAlign w:val="center"/>
          </w:tcPr>
          <w:p>
            <w:pPr>
              <w:spacing w:line="276" w:lineRule="auto"/>
              <w:textAlignment w:val="baseline"/>
              <w:rPr>
                <w:rFonts w:ascii="宋体" w:hAnsi="宋体" w:cs="Times New Roman"/>
                <w:kern w:val="0"/>
              </w:rPr>
            </w:pPr>
            <w:r>
              <w:rPr>
                <w:rFonts w:ascii="宋体" w:hAnsi="宋体" w:cs="Times New Roman"/>
                <w:kern w:val="0"/>
              </w:rPr>
              <w:t>支持用户自定义性能图表并指定对象，对CPU利用率、内存利用率、带宽、IOPS、时延、磁盘利用率、存储池利用率等进行统计。提供界面截图证明；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4" w:hRule="atLeast"/>
          <w:jc w:val="center"/>
        </w:trPr>
        <w:tc>
          <w:tcPr>
            <w:tcW w:w="1092" w:type="pct"/>
            <w:vMerge w:val="continue"/>
            <w:shd w:val="clear" w:color="auto" w:fill="auto"/>
            <w:vAlign w:val="center"/>
          </w:tcPr>
          <w:p>
            <w:pPr>
              <w:spacing w:line="276" w:lineRule="auto"/>
              <w:textAlignment w:val="baseline"/>
              <w:rPr>
                <w:rFonts w:ascii="宋体" w:hAnsi="宋体" w:cs="Times New Roman"/>
                <w:kern w:val="0"/>
              </w:rPr>
            </w:pPr>
          </w:p>
        </w:tc>
        <w:tc>
          <w:tcPr>
            <w:tcW w:w="3907" w:type="pct"/>
            <w:shd w:val="clear" w:color="000000" w:fill="FFFFFF"/>
            <w:vAlign w:val="center"/>
          </w:tcPr>
          <w:p>
            <w:pPr>
              <w:spacing w:line="276" w:lineRule="auto"/>
              <w:textAlignment w:val="baseline"/>
              <w:rPr>
                <w:rFonts w:ascii="宋体" w:hAnsi="宋体" w:cs="Times New Roman"/>
                <w:kern w:val="0"/>
              </w:rPr>
            </w:pPr>
            <w:r>
              <w:rPr>
                <w:rFonts w:ascii="宋体" w:hAnsi="宋体" w:cs="Times New Roman"/>
                <w:kern w:val="0"/>
              </w:rPr>
              <w:t>支持磁盘亚健康管理功能：支持定期检测磁盘SMART信息，判断磁盘亚健康情况(硬盘扇区重映射数超过门限、读错误率统计超标)，慢盘(波动时长不超过5秒)，并在磁盘损坏前进行隔离并告警；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1092" w:type="pct"/>
            <w:vMerge w:val="continue"/>
            <w:shd w:val="clear" w:color="auto" w:fill="auto"/>
            <w:vAlign w:val="center"/>
          </w:tcPr>
          <w:p>
            <w:pPr>
              <w:spacing w:line="276" w:lineRule="auto"/>
              <w:textAlignment w:val="baseline"/>
              <w:rPr>
                <w:rFonts w:ascii="宋体" w:hAnsi="宋体" w:cs="Times New Roman"/>
                <w:kern w:val="0"/>
              </w:rPr>
            </w:pPr>
          </w:p>
        </w:tc>
        <w:tc>
          <w:tcPr>
            <w:tcW w:w="3907" w:type="pct"/>
            <w:shd w:val="clear" w:color="000000" w:fill="FFFFFF"/>
            <w:vAlign w:val="center"/>
          </w:tcPr>
          <w:p>
            <w:pPr>
              <w:spacing w:line="276" w:lineRule="auto"/>
              <w:textAlignment w:val="baseline"/>
              <w:rPr>
                <w:rFonts w:ascii="宋体" w:hAnsi="宋体" w:cs="Times New Roman"/>
                <w:kern w:val="0"/>
              </w:rPr>
            </w:pPr>
            <w:r>
              <w:rPr>
                <w:rFonts w:ascii="宋体" w:hAnsi="宋体" w:cs="Times New Roman"/>
                <w:kern w:val="0"/>
              </w:rPr>
              <w:t>支持网络亚健康管理功能：支持针对存储节点的网络出现丢包、错包、延时大、速率不匹配等故障现象可提供故障告警并自动尝试修复；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4" w:hRule="atLeast"/>
          <w:jc w:val="center"/>
        </w:trPr>
        <w:tc>
          <w:tcPr>
            <w:tcW w:w="1092" w:type="pct"/>
            <w:vMerge w:val="continue"/>
            <w:shd w:val="clear" w:color="auto" w:fill="auto"/>
            <w:vAlign w:val="center"/>
          </w:tcPr>
          <w:p>
            <w:pPr>
              <w:spacing w:line="276" w:lineRule="auto"/>
              <w:textAlignment w:val="baseline"/>
              <w:rPr>
                <w:rFonts w:ascii="宋体" w:hAnsi="宋体" w:cs="Times New Roman"/>
                <w:kern w:val="0"/>
              </w:rPr>
            </w:pPr>
          </w:p>
        </w:tc>
        <w:tc>
          <w:tcPr>
            <w:tcW w:w="3907" w:type="pct"/>
            <w:shd w:val="clear" w:color="000000" w:fill="FFFFFF"/>
            <w:vAlign w:val="center"/>
          </w:tcPr>
          <w:p>
            <w:pPr>
              <w:spacing w:line="276" w:lineRule="auto"/>
              <w:textAlignment w:val="baseline"/>
              <w:rPr>
                <w:rFonts w:ascii="宋体" w:hAnsi="宋体" w:cs="Times New Roman"/>
                <w:kern w:val="0"/>
              </w:rPr>
            </w:pPr>
            <w:r>
              <w:rPr>
                <w:rFonts w:ascii="宋体" w:hAnsi="宋体" w:cs="Times New Roman"/>
                <w:kern w:val="0"/>
              </w:rPr>
              <w:t>支持存储节点亚健康功能：如果存储节点服务时延持续增高至2秒/4秒/6秒或出现内存泄漏，发出告警并提供处理方案；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1092" w:type="pct"/>
            <w:vMerge w:val="continue"/>
            <w:shd w:val="clear" w:color="auto" w:fill="auto"/>
            <w:vAlign w:val="center"/>
          </w:tcPr>
          <w:p>
            <w:pPr>
              <w:spacing w:line="276" w:lineRule="auto"/>
              <w:textAlignment w:val="baseline"/>
              <w:rPr>
                <w:rFonts w:ascii="宋体" w:hAnsi="宋体" w:cs="Times New Roman"/>
                <w:kern w:val="0"/>
              </w:rPr>
            </w:pPr>
          </w:p>
        </w:tc>
        <w:tc>
          <w:tcPr>
            <w:tcW w:w="3907" w:type="pct"/>
            <w:shd w:val="clear" w:color="000000" w:fill="FFFFFF"/>
            <w:vAlign w:val="center"/>
          </w:tcPr>
          <w:p>
            <w:pPr>
              <w:spacing w:line="276" w:lineRule="auto"/>
              <w:textAlignment w:val="baseline"/>
              <w:rPr>
                <w:rFonts w:ascii="宋体" w:hAnsi="宋体" w:cs="Times New Roman"/>
                <w:kern w:val="0"/>
              </w:rPr>
            </w:pPr>
            <w:r>
              <w:rPr>
                <w:rFonts w:ascii="宋体" w:hAnsi="宋体" w:cs="Times New Roman"/>
                <w:kern w:val="0"/>
              </w:rPr>
              <w:t>支持磁盘漫游功能，同一存储节点内属于同一个存储池的任意个存储磁盘槽位可以交换位置，以防止维护时的误操作；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9" w:hRule="atLeast"/>
          <w:tblHeader/>
          <w:jc w:val="center"/>
        </w:trPr>
        <w:tc>
          <w:tcPr>
            <w:tcW w:w="1092"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在线扩容方式</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支持在线扩容；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1092" w:type="pct"/>
            <w:shd w:val="clear" w:color="auto" w:fill="auto"/>
            <w:vAlign w:val="center"/>
          </w:tcPr>
          <w:p>
            <w:pPr>
              <w:spacing w:line="276" w:lineRule="auto"/>
              <w:textAlignment w:val="baseline"/>
              <w:rPr>
                <w:rFonts w:ascii="宋体" w:hAnsi="宋体" w:cs="Times New Roman"/>
                <w:kern w:val="0"/>
              </w:rPr>
            </w:pPr>
            <w:r>
              <w:rPr>
                <w:rFonts w:ascii="宋体" w:hAnsi="宋体" w:cs="Times New Roman"/>
                <w:kern w:val="0"/>
              </w:rPr>
              <w:t>网络要求</w:t>
            </w:r>
          </w:p>
        </w:tc>
        <w:tc>
          <w:tcPr>
            <w:tcW w:w="3907" w:type="pct"/>
            <w:shd w:val="clear" w:color="000000" w:fill="FFFFFF"/>
            <w:vAlign w:val="center"/>
          </w:tcPr>
          <w:p>
            <w:pPr>
              <w:spacing w:line="276" w:lineRule="auto"/>
              <w:textAlignment w:val="baseline"/>
              <w:rPr>
                <w:rFonts w:ascii="宋体" w:hAnsi="宋体" w:cs="Times New Roman"/>
                <w:kern w:val="0"/>
              </w:rPr>
            </w:pPr>
            <w:r>
              <w:rPr>
                <w:rFonts w:ascii="宋体" w:hAnsi="宋体" w:cs="Times New Roman"/>
                <w:kern w:val="0"/>
              </w:rPr>
              <w:t>支持10GE、25GE、56Gb/s IB、100Gb/s IB组网，组网冗余全部部件，无单点故障；</w:t>
            </w:r>
          </w:p>
        </w:tc>
      </w:tr>
    </w:tbl>
    <w:p>
      <w:pPr>
        <w:spacing w:line="276" w:lineRule="auto"/>
      </w:pP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7"/>
        <w:gridCol w:w="63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842" w:type="dxa"/>
            <w:gridSpan w:val="2"/>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b/>
                <w:kern w:val="0"/>
              </w:rPr>
              <w:t>用途：高性能SSD存储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7" w:type="dxa"/>
            <w:tcBorders>
              <w:top w:val="single" w:color="auto" w:sz="4" w:space="0"/>
              <w:left w:val="single" w:color="auto" w:sz="4" w:space="0"/>
              <w:bottom w:val="single" w:color="auto" w:sz="4" w:space="0"/>
              <w:right w:val="single" w:color="auto" w:sz="4" w:space="0"/>
            </w:tcBorders>
            <w:shd w:val="clear" w:color="auto" w:fill="D9D9D9"/>
            <w:vAlign w:val="center"/>
          </w:tcPr>
          <w:p>
            <w:pPr>
              <w:spacing w:line="276" w:lineRule="auto"/>
              <w:textAlignment w:val="baseline"/>
              <w:rPr>
                <w:rFonts w:ascii="宋体" w:hAnsi="宋体" w:cs="Times New Roman"/>
                <w:b/>
                <w:kern w:val="0"/>
              </w:rPr>
            </w:pPr>
            <w:r>
              <w:rPr>
                <w:rFonts w:ascii="宋体" w:hAnsi="宋体" w:cs="Times New Roman"/>
                <w:b/>
                <w:kern w:val="0"/>
              </w:rPr>
              <w:t>指标项</w:t>
            </w:r>
          </w:p>
        </w:tc>
        <w:tc>
          <w:tcPr>
            <w:tcW w:w="6305" w:type="dxa"/>
            <w:tcBorders>
              <w:top w:val="single" w:color="auto" w:sz="4" w:space="0"/>
              <w:left w:val="single" w:color="auto" w:sz="4" w:space="0"/>
              <w:bottom w:val="single" w:color="auto" w:sz="4" w:space="0"/>
              <w:right w:val="single" w:color="auto" w:sz="4" w:space="0"/>
            </w:tcBorders>
            <w:shd w:val="clear" w:color="auto" w:fill="D9D9D9"/>
            <w:vAlign w:val="center"/>
          </w:tcPr>
          <w:p>
            <w:pPr>
              <w:spacing w:line="276" w:lineRule="auto"/>
              <w:textAlignment w:val="baseline"/>
              <w:rPr>
                <w:rFonts w:ascii="宋体" w:hAnsi="宋体" w:cs="Times New Roman"/>
                <w:b/>
                <w:kern w:val="0"/>
              </w:rPr>
            </w:pPr>
            <w:r>
              <w:rPr>
                <w:rFonts w:ascii="宋体" w:hAnsi="宋体" w:cs="Times New Roman"/>
                <w:b/>
                <w:kern w:val="0"/>
              </w:rPr>
              <w:t>指标要求（除特别说明外，以下为单台设备的配置要求，</w:t>
            </w:r>
            <w:r>
              <w:rPr>
                <w:rFonts w:hint="eastAsia" w:ascii="宋体" w:hAnsi="宋体" w:cs="Times New Roman"/>
                <w:b/>
                <w:kern w:val="0"/>
              </w:rPr>
              <w:t>含存量设备</w:t>
            </w:r>
            <w:r>
              <w:rPr>
                <w:rFonts w:ascii="宋体" w:hAnsi="宋体" w:cs="Times New Roman"/>
                <w:b/>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7" w:type="dxa"/>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eastAsia="Times New Roman" w:cs="Times New Roman"/>
                <w:kern w:val="0"/>
              </w:rPr>
            </w:pPr>
            <w:r>
              <w:rPr>
                <w:rFonts w:ascii="宋体" w:hAnsi="宋体" w:cs="Times New Roman"/>
                <w:kern w:val="0"/>
              </w:rPr>
              <w:t>架构</w:t>
            </w:r>
          </w:p>
        </w:tc>
        <w:tc>
          <w:tcPr>
            <w:tcW w:w="6305" w:type="dxa"/>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要求全闪存存储，采用分布式架构或集中式架构；</w:t>
            </w:r>
          </w:p>
          <w:p>
            <w:pPr>
              <w:spacing w:line="276" w:lineRule="auto"/>
              <w:textAlignment w:val="baseline"/>
              <w:rPr>
                <w:rFonts w:ascii="宋体" w:hAnsi="宋体" w:cs="Times New Roman"/>
                <w:kern w:val="0"/>
              </w:rPr>
            </w:pPr>
            <w:r>
              <w:rPr>
                <w:rFonts w:ascii="宋体" w:hAnsi="宋体" w:cs="Times New Roman"/>
                <w:kern w:val="0"/>
              </w:rPr>
              <w:t>提供分布式架构时，单集群节点规模≥5节点；</w:t>
            </w:r>
          </w:p>
          <w:p>
            <w:pPr>
              <w:spacing w:line="276" w:lineRule="auto"/>
              <w:textAlignment w:val="baseline"/>
              <w:rPr>
                <w:rFonts w:hint="eastAsia" w:eastAsiaTheme="minorEastAsia"/>
                <w:lang w:val="en-US" w:eastAsia="zh-CN"/>
              </w:rPr>
            </w:pPr>
            <w:r>
              <w:rPr>
                <w:rFonts w:ascii="宋体" w:hAnsi="宋体" w:cs="Times New Roman"/>
                <w:kern w:val="0"/>
              </w:rPr>
              <w:t>提供集中式架构时，控制器数量≥2个；控制器总缓存≥512G；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jc w:val="center"/>
        </w:trPr>
        <w:tc>
          <w:tcPr>
            <w:tcW w:w="1537" w:type="dxa"/>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对外接口</w:t>
            </w:r>
          </w:p>
        </w:tc>
        <w:tc>
          <w:tcPr>
            <w:tcW w:w="6305" w:type="dxa"/>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hint="eastAsia" w:ascii="宋体" w:hAnsi="宋体" w:cs="Times New Roman"/>
                <w:kern w:val="0"/>
              </w:rPr>
              <w:t>集中式存储至少提供8个10GB光纤接口，可扩展不少于40个主机接口</w:t>
            </w:r>
          </w:p>
          <w:p>
            <w:pPr>
              <w:spacing w:line="276" w:lineRule="auto"/>
              <w:textAlignment w:val="baseline"/>
            </w:pPr>
            <w:r>
              <w:rPr>
                <w:rFonts w:hint="eastAsia" w:ascii="宋体" w:hAnsi="宋体" w:cs="Times New Roman"/>
                <w:kern w:val="0"/>
              </w:rPr>
              <w:t>分布式存储单节点至少提供4个10GB光纤接口；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537" w:type="dxa"/>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eastAsia="Times New Roman" w:cs="Times New Roman"/>
                <w:kern w:val="0"/>
              </w:rPr>
            </w:pPr>
            <w:r>
              <w:rPr>
                <w:rFonts w:ascii="宋体" w:hAnsi="宋体" w:cs="Times New Roman"/>
                <w:kern w:val="0"/>
              </w:rPr>
              <w:t>数据保护</w:t>
            </w:r>
          </w:p>
        </w:tc>
        <w:tc>
          <w:tcPr>
            <w:tcW w:w="6305" w:type="dxa"/>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hint="default"/>
                <w:lang w:val="en-US" w:eastAsia="zh-CN"/>
              </w:rPr>
            </w:pPr>
            <w:r>
              <w:rPr>
                <w:rFonts w:ascii="宋体" w:hAnsi="宋体" w:cs="Times New Roman"/>
                <w:kern w:val="0"/>
              </w:rPr>
              <w:t>存储具备冗余架构，能够通过raid、多副本或纠删码进行数据保护，</w:t>
            </w:r>
            <w:r>
              <w:rPr>
                <w:rFonts w:hint="eastAsia" w:ascii="宋体" w:hAnsi="宋体" w:cs="Times New Roman"/>
                <w:kern w:val="0"/>
                <w:lang w:val="en-US" w:eastAsia="zh-CN"/>
              </w:rPr>
              <w:t>同一个RAID组内任意3盘同时失效</w:t>
            </w:r>
            <w:r>
              <w:rPr>
                <w:rFonts w:ascii="宋体" w:hAnsi="宋体" w:cs="Times New Roman"/>
                <w:kern w:val="0"/>
              </w:rPr>
              <w:t>硬盘或</w:t>
            </w:r>
            <w:r>
              <w:rPr>
                <w:rFonts w:hint="eastAsia" w:ascii="宋体" w:hAnsi="宋体" w:cs="Times New Roman"/>
                <w:kern w:val="0"/>
                <w:lang w:val="en-US" w:eastAsia="zh-CN"/>
              </w:rPr>
              <w:t>任意</w:t>
            </w:r>
            <w:r>
              <w:rPr>
                <w:rFonts w:ascii="宋体" w:hAnsi="宋体" w:cs="Times New Roman"/>
                <w:kern w:val="0"/>
              </w:rPr>
              <w:t>控制节点故障时，业务能够持续运行</w:t>
            </w:r>
            <w:r>
              <w:rPr>
                <w:rFonts w:hint="eastAsia" w:ascii="宋体" w:hAnsi="宋体" w:cs="Times New Roman"/>
                <w:kern w:val="0"/>
                <w:lang w:val="en-US" w:eastAsia="zh-CN"/>
              </w:rPr>
              <w:t>，数据不丢失。</w:t>
            </w:r>
          </w:p>
          <w:p>
            <w:pPr>
              <w:pStyle w:val="7"/>
              <w:rPr>
                <w:rFonts w:hint="default" w:eastAsiaTheme="minorEastAsia"/>
                <w:lang w:val="en-US" w:eastAsia="zh-CN"/>
              </w:rPr>
            </w:pPr>
            <w:r>
              <w:rPr>
                <w:rFonts w:hint="eastAsia" w:ascii="宋体" w:hAnsi="宋体" w:cs="Times New Roman"/>
                <w:kern w:val="0"/>
                <w:lang w:val="en-US" w:eastAsia="zh-CN"/>
              </w:rPr>
              <w:t>支持配置国密 NVMe SSD硬盘，符合数据安全技术要求，支持国密算法。需提供商用密码产品检测认证证书。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7" w:type="dxa"/>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eastAsia="Times New Roman" w:cs="Times New Roman"/>
                <w:kern w:val="0"/>
              </w:rPr>
            </w:pPr>
            <w:r>
              <w:rPr>
                <w:rFonts w:ascii="宋体" w:hAnsi="宋体" w:cs="Times New Roman"/>
                <w:kern w:val="0"/>
              </w:rPr>
              <w:t>硬盘配置</w:t>
            </w:r>
          </w:p>
        </w:tc>
        <w:tc>
          <w:tcPr>
            <w:tcW w:w="6305" w:type="dxa"/>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eastAsia="Times New Roman" w:cs="Times New Roman"/>
                <w:kern w:val="0"/>
              </w:rPr>
            </w:pPr>
            <w:r>
              <w:rPr>
                <w:rFonts w:hint="eastAsia" w:ascii="宋体" w:hAnsi="宋体" w:cs="Times New Roman"/>
                <w:kern w:val="0"/>
              </w:rPr>
              <w:t>单套</w:t>
            </w:r>
            <w:r>
              <w:rPr>
                <w:rFonts w:ascii="宋体" w:hAnsi="宋体" w:cs="Times New Roman"/>
                <w:kern w:val="0"/>
              </w:rPr>
              <w:t>实际可用SSD容量≥100T；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7" w:type="dxa"/>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在线扩容方式</w:t>
            </w:r>
          </w:p>
        </w:tc>
        <w:tc>
          <w:tcPr>
            <w:tcW w:w="6305" w:type="dxa"/>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支持在线扩容；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7" w:type="dxa"/>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操作系统</w:t>
            </w:r>
          </w:p>
        </w:tc>
        <w:tc>
          <w:tcPr>
            <w:tcW w:w="6305" w:type="dxa"/>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支持32/64位Windows Server、32/64位Linux等操作系统；支持OpenStack存储接口；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537" w:type="dxa"/>
            <w:vMerge w:val="restart"/>
            <w:tcBorders>
              <w:top w:val="single" w:color="auto" w:sz="4" w:space="0"/>
              <w:left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其他要求</w:t>
            </w:r>
          </w:p>
        </w:tc>
        <w:tc>
          <w:tcPr>
            <w:tcW w:w="6305" w:type="dxa"/>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支持磁盘空间“自动精简配置”，仅在使用时自动分配实际容量，并可实现自动回收存储空间；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7" w:type="dxa"/>
            <w:vMerge w:val="continue"/>
            <w:tcBorders>
              <w:left w:val="single" w:color="auto" w:sz="4" w:space="0"/>
              <w:right w:val="single" w:color="auto" w:sz="4" w:space="0"/>
            </w:tcBorders>
            <w:vAlign w:val="center"/>
          </w:tcPr>
          <w:p>
            <w:pPr>
              <w:spacing w:line="276" w:lineRule="auto"/>
              <w:textAlignment w:val="baseline"/>
              <w:rPr>
                <w:rFonts w:ascii="宋体" w:hAnsi="宋体" w:cs="Times New Roman"/>
                <w:kern w:val="0"/>
              </w:rPr>
            </w:pPr>
          </w:p>
        </w:tc>
        <w:tc>
          <w:tcPr>
            <w:tcW w:w="6305" w:type="dxa"/>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hint="default" w:ascii="宋体" w:hAnsi="宋体" w:cs="Times New Roman" w:eastAsiaTheme="minorEastAsia"/>
                <w:kern w:val="0"/>
                <w:lang w:val="en-US" w:eastAsia="zh-CN"/>
              </w:rPr>
            </w:pPr>
            <w:r>
              <w:rPr>
                <w:rFonts w:hint="eastAsia" w:ascii="宋体" w:hAnsi="宋体" w:cs="Times New Roman"/>
                <w:kern w:val="0"/>
                <w:lang w:val="en-US" w:eastAsia="zh-CN"/>
              </w:rPr>
              <w:t>支持主机单链路连接任意控制器在线升级，升级过程中控制器无重启，主机无感知，链路不中断。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7" w:type="dxa"/>
            <w:vMerge w:val="continue"/>
            <w:tcBorders>
              <w:left w:val="single" w:color="auto" w:sz="4" w:space="0"/>
              <w:bottom w:val="single" w:color="auto" w:sz="4" w:space="0"/>
              <w:right w:val="single" w:color="auto" w:sz="4" w:space="0"/>
            </w:tcBorders>
            <w:vAlign w:val="center"/>
          </w:tcPr>
          <w:p>
            <w:pPr>
              <w:spacing w:line="276" w:lineRule="auto"/>
              <w:textAlignment w:val="baseline"/>
              <w:rPr>
                <w:rFonts w:ascii="宋体" w:hAnsi="宋体" w:eastAsia="Times New Roman" w:cs="Times New Roman"/>
                <w:kern w:val="0"/>
              </w:rPr>
            </w:pPr>
          </w:p>
        </w:tc>
        <w:tc>
          <w:tcPr>
            <w:tcW w:w="6305" w:type="dxa"/>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eastAsia="Times New Roman" w:cs="Times New Roman"/>
                <w:kern w:val="0"/>
              </w:rPr>
            </w:pPr>
            <w:r>
              <w:rPr>
                <w:rFonts w:ascii="宋体" w:hAnsi="宋体" w:cs="Times New Roman"/>
                <w:kern w:val="0"/>
              </w:rPr>
              <w:t>每个可用区至少配置一套高性能SSD存储</w:t>
            </w:r>
          </w:p>
        </w:tc>
      </w:tr>
    </w:tbl>
    <w:p>
      <w:pPr>
        <w:spacing w:line="276" w:lineRule="auto"/>
      </w:pPr>
    </w:p>
    <w:p>
      <w:pPr>
        <w:pStyle w:val="4"/>
        <w:numPr>
          <w:ilvl w:val="2"/>
          <w:numId w:val="5"/>
        </w:numPr>
        <w:spacing w:before="160" w:line="300" w:lineRule="exact"/>
        <w:ind w:left="420"/>
        <w:rPr>
          <w:rFonts w:ascii="宋体" w:hAnsi="宋体"/>
        </w:rPr>
      </w:pPr>
      <w:r>
        <w:rPr>
          <w:rFonts w:ascii="宋体" w:hAnsi="宋体"/>
        </w:rPr>
        <w:t>网络设备</w:t>
      </w:r>
    </w:p>
    <w:p>
      <w:pPr>
        <w:ind w:left="420" w:firstLine="420" w:firstLineChars="200"/>
        <w:textAlignment w:val="baseline"/>
      </w:pPr>
      <w:r>
        <w:t>政务云平台本身所使用的网络按照功能划分为政务外网和互联网，为了保护不同网络之间数据的传输安全，需要按照国家网络安全等级保护标准将这两个网络进行逻辑隔离。中标人使用软件定义网络的，单个区域的网络集群节点数量不低于8台，并根据实际性能要求进行扩容，性能使用率水位不高于70%。</w:t>
      </w:r>
      <w:r>
        <w:rPr>
          <w:rFonts w:ascii="宋体" w:hAnsi="宋体" w:cs="Times New Roman"/>
          <w:kern w:val="0"/>
        </w:rPr>
        <w:t>以下是政务云平台内部所需要使用的交换机，用于搭建政务云平台。</w:t>
      </w:r>
    </w:p>
    <w:p>
      <w:pPr>
        <w:textAlignment w:val="baseline"/>
        <w:rPr>
          <w:rFonts w:ascii="宋体" w:hAnsi="宋体" w:cs="Times New Roman"/>
          <w:kern w:val="0"/>
        </w:rPr>
      </w:pPr>
    </w:p>
    <w:tbl>
      <w:tblPr>
        <w:tblStyle w:val="12"/>
        <w:tblW w:w="460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5"/>
        <w:gridCol w:w="6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blHeader/>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b/>
                <w:kern w:val="0"/>
              </w:rPr>
            </w:pPr>
            <w:r>
              <w:rPr>
                <w:rFonts w:ascii="宋体" w:hAnsi="宋体" w:cs="Times New Roman"/>
                <w:b/>
                <w:kern w:val="0"/>
              </w:rPr>
              <w:t>用途：网络边界接入交换机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3" w:type="pct"/>
            <w:tcBorders>
              <w:top w:val="single" w:color="auto" w:sz="4" w:space="0"/>
              <w:left w:val="single" w:color="auto" w:sz="4" w:space="0"/>
              <w:bottom w:val="single" w:color="auto" w:sz="4" w:space="0"/>
              <w:right w:val="single" w:color="auto" w:sz="4" w:space="0"/>
            </w:tcBorders>
            <w:shd w:val="clear" w:color="auto" w:fill="D9D9D9"/>
            <w:vAlign w:val="center"/>
          </w:tcPr>
          <w:p>
            <w:pPr>
              <w:spacing w:line="276" w:lineRule="auto"/>
              <w:textAlignment w:val="baseline"/>
              <w:rPr>
                <w:rFonts w:ascii="宋体" w:hAnsi="宋体" w:cs="Times New Roman"/>
                <w:b/>
                <w:kern w:val="0"/>
              </w:rPr>
            </w:pPr>
            <w:r>
              <w:rPr>
                <w:rFonts w:ascii="宋体" w:hAnsi="宋体" w:cs="Times New Roman"/>
                <w:b/>
                <w:kern w:val="0"/>
              </w:rPr>
              <w:t>指标项</w:t>
            </w:r>
          </w:p>
        </w:tc>
        <w:tc>
          <w:tcPr>
            <w:tcW w:w="3907" w:type="pct"/>
            <w:tcBorders>
              <w:top w:val="single" w:color="auto" w:sz="4" w:space="0"/>
              <w:left w:val="single" w:color="auto" w:sz="4" w:space="0"/>
              <w:bottom w:val="single" w:color="auto" w:sz="4" w:space="0"/>
              <w:right w:val="single" w:color="auto" w:sz="4" w:space="0"/>
            </w:tcBorders>
            <w:shd w:val="clear" w:color="auto" w:fill="D9D9D9"/>
            <w:vAlign w:val="center"/>
          </w:tcPr>
          <w:p>
            <w:pPr>
              <w:spacing w:line="276" w:lineRule="auto"/>
              <w:textAlignment w:val="baseline"/>
              <w:rPr>
                <w:rFonts w:ascii="宋体" w:hAnsi="宋体" w:cs="Times New Roman"/>
                <w:b/>
                <w:kern w:val="0"/>
              </w:rPr>
            </w:pPr>
            <w:r>
              <w:rPr>
                <w:rFonts w:ascii="宋体" w:hAnsi="宋体" w:cs="Times New Roman"/>
                <w:b/>
                <w:kern w:val="0"/>
              </w:rPr>
              <w:t>指标要求（除特别说明外，以下为单台设备的配置要求）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交换容量</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≥2.56Tbps；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包转发率</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≥1080Mpps；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网络接口</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≥48个万兆光口；≥4个40GE光口；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协议</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支持Access、Trunk和Hybrid三种模式；</w:t>
            </w:r>
          </w:p>
          <w:p>
            <w:pPr>
              <w:spacing w:line="276" w:lineRule="auto"/>
              <w:textAlignment w:val="baseline"/>
              <w:rPr>
                <w:rFonts w:ascii="宋体" w:hAnsi="宋体" w:cs="Times New Roman"/>
                <w:kern w:val="0"/>
              </w:rPr>
            </w:pPr>
            <w:r>
              <w:rPr>
                <w:rFonts w:ascii="宋体" w:hAnsi="宋体" w:cs="Times New Roman"/>
                <w:kern w:val="0"/>
              </w:rPr>
              <w:t>支持QinQ；</w:t>
            </w:r>
          </w:p>
          <w:p>
            <w:pPr>
              <w:spacing w:line="276" w:lineRule="auto"/>
              <w:textAlignment w:val="baseline"/>
              <w:rPr>
                <w:rFonts w:ascii="宋体" w:hAnsi="宋体" w:cs="Times New Roman"/>
                <w:kern w:val="0"/>
              </w:rPr>
            </w:pPr>
            <w:r>
              <w:rPr>
                <w:rFonts w:ascii="宋体" w:hAnsi="宋体" w:cs="Times New Roman"/>
                <w:kern w:val="0"/>
              </w:rPr>
              <w:t>支持M-LAG或vPC等类似技术；</w:t>
            </w:r>
          </w:p>
          <w:p>
            <w:pPr>
              <w:spacing w:line="276" w:lineRule="auto"/>
              <w:textAlignment w:val="baseline"/>
              <w:rPr>
                <w:rFonts w:ascii="宋体" w:hAnsi="宋体" w:cs="Times New Roman"/>
                <w:kern w:val="0"/>
              </w:rPr>
            </w:pPr>
            <w:r>
              <w:rPr>
                <w:rFonts w:ascii="宋体" w:hAnsi="宋体" w:cs="Times New Roman"/>
                <w:kern w:val="0"/>
              </w:rPr>
              <w:t>支持DLDP；</w:t>
            </w:r>
          </w:p>
          <w:p>
            <w:pPr>
              <w:spacing w:line="276" w:lineRule="auto"/>
              <w:textAlignment w:val="baseline"/>
              <w:rPr>
                <w:rFonts w:ascii="宋体" w:hAnsi="宋体" w:cs="Times New Roman"/>
                <w:kern w:val="0"/>
              </w:rPr>
            </w:pPr>
            <w:r>
              <w:rPr>
                <w:rFonts w:ascii="宋体" w:hAnsi="宋体" w:cs="Times New Roman"/>
                <w:kern w:val="0"/>
              </w:rPr>
              <w:t>支持ERPS以太环保护协议（G.8032）；</w:t>
            </w:r>
          </w:p>
          <w:p>
            <w:pPr>
              <w:spacing w:line="276" w:lineRule="auto"/>
              <w:textAlignment w:val="baseline"/>
              <w:rPr>
                <w:rFonts w:ascii="宋体" w:hAnsi="宋体" w:cs="Times New Roman"/>
                <w:kern w:val="0"/>
              </w:rPr>
            </w:pPr>
            <w:r>
              <w:rPr>
                <w:rFonts w:ascii="宋体" w:hAnsi="宋体" w:cs="Times New Roman"/>
                <w:kern w:val="0"/>
              </w:rPr>
              <w:t>支持动态MAC、静态MAC和黑洞MAC表项；</w:t>
            </w:r>
          </w:p>
          <w:p>
            <w:pPr>
              <w:spacing w:line="276" w:lineRule="auto"/>
              <w:textAlignment w:val="baseline"/>
              <w:rPr>
                <w:rFonts w:ascii="宋体" w:hAnsi="宋体" w:cs="Times New Roman"/>
                <w:kern w:val="0"/>
              </w:rPr>
            </w:pPr>
            <w:r>
              <w:rPr>
                <w:rFonts w:ascii="宋体" w:hAnsi="宋体" w:cs="Times New Roman"/>
                <w:kern w:val="0"/>
              </w:rPr>
              <w:t>支持RIP、OSPF、ISIS、BGP等IPv4动态路由协议；</w:t>
            </w:r>
          </w:p>
          <w:p>
            <w:pPr>
              <w:spacing w:line="276" w:lineRule="auto"/>
              <w:textAlignment w:val="baseline"/>
              <w:rPr>
                <w:rFonts w:ascii="宋体" w:hAnsi="宋体" w:cs="Times New Roman"/>
                <w:kern w:val="0"/>
              </w:rPr>
            </w:pPr>
            <w:r>
              <w:rPr>
                <w:rFonts w:ascii="宋体" w:hAnsi="宋体" w:cs="Times New Roman"/>
                <w:kern w:val="0"/>
              </w:rPr>
              <w:t>支持RIPng、OSPFv3、ISISv6、BGP4+等IPv6动态路由协议；</w:t>
            </w:r>
          </w:p>
          <w:p>
            <w:pPr>
              <w:spacing w:line="276" w:lineRule="auto"/>
              <w:textAlignment w:val="baseline"/>
              <w:rPr>
                <w:rFonts w:ascii="宋体" w:hAnsi="宋体" w:cs="Times New Roman"/>
                <w:kern w:val="0"/>
              </w:rPr>
            </w:pPr>
            <w:r>
              <w:rPr>
                <w:rFonts w:ascii="宋体" w:hAnsi="宋体" w:cs="Times New Roman"/>
                <w:kern w:val="0"/>
              </w:rPr>
              <w:t>支持BFD for OSPF，BGP，IS-IS，Static Route；</w:t>
            </w:r>
          </w:p>
          <w:p>
            <w:pPr>
              <w:spacing w:line="276" w:lineRule="auto"/>
              <w:textAlignment w:val="baseline"/>
              <w:rPr>
                <w:rFonts w:ascii="宋体" w:hAnsi="宋体" w:cs="Times New Roman"/>
                <w:kern w:val="0"/>
              </w:rPr>
            </w:pPr>
            <w:r>
              <w:rPr>
                <w:rFonts w:ascii="宋体" w:hAnsi="宋体" w:cs="Times New Roman"/>
                <w:kern w:val="0"/>
              </w:rPr>
              <w:t>支持IPv6 VXLAN over IPv4；</w:t>
            </w:r>
          </w:p>
          <w:p>
            <w:pPr>
              <w:spacing w:line="276" w:lineRule="auto"/>
              <w:textAlignment w:val="baseline"/>
              <w:rPr>
                <w:rFonts w:ascii="宋体" w:hAnsi="宋体" w:cs="Times New Roman"/>
                <w:kern w:val="0"/>
              </w:rPr>
            </w:pPr>
            <w:r>
              <w:rPr>
                <w:rFonts w:ascii="宋体" w:hAnsi="宋体" w:cs="Times New Roman"/>
                <w:kern w:val="0"/>
              </w:rPr>
              <w:t>支持IPv6 ND、PMTU发现；</w:t>
            </w:r>
          </w:p>
          <w:p>
            <w:pPr>
              <w:spacing w:line="276" w:lineRule="auto"/>
              <w:textAlignment w:val="baseline"/>
              <w:rPr>
                <w:rFonts w:ascii="宋体" w:hAnsi="宋体" w:cs="Times New Roman"/>
                <w:kern w:val="0"/>
              </w:rPr>
            </w:pPr>
            <w:r>
              <w:rPr>
                <w:rFonts w:ascii="宋体" w:hAnsi="宋体" w:cs="Times New Roman"/>
                <w:kern w:val="0"/>
              </w:rPr>
              <w:t>支持MPLS；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3" w:type="pct"/>
            <w:tcBorders>
              <w:top w:val="single" w:color="auto" w:sz="4" w:space="0"/>
              <w:left w:val="single" w:color="auto" w:sz="4" w:space="0"/>
              <w:bottom w:val="single" w:color="auto" w:sz="4" w:space="0"/>
              <w:right w:val="single" w:color="auto" w:sz="4" w:space="0"/>
            </w:tcBorders>
          </w:tcPr>
          <w:p>
            <w:pPr>
              <w:spacing w:line="276" w:lineRule="auto"/>
              <w:textAlignment w:val="baseline"/>
              <w:rPr>
                <w:rFonts w:ascii="宋体" w:hAnsi="宋体" w:cs="Times New Roman"/>
                <w:kern w:val="0"/>
              </w:rPr>
            </w:pPr>
            <w:r>
              <w:rPr>
                <w:rFonts w:ascii="宋体" w:hAnsi="宋体" w:cs="Times New Roman"/>
                <w:kern w:val="0"/>
              </w:rPr>
              <w:t>安全特性</w:t>
            </w:r>
          </w:p>
        </w:tc>
        <w:tc>
          <w:tcPr>
            <w:tcW w:w="3907" w:type="pct"/>
            <w:tcBorders>
              <w:top w:val="single" w:color="auto" w:sz="4" w:space="0"/>
              <w:left w:val="single" w:color="auto" w:sz="4" w:space="0"/>
              <w:bottom w:val="single" w:color="auto" w:sz="4" w:space="0"/>
              <w:right w:val="single" w:color="auto" w:sz="4" w:space="0"/>
            </w:tcBorders>
          </w:tcPr>
          <w:p>
            <w:pPr>
              <w:spacing w:line="276" w:lineRule="auto"/>
              <w:textAlignment w:val="baseline"/>
              <w:rPr>
                <w:rFonts w:ascii="宋体" w:hAnsi="宋体" w:cs="Times New Roman"/>
                <w:kern w:val="0"/>
              </w:rPr>
            </w:pPr>
            <w:r>
              <w:rPr>
                <w:rFonts w:ascii="宋体" w:hAnsi="宋体" w:cs="Times New Roman"/>
                <w:kern w:val="0"/>
              </w:rPr>
              <w:t>支持ARP攻击和ICMP攻击防护；</w:t>
            </w:r>
          </w:p>
          <w:p>
            <w:pPr>
              <w:spacing w:line="276" w:lineRule="auto"/>
              <w:textAlignment w:val="baseline"/>
              <w:rPr>
                <w:rFonts w:ascii="宋体" w:hAnsi="宋体" w:cs="Times New Roman"/>
                <w:kern w:val="0"/>
              </w:rPr>
            </w:pPr>
            <w:r>
              <w:rPr>
                <w:rFonts w:ascii="宋体" w:hAnsi="宋体" w:cs="Times New Roman"/>
                <w:kern w:val="0"/>
              </w:rPr>
              <w:t>支持IP、MAC、端口和VLAN的组合绑定；</w:t>
            </w:r>
          </w:p>
          <w:p>
            <w:pPr>
              <w:spacing w:line="276" w:lineRule="auto"/>
              <w:textAlignment w:val="baseline"/>
              <w:rPr>
                <w:rFonts w:ascii="宋体" w:hAnsi="宋体" w:cs="Times New Roman"/>
                <w:kern w:val="0"/>
              </w:rPr>
            </w:pPr>
            <w:r>
              <w:rPr>
                <w:rFonts w:ascii="宋体" w:hAnsi="宋体" w:cs="Times New Roman"/>
                <w:kern w:val="0"/>
              </w:rPr>
              <w:t>支持802.1X认证；</w:t>
            </w:r>
          </w:p>
          <w:p>
            <w:pPr>
              <w:spacing w:line="276" w:lineRule="auto"/>
              <w:textAlignment w:val="baseline"/>
              <w:rPr>
                <w:rFonts w:ascii="宋体" w:hAnsi="宋体" w:cs="Times New Roman"/>
                <w:kern w:val="0"/>
              </w:rPr>
            </w:pPr>
            <w:r>
              <w:rPr>
                <w:rFonts w:ascii="宋体" w:hAnsi="宋体" w:cs="Times New Roman"/>
                <w:kern w:val="0"/>
              </w:rPr>
              <w:t>支持端口隔离；</w:t>
            </w:r>
          </w:p>
          <w:p>
            <w:pPr>
              <w:spacing w:line="276" w:lineRule="auto"/>
              <w:textAlignment w:val="baseline"/>
              <w:rPr>
                <w:rFonts w:ascii="宋体" w:hAnsi="宋体" w:cs="Times New Roman"/>
                <w:kern w:val="0"/>
              </w:rPr>
            </w:pPr>
            <w:r>
              <w:rPr>
                <w:rFonts w:ascii="宋体" w:hAnsi="宋体" w:cs="Times New Roman"/>
                <w:kern w:val="0"/>
              </w:rPr>
              <w:t>支持AAA、Radius和TACACS认证；</w:t>
            </w:r>
          </w:p>
          <w:p>
            <w:pPr>
              <w:spacing w:line="276" w:lineRule="auto"/>
              <w:textAlignment w:val="baseline"/>
              <w:rPr>
                <w:rFonts w:ascii="宋体" w:hAnsi="宋体" w:cs="Times New Roman"/>
                <w:kern w:val="0"/>
              </w:rPr>
            </w:pPr>
            <w:r>
              <w:rPr>
                <w:rFonts w:ascii="宋体" w:hAnsi="宋体" w:cs="Times New Roman"/>
                <w:kern w:val="0"/>
              </w:rPr>
              <w:t>支持RMON；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3" w:type="pct"/>
            <w:tcBorders>
              <w:top w:val="single" w:color="auto" w:sz="4" w:space="0"/>
              <w:left w:val="single" w:color="auto" w:sz="4" w:space="0"/>
              <w:bottom w:val="single" w:color="auto" w:sz="4" w:space="0"/>
              <w:right w:val="single" w:color="auto" w:sz="4" w:space="0"/>
            </w:tcBorders>
          </w:tcPr>
          <w:p>
            <w:pPr>
              <w:spacing w:line="276" w:lineRule="auto"/>
              <w:textAlignment w:val="baseline"/>
              <w:rPr>
                <w:rFonts w:ascii="宋体" w:hAnsi="宋体" w:cs="Times New Roman"/>
                <w:kern w:val="0"/>
              </w:rPr>
            </w:pPr>
            <w:r>
              <w:rPr>
                <w:rFonts w:ascii="宋体" w:hAnsi="宋体" w:cs="Times New Roman"/>
                <w:kern w:val="0"/>
              </w:rPr>
              <w:t>可靠特性</w:t>
            </w:r>
          </w:p>
        </w:tc>
        <w:tc>
          <w:tcPr>
            <w:tcW w:w="3907" w:type="pct"/>
            <w:tcBorders>
              <w:top w:val="single" w:color="auto" w:sz="4" w:space="0"/>
              <w:left w:val="single" w:color="auto" w:sz="4" w:space="0"/>
              <w:bottom w:val="single" w:color="auto" w:sz="4" w:space="0"/>
              <w:right w:val="single" w:color="auto" w:sz="4" w:space="0"/>
            </w:tcBorders>
          </w:tcPr>
          <w:p>
            <w:pPr>
              <w:spacing w:line="276" w:lineRule="auto"/>
              <w:textAlignment w:val="baseline"/>
              <w:rPr>
                <w:rFonts w:ascii="宋体" w:hAnsi="宋体" w:cs="Times New Roman"/>
                <w:kern w:val="0"/>
              </w:rPr>
            </w:pPr>
            <w:r>
              <w:rPr>
                <w:rFonts w:ascii="宋体" w:hAnsi="宋体" w:cs="Times New Roman"/>
                <w:kern w:val="0"/>
              </w:rPr>
              <w:t>支持VRRP、VRRP负载分担、BFD for VRRP ；</w:t>
            </w:r>
          </w:p>
          <w:p>
            <w:pPr>
              <w:spacing w:line="276" w:lineRule="auto"/>
              <w:textAlignment w:val="baseline"/>
              <w:rPr>
                <w:rFonts w:ascii="宋体" w:hAnsi="宋体" w:cs="Times New Roman"/>
                <w:kern w:val="0"/>
              </w:rPr>
            </w:pPr>
            <w:r>
              <w:rPr>
                <w:rFonts w:ascii="宋体" w:hAnsi="宋体" w:cs="Times New Roman"/>
                <w:kern w:val="0"/>
              </w:rPr>
              <w:t>支持纵向虚拟化技术；</w:t>
            </w:r>
          </w:p>
          <w:p>
            <w:pPr>
              <w:spacing w:line="276" w:lineRule="auto"/>
              <w:textAlignment w:val="baseline"/>
              <w:rPr>
                <w:rFonts w:ascii="宋体" w:hAnsi="宋体" w:cs="Times New Roman"/>
                <w:kern w:val="0"/>
              </w:rPr>
            </w:pPr>
            <w:r>
              <w:rPr>
                <w:rFonts w:ascii="宋体" w:hAnsi="宋体" w:cs="Times New Roman"/>
                <w:kern w:val="0"/>
              </w:rPr>
              <w:t>支持集群或堆叠多虚一技术，实现单一界面管理多台设备；</w:t>
            </w:r>
          </w:p>
          <w:p>
            <w:pPr>
              <w:spacing w:line="276" w:lineRule="auto"/>
              <w:textAlignment w:val="baseline"/>
              <w:rPr>
                <w:rFonts w:ascii="宋体" w:hAnsi="宋体" w:cs="Times New Roman"/>
                <w:kern w:val="0"/>
              </w:rPr>
            </w:pPr>
            <w:r>
              <w:rPr>
                <w:rFonts w:ascii="宋体" w:hAnsi="宋体" w:cs="Times New Roman"/>
                <w:kern w:val="0"/>
              </w:rPr>
              <w:t>支持PQ, WRR, DRR, PQ+WRR, PQ+DRR调度方式；</w:t>
            </w:r>
          </w:p>
          <w:p>
            <w:pPr>
              <w:spacing w:line="276" w:lineRule="auto"/>
              <w:textAlignment w:val="baseline"/>
              <w:rPr>
                <w:rFonts w:ascii="宋体" w:hAnsi="宋体" w:cs="Times New Roman"/>
                <w:kern w:val="0"/>
              </w:rPr>
            </w:pPr>
            <w:r>
              <w:rPr>
                <w:rFonts w:ascii="宋体" w:hAnsi="宋体" w:cs="Times New Roman"/>
                <w:kern w:val="0"/>
              </w:rPr>
              <w:t>支持L2协议头、L3协议和L4协议等的组合流分类；</w:t>
            </w:r>
          </w:p>
          <w:p>
            <w:pPr>
              <w:spacing w:line="276" w:lineRule="auto"/>
              <w:textAlignment w:val="baseline"/>
              <w:rPr>
                <w:rFonts w:ascii="宋体" w:hAnsi="宋体" w:cs="Times New Roman"/>
                <w:kern w:val="0"/>
              </w:rPr>
            </w:pPr>
            <w:r>
              <w:rPr>
                <w:rFonts w:ascii="宋体" w:hAnsi="宋体" w:cs="Times New Roman"/>
                <w:kern w:val="0"/>
              </w:rPr>
              <w:t>支持双向端口限速；</w:t>
            </w:r>
          </w:p>
          <w:p>
            <w:pPr>
              <w:spacing w:line="276" w:lineRule="auto"/>
              <w:textAlignment w:val="baseline"/>
              <w:rPr>
                <w:rFonts w:ascii="宋体" w:hAnsi="宋体" w:cs="Times New Roman"/>
                <w:kern w:val="0"/>
              </w:rPr>
            </w:pPr>
            <w:r>
              <w:rPr>
                <w:rFonts w:ascii="宋体" w:hAnsi="宋体" w:cs="Times New Roman"/>
                <w:kern w:val="0"/>
              </w:rPr>
              <w:t>提供广播风暴抑制功能；</w:t>
            </w:r>
          </w:p>
          <w:p>
            <w:pPr>
              <w:spacing w:line="276" w:lineRule="auto"/>
              <w:textAlignment w:val="baseline"/>
              <w:rPr>
                <w:rFonts w:ascii="宋体" w:hAnsi="宋体" w:cs="Times New Roman"/>
                <w:kern w:val="0"/>
              </w:rPr>
            </w:pPr>
            <w:r>
              <w:rPr>
                <w:rFonts w:ascii="宋体" w:hAnsi="宋体" w:cs="Times New Roman"/>
                <w:kern w:val="0"/>
              </w:rPr>
              <w:t>支持流量整形；</w:t>
            </w:r>
          </w:p>
        </w:tc>
      </w:tr>
    </w:tbl>
    <w:p>
      <w:pPr>
        <w:spacing w:line="276" w:lineRule="auto"/>
      </w:pPr>
    </w:p>
    <w:tbl>
      <w:tblPr>
        <w:tblStyle w:val="12"/>
        <w:tblW w:w="460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5"/>
        <w:gridCol w:w="6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2" w:hRule="atLeast"/>
          <w:tblHeader/>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b/>
                <w:kern w:val="0"/>
              </w:rPr>
            </w:pPr>
            <w:r>
              <w:rPr>
                <w:rFonts w:ascii="宋体" w:hAnsi="宋体" w:cs="Times New Roman"/>
                <w:b/>
                <w:kern w:val="0"/>
              </w:rPr>
              <w:t>用途：业务核心交换机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093" w:type="pct"/>
            <w:tcBorders>
              <w:top w:val="single" w:color="auto" w:sz="4" w:space="0"/>
              <w:left w:val="single" w:color="auto" w:sz="4" w:space="0"/>
              <w:bottom w:val="single" w:color="auto" w:sz="4" w:space="0"/>
              <w:right w:val="single" w:color="auto" w:sz="4" w:space="0"/>
            </w:tcBorders>
            <w:shd w:val="clear" w:color="auto" w:fill="D9D9D9"/>
            <w:vAlign w:val="center"/>
          </w:tcPr>
          <w:p>
            <w:pPr>
              <w:spacing w:line="276" w:lineRule="auto"/>
              <w:textAlignment w:val="baseline"/>
              <w:rPr>
                <w:rFonts w:ascii="宋体" w:hAnsi="宋体" w:cs="Times New Roman"/>
                <w:b/>
                <w:kern w:val="0"/>
              </w:rPr>
            </w:pPr>
            <w:r>
              <w:rPr>
                <w:rFonts w:ascii="宋体" w:hAnsi="宋体" w:cs="Times New Roman"/>
                <w:b/>
                <w:kern w:val="0"/>
              </w:rPr>
              <w:t>指标项</w:t>
            </w:r>
          </w:p>
        </w:tc>
        <w:tc>
          <w:tcPr>
            <w:tcW w:w="3907" w:type="pct"/>
            <w:tcBorders>
              <w:top w:val="single" w:color="auto" w:sz="4" w:space="0"/>
              <w:left w:val="single" w:color="auto" w:sz="4" w:space="0"/>
              <w:bottom w:val="single" w:color="auto" w:sz="4" w:space="0"/>
              <w:right w:val="single" w:color="auto" w:sz="4" w:space="0"/>
            </w:tcBorders>
            <w:shd w:val="clear" w:color="auto" w:fill="D9D9D9"/>
            <w:vAlign w:val="center"/>
          </w:tcPr>
          <w:p>
            <w:pPr>
              <w:spacing w:line="276" w:lineRule="auto"/>
              <w:textAlignment w:val="baseline"/>
              <w:rPr>
                <w:rFonts w:ascii="宋体" w:hAnsi="宋体" w:cs="Times New Roman"/>
                <w:b/>
                <w:kern w:val="0"/>
              </w:rPr>
            </w:pPr>
            <w:r>
              <w:rPr>
                <w:rFonts w:ascii="宋体" w:hAnsi="宋体" w:cs="Times New Roman"/>
                <w:b/>
                <w:kern w:val="0"/>
              </w:rPr>
              <w:t>指标要求（除特别说明外，以下为单台设备的配置要求）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09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交换容量</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≥80Tbps；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09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包转发率</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≥40000Mpps；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09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扩展模块</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主控槽位≥2，业务槽位数≥8，主控槽和业务槽之外的独立交换网板插槽数≥4；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09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网络接口</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≥1块24口40G光口插卡，支持MPLS VPN和IPv6分布式线速转发；</w:t>
            </w:r>
          </w:p>
          <w:p>
            <w:pPr>
              <w:spacing w:line="276" w:lineRule="auto"/>
              <w:textAlignment w:val="baseline"/>
              <w:rPr>
                <w:rFonts w:ascii="宋体" w:hAnsi="宋体" w:cs="Times New Roman"/>
                <w:kern w:val="0"/>
              </w:rPr>
            </w:pPr>
            <w:r>
              <w:rPr>
                <w:rFonts w:ascii="宋体" w:hAnsi="宋体" w:cs="Times New Roman"/>
                <w:kern w:val="0"/>
              </w:rPr>
              <w:t>≥1块24口10G光口插卡，支持MPLS VPN和IPv6分布式线速转发；</w:t>
            </w:r>
          </w:p>
          <w:p>
            <w:pPr>
              <w:spacing w:line="276" w:lineRule="auto"/>
              <w:textAlignment w:val="baseline"/>
              <w:rPr>
                <w:rFonts w:ascii="宋体" w:hAnsi="宋体" w:cs="Times New Roman"/>
                <w:kern w:val="0"/>
              </w:rPr>
            </w:pPr>
            <w:r>
              <w:rPr>
                <w:rFonts w:ascii="宋体" w:hAnsi="宋体" w:cs="Times New Roman"/>
                <w:kern w:val="0"/>
              </w:rPr>
              <w:t>≥1块48口千兆光口插卡；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09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协议</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支持IEEE 802.1x和IEEE 802.1x SERVER；</w:t>
            </w:r>
          </w:p>
          <w:p>
            <w:pPr>
              <w:spacing w:line="276" w:lineRule="auto"/>
              <w:textAlignment w:val="baseline"/>
              <w:rPr>
                <w:rFonts w:ascii="宋体" w:hAnsi="宋体" w:cs="Times New Roman"/>
                <w:kern w:val="0"/>
              </w:rPr>
            </w:pPr>
            <w:r>
              <w:rPr>
                <w:rFonts w:ascii="宋体" w:hAnsi="宋体" w:cs="Times New Roman"/>
                <w:kern w:val="0"/>
              </w:rPr>
              <w:t>支持STP/RSTP/MSTP协议，符合IEEE802.1D、IEEE802.1W、IEEE802.1S标准；</w:t>
            </w:r>
          </w:p>
          <w:p>
            <w:pPr>
              <w:spacing w:line="276" w:lineRule="auto"/>
              <w:textAlignment w:val="baseline"/>
              <w:rPr>
                <w:rFonts w:ascii="宋体" w:hAnsi="宋体" w:cs="Times New Roman"/>
                <w:kern w:val="0"/>
              </w:rPr>
            </w:pPr>
            <w:r>
              <w:rPr>
                <w:rFonts w:ascii="宋体" w:hAnsi="宋体" w:cs="Times New Roman"/>
                <w:kern w:val="0"/>
              </w:rPr>
              <w:t>支持PIM-DM、PIM-SM、PIM-SSM、MSDP、MBGP 、Any-RP、IGMPv1/v2/v3等协议；</w:t>
            </w:r>
          </w:p>
          <w:p>
            <w:pPr>
              <w:spacing w:line="276" w:lineRule="auto"/>
              <w:textAlignment w:val="baseline"/>
              <w:rPr>
                <w:rFonts w:ascii="宋体" w:hAnsi="宋体" w:cs="Times New Roman"/>
                <w:kern w:val="0"/>
              </w:rPr>
            </w:pPr>
            <w:r>
              <w:rPr>
                <w:rFonts w:ascii="宋体" w:hAnsi="宋体" w:cs="Times New Roman"/>
                <w:kern w:val="0"/>
              </w:rPr>
              <w:t>支持PIM6-DM、PIM6-SM、MLDv1等协议；</w:t>
            </w:r>
          </w:p>
          <w:p>
            <w:pPr>
              <w:spacing w:line="276" w:lineRule="auto"/>
              <w:textAlignment w:val="baseline"/>
              <w:rPr>
                <w:rFonts w:ascii="宋体" w:hAnsi="宋体" w:cs="Times New Roman"/>
                <w:kern w:val="0"/>
              </w:rPr>
            </w:pPr>
            <w:r>
              <w:rPr>
                <w:rFonts w:ascii="宋体" w:hAnsi="宋体" w:cs="Times New Roman"/>
                <w:kern w:val="0"/>
              </w:rPr>
              <w:t>支持静态路由、RIP V1/V2、OSPF、BGP，支持策略路由和VRRP；</w:t>
            </w:r>
          </w:p>
          <w:p>
            <w:pPr>
              <w:spacing w:line="276" w:lineRule="auto"/>
              <w:textAlignment w:val="baseline"/>
              <w:rPr>
                <w:rFonts w:ascii="宋体" w:hAnsi="宋体" w:cs="Times New Roman"/>
                <w:kern w:val="0"/>
              </w:rPr>
            </w:pPr>
            <w:r>
              <w:rPr>
                <w:rFonts w:ascii="宋体" w:hAnsi="宋体" w:cs="Times New Roman"/>
                <w:kern w:val="0"/>
              </w:rPr>
              <w:t>支持IPv4和IPv6双协议栈；</w:t>
            </w:r>
          </w:p>
          <w:p>
            <w:pPr>
              <w:spacing w:line="276" w:lineRule="auto"/>
              <w:textAlignment w:val="baseline"/>
              <w:rPr>
                <w:rFonts w:ascii="宋体" w:hAnsi="宋体" w:cs="Times New Roman"/>
                <w:kern w:val="0"/>
              </w:rPr>
            </w:pPr>
            <w:r>
              <w:rPr>
                <w:rFonts w:ascii="宋体" w:hAnsi="宋体" w:cs="Times New Roman"/>
                <w:kern w:val="0"/>
              </w:rPr>
              <w:t>支持IPv6静态路由、RIPng、OSPFv3、IS-ISv6、BGP4+；</w:t>
            </w:r>
          </w:p>
          <w:p>
            <w:pPr>
              <w:spacing w:line="276" w:lineRule="auto"/>
              <w:textAlignment w:val="baseline"/>
              <w:rPr>
                <w:rFonts w:ascii="宋体" w:hAnsi="宋体" w:cs="Times New Roman"/>
                <w:kern w:val="0"/>
              </w:rPr>
            </w:pPr>
            <w:r>
              <w:rPr>
                <w:rFonts w:ascii="宋体" w:hAnsi="宋体" w:cs="Times New Roman"/>
                <w:kern w:val="0"/>
              </w:rPr>
              <w:t>支持IPv4向IPv6的过渡技术，包括：IPv6手工隧道、6to4隧道、ISATAP隧道、GRE隧道、IPv4兼容自动配置隧道等；</w:t>
            </w:r>
          </w:p>
          <w:p>
            <w:pPr>
              <w:spacing w:line="276" w:lineRule="auto"/>
              <w:textAlignment w:val="baseline"/>
              <w:rPr>
                <w:rFonts w:ascii="宋体" w:hAnsi="宋体" w:cs="Times New Roman"/>
                <w:kern w:val="0"/>
              </w:rPr>
            </w:pPr>
            <w:r>
              <w:rPr>
                <w:rFonts w:ascii="宋体" w:hAnsi="宋体" w:cs="Times New Roman"/>
                <w:kern w:val="0"/>
              </w:rPr>
              <w:t>实配板卡支持VXLAN及VXLAN的L2/L3 Gateway，且所有端口vxlan gateway线速转发；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093" w:type="pct"/>
            <w:tcBorders>
              <w:top w:val="single" w:color="auto" w:sz="4" w:space="0"/>
              <w:left w:val="single" w:color="auto" w:sz="4" w:space="0"/>
              <w:bottom w:val="single" w:color="auto" w:sz="4" w:space="0"/>
              <w:right w:val="single" w:color="auto" w:sz="4" w:space="0"/>
            </w:tcBorders>
          </w:tcPr>
          <w:p>
            <w:pPr>
              <w:spacing w:line="276" w:lineRule="auto"/>
              <w:textAlignment w:val="baseline"/>
              <w:rPr>
                <w:rFonts w:ascii="宋体" w:hAnsi="宋体" w:cs="Times New Roman"/>
                <w:kern w:val="0"/>
              </w:rPr>
            </w:pPr>
            <w:r>
              <w:rPr>
                <w:rFonts w:ascii="宋体" w:hAnsi="宋体" w:cs="Times New Roman"/>
                <w:kern w:val="0"/>
              </w:rPr>
              <w:t>安全特性</w:t>
            </w:r>
          </w:p>
        </w:tc>
        <w:tc>
          <w:tcPr>
            <w:tcW w:w="3907" w:type="pct"/>
            <w:tcBorders>
              <w:top w:val="single" w:color="auto" w:sz="4" w:space="0"/>
              <w:left w:val="single" w:color="auto" w:sz="4" w:space="0"/>
              <w:bottom w:val="single" w:color="auto" w:sz="4" w:space="0"/>
              <w:right w:val="single" w:color="auto" w:sz="4" w:space="0"/>
            </w:tcBorders>
          </w:tcPr>
          <w:p>
            <w:pPr>
              <w:spacing w:line="276" w:lineRule="auto"/>
              <w:textAlignment w:val="baseline"/>
              <w:rPr>
                <w:rFonts w:ascii="宋体" w:hAnsi="宋体" w:cs="Times New Roman"/>
                <w:kern w:val="0"/>
              </w:rPr>
            </w:pPr>
            <w:r>
              <w:rPr>
                <w:rFonts w:ascii="宋体" w:hAnsi="宋体" w:cs="Times New Roman"/>
                <w:kern w:val="0"/>
              </w:rPr>
              <w:t>支持基于标准、扩展、VLAN 的ACL报文过滤；</w:t>
            </w:r>
          </w:p>
          <w:p>
            <w:pPr>
              <w:spacing w:line="276" w:lineRule="auto"/>
              <w:textAlignment w:val="baseline"/>
              <w:rPr>
                <w:rFonts w:ascii="宋体" w:hAnsi="宋体" w:cs="Times New Roman"/>
                <w:kern w:val="0"/>
              </w:rPr>
            </w:pPr>
            <w:r>
              <w:rPr>
                <w:rFonts w:ascii="宋体" w:hAnsi="宋体" w:cs="Times New Roman"/>
                <w:kern w:val="0"/>
              </w:rPr>
              <w:t>支持OSPF、RIPv2 及BGPv4 报文的明文及MD5密文认证；</w:t>
            </w:r>
          </w:p>
          <w:p>
            <w:pPr>
              <w:spacing w:line="276" w:lineRule="auto"/>
              <w:textAlignment w:val="baseline"/>
              <w:rPr>
                <w:rFonts w:ascii="宋体" w:hAnsi="宋体" w:cs="Times New Roman"/>
                <w:kern w:val="0"/>
              </w:rPr>
            </w:pPr>
            <w:r>
              <w:rPr>
                <w:rFonts w:ascii="宋体" w:hAnsi="宋体" w:cs="Times New Roman"/>
                <w:kern w:val="0"/>
              </w:rPr>
              <w:t>支持IP地址、VLAN ID、MAC地址和端口等多种组合绑定；</w:t>
            </w:r>
          </w:p>
          <w:p>
            <w:pPr>
              <w:spacing w:line="276" w:lineRule="auto"/>
              <w:textAlignment w:val="baseline"/>
              <w:rPr>
                <w:rFonts w:ascii="宋体" w:hAnsi="宋体" w:cs="Times New Roman"/>
                <w:kern w:val="0"/>
              </w:rPr>
            </w:pPr>
            <w:r>
              <w:rPr>
                <w:rFonts w:ascii="宋体" w:hAnsi="宋体" w:cs="Times New Roman"/>
                <w:kern w:val="0"/>
              </w:rPr>
              <w:t>支持广播风暴抑制，支持主备数据备份机制；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093" w:type="pct"/>
            <w:tcBorders>
              <w:top w:val="single" w:color="auto" w:sz="4" w:space="0"/>
              <w:left w:val="single" w:color="auto" w:sz="4" w:space="0"/>
              <w:bottom w:val="single" w:color="auto" w:sz="4" w:space="0"/>
              <w:right w:val="single" w:color="auto" w:sz="4" w:space="0"/>
            </w:tcBorders>
          </w:tcPr>
          <w:p>
            <w:pPr>
              <w:spacing w:line="276" w:lineRule="auto"/>
              <w:textAlignment w:val="baseline"/>
              <w:rPr>
                <w:rFonts w:ascii="宋体" w:hAnsi="宋体" w:cs="Times New Roman"/>
                <w:kern w:val="0"/>
              </w:rPr>
            </w:pPr>
            <w:r>
              <w:rPr>
                <w:rFonts w:ascii="宋体" w:hAnsi="宋体" w:cs="Times New Roman"/>
                <w:kern w:val="0"/>
              </w:rPr>
              <w:t>可靠特性</w:t>
            </w:r>
          </w:p>
        </w:tc>
        <w:tc>
          <w:tcPr>
            <w:tcW w:w="3907" w:type="pct"/>
            <w:tcBorders>
              <w:top w:val="single" w:color="auto" w:sz="4" w:space="0"/>
              <w:left w:val="single" w:color="auto" w:sz="4" w:space="0"/>
              <w:bottom w:val="single" w:color="auto" w:sz="4" w:space="0"/>
              <w:right w:val="single" w:color="auto" w:sz="4" w:space="0"/>
            </w:tcBorders>
          </w:tcPr>
          <w:p>
            <w:pPr>
              <w:spacing w:line="276" w:lineRule="auto"/>
              <w:textAlignment w:val="baseline"/>
              <w:rPr>
                <w:rFonts w:ascii="宋体" w:hAnsi="宋体" w:cs="Times New Roman"/>
                <w:kern w:val="0"/>
              </w:rPr>
            </w:pPr>
            <w:r>
              <w:rPr>
                <w:rFonts w:ascii="宋体" w:hAnsi="宋体" w:cs="Times New Roman"/>
                <w:kern w:val="0"/>
              </w:rPr>
              <w:t>支持多级交换架构，交换网板与主控路由引擎硬件槽位分离；</w:t>
            </w:r>
          </w:p>
          <w:p>
            <w:pPr>
              <w:spacing w:line="276" w:lineRule="auto"/>
              <w:textAlignment w:val="baseline"/>
              <w:rPr>
                <w:rFonts w:ascii="宋体" w:hAnsi="宋体" w:cs="Times New Roman"/>
                <w:kern w:val="0"/>
              </w:rPr>
            </w:pPr>
            <w:r>
              <w:rPr>
                <w:rFonts w:ascii="宋体" w:hAnsi="宋体" w:cs="Times New Roman"/>
                <w:kern w:val="0"/>
              </w:rPr>
              <w:t>支持将两台以上物理设备虚拟化为一台逻辑设备，实现一致的转发表项和统一的管理，并支持跨物理设备的链路聚合；</w:t>
            </w:r>
          </w:p>
          <w:p>
            <w:pPr>
              <w:spacing w:line="276" w:lineRule="auto"/>
              <w:textAlignment w:val="baseline"/>
              <w:rPr>
                <w:rFonts w:ascii="宋体" w:hAnsi="宋体" w:cs="Times New Roman"/>
                <w:kern w:val="0"/>
              </w:rPr>
            </w:pPr>
            <w:r>
              <w:rPr>
                <w:rFonts w:ascii="宋体" w:hAnsi="宋体" w:cs="Times New Roman"/>
                <w:kern w:val="0"/>
              </w:rPr>
              <w:t>支持GR for OSPF/IS-IS/BGP/BGP4+；</w:t>
            </w:r>
          </w:p>
          <w:p>
            <w:pPr>
              <w:spacing w:line="276" w:lineRule="auto"/>
              <w:textAlignment w:val="baseline"/>
              <w:rPr>
                <w:rFonts w:ascii="宋体" w:hAnsi="宋体" w:cs="Times New Roman"/>
                <w:kern w:val="0"/>
              </w:rPr>
            </w:pPr>
            <w:r>
              <w:rPr>
                <w:rFonts w:ascii="宋体" w:hAnsi="宋体" w:cs="Times New Roman"/>
                <w:kern w:val="0"/>
              </w:rPr>
              <w:t>支持双引擎快速倒换，实现50ms的引擎故障主备切换时间，支持热补丁功能，可在线进行补丁升级；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093" w:type="pct"/>
            <w:tcBorders>
              <w:top w:val="single" w:color="auto" w:sz="4" w:space="0"/>
              <w:left w:val="single" w:color="auto" w:sz="4" w:space="0"/>
              <w:bottom w:val="single" w:color="auto" w:sz="4" w:space="0"/>
              <w:right w:val="single" w:color="auto" w:sz="4" w:space="0"/>
            </w:tcBorders>
          </w:tcPr>
          <w:p>
            <w:pPr>
              <w:spacing w:line="276" w:lineRule="auto"/>
              <w:textAlignment w:val="baseline"/>
              <w:rPr>
                <w:rFonts w:ascii="宋体" w:hAnsi="宋体" w:cs="Times New Roman"/>
                <w:kern w:val="0"/>
              </w:rPr>
            </w:pPr>
            <w:r>
              <w:rPr>
                <w:rFonts w:ascii="宋体" w:hAnsi="宋体" w:cs="Times New Roman"/>
                <w:kern w:val="0"/>
              </w:rPr>
              <w:t>MPLS VPN</w:t>
            </w:r>
          </w:p>
        </w:tc>
        <w:tc>
          <w:tcPr>
            <w:tcW w:w="3907" w:type="pct"/>
            <w:tcBorders>
              <w:top w:val="single" w:color="auto" w:sz="4" w:space="0"/>
              <w:left w:val="single" w:color="auto" w:sz="4" w:space="0"/>
              <w:bottom w:val="single" w:color="auto" w:sz="4" w:space="0"/>
              <w:right w:val="single" w:color="auto" w:sz="4" w:space="0"/>
            </w:tcBorders>
          </w:tcPr>
          <w:p>
            <w:pPr>
              <w:spacing w:line="276" w:lineRule="auto"/>
              <w:textAlignment w:val="baseline"/>
              <w:rPr>
                <w:rFonts w:ascii="宋体" w:hAnsi="宋体" w:cs="Times New Roman"/>
                <w:kern w:val="0"/>
              </w:rPr>
            </w:pPr>
            <w:r>
              <w:rPr>
                <w:rFonts w:ascii="宋体" w:hAnsi="宋体" w:cs="Times New Roman"/>
                <w:kern w:val="0"/>
              </w:rPr>
              <w:t>支持二、三层MPLS VPN；</w:t>
            </w:r>
          </w:p>
          <w:p>
            <w:pPr>
              <w:spacing w:line="276" w:lineRule="auto"/>
              <w:textAlignment w:val="baseline"/>
              <w:rPr>
                <w:rFonts w:ascii="宋体" w:hAnsi="宋体" w:cs="Times New Roman"/>
                <w:kern w:val="0"/>
              </w:rPr>
            </w:pPr>
            <w:r>
              <w:rPr>
                <w:rFonts w:ascii="宋体" w:hAnsi="宋体" w:cs="Times New Roman"/>
                <w:kern w:val="0"/>
              </w:rPr>
              <w:t>支持分布式 MPLS VPN处理；</w:t>
            </w:r>
          </w:p>
          <w:p>
            <w:pPr>
              <w:spacing w:line="276" w:lineRule="auto"/>
              <w:textAlignment w:val="baseline"/>
              <w:rPr>
                <w:rFonts w:ascii="宋体" w:hAnsi="宋体" w:cs="Times New Roman"/>
                <w:kern w:val="0"/>
              </w:rPr>
            </w:pPr>
            <w:r>
              <w:rPr>
                <w:rFonts w:ascii="宋体" w:hAnsi="宋体" w:cs="Times New Roman"/>
                <w:kern w:val="0"/>
              </w:rPr>
              <w:t>支持嵌套MPLS VPN；</w:t>
            </w:r>
          </w:p>
          <w:p>
            <w:pPr>
              <w:spacing w:line="276" w:lineRule="auto"/>
              <w:textAlignment w:val="baseline"/>
              <w:rPr>
                <w:rFonts w:ascii="宋体" w:hAnsi="宋体" w:cs="Times New Roman"/>
                <w:kern w:val="0"/>
              </w:rPr>
            </w:pPr>
            <w:r>
              <w:rPr>
                <w:rFonts w:ascii="宋体" w:hAnsi="宋体" w:cs="Times New Roman"/>
                <w:kern w:val="0"/>
              </w:rPr>
              <w:t>支持多角色主机；</w:t>
            </w:r>
          </w:p>
          <w:p>
            <w:pPr>
              <w:spacing w:line="276" w:lineRule="auto"/>
              <w:textAlignment w:val="baseline"/>
              <w:rPr>
                <w:rFonts w:ascii="宋体" w:hAnsi="宋体" w:cs="Times New Roman"/>
                <w:kern w:val="0"/>
              </w:rPr>
            </w:pPr>
            <w:r>
              <w:rPr>
                <w:rFonts w:ascii="宋体" w:hAnsi="宋体" w:cs="Times New Roman"/>
                <w:kern w:val="0"/>
              </w:rPr>
              <w:t>支持MCE；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09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虚拟化</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支持并配置软件定义网络SDN；</w:t>
            </w:r>
          </w:p>
          <w:p>
            <w:pPr>
              <w:spacing w:line="276" w:lineRule="auto"/>
              <w:textAlignment w:val="baseline"/>
              <w:rPr>
                <w:rFonts w:ascii="宋体" w:hAnsi="宋体" w:cs="Times New Roman"/>
                <w:kern w:val="0"/>
              </w:rPr>
            </w:pPr>
            <w:r>
              <w:rPr>
                <w:rFonts w:ascii="宋体" w:hAnsi="宋体" w:cs="Times New Roman"/>
                <w:kern w:val="0"/>
              </w:rPr>
              <w:t>支持虚拟化一虚多功能；支持将一台物理交换机虚拟化成N台逻辑交换机，交换机间硬件独立且相互隔离；</w:t>
            </w:r>
          </w:p>
        </w:tc>
      </w:tr>
    </w:tbl>
    <w:p>
      <w:pPr>
        <w:spacing w:line="276" w:lineRule="auto"/>
      </w:pPr>
    </w:p>
    <w:tbl>
      <w:tblPr>
        <w:tblStyle w:val="12"/>
        <w:tblW w:w="460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5"/>
        <w:gridCol w:w="6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3" w:hRule="atLeast"/>
          <w:tblHeader/>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b/>
                <w:kern w:val="0"/>
              </w:rPr>
            </w:pPr>
            <w:r>
              <w:rPr>
                <w:rFonts w:ascii="宋体" w:hAnsi="宋体" w:cs="Times New Roman"/>
                <w:b/>
                <w:kern w:val="0"/>
              </w:rPr>
              <w:t>用途：政务云平台接入交换机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3" w:type="pct"/>
            <w:tcBorders>
              <w:top w:val="single" w:color="auto" w:sz="4" w:space="0"/>
              <w:left w:val="single" w:color="auto" w:sz="4" w:space="0"/>
              <w:bottom w:val="single" w:color="auto" w:sz="4" w:space="0"/>
              <w:right w:val="single" w:color="auto" w:sz="4" w:space="0"/>
            </w:tcBorders>
            <w:shd w:val="clear" w:color="auto" w:fill="D9D9D9"/>
            <w:vAlign w:val="center"/>
          </w:tcPr>
          <w:p>
            <w:pPr>
              <w:spacing w:line="276" w:lineRule="auto"/>
              <w:textAlignment w:val="baseline"/>
              <w:rPr>
                <w:rFonts w:ascii="宋体" w:hAnsi="宋体" w:cs="Times New Roman"/>
                <w:b/>
                <w:kern w:val="0"/>
              </w:rPr>
            </w:pPr>
            <w:r>
              <w:rPr>
                <w:rFonts w:ascii="宋体" w:hAnsi="宋体" w:cs="Times New Roman"/>
                <w:b/>
                <w:kern w:val="0"/>
              </w:rPr>
              <w:t>指标项</w:t>
            </w:r>
          </w:p>
        </w:tc>
        <w:tc>
          <w:tcPr>
            <w:tcW w:w="3907" w:type="pct"/>
            <w:tcBorders>
              <w:top w:val="single" w:color="auto" w:sz="4" w:space="0"/>
              <w:left w:val="single" w:color="auto" w:sz="4" w:space="0"/>
              <w:bottom w:val="single" w:color="auto" w:sz="4" w:space="0"/>
              <w:right w:val="single" w:color="auto" w:sz="4" w:space="0"/>
            </w:tcBorders>
            <w:shd w:val="clear" w:color="auto" w:fill="D9D9D9"/>
            <w:vAlign w:val="center"/>
          </w:tcPr>
          <w:p>
            <w:pPr>
              <w:spacing w:line="276" w:lineRule="auto"/>
              <w:textAlignment w:val="baseline"/>
              <w:rPr>
                <w:rFonts w:ascii="宋体" w:hAnsi="宋体" w:cs="Times New Roman"/>
                <w:b/>
                <w:kern w:val="0"/>
              </w:rPr>
            </w:pPr>
            <w:r>
              <w:rPr>
                <w:rFonts w:ascii="宋体" w:hAnsi="宋体" w:cs="Times New Roman"/>
                <w:b/>
                <w:kern w:val="0"/>
              </w:rPr>
              <w:t>指标要求（除特别说明外，以下为单台设备的配置要求）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交换容量</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≥2.56Tbps；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包转发率</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≥1080Mpps；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网络接口</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≥48个万兆光口，≥4个40GE光口；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协议</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支持Access、Trunk和Hybrid三种模式；</w:t>
            </w:r>
          </w:p>
          <w:p>
            <w:pPr>
              <w:spacing w:line="276" w:lineRule="auto"/>
              <w:textAlignment w:val="baseline"/>
              <w:rPr>
                <w:rFonts w:ascii="宋体" w:hAnsi="宋体" w:cs="Times New Roman"/>
                <w:kern w:val="0"/>
              </w:rPr>
            </w:pPr>
            <w:r>
              <w:rPr>
                <w:rFonts w:ascii="宋体" w:hAnsi="宋体" w:cs="Times New Roman"/>
                <w:kern w:val="0"/>
              </w:rPr>
              <w:t>支持QinQ；</w:t>
            </w:r>
          </w:p>
          <w:p>
            <w:pPr>
              <w:spacing w:line="276" w:lineRule="auto"/>
              <w:textAlignment w:val="baseline"/>
              <w:rPr>
                <w:rFonts w:ascii="宋体" w:hAnsi="宋体" w:cs="Times New Roman"/>
                <w:kern w:val="0"/>
              </w:rPr>
            </w:pPr>
            <w:r>
              <w:rPr>
                <w:rFonts w:ascii="宋体" w:hAnsi="宋体" w:cs="Times New Roman"/>
                <w:kern w:val="0"/>
              </w:rPr>
              <w:t>支持M-LAG或vPC等类似技术；</w:t>
            </w:r>
          </w:p>
          <w:p>
            <w:pPr>
              <w:spacing w:line="276" w:lineRule="auto"/>
              <w:textAlignment w:val="baseline"/>
              <w:rPr>
                <w:rFonts w:ascii="宋体" w:hAnsi="宋体" w:cs="Times New Roman"/>
                <w:kern w:val="0"/>
              </w:rPr>
            </w:pPr>
            <w:r>
              <w:rPr>
                <w:rFonts w:ascii="宋体" w:hAnsi="宋体" w:cs="Times New Roman"/>
                <w:kern w:val="0"/>
              </w:rPr>
              <w:t>支持DLDP；</w:t>
            </w:r>
          </w:p>
          <w:p>
            <w:pPr>
              <w:spacing w:line="276" w:lineRule="auto"/>
              <w:textAlignment w:val="baseline"/>
              <w:rPr>
                <w:rFonts w:ascii="宋体" w:hAnsi="宋体" w:cs="Times New Roman"/>
                <w:kern w:val="0"/>
              </w:rPr>
            </w:pPr>
            <w:r>
              <w:rPr>
                <w:rFonts w:ascii="宋体" w:hAnsi="宋体" w:cs="Times New Roman"/>
                <w:kern w:val="0"/>
              </w:rPr>
              <w:t>支持ERPS以太环保护协议（G.8032）；</w:t>
            </w:r>
          </w:p>
          <w:p>
            <w:pPr>
              <w:spacing w:line="276" w:lineRule="auto"/>
              <w:textAlignment w:val="baseline"/>
              <w:rPr>
                <w:rFonts w:ascii="宋体" w:hAnsi="宋体" w:cs="Times New Roman"/>
                <w:kern w:val="0"/>
              </w:rPr>
            </w:pPr>
            <w:r>
              <w:rPr>
                <w:rFonts w:ascii="宋体" w:hAnsi="宋体" w:cs="Times New Roman"/>
                <w:kern w:val="0"/>
              </w:rPr>
              <w:t>支持动态MAC、静态MAC和黑洞MAC表项；</w:t>
            </w:r>
          </w:p>
          <w:p>
            <w:pPr>
              <w:spacing w:line="276" w:lineRule="auto"/>
              <w:textAlignment w:val="baseline"/>
              <w:rPr>
                <w:rFonts w:ascii="宋体" w:hAnsi="宋体" w:cs="Times New Roman"/>
                <w:kern w:val="0"/>
              </w:rPr>
            </w:pPr>
            <w:r>
              <w:rPr>
                <w:rFonts w:ascii="宋体" w:hAnsi="宋体" w:cs="Times New Roman"/>
                <w:kern w:val="0"/>
              </w:rPr>
              <w:t>支持RIP、OSPF、ISIS、BGP等IPv4动态路由协议；</w:t>
            </w:r>
          </w:p>
          <w:p>
            <w:pPr>
              <w:spacing w:line="276" w:lineRule="auto"/>
              <w:textAlignment w:val="baseline"/>
              <w:rPr>
                <w:rFonts w:ascii="宋体" w:hAnsi="宋体" w:cs="Times New Roman"/>
                <w:kern w:val="0"/>
              </w:rPr>
            </w:pPr>
            <w:r>
              <w:rPr>
                <w:rFonts w:ascii="宋体" w:hAnsi="宋体" w:cs="Times New Roman"/>
                <w:kern w:val="0"/>
              </w:rPr>
              <w:t>支持RIPng、OSPFv3、ISISv6、BGP4+等IPv6动态路由协议；</w:t>
            </w:r>
          </w:p>
          <w:p>
            <w:pPr>
              <w:spacing w:line="276" w:lineRule="auto"/>
              <w:textAlignment w:val="baseline"/>
              <w:rPr>
                <w:rFonts w:ascii="宋体" w:hAnsi="宋体" w:cs="Times New Roman"/>
                <w:kern w:val="0"/>
              </w:rPr>
            </w:pPr>
            <w:r>
              <w:rPr>
                <w:rFonts w:ascii="宋体" w:hAnsi="宋体" w:cs="Times New Roman"/>
                <w:kern w:val="0"/>
              </w:rPr>
              <w:t>支持BFD for OSPF，BGP，IS-IS，Static Route；</w:t>
            </w:r>
          </w:p>
          <w:p>
            <w:pPr>
              <w:spacing w:line="276" w:lineRule="auto"/>
              <w:textAlignment w:val="baseline"/>
              <w:rPr>
                <w:rFonts w:ascii="宋体" w:hAnsi="宋体" w:cs="Times New Roman"/>
                <w:kern w:val="0"/>
              </w:rPr>
            </w:pPr>
            <w:r>
              <w:rPr>
                <w:rFonts w:ascii="宋体" w:hAnsi="宋体" w:cs="Times New Roman"/>
                <w:kern w:val="0"/>
              </w:rPr>
              <w:t>支持IPv6 VXLAN over IPv4；</w:t>
            </w:r>
          </w:p>
          <w:p>
            <w:pPr>
              <w:spacing w:line="276" w:lineRule="auto"/>
              <w:textAlignment w:val="baseline"/>
              <w:rPr>
                <w:rFonts w:ascii="宋体" w:hAnsi="宋体" w:cs="Times New Roman"/>
                <w:kern w:val="0"/>
              </w:rPr>
            </w:pPr>
            <w:r>
              <w:rPr>
                <w:rFonts w:ascii="宋体" w:hAnsi="宋体" w:cs="Times New Roman"/>
                <w:kern w:val="0"/>
              </w:rPr>
              <w:t>支持IPv6 ND、PMTU发现；</w:t>
            </w:r>
          </w:p>
          <w:p>
            <w:pPr>
              <w:spacing w:line="276" w:lineRule="auto"/>
              <w:textAlignment w:val="baseline"/>
              <w:rPr>
                <w:rFonts w:ascii="宋体" w:hAnsi="宋体" w:cs="Times New Roman"/>
                <w:kern w:val="0"/>
              </w:rPr>
            </w:pPr>
            <w:r>
              <w:rPr>
                <w:rFonts w:ascii="宋体" w:hAnsi="宋体" w:cs="Times New Roman"/>
                <w:kern w:val="0"/>
              </w:rPr>
              <w:t>支持MPLS；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3" w:type="pct"/>
            <w:tcBorders>
              <w:top w:val="single" w:color="auto" w:sz="4" w:space="0"/>
              <w:left w:val="single" w:color="auto" w:sz="4" w:space="0"/>
              <w:bottom w:val="single" w:color="auto" w:sz="4" w:space="0"/>
              <w:right w:val="single" w:color="auto" w:sz="4" w:space="0"/>
            </w:tcBorders>
          </w:tcPr>
          <w:p>
            <w:pPr>
              <w:spacing w:line="276" w:lineRule="auto"/>
              <w:textAlignment w:val="baseline"/>
              <w:rPr>
                <w:rFonts w:ascii="宋体" w:hAnsi="宋体" w:cs="Times New Roman"/>
                <w:kern w:val="0"/>
              </w:rPr>
            </w:pPr>
            <w:r>
              <w:rPr>
                <w:rFonts w:ascii="宋体" w:hAnsi="宋体" w:cs="Times New Roman"/>
                <w:kern w:val="0"/>
              </w:rPr>
              <w:t>安全特性</w:t>
            </w:r>
          </w:p>
        </w:tc>
        <w:tc>
          <w:tcPr>
            <w:tcW w:w="3907" w:type="pct"/>
            <w:tcBorders>
              <w:top w:val="single" w:color="auto" w:sz="4" w:space="0"/>
              <w:left w:val="single" w:color="auto" w:sz="4" w:space="0"/>
              <w:bottom w:val="single" w:color="auto" w:sz="4" w:space="0"/>
              <w:right w:val="single" w:color="auto" w:sz="4" w:space="0"/>
            </w:tcBorders>
          </w:tcPr>
          <w:p>
            <w:pPr>
              <w:spacing w:line="276" w:lineRule="auto"/>
              <w:textAlignment w:val="baseline"/>
              <w:rPr>
                <w:rFonts w:ascii="宋体" w:hAnsi="宋体" w:cs="Times New Roman"/>
                <w:kern w:val="0"/>
              </w:rPr>
            </w:pPr>
            <w:r>
              <w:rPr>
                <w:rFonts w:ascii="宋体" w:hAnsi="宋体" w:cs="Times New Roman"/>
                <w:kern w:val="0"/>
              </w:rPr>
              <w:t>支持ARP攻击和ICMP攻击防护；</w:t>
            </w:r>
          </w:p>
          <w:p>
            <w:pPr>
              <w:spacing w:line="276" w:lineRule="auto"/>
              <w:textAlignment w:val="baseline"/>
              <w:rPr>
                <w:rFonts w:ascii="宋体" w:hAnsi="宋体" w:cs="Times New Roman"/>
                <w:kern w:val="0"/>
              </w:rPr>
            </w:pPr>
            <w:r>
              <w:rPr>
                <w:rFonts w:ascii="宋体" w:hAnsi="宋体" w:cs="Times New Roman"/>
                <w:kern w:val="0"/>
              </w:rPr>
              <w:t>支持IP、MAC、端口和VLAN的组合绑定；</w:t>
            </w:r>
          </w:p>
          <w:p>
            <w:pPr>
              <w:spacing w:line="276" w:lineRule="auto"/>
              <w:textAlignment w:val="baseline"/>
              <w:rPr>
                <w:rFonts w:ascii="宋体" w:hAnsi="宋体" w:cs="Times New Roman"/>
                <w:kern w:val="0"/>
              </w:rPr>
            </w:pPr>
            <w:r>
              <w:rPr>
                <w:rFonts w:ascii="宋体" w:hAnsi="宋体" w:cs="Times New Roman"/>
                <w:kern w:val="0"/>
              </w:rPr>
              <w:t>支持802.1X认证；</w:t>
            </w:r>
          </w:p>
          <w:p>
            <w:pPr>
              <w:spacing w:line="276" w:lineRule="auto"/>
              <w:textAlignment w:val="baseline"/>
              <w:rPr>
                <w:rFonts w:ascii="宋体" w:hAnsi="宋体" w:cs="Times New Roman"/>
                <w:kern w:val="0"/>
              </w:rPr>
            </w:pPr>
            <w:r>
              <w:rPr>
                <w:rFonts w:ascii="宋体" w:hAnsi="宋体" w:cs="Times New Roman"/>
                <w:kern w:val="0"/>
              </w:rPr>
              <w:t>支持端口隔离；</w:t>
            </w:r>
          </w:p>
          <w:p>
            <w:pPr>
              <w:spacing w:line="276" w:lineRule="auto"/>
              <w:textAlignment w:val="baseline"/>
              <w:rPr>
                <w:rFonts w:ascii="宋体" w:hAnsi="宋体" w:cs="Times New Roman"/>
                <w:kern w:val="0"/>
              </w:rPr>
            </w:pPr>
            <w:r>
              <w:rPr>
                <w:rFonts w:ascii="宋体" w:hAnsi="宋体" w:cs="Times New Roman"/>
                <w:kern w:val="0"/>
              </w:rPr>
              <w:t>支持AAA、Radius和TACACS认证；</w:t>
            </w:r>
          </w:p>
          <w:p>
            <w:pPr>
              <w:spacing w:line="276" w:lineRule="auto"/>
              <w:textAlignment w:val="baseline"/>
              <w:rPr>
                <w:rFonts w:ascii="宋体" w:hAnsi="宋体" w:cs="Times New Roman"/>
                <w:kern w:val="0"/>
              </w:rPr>
            </w:pPr>
            <w:r>
              <w:rPr>
                <w:rFonts w:ascii="宋体" w:hAnsi="宋体" w:cs="Times New Roman"/>
                <w:kern w:val="0"/>
              </w:rPr>
              <w:t>支持RMON；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3" w:type="pct"/>
            <w:tcBorders>
              <w:top w:val="single" w:color="auto" w:sz="4" w:space="0"/>
              <w:left w:val="single" w:color="auto" w:sz="4" w:space="0"/>
              <w:bottom w:val="single" w:color="auto" w:sz="4" w:space="0"/>
              <w:right w:val="single" w:color="auto" w:sz="4" w:space="0"/>
            </w:tcBorders>
          </w:tcPr>
          <w:p>
            <w:pPr>
              <w:spacing w:line="276" w:lineRule="auto"/>
              <w:textAlignment w:val="baseline"/>
              <w:rPr>
                <w:rFonts w:ascii="宋体" w:hAnsi="宋体" w:cs="Times New Roman"/>
                <w:kern w:val="0"/>
              </w:rPr>
            </w:pPr>
            <w:r>
              <w:rPr>
                <w:rFonts w:ascii="宋体" w:hAnsi="宋体" w:cs="Times New Roman"/>
                <w:kern w:val="0"/>
              </w:rPr>
              <w:t>可靠特性</w:t>
            </w:r>
          </w:p>
        </w:tc>
        <w:tc>
          <w:tcPr>
            <w:tcW w:w="3907" w:type="pct"/>
            <w:tcBorders>
              <w:top w:val="single" w:color="auto" w:sz="4" w:space="0"/>
              <w:left w:val="single" w:color="auto" w:sz="4" w:space="0"/>
              <w:bottom w:val="single" w:color="auto" w:sz="4" w:space="0"/>
              <w:right w:val="single" w:color="auto" w:sz="4" w:space="0"/>
            </w:tcBorders>
          </w:tcPr>
          <w:p>
            <w:pPr>
              <w:spacing w:line="276" w:lineRule="auto"/>
              <w:textAlignment w:val="baseline"/>
              <w:rPr>
                <w:rFonts w:ascii="宋体" w:hAnsi="宋体" w:cs="Times New Roman"/>
                <w:kern w:val="0"/>
              </w:rPr>
            </w:pPr>
            <w:r>
              <w:rPr>
                <w:rFonts w:ascii="宋体" w:hAnsi="宋体" w:cs="Times New Roman"/>
                <w:kern w:val="0"/>
              </w:rPr>
              <w:t>支持VRRP、VRRP负载分担、BFD for VRRP；</w:t>
            </w:r>
          </w:p>
          <w:p>
            <w:pPr>
              <w:spacing w:line="276" w:lineRule="auto"/>
              <w:textAlignment w:val="baseline"/>
              <w:rPr>
                <w:rFonts w:ascii="宋体" w:hAnsi="宋体" w:cs="Times New Roman"/>
                <w:kern w:val="0"/>
              </w:rPr>
            </w:pPr>
            <w:r>
              <w:rPr>
                <w:rFonts w:ascii="宋体" w:hAnsi="宋体" w:cs="Times New Roman"/>
                <w:kern w:val="0"/>
              </w:rPr>
              <w:t>支持纵向虚拟化技术；</w:t>
            </w:r>
          </w:p>
          <w:p>
            <w:pPr>
              <w:spacing w:line="276" w:lineRule="auto"/>
              <w:textAlignment w:val="baseline"/>
              <w:rPr>
                <w:rFonts w:ascii="宋体" w:hAnsi="宋体" w:cs="Times New Roman"/>
                <w:kern w:val="0"/>
              </w:rPr>
            </w:pPr>
            <w:r>
              <w:rPr>
                <w:rFonts w:ascii="宋体" w:hAnsi="宋体" w:cs="Times New Roman"/>
                <w:kern w:val="0"/>
              </w:rPr>
              <w:t>支持集群或堆叠多虚一技术，实现单一界面管理多台设备；</w:t>
            </w:r>
          </w:p>
          <w:p>
            <w:pPr>
              <w:spacing w:line="276" w:lineRule="auto"/>
              <w:textAlignment w:val="baseline"/>
              <w:rPr>
                <w:rFonts w:ascii="宋体" w:hAnsi="宋体" w:cs="Times New Roman"/>
                <w:kern w:val="0"/>
              </w:rPr>
            </w:pPr>
            <w:r>
              <w:rPr>
                <w:rFonts w:ascii="宋体" w:hAnsi="宋体" w:cs="Times New Roman"/>
                <w:kern w:val="0"/>
              </w:rPr>
              <w:t>支持PQ, WRR, DRR, PQ+WRR, PQ+DRR调度方式；</w:t>
            </w:r>
          </w:p>
          <w:p>
            <w:pPr>
              <w:spacing w:line="276" w:lineRule="auto"/>
              <w:textAlignment w:val="baseline"/>
              <w:rPr>
                <w:rFonts w:ascii="宋体" w:hAnsi="宋体" w:cs="Times New Roman"/>
                <w:kern w:val="0"/>
              </w:rPr>
            </w:pPr>
            <w:r>
              <w:rPr>
                <w:rFonts w:ascii="宋体" w:hAnsi="宋体" w:cs="Times New Roman"/>
                <w:kern w:val="0"/>
              </w:rPr>
              <w:t>支持L2协议头、L3协议和L4协议等的组合流分类；</w:t>
            </w:r>
          </w:p>
          <w:p>
            <w:pPr>
              <w:spacing w:line="276" w:lineRule="auto"/>
              <w:textAlignment w:val="baseline"/>
              <w:rPr>
                <w:rFonts w:ascii="宋体" w:hAnsi="宋体" w:cs="Times New Roman"/>
                <w:kern w:val="0"/>
              </w:rPr>
            </w:pPr>
            <w:r>
              <w:rPr>
                <w:rFonts w:ascii="宋体" w:hAnsi="宋体" w:cs="Times New Roman"/>
                <w:kern w:val="0"/>
              </w:rPr>
              <w:t>支持双向端口限速；</w:t>
            </w:r>
          </w:p>
          <w:p>
            <w:pPr>
              <w:spacing w:line="276" w:lineRule="auto"/>
              <w:textAlignment w:val="baseline"/>
              <w:rPr>
                <w:rFonts w:ascii="宋体" w:hAnsi="宋体" w:cs="Times New Roman"/>
                <w:kern w:val="0"/>
              </w:rPr>
            </w:pPr>
            <w:r>
              <w:rPr>
                <w:rFonts w:ascii="宋体" w:hAnsi="宋体" w:cs="Times New Roman"/>
                <w:kern w:val="0"/>
              </w:rPr>
              <w:t>提供广播风暴抑制功能；</w:t>
            </w:r>
          </w:p>
          <w:p>
            <w:pPr>
              <w:spacing w:line="276" w:lineRule="auto"/>
              <w:textAlignment w:val="baseline"/>
              <w:rPr>
                <w:rFonts w:ascii="宋体" w:hAnsi="宋体" w:cs="Times New Roman"/>
                <w:kern w:val="0"/>
              </w:rPr>
            </w:pPr>
            <w:r>
              <w:rPr>
                <w:rFonts w:ascii="宋体" w:hAnsi="宋体" w:cs="Times New Roman"/>
                <w:kern w:val="0"/>
              </w:rPr>
              <w:t>支持流量整形；</w:t>
            </w:r>
          </w:p>
        </w:tc>
      </w:tr>
    </w:tbl>
    <w:p>
      <w:pPr>
        <w:spacing w:line="276" w:lineRule="auto"/>
      </w:pPr>
    </w:p>
    <w:tbl>
      <w:tblPr>
        <w:tblStyle w:val="12"/>
        <w:tblW w:w="460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5"/>
        <w:gridCol w:w="6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b/>
                <w:kern w:val="0"/>
              </w:rPr>
              <w:t>用途：负载均衡器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3" w:type="pct"/>
            <w:tcBorders>
              <w:top w:val="single" w:color="auto" w:sz="4" w:space="0"/>
              <w:left w:val="single" w:color="auto" w:sz="4" w:space="0"/>
              <w:bottom w:val="single" w:color="auto" w:sz="4" w:space="0"/>
              <w:right w:val="single" w:color="auto" w:sz="4" w:space="0"/>
            </w:tcBorders>
            <w:shd w:val="clear" w:color="auto" w:fill="D9D9D9"/>
            <w:vAlign w:val="center"/>
          </w:tcPr>
          <w:p>
            <w:pPr>
              <w:spacing w:line="276" w:lineRule="auto"/>
              <w:textAlignment w:val="baseline"/>
              <w:rPr>
                <w:rFonts w:ascii="宋体" w:hAnsi="宋体" w:cs="Times New Roman"/>
                <w:b/>
                <w:kern w:val="0"/>
              </w:rPr>
            </w:pPr>
            <w:r>
              <w:rPr>
                <w:rFonts w:ascii="宋体" w:hAnsi="宋体" w:cs="Times New Roman"/>
                <w:b/>
                <w:kern w:val="0"/>
              </w:rPr>
              <w:t>指标项</w:t>
            </w:r>
          </w:p>
        </w:tc>
        <w:tc>
          <w:tcPr>
            <w:tcW w:w="3907" w:type="pct"/>
            <w:tcBorders>
              <w:top w:val="single" w:color="auto" w:sz="4" w:space="0"/>
              <w:left w:val="single" w:color="auto" w:sz="4" w:space="0"/>
              <w:bottom w:val="single" w:color="auto" w:sz="4" w:space="0"/>
              <w:right w:val="single" w:color="auto" w:sz="4" w:space="0"/>
            </w:tcBorders>
            <w:shd w:val="clear" w:color="auto" w:fill="D9D9D9"/>
            <w:vAlign w:val="center"/>
          </w:tcPr>
          <w:p>
            <w:pPr>
              <w:spacing w:line="276" w:lineRule="auto"/>
              <w:textAlignment w:val="baseline"/>
              <w:rPr>
                <w:rFonts w:ascii="宋体" w:hAnsi="宋体" w:cs="Times New Roman"/>
                <w:b/>
                <w:kern w:val="0"/>
              </w:rPr>
            </w:pPr>
            <w:r>
              <w:rPr>
                <w:rFonts w:ascii="宋体" w:hAnsi="宋体" w:cs="Times New Roman"/>
                <w:b/>
                <w:kern w:val="0"/>
              </w:rPr>
              <w:t>指标要求（除特别说明外，以下为单台设备的配置要求）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接口</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至少16个 10/100/1000电口；</w:t>
            </w:r>
          </w:p>
          <w:p>
            <w:pPr>
              <w:spacing w:line="276" w:lineRule="auto"/>
              <w:textAlignment w:val="baseline"/>
              <w:rPr>
                <w:rFonts w:ascii="宋体" w:hAnsi="宋体" w:cs="Times New Roman"/>
                <w:kern w:val="0"/>
              </w:rPr>
            </w:pPr>
            <w:r>
              <w:rPr>
                <w:rFonts w:ascii="宋体" w:hAnsi="宋体" w:cs="Times New Roman"/>
                <w:kern w:val="0"/>
              </w:rPr>
              <w:t>至少4个万兆光口；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09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并发连接数</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≥2000万；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新建连接数</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4层每秒新建连接数(CPS) 100万以上；</w:t>
            </w:r>
          </w:p>
          <w:p>
            <w:pPr>
              <w:spacing w:line="276" w:lineRule="auto"/>
              <w:textAlignment w:val="baseline"/>
              <w:rPr>
                <w:rFonts w:ascii="宋体" w:hAnsi="宋体" w:cs="Times New Roman"/>
                <w:kern w:val="0"/>
              </w:rPr>
            </w:pPr>
            <w:r>
              <w:rPr>
                <w:rFonts w:ascii="宋体" w:hAnsi="宋体" w:cs="Times New Roman"/>
                <w:kern w:val="0"/>
              </w:rPr>
              <w:t>7层每秒新建连接数（CPS）250万以上；</w:t>
            </w:r>
          </w:p>
          <w:p>
            <w:pPr>
              <w:spacing w:line="276" w:lineRule="auto"/>
              <w:textAlignment w:val="baseline"/>
              <w:rPr>
                <w:rFonts w:ascii="宋体" w:hAnsi="宋体" w:cs="Times New Roman"/>
                <w:kern w:val="0"/>
              </w:rPr>
            </w:pPr>
            <w:r>
              <w:rPr>
                <w:rFonts w:ascii="宋体" w:hAnsi="宋体" w:cs="Times New Roman"/>
                <w:kern w:val="0"/>
              </w:rPr>
              <w:t>SSL每秒新建连接数（CPS）3万以上；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电源</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配备冗余电源；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应用吞吐量</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应用吞吐量在≥10G；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09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功能</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至少支持服务器负载均衡，防火墙负载均衡；</w:t>
            </w:r>
          </w:p>
          <w:p>
            <w:pPr>
              <w:spacing w:line="276" w:lineRule="auto"/>
              <w:textAlignment w:val="baseline"/>
              <w:rPr>
                <w:rFonts w:ascii="宋体" w:hAnsi="宋体" w:cs="Times New Roman"/>
                <w:kern w:val="0"/>
              </w:rPr>
            </w:pPr>
            <w:r>
              <w:rPr>
                <w:rFonts w:ascii="宋体" w:hAnsi="宋体" w:cs="Times New Roman"/>
                <w:kern w:val="0"/>
              </w:rPr>
              <w:t>支持SSL加速；</w:t>
            </w:r>
          </w:p>
          <w:p>
            <w:pPr>
              <w:spacing w:line="276" w:lineRule="auto"/>
              <w:textAlignment w:val="baseline"/>
              <w:rPr>
                <w:rFonts w:ascii="宋体" w:hAnsi="宋体" w:cs="Times New Roman"/>
                <w:kern w:val="0"/>
              </w:rPr>
            </w:pPr>
            <w:r>
              <w:rPr>
                <w:rFonts w:ascii="宋体" w:hAnsi="宋体" w:cs="Times New Roman"/>
                <w:kern w:val="0"/>
              </w:rPr>
              <w:t>支持HTTP压缩；</w:t>
            </w:r>
          </w:p>
          <w:p>
            <w:pPr>
              <w:spacing w:line="276" w:lineRule="auto"/>
              <w:textAlignment w:val="baseline"/>
              <w:rPr>
                <w:rFonts w:ascii="宋体" w:hAnsi="宋体" w:cs="Times New Roman"/>
                <w:kern w:val="0"/>
              </w:rPr>
            </w:pPr>
            <w:r>
              <w:rPr>
                <w:rFonts w:ascii="宋体" w:hAnsi="宋体" w:cs="Times New Roman"/>
                <w:kern w:val="0"/>
              </w:rPr>
              <w:t>支持内容缓存；</w:t>
            </w:r>
          </w:p>
          <w:p>
            <w:pPr>
              <w:spacing w:line="276" w:lineRule="auto"/>
              <w:textAlignment w:val="baseline"/>
              <w:rPr>
                <w:rFonts w:ascii="宋体" w:hAnsi="宋体" w:cs="Times New Roman"/>
                <w:kern w:val="0"/>
              </w:rPr>
            </w:pPr>
            <w:r>
              <w:rPr>
                <w:rFonts w:ascii="宋体" w:hAnsi="宋体" w:cs="Times New Roman"/>
                <w:kern w:val="0"/>
              </w:rPr>
              <w:t>负载均衡设备虚拟化；</w:t>
            </w:r>
          </w:p>
          <w:p>
            <w:pPr>
              <w:spacing w:line="276" w:lineRule="auto"/>
              <w:textAlignment w:val="baseline"/>
              <w:rPr>
                <w:rFonts w:ascii="宋体" w:hAnsi="宋体" w:cs="Times New Roman"/>
                <w:kern w:val="0"/>
              </w:rPr>
            </w:pPr>
            <w:r>
              <w:rPr>
                <w:rFonts w:ascii="宋体" w:hAnsi="宋体" w:cs="Times New Roman"/>
                <w:kern w:val="0"/>
              </w:rPr>
              <w:t>支持高级健康检查；</w:t>
            </w:r>
          </w:p>
          <w:p>
            <w:pPr>
              <w:spacing w:line="276" w:lineRule="auto"/>
              <w:textAlignment w:val="baseline"/>
              <w:rPr>
                <w:rFonts w:ascii="宋体" w:hAnsi="宋体" w:cs="Times New Roman"/>
                <w:kern w:val="0"/>
              </w:rPr>
            </w:pPr>
            <w:r>
              <w:rPr>
                <w:rFonts w:ascii="宋体" w:hAnsi="宋体" w:cs="Times New Roman"/>
                <w:kern w:val="0"/>
              </w:rPr>
              <w:t>支持源地址和Cookie会话保持；</w:t>
            </w:r>
          </w:p>
          <w:p>
            <w:pPr>
              <w:spacing w:line="276" w:lineRule="auto"/>
              <w:textAlignment w:val="baseline"/>
              <w:rPr>
                <w:rFonts w:ascii="宋体" w:hAnsi="宋体" w:cs="Times New Roman"/>
                <w:kern w:val="0"/>
              </w:rPr>
            </w:pPr>
            <w:r>
              <w:rPr>
                <w:rFonts w:ascii="宋体" w:hAnsi="宋体" w:cs="Times New Roman"/>
                <w:kern w:val="0"/>
              </w:rPr>
              <w:t>支持IPV4/IPV6 Dual-Stack和NAT-PT功能；</w:t>
            </w:r>
          </w:p>
          <w:p>
            <w:pPr>
              <w:spacing w:line="276" w:lineRule="auto"/>
              <w:textAlignment w:val="baseline"/>
              <w:rPr>
                <w:rFonts w:ascii="宋体" w:hAnsi="宋体" w:cs="Times New Roman"/>
                <w:kern w:val="0"/>
              </w:rPr>
            </w:pPr>
            <w:r>
              <w:rPr>
                <w:rFonts w:ascii="宋体" w:hAnsi="宋体" w:cs="Times New Roman"/>
                <w:kern w:val="0"/>
              </w:rPr>
              <w:t>HA支持Active-Standby，Active-Active和N+1 Active等功能；</w:t>
            </w:r>
          </w:p>
          <w:p>
            <w:pPr>
              <w:spacing w:line="276" w:lineRule="auto"/>
              <w:textAlignment w:val="baseline"/>
              <w:rPr>
                <w:rFonts w:ascii="宋体" w:hAnsi="宋体" w:cs="Times New Roman"/>
                <w:kern w:val="0"/>
              </w:rPr>
            </w:pPr>
            <w:r>
              <w:rPr>
                <w:rFonts w:ascii="宋体" w:hAnsi="宋体" w:cs="Times New Roman"/>
                <w:kern w:val="0"/>
              </w:rPr>
              <w:t>工作模式支持透明模式和路由模式；</w:t>
            </w:r>
          </w:p>
          <w:p>
            <w:pPr>
              <w:spacing w:line="276" w:lineRule="auto"/>
              <w:textAlignment w:val="baseline"/>
              <w:rPr>
                <w:rFonts w:ascii="宋体" w:hAnsi="宋体" w:cs="Times New Roman"/>
                <w:kern w:val="0"/>
              </w:rPr>
            </w:pPr>
            <w:r>
              <w:rPr>
                <w:rFonts w:ascii="宋体" w:hAnsi="宋体" w:cs="Times New Roman"/>
                <w:kern w:val="0"/>
              </w:rPr>
              <w:t>HTTP压缩能力3Gbps以上；</w:t>
            </w:r>
          </w:p>
          <w:p>
            <w:pPr>
              <w:spacing w:line="276" w:lineRule="auto"/>
              <w:textAlignment w:val="baseline"/>
              <w:rPr>
                <w:rFonts w:ascii="宋体" w:hAnsi="宋体" w:cs="Times New Roman"/>
                <w:kern w:val="0"/>
              </w:rPr>
            </w:pPr>
            <w:r>
              <w:rPr>
                <w:rFonts w:ascii="宋体" w:hAnsi="宋体" w:cs="Times New Roman"/>
                <w:kern w:val="0"/>
              </w:rPr>
              <w:t>支持控制台，SSH，Telnet，HTTP/s；</w:t>
            </w:r>
          </w:p>
          <w:p>
            <w:pPr>
              <w:spacing w:line="276" w:lineRule="auto"/>
              <w:textAlignment w:val="baseline"/>
              <w:rPr>
                <w:rFonts w:ascii="宋体" w:hAnsi="宋体" w:cs="Times New Roman"/>
                <w:kern w:val="0"/>
              </w:rPr>
            </w:pPr>
            <w:r>
              <w:rPr>
                <w:rFonts w:ascii="宋体" w:hAnsi="宋体" w:cs="Times New Roman"/>
                <w:kern w:val="0"/>
              </w:rPr>
              <w:t>SNMP，Syslog，告警；</w:t>
            </w:r>
          </w:p>
          <w:p>
            <w:pPr>
              <w:spacing w:line="276" w:lineRule="auto"/>
              <w:textAlignment w:val="baseline"/>
              <w:rPr>
                <w:rFonts w:ascii="宋体" w:hAnsi="宋体" w:cs="Times New Roman"/>
                <w:kern w:val="0"/>
              </w:rPr>
            </w:pPr>
            <w:r>
              <w:rPr>
                <w:rFonts w:ascii="宋体" w:hAnsi="宋体" w:cs="Times New Roman"/>
                <w:kern w:val="0"/>
              </w:rPr>
              <w:t>中文用户图形界面（GUI）；</w:t>
            </w:r>
          </w:p>
          <w:p>
            <w:pPr>
              <w:spacing w:line="276" w:lineRule="auto"/>
              <w:textAlignment w:val="baseline"/>
              <w:rPr>
                <w:rFonts w:ascii="宋体" w:hAnsi="宋体" w:cs="Times New Roman"/>
                <w:kern w:val="0"/>
              </w:rPr>
            </w:pPr>
            <w:r>
              <w:rPr>
                <w:rFonts w:ascii="宋体" w:hAnsi="宋体" w:cs="Times New Roman"/>
                <w:kern w:val="0"/>
              </w:rPr>
              <w:t>端口镜像；</w:t>
            </w:r>
          </w:p>
          <w:p>
            <w:pPr>
              <w:spacing w:line="276" w:lineRule="auto"/>
              <w:textAlignment w:val="baseline"/>
              <w:rPr>
                <w:rFonts w:ascii="宋体" w:hAnsi="宋体" w:cs="Times New Roman"/>
                <w:kern w:val="0"/>
              </w:rPr>
            </w:pPr>
            <w:r>
              <w:rPr>
                <w:rFonts w:ascii="宋体" w:hAnsi="宋体" w:cs="Times New Roman"/>
                <w:kern w:val="0"/>
              </w:rPr>
              <w:t>支持CLI命令行；</w:t>
            </w:r>
          </w:p>
        </w:tc>
      </w:tr>
    </w:tbl>
    <w:p>
      <w:pPr>
        <w:rPr>
          <w:rFonts w:ascii="宋体" w:hAnsi="宋体"/>
        </w:rPr>
      </w:pPr>
    </w:p>
    <w:p>
      <w:pPr>
        <w:pStyle w:val="3"/>
        <w:numPr>
          <w:ilvl w:val="1"/>
          <w:numId w:val="5"/>
        </w:numPr>
        <w:tabs>
          <w:tab w:val="clear" w:pos="840"/>
        </w:tabs>
        <w:ind w:left="720" w:hanging="720" w:hangingChars="200"/>
        <w:textAlignment w:val="auto"/>
        <w:rPr>
          <w:rFonts w:ascii="宋体" w:hAnsi="宋体"/>
          <w:lang w:eastAsia="zh-CN"/>
        </w:rPr>
      </w:pPr>
      <w:r>
        <w:rPr>
          <w:rFonts w:hint="eastAsia" w:ascii="宋体" w:hAnsi="宋体"/>
          <w:lang w:eastAsia="zh-CN"/>
        </w:rPr>
        <w:t>安全要求</w:t>
      </w:r>
      <w:bookmarkEnd w:id="27"/>
      <w:bookmarkEnd w:id="28"/>
    </w:p>
    <w:p>
      <w:pPr>
        <w:pStyle w:val="4"/>
        <w:numPr>
          <w:ilvl w:val="2"/>
          <w:numId w:val="5"/>
        </w:numPr>
        <w:spacing w:before="160" w:line="300" w:lineRule="exact"/>
        <w:ind w:left="420"/>
        <w:rPr>
          <w:rFonts w:ascii="宋体" w:hAnsi="宋体"/>
        </w:rPr>
      </w:pPr>
      <w:bookmarkStart w:id="29" w:name="_Toc34080403"/>
      <w:bookmarkStart w:id="30" w:name="_Toc34080587"/>
      <w:r>
        <w:rPr>
          <w:rFonts w:ascii="宋体" w:hAnsi="宋体"/>
        </w:rPr>
        <w:t>基本要求</w:t>
      </w:r>
      <w:bookmarkEnd w:id="29"/>
      <w:bookmarkEnd w:id="30"/>
    </w:p>
    <w:p>
      <w:pPr>
        <w:spacing w:line="276" w:lineRule="auto"/>
        <w:ind w:left="420" w:firstLine="420"/>
      </w:pPr>
      <w:r>
        <w:t>政务云平台应按网络安全等级保护基本要求第三级建设，满足《信息安全技术网络安全等级保护基本要求》（GB/T 22239-2019）第三级安全测评通用要求和云计算安全扩展要求、《信息安全技术 云计算服务安全能力要求》（GB/T 31168-2014）增强级。</w:t>
      </w:r>
    </w:p>
    <w:p>
      <w:pPr>
        <w:pStyle w:val="4"/>
        <w:numPr>
          <w:ilvl w:val="2"/>
          <w:numId w:val="5"/>
        </w:numPr>
        <w:spacing w:before="160" w:line="300" w:lineRule="exact"/>
        <w:ind w:left="420"/>
        <w:rPr>
          <w:rFonts w:ascii="宋体" w:hAnsi="宋体"/>
        </w:rPr>
      </w:pPr>
      <w:bookmarkStart w:id="31" w:name="_Toc34080588"/>
      <w:bookmarkStart w:id="32" w:name="_Toc34080404"/>
      <w:r>
        <w:rPr>
          <w:rFonts w:ascii="宋体" w:hAnsi="宋体"/>
        </w:rPr>
        <w:t>平台安全要求</w:t>
      </w:r>
      <w:bookmarkEnd w:id="31"/>
      <w:bookmarkEnd w:id="32"/>
    </w:p>
    <w:p>
      <w:pPr>
        <w:spacing w:line="276" w:lineRule="auto"/>
        <w:ind w:left="420" w:firstLine="420"/>
      </w:pPr>
      <w:r>
        <w:rPr>
          <w:rFonts w:hint="eastAsia"/>
        </w:rPr>
        <w:t>中</w:t>
      </w:r>
      <w:r>
        <w:t>标人建设的政务云平台需满足包括但不限于如下安全要求：物理安全、网络安全、主机安全、云管理平台安全等。</w:t>
      </w:r>
    </w:p>
    <w:p>
      <w:pPr>
        <w:spacing w:line="276" w:lineRule="auto"/>
        <w:ind w:left="420" w:firstLine="420"/>
      </w:pPr>
      <w:r>
        <w:rPr>
          <w:rFonts w:hint="eastAsia"/>
        </w:rPr>
        <w:t>中</w:t>
      </w:r>
      <w:r>
        <w:t>标人提供的安全设备，在每个机房中的政务外网区和互联网区，都需要同等配置安装。</w:t>
      </w:r>
    </w:p>
    <w:p>
      <w:pPr>
        <w:widowControl/>
        <w:numPr>
          <w:ilvl w:val="0"/>
          <w:numId w:val="10"/>
        </w:numPr>
        <w:topLinePunct/>
        <w:adjustRightInd w:val="0"/>
        <w:snapToGrid w:val="0"/>
        <w:spacing w:before="160" w:after="160" w:line="276" w:lineRule="auto"/>
        <w:jc w:val="left"/>
        <w:rPr>
          <w:rFonts w:ascii="宋体" w:hAnsi="宋体"/>
        </w:rPr>
      </w:pPr>
      <w:r>
        <w:rPr>
          <w:rFonts w:ascii="宋体" w:hAnsi="宋体"/>
        </w:rPr>
        <w:t>物理安全：</w:t>
      </w:r>
      <w:r>
        <w:rPr>
          <w:rFonts w:hint="eastAsia" w:ascii="宋体" w:hAnsi="宋体"/>
        </w:rPr>
        <w:t>中</w:t>
      </w:r>
      <w:r>
        <w:rPr>
          <w:rFonts w:ascii="宋体" w:hAnsi="宋体"/>
        </w:rPr>
        <w:t>标人用于建设电子政务云服务中心的机房需满足国家A级（GB50174-2008）的安全要求，具备防盗窃和防破坏、防雷击、防火、防水和防潮、防静电、温湿度控制、电力供应等能力。</w:t>
      </w:r>
    </w:p>
    <w:p>
      <w:pPr>
        <w:widowControl/>
        <w:numPr>
          <w:ilvl w:val="0"/>
          <w:numId w:val="10"/>
        </w:numPr>
        <w:topLinePunct/>
        <w:adjustRightInd w:val="0"/>
        <w:snapToGrid w:val="0"/>
        <w:spacing w:before="160" w:after="160" w:line="276" w:lineRule="auto"/>
        <w:jc w:val="left"/>
        <w:rPr>
          <w:rFonts w:ascii="宋体" w:hAnsi="宋体"/>
        </w:rPr>
      </w:pPr>
      <w:r>
        <w:rPr>
          <w:rFonts w:ascii="宋体" w:hAnsi="宋体"/>
        </w:rPr>
        <w:t>网络安全：</w:t>
      </w:r>
      <w:r>
        <w:rPr>
          <w:rFonts w:hint="eastAsia" w:ascii="宋体" w:hAnsi="宋体"/>
        </w:rPr>
        <w:t>中</w:t>
      </w:r>
      <w:r>
        <w:rPr>
          <w:rFonts w:ascii="宋体" w:hAnsi="宋体"/>
        </w:rPr>
        <w:t>标人需针对政务云平台按照国家网络安全等级保护基本要求要求建立一套网络安全防护体系，对网络边界处提供访问控制、</w:t>
      </w:r>
      <w:r>
        <w:rPr>
          <w:rFonts w:hint="eastAsia" w:ascii="宋体" w:hAnsi="宋体"/>
          <w:lang w:val="en-US" w:eastAsia="zh-CN"/>
        </w:rPr>
        <w:t>DDoS防护、</w:t>
      </w:r>
      <w:r>
        <w:rPr>
          <w:rFonts w:ascii="宋体" w:hAnsi="宋体"/>
        </w:rPr>
        <w:t>病毒过滤、防攻击、防入侵、防篡改、内外网数据安全隔离交换等立体安全防护，保护平台内部网络通信安全。</w:t>
      </w:r>
    </w:p>
    <w:p>
      <w:pPr>
        <w:widowControl/>
        <w:numPr>
          <w:ilvl w:val="0"/>
          <w:numId w:val="11"/>
        </w:numPr>
        <w:topLinePunct/>
        <w:adjustRightInd w:val="0"/>
        <w:snapToGrid w:val="0"/>
        <w:spacing w:before="160" w:after="160" w:line="276" w:lineRule="auto"/>
        <w:ind w:left="1124" w:leftChars="400" w:hanging="284"/>
        <w:jc w:val="left"/>
      </w:pPr>
      <w:r>
        <w:t>访问控制：政务云平台在各网络边界处均应部署安全访问控制设备，包括防火墙、IPS、VPN网关、安全网关等，能根据会话状态信息为数据流提供明确的允许/拒绝访问的能力，控制粒度为端口级。支持按用户和系统之间的允许访问规则，允许或拒绝用户对受控系统进行资源访。控制粒度为单个用户，同时应通过VPN网关及软件系统应用功能实现对远程拨号访问权限的用户数量进行限制。支持云服务客户自行对网络访问控制规则进行配置。</w:t>
      </w:r>
    </w:p>
    <w:p>
      <w:pPr>
        <w:widowControl/>
        <w:numPr>
          <w:ilvl w:val="0"/>
          <w:numId w:val="11"/>
        </w:numPr>
        <w:topLinePunct/>
        <w:adjustRightInd w:val="0"/>
        <w:snapToGrid w:val="0"/>
        <w:spacing w:before="160" w:after="160" w:line="276" w:lineRule="auto"/>
        <w:ind w:left="1124" w:leftChars="400" w:hanging="284"/>
        <w:jc w:val="left"/>
      </w:pPr>
      <w:r>
        <w:rPr>
          <w:rFonts w:hint="eastAsia"/>
          <w:lang w:val="en-US" w:eastAsia="zh-CN"/>
        </w:rPr>
        <w:t>DDoS防护：中标人需在各互联网边界处部署云平台DDoS防护设备，根据流量情况结合骨干网抗DDOS防护确保云平台运行连续性。</w:t>
      </w:r>
    </w:p>
    <w:p>
      <w:pPr>
        <w:widowControl/>
        <w:numPr>
          <w:ilvl w:val="0"/>
          <w:numId w:val="11"/>
        </w:numPr>
        <w:topLinePunct/>
        <w:adjustRightInd w:val="0"/>
        <w:snapToGrid w:val="0"/>
        <w:spacing w:before="160" w:after="160" w:line="276" w:lineRule="auto"/>
        <w:ind w:left="1124" w:leftChars="400" w:hanging="284"/>
        <w:jc w:val="left"/>
      </w:pPr>
      <w:r>
        <w:t>安全审计：</w:t>
      </w:r>
      <w:r>
        <w:rPr>
          <w:rFonts w:hint="eastAsia"/>
        </w:rPr>
        <w:t>中</w:t>
      </w:r>
      <w:r>
        <w:t>标人需对政务云平台使用网络设备运行状况、网络流量、用户行为、特权命令等进行日志记录，能够根据记录数据进行分析并生成审计报表，同时对系统审计的记录进行有效安全保护，避免受到未预期的删除、修改或覆盖等不安全操作。</w:t>
      </w:r>
    </w:p>
    <w:p>
      <w:pPr>
        <w:widowControl/>
        <w:numPr>
          <w:ilvl w:val="0"/>
          <w:numId w:val="11"/>
        </w:numPr>
        <w:topLinePunct/>
        <w:adjustRightInd w:val="0"/>
        <w:snapToGrid w:val="0"/>
        <w:spacing w:before="160" w:after="160" w:line="276" w:lineRule="auto"/>
        <w:ind w:left="1124" w:leftChars="400" w:hanging="284"/>
        <w:jc w:val="left"/>
      </w:pPr>
      <w:r>
        <w:t>边界完整性检查：</w:t>
      </w:r>
      <w:r>
        <w:rPr>
          <w:rFonts w:hint="eastAsia"/>
        </w:rPr>
        <w:t>中</w:t>
      </w:r>
      <w:r>
        <w:t>标人通过部署网络行为管理系统、安全审计系统应能够对非授权设备私自连到内部网络的行为及内部网络用户私自连到外部网络的行为进行检查，能根据用户信息、主机信息、IP信息等准确定出非法互联位置，并对其进行有效的网络阻断控制。</w:t>
      </w:r>
    </w:p>
    <w:p>
      <w:pPr>
        <w:widowControl/>
        <w:numPr>
          <w:ilvl w:val="0"/>
          <w:numId w:val="11"/>
        </w:numPr>
        <w:topLinePunct/>
        <w:adjustRightInd w:val="0"/>
        <w:snapToGrid w:val="0"/>
        <w:spacing w:before="160" w:after="160" w:line="276" w:lineRule="auto"/>
        <w:ind w:left="1124" w:leftChars="400" w:hanging="284"/>
        <w:jc w:val="left"/>
      </w:pPr>
      <w:r>
        <w:t>入侵防范：配备有IDS或IPS入侵防范、检测系统或安全网关系统，实现的实时防范功能应包括：端口扫描、强力攻击、木马后门攻击、拒绝服务攻击、缓冲区溢出攻击、IP碎片攻击和网络蠕虫攻击等非法网络攻击行为，当检测到攻击行为时，系统将详细记录相关信息，同时在发生严重入侵事件时具备报警、记录功能。</w:t>
      </w:r>
    </w:p>
    <w:p>
      <w:pPr>
        <w:widowControl/>
        <w:numPr>
          <w:ilvl w:val="0"/>
          <w:numId w:val="11"/>
        </w:numPr>
        <w:topLinePunct/>
        <w:adjustRightInd w:val="0"/>
        <w:snapToGrid w:val="0"/>
        <w:spacing w:before="160" w:after="160" w:line="276" w:lineRule="auto"/>
        <w:ind w:left="1124" w:leftChars="400" w:hanging="284"/>
        <w:jc w:val="left"/>
      </w:pPr>
      <w:r>
        <w:t>恶意代码防范：</w:t>
      </w:r>
      <w:r>
        <w:rPr>
          <w:rFonts w:hint="eastAsia"/>
        </w:rPr>
        <w:t>中</w:t>
      </w:r>
      <w:r>
        <w:t>标人在网络的边界处对各种恶意代码进行检测和清除功能，系统应支持自动及手工方式对恶意代码库的升级和检测系统的更新功能。</w:t>
      </w:r>
    </w:p>
    <w:p>
      <w:pPr>
        <w:widowControl/>
        <w:numPr>
          <w:ilvl w:val="0"/>
          <w:numId w:val="11"/>
        </w:numPr>
        <w:topLinePunct/>
        <w:adjustRightInd w:val="0"/>
        <w:snapToGrid w:val="0"/>
        <w:spacing w:before="160" w:after="160" w:line="276" w:lineRule="auto"/>
        <w:ind w:left="1124" w:leftChars="400" w:hanging="284"/>
        <w:jc w:val="left"/>
      </w:pPr>
      <w:r>
        <w:t>网络设备防护：</w:t>
      </w:r>
      <w:r>
        <w:rPr>
          <w:rFonts w:hint="eastAsia"/>
        </w:rPr>
        <w:t>中</w:t>
      </w:r>
      <w:r>
        <w:t>标人所使用的网络设备均应支持对登录用户的身份鉴别功能，支持采用加密用户口令鉴、RADIUS身份认证等方式，可通过命令行、Web、中文图形化配置软件等方式进行配置和管理，并可通过ACL访问控制列表的方式实现对网络设备的管理员登录地址进行限制，所有网络设备用户均应具备唯一标识。</w:t>
      </w:r>
    </w:p>
    <w:p>
      <w:pPr>
        <w:widowControl/>
        <w:numPr>
          <w:ilvl w:val="0"/>
          <w:numId w:val="10"/>
        </w:numPr>
        <w:topLinePunct/>
        <w:adjustRightInd w:val="0"/>
        <w:snapToGrid w:val="0"/>
        <w:spacing w:before="160" w:after="160" w:line="276" w:lineRule="auto"/>
        <w:jc w:val="left"/>
        <w:rPr>
          <w:rFonts w:ascii="宋体" w:hAnsi="宋体"/>
        </w:rPr>
      </w:pPr>
      <w:r>
        <w:rPr>
          <w:rFonts w:ascii="宋体" w:hAnsi="宋体"/>
        </w:rPr>
        <w:t>主机安全：对主机的物理安全摆放位置，主机访问控制方面进行保护。</w:t>
      </w:r>
    </w:p>
    <w:p>
      <w:pPr>
        <w:widowControl/>
        <w:numPr>
          <w:ilvl w:val="0"/>
          <w:numId w:val="12"/>
        </w:numPr>
        <w:topLinePunct/>
        <w:adjustRightInd w:val="0"/>
        <w:snapToGrid w:val="0"/>
        <w:spacing w:before="160" w:after="160" w:line="276" w:lineRule="auto"/>
        <w:ind w:left="1124" w:leftChars="400" w:hanging="284"/>
        <w:jc w:val="left"/>
      </w:pPr>
      <w:r>
        <w:t>主机访问控制：主机系统应启用主机系统的访问控制功能，依据安全策略控制用户对资源的访问权限，通过系统的技术维护措施严格限制默认账户的访问权限，对重要信息资源设置敏感标记，并依据安全策略严格控制用户对有敏感标记重要信息资源的操作。</w:t>
      </w:r>
    </w:p>
    <w:p>
      <w:pPr>
        <w:widowControl/>
        <w:numPr>
          <w:ilvl w:val="0"/>
          <w:numId w:val="12"/>
        </w:numPr>
        <w:topLinePunct/>
        <w:adjustRightInd w:val="0"/>
        <w:snapToGrid w:val="0"/>
        <w:spacing w:before="160" w:after="160" w:line="276" w:lineRule="auto"/>
        <w:ind w:left="1124" w:leftChars="400" w:hanging="284"/>
        <w:jc w:val="left"/>
      </w:pPr>
      <w:r>
        <w:rPr>
          <w:rFonts w:hint="eastAsia"/>
          <w:lang w:val="en-US" w:eastAsia="zh-CN"/>
        </w:rPr>
        <w:t>资产管理：支持展示主机中的账号、开放端口、进程、软件、自启动项等信息。</w:t>
      </w:r>
    </w:p>
    <w:p>
      <w:pPr>
        <w:widowControl/>
        <w:numPr>
          <w:ilvl w:val="0"/>
          <w:numId w:val="12"/>
        </w:numPr>
        <w:topLinePunct/>
        <w:adjustRightInd w:val="0"/>
        <w:snapToGrid w:val="0"/>
        <w:spacing w:before="160" w:after="160" w:line="276" w:lineRule="auto"/>
        <w:ind w:left="1124" w:leftChars="400" w:hanging="284"/>
        <w:jc w:val="left"/>
      </w:pPr>
      <w:r>
        <w:rPr>
          <w:rFonts w:hint="eastAsia"/>
          <w:lang w:val="en-US" w:eastAsia="zh-CN"/>
        </w:rPr>
        <w:t>漏洞处理：支持漏洞检测、漏洞检测结果现实、漏洞具体信息展示和漏洞处置，漏洞信息显示包含漏洞名称、风险程度、漏洞描述、修复建议和漏洞详情，漏洞处置包括忽略、取消忽略、批量主机一键修复和验证。</w:t>
      </w:r>
    </w:p>
    <w:p>
      <w:pPr>
        <w:widowControl/>
        <w:numPr>
          <w:ilvl w:val="0"/>
          <w:numId w:val="12"/>
        </w:numPr>
        <w:topLinePunct/>
        <w:adjustRightInd w:val="0"/>
        <w:snapToGrid w:val="0"/>
        <w:spacing w:before="160" w:after="160" w:line="276" w:lineRule="auto"/>
        <w:ind w:left="1124" w:leftChars="400" w:hanging="284"/>
        <w:jc w:val="left"/>
      </w:pPr>
      <w:r>
        <w:rPr>
          <w:rFonts w:hint="eastAsia"/>
          <w:lang w:val="en-US" w:eastAsia="zh-CN"/>
        </w:rPr>
        <w:t>基线检查：口令复杂度策略检测支持口令复杂度策略检测和结果显示，给出修改建议，帮助用户提升口令安全性。支持检测系统账号口令是否属于常见的弱口令，防止账户口令被轻易猜解。支持检测常见应用不安全配置项的检测。</w:t>
      </w:r>
    </w:p>
    <w:p>
      <w:pPr>
        <w:widowControl/>
        <w:numPr>
          <w:ilvl w:val="0"/>
          <w:numId w:val="12"/>
        </w:numPr>
        <w:topLinePunct/>
        <w:adjustRightInd w:val="0"/>
        <w:snapToGrid w:val="0"/>
        <w:spacing w:before="160" w:after="160" w:line="276" w:lineRule="auto"/>
        <w:ind w:left="1124" w:leftChars="400" w:hanging="284"/>
        <w:jc w:val="left"/>
      </w:pPr>
      <w:r>
        <w:rPr>
          <w:rFonts w:hint="eastAsia"/>
          <w:lang w:val="en-US" w:eastAsia="zh-CN"/>
        </w:rPr>
        <w:t>入侵检测：支持高危命令执行检测，支持恶意程序检测、WebShell、反弹Shell检测、进程异常、暴力破解等检测能力。</w:t>
      </w:r>
    </w:p>
    <w:p>
      <w:pPr>
        <w:widowControl/>
        <w:numPr>
          <w:ilvl w:val="0"/>
          <w:numId w:val="10"/>
        </w:numPr>
        <w:topLinePunct/>
        <w:adjustRightInd w:val="0"/>
        <w:snapToGrid w:val="0"/>
        <w:spacing w:before="160" w:after="160" w:line="276" w:lineRule="auto"/>
        <w:jc w:val="left"/>
        <w:rPr>
          <w:rFonts w:ascii="宋体" w:hAnsi="宋体"/>
        </w:rPr>
      </w:pPr>
      <w:r>
        <w:rPr>
          <w:rFonts w:ascii="宋体" w:hAnsi="宋体"/>
        </w:rPr>
        <w:t>云管理平台安全：包括虚拟化及云运维管理平台的安全保护，支持物理资源与虚拟资源统一管理。</w:t>
      </w:r>
    </w:p>
    <w:p>
      <w:pPr>
        <w:widowControl/>
        <w:numPr>
          <w:ilvl w:val="0"/>
          <w:numId w:val="13"/>
        </w:numPr>
        <w:topLinePunct/>
        <w:adjustRightInd w:val="0"/>
        <w:snapToGrid w:val="0"/>
        <w:spacing w:before="160" w:after="160" w:line="276" w:lineRule="auto"/>
        <w:ind w:left="1124" w:leftChars="400" w:hanging="284"/>
        <w:jc w:val="left"/>
      </w:pPr>
      <w:r>
        <w:t>虚拟化安全：支持有代理或者无代理安全方式进行虚拟环境的整体防护；整体的虚拟化安全措施应避免“病毒风暴”。</w:t>
      </w:r>
    </w:p>
    <w:p>
      <w:pPr>
        <w:widowControl/>
        <w:numPr>
          <w:ilvl w:val="0"/>
          <w:numId w:val="13"/>
        </w:numPr>
        <w:topLinePunct/>
        <w:adjustRightInd w:val="0"/>
        <w:snapToGrid w:val="0"/>
        <w:spacing w:before="160" w:after="160" w:line="276" w:lineRule="auto"/>
        <w:ind w:left="1124" w:leftChars="400" w:hanging="284"/>
        <w:jc w:val="left"/>
      </w:pPr>
      <w:r>
        <w:t>政务云平台安全：如果云运维管理平台需要数据库的支持，应保护好云</w:t>
      </w:r>
      <w:r>
        <w:rPr>
          <w:rFonts w:ascii="宋体" w:hAnsi="宋体"/>
        </w:rPr>
        <w:t>运维</w:t>
      </w:r>
      <w:r>
        <w:t>管理平台的数据库安全，设置强壮复杂的密码策略、备份数据库和配置相关的网络安全服务；云</w:t>
      </w:r>
      <w:r>
        <w:rPr>
          <w:rFonts w:ascii="宋体" w:hAnsi="宋体"/>
        </w:rPr>
        <w:t>运维</w:t>
      </w:r>
      <w:r>
        <w:t>管理平台的访问许可应加强管理，删除不需要的用户账号；安装云</w:t>
      </w:r>
      <w:r>
        <w:rPr>
          <w:rFonts w:ascii="宋体" w:hAnsi="宋体"/>
        </w:rPr>
        <w:t>运维</w:t>
      </w:r>
      <w:r>
        <w:t>管理平台软件的操作系统需设置安全策略。</w:t>
      </w:r>
    </w:p>
    <w:p>
      <w:pPr>
        <w:widowControl/>
        <w:numPr>
          <w:ilvl w:val="0"/>
          <w:numId w:val="13"/>
        </w:numPr>
        <w:topLinePunct/>
        <w:adjustRightInd w:val="0"/>
        <w:snapToGrid w:val="0"/>
        <w:spacing w:before="160" w:after="160" w:line="276" w:lineRule="auto"/>
        <w:ind w:left="1124" w:leftChars="400" w:hanging="284"/>
        <w:jc w:val="left"/>
      </w:pPr>
      <w:r>
        <w:t>政务云平台访问控制安全：用户在访问政务云平台资源过程中支持使用数字证书进行身份认证，包括但不限于中标人维护人员、委办局操作人员、政务云管理单位监管人员，且数字证书的介质购买和服务费由中标人提供。</w:t>
      </w:r>
    </w:p>
    <w:p>
      <w:pPr>
        <w:widowControl/>
        <w:numPr>
          <w:ilvl w:val="0"/>
          <w:numId w:val="10"/>
        </w:numPr>
        <w:topLinePunct/>
        <w:adjustRightInd w:val="0"/>
        <w:snapToGrid w:val="0"/>
        <w:spacing w:before="160" w:after="160" w:line="276" w:lineRule="auto"/>
        <w:jc w:val="left"/>
        <w:rPr>
          <w:rFonts w:ascii="宋体" w:hAnsi="宋体"/>
        </w:rPr>
      </w:pPr>
      <w:r>
        <w:rPr>
          <w:rFonts w:ascii="宋体" w:hAnsi="宋体"/>
        </w:rPr>
        <w:t>委办局单位部署在政务云平台中的应用系统在执行国家及本市有关电子政务信息安全管理办法的过程中，若发现重大安全事故或者安全隐患时，中标人需要配合进行安全整改。</w:t>
      </w:r>
    </w:p>
    <w:p>
      <w:pPr>
        <w:spacing w:line="276" w:lineRule="auto"/>
      </w:pPr>
    </w:p>
    <w:p>
      <w:pPr>
        <w:pStyle w:val="4"/>
        <w:numPr>
          <w:ilvl w:val="2"/>
          <w:numId w:val="5"/>
        </w:numPr>
        <w:spacing w:before="160" w:line="300" w:lineRule="exact"/>
        <w:ind w:left="420"/>
        <w:rPr>
          <w:rFonts w:ascii="宋体" w:hAnsi="宋体"/>
        </w:rPr>
      </w:pPr>
      <w:bookmarkStart w:id="33" w:name="_Toc34080405"/>
      <w:bookmarkStart w:id="34" w:name="_Toc34080589"/>
      <w:bookmarkStart w:id="35" w:name="_Toc32419947"/>
      <w:r>
        <w:rPr>
          <w:rFonts w:ascii="宋体" w:hAnsi="宋体"/>
        </w:rPr>
        <w:t>安全设备要求</w:t>
      </w:r>
      <w:bookmarkEnd w:id="33"/>
      <w:bookmarkEnd w:id="34"/>
    </w:p>
    <w:p>
      <w:pPr>
        <w:spacing w:line="276" w:lineRule="auto"/>
        <w:ind w:firstLine="420"/>
      </w:pPr>
      <w:r>
        <w:t>政务云平台使用的安全服务设备配置和性能不得低于以下参考标准，可以由同一台和多台设备实现。</w:t>
      </w:r>
    </w:p>
    <w:p>
      <w:pPr>
        <w:spacing w:line="276" w:lineRule="auto"/>
      </w:pPr>
    </w:p>
    <w:tbl>
      <w:tblPr>
        <w:tblStyle w:val="12"/>
        <w:tblW w:w="460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20"/>
        <w:gridCol w:w="63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000" w:type="pct"/>
            <w:gridSpan w:val="3"/>
            <w:vAlign w:val="center"/>
          </w:tcPr>
          <w:p>
            <w:pPr>
              <w:spacing w:line="276" w:lineRule="auto"/>
              <w:rPr>
                <w:rFonts w:ascii="宋体" w:hAnsi="宋体"/>
                <w:b/>
              </w:rPr>
            </w:pPr>
            <w:r>
              <w:rPr>
                <w:rFonts w:ascii="宋体" w:hAnsi="宋体"/>
                <w:b/>
              </w:rPr>
              <w:t>用途：边界防火墙</w:t>
            </w:r>
            <w:r>
              <w:rPr>
                <w:rFonts w:ascii="Calibri"/>
              </w:rPr>
              <w:t xml:space="preserve"> </w:t>
            </w:r>
            <w:r>
              <w:rPr>
                <w:rFonts w:ascii="宋体" w:hAnsi="宋体"/>
                <w:b/>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35" w:type="pct"/>
            <w:gridSpan w:val="2"/>
            <w:shd w:val="clear" w:color="auto" w:fill="BFBFBF"/>
            <w:vAlign w:val="center"/>
          </w:tcPr>
          <w:p>
            <w:pPr>
              <w:spacing w:line="276" w:lineRule="auto"/>
              <w:rPr>
                <w:rFonts w:ascii="宋体" w:hAnsi="宋体"/>
                <w:b/>
              </w:rPr>
            </w:pPr>
            <w:r>
              <w:rPr>
                <w:rFonts w:ascii="宋体" w:hAnsi="宋体"/>
                <w:b/>
              </w:rPr>
              <w:t>指标项</w:t>
            </w:r>
          </w:p>
        </w:tc>
        <w:tc>
          <w:tcPr>
            <w:tcW w:w="4065" w:type="pct"/>
            <w:shd w:val="clear" w:color="auto" w:fill="BFBFBF"/>
            <w:vAlign w:val="center"/>
          </w:tcPr>
          <w:p>
            <w:pPr>
              <w:spacing w:line="276" w:lineRule="auto"/>
              <w:rPr>
                <w:rFonts w:ascii="宋体" w:hAnsi="宋体"/>
                <w:b/>
              </w:rPr>
            </w:pPr>
            <w:r>
              <w:rPr>
                <w:rFonts w:ascii="宋体" w:hAnsi="宋体"/>
                <w:b/>
              </w:rPr>
              <w:t>指标要求（除特别说明外，以下为单台设备的配置要求）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2"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接口</w:t>
            </w:r>
          </w:p>
        </w:tc>
        <w:tc>
          <w:tcPr>
            <w:tcW w:w="4078" w:type="pct"/>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≥16个10GE+4个40GE/100GE；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2"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扩展接口</w:t>
            </w:r>
          </w:p>
        </w:tc>
        <w:tc>
          <w:tcPr>
            <w:tcW w:w="4078" w:type="pct"/>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可通过扩展插槽网络接口；整机槽位数≥4；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2"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吞吐量</w:t>
            </w:r>
          </w:p>
        </w:tc>
        <w:tc>
          <w:tcPr>
            <w:tcW w:w="4078" w:type="pct"/>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IPv4≥480Gbps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2"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并发数</w:t>
            </w:r>
          </w:p>
        </w:tc>
        <w:tc>
          <w:tcPr>
            <w:tcW w:w="4078" w:type="pct"/>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≥3</w:t>
            </w:r>
            <w:r>
              <w:rPr>
                <w:rFonts w:hint="eastAsia" w:ascii="宋体" w:hAnsi="宋体" w:cs="Times New Roman"/>
              </w:rPr>
              <w:t>.</w:t>
            </w:r>
            <w:r>
              <w:rPr>
                <w:rFonts w:ascii="宋体" w:hAnsi="宋体" w:cs="Times New Roman"/>
              </w:rPr>
              <w:t xml:space="preserve">2 </w:t>
            </w:r>
            <w:r>
              <w:rPr>
                <w:rFonts w:hint="eastAsia" w:ascii="宋体" w:hAnsi="宋体" w:cs="Times New Roman"/>
              </w:rPr>
              <w:t>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2"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新建连接数</w:t>
            </w:r>
          </w:p>
        </w:tc>
        <w:tc>
          <w:tcPr>
            <w:tcW w:w="4078" w:type="pct"/>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≥800万/秒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2"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虚拟化</w:t>
            </w:r>
          </w:p>
        </w:tc>
        <w:tc>
          <w:tcPr>
            <w:tcW w:w="4078" w:type="pct"/>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配置可以与核心网络设备兼容的虚拟防火墙；支持不低于1000个虚拟系统。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2"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攻击防范</w:t>
            </w:r>
          </w:p>
        </w:tc>
        <w:tc>
          <w:tcPr>
            <w:tcW w:w="4078" w:type="pct"/>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提供ARP欺骗攻击、TCP报文标志位不合法攻击、Large ICMP报文攻击、地址扫描攻击和端口扫描攻击等多种恶意攻击，同时支持黑名单、MAC绑定、内容过滤等功能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2"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lang w:val="en-GB"/>
              </w:rPr>
              <w:t>增强状态安全过滤</w:t>
            </w:r>
          </w:p>
        </w:tc>
        <w:tc>
          <w:tcPr>
            <w:tcW w:w="4078" w:type="pct"/>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实现</w:t>
            </w:r>
            <w:r>
              <w:rPr>
                <w:rFonts w:ascii="宋体" w:hAnsi="宋体" w:cs="Times New Roman"/>
                <w:lang w:val="en-GB"/>
              </w:rPr>
              <w:t>基础、扩展和基于接口的状态检测包过滤技术；支持对每一个连接状态信息的维护监测并动态地过滤数据包，支持对应用层协议的状态监控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935" w:type="pct"/>
            <w:gridSpan w:val="2"/>
            <w:vAlign w:val="center"/>
          </w:tcPr>
          <w:p>
            <w:pPr>
              <w:spacing w:line="276" w:lineRule="auto"/>
              <w:rPr>
                <w:rFonts w:ascii="宋体" w:hAnsi="宋体"/>
                <w:bCs/>
              </w:rPr>
            </w:pPr>
            <w:r>
              <w:rPr>
                <w:rFonts w:ascii="宋体" w:hAnsi="宋体" w:cs="Times New Roman"/>
              </w:rPr>
              <w:t>硬件要求</w:t>
            </w:r>
          </w:p>
        </w:tc>
        <w:tc>
          <w:tcPr>
            <w:tcW w:w="4065" w:type="pct"/>
            <w:vAlign w:val="center"/>
          </w:tcPr>
          <w:p>
            <w:pPr>
              <w:rPr>
                <w:rFonts w:ascii="宋体" w:hAnsi="宋体" w:cs="Times New Roman"/>
              </w:rPr>
            </w:pPr>
            <w:r>
              <w:rPr>
                <w:rFonts w:ascii="宋体" w:hAnsi="宋体" w:cs="Times New Roman"/>
              </w:rPr>
              <w:t>实配双主控，双电源，保障设备可靠性；风扇和风扇框都需要采用冗余设计；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 w:hRule="atLeast"/>
          <w:jc w:val="center"/>
        </w:trPr>
        <w:tc>
          <w:tcPr>
            <w:tcW w:w="935" w:type="pct"/>
            <w:gridSpan w:val="2"/>
            <w:vAlign w:val="center"/>
          </w:tcPr>
          <w:p>
            <w:pPr>
              <w:spacing w:line="276" w:lineRule="auto"/>
              <w:rPr>
                <w:rFonts w:ascii="宋体" w:hAnsi="宋体"/>
                <w:bCs/>
              </w:rPr>
            </w:pPr>
            <w:r>
              <w:rPr>
                <w:rFonts w:ascii="宋体" w:hAnsi="宋体" w:cs="Times New Roman"/>
              </w:rPr>
              <w:t>可靠性</w:t>
            </w:r>
          </w:p>
        </w:tc>
        <w:tc>
          <w:tcPr>
            <w:tcW w:w="4065" w:type="pct"/>
            <w:vAlign w:val="center"/>
          </w:tcPr>
          <w:p>
            <w:pPr>
              <w:spacing w:line="276" w:lineRule="auto"/>
              <w:rPr>
                <w:rFonts w:ascii="宋体" w:hAnsi="宋体"/>
                <w:bCs/>
              </w:rPr>
            </w:pPr>
            <w:r>
              <w:rPr>
                <w:rFonts w:ascii="宋体" w:hAnsi="宋体" w:cs="Times New Roman"/>
              </w:rPr>
              <w:t>支持BFD链路检测，支持BFD与VRRP联动实现双机快速切换，支持BFD与OSPF联动实现双机快速切换；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jc w:val="center"/>
        </w:trPr>
        <w:tc>
          <w:tcPr>
            <w:tcW w:w="935" w:type="pct"/>
            <w:gridSpan w:val="2"/>
            <w:vAlign w:val="center"/>
          </w:tcPr>
          <w:p>
            <w:pPr>
              <w:spacing w:line="276" w:lineRule="auto"/>
              <w:rPr>
                <w:rFonts w:ascii="宋体" w:hAnsi="宋体"/>
                <w:bCs/>
              </w:rPr>
            </w:pPr>
            <w:r>
              <w:rPr>
                <w:rFonts w:ascii="宋体" w:hAnsi="宋体" w:cs="Times New Roman"/>
              </w:rPr>
              <w:t>IPV6</w:t>
            </w:r>
          </w:p>
        </w:tc>
        <w:tc>
          <w:tcPr>
            <w:tcW w:w="4065" w:type="pct"/>
            <w:vAlign w:val="center"/>
          </w:tcPr>
          <w:p>
            <w:pPr>
              <w:spacing w:line="276" w:lineRule="auto"/>
              <w:rPr>
                <w:rFonts w:ascii="宋体" w:hAnsi="宋体"/>
                <w:bCs/>
              </w:rPr>
            </w:pPr>
            <w:r>
              <w:rPr>
                <w:rFonts w:ascii="宋体" w:hAnsi="宋体" w:cs="Times New Roman"/>
              </w:rPr>
              <w:t>支持IPv6协议栈、IPV6穿越技术、IPV6路由协议；支持IPv6 over IPv4 隧道，6RD隧道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935" w:type="pct"/>
            <w:gridSpan w:val="2"/>
            <w:vAlign w:val="center"/>
          </w:tcPr>
          <w:p>
            <w:pPr>
              <w:spacing w:line="276" w:lineRule="auto"/>
              <w:rPr>
                <w:rFonts w:ascii="宋体" w:hAnsi="宋体"/>
                <w:bCs/>
              </w:rPr>
            </w:pPr>
            <w:r>
              <w:rPr>
                <w:rFonts w:ascii="宋体" w:hAnsi="宋体" w:cs="Times New Roman"/>
              </w:rPr>
              <w:t>NAT</w:t>
            </w:r>
          </w:p>
        </w:tc>
        <w:tc>
          <w:tcPr>
            <w:tcW w:w="4065" w:type="pct"/>
            <w:vAlign w:val="center"/>
          </w:tcPr>
          <w:p>
            <w:pPr>
              <w:spacing w:line="276" w:lineRule="auto"/>
              <w:rPr>
                <w:rFonts w:ascii="宋体" w:hAnsi="宋体"/>
                <w:bCs/>
              </w:rPr>
            </w:pPr>
            <w:r>
              <w:rPr>
                <w:rFonts w:ascii="宋体" w:hAnsi="宋体" w:cs="Times New Roman"/>
              </w:rPr>
              <w:t>支持全面NAT功能，对多种应用层协议支持ALG功能；支持NAT66，NAT64</w:t>
            </w:r>
          </w:p>
        </w:tc>
      </w:tr>
    </w:tbl>
    <w:p>
      <w:pPr>
        <w:spacing w:line="276" w:lineRule="auto"/>
        <w:rPr>
          <w:rFonts w:ascii="宋体" w:hAnsi="宋体"/>
          <w:bCs/>
        </w:rPr>
      </w:pPr>
    </w:p>
    <w:tbl>
      <w:tblPr>
        <w:tblStyle w:val="12"/>
        <w:tblW w:w="4603" w:type="pct"/>
        <w:jc w:val="center"/>
        <w:tblLayout w:type="autofit"/>
        <w:tblCellMar>
          <w:top w:w="0" w:type="dxa"/>
          <w:left w:w="108" w:type="dxa"/>
          <w:bottom w:w="0" w:type="dxa"/>
          <w:right w:w="108" w:type="dxa"/>
        </w:tblCellMar>
      </w:tblPr>
      <w:tblGrid>
        <w:gridCol w:w="1713"/>
        <w:gridCol w:w="6132"/>
      </w:tblGrid>
      <w:tr>
        <w:trPr>
          <w:trHeight w:val="454" w:hRule="atLeast"/>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pPr>
              <w:spacing w:line="276" w:lineRule="auto"/>
            </w:pPr>
            <w:r>
              <w:rPr>
                <w:rFonts w:ascii="宋体" w:hAnsi="宋体"/>
                <w:b/>
              </w:rPr>
              <w:t>用途：专线防火墙</w:t>
            </w:r>
            <w:r>
              <w:rPr>
                <w:rFonts w:ascii="Calibri"/>
              </w:rPr>
              <w:t xml:space="preserve"> </w:t>
            </w:r>
          </w:p>
        </w:tc>
      </w:tr>
      <w:tr>
        <w:trPr>
          <w:trHeight w:val="285" w:hRule="atLeast"/>
          <w:jc w:val="center"/>
        </w:trPr>
        <w:tc>
          <w:tcPr>
            <w:tcW w:w="1092" w:type="pct"/>
            <w:tcBorders>
              <w:top w:val="single" w:color="auto" w:sz="4" w:space="0"/>
              <w:left w:val="single" w:color="auto" w:sz="4" w:space="0"/>
              <w:bottom w:val="single" w:color="auto" w:sz="4" w:space="0"/>
              <w:right w:val="single" w:color="auto" w:sz="4" w:space="0"/>
            </w:tcBorders>
            <w:shd w:val="clear" w:color="auto" w:fill="BFBFBF"/>
            <w:vAlign w:val="center"/>
          </w:tcPr>
          <w:p>
            <w:pPr>
              <w:spacing w:line="276" w:lineRule="auto"/>
              <w:rPr>
                <w:rFonts w:ascii="宋体" w:hAnsi="宋体"/>
                <w:b/>
              </w:rPr>
            </w:pPr>
            <w:r>
              <w:rPr>
                <w:rFonts w:ascii="宋体" w:hAnsi="宋体"/>
                <w:b/>
              </w:rPr>
              <w:t>指标项</w:t>
            </w:r>
          </w:p>
        </w:tc>
        <w:tc>
          <w:tcPr>
            <w:tcW w:w="3907" w:type="pct"/>
            <w:tcBorders>
              <w:top w:val="single" w:color="auto" w:sz="4" w:space="0"/>
              <w:left w:val="nil"/>
              <w:bottom w:val="single" w:color="auto" w:sz="4" w:space="0"/>
              <w:right w:val="single" w:color="auto" w:sz="4" w:space="0"/>
            </w:tcBorders>
            <w:shd w:val="clear" w:color="auto" w:fill="BFBFBF"/>
            <w:vAlign w:val="center"/>
          </w:tcPr>
          <w:p>
            <w:pPr>
              <w:spacing w:line="276" w:lineRule="auto"/>
              <w:rPr>
                <w:rFonts w:ascii="宋体" w:hAnsi="宋体"/>
                <w:b/>
              </w:rPr>
            </w:pPr>
            <w:r>
              <w:rPr>
                <w:rFonts w:ascii="宋体" w:hAnsi="宋体"/>
                <w:b/>
              </w:rPr>
              <w:t>指标要求（除特别说明外，以下为单台设备的配置要求）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092"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接口</w:t>
            </w:r>
          </w:p>
        </w:tc>
        <w:tc>
          <w:tcPr>
            <w:tcW w:w="3907"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≥2*10GE+4*GE电+4*GE光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092"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吞吐量</w:t>
            </w:r>
          </w:p>
        </w:tc>
        <w:tc>
          <w:tcPr>
            <w:tcW w:w="3907"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IPv4≥50Gbps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092"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并发数</w:t>
            </w:r>
          </w:p>
        </w:tc>
        <w:tc>
          <w:tcPr>
            <w:tcW w:w="3907"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≥2000万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092"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新建连接数</w:t>
            </w:r>
          </w:p>
        </w:tc>
        <w:tc>
          <w:tcPr>
            <w:tcW w:w="3907"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≥50万/秒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092"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虚拟化</w:t>
            </w:r>
          </w:p>
        </w:tc>
        <w:tc>
          <w:tcPr>
            <w:tcW w:w="3907"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配置可以与核心网络设备兼容的虚拟防火墙；支持不低于1000个虚拟系统。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092"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hAnsi="宋体"/>
              </w:rPr>
              <w:t>攻击防范</w:t>
            </w:r>
          </w:p>
        </w:tc>
        <w:tc>
          <w:tcPr>
            <w:tcW w:w="3907"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hAnsi="宋体"/>
              </w:rPr>
              <w:t>提供ARP欺骗攻击、TCP报文标志位不合法攻击、Large ICMP报文攻击、地址扫描攻击和端口扫描攻击等多种恶意攻击，同时支持黑名单、MAC绑定、内容过滤等功能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092"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hAnsi="宋体"/>
                <w:lang w:val="en-GB"/>
              </w:rPr>
              <w:t>增强状态安全过滤</w:t>
            </w:r>
          </w:p>
        </w:tc>
        <w:tc>
          <w:tcPr>
            <w:tcW w:w="3907"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hAnsi="宋体"/>
              </w:rPr>
              <w:t>实现</w:t>
            </w:r>
            <w:r>
              <w:rPr>
                <w:rFonts w:hAnsi="宋体"/>
                <w:lang w:val="en-GB"/>
              </w:rPr>
              <w:t>基础、扩展和基于接口的状态检测包过滤技术；支持对每一个连接状态信息的维护监测并动态地过滤数据包，支持对应用层协议的状态监控</w:t>
            </w:r>
          </w:p>
        </w:tc>
      </w:tr>
      <w:tr>
        <w:trPr>
          <w:trHeight w:val="70" w:hRule="atLeast"/>
          <w:jc w:val="center"/>
        </w:trPr>
        <w:tc>
          <w:tcPr>
            <w:tcW w:w="1092" w:type="pct"/>
            <w:tcBorders>
              <w:top w:val="nil"/>
              <w:left w:val="single" w:color="auto" w:sz="4" w:space="0"/>
              <w:bottom w:val="single" w:color="auto" w:sz="4" w:space="0"/>
              <w:right w:val="single" w:color="auto" w:sz="4" w:space="0"/>
            </w:tcBorders>
            <w:vAlign w:val="center"/>
          </w:tcPr>
          <w:p>
            <w:pPr>
              <w:spacing w:line="276" w:lineRule="auto"/>
              <w:rPr>
                <w:rFonts w:ascii="宋体" w:hAnsi="宋体"/>
                <w:bCs/>
              </w:rPr>
            </w:pPr>
            <w:r>
              <w:rPr>
                <w:rFonts w:ascii="宋体" w:hAnsi="宋体"/>
                <w:bCs/>
              </w:rPr>
              <w:t>入侵防御</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bCs/>
              </w:rPr>
            </w:pPr>
            <w:r>
              <w:rPr>
                <w:rFonts w:ascii="宋体" w:hAnsi="宋体"/>
                <w:bCs/>
              </w:rPr>
              <w:t>支持入侵防御功能。系统预定义IPS签名数量≥12000，支持用户自定义签名规则，支持正则表达式，支持对常见应用服务（HTTP、FTP、SSH、SMTP、IMAP）和数据库软件（MySQL、Oracle、MSSQL）的口令暴力破解防护功能；支持恶意域名过滤，实现对C&amp;C进行阻断</w:t>
            </w:r>
          </w:p>
        </w:tc>
      </w:tr>
      <w:tr>
        <w:trPr>
          <w:trHeight w:val="255" w:hRule="atLeast"/>
          <w:jc w:val="center"/>
        </w:trPr>
        <w:tc>
          <w:tcPr>
            <w:tcW w:w="1092" w:type="pct"/>
            <w:tcBorders>
              <w:top w:val="nil"/>
              <w:left w:val="single" w:color="auto" w:sz="4" w:space="0"/>
              <w:bottom w:val="single" w:color="auto" w:sz="4" w:space="0"/>
              <w:right w:val="single" w:color="auto" w:sz="4" w:space="0"/>
            </w:tcBorders>
            <w:vAlign w:val="center"/>
          </w:tcPr>
          <w:p>
            <w:pPr>
              <w:spacing w:line="276" w:lineRule="auto"/>
              <w:rPr>
                <w:rFonts w:ascii="宋体" w:hAnsi="宋体"/>
                <w:bCs/>
              </w:rPr>
            </w:pPr>
            <w:r>
              <w:rPr>
                <w:rFonts w:ascii="宋体" w:hAnsi="宋体"/>
                <w:bCs/>
              </w:rPr>
              <w:t>病毒防护</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bCs/>
              </w:rPr>
            </w:pPr>
            <w:r>
              <w:rPr>
                <w:rFonts w:ascii="宋体" w:hAnsi="宋体"/>
                <w:bCs/>
              </w:rPr>
              <w:t>支持病毒防护功能。病毒库数量≥500w，可以支持HTTP、FTP、SMTP、POP3、IMAP、NFS等协议的病毒防护</w:t>
            </w:r>
          </w:p>
        </w:tc>
      </w:tr>
      <w:tr>
        <w:trPr>
          <w:trHeight w:val="257" w:hRule="atLeast"/>
          <w:jc w:val="center"/>
        </w:trPr>
        <w:tc>
          <w:tcPr>
            <w:tcW w:w="1092" w:type="pct"/>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bCs/>
              </w:rPr>
            </w:pPr>
            <w:r>
              <w:rPr>
                <w:rFonts w:ascii="宋体" w:hAnsi="宋体" w:cs="Times New Roman"/>
              </w:rPr>
              <w:t>可靠性</w:t>
            </w:r>
          </w:p>
        </w:tc>
        <w:tc>
          <w:tcPr>
            <w:tcW w:w="3907" w:type="pct"/>
            <w:tcBorders>
              <w:top w:val="single" w:color="auto" w:sz="4" w:space="0"/>
              <w:left w:val="nil"/>
              <w:bottom w:val="single" w:color="auto" w:sz="4" w:space="0"/>
              <w:right w:val="single" w:color="auto" w:sz="4" w:space="0"/>
            </w:tcBorders>
            <w:vAlign w:val="center"/>
          </w:tcPr>
          <w:p>
            <w:pPr>
              <w:spacing w:line="276" w:lineRule="auto"/>
              <w:rPr>
                <w:rFonts w:ascii="宋体" w:hAnsi="宋体"/>
                <w:bCs/>
              </w:rPr>
            </w:pPr>
            <w:r>
              <w:rPr>
                <w:rFonts w:ascii="宋体" w:hAnsi="宋体" w:cs="Times New Roman"/>
              </w:rPr>
              <w:t>支持BFD链路检测，支持BFD与VRRP联动实现双机快速切换，支持BFD与OSPF联动实现双机快速切换；</w:t>
            </w:r>
          </w:p>
        </w:tc>
      </w:tr>
      <w:tr>
        <w:trPr>
          <w:trHeight w:val="355" w:hRule="atLeast"/>
          <w:jc w:val="center"/>
        </w:trPr>
        <w:tc>
          <w:tcPr>
            <w:tcW w:w="1092" w:type="pct"/>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bCs/>
              </w:rPr>
            </w:pPr>
            <w:r>
              <w:rPr>
                <w:rFonts w:ascii="宋体" w:hAnsi="宋体" w:cs="Times New Roman"/>
              </w:rPr>
              <w:t>IPV6</w:t>
            </w:r>
          </w:p>
        </w:tc>
        <w:tc>
          <w:tcPr>
            <w:tcW w:w="3907" w:type="pct"/>
            <w:tcBorders>
              <w:top w:val="single" w:color="auto" w:sz="4" w:space="0"/>
              <w:left w:val="nil"/>
              <w:bottom w:val="single" w:color="auto" w:sz="4" w:space="0"/>
              <w:right w:val="single" w:color="auto" w:sz="4" w:space="0"/>
            </w:tcBorders>
            <w:vAlign w:val="center"/>
          </w:tcPr>
          <w:p>
            <w:pPr>
              <w:spacing w:line="276" w:lineRule="auto"/>
              <w:rPr>
                <w:rFonts w:ascii="宋体" w:hAnsi="宋体"/>
                <w:bCs/>
              </w:rPr>
            </w:pPr>
            <w:r>
              <w:rPr>
                <w:rFonts w:ascii="宋体" w:hAnsi="宋体" w:cs="Times New Roman"/>
              </w:rPr>
              <w:t>支持IPv6协议栈、IPV6穿越技术、IPV6路由协议；支持IPv6 over IPv4 隧道，6RD隧道</w:t>
            </w:r>
          </w:p>
        </w:tc>
      </w:tr>
      <w:tr>
        <w:trPr>
          <w:trHeight w:val="539" w:hRule="atLeast"/>
          <w:jc w:val="center"/>
        </w:trPr>
        <w:tc>
          <w:tcPr>
            <w:tcW w:w="1092" w:type="pct"/>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bCs/>
              </w:rPr>
            </w:pPr>
            <w:r>
              <w:rPr>
                <w:rFonts w:ascii="宋体" w:hAnsi="宋体" w:cs="Times New Roman"/>
              </w:rPr>
              <w:t>NAT</w:t>
            </w:r>
          </w:p>
        </w:tc>
        <w:tc>
          <w:tcPr>
            <w:tcW w:w="3907" w:type="pct"/>
            <w:tcBorders>
              <w:top w:val="nil"/>
              <w:left w:val="nil"/>
              <w:bottom w:val="single" w:color="auto" w:sz="4" w:space="0"/>
              <w:right w:val="single" w:color="auto" w:sz="4" w:space="0"/>
            </w:tcBorders>
            <w:vAlign w:val="center"/>
          </w:tcPr>
          <w:p>
            <w:pPr>
              <w:spacing w:line="276" w:lineRule="auto"/>
              <w:rPr>
                <w:rFonts w:ascii="宋体" w:hAnsi="宋体"/>
                <w:bCs/>
              </w:rPr>
            </w:pPr>
            <w:r>
              <w:rPr>
                <w:rFonts w:ascii="宋体" w:hAnsi="宋体" w:cs="Times New Roman"/>
              </w:rPr>
              <w:t>支持全面NAT功能，对多种应用层协议支持ALG功能；支持NAT66，NAT64</w:t>
            </w:r>
          </w:p>
        </w:tc>
      </w:tr>
    </w:tbl>
    <w:p>
      <w:pPr>
        <w:spacing w:line="276" w:lineRule="auto"/>
      </w:pPr>
    </w:p>
    <w:tbl>
      <w:tblPr>
        <w:tblStyle w:val="12"/>
        <w:tblW w:w="4575" w:type="pct"/>
        <w:tblInd w:w="390" w:type="dxa"/>
        <w:tblLayout w:type="fixed"/>
        <w:tblCellMar>
          <w:top w:w="0" w:type="dxa"/>
          <w:left w:w="108" w:type="dxa"/>
          <w:bottom w:w="0" w:type="dxa"/>
          <w:right w:w="108" w:type="dxa"/>
        </w:tblCellMar>
      </w:tblPr>
      <w:tblGrid>
        <w:gridCol w:w="1416"/>
        <w:gridCol w:w="6382"/>
      </w:tblGrid>
      <w:tr>
        <w:tblPrEx>
          <w:tblCellMar>
            <w:top w:w="0" w:type="dxa"/>
            <w:left w:w="108" w:type="dxa"/>
            <w:bottom w:w="0" w:type="dxa"/>
            <w:right w:w="108" w:type="dxa"/>
          </w:tblCellMar>
        </w:tblPrEx>
        <w:trPr>
          <w:trHeight w:val="330" w:hRule="atLeast"/>
        </w:trPr>
        <w:tc>
          <w:tcPr>
            <w:tcW w:w="779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rPr>
                <w:rFonts w:hint="eastAsia" w:ascii="宋体" w:hAnsi="宋体" w:eastAsiaTheme="minorEastAsia"/>
                <w:b/>
                <w:lang w:val="en-US" w:eastAsia="zh-CN"/>
              </w:rPr>
            </w:pPr>
            <w:r>
              <w:rPr>
                <w:rFonts w:hint="eastAsia" w:ascii="宋体" w:hAnsi="宋体"/>
                <w:b/>
                <w:lang w:eastAsia="zh-CN"/>
              </w:rPr>
              <w:t>云平台</w:t>
            </w:r>
            <w:r>
              <w:rPr>
                <w:rFonts w:hint="eastAsia" w:ascii="宋体" w:hAnsi="宋体"/>
                <w:b/>
              </w:rPr>
              <w:t>D</w:t>
            </w:r>
            <w:r>
              <w:rPr>
                <w:rFonts w:ascii="宋体" w:hAnsi="宋体"/>
                <w:b/>
              </w:rPr>
              <w:t>D</w:t>
            </w:r>
            <w:r>
              <w:rPr>
                <w:rFonts w:hint="eastAsia" w:ascii="宋体" w:hAnsi="宋体"/>
                <w:b/>
              </w:rPr>
              <w:t>o</w:t>
            </w:r>
            <w:r>
              <w:rPr>
                <w:rFonts w:ascii="宋体" w:hAnsi="宋体"/>
                <w:b/>
              </w:rPr>
              <w:t>S</w:t>
            </w:r>
            <w:r>
              <w:rPr>
                <w:rFonts w:hint="eastAsia" w:ascii="宋体" w:hAnsi="宋体"/>
                <w:b/>
                <w:lang w:val="en-US" w:eastAsia="zh-CN"/>
              </w:rPr>
              <w:t>防护</w:t>
            </w:r>
          </w:p>
        </w:tc>
      </w:tr>
      <w:tr>
        <w:tblPrEx>
          <w:tblCellMar>
            <w:top w:w="0" w:type="dxa"/>
            <w:left w:w="108" w:type="dxa"/>
            <w:bottom w:w="0" w:type="dxa"/>
            <w:right w:w="108" w:type="dxa"/>
          </w:tblCellMar>
        </w:tblPrEx>
        <w:trPr>
          <w:trHeight w:val="330" w:hRule="atLeast"/>
        </w:trPr>
        <w:tc>
          <w:tcPr>
            <w:tcW w:w="1416" w:type="dxa"/>
            <w:tcBorders>
              <w:top w:val="single" w:color="auto" w:sz="4" w:space="0"/>
              <w:left w:val="single" w:color="auto" w:sz="4" w:space="0"/>
              <w:bottom w:val="single" w:color="auto" w:sz="4" w:space="0"/>
              <w:right w:val="single" w:color="auto" w:sz="4" w:space="0"/>
            </w:tcBorders>
            <w:shd w:val="clear" w:color="auto" w:fill="A5A5A5" w:themeFill="background1" w:themeFillShade="A6"/>
            <w:vAlign w:val="center"/>
          </w:tcPr>
          <w:p>
            <w:pPr>
              <w:spacing w:line="276" w:lineRule="auto"/>
              <w:rPr>
                <w:rFonts w:ascii="宋体" w:hAnsi="宋体"/>
                <w:b/>
              </w:rPr>
            </w:pPr>
            <w:r>
              <w:rPr>
                <w:rFonts w:ascii="宋体" w:hAnsi="宋体"/>
                <w:b/>
              </w:rPr>
              <w:t>指标项</w:t>
            </w:r>
          </w:p>
        </w:tc>
        <w:tc>
          <w:tcPr>
            <w:tcW w:w="6382" w:type="dxa"/>
            <w:tcBorders>
              <w:top w:val="single" w:color="auto" w:sz="4" w:space="0"/>
              <w:left w:val="nil"/>
              <w:bottom w:val="single" w:color="auto" w:sz="4" w:space="0"/>
              <w:right w:val="single" w:color="auto" w:sz="4" w:space="0"/>
            </w:tcBorders>
            <w:shd w:val="clear" w:color="auto" w:fill="A5A5A5" w:themeFill="background1" w:themeFillShade="A6"/>
            <w:vAlign w:val="center"/>
          </w:tcPr>
          <w:p>
            <w:pPr>
              <w:spacing w:line="276" w:lineRule="auto"/>
              <w:rPr>
                <w:rFonts w:hint="eastAsia" w:ascii="宋体" w:hAnsi="宋体"/>
                <w:b/>
              </w:rPr>
            </w:pPr>
            <w:r>
              <w:rPr>
                <w:rFonts w:ascii="宋体" w:hAnsi="宋体"/>
                <w:b/>
              </w:rPr>
              <w:t>指标要求</w:t>
            </w:r>
          </w:p>
        </w:tc>
      </w:tr>
      <w:tr>
        <w:tblPrEx>
          <w:tblCellMar>
            <w:top w:w="0" w:type="dxa"/>
            <w:left w:w="108" w:type="dxa"/>
            <w:bottom w:w="0" w:type="dxa"/>
            <w:right w:w="108" w:type="dxa"/>
          </w:tblCellMar>
        </w:tblPrEx>
        <w:trPr>
          <w:trHeight w:val="660" w:hRule="atLeast"/>
        </w:trPr>
        <w:tc>
          <w:tcPr>
            <w:tcW w:w="1416" w:type="dxa"/>
            <w:tcBorders>
              <w:top w:val="nil"/>
              <w:left w:val="single" w:color="auto" w:sz="4" w:space="0"/>
              <w:bottom w:val="single" w:color="auto" w:sz="4" w:space="0"/>
              <w:right w:val="single" w:color="auto" w:sz="4" w:space="0"/>
            </w:tcBorders>
            <w:shd w:val="clear" w:color="auto" w:fill="auto"/>
            <w:vAlign w:val="center"/>
          </w:tcPr>
          <w:p>
            <w:pPr>
              <w:spacing w:line="276" w:lineRule="auto"/>
              <w:rPr>
                <w:rFonts w:hint="eastAsia" w:ascii="宋体" w:hAnsi="宋体" w:cs="Times New Roman"/>
              </w:rPr>
            </w:pPr>
            <w:r>
              <w:rPr>
                <w:rFonts w:hint="eastAsia" w:ascii="宋体" w:hAnsi="宋体" w:cs="Times New Roman"/>
              </w:rPr>
              <w:t>防御性能</w:t>
            </w:r>
          </w:p>
        </w:tc>
        <w:tc>
          <w:tcPr>
            <w:tcW w:w="6382" w:type="dxa"/>
            <w:tcBorders>
              <w:top w:val="nil"/>
              <w:left w:val="nil"/>
              <w:bottom w:val="single" w:color="auto" w:sz="4" w:space="0"/>
              <w:right w:val="single" w:color="auto" w:sz="4" w:space="0"/>
            </w:tcBorders>
            <w:shd w:val="clear" w:color="auto" w:fill="auto"/>
            <w:vAlign w:val="center"/>
          </w:tcPr>
          <w:p>
            <w:pPr>
              <w:spacing w:line="276" w:lineRule="auto"/>
              <w:rPr>
                <w:rFonts w:hint="eastAsia" w:ascii="宋体" w:hAnsi="宋体" w:cs="Times New Roman"/>
              </w:rPr>
            </w:pPr>
            <w:r>
              <w:rPr>
                <w:rFonts w:hint="eastAsia" w:ascii="宋体" w:hAnsi="宋体" w:cs="Times New Roman"/>
              </w:rPr>
              <w:t>清洗设备最大防御能力≥200Gbps；</w:t>
            </w:r>
          </w:p>
          <w:p>
            <w:pPr>
              <w:spacing w:line="276" w:lineRule="auto"/>
              <w:rPr>
                <w:rFonts w:hint="eastAsia" w:ascii="宋体" w:hAnsi="宋体" w:cs="Times New Roman"/>
              </w:rPr>
            </w:pPr>
            <w:r>
              <w:rPr>
                <w:rFonts w:hint="eastAsia" w:ascii="宋体" w:hAnsi="宋体" w:cs="Times New Roman"/>
              </w:rPr>
              <w:t>检测设备性能≥160,000Flow/秒处理能力</w:t>
            </w:r>
          </w:p>
        </w:tc>
      </w:tr>
      <w:tr>
        <w:trPr>
          <w:trHeight w:val="660" w:hRule="atLeast"/>
        </w:trPr>
        <w:tc>
          <w:tcPr>
            <w:tcW w:w="1416" w:type="dxa"/>
            <w:tcBorders>
              <w:top w:val="single" w:color="auto" w:sz="4" w:space="0"/>
              <w:left w:val="single" w:color="auto" w:sz="4" w:space="0"/>
              <w:bottom w:val="nil"/>
              <w:right w:val="single" w:color="auto" w:sz="4" w:space="0"/>
            </w:tcBorders>
            <w:shd w:val="clear" w:color="auto" w:fill="auto"/>
            <w:vAlign w:val="center"/>
          </w:tcPr>
          <w:p>
            <w:pPr>
              <w:spacing w:line="276" w:lineRule="auto"/>
              <w:rPr>
                <w:rFonts w:hint="eastAsia" w:ascii="宋体" w:hAnsi="宋体" w:cs="Times New Roman"/>
              </w:rPr>
            </w:pPr>
            <w:r>
              <w:rPr>
                <w:rFonts w:hint="eastAsia" w:ascii="宋体" w:hAnsi="宋体" w:cs="Times New Roman"/>
              </w:rPr>
              <w:t>部署模式</w:t>
            </w:r>
          </w:p>
        </w:tc>
        <w:tc>
          <w:tcPr>
            <w:tcW w:w="6382" w:type="dxa"/>
            <w:tcBorders>
              <w:top w:val="nil"/>
              <w:left w:val="nil"/>
              <w:bottom w:val="single" w:color="auto" w:sz="4" w:space="0"/>
              <w:right w:val="single" w:color="auto" w:sz="4" w:space="0"/>
            </w:tcBorders>
            <w:shd w:val="clear" w:color="auto" w:fill="auto"/>
            <w:vAlign w:val="center"/>
          </w:tcPr>
          <w:p>
            <w:pPr>
              <w:spacing w:line="276" w:lineRule="auto"/>
              <w:rPr>
                <w:rFonts w:hint="eastAsia" w:ascii="宋体" w:hAnsi="宋体" w:cs="Times New Roman"/>
              </w:rPr>
            </w:pPr>
            <w:r>
              <w:rPr>
                <w:rFonts w:hint="eastAsia" w:ascii="宋体" w:hAnsi="宋体" w:cs="Times New Roman"/>
              </w:rPr>
              <w:t>支持检测设备、清洗设备旁路部署，逐包检测动态引流，支持BGP动态引流，支持PBR回注(策略路由)、二层回注；</w:t>
            </w:r>
          </w:p>
        </w:tc>
      </w:tr>
      <w:tr>
        <w:tblPrEx>
          <w:tblCellMar>
            <w:top w:w="0" w:type="dxa"/>
            <w:left w:w="108" w:type="dxa"/>
            <w:bottom w:w="0" w:type="dxa"/>
            <w:right w:w="108" w:type="dxa"/>
          </w:tblCellMar>
        </w:tblPrEx>
        <w:trPr>
          <w:trHeight w:val="330" w:hRule="atLeast"/>
        </w:trPr>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rPr>
                <w:rFonts w:hint="eastAsia" w:ascii="宋体" w:hAnsi="宋体" w:cs="Times New Roman"/>
              </w:rPr>
            </w:pPr>
            <w:r>
              <w:rPr>
                <w:rFonts w:hint="eastAsia" w:ascii="宋体" w:hAnsi="宋体" w:cs="Times New Roman"/>
              </w:rPr>
              <w:t xml:space="preserve">IPv4/IPv6 </w:t>
            </w:r>
          </w:p>
        </w:tc>
        <w:tc>
          <w:tcPr>
            <w:tcW w:w="6382" w:type="dxa"/>
            <w:tcBorders>
              <w:top w:val="nil"/>
              <w:left w:val="nil"/>
              <w:bottom w:val="single" w:color="auto" w:sz="4" w:space="0"/>
              <w:right w:val="single" w:color="auto" w:sz="4" w:space="0"/>
            </w:tcBorders>
            <w:shd w:val="clear" w:color="auto" w:fill="auto"/>
            <w:vAlign w:val="center"/>
          </w:tcPr>
          <w:p>
            <w:pPr>
              <w:spacing w:line="276" w:lineRule="auto"/>
              <w:rPr>
                <w:rFonts w:hint="eastAsia" w:ascii="宋体" w:hAnsi="宋体" w:cs="Times New Roman"/>
              </w:rPr>
            </w:pPr>
            <w:r>
              <w:rPr>
                <w:rFonts w:hint="eastAsia" w:ascii="宋体" w:hAnsi="宋体" w:cs="Times New Roman"/>
              </w:rPr>
              <w:t>支持IPV4/IPV6共栈防御。</w:t>
            </w:r>
          </w:p>
        </w:tc>
      </w:tr>
      <w:tr>
        <w:tblPrEx>
          <w:tblCellMar>
            <w:top w:w="0" w:type="dxa"/>
            <w:left w:w="108" w:type="dxa"/>
            <w:bottom w:w="0" w:type="dxa"/>
            <w:right w:w="108" w:type="dxa"/>
          </w:tblCellMar>
        </w:tblPrEx>
        <w:trPr>
          <w:trHeight w:val="330" w:hRule="atLeast"/>
        </w:trPr>
        <w:tc>
          <w:tcPr>
            <w:tcW w:w="1416" w:type="dxa"/>
            <w:tcBorders>
              <w:top w:val="nil"/>
              <w:left w:val="single" w:color="auto" w:sz="4" w:space="0"/>
              <w:bottom w:val="single" w:color="auto" w:sz="4" w:space="0"/>
              <w:right w:val="single" w:color="auto" w:sz="4" w:space="0"/>
            </w:tcBorders>
            <w:shd w:val="clear" w:color="auto" w:fill="auto"/>
            <w:vAlign w:val="center"/>
          </w:tcPr>
          <w:p>
            <w:pPr>
              <w:spacing w:line="276" w:lineRule="auto"/>
              <w:rPr>
                <w:rFonts w:hint="eastAsia" w:ascii="宋体" w:hAnsi="宋体" w:cs="Times New Roman"/>
              </w:rPr>
            </w:pPr>
            <w:r>
              <w:rPr>
                <w:rFonts w:hint="eastAsia" w:ascii="宋体" w:hAnsi="宋体" w:cs="Times New Roman"/>
              </w:rPr>
              <w:t>HTTP CC攻击防御</w:t>
            </w:r>
          </w:p>
        </w:tc>
        <w:tc>
          <w:tcPr>
            <w:tcW w:w="6382" w:type="dxa"/>
            <w:tcBorders>
              <w:top w:val="nil"/>
              <w:left w:val="nil"/>
              <w:bottom w:val="single" w:color="auto" w:sz="4" w:space="0"/>
              <w:right w:val="single" w:color="auto" w:sz="4" w:space="0"/>
            </w:tcBorders>
            <w:shd w:val="clear" w:color="auto" w:fill="auto"/>
            <w:vAlign w:val="center"/>
          </w:tcPr>
          <w:p>
            <w:pPr>
              <w:spacing w:line="276" w:lineRule="auto"/>
              <w:rPr>
                <w:rFonts w:hint="eastAsia" w:ascii="宋体" w:hAnsi="宋体" w:cs="Times New Roman"/>
              </w:rPr>
            </w:pPr>
            <w:r>
              <w:rPr>
                <w:rFonts w:hint="eastAsia" w:ascii="宋体" w:hAnsi="宋体" w:cs="Times New Roman"/>
              </w:rPr>
              <w:t>支持基于行为分析防御针对WEB、APP的HTTP CC/大资源高频请求攻击。</w:t>
            </w:r>
          </w:p>
        </w:tc>
      </w:tr>
      <w:tr>
        <w:tblPrEx>
          <w:tblCellMar>
            <w:top w:w="0" w:type="dxa"/>
            <w:left w:w="108" w:type="dxa"/>
            <w:bottom w:w="0" w:type="dxa"/>
            <w:right w:w="108" w:type="dxa"/>
          </w:tblCellMar>
        </w:tblPrEx>
        <w:trPr>
          <w:trHeight w:val="660" w:hRule="atLeast"/>
        </w:trPr>
        <w:tc>
          <w:tcPr>
            <w:tcW w:w="1416" w:type="dxa"/>
            <w:tcBorders>
              <w:top w:val="nil"/>
              <w:left w:val="single" w:color="auto" w:sz="4" w:space="0"/>
              <w:bottom w:val="single" w:color="auto" w:sz="4" w:space="0"/>
              <w:right w:val="single" w:color="auto" w:sz="4" w:space="0"/>
            </w:tcBorders>
            <w:shd w:val="clear" w:color="auto" w:fill="auto"/>
            <w:vAlign w:val="center"/>
          </w:tcPr>
          <w:p>
            <w:pPr>
              <w:spacing w:line="276" w:lineRule="auto"/>
              <w:rPr>
                <w:rFonts w:hint="eastAsia" w:ascii="宋体" w:hAnsi="宋体" w:cs="Times New Roman"/>
              </w:rPr>
            </w:pPr>
            <w:r>
              <w:rPr>
                <w:rFonts w:hint="eastAsia" w:ascii="宋体" w:hAnsi="宋体" w:cs="Times New Roman"/>
              </w:rPr>
              <w:t>高频HTTPS加密攻击</w:t>
            </w:r>
          </w:p>
        </w:tc>
        <w:tc>
          <w:tcPr>
            <w:tcW w:w="6382" w:type="dxa"/>
            <w:tcBorders>
              <w:top w:val="nil"/>
              <w:left w:val="nil"/>
              <w:bottom w:val="single" w:color="auto" w:sz="4" w:space="0"/>
              <w:right w:val="single" w:color="auto" w:sz="4" w:space="0"/>
            </w:tcBorders>
            <w:shd w:val="clear" w:color="auto" w:fill="auto"/>
            <w:vAlign w:val="center"/>
          </w:tcPr>
          <w:p>
            <w:pPr>
              <w:spacing w:line="276" w:lineRule="auto"/>
              <w:rPr>
                <w:rFonts w:hint="eastAsia" w:ascii="宋体" w:hAnsi="宋体" w:cs="Times New Roman"/>
              </w:rPr>
            </w:pPr>
            <w:r>
              <w:rPr>
                <w:rFonts w:hint="eastAsia" w:ascii="宋体" w:hAnsi="宋体" w:cs="Times New Roman"/>
              </w:rPr>
              <w:t>支持基于行为分析不解密防御针对WEB网站、APP的HTTPS应用层攻击。</w:t>
            </w:r>
          </w:p>
        </w:tc>
      </w:tr>
      <w:tr>
        <w:trPr>
          <w:trHeight w:val="330" w:hRule="atLeast"/>
        </w:trPr>
        <w:tc>
          <w:tcPr>
            <w:tcW w:w="1416" w:type="dxa"/>
            <w:tcBorders>
              <w:top w:val="nil"/>
              <w:left w:val="single" w:color="auto" w:sz="4" w:space="0"/>
              <w:bottom w:val="single" w:color="auto" w:sz="4" w:space="0"/>
              <w:right w:val="single" w:color="auto" w:sz="4" w:space="0"/>
            </w:tcBorders>
            <w:shd w:val="clear" w:color="auto" w:fill="auto"/>
            <w:vAlign w:val="center"/>
          </w:tcPr>
          <w:p>
            <w:pPr>
              <w:spacing w:line="276" w:lineRule="auto"/>
              <w:rPr>
                <w:rFonts w:hint="eastAsia" w:ascii="宋体" w:hAnsi="宋体" w:cs="Times New Roman"/>
              </w:rPr>
            </w:pPr>
            <w:r>
              <w:rPr>
                <w:rFonts w:hint="eastAsia" w:ascii="宋体" w:hAnsi="宋体" w:cs="Times New Roman"/>
              </w:rPr>
              <w:t>网络层泛洪攻击防御能力</w:t>
            </w:r>
          </w:p>
        </w:tc>
        <w:tc>
          <w:tcPr>
            <w:tcW w:w="6382" w:type="dxa"/>
            <w:tcBorders>
              <w:top w:val="nil"/>
              <w:left w:val="nil"/>
              <w:bottom w:val="single" w:color="auto" w:sz="4" w:space="0"/>
              <w:right w:val="single" w:color="auto" w:sz="4" w:space="0"/>
            </w:tcBorders>
            <w:shd w:val="clear" w:color="auto" w:fill="auto"/>
            <w:vAlign w:val="center"/>
          </w:tcPr>
          <w:p>
            <w:pPr>
              <w:spacing w:line="276" w:lineRule="auto"/>
              <w:rPr>
                <w:rFonts w:hint="eastAsia" w:ascii="宋体" w:hAnsi="宋体" w:cs="Times New Roman"/>
              </w:rPr>
            </w:pPr>
            <w:r>
              <w:rPr>
                <w:rFonts w:hint="eastAsia" w:ascii="宋体" w:hAnsi="宋体" w:cs="Times New Roman"/>
              </w:rPr>
              <w:t>支持基于源SYN报文比例异常检测防御真实源SYN攻击。</w:t>
            </w:r>
          </w:p>
        </w:tc>
      </w:tr>
      <w:tr>
        <w:tblPrEx>
          <w:tblCellMar>
            <w:top w:w="0" w:type="dxa"/>
            <w:left w:w="108" w:type="dxa"/>
            <w:bottom w:w="0" w:type="dxa"/>
            <w:right w:w="108" w:type="dxa"/>
          </w:tblCellMar>
        </w:tblPrEx>
        <w:trPr>
          <w:trHeight w:val="330" w:hRule="atLeast"/>
        </w:trPr>
        <w:tc>
          <w:tcPr>
            <w:tcW w:w="1416" w:type="dxa"/>
            <w:tcBorders>
              <w:top w:val="nil"/>
              <w:left w:val="single" w:color="auto" w:sz="4" w:space="0"/>
              <w:bottom w:val="single" w:color="auto" w:sz="4" w:space="0"/>
              <w:right w:val="single" w:color="auto" w:sz="4" w:space="0"/>
            </w:tcBorders>
            <w:shd w:val="clear" w:color="auto" w:fill="auto"/>
            <w:vAlign w:val="center"/>
          </w:tcPr>
          <w:p>
            <w:pPr>
              <w:spacing w:line="276" w:lineRule="auto"/>
              <w:rPr>
                <w:rFonts w:hint="eastAsia" w:ascii="宋体" w:hAnsi="宋体" w:cs="Times New Roman"/>
              </w:rPr>
            </w:pPr>
            <w:r>
              <w:rPr>
                <w:rFonts w:hint="eastAsia" w:ascii="宋体" w:hAnsi="宋体" w:cs="Times New Roman"/>
              </w:rPr>
              <w:t>DNS应用攻击防御能力</w:t>
            </w:r>
          </w:p>
        </w:tc>
        <w:tc>
          <w:tcPr>
            <w:tcW w:w="6382" w:type="dxa"/>
            <w:tcBorders>
              <w:top w:val="nil"/>
              <w:left w:val="nil"/>
              <w:bottom w:val="single" w:color="auto" w:sz="4" w:space="0"/>
              <w:right w:val="single" w:color="auto" w:sz="4" w:space="0"/>
            </w:tcBorders>
            <w:shd w:val="clear" w:color="auto" w:fill="auto"/>
            <w:vAlign w:val="center"/>
          </w:tcPr>
          <w:p>
            <w:pPr>
              <w:spacing w:line="276" w:lineRule="auto"/>
              <w:rPr>
                <w:rFonts w:hint="eastAsia" w:ascii="宋体" w:hAnsi="宋体" w:cs="Times New Roman"/>
              </w:rPr>
            </w:pPr>
            <w:r>
              <w:rPr>
                <w:rFonts w:hint="eastAsia" w:ascii="宋体" w:hAnsi="宋体" w:cs="Times New Roman"/>
              </w:rPr>
              <w:t>支持基于源IP Query限速，防御真实源DNS Flood。</w:t>
            </w:r>
          </w:p>
        </w:tc>
      </w:tr>
      <w:tr>
        <w:tblPrEx>
          <w:tblCellMar>
            <w:top w:w="0" w:type="dxa"/>
            <w:left w:w="108" w:type="dxa"/>
            <w:bottom w:w="0" w:type="dxa"/>
            <w:right w:w="108" w:type="dxa"/>
          </w:tblCellMar>
        </w:tblPrEx>
        <w:trPr>
          <w:trHeight w:val="330" w:hRule="atLeast"/>
        </w:trPr>
        <w:tc>
          <w:tcPr>
            <w:tcW w:w="1416" w:type="dxa"/>
            <w:tcBorders>
              <w:top w:val="nil"/>
              <w:left w:val="single" w:color="auto" w:sz="4" w:space="0"/>
              <w:bottom w:val="single" w:color="auto" w:sz="4" w:space="0"/>
              <w:right w:val="single" w:color="auto" w:sz="4" w:space="0"/>
            </w:tcBorders>
            <w:shd w:val="clear" w:color="auto" w:fill="auto"/>
            <w:vAlign w:val="center"/>
          </w:tcPr>
          <w:p>
            <w:pPr>
              <w:spacing w:line="276" w:lineRule="auto"/>
              <w:rPr>
                <w:rFonts w:hint="eastAsia" w:ascii="宋体" w:hAnsi="宋体" w:cs="Times New Roman"/>
              </w:rPr>
            </w:pPr>
            <w:r>
              <w:rPr>
                <w:rFonts w:hint="eastAsia" w:ascii="宋体" w:hAnsi="宋体" w:cs="Times New Roman"/>
              </w:rPr>
              <w:t>SIP应用攻击防御能力</w:t>
            </w:r>
          </w:p>
        </w:tc>
        <w:tc>
          <w:tcPr>
            <w:tcW w:w="6382" w:type="dxa"/>
            <w:tcBorders>
              <w:top w:val="nil"/>
              <w:left w:val="nil"/>
              <w:bottom w:val="single" w:color="auto" w:sz="4" w:space="0"/>
              <w:right w:val="single" w:color="auto" w:sz="4" w:space="0"/>
            </w:tcBorders>
            <w:shd w:val="clear" w:color="auto" w:fill="auto"/>
            <w:vAlign w:val="center"/>
          </w:tcPr>
          <w:p>
            <w:pPr>
              <w:spacing w:line="276" w:lineRule="auto"/>
              <w:rPr>
                <w:rFonts w:hint="eastAsia" w:ascii="宋体" w:hAnsi="宋体" w:cs="Times New Roman"/>
              </w:rPr>
            </w:pPr>
            <w:r>
              <w:rPr>
                <w:rFonts w:hint="eastAsia" w:ascii="宋体" w:hAnsi="宋体" w:cs="Times New Roman"/>
              </w:rPr>
              <w:t>支持基于源挑战认证防御虚假源SIP Flood；支持基于源限速防御真实源SIP Flood。</w:t>
            </w:r>
          </w:p>
        </w:tc>
      </w:tr>
      <w:tr>
        <w:tblPrEx>
          <w:tblCellMar>
            <w:top w:w="0" w:type="dxa"/>
            <w:left w:w="108" w:type="dxa"/>
            <w:bottom w:w="0" w:type="dxa"/>
            <w:right w:w="108" w:type="dxa"/>
          </w:tblCellMar>
        </w:tblPrEx>
        <w:trPr>
          <w:trHeight w:val="330" w:hRule="atLeast"/>
        </w:trPr>
        <w:tc>
          <w:tcPr>
            <w:tcW w:w="1416" w:type="dxa"/>
            <w:tcBorders>
              <w:top w:val="nil"/>
              <w:left w:val="single" w:color="auto" w:sz="4" w:space="0"/>
              <w:bottom w:val="single" w:color="auto" w:sz="4" w:space="0"/>
              <w:right w:val="single" w:color="auto" w:sz="4" w:space="0"/>
            </w:tcBorders>
            <w:shd w:val="clear" w:color="auto" w:fill="auto"/>
            <w:vAlign w:val="center"/>
          </w:tcPr>
          <w:p>
            <w:pPr>
              <w:spacing w:line="276" w:lineRule="auto"/>
              <w:rPr>
                <w:rFonts w:hint="eastAsia" w:ascii="宋体" w:hAnsi="宋体" w:cs="Times New Roman"/>
              </w:rPr>
            </w:pPr>
            <w:r>
              <w:rPr>
                <w:rFonts w:hint="eastAsia" w:ascii="宋体" w:hAnsi="宋体" w:cs="Times New Roman"/>
              </w:rPr>
              <w:t>黑洞</w:t>
            </w:r>
          </w:p>
        </w:tc>
        <w:tc>
          <w:tcPr>
            <w:tcW w:w="6382" w:type="dxa"/>
            <w:tcBorders>
              <w:top w:val="nil"/>
              <w:left w:val="nil"/>
              <w:bottom w:val="single" w:color="auto" w:sz="4" w:space="0"/>
              <w:right w:val="single" w:color="auto" w:sz="4" w:space="0"/>
            </w:tcBorders>
            <w:shd w:val="clear" w:color="auto" w:fill="auto"/>
            <w:vAlign w:val="center"/>
          </w:tcPr>
          <w:p>
            <w:pPr>
              <w:spacing w:line="276" w:lineRule="auto"/>
              <w:rPr>
                <w:rFonts w:hint="eastAsia" w:ascii="宋体" w:hAnsi="宋体" w:cs="Times New Roman"/>
              </w:rPr>
            </w:pPr>
            <w:r>
              <w:rPr>
                <w:rFonts w:hint="eastAsia" w:ascii="宋体" w:hAnsi="宋体" w:cs="Times New Roman"/>
              </w:rPr>
              <w:t>支持自动和手动黑洞，支持路由黑洞和本机黑洞2种黑洞模式。</w:t>
            </w:r>
          </w:p>
        </w:tc>
      </w:tr>
      <w:tr>
        <w:trPr>
          <w:trHeight w:val="330" w:hRule="atLeast"/>
        </w:trPr>
        <w:tc>
          <w:tcPr>
            <w:tcW w:w="1416" w:type="dxa"/>
            <w:tcBorders>
              <w:top w:val="nil"/>
              <w:left w:val="single" w:color="auto" w:sz="4" w:space="0"/>
              <w:bottom w:val="single" w:color="auto" w:sz="4" w:space="0"/>
              <w:right w:val="single" w:color="auto" w:sz="4" w:space="0"/>
            </w:tcBorders>
            <w:shd w:val="clear" w:color="auto" w:fill="auto"/>
            <w:vAlign w:val="center"/>
          </w:tcPr>
          <w:p>
            <w:pPr>
              <w:spacing w:line="276" w:lineRule="auto"/>
              <w:rPr>
                <w:rFonts w:hint="eastAsia" w:ascii="宋体" w:hAnsi="宋体" w:cs="Times New Roman"/>
              </w:rPr>
            </w:pPr>
            <w:r>
              <w:rPr>
                <w:rFonts w:hint="eastAsia" w:ascii="宋体" w:hAnsi="宋体" w:cs="Times New Roman"/>
              </w:rPr>
              <w:t>黑白名单</w:t>
            </w:r>
          </w:p>
        </w:tc>
        <w:tc>
          <w:tcPr>
            <w:tcW w:w="6382" w:type="dxa"/>
            <w:tcBorders>
              <w:top w:val="nil"/>
              <w:left w:val="nil"/>
              <w:bottom w:val="single" w:color="auto" w:sz="4" w:space="0"/>
              <w:right w:val="single" w:color="auto" w:sz="4" w:space="0"/>
            </w:tcBorders>
            <w:shd w:val="clear" w:color="auto" w:fill="auto"/>
            <w:vAlign w:val="center"/>
          </w:tcPr>
          <w:p>
            <w:pPr>
              <w:spacing w:line="276" w:lineRule="auto"/>
              <w:rPr>
                <w:rFonts w:hint="eastAsia" w:ascii="宋体" w:hAnsi="宋体" w:cs="Times New Roman"/>
              </w:rPr>
            </w:pPr>
            <w:r>
              <w:rPr>
                <w:rFonts w:hint="eastAsia" w:ascii="宋体" w:hAnsi="宋体" w:cs="Times New Roman"/>
              </w:rPr>
              <w:t>支持静态黑白名单。</w:t>
            </w:r>
          </w:p>
        </w:tc>
      </w:tr>
      <w:tr>
        <w:tblPrEx>
          <w:tblCellMar>
            <w:top w:w="0" w:type="dxa"/>
            <w:left w:w="108" w:type="dxa"/>
            <w:bottom w:w="0" w:type="dxa"/>
            <w:right w:w="108" w:type="dxa"/>
          </w:tblCellMar>
        </w:tblPrEx>
        <w:trPr>
          <w:trHeight w:val="330" w:hRule="atLeast"/>
        </w:trPr>
        <w:tc>
          <w:tcPr>
            <w:tcW w:w="1416" w:type="dxa"/>
            <w:tcBorders>
              <w:top w:val="nil"/>
              <w:left w:val="single" w:color="auto" w:sz="4" w:space="0"/>
              <w:bottom w:val="single" w:color="auto" w:sz="4" w:space="0"/>
              <w:right w:val="single" w:color="auto" w:sz="4" w:space="0"/>
            </w:tcBorders>
            <w:shd w:val="clear" w:color="auto" w:fill="auto"/>
            <w:vAlign w:val="center"/>
          </w:tcPr>
          <w:p>
            <w:pPr>
              <w:spacing w:line="276" w:lineRule="auto"/>
              <w:rPr>
                <w:rFonts w:hint="eastAsia" w:ascii="宋体" w:hAnsi="宋体" w:cs="Times New Roman"/>
              </w:rPr>
            </w:pPr>
            <w:r>
              <w:rPr>
                <w:rFonts w:hint="eastAsia" w:ascii="宋体" w:hAnsi="宋体" w:cs="Times New Roman"/>
              </w:rPr>
              <w:t>防御策略</w:t>
            </w:r>
          </w:p>
        </w:tc>
        <w:tc>
          <w:tcPr>
            <w:tcW w:w="6382" w:type="dxa"/>
            <w:tcBorders>
              <w:top w:val="nil"/>
              <w:left w:val="nil"/>
              <w:bottom w:val="single" w:color="auto" w:sz="4" w:space="0"/>
              <w:right w:val="single" w:color="auto" w:sz="4" w:space="0"/>
            </w:tcBorders>
            <w:shd w:val="clear" w:color="auto" w:fill="auto"/>
            <w:vAlign w:val="center"/>
          </w:tcPr>
          <w:p>
            <w:pPr>
              <w:spacing w:line="276" w:lineRule="auto"/>
              <w:rPr>
                <w:rFonts w:hint="eastAsia" w:ascii="宋体" w:hAnsi="宋体" w:cs="Times New Roman"/>
              </w:rPr>
            </w:pPr>
            <w:r>
              <w:rPr>
                <w:rFonts w:hint="eastAsia" w:ascii="宋体" w:hAnsi="宋体" w:cs="Times New Roman"/>
              </w:rPr>
              <w:t>支持引流模式、防御模式、黑洞模式配置。</w:t>
            </w:r>
          </w:p>
        </w:tc>
      </w:tr>
    </w:tbl>
    <w:tbl>
      <w:tblPr>
        <w:tblStyle w:val="12"/>
        <w:tblpPr w:leftFromText="180" w:rightFromText="180" w:vertAnchor="text" w:horzAnchor="page" w:tblpX="2136" w:tblpY="731"/>
        <w:tblOverlap w:val="never"/>
        <w:tblW w:w="78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850"/>
        <w:gridCol w:w="60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0" w:hRule="atLeast"/>
        </w:trPr>
        <w:tc>
          <w:tcPr>
            <w:tcW w:w="78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cstheme="minorEastAsia"/>
                <w:b/>
                <w:sz w:val="21"/>
                <w:szCs w:val="21"/>
                <w:lang w:val="en-US" w:eastAsia="zh-CN"/>
              </w:rPr>
              <w:t>骨干网</w:t>
            </w:r>
            <w:r>
              <w:rPr>
                <w:rFonts w:hint="eastAsia" w:asciiTheme="minorEastAsia" w:hAnsiTheme="minorEastAsia" w:eastAsiaTheme="minorEastAsia" w:cstheme="minorEastAsia"/>
                <w:b/>
                <w:sz w:val="21"/>
                <w:szCs w:val="21"/>
                <w:lang w:val="en-US" w:eastAsia="zh-CN"/>
              </w:rPr>
              <w:t>抗</w:t>
            </w:r>
            <w:r>
              <w:rPr>
                <w:rFonts w:hint="eastAsia" w:asciiTheme="minorEastAsia" w:hAnsiTheme="minorEastAsia" w:cstheme="minorEastAsia"/>
                <w:b/>
                <w:sz w:val="21"/>
                <w:szCs w:val="21"/>
                <w:lang w:val="en-US" w:eastAsia="zh-CN"/>
              </w:rPr>
              <w:t>DDOS</w:t>
            </w:r>
            <w:r>
              <w:rPr>
                <w:rFonts w:hint="eastAsia" w:asciiTheme="minorEastAsia" w:hAnsiTheme="minorEastAsia" w:eastAsiaTheme="minorEastAsia" w:cstheme="minorEastAsia"/>
                <w:b/>
                <w:sz w:val="21"/>
                <w:szCs w:val="21"/>
                <w:lang w:val="en-US" w:eastAsia="zh-CN"/>
              </w:rPr>
              <w:t>近源防护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0" w:hRule="atLeast"/>
        </w:trPr>
        <w:tc>
          <w:tcPr>
            <w:tcW w:w="1850" w:type="dxa"/>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pPr>
              <w:spacing w:line="276" w:lineRule="auto"/>
              <w:rPr>
                <w:rFonts w:hint="eastAsia" w:ascii="宋体" w:hAnsi="宋体"/>
                <w:b/>
              </w:rPr>
            </w:pPr>
            <w:r>
              <w:rPr>
                <w:rFonts w:hint="eastAsia" w:ascii="宋体" w:hAnsi="宋体"/>
                <w:b/>
                <w:lang w:val="en-US" w:eastAsia="zh-CN"/>
              </w:rPr>
              <w:t>指标项</w:t>
            </w:r>
          </w:p>
        </w:tc>
        <w:tc>
          <w:tcPr>
            <w:tcW w:w="6010" w:type="dxa"/>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pPr>
              <w:spacing w:line="276" w:lineRule="auto"/>
              <w:rPr>
                <w:rFonts w:hint="eastAsia" w:ascii="宋体" w:hAnsi="宋体"/>
                <w:b/>
              </w:rPr>
            </w:pPr>
            <w:r>
              <w:rPr>
                <w:rFonts w:hint="eastAsia" w:ascii="宋体" w:hAnsi="宋体"/>
                <w:b/>
                <w:lang w:val="en-US" w:eastAsia="zh-CN"/>
              </w:rPr>
              <w:t>指标要求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840" w:hRule="atLeast"/>
        </w:trPr>
        <w:tc>
          <w:tcPr>
            <w:tcW w:w="18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能力要求</w:t>
            </w:r>
          </w:p>
        </w:tc>
        <w:tc>
          <w:tcPr>
            <w:tcW w:w="6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DDoS防护类型：在国内骨干网支持TCP、UDP、HTTP、HTTPS等协议的攻击防护，支持的攻击防护类型包括：SYNFlood、SYN-ACKFloodACKFlood、FIN/RSTFlood、TCP连接耗尽攻击、TCP分片攻击、TCP异常报文、UDPFlood、UDP分片、ICMPFlood。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560" w:hRule="atLeast"/>
        </w:trPr>
        <w:tc>
          <w:tcPr>
            <w:tcW w:w="18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i w:val="0"/>
                <w:iCs w:val="0"/>
                <w:color w:val="000000"/>
                <w:sz w:val="21"/>
                <w:szCs w:val="21"/>
                <w:u w:val="none"/>
              </w:rPr>
            </w:pPr>
          </w:p>
        </w:tc>
        <w:tc>
          <w:tcPr>
            <w:tcW w:w="6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DDoS攻击检测：可以实现基于统计攻击特征行为的识别和阻断功能,以及正常流量处理、攻击特征库维护、安全管理及日志审计等功能。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80" w:hRule="atLeast"/>
        </w:trPr>
        <w:tc>
          <w:tcPr>
            <w:tcW w:w="18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i w:val="0"/>
                <w:iCs w:val="0"/>
                <w:color w:val="000000"/>
                <w:sz w:val="21"/>
                <w:szCs w:val="21"/>
                <w:u w:val="none"/>
              </w:rPr>
            </w:pPr>
          </w:p>
        </w:tc>
        <w:tc>
          <w:tcPr>
            <w:tcW w:w="6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清洗能力：在国内骨干网上提供近源清洗的防DDoS攻击能力。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560" w:hRule="atLeast"/>
        </w:trPr>
        <w:tc>
          <w:tcPr>
            <w:tcW w:w="18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i w:val="0"/>
                <w:iCs w:val="0"/>
                <w:color w:val="000000"/>
                <w:sz w:val="21"/>
                <w:szCs w:val="21"/>
                <w:u w:val="none"/>
                <w:lang w:val="en-US" w:eastAsia="zh-CN"/>
              </w:rPr>
            </w:pPr>
            <w:r>
              <w:rPr>
                <w:rFonts w:hint="eastAsia" w:asciiTheme="minorEastAsia" w:hAnsiTheme="minorEastAsia" w:cstheme="minorEastAsia"/>
                <w:i w:val="0"/>
                <w:iCs w:val="0"/>
                <w:color w:val="000000"/>
                <w:sz w:val="21"/>
                <w:szCs w:val="21"/>
                <w:u w:val="none"/>
                <w:lang w:val="en-US" w:eastAsia="zh-CN"/>
              </w:rPr>
              <w:t>性能</w:t>
            </w:r>
          </w:p>
        </w:tc>
        <w:tc>
          <w:tcPr>
            <w:tcW w:w="6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在紧急情况下可以根据要求在骨干网实现国内跨省、跨网、跨境不同方向的流量过滤。</w:t>
            </w:r>
          </w:p>
        </w:tc>
      </w:tr>
    </w:tbl>
    <w:p>
      <w:pPr>
        <w:pStyle w:val="7"/>
      </w:pPr>
    </w:p>
    <w:p>
      <w:pPr>
        <w:pStyle w:val="7"/>
      </w:pPr>
    </w:p>
    <w:tbl>
      <w:tblPr>
        <w:tblStyle w:val="12"/>
        <w:tblW w:w="460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0"/>
        <w:gridCol w:w="6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blHeader/>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b/>
              </w:rPr>
              <w:t>用途：流量分析检测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937" w:type="pct"/>
            <w:shd w:val="clear" w:color="auto" w:fill="D9D9D9"/>
          </w:tcPr>
          <w:p>
            <w:pPr>
              <w:spacing w:line="276" w:lineRule="auto"/>
              <w:jc w:val="center"/>
              <w:textAlignment w:val="baseline"/>
              <w:rPr>
                <w:rFonts w:ascii="宋体" w:hAnsi="宋体" w:cs="Times New Roman"/>
                <w:b/>
                <w:bCs/>
                <w:kern w:val="0"/>
              </w:rPr>
            </w:pPr>
            <w:r>
              <w:rPr>
                <w:rFonts w:ascii="宋体" w:hAnsi="宋体" w:cs="Times New Roman"/>
                <w:b/>
              </w:rPr>
              <w:t>指标项</w:t>
            </w:r>
          </w:p>
        </w:tc>
        <w:tc>
          <w:tcPr>
            <w:tcW w:w="4063" w:type="pct"/>
            <w:shd w:val="clear" w:color="auto" w:fill="D9D9D9"/>
          </w:tcPr>
          <w:p>
            <w:pPr>
              <w:spacing w:line="276" w:lineRule="auto"/>
              <w:textAlignment w:val="baseline"/>
              <w:rPr>
                <w:rFonts w:ascii="宋体" w:hAnsi="宋体" w:cs="Times New Roman"/>
                <w:b/>
                <w:bCs/>
                <w:kern w:val="0"/>
              </w:rPr>
            </w:pPr>
            <w:r>
              <w:rPr>
                <w:rFonts w:ascii="宋体" w:hAnsi="宋体" w:cs="Times New Roman"/>
                <w:b/>
              </w:rPr>
              <w:t>指标要求（除特别说明外，以下为单台设备的配置要求）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37" w:type="pct"/>
          </w:tcPr>
          <w:p>
            <w:pPr>
              <w:spacing w:line="276" w:lineRule="auto"/>
              <w:textAlignment w:val="baseline"/>
              <w:rPr>
                <w:rFonts w:ascii="宋体" w:hAnsi="宋体" w:cs="Times New Roman"/>
                <w:kern w:val="0"/>
              </w:rPr>
            </w:pPr>
            <w:r>
              <w:rPr>
                <w:rFonts w:ascii="宋体" w:hAnsi="宋体" w:cs="Times New Roman"/>
                <w:kern w:val="0"/>
              </w:rPr>
              <w:t>性能</w:t>
            </w:r>
          </w:p>
        </w:tc>
        <w:tc>
          <w:tcPr>
            <w:tcW w:w="4063" w:type="pct"/>
          </w:tcPr>
          <w:p>
            <w:pPr>
              <w:spacing w:line="276" w:lineRule="auto"/>
              <w:textAlignment w:val="baseline"/>
              <w:rPr>
                <w:rFonts w:ascii="宋体" w:hAnsi="宋体" w:cs="Times New Roman"/>
                <w:kern w:val="0"/>
              </w:rPr>
            </w:pPr>
            <w:r>
              <w:rPr>
                <w:rFonts w:ascii="宋体" w:hAnsi="宋体" w:cs="Times New Roman"/>
                <w:kern w:val="0"/>
              </w:rPr>
              <w:t>探针规格及数量：1台，机架式，2U；采集端口：4个SFP千兆接口；存储空间 16TB裸空间；报文处理能力4Gbps，支持通过第三方外挂存储扩展存储空间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9" w:hRule="atLeast"/>
          <w:jc w:val="center"/>
        </w:trPr>
        <w:tc>
          <w:tcPr>
            <w:tcW w:w="937" w:type="pct"/>
          </w:tcPr>
          <w:p>
            <w:pPr>
              <w:spacing w:line="276" w:lineRule="auto"/>
              <w:textAlignment w:val="baseline"/>
              <w:rPr>
                <w:rFonts w:ascii="宋体" w:hAnsi="宋体" w:cs="Times New Roman"/>
                <w:kern w:val="0"/>
              </w:rPr>
            </w:pPr>
            <w:r>
              <w:rPr>
                <w:rFonts w:ascii="宋体" w:hAnsi="宋体" w:cs="Times New Roman"/>
                <w:kern w:val="0"/>
              </w:rPr>
              <w:t>功能</w:t>
            </w:r>
          </w:p>
        </w:tc>
        <w:tc>
          <w:tcPr>
            <w:tcW w:w="4063" w:type="pct"/>
          </w:tcPr>
          <w:p>
            <w:pPr>
              <w:spacing w:line="276" w:lineRule="auto"/>
              <w:textAlignment w:val="baseline"/>
              <w:rPr>
                <w:rFonts w:ascii="宋体" w:hAnsi="宋体" w:cs="Times New Roman"/>
                <w:kern w:val="0"/>
              </w:rPr>
            </w:pPr>
            <w:r>
              <w:rPr>
                <w:rFonts w:ascii="宋体" w:hAnsi="宋体" w:cs="Times New Roman"/>
                <w:kern w:val="0"/>
              </w:rPr>
              <w:t>1、支持3层及以上的VLAN流量的识别，可以选择VLAN的不同层次进行识别和统计，并在KPI中加以区别显示；支持对交换机镜像（SPAN）或TAP汇聚产生的重复流量去除重复网络报文，支持任意多采集端口的流量汇聚分析，并可区分上下行；</w:t>
            </w:r>
          </w:p>
          <w:p>
            <w:pPr>
              <w:spacing w:line="276" w:lineRule="auto"/>
              <w:textAlignment w:val="baseline"/>
              <w:rPr>
                <w:rFonts w:ascii="宋体" w:hAnsi="宋体" w:cs="Times New Roman"/>
                <w:kern w:val="0"/>
              </w:rPr>
            </w:pPr>
            <w:r>
              <w:rPr>
                <w:rFonts w:ascii="宋体" w:hAnsi="宋体" w:cs="Times New Roman"/>
                <w:kern w:val="0"/>
              </w:rPr>
              <w:t>2、支持按URL自定义应用，自定义应用规则生效于每个捕获端口，支持通过HTTP的路径参数、请求体、返回体中的报文字段定义应用，可枚举HTTP的路径参数、请求体、返回体中的报文字段，自动生成分析维度；</w:t>
            </w:r>
          </w:p>
          <w:p>
            <w:pPr>
              <w:spacing w:line="276" w:lineRule="auto"/>
              <w:textAlignment w:val="baseline"/>
              <w:rPr>
                <w:rFonts w:ascii="宋体" w:hAnsi="宋体" w:cs="Times New Roman"/>
                <w:kern w:val="0"/>
              </w:rPr>
            </w:pPr>
            <w:r>
              <w:rPr>
                <w:rFonts w:ascii="宋体" w:hAnsi="宋体" w:cs="Times New Roman"/>
                <w:kern w:val="0"/>
              </w:rPr>
              <w:t>3、应用分析：支持pv、uv、访问ip的统计分析，支持实时分析HTTP协议的应用KPI：URL、请求方式、Error code、应用响应时间、总页面传输时间。并可提取单笔交互的网络数据报文。支持实时分析Oracle协议的应用KPI：Oracle 语句、Error code、应用响应时间、总语句响应时间。并可提取单笔交互的网络数据报文。支持通过导入SSL key解码https流量；</w:t>
            </w:r>
          </w:p>
          <w:p>
            <w:pPr>
              <w:spacing w:line="276" w:lineRule="auto"/>
              <w:textAlignment w:val="baseline"/>
              <w:rPr>
                <w:rFonts w:ascii="宋体" w:hAnsi="宋体" w:cs="Times New Roman"/>
                <w:kern w:val="0"/>
              </w:rPr>
            </w:pPr>
            <w:r>
              <w:rPr>
                <w:rFonts w:ascii="宋体" w:hAnsi="宋体" w:cs="Times New Roman"/>
                <w:kern w:val="0"/>
              </w:rPr>
              <w:t>4、业务量、业务平均响应时间、业务峰值响应时间、业务响应率、业务成功率，业务返回码，支持配置业务字段作为统计分析维度，统计KPI包含上述业务KPI；支持全量记录每笔业务的上述业务KPI，以及自定义维度字段。并可通过and、or条件组合多个过滤条件逻辑运算组合，检索关键字段输出过滤结果，支持提取单笔交易的原始网络报文，保存为pcap格式，进行数据取证。支持通过特定字段关联追踪单笔或多笔业务在各个节点的时间与状态。包含：延时、可用性、返回码、业务系统类型等状态。</w:t>
            </w:r>
          </w:p>
          <w:p>
            <w:pPr>
              <w:spacing w:line="276" w:lineRule="auto"/>
              <w:textAlignment w:val="baseline"/>
              <w:rPr>
                <w:rFonts w:ascii="宋体" w:hAnsi="宋体" w:cs="Times New Roman"/>
                <w:kern w:val="0"/>
              </w:rPr>
            </w:pPr>
            <w:r>
              <w:rPr>
                <w:rFonts w:ascii="宋体" w:hAnsi="宋体" w:cs="Times New Roman"/>
                <w:kern w:val="0"/>
              </w:rPr>
              <w:t>5、支持通过Restful读取每条规则、支持向Kafka接口输出每条规则、TCP会话的KPI详单表；支持通过URL直接调用每条规则、TCP会话的KPI时序图；</w:t>
            </w:r>
          </w:p>
        </w:tc>
      </w:tr>
    </w:tbl>
    <w:p>
      <w:pPr>
        <w:spacing w:line="276" w:lineRule="auto"/>
        <w:textAlignment w:val="baseline"/>
        <w:rPr>
          <w:rFonts w:ascii="宋体" w:hAnsi="宋体" w:cs="Times New Roman"/>
          <w:kern w:val="0"/>
        </w:rPr>
      </w:pPr>
    </w:p>
    <w:tbl>
      <w:tblPr>
        <w:tblStyle w:val="12"/>
        <w:tblW w:w="460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8"/>
        <w:gridCol w:w="6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blHeader/>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b/>
              </w:rPr>
              <w:t>用途：政务外网入侵防御系统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pct"/>
            <w:tcBorders>
              <w:top w:val="single" w:color="auto" w:sz="4" w:space="0"/>
              <w:left w:val="single" w:color="auto" w:sz="4" w:space="0"/>
              <w:bottom w:val="single" w:color="auto" w:sz="4" w:space="0"/>
              <w:right w:val="single" w:color="auto" w:sz="4" w:space="0"/>
            </w:tcBorders>
            <w:shd w:val="clear" w:color="auto" w:fill="D9D9D9"/>
            <w:vAlign w:val="center"/>
          </w:tcPr>
          <w:p>
            <w:pPr>
              <w:spacing w:line="276" w:lineRule="auto"/>
              <w:textAlignment w:val="baseline"/>
              <w:rPr>
                <w:rFonts w:ascii="宋体" w:hAnsi="宋体" w:cs="Times New Roman"/>
                <w:b/>
                <w:kern w:val="0"/>
              </w:rPr>
            </w:pPr>
            <w:r>
              <w:rPr>
                <w:rFonts w:ascii="宋体" w:hAnsi="宋体" w:cs="Times New Roman"/>
                <w:b/>
                <w:kern w:val="0"/>
              </w:rPr>
              <w:t>指标项</w:t>
            </w:r>
          </w:p>
        </w:tc>
        <w:tc>
          <w:tcPr>
            <w:tcW w:w="4077" w:type="pct"/>
            <w:tcBorders>
              <w:top w:val="single" w:color="auto" w:sz="4" w:space="0"/>
              <w:left w:val="single" w:color="auto" w:sz="4" w:space="0"/>
              <w:bottom w:val="single" w:color="auto" w:sz="4" w:space="0"/>
              <w:right w:val="single" w:color="auto" w:sz="4" w:space="0"/>
            </w:tcBorders>
            <w:shd w:val="clear" w:color="auto" w:fill="D9D9D9"/>
            <w:vAlign w:val="center"/>
          </w:tcPr>
          <w:p>
            <w:pPr>
              <w:spacing w:line="276" w:lineRule="auto"/>
              <w:textAlignment w:val="baseline"/>
              <w:rPr>
                <w:rFonts w:ascii="宋体" w:hAnsi="宋体" w:cs="Times New Roman"/>
                <w:b/>
                <w:kern w:val="0"/>
              </w:rPr>
            </w:pPr>
            <w:r>
              <w:rPr>
                <w:rFonts w:ascii="宋体" w:hAnsi="宋体" w:cs="Times New Roman"/>
                <w:b/>
                <w:kern w:val="0"/>
              </w:rPr>
              <w:t>指标要求（除特别说明外，以下为单台设备的配置要求）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功能</w:t>
            </w:r>
          </w:p>
        </w:tc>
        <w:tc>
          <w:tcPr>
            <w:tcW w:w="4077"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安全策略，应用识别与管控，入侵防御，反病毒，DoS/DDoS 攻击防护/检测，SSL 加密流量检测，IPv6 报文检测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入侵防御</w:t>
            </w:r>
          </w:p>
        </w:tc>
        <w:tc>
          <w:tcPr>
            <w:tcW w:w="4077"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准确检测并防御针对操作系统、应用、服务器等各种漏洞的攻击，支持 0 day 攻击防护。可防护各种针对web的攻击，包括SQL注入攻击和跨站脚本攻击等。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防病毒</w:t>
            </w:r>
          </w:p>
        </w:tc>
        <w:tc>
          <w:tcPr>
            <w:tcW w:w="4077"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支持网络防病毒功能，病毒库定时更新，可检出病毒数量≥500万。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接口</w:t>
            </w:r>
          </w:p>
        </w:tc>
        <w:tc>
          <w:tcPr>
            <w:tcW w:w="4077"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≥16GE电口和8个SFP+光口和4个10GE光口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性能</w:t>
            </w:r>
          </w:p>
        </w:tc>
        <w:tc>
          <w:tcPr>
            <w:tcW w:w="4077"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应用层检测吞吐量≥72Gbps，最大并发连接数≥320M，新建会话速率≥1M个/秒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模块</w:t>
            </w:r>
          </w:p>
        </w:tc>
        <w:tc>
          <w:tcPr>
            <w:tcW w:w="4077"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具备BYPASS功能模块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hAnsi="宋体"/>
                <w:lang w:val="en-GB"/>
              </w:rPr>
              <w:t>防御能力</w:t>
            </w:r>
          </w:p>
        </w:tc>
        <w:tc>
          <w:tcPr>
            <w:tcW w:w="4077"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hAnsi="宋体"/>
              </w:rPr>
              <w:t>具有流量模型自学习能力，当短时间内大规模爆发的病毒导致网络流量激增时，能自动发现并阻断攻击和异常流量，以保护路由器、交换机、VoIP系统、DNS服务器等网络基础设施免遭各种恶意攻击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pct"/>
            <w:tcBorders>
              <w:top w:val="single" w:color="auto" w:sz="4" w:space="0"/>
              <w:left w:val="single" w:color="auto" w:sz="4" w:space="0"/>
              <w:bottom w:val="single" w:color="auto" w:sz="4" w:space="0"/>
              <w:right w:val="single" w:color="auto" w:sz="4" w:space="0"/>
            </w:tcBorders>
            <w:vAlign w:val="center"/>
          </w:tcPr>
          <w:p>
            <w:pPr>
              <w:rPr>
                <w:rFonts w:ascii="宋体" w:hAnsi="宋体" w:eastAsia="Times New Roman" w:cs="Times New Roman"/>
              </w:rPr>
            </w:pPr>
            <w:r>
              <w:rPr>
                <w:rFonts w:ascii="宋体" w:hAnsi="宋体" w:cs="Times New Roman"/>
              </w:rPr>
              <w:t>攻击分析功能</w:t>
            </w:r>
          </w:p>
        </w:tc>
        <w:tc>
          <w:tcPr>
            <w:tcW w:w="4077"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hAnsi="宋体"/>
                <w:lang w:val="en-GB"/>
              </w:rPr>
              <w:t>应具备攻击快照功能，详细记录触发告警的数据特征，以便做进一步的事件分析</w:t>
            </w:r>
          </w:p>
        </w:tc>
      </w:tr>
    </w:tbl>
    <w:p>
      <w:pPr>
        <w:spacing w:line="276" w:lineRule="auto"/>
        <w:textAlignment w:val="baseline"/>
        <w:rPr>
          <w:rFonts w:ascii="宋体" w:hAnsi="宋体" w:cs="Times New Roman"/>
          <w:kern w:val="0"/>
        </w:rPr>
      </w:pPr>
    </w:p>
    <w:tbl>
      <w:tblPr>
        <w:tblStyle w:val="12"/>
        <w:tblW w:w="460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8"/>
        <w:gridCol w:w="6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6" w:hRule="atLeast"/>
          <w:tblHeader/>
          <w:jc w:val="center"/>
        </w:trPr>
        <w:tc>
          <w:tcPr>
            <w:tcW w:w="5000" w:type="pct"/>
            <w:gridSpan w:val="2"/>
            <w:tcBorders>
              <w:top w:val="single" w:color="auto" w:sz="4" w:space="0"/>
              <w:left w:val="single" w:color="auto" w:sz="4" w:space="0"/>
              <w:bottom w:val="single" w:color="auto" w:sz="4" w:space="0"/>
              <w:right w:val="single" w:color="auto" w:sz="4" w:space="0"/>
            </w:tcBorders>
            <w:shd w:val="clear" w:color="auto" w:fill="FFFFFF"/>
            <w:vAlign w:val="center"/>
          </w:tcPr>
          <w:p>
            <w:pPr>
              <w:rPr>
                <w:rFonts w:ascii="宋体" w:hAnsi="宋体" w:cs="Times New Roman"/>
              </w:rPr>
            </w:pPr>
            <w:r>
              <w:rPr>
                <w:rFonts w:ascii="宋体" w:hAnsi="宋体" w:cs="Times New Roman"/>
                <w:b/>
              </w:rPr>
              <w:t>用途：互联网入侵防御系统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923"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276" w:lineRule="auto"/>
              <w:textAlignment w:val="baseline"/>
              <w:rPr>
                <w:rFonts w:ascii="宋体" w:hAnsi="宋体" w:cs="Times New Roman"/>
                <w:b/>
                <w:kern w:val="0"/>
              </w:rPr>
            </w:pPr>
            <w:r>
              <w:rPr>
                <w:rFonts w:ascii="宋体" w:hAnsi="宋体" w:cs="Times New Roman"/>
                <w:b/>
                <w:kern w:val="0"/>
              </w:rPr>
              <w:t>指标项</w:t>
            </w:r>
          </w:p>
        </w:tc>
        <w:tc>
          <w:tcPr>
            <w:tcW w:w="4077"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276" w:lineRule="auto"/>
              <w:textAlignment w:val="baseline"/>
              <w:rPr>
                <w:rFonts w:ascii="宋体" w:hAnsi="宋体" w:cs="Times New Roman"/>
                <w:b/>
                <w:kern w:val="0"/>
              </w:rPr>
            </w:pPr>
            <w:r>
              <w:rPr>
                <w:rFonts w:ascii="宋体" w:hAnsi="宋体" w:cs="Times New Roman"/>
                <w:b/>
                <w:kern w:val="0"/>
              </w:rPr>
              <w:t>指标要求（除特别说明外，以下为单台设备的配置要求）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923"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ascii="宋体" w:hAnsi="宋体" w:cs="Times New Roman"/>
              </w:rPr>
            </w:pPr>
            <w:r>
              <w:rPr>
                <w:rFonts w:ascii="宋体" w:hAnsi="宋体" w:cs="Times New Roman"/>
              </w:rPr>
              <w:t>功能</w:t>
            </w:r>
          </w:p>
        </w:tc>
        <w:tc>
          <w:tcPr>
            <w:tcW w:w="4077"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ascii="宋体" w:hAnsi="宋体" w:cs="Times New Roman"/>
              </w:rPr>
            </w:pPr>
            <w:r>
              <w:rPr>
                <w:rFonts w:ascii="宋体" w:hAnsi="宋体" w:cs="Times New Roman"/>
              </w:rPr>
              <w:t>安全策略，应用识别与管控，入侵防御，反病毒，DoS/DDoS 攻击防护/检测，SSL 加密流量检测，IPv6 报文检测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923"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ascii="宋体" w:hAnsi="宋体" w:cs="Times New Roman"/>
              </w:rPr>
            </w:pPr>
            <w:r>
              <w:rPr>
                <w:rFonts w:ascii="宋体" w:hAnsi="宋体" w:cs="Times New Roman"/>
              </w:rPr>
              <w:t>入侵防御</w:t>
            </w:r>
          </w:p>
        </w:tc>
        <w:tc>
          <w:tcPr>
            <w:tcW w:w="4077"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ascii="宋体" w:hAnsi="宋体" w:cs="Times New Roman"/>
              </w:rPr>
            </w:pPr>
            <w:r>
              <w:rPr>
                <w:rFonts w:ascii="宋体" w:hAnsi="宋体" w:cs="Times New Roman"/>
              </w:rPr>
              <w:t>准确检测并防御针对操作系统、应用、服务器等各种漏洞的攻击，支持 0 day 攻击防护。可防护各种针对web的攻击，包括SQL注入攻击和跨站脚本攻击等。系统预定义入侵防御签名库数量不得少于10000条且具备CVE和CNNVD编号的签名条目数不得少于8000，支持用户自定义签名规则，支持正则表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923"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ascii="宋体" w:hAnsi="宋体" w:cs="Times New Roman"/>
              </w:rPr>
            </w:pPr>
            <w:r>
              <w:rPr>
                <w:rFonts w:ascii="宋体" w:hAnsi="宋体" w:cs="Times New Roman"/>
              </w:rPr>
              <w:t>防病毒</w:t>
            </w:r>
          </w:p>
        </w:tc>
        <w:tc>
          <w:tcPr>
            <w:tcW w:w="4077"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ascii="宋体" w:hAnsi="宋体" w:cs="Times New Roman"/>
              </w:rPr>
            </w:pPr>
            <w:r>
              <w:rPr>
                <w:rFonts w:ascii="宋体" w:hAnsi="宋体" w:cs="Times New Roman"/>
              </w:rPr>
              <w:t>支持网络防病毒功能，病毒库定时更新，可检出病毒数量≥500万。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923"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ascii="宋体" w:hAnsi="宋体" w:cs="Times New Roman"/>
              </w:rPr>
            </w:pPr>
            <w:r>
              <w:rPr>
                <w:rFonts w:ascii="宋体" w:hAnsi="宋体" w:cs="Times New Roman"/>
              </w:rPr>
              <w:t>应用识别及控制</w:t>
            </w:r>
          </w:p>
        </w:tc>
        <w:tc>
          <w:tcPr>
            <w:tcW w:w="4077"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ascii="宋体" w:hAnsi="宋体" w:cs="Times New Roman"/>
              </w:rPr>
            </w:pPr>
            <w:r>
              <w:rPr>
                <w:rFonts w:ascii="宋体" w:hAnsi="宋体" w:cs="Times New Roman"/>
              </w:rPr>
              <w:t>模块应包括对P2P，IM，网络游戏，炒股软件，语音聊天工具，流媒体，常用邮件以及远程控制软件等的识别和控制，支持不少于6000种的应用识别能力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923"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ascii="宋体" w:hAnsi="宋体" w:cs="Times New Roman"/>
              </w:rPr>
            </w:pPr>
            <w:r>
              <w:rPr>
                <w:rFonts w:ascii="宋体" w:hAnsi="宋体" w:cs="Times New Roman"/>
              </w:rPr>
              <w:t>硬件要求</w:t>
            </w:r>
          </w:p>
        </w:tc>
        <w:tc>
          <w:tcPr>
            <w:tcW w:w="4077"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ascii="宋体" w:hAnsi="宋体" w:cs="Times New Roman"/>
              </w:rPr>
            </w:pPr>
            <w:r>
              <w:rPr>
                <w:rFonts w:ascii="宋体" w:hAnsi="宋体" w:cs="Times New Roman"/>
              </w:rPr>
              <w:t>整机业务扩展插槽≥4，支持双主控、双电源，风扇冗余设计；前后风道；主控板、接口板和业务板分离，电源、风扇、主控板、接口板、业务板支持热插拔；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3" w:hRule="atLeast"/>
          <w:tblHeader/>
          <w:jc w:val="center"/>
        </w:trPr>
        <w:tc>
          <w:tcPr>
            <w:tcW w:w="923"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ascii="宋体" w:hAnsi="宋体" w:cs="Times New Roman"/>
              </w:rPr>
            </w:pPr>
            <w:r>
              <w:rPr>
                <w:rFonts w:ascii="宋体" w:hAnsi="宋体" w:cs="Times New Roman"/>
              </w:rPr>
              <w:t>接口</w:t>
            </w:r>
          </w:p>
        </w:tc>
        <w:tc>
          <w:tcPr>
            <w:tcW w:w="4077"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ascii="宋体" w:hAnsi="宋体" w:cs="Times New Roman"/>
              </w:rPr>
            </w:pPr>
            <w:r>
              <w:rPr>
                <w:rFonts w:ascii="宋体" w:hAnsi="宋体" w:cs="Times New Roman"/>
              </w:rPr>
              <w:t>≥24个10GE光口、≥2个100GE光口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923"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ascii="宋体" w:hAnsi="宋体" w:cs="Times New Roman"/>
              </w:rPr>
            </w:pPr>
            <w:r>
              <w:rPr>
                <w:rFonts w:ascii="宋体" w:hAnsi="宋体" w:cs="Times New Roman"/>
              </w:rPr>
              <w:t>性能</w:t>
            </w:r>
          </w:p>
        </w:tc>
        <w:tc>
          <w:tcPr>
            <w:tcW w:w="4077"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ascii="宋体" w:hAnsi="宋体" w:cs="Times New Roman"/>
              </w:rPr>
            </w:pPr>
            <w:r>
              <w:rPr>
                <w:rFonts w:ascii="宋体" w:hAnsi="宋体" w:cs="Times New Roman"/>
              </w:rPr>
              <w:t>应用层检测吞吐量≥120Gbps，最大并发连接数≥320M，新建会话速率≥4.5M/</w:t>
            </w:r>
            <w:r>
              <w:rPr>
                <w:rFonts w:hint="eastAsia" w:ascii="宋体" w:hAnsi="宋体" w:cs="Times New Roman"/>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923"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ascii="宋体" w:hAnsi="宋体" w:cs="Times New Roman"/>
              </w:rPr>
            </w:pPr>
            <w:r>
              <w:rPr>
                <w:rFonts w:ascii="宋体" w:hAnsi="宋体" w:cs="Times New Roman"/>
              </w:rPr>
              <w:t>路由</w:t>
            </w:r>
          </w:p>
        </w:tc>
        <w:tc>
          <w:tcPr>
            <w:tcW w:w="4077"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ascii="宋体" w:hAnsi="宋体" w:cs="Times New Roman"/>
              </w:rPr>
            </w:pPr>
            <w:r>
              <w:rPr>
                <w:rFonts w:ascii="宋体" w:hAnsi="宋体" w:cs="Times New Roman"/>
              </w:rPr>
              <w:t>支持静态路由、策略路由，OSFP、BGP、ISIS等路由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923"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ascii="宋体" w:hAnsi="宋体" w:cs="Times New Roman"/>
              </w:rPr>
            </w:pPr>
            <w:r>
              <w:rPr>
                <w:rFonts w:ascii="宋体" w:hAnsi="宋体" w:cs="Times New Roman"/>
              </w:rPr>
              <w:t>事件分级</w:t>
            </w:r>
          </w:p>
        </w:tc>
        <w:tc>
          <w:tcPr>
            <w:tcW w:w="4077"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ascii="宋体" w:hAnsi="宋体" w:cs="Times New Roman"/>
              </w:rPr>
            </w:pPr>
            <w:r>
              <w:rPr>
                <w:rFonts w:ascii="宋体" w:hAnsi="宋体" w:cs="Times New Roman"/>
              </w:rPr>
              <w:t>系统支持除了基于攻击事件本身进行严重级别划分，还可以根据攻击与资产相关性关联进行风险级别定义，协助管理员关注实际环境中需要紧急处理的安全告警，提升安全事件响应效率</w:t>
            </w:r>
          </w:p>
        </w:tc>
      </w:tr>
    </w:tbl>
    <w:p>
      <w:pPr>
        <w:spacing w:line="276" w:lineRule="auto"/>
        <w:textAlignment w:val="baseline"/>
        <w:rPr>
          <w:rFonts w:ascii="宋体" w:hAnsi="宋体" w:cs="Times New Roman"/>
          <w:kern w:val="0"/>
        </w:rPr>
      </w:pPr>
    </w:p>
    <w:tbl>
      <w:tblPr>
        <w:tblStyle w:val="12"/>
        <w:tblW w:w="460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8"/>
        <w:gridCol w:w="6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9" w:hRule="atLeast"/>
          <w:tblHeader/>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b/>
              </w:rPr>
            </w:pPr>
            <w:r>
              <w:rPr>
                <w:rFonts w:ascii="宋体" w:hAnsi="宋体" w:cs="Times New Roman"/>
                <w:b/>
              </w:rPr>
              <w:t>用途：漏洞扫描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pct"/>
            <w:tcBorders>
              <w:top w:val="single" w:color="auto" w:sz="4" w:space="0"/>
              <w:left w:val="single" w:color="auto" w:sz="4" w:space="0"/>
              <w:bottom w:val="single" w:color="auto" w:sz="4" w:space="0"/>
              <w:right w:val="single" w:color="auto" w:sz="4" w:space="0"/>
            </w:tcBorders>
            <w:shd w:val="clear" w:color="auto" w:fill="D9D9D9"/>
            <w:vAlign w:val="center"/>
          </w:tcPr>
          <w:p>
            <w:pPr>
              <w:rPr>
                <w:rFonts w:ascii="宋体" w:hAnsi="宋体" w:cs="Times New Roman"/>
                <w:b/>
              </w:rPr>
            </w:pPr>
            <w:r>
              <w:rPr>
                <w:rFonts w:ascii="宋体" w:hAnsi="宋体" w:cs="Times New Roman"/>
                <w:b/>
              </w:rPr>
              <w:t>指标项</w:t>
            </w:r>
          </w:p>
        </w:tc>
        <w:tc>
          <w:tcPr>
            <w:tcW w:w="4077" w:type="pct"/>
            <w:tcBorders>
              <w:top w:val="single" w:color="auto" w:sz="4" w:space="0"/>
              <w:left w:val="single" w:color="auto" w:sz="4" w:space="0"/>
              <w:bottom w:val="single" w:color="auto" w:sz="4" w:space="0"/>
              <w:right w:val="single" w:color="auto" w:sz="4" w:space="0"/>
            </w:tcBorders>
            <w:shd w:val="clear" w:color="auto" w:fill="D9D9D9"/>
            <w:vAlign w:val="center"/>
          </w:tcPr>
          <w:p>
            <w:pPr>
              <w:rPr>
                <w:rFonts w:ascii="宋体" w:hAnsi="宋体" w:cs="Times New Roman"/>
                <w:b/>
              </w:rPr>
            </w:pPr>
            <w:r>
              <w:rPr>
                <w:rFonts w:ascii="宋体" w:hAnsi="宋体" w:cs="Times New Roman"/>
                <w:b/>
              </w:rPr>
              <w:t>指标要求（除特别说明外，以下为单台设备的配置要求）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功能</w:t>
            </w:r>
          </w:p>
        </w:tc>
        <w:tc>
          <w:tcPr>
            <w:tcW w:w="4077"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具备功能：用户管理，用户审计，任务管理，策略管理，扫描功能，资产管理，报表快速查看，报表管理，报告导出，升级功能，检测工具，第三方接口，漏洞验证，无限用户数；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性能</w:t>
            </w:r>
          </w:p>
        </w:tc>
        <w:tc>
          <w:tcPr>
            <w:tcW w:w="4077"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无限IP扫描能力，单任务可并发扫描≥90IP；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923"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接口</w:t>
            </w:r>
          </w:p>
        </w:tc>
        <w:tc>
          <w:tcPr>
            <w:tcW w:w="4077"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≥1*RJ45串口，1*GE管理口，6电口，SFP插槽≥1个。</w:t>
            </w:r>
          </w:p>
        </w:tc>
      </w:tr>
    </w:tbl>
    <w:p>
      <w:pPr>
        <w:spacing w:line="276" w:lineRule="auto"/>
        <w:textAlignment w:val="baseline"/>
        <w:rPr>
          <w:rFonts w:ascii="宋体" w:hAnsi="宋体" w:cs="Times New Roman"/>
          <w:kern w:val="0"/>
        </w:rPr>
      </w:pPr>
    </w:p>
    <w:tbl>
      <w:tblPr>
        <w:tblStyle w:val="12"/>
        <w:tblW w:w="460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0"/>
        <w:gridCol w:w="6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6" w:hRule="atLeast"/>
          <w:tblHeader/>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b/>
                <w:kern w:val="0"/>
              </w:rPr>
              <w:t>用途：流量监控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937" w:type="pct"/>
            <w:tcBorders>
              <w:top w:val="single" w:color="auto" w:sz="4" w:space="0"/>
              <w:left w:val="single" w:color="auto" w:sz="4" w:space="0"/>
              <w:bottom w:val="single" w:color="auto" w:sz="4" w:space="0"/>
              <w:right w:val="single" w:color="auto" w:sz="4" w:space="0"/>
            </w:tcBorders>
            <w:shd w:val="clear" w:color="auto" w:fill="D9D9D9"/>
            <w:vAlign w:val="center"/>
          </w:tcPr>
          <w:p>
            <w:pPr>
              <w:spacing w:line="276" w:lineRule="auto"/>
              <w:textAlignment w:val="baseline"/>
              <w:rPr>
                <w:rFonts w:ascii="宋体" w:hAnsi="宋体" w:cs="Times New Roman"/>
                <w:b/>
                <w:kern w:val="0"/>
              </w:rPr>
            </w:pPr>
            <w:r>
              <w:rPr>
                <w:rFonts w:ascii="宋体" w:hAnsi="宋体" w:cs="Times New Roman"/>
                <w:b/>
                <w:kern w:val="0"/>
              </w:rPr>
              <w:t>指标项</w:t>
            </w:r>
          </w:p>
        </w:tc>
        <w:tc>
          <w:tcPr>
            <w:tcW w:w="4063" w:type="pct"/>
            <w:tcBorders>
              <w:top w:val="single" w:color="auto" w:sz="4" w:space="0"/>
              <w:left w:val="single" w:color="auto" w:sz="4" w:space="0"/>
              <w:bottom w:val="single" w:color="auto" w:sz="4" w:space="0"/>
              <w:right w:val="single" w:color="auto" w:sz="4" w:space="0"/>
            </w:tcBorders>
            <w:shd w:val="clear" w:color="auto" w:fill="D9D9D9"/>
            <w:vAlign w:val="center"/>
          </w:tcPr>
          <w:p>
            <w:pPr>
              <w:spacing w:line="276" w:lineRule="auto"/>
              <w:textAlignment w:val="baseline"/>
              <w:rPr>
                <w:rFonts w:ascii="宋体" w:hAnsi="宋体" w:cs="Times New Roman"/>
                <w:b/>
                <w:kern w:val="0"/>
              </w:rPr>
            </w:pPr>
            <w:r>
              <w:rPr>
                <w:rFonts w:ascii="宋体" w:hAnsi="宋体" w:cs="Times New Roman"/>
                <w:b/>
                <w:kern w:val="0"/>
              </w:rPr>
              <w:t>指标要求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93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硬件参数</w:t>
            </w:r>
          </w:p>
        </w:tc>
        <w:tc>
          <w:tcPr>
            <w:tcW w:w="406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宋体"/>
                <w:kern w:val="0"/>
              </w:rPr>
            </w:pPr>
            <w:r>
              <w:rPr>
                <w:rFonts w:ascii="宋体" w:hAnsi="宋体" w:cs="Times New Roman"/>
                <w:kern w:val="0"/>
              </w:rPr>
              <w:t>接口：≥4个SFP+插槽，≥7个千兆电口；机械硬盘：≥48TB，固态硬盘：≥256G；</w:t>
            </w:r>
            <w:r>
              <w:rPr>
                <w:rFonts w:ascii="宋体" w:hAnsi="宋体" w:cs="宋体"/>
                <w:kern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93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性能</w:t>
            </w:r>
          </w:p>
        </w:tc>
        <w:tc>
          <w:tcPr>
            <w:tcW w:w="406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吞吐量：≥10G，最大并发连接数：≥1200万；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93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功能</w:t>
            </w:r>
          </w:p>
        </w:tc>
        <w:tc>
          <w:tcPr>
            <w:tcW w:w="406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宋体"/>
              </w:rPr>
            </w:pPr>
            <w:r>
              <w:rPr>
                <w:rFonts w:ascii="宋体" w:hAnsi="宋体" w:cs="宋体"/>
              </w:rPr>
              <w:t>支持动态图实时展示访问流量／流向数据；</w:t>
            </w:r>
          </w:p>
          <w:p>
            <w:pPr>
              <w:spacing w:line="276" w:lineRule="auto"/>
              <w:textAlignment w:val="baseline"/>
              <w:rPr>
                <w:rFonts w:ascii="宋体" w:hAnsi="宋体" w:cs="宋体"/>
              </w:rPr>
            </w:pPr>
            <w:r>
              <w:rPr>
                <w:rFonts w:ascii="宋体" w:hAnsi="宋体" w:cs="宋体"/>
              </w:rPr>
              <w:t>检测识别流量的大小、分布、</w:t>
            </w:r>
            <w:r>
              <w:t>TOPN</w:t>
            </w:r>
            <w:r>
              <w:rPr>
                <w:rFonts w:ascii="宋体" w:hAnsi="宋体" w:cs="宋体"/>
              </w:rPr>
              <w:t>排名；</w:t>
            </w:r>
          </w:p>
          <w:p>
            <w:pPr>
              <w:spacing w:line="276" w:lineRule="auto"/>
              <w:textAlignment w:val="baseline"/>
              <w:rPr>
                <w:rFonts w:ascii="宋体" w:hAnsi="宋体" w:cs="宋体"/>
              </w:rPr>
            </w:pPr>
            <w:r>
              <w:rPr>
                <w:rFonts w:ascii="宋体" w:hAnsi="宋体" w:cs="宋体"/>
              </w:rPr>
              <w:t>会话流量记录数据包含记录时间、源地址、源端口、目的地址、目的端口、源</w:t>
            </w:r>
            <w:r>
              <w:t>MAC</w:t>
            </w:r>
            <w:r>
              <w:rPr>
                <w:rFonts w:ascii="宋体" w:hAnsi="宋体" w:cs="宋体"/>
              </w:rPr>
              <w:t>地址、目的</w:t>
            </w:r>
            <w:r>
              <w:t>MAC</w:t>
            </w:r>
            <w:r>
              <w:rPr>
                <w:rFonts w:ascii="宋体" w:hAnsi="宋体" w:cs="宋体"/>
              </w:rPr>
              <w:t>地址、应用、开始时间、持续时间、总字节数、总包个数等关键指；</w:t>
            </w:r>
          </w:p>
          <w:p>
            <w:pPr>
              <w:spacing w:line="276" w:lineRule="auto"/>
              <w:textAlignment w:val="baseline"/>
              <w:rPr>
                <w:rFonts w:ascii="宋体" w:hAnsi="宋体" w:cs="宋体"/>
              </w:rPr>
            </w:pPr>
            <w:r>
              <w:rPr>
                <w:rFonts w:ascii="宋体" w:hAnsi="宋体" w:cs="宋体"/>
              </w:rPr>
              <w:t>支持对网络各层流量进行统计分析形成统计报表、趋势报表、综合报表、对比报表；</w:t>
            </w:r>
          </w:p>
          <w:p>
            <w:pPr>
              <w:spacing w:line="276" w:lineRule="auto"/>
              <w:textAlignment w:val="baseline"/>
              <w:rPr>
                <w:rFonts w:ascii="宋体" w:hAnsi="宋体"/>
              </w:rPr>
            </w:pPr>
            <w:r>
              <w:rPr>
                <w:rFonts w:ascii="宋体" w:hAnsi="宋体" w:cs="宋体"/>
              </w:rPr>
              <w:t>支持大屏展示安全态势感知，支持在地图上按攻击方与被攻击方角度查看安全事件轨迹、支持统计分析和实时动态展示，展示攻击类型、严重等级、严重地理区域、攻击趋势、攻击以及被攻击部门、机构、个人最严重</w:t>
            </w:r>
            <w:r>
              <w:t>TOP</w:t>
            </w:r>
            <w:r>
              <w:rPr>
                <w:rFonts w:ascii="宋体" w:hAnsi="宋体" w:cs="宋体"/>
              </w:rPr>
              <w:t>等信息</w:t>
            </w:r>
            <w:r>
              <w:rPr>
                <w:rFonts w:ascii="宋体" w:hAnsi="宋体"/>
              </w:rPr>
              <w:t>；</w:t>
            </w:r>
          </w:p>
          <w:p>
            <w:pPr>
              <w:spacing w:line="276" w:lineRule="auto"/>
              <w:textAlignment w:val="baseline"/>
              <w:rPr>
                <w:rFonts w:ascii="宋体" w:hAnsi="宋体" w:cs="Times New Roman"/>
                <w:kern w:val="0"/>
              </w:rPr>
            </w:pPr>
            <w:r>
              <w:rPr>
                <w:rFonts w:ascii="宋体" w:hAnsi="宋体" w:cs="宋体"/>
              </w:rPr>
              <w:t>支持高级报表功能，最多可以定制五个维度的业务系统报告和网络流量分析报告报表内容。支持日表、周表、月表、季表、年表等不同周期统计方式，报表提供的形式包括</w:t>
            </w:r>
            <w:r>
              <w:t>pdf</w:t>
            </w:r>
            <w:r>
              <w:rPr>
                <w:rFonts w:ascii="宋体" w:hAnsi="宋体" w:cs="宋体"/>
              </w:rPr>
              <w:t>等形式，支持邮件方式推送</w:t>
            </w:r>
            <w:r>
              <w:rPr>
                <w:rFonts w:ascii="宋体" w:hAnsi="宋体"/>
              </w:rPr>
              <w:t>；</w:t>
            </w:r>
          </w:p>
        </w:tc>
      </w:tr>
    </w:tbl>
    <w:p>
      <w:pPr>
        <w:spacing w:line="276" w:lineRule="auto"/>
        <w:textAlignment w:val="baseline"/>
        <w:rPr>
          <w:rFonts w:ascii="宋体" w:hAnsi="宋体" w:cs="Times New Roman"/>
          <w:kern w:val="0"/>
        </w:rPr>
      </w:pPr>
    </w:p>
    <w:tbl>
      <w:tblPr>
        <w:tblStyle w:val="12"/>
        <w:tblW w:w="460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2"/>
        <w:gridCol w:w="63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blHeader/>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b/>
                <w:kern w:val="0"/>
              </w:rPr>
            </w:pPr>
            <w:r>
              <w:rPr>
                <w:rFonts w:ascii="宋体" w:hAnsi="宋体" w:cs="Times New Roman"/>
                <w:b/>
                <w:kern w:val="0"/>
              </w:rPr>
              <w:t>用途：日志审计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938" w:type="pct"/>
            <w:tcBorders>
              <w:top w:val="single" w:color="auto" w:sz="4" w:space="0"/>
              <w:left w:val="single" w:color="auto" w:sz="4" w:space="0"/>
              <w:bottom w:val="single" w:color="auto" w:sz="4" w:space="0"/>
              <w:right w:val="single" w:color="auto" w:sz="4" w:space="0"/>
            </w:tcBorders>
            <w:shd w:val="clear" w:color="auto" w:fill="D9D9D9"/>
            <w:vAlign w:val="center"/>
          </w:tcPr>
          <w:p>
            <w:pPr>
              <w:spacing w:line="276" w:lineRule="auto"/>
              <w:textAlignment w:val="baseline"/>
              <w:rPr>
                <w:rFonts w:ascii="宋体" w:hAnsi="宋体" w:cs="Times New Roman"/>
                <w:b/>
                <w:kern w:val="0"/>
              </w:rPr>
            </w:pPr>
            <w:r>
              <w:rPr>
                <w:rFonts w:ascii="宋体" w:hAnsi="宋体" w:cs="Times New Roman"/>
                <w:b/>
                <w:kern w:val="0"/>
              </w:rPr>
              <w:t>指标项</w:t>
            </w:r>
          </w:p>
        </w:tc>
        <w:tc>
          <w:tcPr>
            <w:tcW w:w="4063" w:type="pct"/>
            <w:tcBorders>
              <w:top w:val="single" w:color="auto" w:sz="4" w:space="0"/>
              <w:left w:val="single" w:color="auto" w:sz="4" w:space="0"/>
              <w:bottom w:val="single" w:color="auto" w:sz="4" w:space="0"/>
              <w:right w:val="single" w:color="auto" w:sz="4" w:space="0"/>
            </w:tcBorders>
            <w:shd w:val="clear" w:color="auto" w:fill="D9D9D9"/>
            <w:vAlign w:val="center"/>
          </w:tcPr>
          <w:p>
            <w:pPr>
              <w:spacing w:line="276" w:lineRule="auto"/>
              <w:textAlignment w:val="baseline"/>
              <w:rPr>
                <w:rFonts w:ascii="宋体" w:hAnsi="宋体" w:cs="Times New Roman"/>
                <w:b/>
                <w:kern w:val="0"/>
              </w:rPr>
            </w:pPr>
            <w:r>
              <w:rPr>
                <w:rFonts w:ascii="宋体" w:hAnsi="宋体" w:cs="Times New Roman"/>
                <w:b/>
                <w:kern w:val="0"/>
              </w:rPr>
              <w:t>指标要求（除特别说明外，以下为单台设备的配置要求）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938"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功能</w:t>
            </w:r>
          </w:p>
        </w:tc>
        <w:tc>
          <w:tcPr>
            <w:tcW w:w="4063" w:type="pct"/>
            <w:tcBorders>
              <w:top w:val="single" w:color="auto" w:sz="4" w:space="0"/>
              <w:left w:val="single" w:color="auto" w:sz="4" w:space="0"/>
              <w:bottom w:val="single" w:color="auto" w:sz="4" w:space="0"/>
              <w:right w:val="single" w:color="auto" w:sz="4" w:space="0"/>
            </w:tcBorders>
            <w:vAlign w:val="center"/>
          </w:tcPr>
          <w:p>
            <w:pPr>
              <w:pStyle w:val="17"/>
              <w:ind w:firstLine="0" w:firstLineChars="0"/>
              <w:rPr>
                <w:rFonts w:ascii="宋体" w:hAnsi="宋体" w:eastAsia="宋体"/>
                <w:szCs w:val="21"/>
              </w:rPr>
            </w:pPr>
            <w:r>
              <w:rPr>
                <w:rFonts w:hint="eastAsia" w:ascii="宋体" w:hAnsi="宋体" w:eastAsia="宋体"/>
                <w:szCs w:val="21"/>
              </w:rPr>
              <w:t>产品应为国内知名</w:t>
            </w:r>
            <w:r>
              <w:rPr>
                <w:rFonts w:ascii="宋体" w:hAnsi="宋体" w:eastAsia="宋体"/>
                <w:szCs w:val="21"/>
              </w:rPr>
              <w:t>日志云管理软件</w:t>
            </w:r>
            <w:r>
              <w:rPr>
                <w:rFonts w:hint="eastAsia" w:ascii="宋体" w:hAnsi="宋体" w:eastAsia="宋体"/>
                <w:szCs w:val="21"/>
              </w:rPr>
              <w:t>品牌，非</w:t>
            </w:r>
            <w:r>
              <w:rPr>
                <w:rFonts w:ascii="宋体" w:hAnsi="宋体" w:eastAsia="宋体"/>
                <w:szCs w:val="21"/>
              </w:rPr>
              <w:t>OEM产品。</w:t>
            </w:r>
            <w:r>
              <w:rPr>
                <w:rFonts w:hint="eastAsia" w:ascii="宋体" w:hAnsi="宋体" w:eastAsia="宋体"/>
                <w:szCs w:val="21"/>
              </w:rPr>
              <w:t>支持部署在国产操作系统上。</w:t>
            </w:r>
          </w:p>
          <w:p>
            <w:pPr>
              <w:pStyle w:val="17"/>
              <w:ind w:firstLine="0" w:firstLineChars="0"/>
              <w:rPr>
                <w:rFonts w:ascii="宋体" w:hAnsi="宋体" w:eastAsia="宋体"/>
                <w:szCs w:val="21"/>
              </w:rPr>
            </w:pPr>
            <w:r>
              <w:rPr>
                <w:rFonts w:hint="eastAsia" w:ascii="宋体" w:hAnsi="宋体" w:eastAsia="宋体"/>
                <w:szCs w:val="21"/>
              </w:rPr>
              <w:t>采用不低于两个节点的多副本冗余</w:t>
            </w:r>
            <w:r>
              <w:rPr>
                <w:rFonts w:ascii="宋体" w:hAnsi="宋体" w:eastAsia="宋体"/>
                <w:szCs w:val="21"/>
              </w:rPr>
              <w:t>存储集群</w:t>
            </w:r>
            <w:r>
              <w:rPr>
                <w:rFonts w:hint="eastAsia" w:ascii="宋体" w:hAnsi="宋体" w:eastAsia="宋体"/>
                <w:szCs w:val="21"/>
              </w:rPr>
              <w:t>式</w:t>
            </w:r>
            <w:r>
              <w:rPr>
                <w:rFonts w:ascii="宋体" w:hAnsi="宋体" w:eastAsia="宋体"/>
                <w:szCs w:val="21"/>
              </w:rPr>
              <w:t>架构</w:t>
            </w:r>
            <w:r>
              <w:rPr>
                <w:rFonts w:hint="eastAsia" w:ascii="宋体" w:hAnsi="宋体" w:eastAsia="宋体"/>
                <w:szCs w:val="21"/>
              </w:rPr>
              <w:t>，支持副本数≥</w:t>
            </w:r>
            <w:r>
              <w:rPr>
                <w:rFonts w:ascii="宋体" w:hAnsi="宋体" w:eastAsia="宋体"/>
                <w:szCs w:val="21"/>
              </w:rPr>
              <w:t>3</w:t>
            </w:r>
            <w:r>
              <w:rPr>
                <w:rFonts w:hint="eastAsia" w:ascii="宋体" w:hAnsi="宋体" w:eastAsia="宋体"/>
                <w:szCs w:val="21"/>
              </w:rPr>
              <w:t>，</w:t>
            </w:r>
            <w:r>
              <w:rPr>
                <w:rFonts w:ascii="宋体" w:hAnsi="宋体" w:eastAsia="宋体"/>
                <w:szCs w:val="21"/>
              </w:rPr>
              <w:t>支持横向扩展方式，采用分布式数据</w:t>
            </w:r>
            <w:r>
              <w:rPr>
                <w:rFonts w:hint="eastAsia" w:ascii="宋体" w:hAnsi="宋体" w:eastAsia="宋体"/>
                <w:szCs w:val="21"/>
              </w:rPr>
              <w:t>采集与</w:t>
            </w:r>
            <w:r>
              <w:rPr>
                <w:rFonts w:ascii="宋体" w:hAnsi="宋体" w:eastAsia="宋体"/>
                <w:szCs w:val="21"/>
              </w:rPr>
              <w:t>处理机制，</w:t>
            </w:r>
            <w:r>
              <w:rPr>
                <w:rFonts w:hint="eastAsia" w:ascii="宋体" w:hAnsi="宋体" w:eastAsia="宋体"/>
                <w:szCs w:val="21"/>
              </w:rPr>
              <w:t>平台具备至少处理</w:t>
            </w:r>
            <w:r>
              <w:rPr>
                <w:rFonts w:ascii="宋体" w:hAnsi="宋体" w:eastAsia="宋体"/>
                <w:szCs w:val="21"/>
              </w:rPr>
              <w:t>80TB</w:t>
            </w:r>
            <w:r>
              <w:rPr>
                <w:rFonts w:hint="eastAsia" w:ascii="宋体" w:hAnsi="宋体" w:eastAsia="宋体"/>
                <w:szCs w:val="21"/>
              </w:rPr>
              <w:t>日志</w:t>
            </w:r>
            <w:r>
              <w:rPr>
                <w:rFonts w:ascii="宋体" w:hAnsi="宋体" w:eastAsia="宋体"/>
                <w:szCs w:val="21"/>
              </w:rPr>
              <w:t>数据</w:t>
            </w:r>
            <w:r>
              <w:rPr>
                <w:rFonts w:hint="eastAsia" w:ascii="宋体" w:hAnsi="宋体" w:eastAsia="宋体"/>
                <w:szCs w:val="21"/>
              </w:rPr>
              <w:t>量以及3</w:t>
            </w:r>
            <w:r>
              <w:rPr>
                <w:rFonts w:ascii="宋体" w:hAnsi="宋体" w:eastAsia="宋体"/>
                <w:szCs w:val="21"/>
              </w:rPr>
              <w:t>000 个以上的日志来源采集，采集范围包括但不限于网络安全设备、网络设备、数据库、中间件、操作系统、应用系统</w:t>
            </w:r>
            <w:r>
              <w:rPr>
                <w:rFonts w:hint="eastAsia" w:ascii="宋体" w:hAnsi="宋体" w:eastAsia="宋体"/>
                <w:szCs w:val="21"/>
              </w:rPr>
              <w:t>、云平台</w:t>
            </w:r>
            <w:r>
              <w:rPr>
                <w:rFonts w:ascii="宋体" w:hAnsi="宋体" w:eastAsia="宋体"/>
                <w:szCs w:val="21"/>
              </w:rPr>
              <w:t>等。</w:t>
            </w:r>
          </w:p>
          <w:p>
            <w:pPr>
              <w:pStyle w:val="17"/>
              <w:ind w:firstLine="0" w:firstLineChars="0"/>
              <w:rPr>
                <w:rFonts w:ascii="宋体" w:hAnsi="宋体" w:eastAsia="宋体"/>
                <w:szCs w:val="21"/>
              </w:rPr>
            </w:pPr>
            <w:r>
              <w:rPr>
                <w:rFonts w:hint="eastAsia" w:ascii="宋体" w:hAnsi="宋体" w:eastAsia="宋体"/>
                <w:szCs w:val="21"/>
              </w:rPr>
              <w:t>支持接收日志源端使用标准协议推送的日志数据，如</w:t>
            </w:r>
            <w:r>
              <w:rPr>
                <w:rFonts w:ascii="宋体" w:hAnsi="宋体" w:eastAsia="宋体"/>
                <w:szCs w:val="21"/>
              </w:rPr>
              <w:t>Syslog协议、RSyslog协议、SNMP Trap协议，允许使用TCP协议或UDP协议进行日志数据传输。</w:t>
            </w:r>
            <w:r>
              <w:rPr>
                <w:rFonts w:hint="eastAsia" w:ascii="宋体" w:hAnsi="宋体" w:eastAsia="宋体"/>
                <w:szCs w:val="21"/>
              </w:rPr>
              <w:t>支持部署代理客户端采集日志数据</w:t>
            </w:r>
            <w:r>
              <w:rPr>
                <w:rFonts w:ascii="宋体" w:hAnsi="宋体" w:eastAsia="宋体"/>
                <w:szCs w:val="21"/>
              </w:rPr>
              <w:t>。</w:t>
            </w:r>
            <w:r>
              <w:rPr>
                <w:rFonts w:hint="eastAsia" w:ascii="宋体" w:hAnsi="宋体" w:eastAsia="宋体"/>
                <w:szCs w:val="21"/>
              </w:rPr>
              <w:t>支持使用标准协议</w:t>
            </w:r>
            <w:r>
              <w:rPr>
                <w:rFonts w:ascii="宋体" w:hAnsi="宋体" w:eastAsia="宋体"/>
                <w:szCs w:val="21"/>
              </w:rPr>
              <w:t>ODBC协议采集Oracle、MySQL等数据库记录结构化数据，以及运行负载的数据（锁状态，连接状态，缓存状态）。</w:t>
            </w:r>
          </w:p>
          <w:p>
            <w:pPr>
              <w:pStyle w:val="17"/>
              <w:ind w:firstLine="0" w:firstLineChars="0"/>
              <w:rPr>
                <w:rFonts w:ascii="宋体" w:hAnsi="宋体" w:eastAsia="宋体"/>
                <w:szCs w:val="21"/>
              </w:rPr>
            </w:pPr>
            <w:r>
              <w:rPr>
                <w:rFonts w:hint="eastAsia" w:ascii="宋体" w:hAnsi="宋体" w:eastAsia="宋体"/>
                <w:szCs w:val="21"/>
              </w:rPr>
              <w:t>支持百亿级日志数据量存储，并且使用关键字模糊查询、</w:t>
            </w:r>
            <w:r>
              <w:rPr>
                <w:rFonts w:ascii="宋体" w:hAnsi="宋体" w:eastAsia="宋体"/>
                <w:szCs w:val="21"/>
              </w:rPr>
              <w:t>SPL 搜索过程语言对日志内容进行查询、筛选、新增，</w:t>
            </w:r>
            <w:r>
              <w:rPr>
                <w:rFonts w:hint="eastAsia" w:ascii="宋体" w:hAnsi="宋体" w:eastAsia="宋体"/>
                <w:szCs w:val="21"/>
              </w:rPr>
              <w:t>支持按来源、标签、关键字、等任意条件进行组合，能够实现秒级反馈查询结果，支持自定义按字段条件进行内容过滤，可包含多个字段条件过滤，过滤后全局生效和局部生效，支持日志追踪</w:t>
            </w:r>
            <w:r>
              <w:rPr>
                <w:rFonts w:ascii="宋体" w:hAnsi="宋体" w:eastAsia="宋体"/>
                <w:szCs w:val="21"/>
              </w:rPr>
              <w:t>trace命令，实现基于间接关系的日志数据的归集，支持trasaction、rename、parse等丰富的命令语句。</w:t>
            </w:r>
          </w:p>
          <w:p>
            <w:pPr>
              <w:pStyle w:val="17"/>
              <w:ind w:firstLine="0" w:firstLineChars="0"/>
              <w:rPr>
                <w:rFonts w:ascii="宋体" w:hAnsi="宋体" w:eastAsia="宋体"/>
                <w:szCs w:val="21"/>
              </w:rPr>
            </w:pPr>
            <w:r>
              <w:rPr>
                <w:rFonts w:hint="eastAsia" w:ascii="宋体" w:hAnsi="宋体" w:eastAsia="宋体"/>
                <w:szCs w:val="21"/>
              </w:rPr>
              <w:t>支持图谱可视化，可定位时间范围内日志数据中实体对象之间的关系行为与交互频率，将异常操作有关的操作用户、访问来源、前后操作动作用网状图形展示出来，能够轻松定位异常信息对应用户和涉及的威胁动作</w:t>
            </w:r>
          </w:p>
          <w:p>
            <w:pPr>
              <w:pStyle w:val="17"/>
              <w:ind w:firstLine="0" w:firstLineChars="0"/>
              <w:rPr>
                <w:rFonts w:ascii="宋体" w:hAnsi="宋体" w:eastAsia="宋体"/>
                <w:szCs w:val="21"/>
              </w:rPr>
            </w:pPr>
            <w:r>
              <w:rPr>
                <w:rFonts w:hint="eastAsia" w:ascii="宋体" w:hAnsi="宋体" w:eastAsia="宋体"/>
                <w:szCs w:val="21"/>
              </w:rPr>
              <w:t>具备机器学习功能，支持基于时间序列的异常检测，支持单维度异常检测。支持对指标进行历史异常值的检测，支持给出突变的数据、超出波动范围的数据、周期波动的数据等异常点的详细信息。具备及时发现业务请求数、拒绝数、响应时间、流水和订单等数据的异常波动的功能。</w:t>
            </w:r>
          </w:p>
          <w:p>
            <w:pPr>
              <w:pStyle w:val="17"/>
              <w:ind w:firstLine="0" w:firstLineChars="0"/>
              <w:rPr>
                <w:rFonts w:ascii="宋体" w:hAnsi="宋体" w:eastAsia="宋体"/>
                <w:szCs w:val="21"/>
              </w:rPr>
            </w:pPr>
            <w:r>
              <w:rPr>
                <w:rFonts w:hint="eastAsia" w:ascii="宋体" w:hAnsi="宋体" w:eastAsia="宋体"/>
                <w:szCs w:val="21"/>
              </w:rPr>
              <w:t>支持现有灾备云平台的执行日志采集，内置丰富的分析场景和可视化视图，展示备份任务的速度变化、增长情况，对比每日积压数据量情况，耗时、异常等各类情况分析。用图谱可视化分析灾备云的执行日志，展示出不同备份任务的执行顺序以及关联关系，同一主机的备份恢复逻辑线索和频率。</w:t>
            </w:r>
          </w:p>
          <w:p>
            <w:pPr>
              <w:pStyle w:val="17"/>
              <w:ind w:firstLine="0" w:firstLineChars="0"/>
              <w:rPr>
                <w:rFonts w:ascii="宋体" w:hAnsi="宋体" w:eastAsia="宋体"/>
                <w:szCs w:val="21"/>
              </w:rPr>
            </w:pPr>
            <w:r>
              <w:rPr>
                <w:rFonts w:hint="eastAsia" w:ascii="宋体" w:hAnsi="宋体" w:eastAsia="宋体"/>
                <w:szCs w:val="21"/>
              </w:rPr>
              <w:t>提供第三方系统整合，实现按条件策略触发应用系统行为动作，如监控告警的检测条件超出阈值，直接禁止指定用户账号</w:t>
            </w:r>
            <w:r>
              <w:rPr>
                <w:rFonts w:ascii="宋体" w:hAnsi="宋体" w:eastAsia="宋体"/>
                <w:szCs w:val="21"/>
              </w:rPr>
              <w:t>30分钟内无法正常使用。</w:t>
            </w:r>
            <w:r>
              <w:rPr>
                <w:rFonts w:hint="eastAsia" w:ascii="宋体" w:hAnsi="宋体" w:eastAsia="宋体"/>
                <w:szCs w:val="21"/>
              </w:rPr>
              <w:t>支持提供</w:t>
            </w:r>
            <w:r>
              <w:rPr>
                <w:rFonts w:ascii="宋体" w:hAnsi="宋体" w:eastAsia="宋体"/>
                <w:szCs w:val="21"/>
              </w:rPr>
              <w:t>iFrame方式对外提供给第三方平台使用数据，支持API接口的方式与第三方平台对接。</w:t>
            </w:r>
            <w:r>
              <w:rPr>
                <w:rFonts w:hint="eastAsia" w:ascii="宋体" w:hAnsi="宋体" w:eastAsia="宋体"/>
                <w:szCs w:val="21"/>
              </w:rPr>
              <w:t>支持通过kafka实现log</w:t>
            </w:r>
            <w:r>
              <w:rPr>
                <w:rFonts w:ascii="宋体" w:hAnsi="宋体" w:eastAsia="宋体"/>
                <w:szCs w:val="21"/>
              </w:rPr>
              <w:t xml:space="preserve"> </w:t>
            </w:r>
            <w:r>
              <w:rPr>
                <w:rFonts w:hint="eastAsia" w:ascii="宋体" w:hAnsi="宋体" w:eastAsia="宋体"/>
                <w:szCs w:val="21"/>
              </w:rPr>
              <w:t>switch，实现日志实时转发或定时转发。提供数据可视化展示效果的定制开发服务，根据实际需求来设计个性化大屏展示视图。</w:t>
            </w:r>
          </w:p>
        </w:tc>
      </w:tr>
    </w:tbl>
    <w:p>
      <w:pPr>
        <w:spacing w:line="276" w:lineRule="auto"/>
        <w:textAlignment w:val="baseline"/>
        <w:rPr>
          <w:rFonts w:ascii="宋体" w:hAnsi="宋体" w:cs="Times New Roman"/>
          <w:kern w:val="0"/>
        </w:rPr>
      </w:pPr>
    </w:p>
    <w:tbl>
      <w:tblPr>
        <w:tblStyle w:val="12"/>
        <w:tblW w:w="4603" w:type="pct"/>
        <w:jc w:val="center"/>
        <w:tblLayout w:type="autofit"/>
        <w:tblCellMar>
          <w:top w:w="0" w:type="dxa"/>
          <w:left w:w="108" w:type="dxa"/>
          <w:bottom w:w="0" w:type="dxa"/>
          <w:right w:w="108" w:type="dxa"/>
        </w:tblCellMar>
      </w:tblPr>
      <w:tblGrid>
        <w:gridCol w:w="1467"/>
        <w:gridCol w:w="6378"/>
      </w:tblGrid>
      <w:tr>
        <w:tblPrEx>
          <w:tblCellMar>
            <w:top w:w="0" w:type="dxa"/>
            <w:left w:w="108" w:type="dxa"/>
            <w:bottom w:w="0" w:type="dxa"/>
            <w:right w:w="108" w:type="dxa"/>
          </w:tblCellMar>
        </w:tblPrEx>
        <w:trPr>
          <w:trHeight w:val="315" w:hRule="atLeast"/>
          <w:jc w:val="center"/>
        </w:trPr>
        <w:tc>
          <w:tcPr>
            <w:tcW w:w="5000" w:type="pct"/>
            <w:gridSpan w:val="2"/>
            <w:tcBorders>
              <w:top w:val="single" w:color="auto" w:sz="4" w:space="0"/>
              <w:left w:val="single" w:color="auto" w:sz="4" w:space="0"/>
              <w:bottom w:val="single" w:color="auto" w:sz="4" w:space="0"/>
              <w:right w:val="single" w:color="000000" w:sz="4" w:space="0"/>
            </w:tcBorders>
            <w:vAlign w:val="bottom"/>
          </w:tcPr>
          <w:p>
            <w:pPr>
              <w:rPr>
                <w:rFonts w:ascii="宋体" w:hAnsi="宋体" w:cs="宋体"/>
                <w:b/>
                <w:bCs/>
                <w:color w:val="000000"/>
                <w:kern w:val="0"/>
              </w:rPr>
            </w:pPr>
            <w:r>
              <w:rPr>
                <w:rFonts w:ascii="宋体" w:hAnsi="宋体" w:cs="宋体"/>
                <w:b/>
                <w:bCs/>
                <w:color w:val="000000"/>
                <w:kern w:val="0"/>
              </w:rPr>
              <w:t>用途：数据库审计</w:t>
            </w:r>
          </w:p>
        </w:tc>
      </w:tr>
      <w:tr>
        <w:tblPrEx>
          <w:tblCellMar>
            <w:top w:w="0" w:type="dxa"/>
            <w:left w:w="108" w:type="dxa"/>
            <w:bottom w:w="0" w:type="dxa"/>
            <w:right w:w="108" w:type="dxa"/>
          </w:tblCellMar>
        </w:tblPrEx>
        <w:trPr>
          <w:trHeight w:val="305" w:hRule="atLeast"/>
          <w:jc w:val="center"/>
        </w:trPr>
        <w:tc>
          <w:tcPr>
            <w:tcW w:w="935" w:type="pct"/>
            <w:tcBorders>
              <w:top w:val="nil"/>
              <w:left w:val="single" w:color="auto" w:sz="4" w:space="0"/>
              <w:bottom w:val="single" w:color="auto" w:sz="4" w:space="0"/>
              <w:right w:val="single" w:color="auto" w:sz="4" w:space="0"/>
            </w:tcBorders>
            <w:shd w:val="clear" w:color="auto" w:fill="BFBFBF"/>
            <w:vAlign w:val="center"/>
          </w:tcPr>
          <w:p>
            <w:pPr>
              <w:jc w:val="center"/>
              <w:rPr>
                <w:rFonts w:ascii="宋体" w:hAnsi="宋体" w:cs="宋体"/>
                <w:b/>
                <w:color w:val="000000"/>
                <w:kern w:val="0"/>
              </w:rPr>
            </w:pPr>
            <w:r>
              <w:rPr>
                <w:rFonts w:ascii="宋体" w:hAnsi="宋体" w:cs="宋体"/>
                <w:b/>
                <w:color w:val="000000"/>
                <w:kern w:val="0"/>
              </w:rPr>
              <w:t>指标项</w:t>
            </w:r>
          </w:p>
        </w:tc>
        <w:tc>
          <w:tcPr>
            <w:tcW w:w="4064" w:type="pct"/>
            <w:tcBorders>
              <w:top w:val="nil"/>
              <w:left w:val="nil"/>
              <w:bottom w:val="single" w:color="auto" w:sz="4" w:space="0"/>
              <w:right w:val="single" w:color="auto" w:sz="4" w:space="0"/>
            </w:tcBorders>
            <w:shd w:val="clear" w:color="auto" w:fill="BFBFBF"/>
            <w:vAlign w:val="bottom"/>
          </w:tcPr>
          <w:p>
            <w:pPr>
              <w:rPr>
                <w:rFonts w:ascii="宋体" w:hAnsi="宋体" w:cs="宋体"/>
                <w:b/>
                <w:color w:val="000000"/>
                <w:kern w:val="0"/>
              </w:rPr>
            </w:pPr>
            <w:r>
              <w:rPr>
                <w:rFonts w:ascii="宋体" w:hAnsi="宋体" w:cs="宋体"/>
                <w:b/>
                <w:color w:val="000000"/>
                <w:kern w:val="0"/>
              </w:rPr>
              <w:t>指标要求（除特别说明外，以下为单台设备的配置要求）</w:t>
            </w:r>
          </w:p>
        </w:tc>
      </w:tr>
      <w:tr>
        <w:tblPrEx>
          <w:tblCellMar>
            <w:top w:w="0" w:type="dxa"/>
            <w:left w:w="108" w:type="dxa"/>
            <w:bottom w:w="0" w:type="dxa"/>
            <w:right w:w="108" w:type="dxa"/>
          </w:tblCellMar>
        </w:tblPrEx>
        <w:trPr>
          <w:trHeight w:val="305" w:hRule="atLeast"/>
          <w:jc w:val="center"/>
        </w:trPr>
        <w:tc>
          <w:tcPr>
            <w:tcW w:w="935" w:type="pct"/>
            <w:vMerge w:val="restart"/>
            <w:tcBorders>
              <w:top w:val="nil"/>
              <w:left w:val="single" w:color="auto" w:sz="4" w:space="0"/>
              <w:bottom w:val="single" w:color="auto" w:sz="4" w:space="0"/>
              <w:right w:val="single" w:color="auto" w:sz="4" w:space="0"/>
            </w:tcBorders>
            <w:vAlign w:val="center"/>
          </w:tcPr>
          <w:p>
            <w:pPr>
              <w:jc w:val="center"/>
              <w:rPr>
                <w:rFonts w:ascii="宋体" w:hAnsi="宋体" w:cs="宋体"/>
                <w:color w:val="000000"/>
                <w:kern w:val="0"/>
              </w:rPr>
            </w:pPr>
            <w:r>
              <w:rPr>
                <w:rFonts w:ascii="宋体" w:hAnsi="宋体" w:cs="宋体"/>
                <w:color w:val="000000"/>
                <w:kern w:val="0"/>
              </w:rPr>
              <w:t>处理能力</w:t>
            </w:r>
          </w:p>
        </w:tc>
        <w:tc>
          <w:tcPr>
            <w:tcW w:w="4064"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处理纯数据库流量：≥50M/s，日处理业务操作数：≥1亿条；</w:t>
            </w:r>
          </w:p>
        </w:tc>
      </w:tr>
      <w:tr>
        <w:tblPrEx>
          <w:tblCellMar>
            <w:top w:w="0" w:type="dxa"/>
            <w:left w:w="108" w:type="dxa"/>
            <w:bottom w:w="0" w:type="dxa"/>
            <w:right w:w="108" w:type="dxa"/>
          </w:tblCellMar>
        </w:tblPrEx>
        <w:trPr>
          <w:trHeight w:val="305" w:hRule="atLeast"/>
          <w:jc w:val="center"/>
        </w:trPr>
        <w:tc>
          <w:tcPr>
            <w:tcW w:w="935" w:type="pct"/>
            <w:vMerge w:val="continue"/>
            <w:tcBorders>
              <w:top w:val="nil"/>
              <w:left w:val="single" w:color="auto" w:sz="4" w:space="0"/>
              <w:bottom w:val="single" w:color="auto" w:sz="4" w:space="0"/>
              <w:right w:val="single" w:color="auto" w:sz="4" w:space="0"/>
            </w:tcBorders>
            <w:vAlign w:val="center"/>
          </w:tcPr>
          <w:p>
            <w:pPr>
              <w:rPr>
                <w:rFonts w:ascii="宋体" w:hAnsi="宋体" w:cs="宋体"/>
                <w:color w:val="000000"/>
                <w:kern w:val="0"/>
              </w:rPr>
            </w:pPr>
          </w:p>
        </w:tc>
        <w:tc>
          <w:tcPr>
            <w:tcW w:w="4064"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峰值处理能力：</w:t>
            </w:r>
            <w:r>
              <w:rPr>
                <w:rFonts w:ascii="宋体" w:hAnsi="宋体" w:cs="Times New Roman"/>
                <w:kern w:val="0"/>
              </w:rPr>
              <w:t>≥</w:t>
            </w:r>
            <w:r>
              <w:rPr>
                <w:rFonts w:ascii="宋体" w:hAnsi="宋体" w:cs="宋体"/>
                <w:color w:val="000000"/>
                <w:kern w:val="0"/>
              </w:rPr>
              <w:t>2000条/秒；</w:t>
            </w:r>
          </w:p>
        </w:tc>
      </w:tr>
      <w:tr>
        <w:tblPrEx>
          <w:tblCellMar>
            <w:top w:w="0" w:type="dxa"/>
            <w:left w:w="108" w:type="dxa"/>
            <w:bottom w:w="0" w:type="dxa"/>
            <w:right w:w="108" w:type="dxa"/>
          </w:tblCellMar>
        </w:tblPrEx>
        <w:trPr>
          <w:trHeight w:val="305" w:hRule="atLeast"/>
          <w:jc w:val="center"/>
        </w:trPr>
        <w:tc>
          <w:tcPr>
            <w:tcW w:w="935" w:type="pct"/>
            <w:vMerge w:val="continue"/>
            <w:tcBorders>
              <w:top w:val="nil"/>
              <w:left w:val="single" w:color="auto" w:sz="4" w:space="0"/>
              <w:bottom w:val="single" w:color="auto" w:sz="4" w:space="0"/>
              <w:right w:val="single" w:color="auto" w:sz="4" w:space="0"/>
            </w:tcBorders>
            <w:vAlign w:val="center"/>
          </w:tcPr>
          <w:p>
            <w:pPr>
              <w:rPr>
                <w:rFonts w:ascii="宋体" w:hAnsi="宋体" w:cs="宋体"/>
                <w:color w:val="000000"/>
                <w:kern w:val="0"/>
              </w:rPr>
            </w:pPr>
          </w:p>
        </w:tc>
        <w:tc>
          <w:tcPr>
            <w:tcW w:w="4064"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审计日志检索能力：≥1500万条/秒；</w:t>
            </w:r>
          </w:p>
        </w:tc>
      </w:tr>
      <w:tr>
        <w:tblPrEx>
          <w:tblCellMar>
            <w:top w:w="0" w:type="dxa"/>
            <w:left w:w="108" w:type="dxa"/>
            <w:bottom w:w="0" w:type="dxa"/>
            <w:right w:w="108" w:type="dxa"/>
          </w:tblCellMar>
        </w:tblPrEx>
        <w:trPr>
          <w:trHeight w:val="90" w:hRule="atLeast"/>
          <w:jc w:val="center"/>
        </w:trPr>
        <w:tc>
          <w:tcPr>
            <w:tcW w:w="935" w:type="pct"/>
            <w:vMerge w:val="continue"/>
            <w:tcBorders>
              <w:top w:val="nil"/>
              <w:left w:val="single" w:color="auto" w:sz="4" w:space="0"/>
              <w:bottom w:val="single" w:color="000000" w:sz="4" w:space="0"/>
              <w:right w:val="single" w:color="auto" w:sz="4" w:space="0"/>
            </w:tcBorders>
            <w:vAlign w:val="center"/>
          </w:tcPr>
          <w:p>
            <w:pPr>
              <w:rPr>
                <w:rFonts w:ascii="宋体" w:hAnsi="宋体" w:cs="宋体"/>
                <w:color w:val="000000"/>
                <w:kern w:val="0"/>
              </w:rPr>
            </w:pPr>
          </w:p>
        </w:tc>
        <w:tc>
          <w:tcPr>
            <w:tcW w:w="4064" w:type="pct"/>
            <w:tcBorders>
              <w:top w:val="nil"/>
              <w:left w:val="nil"/>
              <w:bottom w:val="single" w:color="auto" w:sz="4" w:space="0"/>
              <w:right w:val="single" w:color="auto" w:sz="4" w:space="0"/>
            </w:tcBorders>
            <w:vAlign w:val="bottom"/>
          </w:tcPr>
          <w:p>
            <w:pPr>
              <w:rPr>
                <w:rFonts w:ascii="宋体" w:hAnsi="宋体" w:cs="宋体"/>
                <w:color w:val="000000"/>
                <w:kern w:val="0"/>
              </w:rPr>
            </w:pPr>
            <w:r>
              <w:rPr>
                <w:rFonts w:ascii="宋体" w:hAnsi="宋体" w:cs="宋体"/>
                <w:color w:val="000000"/>
                <w:kern w:val="0"/>
              </w:rPr>
              <w:t>管理中心和探测器直接的数据传输速率、时间、端口都可自定义；</w:t>
            </w:r>
          </w:p>
        </w:tc>
      </w:tr>
      <w:tr>
        <w:tblPrEx>
          <w:tblCellMar>
            <w:top w:w="0" w:type="dxa"/>
            <w:left w:w="108" w:type="dxa"/>
            <w:bottom w:w="0" w:type="dxa"/>
            <w:right w:w="108" w:type="dxa"/>
          </w:tblCellMar>
        </w:tblPrEx>
        <w:trPr>
          <w:trHeight w:val="305" w:hRule="atLeast"/>
          <w:jc w:val="center"/>
        </w:trPr>
        <w:tc>
          <w:tcPr>
            <w:tcW w:w="935" w:type="pct"/>
            <w:vMerge w:val="restart"/>
            <w:tcBorders>
              <w:top w:val="nil"/>
              <w:left w:val="single" w:color="auto" w:sz="4" w:space="0"/>
              <w:bottom w:val="single" w:color="000000" w:sz="4" w:space="0"/>
              <w:right w:val="single" w:color="auto" w:sz="4" w:space="0"/>
            </w:tcBorders>
            <w:vAlign w:val="center"/>
          </w:tcPr>
          <w:p>
            <w:pPr>
              <w:jc w:val="center"/>
              <w:rPr>
                <w:rFonts w:ascii="宋体" w:hAnsi="宋体" w:cs="宋体"/>
                <w:color w:val="000000"/>
                <w:kern w:val="0"/>
              </w:rPr>
            </w:pPr>
            <w:r>
              <w:rPr>
                <w:rFonts w:ascii="宋体" w:hAnsi="宋体" w:cs="宋体"/>
                <w:color w:val="000000"/>
                <w:kern w:val="0"/>
              </w:rPr>
              <w:t>协议支持</w:t>
            </w:r>
          </w:p>
        </w:tc>
        <w:tc>
          <w:tcPr>
            <w:tcW w:w="4064" w:type="pct"/>
            <w:tcBorders>
              <w:top w:val="nil"/>
              <w:left w:val="nil"/>
              <w:bottom w:val="single" w:color="auto" w:sz="4" w:space="0"/>
              <w:right w:val="single" w:color="auto" w:sz="4" w:space="0"/>
            </w:tcBorders>
            <w:vAlign w:val="bottom"/>
          </w:tcPr>
          <w:p>
            <w:pPr>
              <w:rPr>
                <w:rFonts w:ascii="宋体" w:hAnsi="宋体" w:cs="宋体"/>
                <w:color w:val="000000"/>
                <w:kern w:val="0"/>
              </w:rPr>
            </w:pPr>
            <w:r>
              <w:rPr>
                <w:rFonts w:ascii="宋体" w:hAnsi="宋体" w:cs="宋体"/>
                <w:color w:val="000000"/>
                <w:kern w:val="0"/>
              </w:rPr>
              <w:t>支持PostgreSQL、HANA、Teradata、Cache、人大金仓、达梦、南大通用数据库审计；</w:t>
            </w:r>
          </w:p>
        </w:tc>
      </w:tr>
      <w:tr>
        <w:tblPrEx>
          <w:tblCellMar>
            <w:top w:w="0" w:type="dxa"/>
            <w:left w:w="108" w:type="dxa"/>
            <w:bottom w:w="0" w:type="dxa"/>
            <w:right w:w="108" w:type="dxa"/>
          </w:tblCellMar>
        </w:tblPrEx>
        <w:trPr>
          <w:trHeight w:val="305" w:hRule="atLeast"/>
          <w:jc w:val="center"/>
        </w:trPr>
        <w:tc>
          <w:tcPr>
            <w:tcW w:w="935" w:type="pct"/>
            <w:vMerge w:val="continue"/>
            <w:tcBorders>
              <w:top w:val="nil"/>
              <w:left w:val="single" w:color="auto" w:sz="4" w:space="0"/>
              <w:bottom w:val="single" w:color="000000" w:sz="4" w:space="0"/>
              <w:right w:val="single" w:color="auto" w:sz="4" w:space="0"/>
            </w:tcBorders>
            <w:vAlign w:val="center"/>
          </w:tcPr>
          <w:p>
            <w:pPr>
              <w:rPr>
                <w:rFonts w:ascii="宋体" w:hAnsi="宋体" w:cs="宋体"/>
                <w:color w:val="000000"/>
                <w:kern w:val="0"/>
              </w:rPr>
            </w:pPr>
          </w:p>
        </w:tc>
        <w:tc>
          <w:tcPr>
            <w:tcW w:w="4064" w:type="pct"/>
            <w:tcBorders>
              <w:top w:val="nil"/>
              <w:left w:val="nil"/>
              <w:bottom w:val="single" w:color="auto" w:sz="4" w:space="0"/>
              <w:right w:val="single" w:color="auto" w:sz="4" w:space="0"/>
            </w:tcBorders>
            <w:vAlign w:val="bottom"/>
          </w:tcPr>
          <w:p>
            <w:pPr>
              <w:rPr>
                <w:rFonts w:ascii="宋体" w:hAnsi="宋体" w:cs="宋体"/>
                <w:color w:val="000000"/>
                <w:kern w:val="0"/>
              </w:rPr>
            </w:pPr>
            <w:r>
              <w:rPr>
                <w:rFonts w:ascii="宋体" w:hAnsi="宋体" w:cs="宋体"/>
                <w:color w:val="000000"/>
                <w:kern w:val="0"/>
              </w:rPr>
              <w:t>支持MongoDB、Hbase非关系型数据库审计；</w:t>
            </w:r>
          </w:p>
        </w:tc>
      </w:tr>
      <w:tr>
        <w:tblPrEx>
          <w:tblCellMar>
            <w:top w:w="0" w:type="dxa"/>
            <w:left w:w="108" w:type="dxa"/>
            <w:bottom w:w="0" w:type="dxa"/>
            <w:right w:w="108" w:type="dxa"/>
          </w:tblCellMar>
        </w:tblPrEx>
        <w:trPr>
          <w:trHeight w:val="305" w:hRule="atLeast"/>
          <w:jc w:val="center"/>
        </w:trPr>
        <w:tc>
          <w:tcPr>
            <w:tcW w:w="935" w:type="pct"/>
            <w:vMerge w:val="continue"/>
            <w:tcBorders>
              <w:top w:val="nil"/>
              <w:left w:val="single" w:color="auto" w:sz="4" w:space="0"/>
              <w:bottom w:val="single" w:color="000000" w:sz="4" w:space="0"/>
              <w:right w:val="single" w:color="auto" w:sz="4" w:space="0"/>
            </w:tcBorders>
            <w:vAlign w:val="center"/>
          </w:tcPr>
          <w:p>
            <w:pPr>
              <w:rPr>
                <w:rFonts w:ascii="宋体" w:hAnsi="宋体" w:cs="宋体"/>
                <w:color w:val="000000"/>
                <w:kern w:val="0"/>
              </w:rPr>
            </w:pPr>
          </w:p>
        </w:tc>
        <w:tc>
          <w:tcPr>
            <w:tcW w:w="4064" w:type="pct"/>
            <w:tcBorders>
              <w:top w:val="nil"/>
              <w:left w:val="nil"/>
              <w:bottom w:val="single" w:color="auto" w:sz="4" w:space="0"/>
              <w:right w:val="single" w:color="auto" w:sz="4" w:space="0"/>
            </w:tcBorders>
            <w:vAlign w:val="bottom"/>
          </w:tcPr>
          <w:p>
            <w:pPr>
              <w:rPr>
                <w:rFonts w:ascii="宋体" w:hAnsi="宋体" w:cs="宋体"/>
                <w:color w:val="000000"/>
                <w:kern w:val="0"/>
              </w:rPr>
            </w:pPr>
            <w:r>
              <w:rPr>
                <w:rFonts w:ascii="宋体" w:hAnsi="宋体" w:cs="宋体"/>
                <w:color w:val="000000"/>
                <w:kern w:val="0"/>
              </w:rPr>
              <w:t>支持主流业务协议 HTTP、Telnet、FTP；</w:t>
            </w:r>
          </w:p>
        </w:tc>
      </w:tr>
      <w:tr>
        <w:tblPrEx>
          <w:tblCellMar>
            <w:top w:w="0" w:type="dxa"/>
            <w:left w:w="108" w:type="dxa"/>
            <w:bottom w:w="0" w:type="dxa"/>
            <w:right w:w="108" w:type="dxa"/>
          </w:tblCellMar>
        </w:tblPrEx>
        <w:trPr>
          <w:trHeight w:val="533" w:hRule="atLeast"/>
          <w:jc w:val="center"/>
        </w:trPr>
        <w:tc>
          <w:tcPr>
            <w:tcW w:w="935" w:type="pct"/>
            <w:vMerge w:val="continue"/>
            <w:tcBorders>
              <w:top w:val="nil"/>
              <w:left w:val="single" w:color="auto" w:sz="4" w:space="0"/>
              <w:bottom w:val="single" w:color="000000" w:sz="4" w:space="0"/>
              <w:right w:val="single" w:color="auto" w:sz="4" w:space="0"/>
            </w:tcBorders>
            <w:vAlign w:val="center"/>
          </w:tcPr>
          <w:p>
            <w:pPr>
              <w:rPr>
                <w:rFonts w:ascii="宋体" w:hAnsi="宋体" w:cs="宋体"/>
                <w:color w:val="000000"/>
                <w:kern w:val="0"/>
              </w:rPr>
            </w:pPr>
          </w:p>
        </w:tc>
        <w:tc>
          <w:tcPr>
            <w:tcW w:w="4064" w:type="pct"/>
            <w:tcBorders>
              <w:top w:val="nil"/>
              <w:left w:val="nil"/>
              <w:bottom w:val="single" w:color="auto" w:sz="4" w:space="0"/>
              <w:right w:val="single" w:color="auto" w:sz="4" w:space="0"/>
            </w:tcBorders>
            <w:vAlign w:val="bottom"/>
          </w:tcPr>
          <w:p>
            <w:pPr>
              <w:rPr>
                <w:rFonts w:ascii="宋体" w:hAnsi="宋体" w:cs="宋体"/>
                <w:color w:val="000000"/>
                <w:kern w:val="0"/>
              </w:rPr>
            </w:pPr>
            <w:r>
              <w:rPr>
                <w:rFonts w:ascii="宋体" w:hAnsi="宋体" w:cs="宋体"/>
                <w:color w:val="000000"/>
                <w:kern w:val="0"/>
              </w:rPr>
              <w:t>支持对SQL server（2005及以上版本）数据库采用加密协议通讯，可以通过导入证书的方式实现审计和防护；</w:t>
            </w:r>
          </w:p>
        </w:tc>
      </w:tr>
      <w:tr>
        <w:tblPrEx>
          <w:tblCellMar>
            <w:top w:w="0" w:type="dxa"/>
            <w:left w:w="108" w:type="dxa"/>
            <w:bottom w:w="0" w:type="dxa"/>
            <w:right w:w="108" w:type="dxa"/>
          </w:tblCellMar>
        </w:tblPrEx>
        <w:trPr>
          <w:trHeight w:val="305" w:hRule="atLeast"/>
          <w:jc w:val="center"/>
        </w:trPr>
        <w:tc>
          <w:tcPr>
            <w:tcW w:w="935" w:type="pct"/>
            <w:vMerge w:val="continue"/>
            <w:tcBorders>
              <w:top w:val="nil"/>
              <w:left w:val="single" w:color="auto" w:sz="4" w:space="0"/>
              <w:bottom w:val="single" w:color="000000" w:sz="4" w:space="0"/>
              <w:right w:val="single" w:color="auto" w:sz="4" w:space="0"/>
            </w:tcBorders>
            <w:vAlign w:val="center"/>
          </w:tcPr>
          <w:p>
            <w:pPr>
              <w:rPr>
                <w:rFonts w:ascii="宋体" w:hAnsi="宋体" w:cs="宋体"/>
                <w:color w:val="000000"/>
                <w:kern w:val="0"/>
              </w:rPr>
            </w:pPr>
          </w:p>
        </w:tc>
        <w:tc>
          <w:tcPr>
            <w:tcW w:w="4064" w:type="pct"/>
            <w:tcBorders>
              <w:top w:val="nil"/>
              <w:left w:val="nil"/>
              <w:bottom w:val="single" w:color="auto" w:sz="4" w:space="0"/>
              <w:right w:val="single" w:color="auto" w:sz="4" w:space="0"/>
            </w:tcBorders>
            <w:vAlign w:val="bottom"/>
          </w:tcPr>
          <w:p>
            <w:pPr>
              <w:rPr>
                <w:rFonts w:ascii="宋体" w:hAnsi="宋体" w:cs="宋体"/>
                <w:color w:val="000000"/>
                <w:kern w:val="0"/>
              </w:rPr>
            </w:pPr>
            <w:r>
              <w:rPr>
                <w:rFonts w:ascii="宋体" w:hAnsi="宋体" w:cs="宋体"/>
                <w:color w:val="000000"/>
                <w:kern w:val="0"/>
              </w:rPr>
              <w:t>支持跨语句、跨多包的绑定变量名及绑定变量值的审计</w:t>
            </w:r>
          </w:p>
        </w:tc>
      </w:tr>
      <w:tr>
        <w:tblPrEx>
          <w:tblCellMar>
            <w:top w:w="0" w:type="dxa"/>
            <w:left w:w="108" w:type="dxa"/>
            <w:bottom w:w="0" w:type="dxa"/>
            <w:right w:w="108" w:type="dxa"/>
          </w:tblCellMar>
        </w:tblPrEx>
        <w:trPr>
          <w:trHeight w:val="305" w:hRule="atLeast"/>
          <w:jc w:val="center"/>
        </w:trPr>
        <w:tc>
          <w:tcPr>
            <w:tcW w:w="935" w:type="pct"/>
            <w:vMerge w:val="continue"/>
            <w:tcBorders>
              <w:top w:val="nil"/>
              <w:left w:val="single" w:color="auto" w:sz="4" w:space="0"/>
              <w:bottom w:val="single" w:color="000000" w:sz="4" w:space="0"/>
              <w:right w:val="single" w:color="auto" w:sz="4" w:space="0"/>
            </w:tcBorders>
            <w:vAlign w:val="center"/>
          </w:tcPr>
          <w:p>
            <w:pPr>
              <w:rPr>
                <w:rFonts w:ascii="宋体" w:hAnsi="宋体" w:cs="宋体"/>
                <w:color w:val="000000"/>
                <w:kern w:val="0"/>
              </w:rPr>
            </w:pPr>
          </w:p>
        </w:tc>
        <w:tc>
          <w:tcPr>
            <w:tcW w:w="4064" w:type="pct"/>
            <w:tcBorders>
              <w:top w:val="nil"/>
              <w:left w:val="nil"/>
              <w:bottom w:val="single" w:color="auto" w:sz="4" w:space="0"/>
              <w:right w:val="single" w:color="auto" w:sz="4" w:space="0"/>
            </w:tcBorders>
            <w:vAlign w:val="bottom"/>
          </w:tcPr>
          <w:p>
            <w:pPr>
              <w:rPr>
                <w:rFonts w:ascii="宋体" w:hAnsi="宋体" w:cs="宋体"/>
                <w:color w:val="000000"/>
                <w:kern w:val="0"/>
              </w:rPr>
            </w:pPr>
            <w:r>
              <w:rPr>
                <w:rFonts w:ascii="宋体" w:hAnsi="宋体" w:cs="宋体"/>
                <w:color w:val="000000"/>
                <w:kern w:val="0"/>
              </w:rPr>
              <w:t>内置安全特征库不少于300条，如SQL注入、缓冲区溢出、弱口令等；</w:t>
            </w:r>
          </w:p>
        </w:tc>
      </w:tr>
      <w:tr>
        <w:tblPrEx>
          <w:tblCellMar>
            <w:top w:w="0" w:type="dxa"/>
            <w:left w:w="108" w:type="dxa"/>
            <w:bottom w:w="0" w:type="dxa"/>
            <w:right w:w="108" w:type="dxa"/>
          </w:tblCellMar>
        </w:tblPrEx>
        <w:trPr>
          <w:trHeight w:val="305" w:hRule="atLeast"/>
          <w:jc w:val="center"/>
        </w:trPr>
        <w:tc>
          <w:tcPr>
            <w:tcW w:w="935" w:type="pct"/>
            <w:vMerge w:val="continue"/>
            <w:tcBorders>
              <w:top w:val="nil"/>
              <w:left w:val="single" w:color="auto" w:sz="4" w:space="0"/>
              <w:bottom w:val="single" w:color="000000" w:sz="4" w:space="0"/>
              <w:right w:val="single" w:color="auto" w:sz="4" w:space="0"/>
            </w:tcBorders>
            <w:vAlign w:val="center"/>
          </w:tcPr>
          <w:p>
            <w:pPr>
              <w:rPr>
                <w:rFonts w:ascii="宋体" w:hAnsi="宋体" w:cs="宋体"/>
                <w:color w:val="000000"/>
                <w:kern w:val="0"/>
              </w:rPr>
            </w:pPr>
          </w:p>
        </w:tc>
        <w:tc>
          <w:tcPr>
            <w:tcW w:w="4064" w:type="pct"/>
            <w:tcBorders>
              <w:top w:val="nil"/>
              <w:left w:val="nil"/>
              <w:bottom w:val="single" w:color="auto" w:sz="4" w:space="0"/>
              <w:right w:val="single" w:color="auto" w:sz="4" w:space="0"/>
            </w:tcBorders>
            <w:vAlign w:val="bottom"/>
          </w:tcPr>
          <w:p>
            <w:pPr>
              <w:rPr>
                <w:rFonts w:ascii="宋体" w:hAnsi="宋体" w:cs="宋体"/>
                <w:color w:val="000000"/>
                <w:kern w:val="0"/>
              </w:rPr>
            </w:pPr>
            <w:r>
              <w:rPr>
                <w:rFonts w:ascii="宋体" w:hAnsi="宋体" w:cs="宋体"/>
                <w:color w:val="000000"/>
                <w:kern w:val="0"/>
              </w:rPr>
              <w:t>可自定义审计规则，审计规则至少支持18个条件；</w:t>
            </w:r>
          </w:p>
        </w:tc>
      </w:tr>
    </w:tbl>
    <w:p>
      <w:pPr>
        <w:spacing w:line="276" w:lineRule="auto"/>
        <w:textAlignment w:val="baseline"/>
        <w:rPr>
          <w:rFonts w:ascii="宋体" w:hAnsi="宋体" w:cs="Times New Roman"/>
          <w:kern w:val="0"/>
        </w:rPr>
      </w:pPr>
    </w:p>
    <w:tbl>
      <w:tblPr>
        <w:tblStyle w:val="12"/>
        <w:tblW w:w="460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2"/>
        <w:gridCol w:w="63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blHeader/>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b/>
                <w:bCs/>
              </w:rPr>
            </w:pPr>
            <w:r>
              <w:rPr>
                <w:rFonts w:ascii="宋体" w:hAnsi="宋体" w:cs="Times New Roman"/>
                <w:b/>
                <w:bCs/>
              </w:rPr>
              <w:t>用途：网闸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38" w:type="pct"/>
            <w:tcBorders>
              <w:top w:val="single" w:color="auto" w:sz="4" w:space="0"/>
              <w:left w:val="single" w:color="auto" w:sz="4" w:space="0"/>
              <w:bottom w:val="single" w:color="auto" w:sz="4" w:space="0"/>
              <w:right w:val="single" w:color="auto" w:sz="4" w:space="0"/>
            </w:tcBorders>
            <w:shd w:val="clear" w:color="auto" w:fill="D9D9D9"/>
            <w:vAlign w:val="center"/>
          </w:tcPr>
          <w:p>
            <w:pPr>
              <w:rPr>
                <w:rFonts w:ascii="宋体" w:hAnsi="宋体" w:cs="Times New Roman"/>
                <w:b/>
                <w:bCs/>
              </w:rPr>
            </w:pPr>
            <w:r>
              <w:rPr>
                <w:rFonts w:ascii="宋体" w:hAnsi="宋体" w:cs="Times New Roman"/>
                <w:b/>
                <w:bCs/>
              </w:rPr>
              <w:t>指标项</w:t>
            </w:r>
          </w:p>
        </w:tc>
        <w:tc>
          <w:tcPr>
            <w:tcW w:w="4063" w:type="pct"/>
            <w:tcBorders>
              <w:top w:val="single" w:color="auto" w:sz="4" w:space="0"/>
              <w:left w:val="single" w:color="auto" w:sz="4" w:space="0"/>
              <w:bottom w:val="single" w:color="auto" w:sz="4" w:space="0"/>
              <w:right w:val="single" w:color="auto" w:sz="4" w:space="0"/>
            </w:tcBorders>
            <w:shd w:val="clear" w:color="auto" w:fill="D9D9D9"/>
            <w:vAlign w:val="center"/>
          </w:tcPr>
          <w:p>
            <w:pPr>
              <w:rPr>
                <w:rFonts w:ascii="宋体" w:hAnsi="宋体" w:cs="Times New Roman"/>
                <w:b/>
                <w:bCs/>
              </w:rPr>
            </w:pPr>
            <w:r>
              <w:rPr>
                <w:rFonts w:ascii="宋体" w:hAnsi="宋体" w:cs="Times New Roman"/>
                <w:b/>
                <w:bCs/>
              </w:rPr>
              <w:t>指标要求（除特别说明外，以下为单台设备的配置要求）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38"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吞吐量</w:t>
            </w:r>
          </w:p>
        </w:tc>
        <w:tc>
          <w:tcPr>
            <w:tcW w:w="4063"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吞吐量</w:t>
            </w:r>
            <w:r>
              <w:rPr>
                <w:rFonts w:ascii="宋体" w:hAnsi="宋体" w:cs="Times New Roman"/>
                <w:kern w:val="0"/>
              </w:rPr>
              <w:t>≥</w:t>
            </w:r>
            <w:r>
              <w:rPr>
                <w:rFonts w:ascii="宋体" w:hAnsi="宋体" w:cs="Times New Roman"/>
              </w:rPr>
              <w:t>9000Mbps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38"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内网接口</w:t>
            </w:r>
          </w:p>
        </w:tc>
        <w:tc>
          <w:tcPr>
            <w:tcW w:w="4063"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kern w:val="0"/>
              </w:rPr>
              <w:t>≥</w:t>
            </w:r>
            <w:r>
              <w:rPr>
                <w:rFonts w:ascii="宋体" w:hAnsi="宋体" w:cs="Times New Roman"/>
              </w:rPr>
              <w:t>6个10/100/1000M电口，4个SFP插槽，4个SFP+插槽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38"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外网接口</w:t>
            </w:r>
          </w:p>
        </w:tc>
        <w:tc>
          <w:tcPr>
            <w:tcW w:w="4063"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kern w:val="0"/>
              </w:rPr>
              <w:t>≥</w:t>
            </w:r>
            <w:r>
              <w:rPr>
                <w:rFonts w:ascii="宋体" w:hAnsi="宋体" w:cs="Times New Roman"/>
              </w:rPr>
              <w:t>6个10/100/1000M电口，4个SFP插槽，4个SFP+插槽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38"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最大在线连接数</w:t>
            </w:r>
          </w:p>
        </w:tc>
        <w:tc>
          <w:tcPr>
            <w:tcW w:w="4063"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并发连接数</w:t>
            </w:r>
            <w:r>
              <w:rPr>
                <w:rFonts w:ascii="宋体" w:hAnsi="宋体" w:cs="Times New Roman"/>
                <w:kern w:val="0"/>
              </w:rPr>
              <w:t>≥</w:t>
            </w:r>
            <w:r>
              <w:rPr>
                <w:rFonts w:ascii="宋体" w:hAnsi="宋体" w:cs="Times New Roman"/>
              </w:rPr>
              <w:t>60万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38"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延时</w:t>
            </w:r>
          </w:p>
        </w:tc>
        <w:tc>
          <w:tcPr>
            <w:tcW w:w="4063"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小于1ms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38"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产品资质</w:t>
            </w:r>
          </w:p>
        </w:tc>
        <w:tc>
          <w:tcPr>
            <w:tcW w:w="4063"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产品需满足GB/T 20279-2015 网络隔离产品增强级要求。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38"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系统架构</w:t>
            </w:r>
          </w:p>
        </w:tc>
        <w:tc>
          <w:tcPr>
            <w:tcW w:w="4063"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采用“2+1”系统架构，即由两个主机系统和一个隔离交换专用硬件组成；隔离交换矩阵基于专用芯片实现，保证数据在搬移的时间内，内、外网隔离卡与内、外网系统为断开状态。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38"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双机热备</w:t>
            </w:r>
          </w:p>
        </w:tc>
        <w:tc>
          <w:tcPr>
            <w:tcW w:w="4063"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通过独立的热备接口实现双机热备；支持IP探测</w:t>
            </w:r>
          </w:p>
          <w:p>
            <w:pPr>
              <w:rPr>
                <w:rFonts w:ascii="宋体" w:hAnsi="宋体" w:cs="Times New Roman"/>
              </w:rPr>
            </w:pPr>
            <w:r>
              <w:rPr>
                <w:rFonts w:ascii="宋体" w:hAnsi="宋体" w:cs="Times New Roman"/>
              </w:rPr>
              <w:t>支持抢占模式；</w:t>
            </w:r>
          </w:p>
          <w:p>
            <w:pPr>
              <w:rPr>
                <w:rFonts w:ascii="宋体" w:hAnsi="宋体" w:cs="Times New Roman"/>
              </w:rPr>
            </w:pPr>
            <w:r>
              <w:rPr>
                <w:rFonts w:ascii="宋体" w:hAnsi="宋体" w:cs="Times New Roman"/>
              </w:rPr>
              <w:t>支持配置同步；</w:t>
            </w:r>
          </w:p>
          <w:p>
            <w:pPr>
              <w:rPr>
                <w:rFonts w:ascii="宋体" w:hAnsi="宋体" w:cs="Times New Roman"/>
              </w:rPr>
            </w:pPr>
            <w:r>
              <w:rPr>
                <w:rFonts w:ascii="宋体" w:hAnsi="宋体" w:cs="Times New Roman"/>
              </w:rPr>
              <w:t>支持主、备状态实时展示；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38" w:type="pct"/>
            <w:vMerge w:val="restart"/>
            <w:tcBorders>
              <w:top w:val="single" w:color="auto" w:sz="4" w:space="0"/>
              <w:left w:val="single" w:color="auto" w:sz="4" w:space="0"/>
              <w:right w:val="single" w:color="auto" w:sz="4" w:space="0"/>
            </w:tcBorders>
            <w:vAlign w:val="center"/>
          </w:tcPr>
          <w:p>
            <w:pPr>
              <w:rPr>
                <w:rFonts w:ascii="宋体" w:hAnsi="宋体" w:cs="Times New Roman"/>
              </w:rPr>
            </w:pPr>
            <w:r>
              <w:rPr>
                <w:rFonts w:ascii="宋体" w:hAnsi="宋体" w:cs="Times New Roman"/>
              </w:rPr>
              <w:t>功能要求</w:t>
            </w:r>
          </w:p>
        </w:tc>
        <w:tc>
          <w:tcPr>
            <w:tcW w:w="4063"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支持4对或以上链路同时隔离；为两个物理隔离的网络提供安全数据交换，以降低直接的网络连接导致可能的数据泄露和篡改风险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38" w:type="pct"/>
            <w:vMerge w:val="continue"/>
            <w:tcBorders>
              <w:left w:val="single" w:color="auto" w:sz="4" w:space="0"/>
              <w:right w:val="single" w:color="auto" w:sz="4" w:space="0"/>
            </w:tcBorders>
            <w:vAlign w:val="center"/>
          </w:tcPr>
          <w:p>
            <w:pPr>
              <w:rPr>
                <w:rFonts w:ascii="宋体" w:hAnsi="宋体" w:cs="Times New Roman"/>
              </w:rPr>
            </w:pPr>
          </w:p>
        </w:tc>
        <w:tc>
          <w:tcPr>
            <w:tcW w:w="4063"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支持IPV6/IPV4双栈接入；支持接口冗余模式设置包括：轮询、热备、链路聚合协议。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38" w:type="pct"/>
            <w:vMerge w:val="continue"/>
            <w:tcBorders>
              <w:left w:val="single" w:color="auto" w:sz="4" w:space="0"/>
              <w:bottom w:val="single" w:color="auto" w:sz="4" w:space="0"/>
              <w:right w:val="single" w:color="auto" w:sz="4" w:space="0"/>
            </w:tcBorders>
            <w:vAlign w:val="center"/>
          </w:tcPr>
          <w:p>
            <w:pPr>
              <w:rPr>
                <w:rFonts w:ascii="宋体" w:hAnsi="宋体" w:cs="Times New Roman"/>
              </w:rPr>
            </w:pPr>
          </w:p>
        </w:tc>
        <w:tc>
          <w:tcPr>
            <w:tcW w:w="4063"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支持多种安全访问方式，比如普通访问模式、透明访问模式、同一个IP多个端口等访问模式；</w:t>
            </w:r>
          </w:p>
          <w:p>
            <w:pPr>
              <w:rPr>
                <w:rFonts w:ascii="宋体" w:hAnsi="宋体" w:cs="Times New Roman"/>
              </w:rPr>
            </w:pPr>
            <w:r>
              <w:rPr>
                <w:rFonts w:ascii="宋体" w:hAnsi="宋体" w:cs="Times New Roman"/>
              </w:rPr>
              <w:t>支持HTTP/HTTPS/FTP/SMTP/POP3等应用协议;</w:t>
            </w:r>
          </w:p>
          <w:p>
            <w:pPr>
              <w:rPr>
                <w:rFonts w:ascii="宋体" w:hAnsi="宋体" w:cs="Times New Roman"/>
              </w:rPr>
            </w:pPr>
            <w:r>
              <w:rPr>
                <w:rFonts w:ascii="宋体" w:hAnsi="宋体" w:cs="Times New Roman"/>
              </w:rPr>
              <w:t>支持H323/H323_GK等多媒体协议；</w:t>
            </w:r>
          </w:p>
          <w:p>
            <w:pPr>
              <w:rPr>
                <w:rFonts w:ascii="宋体" w:hAnsi="宋体" w:cs="Times New Roman"/>
              </w:rPr>
            </w:pPr>
            <w:r>
              <w:rPr>
                <w:rFonts w:ascii="宋体" w:hAnsi="宋体" w:cs="Times New Roman"/>
              </w:rPr>
              <w:t>支持TNS等Oracle数据库访问；</w:t>
            </w:r>
          </w:p>
          <w:p>
            <w:pPr>
              <w:rPr>
                <w:rFonts w:ascii="宋体" w:hAnsi="宋体" w:cs="Times New Roman"/>
              </w:rPr>
            </w:pPr>
            <w:r>
              <w:rPr>
                <w:rFonts w:ascii="宋体" w:hAnsi="宋体" w:cs="Times New Roman"/>
              </w:rPr>
              <w:t>支持SNMP/DNS等协议;</w:t>
            </w:r>
          </w:p>
          <w:p>
            <w:pPr>
              <w:rPr>
                <w:rFonts w:ascii="宋体" w:hAnsi="宋体" w:cs="Times New Roman"/>
              </w:rPr>
            </w:pPr>
            <w:r>
              <w:rPr>
                <w:rFonts w:ascii="宋体" w:hAnsi="宋体" w:cs="Times New Roman"/>
              </w:rPr>
              <w:t>支持ssl,ssh,tftp,同花顺等应用协议过滤；</w:t>
            </w:r>
          </w:p>
          <w:p>
            <w:pPr>
              <w:rPr>
                <w:rFonts w:ascii="宋体" w:hAnsi="宋体" w:cs="Times New Roman"/>
              </w:rPr>
            </w:pPr>
            <w:r>
              <w:rPr>
                <w:rFonts w:ascii="宋体" w:hAnsi="宋体" w:cs="Times New Roman"/>
              </w:rPr>
              <w:t>支持多种访问控制，比如IP地址和端口访问控制，连续端口范围控制等；</w:t>
            </w:r>
          </w:p>
          <w:p>
            <w:pPr>
              <w:rPr>
                <w:rFonts w:ascii="宋体" w:hAnsi="宋体" w:cs="Times New Roman"/>
              </w:rPr>
            </w:pPr>
            <w:r>
              <w:rPr>
                <w:rFonts w:ascii="宋体" w:hAnsi="宋体" w:cs="Times New Roman"/>
              </w:rPr>
              <w:t>支持时间策略访问控制；</w:t>
            </w:r>
          </w:p>
          <w:p>
            <w:pPr>
              <w:rPr>
                <w:rFonts w:ascii="宋体" w:hAnsi="宋体" w:cs="Times New Roman"/>
              </w:rPr>
            </w:pPr>
            <w:r>
              <w:rPr>
                <w:rFonts w:ascii="宋体" w:hAnsi="宋体" w:cs="Times New Roman"/>
              </w:rPr>
              <w:t>支持SYN、UDP FLOOD阈值设置；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38"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管理功能</w:t>
            </w:r>
          </w:p>
        </w:tc>
        <w:tc>
          <w:tcPr>
            <w:tcW w:w="4063"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支持HTTPS的Web方式管理，实现了远程管理信息加密传输；</w:t>
            </w:r>
          </w:p>
          <w:p>
            <w:pPr>
              <w:rPr>
                <w:rFonts w:ascii="宋体" w:hAnsi="宋体" w:cs="Times New Roman"/>
              </w:rPr>
            </w:pPr>
            <w:r>
              <w:rPr>
                <w:rFonts w:ascii="宋体" w:hAnsi="宋体" w:cs="Times New Roman"/>
              </w:rPr>
              <w:t>支持命令行方式管理；</w:t>
            </w:r>
          </w:p>
          <w:p>
            <w:pPr>
              <w:rPr>
                <w:rFonts w:ascii="宋体" w:hAnsi="宋体" w:cs="Times New Roman"/>
              </w:rPr>
            </w:pPr>
            <w:r>
              <w:rPr>
                <w:rFonts w:ascii="宋体" w:hAnsi="宋体" w:cs="Times New Roman"/>
              </w:rPr>
              <w:t>内/外网主机系统分别具有独立管理接口，而不是采用低安全的管理方式，如通过业务口管理或通过内网唯一管理接口完成全部管理等；</w:t>
            </w:r>
          </w:p>
          <w:p>
            <w:pPr>
              <w:rPr>
                <w:rFonts w:ascii="宋体" w:hAnsi="宋体" w:cs="Times New Roman"/>
              </w:rPr>
            </w:pPr>
            <w:r>
              <w:rPr>
                <w:rFonts w:ascii="宋体" w:hAnsi="宋体" w:cs="Times New Roman"/>
              </w:rPr>
              <w:t>管理员权限支持三权分立；</w:t>
            </w:r>
          </w:p>
          <w:p>
            <w:pPr>
              <w:rPr>
                <w:rFonts w:ascii="宋体" w:hAnsi="宋体" w:cs="Times New Roman"/>
              </w:rPr>
            </w:pPr>
            <w:r>
              <w:rPr>
                <w:rFonts w:ascii="宋体" w:hAnsi="宋体" w:cs="Times New Roman"/>
              </w:rPr>
              <w:t xml:space="preserve">支持配置文件以加密的方式导出； </w:t>
            </w:r>
          </w:p>
        </w:tc>
      </w:tr>
    </w:tbl>
    <w:p>
      <w:pPr>
        <w:spacing w:line="276" w:lineRule="auto"/>
        <w:textAlignment w:val="baseline"/>
        <w:rPr>
          <w:rFonts w:ascii="宋体" w:hAnsi="宋体" w:cs="Times New Roman"/>
          <w:kern w:val="0"/>
        </w:rPr>
      </w:pPr>
    </w:p>
    <w:tbl>
      <w:tblPr>
        <w:tblStyle w:val="12"/>
        <w:tblW w:w="460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2"/>
        <w:gridCol w:w="63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blHeader/>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b/>
                <w:bCs/>
              </w:rPr>
            </w:pPr>
            <w:r>
              <w:rPr>
                <w:rFonts w:ascii="宋体" w:hAnsi="宋体" w:cs="Times New Roman"/>
                <w:b/>
                <w:bCs/>
              </w:rPr>
              <w:t>用途：上网行为管理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38" w:type="pct"/>
            <w:tcBorders>
              <w:top w:val="single" w:color="auto" w:sz="4" w:space="0"/>
              <w:left w:val="single" w:color="auto" w:sz="4" w:space="0"/>
              <w:bottom w:val="single" w:color="auto" w:sz="4" w:space="0"/>
              <w:right w:val="single" w:color="auto" w:sz="4" w:space="0"/>
            </w:tcBorders>
            <w:shd w:val="clear" w:color="auto" w:fill="D9D9D9"/>
            <w:vAlign w:val="center"/>
          </w:tcPr>
          <w:p>
            <w:pPr>
              <w:rPr>
                <w:rFonts w:ascii="宋体" w:hAnsi="宋体" w:cs="Times New Roman"/>
                <w:b/>
                <w:bCs/>
              </w:rPr>
            </w:pPr>
            <w:r>
              <w:rPr>
                <w:rFonts w:ascii="宋体" w:hAnsi="宋体" w:cs="Times New Roman"/>
                <w:b/>
                <w:bCs/>
              </w:rPr>
              <w:t>指标项</w:t>
            </w:r>
          </w:p>
        </w:tc>
        <w:tc>
          <w:tcPr>
            <w:tcW w:w="4063" w:type="pct"/>
            <w:tcBorders>
              <w:top w:val="single" w:color="auto" w:sz="4" w:space="0"/>
              <w:left w:val="single" w:color="auto" w:sz="4" w:space="0"/>
              <w:bottom w:val="single" w:color="auto" w:sz="4" w:space="0"/>
              <w:right w:val="single" w:color="auto" w:sz="4" w:space="0"/>
            </w:tcBorders>
            <w:shd w:val="clear" w:color="auto" w:fill="D9D9D9"/>
            <w:vAlign w:val="center"/>
          </w:tcPr>
          <w:p>
            <w:pPr>
              <w:rPr>
                <w:rFonts w:ascii="宋体" w:hAnsi="宋体" w:cs="Times New Roman"/>
                <w:b/>
                <w:bCs/>
              </w:rPr>
            </w:pPr>
            <w:r>
              <w:rPr>
                <w:rFonts w:ascii="宋体" w:hAnsi="宋体" w:cs="Times New Roman"/>
                <w:b/>
                <w:bCs/>
              </w:rPr>
              <w:t>指标要求（除特别说明外，以下为单台设备的配置要求）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38"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硬件参数</w:t>
            </w:r>
          </w:p>
        </w:tc>
        <w:tc>
          <w:tcPr>
            <w:tcW w:w="4063"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接口：≥4个SFP+插槽，≥8个SFP插槽，≥2个千兆电口；硬盘≥2TB；内存≥64G；双电源；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38"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性能</w:t>
            </w:r>
          </w:p>
        </w:tc>
        <w:tc>
          <w:tcPr>
            <w:tcW w:w="4063"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吞吐量：≥10G最大并发连接数：≥1200万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38"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功能</w:t>
            </w:r>
          </w:p>
        </w:tc>
        <w:tc>
          <w:tcPr>
            <w:tcW w:w="4063"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支持路由模式，旁路模式、网桥模式、混合模式部署；</w:t>
            </w:r>
          </w:p>
          <w:p>
            <w:pPr>
              <w:rPr>
                <w:rFonts w:ascii="宋体" w:hAnsi="宋体" w:cs="Times New Roman"/>
              </w:rPr>
            </w:pPr>
            <w:r>
              <w:rPr>
                <w:rFonts w:ascii="宋体" w:hAnsi="宋体" w:cs="Times New Roman"/>
              </w:rPr>
              <w:t>能够实时展现每个接口接收发送流量、字节数、包个数以及错误、丢弃、帧冲突个数；</w:t>
            </w:r>
          </w:p>
          <w:p>
            <w:pPr>
              <w:rPr>
                <w:rFonts w:ascii="宋体" w:hAnsi="宋体" w:cs="Times New Roman"/>
              </w:rPr>
            </w:pPr>
            <w:r>
              <w:rPr>
                <w:rFonts w:ascii="宋体" w:hAnsi="宋体" w:cs="Times New Roman"/>
              </w:rPr>
              <w:t>支持所有访问的会话日志记录，包括: 源 IP、目的 IP、协议类型、七层应用名称、源端口、目的端口、是否进行 NAT 转换(可显示转换后的 IP 和端口)、会话产生的时间和会话持续时间；</w:t>
            </w:r>
          </w:p>
          <w:p>
            <w:pPr>
              <w:rPr>
                <w:rFonts w:ascii="宋体" w:hAnsi="宋体" w:cs="Times New Roman"/>
              </w:rPr>
            </w:pPr>
            <w:r>
              <w:rPr>
                <w:rFonts w:ascii="宋体" w:hAnsi="宋体" w:cs="Times New Roman"/>
              </w:rPr>
              <w:t>基于个人的所有行为监控报表，包括：网页标题记录、发贴记录、网页评论记录、搜索记录、网页文件上传记录、URL访问记录、邮件记录、FTP登录信息/上传记录/下载记录；</w:t>
            </w:r>
          </w:p>
          <w:p>
            <w:pPr>
              <w:rPr>
                <w:rFonts w:ascii="宋体" w:hAnsi="宋体" w:cs="Times New Roman"/>
              </w:rPr>
            </w:pPr>
            <w:r>
              <w:rPr>
                <w:rFonts w:ascii="宋体" w:hAnsi="宋体" w:cs="Times New Roman"/>
              </w:rPr>
              <w:t>能够提供流量适用排名，提供前50名用户流量适用情况，并支持趋势图、黑名单、显示活跃服务；</w:t>
            </w:r>
          </w:p>
          <w:p>
            <w:pPr>
              <w:rPr>
                <w:rFonts w:ascii="宋体" w:hAnsi="宋体" w:cs="Times New Roman"/>
              </w:rPr>
            </w:pPr>
            <w:r>
              <w:rPr>
                <w:rFonts w:ascii="宋体" w:hAnsi="宋体" w:cs="Times New Roman"/>
              </w:rPr>
              <w:t>支持管理者自定义新的URL地址和URL分类；</w:t>
            </w:r>
          </w:p>
          <w:p>
            <w:pPr>
              <w:rPr>
                <w:rFonts w:ascii="宋体" w:hAnsi="宋体" w:cs="Times New Roman"/>
              </w:rPr>
            </w:pPr>
            <w:r>
              <w:rPr>
                <w:rFonts w:ascii="宋体" w:hAnsi="宋体" w:cs="Times New Roman"/>
              </w:rPr>
              <w:t>支持ip白名单，添加到白名单的ip不受策略控制和审计；</w:t>
            </w:r>
          </w:p>
          <w:p>
            <w:pPr>
              <w:rPr>
                <w:rFonts w:ascii="宋体" w:hAnsi="宋体" w:cs="Times New Roman"/>
              </w:rPr>
            </w:pPr>
            <w:r>
              <w:rPr>
                <w:rFonts w:ascii="宋体" w:hAnsi="宋体" w:cs="Times New Roman"/>
              </w:rPr>
              <w:t>支持基于源ip、地址薄、用户及用户组的流控策略；</w:t>
            </w:r>
          </w:p>
          <w:p>
            <w:pPr>
              <w:rPr>
                <w:rFonts w:ascii="宋体" w:hAnsi="宋体" w:cs="Times New Roman"/>
              </w:rPr>
            </w:pPr>
            <w:r>
              <w:rPr>
                <w:rFonts w:ascii="宋体" w:hAnsi="宋体" w:cs="Times New Roman"/>
              </w:rPr>
              <w:t>支持基于用户的上网时长统计；</w:t>
            </w:r>
          </w:p>
          <w:p>
            <w:pPr>
              <w:rPr>
                <w:rFonts w:ascii="宋体" w:hAnsi="宋体" w:cs="Times New Roman"/>
              </w:rPr>
            </w:pPr>
            <w:r>
              <w:rPr>
                <w:rFonts w:ascii="宋体" w:hAnsi="宋体" w:cs="Times New Roman"/>
              </w:rPr>
              <w:t>支持Syslog等第三方日志服务器系统；</w:t>
            </w:r>
          </w:p>
        </w:tc>
      </w:tr>
    </w:tbl>
    <w:p>
      <w:pPr>
        <w:rPr>
          <w:rFonts w:ascii="宋体" w:hAnsi="宋体" w:cs="Times New Roman"/>
        </w:rPr>
      </w:pPr>
    </w:p>
    <w:tbl>
      <w:tblPr>
        <w:tblStyle w:val="12"/>
        <w:tblW w:w="460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8"/>
        <w:gridCol w:w="6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blHeader/>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b/>
                <w:bCs/>
              </w:rPr>
            </w:pPr>
            <w:r>
              <w:rPr>
                <w:rFonts w:ascii="宋体" w:hAnsi="宋体" w:cs="Times New Roman"/>
                <w:b/>
                <w:bCs/>
              </w:rPr>
              <w:t>用途：堡垒机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pct"/>
            <w:tcBorders>
              <w:top w:val="single" w:color="auto" w:sz="4" w:space="0"/>
              <w:left w:val="single" w:color="auto" w:sz="4" w:space="0"/>
              <w:bottom w:val="single" w:color="auto" w:sz="4" w:space="0"/>
              <w:right w:val="single" w:color="auto" w:sz="4" w:space="0"/>
            </w:tcBorders>
            <w:shd w:val="clear" w:color="auto" w:fill="D9D9D9"/>
            <w:vAlign w:val="center"/>
          </w:tcPr>
          <w:p>
            <w:pPr>
              <w:rPr>
                <w:rFonts w:ascii="宋体" w:hAnsi="宋体" w:cs="Times New Roman"/>
                <w:b/>
                <w:bCs/>
              </w:rPr>
            </w:pPr>
            <w:r>
              <w:rPr>
                <w:rFonts w:ascii="宋体" w:hAnsi="宋体" w:cs="Times New Roman"/>
                <w:b/>
                <w:bCs/>
              </w:rPr>
              <w:t>指标项</w:t>
            </w:r>
          </w:p>
        </w:tc>
        <w:tc>
          <w:tcPr>
            <w:tcW w:w="4076" w:type="pct"/>
            <w:tcBorders>
              <w:top w:val="single" w:color="auto" w:sz="4" w:space="0"/>
              <w:left w:val="single" w:color="auto" w:sz="4" w:space="0"/>
              <w:bottom w:val="single" w:color="auto" w:sz="4" w:space="0"/>
              <w:right w:val="single" w:color="auto" w:sz="4" w:space="0"/>
            </w:tcBorders>
            <w:shd w:val="clear" w:color="auto" w:fill="D9D9D9"/>
            <w:vAlign w:val="center"/>
          </w:tcPr>
          <w:p>
            <w:pPr>
              <w:rPr>
                <w:rFonts w:ascii="宋体" w:hAnsi="宋体" w:cs="Times New Roman"/>
                <w:b/>
                <w:bCs/>
              </w:rPr>
            </w:pPr>
            <w:r>
              <w:rPr>
                <w:rFonts w:ascii="宋体" w:hAnsi="宋体" w:cs="Times New Roman"/>
                <w:b/>
                <w:bCs/>
              </w:rPr>
              <w:t>指标要求（除特别说明外，以下为单台设备的配置要求）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接口</w:t>
            </w:r>
          </w:p>
        </w:tc>
        <w:tc>
          <w:tcPr>
            <w:tcW w:w="4076"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kern w:val="0"/>
              </w:rPr>
              <w:t>≥</w:t>
            </w:r>
            <w:r>
              <w:rPr>
                <w:rFonts w:ascii="宋体" w:hAnsi="宋体" w:cs="Times New Roman"/>
              </w:rPr>
              <w:t>12个1000M口，</w:t>
            </w:r>
            <w:r>
              <w:rPr>
                <w:rFonts w:ascii="宋体" w:hAnsi="宋体" w:cs="Times New Roman"/>
                <w:kern w:val="0"/>
              </w:rPr>
              <w:t>≥</w:t>
            </w:r>
            <w:r>
              <w:rPr>
                <w:rFonts w:ascii="宋体" w:hAnsi="宋体" w:cs="Times New Roman"/>
              </w:rPr>
              <w:t>8电4光（总共</w:t>
            </w:r>
            <w:r>
              <w:rPr>
                <w:rFonts w:ascii="宋体" w:hAnsi="宋体" w:cs="Times New Roman"/>
                <w:kern w:val="0"/>
              </w:rPr>
              <w:t>≥</w:t>
            </w:r>
            <w:r>
              <w:rPr>
                <w:rFonts w:ascii="宋体" w:hAnsi="宋体" w:cs="Times New Roman"/>
              </w:rPr>
              <w:t>3个端口插槽，可灵活配置端口，端口万兆光口、千兆电口可选，最大不少于28个口）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最大在线连接数</w:t>
            </w:r>
          </w:p>
        </w:tc>
        <w:tc>
          <w:tcPr>
            <w:tcW w:w="4076"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最大资产数</w:t>
            </w:r>
            <w:r>
              <w:rPr>
                <w:rFonts w:ascii="宋体" w:hAnsi="宋体" w:cs="Times New Roman"/>
                <w:kern w:val="0"/>
              </w:rPr>
              <w:t>≥</w:t>
            </w:r>
            <w:r>
              <w:rPr>
                <w:rFonts w:ascii="宋体" w:hAnsi="宋体" w:cs="Times New Roman"/>
              </w:rPr>
              <w:t>3000个,最大字符连接</w:t>
            </w:r>
            <w:r>
              <w:rPr>
                <w:rFonts w:ascii="宋体" w:hAnsi="宋体" w:cs="Times New Roman"/>
                <w:kern w:val="0"/>
              </w:rPr>
              <w:t>≥</w:t>
            </w:r>
            <w:r>
              <w:rPr>
                <w:rFonts w:ascii="宋体" w:hAnsi="宋体" w:cs="Times New Roman"/>
              </w:rPr>
              <w:t>3000个,最大图形连接</w:t>
            </w:r>
            <w:r>
              <w:rPr>
                <w:rFonts w:ascii="宋体" w:hAnsi="宋体" w:cs="Times New Roman"/>
                <w:kern w:val="0"/>
              </w:rPr>
              <w:t>≥</w:t>
            </w:r>
            <w:r>
              <w:rPr>
                <w:rFonts w:ascii="宋体" w:hAnsi="宋体" w:cs="Times New Roman"/>
              </w:rPr>
              <w:t>500个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pct"/>
            <w:vMerge w:val="restart"/>
            <w:tcBorders>
              <w:top w:val="single" w:color="auto" w:sz="4" w:space="0"/>
              <w:left w:val="single" w:color="auto" w:sz="4" w:space="0"/>
              <w:right w:val="single" w:color="auto" w:sz="4" w:space="0"/>
            </w:tcBorders>
            <w:vAlign w:val="center"/>
          </w:tcPr>
          <w:p>
            <w:pPr>
              <w:rPr>
                <w:rFonts w:ascii="宋体" w:hAnsi="宋体" w:cs="Times New Roman"/>
              </w:rPr>
            </w:pPr>
            <w:r>
              <w:rPr>
                <w:rFonts w:ascii="宋体" w:hAnsi="宋体" w:cs="Times New Roman"/>
              </w:rPr>
              <w:t>功能要求</w:t>
            </w:r>
          </w:p>
        </w:tc>
        <w:tc>
          <w:tcPr>
            <w:tcW w:w="4076"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针对内部网络设备和服务器进行保护，对此类资产的常用访问方式进行监控和审计，实现对用户行为的控制、追踪、判定，满足政务云对安全性的要求。单点登录、集中账号管理、身份认证、资源授权、访问控制、操作审计，等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pct"/>
            <w:vMerge w:val="continue"/>
            <w:tcBorders>
              <w:left w:val="single" w:color="auto" w:sz="4" w:space="0"/>
              <w:right w:val="single" w:color="auto" w:sz="4" w:space="0"/>
            </w:tcBorders>
            <w:vAlign w:val="center"/>
          </w:tcPr>
          <w:p>
            <w:pPr>
              <w:rPr>
                <w:rFonts w:ascii="宋体" w:hAnsi="宋体" w:cs="Times New Roman"/>
              </w:rPr>
            </w:pPr>
          </w:p>
        </w:tc>
        <w:tc>
          <w:tcPr>
            <w:tcW w:w="4076"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支持集群部署，具备平滑扩容能力。单个集群最大支持10个节点；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pct"/>
            <w:vMerge w:val="continue"/>
            <w:tcBorders>
              <w:left w:val="single" w:color="auto" w:sz="4" w:space="0"/>
              <w:right w:val="single" w:color="auto" w:sz="4" w:space="0"/>
            </w:tcBorders>
            <w:vAlign w:val="center"/>
          </w:tcPr>
          <w:p>
            <w:pPr>
              <w:rPr>
                <w:rFonts w:ascii="宋体" w:hAnsi="宋体" w:cs="Times New Roman"/>
              </w:rPr>
            </w:pPr>
          </w:p>
        </w:tc>
        <w:tc>
          <w:tcPr>
            <w:tcW w:w="4076"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可以通过socks5/http/ssh等代理协议连接管理异地云资源区中私有网络的云主机（通过代理服务器实现不同网络，不同数据中心，以及多云环境的统一纳管。</w:t>
            </w:r>
          </w:p>
          <w:p>
            <w:pPr>
              <w:rPr>
                <w:rFonts w:ascii="宋体" w:hAnsi="宋体" w:cs="Times New Roman"/>
              </w:rPr>
            </w:pPr>
            <w:r>
              <w:rPr>
                <w:rFonts w:ascii="宋体" w:hAnsi="宋体" w:cs="Times New Roman"/>
              </w:rPr>
              <w:t>场景描述：堡垒机无法直接访问其他网络或者其他数据中心的主机，可以通过代理服务器做跳板实现对其他网络或者数据中心主机资源的纳管运维）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pct"/>
            <w:vMerge w:val="continue"/>
            <w:tcBorders>
              <w:left w:val="single" w:color="auto" w:sz="4" w:space="0"/>
              <w:right w:val="single" w:color="auto" w:sz="4" w:space="0"/>
            </w:tcBorders>
            <w:vAlign w:val="center"/>
          </w:tcPr>
          <w:p>
            <w:pPr>
              <w:rPr>
                <w:rFonts w:ascii="宋体" w:hAnsi="宋体" w:cs="Times New Roman"/>
              </w:rPr>
            </w:pPr>
          </w:p>
        </w:tc>
        <w:tc>
          <w:tcPr>
            <w:tcW w:w="4076"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支持自动收集设备IP、运维协议、端口号、账号、密码、与用户的权限关系，可自动完成授权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pct"/>
            <w:vMerge w:val="continue"/>
            <w:tcBorders>
              <w:left w:val="single" w:color="auto" w:sz="4" w:space="0"/>
              <w:right w:val="single" w:color="auto" w:sz="4" w:space="0"/>
            </w:tcBorders>
            <w:vAlign w:val="center"/>
          </w:tcPr>
          <w:p>
            <w:pPr>
              <w:rPr>
                <w:rFonts w:ascii="宋体" w:hAnsi="宋体" w:cs="Times New Roman"/>
              </w:rPr>
            </w:pPr>
          </w:p>
        </w:tc>
        <w:tc>
          <w:tcPr>
            <w:tcW w:w="4076" w:type="pct"/>
            <w:tcBorders>
              <w:top w:val="single" w:color="auto" w:sz="4" w:space="0"/>
              <w:left w:val="single" w:color="auto" w:sz="4" w:space="0"/>
              <w:bottom w:val="single" w:color="auto" w:sz="4" w:space="0"/>
              <w:right w:val="single" w:color="auto" w:sz="4" w:space="0"/>
            </w:tcBorders>
          </w:tcPr>
          <w:p>
            <w:pPr>
              <w:rPr>
                <w:rFonts w:ascii="宋体" w:hAnsi="宋体" w:cs="Times New Roman"/>
              </w:rPr>
            </w:pPr>
            <w:r>
              <w:rPr>
                <w:rFonts w:ascii="宋体" w:hAnsi="宋体" w:cs="Times New Roman"/>
              </w:rPr>
              <w:t>支持使用本地的SecurCRT/Xshell/OpenSSH工具通过SSH网关代理方式直接登录字符设备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pct"/>
            <w:vMerge w:val="continue"/>
            <w:tcBorders>
              <w:left w:val="single" w:color="auto" w:sz="4" w:space="0"/>
              <w:right w:val="single" w:color="auto" w:sz="4" w:space="0"/>
            </w:tcBorders>
            <w:vAlign w:val="center"/>
          </w:tcPr>
          <w:p>
            <w:pPr>
              <w:rPr>
                <w:rFonts w:ascii="宋体" w:hAnsi="宋体" w:cs="Times New Roman"/>
              </w:rPr>
            </w:pPr>
          </w:p>
        </w:tc>
        <w:tc>
          <w:tcPr>
            <w:tcW w:w="4076" w:type="pct"/>
            <w:tcBorders>
              <w:top w:val="single" w:color="auto" w:sz="4" w:space="0"/>
              <w:left w:val="single" w:color="auto" w:sz="4" w:space="0"/>
              <w:bottom w:val="single" w:color="auto" w:sz="4" w:space="0"/>
              <w:right w:val="single" w:color="auto" w:sz="4" w:space="0"/>
            </w:tcBorders>
          </w:tcPr>
          <w:p>
            <w:pPr>
              <w:rPr>
                <w:rFonts w:ascii="宋体" w:hAnsi="宋体" w:cs="Times New Roman"/>
              </w:rPr>
            </w:pPr>
            <w:r>
              <w:rPr>
                <w:rFonts w:ascii="宋体" w:hAnsi="宋体" w:cs="Times New Roman"/>
              </w:rPr>
              <w:t>支持在mac终端使用navicat工具通过堡垒机登录mysql、oracle等数据库服务器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pct"/>
            <w:vMerge w:val="continue"/>
            <w:tcBorders>
              <w:left w:val="single" w:color="auto" w:sz="4" w:space="0"/>
              <w:right w:val="single" w:color="auto" w:sz="4" w:space="0"/>
            </w:tcBorders>
            <w:vAlign w:val="center"/>
          </w:tcPr>
          <w:p>
            <w:pPr>
              <w:rPr>
                <w:rFonts w:ascii="宋体" w:hAnsi="宋体" w:cs="Times New Roman"/>
              </w:rPr>
            </w:pPr>
          </w:p>
        </w:tc>
        <w:tc>
          <w:tcPr>
            <w:tcW w:w="4076" w:type="pct"/>
            <w:tcBorders>
              <w:top w:val="single" w:color="auto" w:sz="4" w:space="0"/>
              <w:left w:val="single" w:color="auto" w:sz="4" w:space="0"/>
              <w:bottom w:val="single" w:color="auto" w:sz="4" w:space="0"/>
              <w:right w:val="single" w:color="auto" w:sz="4" w:space="0"/>
            </w:tcBorders>
          </w:tcPr>
          <w:p>
            <w:pPr>
              <w:rPr>
                <w:rFonts w:ascii="宋体" w:hAnsi="宋体" w:cs="Times New Roman"/>
              </w:rPr>
            </w:pPr>
            <w:r>
              <w:rPr>
                <w:rFonts w:ascii="宋体" w:hAnsi="宋体" w:cs="Times New Roman"/>
              </w:rPr>
              <w:t>产品内置VPN模块，无需与其他VPN设备联动，实现运维入口安全接入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pct"/>
            <w:vMerge w:val="continue"/>
            <w:tcBorders>
              <w:left w:val="single" w:color="auto" w:sz="4" w:space="0"/>
              <w:bottom w:val="single" w:color="auto" w:sz="4" w:space="0"/>
              <w:right w:val="single" w:color="auto" w:sz="4" w:space="0"/>
            </w:tcBorders>
            <w:vAlign w:val="center"/>
          </w:tcPr>
          <w:p>
            <w:pPr>
              <w:rPr>
                <w:rFonts w:ascii="宋体" w:hAnsi="宋体" w:cs="Times New Roman"/>
              </w:rPr>
            </w:pPr>
          </w:p>
        </w:tc>
        <w:tc>
          <w:tcPr>
            <w:tcW w:w="4076" w:type="pct"/>
            <w:tcBorders>
              <w:top w:val="single" w:color="auto" w:sz="4" w:space="0"/>
              <w:left w:val="single" w:color="auto" w:sz="4" w:space="0"/>
              <w:bottom w:val="single" w:color="auto" w:sz="4" w:space="0"/>
              <w:right w:val="single" w:color="auto" w:sz="4" w:space="0"/>
            </w:tcBorders>
          </w:tcPr>
          <w:p>
            <w:pPr>
              <w:rPr>
                <w:rFonts w:ascii="宋体" w:hAnsi="宋体" w:eastAsia="Times New Roman" w:cs="Times New Roman"/>
              </w:rPr>
            </w:pPr>
            <w:r>
              <w:rPr>
                <w:rFonts w:ascii="宋体" w:hAnsi="宋体" w:cs="Times New Roman"/>
              </w:rPr>
              <w:t>提供双因素认证（短信或数字令牌+密码），且支持国密要求</w:t>
            </w:r>
          </w:p>
        </w:tc>
      </w:tr>
    </w:tbl>
    <w:p>
      <w:pPr>
        <w:spacing w:line="276" w:lineRule="auto"/>
        <w:textAlignment w:val="baseline"/>
        <w:rPr>
          <w:rFonts w:ascii="宋体" w:hAnsi="宋体" w:cs="Times New Roman"/>
          <w:kern w:val="0"/>
        </w:rPr>
      </w:pPr>
    </w:p>
    <w:tbl>
      <w:tblPr>
        <w:tblStyle w:val="12"/>
        <w:tblW w:w="9072" w:type="dxa"/>
        <w:jc w:val="center"/>
        <w:tblLayout w:type="autofit"/>
        <w:tblCellMar>
          <w:top w:w="0" w:type="dxa"/>
          <w:left w:w="108" w:type="dxa"/>
          <w:bottom w:w="0" w:type="dxa"/>
          <w:right w:w="108" w:type="dxa"/>
        </w:tblCellMar>
      </w:tblPr>
      <w:tblGrid>
        <w:gridCol w:w="1701"/>
        <w:gridCol w:w="7371"/>
      </w:tblGrid>
      <w:tr>
        <w:tblPrEx>
          <w:tblCellMar>
            <w:top w:w="0" w:type="dxa"/>
            <w:left w:w="108" w:type="dxa"/>
            <w:bottom w:w="0" w:type="dxa"/>
            <w:right w:w="108" w:type="dxa"/>
          </w:tblCellMar>
        </w:tblPrEx>
        <w:trPr>
          <w:trHeight w:val="332" w:hRule="atLeast"/>
          <w:jc w:val="center"/>
        </w:trPr>
        <w:tc>
          <w:tcPr>
            <w:tcW w:w="9072" w:type="dxa"/>
            <w:gridSpan w:val="2"/>
            <w:tcBorders>
              <w:top w:val="single" w:color="auto" w:sz="4" w:space="0"/>
              <w:left w:val="single" w:color="auto" w:sz="4" w:space="0"/>
              <w:bottom w:val="single" w:color="auto" w:sz="4" w:space="0"/>
              <w:right w:val="single" w:color="000000" w:sz="4" w:space="0"/>
            </w:tcBorders>
            <w:vAlign w:val="bottom"/>
          </w:tcPr>
          <w:p>
            <w:pPr>
              <w:rPr>
                <w:rFonts w:ascii="宋体" w:hAnsi="宋体" w:cs="Times New Roman"/>
                <w:b/>
                <w:bCs/>
              </w:rPr>
            </w:pPr>
            <w:r>
              <w:rPr>
                <w:rFonts w:ascii="宋体" w:hAnsi="宋体" w:cs="Times New Roman"/>
                <w:b/>
                <w:bCs/>
              </w:rPr>
              <w:t>用途：网页防篡改 </w:t>
            </w:r>
          </w:p>
        </w:tc>
      </w:tr>
      <w:tr>
        <w:trPr>
          <w:trHeight w:val="305" w:hRule="atLeast"/>
          <w:jc w:val="center"/>
        </w:trPr>
        <w:tc>
          <w:tcPr>
            <w:tcW w:w="1701" w:type="dxa"/>
            <w:tcBorders>
              <w:top w:val="nil"/>
              <w:left w:val="single" w:color="auto" w:sz="4" w:space="0"/>
              <w:bottom w:val="single" w:color="auto" w:sz="4" w:space="0"/>
              <w:right w:val="single" w:color="auto" w:sz="4" w:space="0"/>
            </w:tcBorders>
            <w:shd w:val="clear" w:color="auto" w:fill="BFBFBF"/>
            <w:vAlign w:val="center"/>
          </w:tcPr>
          <w:p>
            <w:pPr>
              <w:rPr>
                <w:rFonts w:ascii="宋体" w:hAnsi="宋体" w:cs="Times New Roman"/>
                <w:b/>
                <w:bCs/>
              </w:rPr>
            </w:pPr>
            <w:r>
              <w:rPr>
                <w:rFonts w:ascii="宋体" w:hAnsi="宋体" w:cs="Times New Roman"/>
                <w:b/>
                <w:bCs/>
              </w:rPr>
              <w:t>指标项</w:t>
            </w:r>
          </w:p>
        </w:tc>
        <w:tc>
          <w:tcPr>
            <w:tcW w:w="7371" w:type="dxa"/>
            <w:tcBorders>
              <w:top w:val="nil"/>
              <w:left w:val="nil"/>
              <w:bottom w:val="single" w:color="auto" w:sz="4" w:space="0"/>
              <w:right w:val="single" w:color="auto" w:sz="4" w:space="0"/>
            </w:tcBorders>
            <w:shd w:val="clear" w:color="auto" w:fill="BFBFBF"/>
            <w:vAlign w:val="bottom"/>
          </w:tcPr>
          <w:p>
            <w:pPr>
              <w:rPr>
                <w:rFonts w:ascii="宋体" w:hAnsi="宋体" w:cs="Times New Roman"/>
                <w:b/>
                <w:bCs/>
              </w:rPr>
            </w:pPr>
            <w:r>
              <w:rPr>
                <w:rFonts w:ascii="宋体" w:hAnsi="宋体" w:cs="Times New Roman"/>
                <w:b/>
                <w:bCs/>
              </w:rPr>
              <w:t>指标要求（除特别说明外，以下为单台设备的配置要求）</w:t>
            </w:r>
          </w:p>
        </w:tc>
      </w:tr>
      <w:tr>
        <w:tblPrEx>
          <w:tblCellMar>
            <w:top w:w="0" w:type="dxa"/>
            <w:left w:w="108" w:type="dxa"/>
            <w:bottom w:w="0" w:type="dxa"/>
            <w:right w:w="108" w:type="dxa"/>
          </w:tblCellMar>
        </w:tblPrEx>
        <w:trPr>
          <w:trHeight w:val="322" w:hRule="atLeast"/>
          <w:jc w:val="center"/>
        </w:trPr>
        <w:tc>
          <w:tcPr>
            <w:tcW w:w="1701" w:type="dxa"/>
            <w:vMerge w:val="restart"/>
            <w:tcBorders>
              <w:top w:val="nil"/>
              <w:left w:val="single" w:color="auto" w:sz="4" w:space="0"/>
              <w:bottom w:val="single" w:color="000000" w:sz="4" w:space="0"/>
              <w:right w:val="single" w:color="auto" w:sz="4" w:space="0"/>
            </w:tcBorders>
            <w:vAlign w:val="center"/>
          </w:tcPr>
          <w:p>
            <w:pPr>
              <w:rPr>
                <w:rFonts w:ascii="宋体" w:hAnsi="宋体" w:cs="Times New Roman"/>
              </w:rPr>
            </w:pPr>
            <w:r>
              <w:rPr>
                <w:rFonts w:ascii="宋体" w:hAnsi="宋体" w:cs="Times New Roman"/>
              </w:rPr>
              <w:t>环境支持</w:t>
            </w:r>
          </w:p>
        </w:tc>
        <w:tc>
          <w:tcPr>
            <w:tcW w:w="7371" w:type="dxa"/>
            <w:tcBorders>
              <w:top w:val="nil"/>
              <w:left w:val="nil"/>
              <w:bottom w:val="single" w:color="auto" w:sz="4" w:space="0"/>
              <w:right w:val="single" w:color="auto" w:sz="4" w:space="0"/>
            </w:tcBorders>
            <w:vAlign w:val="bottom"/>
          </w:tcPr>
          <w:p>
            <w:pPr>
              <w:rPr>
                <w:rFonts w:ascii="宋体" w:hAnsi="宋体" w:cs="Times New Roman"/>
              </w:rPr>
            </w:pPr>
            <w:r>
              <w:rPr>
                <w:rFonts w:ascii="宋体" w:hAnsi="宋体" w:cs="Times New Roman"/>
              </w:rPr>
              <w:t>采用内核文件驱动技术防护</w:t>
            </w:r>
          </w:p>
        </w:tc>
      </w:tr>
      <w:tr>
        <w:trPr>
          <w:trHeight w:val="322" w:hRule="atLeast"/>
          <w:jc w:val="center"/>
        </w:trPr>
        <w:tc>
          <w:tcPr>
            <w:tcW w:w="1701" w:type="dxa"/>
            <w:vMerge w:val="continue"/>
            <w:tcBorders>
              <w:top w:val="nil"/>
              <w:left w:val="single" w:color="auto" w:sz="4" w:space="0"/>
              <w:bottom w:val="single" w:color="000000" w:sz="4" w:space="0"/>
              <w:right w:val="single" w:color="auto" w:sz="4" w:space="0"/>
            </w:tcBorders>
            <w:vAlign w:val="center"/>
          </w:tcPr>
          <w:p>
            <w:pPr>
              <w:rPr>
                <w:rFonts w:ascii="宋体" w:hAnsi="宋体" w:cs="Times New Roman"/>
              </w:rPr>
            </w:pPr>
          </w:p>
        </w:tc>
        <w:tc>
          <w:tcPr>
            <w:tcW w:w="7371" w:type="dxa"/>
            <w:tcBorders>
              <w:top w:val="nil"/>
              <w:left w:val="nil"/>
              <w:bottom w:val="single" w:color="auto" w:sz="4" w:space="0"/>
              <w:right w:val="single" w:color="auto" w:sz="4" w:space="0"/>
            </w:tcBorders>
            <w:vAlign w:val="bottom"/>
          </w:tcPr>
          <w:p>
            <w:pPr>
              <w:rPr>
                <w:rFonts w:ascii="宋体" w:hAnsi="宋体" w:cs="Times New Roman"/>
              </w:rPr>
            </w:pPr>
            <w:r>
              <w:rPr>
                <w:rFonts w:ascii="宋体" w:hAnsi="宋体" w:cs="Times New Roman"/>
              </w:rPr>
              <w:t>支持操作系统：Windows 2003-2016 32/64位；Redhat、CentOS、SUSE、Ubuntu 32/64位、中标麒麟、银河麒麟、统信UOS等国产化系统</w:t>
            </w:r>
          </w:p>
        </w:tc>
      </w:tr>
      <w:tr>
        <w:tblPrEx>
          <w:tblCellMar>
            <w:top w:w="0" w:type="dxa"/>
            <w:left w:w="108" w:type="dxa"/>
            <w:bottom w:w="0" w:type="dxa"/>
            <w:right w:w="108" w:type="dxa"/>
          </w:tblCellMar>
        </w:tblPrEx>
        <w:trPr>
          <w:trHeight w:val="67" w:hRule="atLeast"/>
          <w:jc w:val="center"/>
        </w:trPr>
        <w:tc>
          <w:tcPr>
            <w:tcW w:w="1701" w:type="dxa"/>
            <w:vMerge w:val="continue"/>
            <w:tcBorders>
              <w:top w:val="nil"/>
              <w:left w:val="single" w:color="auto" w:sz="4" w:space="0"/>
              <w:bottom w:val="single" w:color="000000" w:sz="4" w:space="0"/>
              <w:right w:val="single" w:color="auto" w:sz="4" w:space="0"/>
            </w:tcBorders>
            <w:vAlign w:val="center"/>
          </w:tcPr>
          <w:p>
            <w:pPr>
              <w:rPr>
                <w:rFonts w:ascii="宋体" w:hAnsi="宋体" w:cs="Times New Roman"/>
              </w:rPr>
            </w:pPr>
          </w:p>
        </w:tc>
        <w:tc>
          <w:tcPr>
            <w:tcW w:w="7371" w:type="dxa"/>
            <w:tcBorders>
              <w:top w:val="nil"/>
              <w:left w:val="nil"/>
              <w:bottom w:val="single" w:color="auto" w:sz="4" w:space="0"/>
              <w:right w:val="single" w:color="auto" w:sz="4" w:space="0"/>
            </w:tcBorders>
            <w:vAlign w:val="bottom"/>
          </w:tcPr>
          <w:p>
            <w:pPr>
              <w:rPr>
                <w:rFonts w:ascii="宋体" w:hAnsi="宋体" w:cs="Times New Roman"/>
              </w:rPr>
            </w:pPr>
            <w:r>
              <w:rPr>
                <w:rFonts w:ascii="宋体" w:hAnsi="宋体" w:cs="Times New Roman"/>
              </w:rPr>
              <w:t>支持web服务器：Apache 2.2-2.4、IIS6、IIS7、IIS8、IIS10、Java系列(JBoss、Tomcat、Weblogic、Websphere)等</w:t>
            </w:r>
          </w:p>
        </w:tc>
      </w:tr>
      <w:tr>
        <w:trPr>
          <w:trHeight w:val="322" w:hRule="atLeast"/>
          <w:jc w:val="center"/>
        </w:trPr>
        <w:tc>
          <w:tcPr>
            <w:tcW w:w="1701" w:type="dxa"/>
            <w:tcBorders>
              <w:top w:val="nil"/>
              <w:left w:val="single" w:color="auto" w:sz="4" w:space="0"/>
              <w:bottom w:val="single" w:color="000000" w:sz="4" w:space="0"/>
              <w:right w:val="single" w:color="auto" w:sz="4" w:space="0"/>
            </w:tcBorders>
            <w:vAlign w:val="center"/>
          </w:tcPr>
          <w:p>
            <w:pPr>
              <w:rPr>
                <w:rFonts w:ascii="宋体" w:hAnsi="宋体" w:cs="Times New Roman"/>
              </w:rPr>
            </w:pPr>
            <w:r>
              <w:rPr>
                <w:rFonts w:ascii="宋体" w:hAnsi="宋体" w:cs="Times New Roman"/>
              </w:rPr>
              <w:t>部署模式</w:t>
            </w:r>
          </w:p>
        </w:tc>
        <w:tc>
          <w:tcPr>
            <w:tcW w:w="7371" w:type="dxa"/>
            <w:tcBorders>
              <w:top w:val="nil"/>
              <w:left w:val="nil"/>
              <w:bottom w:val="single" w:color="auto" w:sz="4" w:space="0"/>
              <w:right w:val="single" w:color="auto" w:sz="4" w:space="0"/>
            </w:tcBorders>
            <w:vAlign w:val="bottom"/>
          </w:tcPr>
          <w:p>
            <w:pPr>
              <w:rPr>
                <w:rFonts w:ascii="宋体" w:hAnsi="宋体" w:cs="Times New Roman"/>
              </w:rPr>
            </w:pPr>
            <w:r>
              <w:rPr>
                <w:rFonts w:ascii="宋体" w:hAnsi="宋体" w:cs="Times New Roman"/>
              </w:rPr>
              <w:t>支持软件化部署，一个管理中心支持同时管理多个Windows和Linux的监控端；</w:t>
            </w:r>
          </w:p>
          <w:p>
            <w:pPr>
              <w:rPr>
                <w:rFonts w:ascii="宋体" w:hAnsi="宋体" w:cs="Times New Roman"/>
              </w:rPr>
            </w:pPr>
            <w:r>
              <w:rPr>
                <w:rFonts w:ascii="宋体" w:hAnsi="宋体" w:cs="Times New Roman"/>
              </w:rPr>
              <w:t>同步端一对多模式部署，支持一个同步端对多个负载的网站进行同步。</w:t>
            </w:r>
          </w:p>
        </w:tc>
      </w:tr>
      <w:tr>
        <w:tblPrEx>
          <w:tblCellMar>
            <w:top w:w="0" w:type="dxa"/>
            <w:left w:w="108" w:type="dxa"/>
            <w:bottom w:w="0" w:type="dxa"/>
            <w:right w:w="108" w:type="dxa"/>
          </w:tblCellMar>
        </w:tblPrEx>
        <w:trPr>
          <w:trHeight w:val="322" w:hRule="atLeast"/>
          <w:jc w:val="center"/>
        </w:trPr>
        <w:tc>
          <w:tcPr>
            <w:tcW w:w="1701" w:type="dxa"/>
            <w:vMerge w:val="restart"/>
            <w:tcBorders>
              <w:top w:val="nil"/>
              <w:left w:val="single" w:color="auto" w:sz="4" w:space="0"/>
              <w:bottom w:val="single" w:color="000000" w:sz="4" w:space="0"/>
              <w:right w:val="single" w:color="auto" w:sz="4" w:space="0"/>
            </w:tcBorders>
            <w:vAlign w:val="center"/>
          </w:tcPr>
          <w:p>
            <w:pPr>
              <w:rPr>
                <w:rFonts w:ascii="宋体" w:hAnsi="宋体" w:cs="Times New Roman"/>
              </w:rPr>
            </w:pPr>
            <w:r>
              <w:rPr>
                <w:rFonts w:ascii="宋体" w:hAnsi="宋体" w:cs="Times New Roman"/>
              </w:rPr>
              <w:t>防篡改功能</w:t>
            </w:r>
          </w:p>
        </w:tc>
        <w:tc>
          <w:tcPr>
            <w:tcW w:w="7371" w:type="dxa"/>
            <w:tcBorders>
              <w:top w:val="nil"/>
              <w:left w:val="nil"/>
              <w:bottom w:val="single" w:color="auto" w:sz="4" w:space="0"/>
              <w:right w:val="single" w:color="auto" w:sz="4" w:space="0"/>
            </w:tcBorders>
            <w:vAlign w:val="bottom"/>
          </w:tcPr>
          <w:p>
            <w:pPr>
              <w:rPr>
                <w:rFonts w:ascii="宋体" w:hAnsi="宋体" w:cs="Times New Roman"/>
              </w:rPr>
            </w:pPr>
            <w:r>
              <w:rPr>
                <w:rFonts w:ascii="宋体" w:hAnsi="宋体" w:cs="Times New Roman"/>
              </w:rPr>
              <w:t>文件保护：支持各类网页文件的保护，包括静态和动态网页以及各类文件</w:t>
            </w:r>
          </w:p>
        </w:tc>
      </w:tr>
      <w:tr>
        <w:trPr>
          <w:trHeight w:val="322" w:hRule="atLeast"/>
          <w:jc w:val="center"/>
        </w:trPr>
        <w:tc>
          <w:tcPr>
            <w:tcW w:w="1701" w:type="dxa"/>
            <w:vMerge w:val="continue"/>
            <w:tcBorders>
              <w:top w:val="nil"/>
              <w:left w:val="single" w:color="auto" w:sz="4" w:space="0"/>
              <w:bottom w:val="single" w:color="000000" w:sz="4" w:space="0"/>
              <w:right w:val="single" w:color="auto" w:sz="4" w:space="0"/>
            </w:tcBorders>
            <w:vAlign w:val="center"/>
          </w:tcPr>
          <w:p>
            <w:pPr>
              <w:rPr>
                <w:rFonts w:ascii="宋体" w:hAnsi="宋体" w:cs="Times New Roman"/>
              </w:rPr>
            </w:pPr>
          </w:p>
        </w:tc>
        <w:tc>
          <w:tcPr>
            <w:tcW w:w="7371" w:type="dxa"/>
            <w:tcBorders>
              <w:top w:val="nil"/>
              <w:left w:val="nil"/>
              <w:bottom w:val="single" w:color="auto" w:sz="4" w:space="0"/>
              <w:right w:val="single" w:color="auto" w:sz="4" w:space="0"/>
            </w:tcBorders>
            <w:vAlign w:val="bottom"/>
          </w:tcPr>
          <w:p>
            <w:pPr>
              <w:rPr>
                <w:rFonts w:ascii="宋体" w:hAnsi="宋体" w:cs="Times New Roman"/>
              </w:rPr>
            </w:pPr>
            <w:r>
              <w:rPr>
                <w:rFonts w:ascii="宋体" w:hAnsi="宋体" w:cs="Times New Roman"/>
              </w:rPr>
              <w:t>目录保护：支持对指定文件夹以及子文件夹的保护，避免上传非法文件及木马等恶意文件或插入恶意代码</w:t>
            </w:r>
          </w:p>
        </w:tc>
      </w:tr>
      <w:tr>
        <w:tblPrEx>
          <w:tblCellMar>
            <w:top w:w="0" w:type="dxa"/>
            <w:left w:w="108" w:type="dxa"/>
            <w:bottom w:w="0" w:type="dxa"/>
            <w:right w:w="108" w:type="dxa"/>
          </w:tblCellMar>
        </w:tblPrEx>
        <w:trPr>
          <w:trHeight w:val="322" w:hRule="atLeast"/>
          <w:jc w:val="center"/>
        </w:trPr>
        <w:tc>
          <w:tcPr>
            <w:tcW w:w="1701" w:type="dxa"/>
            <w:vMerge w:val="continue"/>
            <w:tcBorders>
              <w:top w:val="nil"/>
              <w:left w:val="single" w:color="auto" w:sz="4" w:space="0"/>
              <w:bottom w:val="single" w:color="000000" w:sz="4" w:space="0"/>
              <w:right w:val="single" w:color="auto" w:sz="4" w:space="0"/>
            </w:tcBorders>
            <w:vAlign w:val="center"/>
          </w:tcPr>
          <w:p>
            <w:pPr>
              <w:rPr>
                <w:rFonts w:ascii="宋体" w:hAnsi="宋体" w:cs="Times New Roman"/>
              </w:rPr>
            </w:pPr>
          </w:p>
        </w:tc>
        <w:tc>
          <w:tcPr>
            <w:tcW w:w="7371" w:type="dxa"/>
            <w:tcBorders>
              <w:top w:val="nil"/>
              <w:left w:val="nil"/>
              <w:bottom w:val="single" w:color="auto" w:sz="4" w:space="0"/>
              <w:right w:val="single" w:color="auto" w:sz="4" w:space="0"/>
            </w:tcBorders>
            <w:vAlign w:val="bottom"/>
          </w:tcPr>
          <w:p>
            <w:pPr>
              <w:rPr>
                <w:rFonts w:ascii="宋体" w:hAnsi="宋体" w:cs="Times New Roman"/>
              </w:rPr>
            </w:pPr>
            <w:r>
              <w:rPr>
                <w:rFonts w:ascii="宋体" w:hAnsi="宋体" w:cs="Times New Roman"/>
              </w:rPr>
              <w:t>篡改规则：支持基于目录、进程、IP、操作系统用户等进行设置篡改规则</w:t>
            </w:r>
          </w:p>
        </w:tc>
      </w:tr>
      <w:tr>
        <w:trPr>
          <w:trHeight w:val="322" w:hRule="atLeast"/>
          <w:jc w:val="center"/>
        </w:trPr>
        <w:tc>
          <w:tcPr>
            <w:tcW w:w="1701" w:type="dxa"/>
            <w:vMerge w:val="continue"/>
            <w:tcBorders>
              <w:top w:val="nil"/>
              <w:left w:val="single" w:color="auto" w:sz="4" w:space="0"/>
              <w:bottom w:val="single" w:color="000000" w:sz="4" w:space="0"/>
              <w:right w:val="single" w:color="auto" w:sz="4" w:space="0"/>
            </w:tcBorders>
            <w:vAlign w:val="center"/>
          </w:tcPr>
          <w:p>
            <w:pPr>
              <w:rPr>
                <w:rFonts w:ascii="宋体" w:hAnsi="宋体" w:cs="Times New Roman"/>
              </w:rPr>
            </w:pPr>
          </w:p>
        </w:tc>
        <w:tc>
          <w:tcPr>
            <w:tcW w:w="7371" w:type="dxa"/>
            <w:tcBorders>
              <w:top w:val="nil"/>
              <w:left w:val="nil"/>
              <w:bottom w:val="single" w:color="auto" w:sz="4" w:space="0"/>
              <w:right w:val="single" w:color="auto" w:sz="4" w:space="0"/>
            </w:tcBorders>
            <w:vAlign w:val="bottom"/>
          </w:tcPr>
          <w:p>
            <w:pPr>
              <w:rPr>
                <w:rFonts w:ascii="宋体" w:hAnsi="宋体" w:cs="Times New Roman"/>
              </w:rPr>
            </w:pPr>
            <w:r>
              <w:rPr>
                <w:rFonts w:ascii="宋体" w:hAnsi="宋体" w:cs="Times New Roman"/>
              </w:rPr>
              <w:t>自我保护：防篡改程序具有自我保护机制</w:t>
            </w:r>
          </w:p>
        </w:tc>
      </w:tr>
      <w:tr>
        <w:tblPrEx>
          <w:tblCellMar>
            <w:top w:w="0" w:type="dxa"/>
            <w:left w:w="108" w:type="dxa"/>
            <w:bottom w:w="0" w:type="dxa"/>
            <w:right w:w="108" w:type="dxa"/>
          </w:tblCellMar>
        </w:tblPrEx>
        <w:trPr>
          <w:trHeight w:val="322" w:hRule="atLeast"/>
          <w:jc w:val="center"/>
        </w:trPr>
        <w:tc>
          <w:tcPr>
            <w:tcW w:w="1701" w:type="dxa"/>
            <w:vMerge w:val="continue"/>
            <w:tcBorders>
              <w:top w:val="nil"/>
              <w:left w:val="single" w:color="auto" w:sz="4" w:space="0"/>
              <w:bottom w:val="single" w:color="000000" w:sz="4" w:space="0"/>
              <w:right w:val="single" w:color="auto" w:sz="4" w:space="0"/>
            </w:tcBorders>
            <w:vAlign w:val="center"/>
          </w:tcPr>
          <w:p>
            <w:pPr>
              <w:rPr>
                <w:rFonts w:ascii="宋体" w:hAnsi="宋体" w:cs="Times New Roman"/>
              </w:rPr>
            </w:pPr>
          </w:p>
        </w:tc>
        <w:tc>
          <w:tcPr>
            <w:tcW w:w="7371" w:type="dxa"/>
            <w:tcBorders>
              <w:top w:val="nil"/>
              <w:left w:val="nil"/>
              <w:bottom w:val="single" w:color="auto" w:sz="4" w:space="0"/>
              <w:right w:val="single" w:color="auto" w:sz="4" w:space="0"/>
            </w:tcBorders>
            <w:vAlign w:val="bottom"/>
          </w:tcPr>
          <w:p>
            <w:pPr>
              <w:rPr>
                <w:rFonts w:ascii="宋体" w:hAnsi="宋体" w:cs="Times New Roman"/>
              </w:rPr>
            </w:pPr>
            <w:r>
              <w:rPr>
                <w:rFonts w:ascii="宋体" w:hAnsi="宋体" w:cs="Times New Roman"/>
              </w:rPr>
              <w:t>断线检测与防护：在组件间网络断开的情况下仍能防止文件被篡改、在防护端进程被结束的情况下仍能防止文件被篡改</w:t>
            </w:r>
          </w:p>
        </w:tc>
      </w:tr>
      <w:tr>
        <w:trPr>
          <w:trHeight w:val="322" w:hRule="atLeast"/>
          <w:jc w:val="center"/>
        </w:trPr>
        <w:tc>
          <w:tcPr>
            <w:tcW w:w="1701" w:type="dxa"/>
            <w:tcBorders>
              <w:top w:val="nil"/>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性能指标</w:t>
            </w:r>
          </w:p>
        </w:tc>
        <w:tc>
          <w:tcPr>
            <w:tcW w:w="7371" w:type="dxa"/>
            <w:tcBorders>
              <w:top w:val="nil"/>
              <w:left w:val="nil"/>
              <w:bottom w:val="single" w:color="auto" w:sz="4" w:space="0"/>
              <w:right w:val="single" w:color="auto" w:sz="4" w:space="0"/>
            </w:tcBorders>
            <w:vAlign w:val="bottom"/>
          </w:tcPr>
          <w:p>
            <w:pPr>
              <w:rPr>
                <w:rFonts w:ascii="宋体" w:hAnsi="宋体" w:cs="Times New Roman"/>
              </w:rPr>
            </w:pPr>
            <w:r>
              <w:rPr>
                <w:rFonts w:ascii="宋体" w:hAnsi="宋体" w:cs="Times New Roman"/>
              </w:rPr>
              <w:t>最大保护对象不限、最大保护深度不限；CPU，内存占用资源小于3%</w:t>
            </w:r>
          </w:p>
        </w:tc>
      </w:tr>
    </w:tbl>
    <w:p>
      <w:pPr>
        <w:rPr>
          <w:rFonts w:ascii="宋体" w:hAnsi="宋体" w:cs="Times New Roman"/>
          <w:b/>
        </w:rPr>
      </w:pPr>
    </w:p>
    <w:tbl>
      <w:tblPr>
        <w:tblStyle w:val="12"/>
        <w:tblW w:w="9072" w:type="dxa"/>
        <w:jc w:val="center"/>
        <w:tblLayout w:type="autofit"/>
        <w:tblCellMar>
          <w:top w:w="0" w:type="dxa"/>
          <w:left w:w="108" w:type="dxa"/>
          <w:bottom w:w="0" w:type="dxa"/>
          <w:right w:w="108" w:type="dxa"/>
        </w:tblCellMar>
      </w:tblPr>
      <w:tblGrid>
        <w:gridCol w:w="1681"/>
        <w:gridCol w:w="7391"/>
      </w:tblGrid>
      <w:tr>
        <w:tblPrEx>
          <w:tblCellMar>
            <w:top w:w="0" w:type="dxa"/>
            <w:left w:w="108" w:type="dxa"/>
            <w:bottom w:w="0" w:type="dxa"/>
            <w:right w:w="108" w:type="dxa"/>
          </w:tblCellMar>
        </w:tblPrEx>
        <w:trPr>
          <w:trHeight w:val="361" w:hRule="atLeast"/>
          <w:jc w:val="center"/>
        </w:trPr>
        <w:tc>
          <w:tcPr>
            <w:tcW w:w="9072" w:type="dxa"/>
            <w:gridSpan w:val="2"/>
            <w:tcBorders>
              <w:top w:val="single" w:color="auto" w:sz="4" w:space="0"/>
              <w:left w:val="single" w:color="auto" w:sz="4" w:space="0"/>
              <w:bottom w:val="single" w:color="auto" w:sz="4" w:space="0"/>
              <w:right w:val="single" w:color="000000" w:sz="4" w:space="0"/>
            </w:tcBorders>
            <w:vAlign w:val="bottom"/>
          </w:tcPr>
          <w:p>
            <w:pPr>
              <w:rPr>
                <w:rFonts w:ascii="宋体" w:hAnsi="宋体" w:cs="Times New Roman"/>
                <w:b/>
                <w:bCs/>
              </w:rPr>
            </w:pPr>
            <w:r>
              <w:rPr>
                <w:rFonts w:ascii="宋体" w:hAnsi="宋体" w:cs="Times New Roman"/>
                <w:b/>
                <w:bCs/>
              </w:rPr>
              <w:t>用途：WAF</w:t>
            </w:r>
          </w:p>
        </w:tc>
      </w:tr>
      <w:tr>
        <w:tblPrEx>
          <w:tblCellMar>
            <w:top w:w="0" w:type="dxa"/>
            <w:left w:w="108" w:type="dxa"/>
            <w:bottom w:w="0" w:type="dxa"/>
            <w:right w:w="108" w:type="dxa"/>
          </w:tblCellMar>
        </w:tblPrEx>
        <w:trPr>
          <w:trHeight w:val="305" w:hRule="atLeast"/>
          <w:jc w:val="center"/>
        </w:trPr>
        <w:tc>
          <w:tcPr>
            <w:tcW w:w="1681" w:type="dxa"/>
            <w:tcBorders>
              <w:top w:val="nil"/>
              <w:left w:val="single" w:color="auto" w:sz="4" w:space="0"/>
              <w:bottom w:val="single" w:color="auto" w:sz="4" w:space="0"/>
              <w:right w:val="single" w:color="auto" w:sz="4" w:space="0"/>
            </w:tcBorders>
            <w:shd w:val="clear" w:color="auto" w:fill="BFBFBF"/>
            <w:vAlign w:val="center"/>
          </w:tcPr>
          <w:p>
            <w:pPr>
              <w:rPr>
                <w:rFonts w:ascii="宋体" w:hAnsi="宋体" w:cs="Times New Roman"/>
                <w:b/>
                <w:bCs/>
              </w:rPr>
            </w:pPr>
            <w:r>
              <w:rPr>
                <w:rFonts w:ascii="宋体" w:hAnsi="宋体" w:cs="Times New Roman"/>
                <w:b/>
                <w:bCs/>
              </w:rPr>
              <w:t>指标项</w:t>
            </w:r>
          </w:p>
        </w:tc>
        <w:tc>
          <w:tcPr>
            <w:tcW w:w="7391" w:type="dxa"/>
            <w:tcBorders>
              <w:top w:val="nil"/>
              <w:left w:val="nil"/>
              <w:bottom w:val="single" w:color="auto" w:sz="4" w:space="0"/>
              <w:right w:val="single" w:color="auto" w:sz="4" w:space="0"/>
            </w:tcBorders>
            <w:shd w:val="clear" w:color="auto" w:fill="BFBFBF"/>
            <w:vAlign w:val="bottom"/>
          </w:tcPr>
          <w:p>
            <w:pPr>
              <w:rPr>
                <w:rFonts w:ascii="宋体" w:hAnsi="宋体" w:cs="Times New Roman"/>
                <w:b/>
                <w:bCs/>
              </w:rPr>
            </w:pPr>
            <w:r>
              <w:rPr>
                <w:rFonts w:ascii="宋体" w:hAnsi="宋体" w:cs="Times New Roman"/>
                <w:b/>
                <w:bCs/>
              </w:rPr>
              <w:t>指标要求（除特别说明外，以下为单台设备的配置要求）</w:t>
            </w:r>
          </w:p>
        </w:tc>
      </w:tr>
      <w:tr>
        <w:tblPrEx>
          <w:tblCellMar>
            <w:top w:w="0" w:type="dxa"/>
            <w:left w:w="108" w:type="dxa"/>
            <w:bottom w:w="0" w:type="dxa"/>
            <w:right w:w="108" w:type="dxa"/>
          </w:tblCellMar>
        </w:tblPrEx>
        <w:trPr>
          <w:trHeight w:val="306" w:hRule="atLeast"/>
          <w:jc w:val="center"/>
        </w:trPr>
        <w:tc>
          <w:tcPr>
            <w:tcW w:w="1681" w:type="dxa"/>
            <w:vMerge w:val="restart"/>
            <w:tcBorders>
              <w:top w:val="nil"/>
              <w:left w:val="single" w:color="auto" w:sz="4" w:space="0"/>
              <w:right w:val="single" w:color="auto" w:sz="4" w:space="0"/>
            </w:tcBorders>
            <w:vAlign w:val="center"/>
          </w:tcPr>
          <w:p>
            <w:pPr>
              <w:rPr>
                <w:rFonts w:ascii="宋体" w:hAnsi="宋体" w:cs="Times New Roman"/>
              </w:rPr>
            </w:pPr>
            <w:r>
              <w:rPr>
                <w:rFonts w:ascii="宋体" w:hAnsi="宋体" w:cs="Times New Roman"/>
              </w:rPr>
              <w:t>性能要求</w:t>
            </w:r>
          </w:p>
        </w:tc>
        <w:tc>
          <w:tcPr>
            <w:tcW w:w="7391" w:type="dxa"/>
            <w:tcBorders>
              <w:top w:val="nil"/>
              <w:left w:val="nil"/>
              <w:bottom w:val="single" w:color="auto" w:sz="4" w:space="0"/>
              <w:right w:val="single" w:color="auto" w:sz="4" w:space="0"/>
            </w:tcBorders>
            <w:vAlign w:val="bottom"/>
          </w:tcPr>
          <w:p>
            <w:pPr>
              <w:rPr>
                <w:rFonts w:ascii="宋体" w:hAnsi="宋体" w:cs="Times New Roman"/>
              </w:rPr>
            </w:pPr>
            <w:r>
              <w:rPr>
                <w:rFonts w:ascii="宋体" w:hAnsi="宋体" w:cs="Times New Roman"/>
              </w:rPr>
              <w:t>集群吞吐量≥20Gbps</w:t>
            </w:r>
          </w:p>
        </w:tc>
      </w:tr>
      <w:tr>
        <w:trPr>
          <w:trHeight w:val="306" w:hRule="atLeast"/>
          <w:jc w:val="center"/>
        </w:trPr>
        <w:tc>
          <w:tcPr>
            <w:tcW w:w="1681" w:type="dxa"/>
            <w:vMerge w:val="continue"/>
            <w:tcBorders>
              <w:left w:val="single" w:color="auto" w:sz="4" w:space="0"/>
              <w:right w:val="single" w:color="auto" w:sz="4" w:space="0"/>
            </w:tcBorders>
            <w:vAlign w:val="center"/>
          </w:tcPr>
          <w:p>
            <w:pPr>
              <w:rPr>
                <w:rFonts w:ascii="宋体" w:hAnsi="宋体" w:cs="Times New Roman"/>
              </w:rPr>
            </w:pPr>
          </w:p>
        </w:tc>
        <w:tc>
          <w:tcPr>
            <w:tcW w:w="7391" w:type="dxa"/>
            <w:tcBorders>
              <w:top w:val="nil"/>
              <w:left w:val="nil"/>
              <w:bottom w:val="single" w:color="auto" w:sz="4" w:space="0"/>
              <w:right w:val="single" w:color="auto" w:sz="4" w:space="0"/>
            </w:tcBorders>
            <w:vAlign w:val="bottom"/>
          </w:tcPr>
          <w:p>
            <w:pPr>
              <w:rPr>
                <w:rFonts w:ascii="宋体" w:hAnsi="宋体" w:cs="Times New Roman"/>
              </w:rPr>
            </w:pPr>
            <w:r>
              <w:rPr>
                <w:rFonts w:ascii="宋体" w:hAnsi="宋体" w:cs="Times New Roman"/>
              </w:rPr>
              <w:t>集群新建连接数≥10万</w:t>
            </w:r>
          </w:p>
        </w:tc>
      </w:tr>
      <w:tr>
        <w:tblPrEx>
          <w:tblCellMar>
            <w:top w:w="0" w:type="dxa"/>
            <w:left w:w="108" w:type="dxa"/>
            <w:bottom w:w="0" w:type="dxa"/>
            <w:right w:w="108" w:type="dxa"/>
          </w:tblCellMar>
        </w:tblPrEx>
        <w:trPr>
          <w:trHeight w:val="306" w:hRule="atLeast"/>
          <w:jc w:val="center"/>
        </w:trPr>
        <w:tc>
          <w:tcPr>
            <w:tcW w:w="1681" w:type="dxa"/>
            <w:vMerge w:val="continue"/>
            <w:tcBorders>
              <w:left w:val="single" w:color="auto" w:sz="4" w:space="0"/>
              <w:right w:val="single" w:color="auto" w:sz="4" w:space="0"/>
            </w:tcBorders>
            <w:vAlign w:val="center"/>
          </w:tcPr>
          <w:p>
            <w:pPr>
              <w:rPr>
                <w:rFonts w:ascii="宋体" w:hAnsi="宋体" w:cs="Times New Roman"/>
              </w:rPr>
            </w:pPr>
          </w:p>
        </w:tc>
        <w:tc>
          <w:tcPr>
            <w:tcW w:w="7391" w:type="dxa"/>
            <w:tcBorders>
              <w:top w:val="nil"/>
              <w:left w:val="nil"/>
              <w:bottom w:val="single" w:color="auto" w:sz="4" w:space="0"/>
              <w:right w:val="single" w:color="auto" w:sz="4" w:space="0"/>
            </w:tcBorders>
            <w:vAlign w:val="bottom"/>
          </w:tcPr>
          <w:p>
            <w:pPr>
              <w:rPr>
                <w:rFonts w:ascii="宋体" w:hAnsi="宋体" w:cs="Times New Roman"/>
              </w:rPr>
            </w:pPr>
            <w:r>
              <w:rPr>
                <w:rFonts w:ascii="宋体" w:hAnsi="宋体" w:cs="Times New Roman"/>
              </w:rPr>
              <w:t>集群并发连接数≥200万</w:t>
            </w:r>
          </w:p>
        </w:tc>
      </w:tr>
      <w:tr>
        <w:tblPrEx>
          <w:tblCellMar>
            <w:top w:w="0" w:type="dxa"/>
            <w:left w:w="108" w:type="dxa"/>
            <w:bottom w:w="0" w:type="dxa"/>
            <w:right w:w="108" w:type="dxa"/>
          </w:tblCellMar>
        </w:tblPrEx>
        <w:trPr>
          <w:trHeight w:val="306" w:hRule="atLeast"/>
          <w:jc w:val="center"/>
        </w:trPr>
        <w:tc>
          <w:tcPr>
            <w:tcW w:w="1681" w:type="dxa"/>
            <w:vMerge w:val="continue"/>
            <w:tcBorders>
              <w:left w:val="single" w:color="auto" w:sz="4" w:space="0"/>
              <w:bottom w:val="single" w:color="auto" w:sz="4" w:space="0"/>
              <w:right w:val="single" w:color="auto" w:sz="4" w:space="0"/>
            </w:tcBorders>
            <w:vAlign w:val="center"/>
          </w:tcPr>
          <w:p>
            <w:pPr>
              <w:rPr>
                <w:rFonts w:ascii="宋体" w:hAnsi="宋体" w:cs="Times New Roman"/>
              </w:rPr>
            </w:pPr>
          </w:p>
        </w:tc>
        <w:tc>
          <w:tcPr>
            <w:tcW w:w="7391" w:type="dxa"/>
            <w:tcBorders>
              <w:top w:val="nil"/>
              <w:left w:val="nil"/>
              <w:bottom w:val="single" w:color="auto" w:sz="4" w:space="0"/>
              <w:right w:val="single" w:color="auto" w:sz="4" w:space="0"/>
            </w:tcBorders>
            <w:vAlign w:val="bottom"/>
          </w:tcPr>
          <w:p>
            <w:pPr>
              <w:rPr>
                <w:rFonts w:ascii="宋体" w:hAnsi="宋体" w:cs="Times New Roman"/>
              </w:rPr>
            </w:pPr>
            <w:r>
              <w:rPr>
                <w:rFonts w:ascii="宋体" w:hAnsi="宋体" w:cs="Times New Roman"/>
              </w:rPr>
              <w:t>必须能支持集群部署，支持线路冗余、引擎负载均衡等高可用机制，确保平台不间断运行。</w:t>
            </w:r>
          </w:p>
        </w:tc>
      </w:tr>
      <w:tr>
        <w:tblPrEx>
          <w:tblCellMar>
            <w:top w:w="0" w:type="dxa"/>
            <w:left w:w="108" w:type="dxa"/>
            <w:bottom w:w="0" w:type="dxa"/>
            <w:right w:w="108" w:type="dxa"/>
          </w:tblCellMar>
        </w:tblPrEx>
        <w:trPr>
          <w:trHeight w:val="67" w:hRule="atLeast"/>
          <w:jc w:val="center"/>
        </w:trPr>
        <w:tc>
          <w:tcPr>
            <w:tcW w:w="1681" w:type="dxa"/>
            <w:vMerge w:val="restart"/>
            <w:tcBorders>
              <w:top w:val="single" w:color="auto" w:sz="4" w:space="0"/>
              <w:left w:val="single" w:color="auto" w:sz="4" w:space="0"/>
              <w:right w:val="single" w:color="auto" w:sz="4" w:space="0"/>
            </w:tcBorders>
            <w:vAlign w:val="center"/>
          </w:tcPr>
          <w:p>
            <w:pPr>
              <w:rPr>
                <w:rFonts w:ascii="宋体" w:hAnsi="宋体" w:cs="Times New Roman"/>
              </w:rPr>
            </w:pPr>
            <w:r>
              <w:rPr>
                <w:rFonts w:ascii="宋体" w:hAnsi="宋体" w:cs="Times New Roman"/>
              </w:rPr>
              <w:t>功能要求</w:t>
            </w:r>
          </w:p>
        </w:tc>
        <w:tc>
          <w:tcPr>
            <w:tcW w:w="7391" w:type="dxa"/>
            <w:tcBorders>
              <w:top w:val="single" w:color="auto" w:sz="4" w:space="0"/>
              <w:left w:val="nil"/>
              <w:bottom w:val="single" w:color="auto" w:sz="4" w:space="0"/>
              <w:right w:val="single" w:color="auto" w:sz="4" w:space="0"/>
            </w:tcBorders>
            <w:vAlign w:val="bottom"/>
          </w:tcPr>
          <w:p>
            <w:pPr>
              <w:rPr>
                <w:rFonts w:hint="default" w:ascii="宋体" w:hAnsi="宋体" w:cs="Times New Roman" w:eastAsiaTheme="minorEastAsia"/>
                <w:lang w:val="en-US" w:eastAsia="zh-CN"/>
              </w:rPr>
            </w:pPr>
            <w:r>
              <w:rPr>
                <w:rFonts w:hint="eastAsia" w:ascii="宋体" w:hAnsi="宋体" w:cs="Times New Roman"/>
                <w:lang w:val="en-US" w:eastAsia="zh-CN"/>
              </w:rPr>
              <w:t>支持透明串接、反向代理、旁路镜像、路由牵引、嵌入式部署等多种部署模式部署。支持链路聚合。</w:t>
            </w:r>
          </w:p>
        </w:tc>
      </w:tr>
      <w:tr>
        <w:trPr>
          <w:trHeight w:val="67" w:hRule="atLeast"/>
          <w:jc w:val="center"/>
        </w:trPr>
        <w:tc>
          <w:tcPr>
            <w:tcW w:w="1681" w:type="dxa"/>
            <w:vMerge w:val="continue"/>
            <w:tcBorders>
              <w:left w:val="single" w:color="auto" w:sz="4" w:space="0"/>
              <w:right w:val="single" w:color="auto" w:sz="4" w:space="0"/>
            </w:tcBorders>
            <w:vAlign w:val="center"/>
          </w:tcPr>
          <w:p>
            <w:pPr>
              <w:rPr>
                <w:rFonts w:ascii="宋体" w:hAnsi="宋体" w:cs="Times New Roman"/>
              </w:rPr>
            </w:pPr>
          </w:p>
        </w:tc>
        <w:tc>
          <w:tcPr>
            <w:tcW w:w="7391" w:type="dxa"/>
            <w:tcBorders>
              <w:top w:val="single" w:color="auto" w:sz="4" w:space="0"/>
              <w:left w:val="nil"/>
              <w:bottom w:val="single" w:color="auto" w:sz="4" w:space="0"/>
              <w:right w:val="single" w:color="auto" w:sz="4" w:space="0"/>
            </w:tcBorders>
            <w:vAlign w:val="bottom"/>
          </w:tcPr>
          <w:p>
            <w:pPr>
              <w:rPr>
                <w:rFonts w:ascii="宋体" w:hAnsi="宋体" w:cs="Times New Roman"/>
              </w:rPr>
            </w:pPr>
            <w:r>
              <w:rPr>
                <w:rFonts w:ascii="宋体" w:hAnsi="宋体" w:cs="Times New Roman"/>
              </w:rPr>
              <w:t>具备BYPASS功能模块，能够在5分钟内实现切换</w:t>
            </w:r>
          </w:p>
        </w:tc>
      </w:tr>
      <w:tr>
        <w:tblPrEx>
          <w:tblCellMar>
            <w:top w:w="0" w:type="dxa"/>
            <w:left w:w="108" w:type="dxa"/>
            <w:bottom w:w="0" w:type="dxa"/>
            <w:right w:w="108" w:type="dxa"/>
          </w:tblCellMar>
        </w:tblPrEx>
        <w:trPr>
          <w:trHeight w:val="67" w:hRule="atLeast"/>
          <w:jc w:val="center"/>
        </w:trPr>
        <w:tc>
          <w:tcPr>
            <w:tcW w:w="1681" w:type="dxa"/>
            <w:vMerge w:val="continue"/>
            <w:tcBorders>
              <w:left w:val="single" w:color="auto" w:sz="4" w:space="0"/>
              <w:right w:val="single" w:color="auto" w:sz="4" w:space="0"/>
            </w:tcBorders>
            <w:vAlign w:val="center"/>
          </w:tcPr>
          <w:p>
            <w:pPr>
              <w:rPr>
                <w:rFonts w:ascii="宋体" w:hAnsi="宋体" w:cs="Times New Roman"/>
              </w:rPr>
            </w:pPr>
          </w:p>
        </w:tc>
        <w:tc>
          <w:tcPr>
            <w:tcW w:w="7391" w:type="dxa"/>
            <w:tcBorders>
              <w:top w:val="single" w:color="auto" w:sz="4" w:space="0"/>
              <w:left w:val="nil"/>
              <w:right w:val="single" w:color="auto" w:sz="4" w:space="0"/>
            </w:tcBorders>
            <w:vAlign w:val="bottom"/>
          </w:tcPr>
          <w:p>
            <w:pPr>
              <w:rPr>
                <w:rFonts w:ascii="宋体" w:hAnsi="宋体" w:cs="Times New Roman"/>
              </w:rPr>
            </w:pPr>
            <w:r>
              <w:rPr>
                <w:rFonts w:ascii="宋体" w:hAnsi="宋体" w:cs="Times New Roman"/>
              </w:rPr>
              <w:t>支持识别服务端响应内容导致的缺陷：协议违规、协议版本限制、缺失报头、畸形请求、文件限制、恶意user-agents、服务器信息泄露、数据库信息泄露、源代码泄露。</w:t>
            </w:r>
          </w:p>
        </w:tc>
      </w:tr>
      <w:tr>
        <w:tblPrEx>
          <w:tblCellMar>
            <w:top w:w="0" w:type="dxa"/>
            <w:left w:w="108" w:type="dxa"/>
            <w:bottom w:w="0" w:type="dxa"/>
            <w:right w:w="108" w:type="dxa"/>
          </w:tblCellMar>
        </w:tblPrEx>
        <w:trPr>
          <w:trHeight w:val="306" w:hRule="atLeast"/>
          <w:jc w:val="center"/>
        </w:trPr>
        <w:tc>
          <w:tcPr>
            <w:tcW w:w="1681" w:type="dxa"/>
            <w:vMerge w:val="continue"/>
            <w:tcBorders>
              <w:left w:val="single" w:color="auto" w:sz="4" w:space="0"/>
              <w:right w:val="single" w:color="auto" w:sz="4" w:space="0"/>
            </w:tcBorders>
            <w:vAlign w:val="center"/>
          </w:tcPr>
          <w:p>
            <w:pPr>
              <w:rPr>
                <w:rFonts w:ascii="宋体" w:hAnsi="宋体" w:cs="Times New Roman"/>
              </w:rPr>
            </w:pPr>
          </w:p>
        </w:tc>
        <w:tc>
          <w:tcPr>
            <w:tcW w:w="7391" w:type="dxa"/>
            <w:tcBorders>
              <w:top w:val="single" w:color="auto" w:sz="4" w:space="0"/>
              <w:left w:val="nil"/>
              <w:bottom w:val="single" w:color="auto" w:sz="4" w:space="0"/>
              <w:right w:val="single" w:color="auto" w:sz="4" w:space="0"/>
            </w:tcBorders>
            <w:vAlign w:val="bottom"/>
          </w:tcPr>
          <w:p>
            <w:pPr>
              <w:rPr>
                <w:rFonts w:ascii="宋体" w:hAnsi="宋体" w:cs="Times New Roman"/>
              </w:rPr>
            </w:pPr>
            <w:r>
              <w:rPr>
                <w:rFonts w:ascii="宋体" w:hAnsi="宋体" w:cs="Times New Roman"/>
              </w:rPr>
              <w:t>支持能够以区域进行访问控制，限制国外用户或者国内以市为最低行政单位的区域进行访问控制。</w:t>
            </w:r>
          </w:p>
        </w:tc>
      </w:tr>
      <w:tr>
        <w:tblPrEx>
          <w:tblCellMar>
            <w:top w:w="0" w:type="dxa"/>
            <w:left w:w="108" w:type="dxa"/>
            <w:bottom w:w="0" w:type="dxa"/>
            <w:right w:w="108" w:type="dxa"/>
          </w:tblCellMar>
        </w:tblPrEx>
        <w:trPr>
          <w:trHeight w:val="504" w:hRule="atLeast"/>
          <w:jc w:val="center"/>
        </w:trPr>
        <w:tc>
          <w:tcPr>
            <w:tcW w:w="1681" w:type="dxa"/>
            <w:vMerge w:val="continue"/>
            <w:tcBorders>
              <w:left w:val="single" w:color="auto" w:sz="4" w:space="0"/>
              <w:bottom w:val="single" w:color="auto" w:sz="4" w:space="0"/>
              <w:right w:val="single" w:color="auto" w:sz="4" w:space="0"/>
            </w:tcBorders>
            <w:vAlign w:val="center"/>
          </w:tcPr>
          <w:p>
            <w:pPr>
              <w:rPr>
                <w:rFonts w:ascii="宋体" w:hAnsi="宋体" w:cs="Times New Roman"/>
              </w:rPr>
            </w:pPr>
          </w:p>
        </w:tc>
        <w:tc>
          <w:tcPr>
            <w:tcW w:w="7391" w:type="dxa"/>
            <w:tcBorders>
              <w:top w:val="single" w:color="auto" w:sz="4" w:space="0"/>
              <w:left w:val="nil"/>
              <w:bottom w:val="single" w:color="auto" w:sz="4" w:space="0"/>
              <w:right w:val="single" w:color="auto" w:sz="4" w:space="0"/>
            </w:tcBorders>
            <w:vAlign w:val="bottom"/>
          </w:tcPr>
          <w:p>
            <w:pPr>
              <w:rPr>
                <w:rFonts w:ascii="宋体" w:hAnsi="宋体" w:cs="Times New Roman"/>
              </w:rPr>
            </w:pPr>
            <w:r>
              <w:rPr>
                <w:rFonts w:ascii="宋体" w:hAnsi="宋体" w:cs="Times New Roman"/>
              </w:rPr>
              <w:t>支持一键关停功能，当网站出现紧急安全事件时，可在一分钟内通过</w:t>
            </w:r>
            <w:r>
              <w:rPr>
                <w:rFonts w:hint="eastAsia" w:ascii="宋体" w:hAnsi="宋体" w:cs="Times New Roman"/>
                <w:lang w:val="en-US" w:eastAsia="zh-CN"/>
              </w:rPr>
              <w:t>管理平台</w:t>
            </w:r>
            <w:r>
              <w:rPr>
                <w:rFonts w:ascii="宋体" w:hAnsi="宋体" w:cs="Times New Roman"/>
              </w:rPr>
              <w:t>一键完成关停，防止产生恶劣影响。</w:t>
            </w:r>
          </w:p>
        </w:tc>
      </w:tr>
      <w:tr>
        <w:trPr>
          <w:trHeight w:val="535" w:hRule="atLeast"/>
          <w:jc w:val="center"/>
        </w:trPr>
        <w:tc>
          <w:tcPr>
            <w:tcW w:w="1681" w:type="dxa"/>
            <w:vMerge w:val="restar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管理支撑功能</w:t>
            </w:r>
          </w:p>
        </w:tc>
        <w:tc>
          <w:tcPr>
            <w:tcW w:w="7391" w:type="dxa"/>
            <w:tcBorders>
              <w:top w:val="single" w:color="auto" w:sz="4" w:space="0"/>
              <w:left w:val="nil"/>
              <w:bottom w:val="single" w:color="auto" w:sz="4" w:space="0"/>
              <w:right w:val="single" w:color="auto" w:sz="4" w:space="0"/>
            </w:tcBorders>
            <w:vAlign w:val="bottom"/>
          </w:tcPr>
          <w:p>
            <w:pPr>
              <w:rPr>
                <w:rFonts w:ascii="宋体" w:hAnsi="宋体" w:cs="Times New Roman"/>
              </w:rPr>
            </w:pPr>
            <w:r>
              <w:rPr>
                <w:rFonts w:ascii="宋体" w:hAnsi="宋体" w:cs="Times New Roman"/>
              </w:rPr>
              <w:t>支持SAAS服务模式，能为每个网站和系统单独创建用户账号，用于查看所属网站和系统的安全状况。租户账号可以根据需要可以在租户管理界面上进行自服务配置，大屏监控以及访问和防护报表的导出等。管理员账号可关注、查看下属机构的网站和系统的整体情况，形成整体区域监控。</w:t>
            </w:r>
          </w:p>
        </w:tc>
      </w:tr>
      <w:tr>
        <w:tblPrEx>
          <w:tblCellMar>
            <w:top w:w="0" w:type="dxa"/>
            <w:left w:w="108" w:type="dxa"/>
            <w:bottom w:w="0" w:type="dxa"/>
            <w:right w:w="108" w:type="dxa"/>
          </w:tblCellMar>
        </w:tblPrEx>
        <w:trPr>
          <w:trHeight w:val="535" w:hRule="atLeast"/>
          <w:jc w:val="center"/>
        </w:trPr>
        <w:tc>
          <w:tcPr>
            <w:tcW w:w="1681"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p>
        </w:tc>
        <w:tc>
          <w:tcPr>
            <w:tcW w:w="7391" w:type="dxa"/>
            <w:tcBorders>
              <w:top w:val="single" w:color="auto" w:sz="4" w:space="0"/>
              <w:left w:val="nil"/>
              <w:bottom w:val="single" w:color="auto" w:sz="4" w:space="0"/>
              <w:right w:val="single" w:color="auto" w:sz="4" w:space="0"/>
            </w:tcBorders>
            <w:vAlign w:val="bottom"/>
          </w:tcPr>
          <w:p>
            <w:pPr>
              <w:rPr>
                <w:rFonts w:ascii="宋体" w:hAnsi="宋体" w:cs="Times New Roman"/>
              </w:rPr>
            </w:pPr>
            <w:r>
              <w:rPr>
                <w:rFonts w:ascii="宋体" w:hAnsi="宋体" w:cs="Times New Roman"/>
              </w:rPr>
              <w:t>为同时满足不同用户群体、不同场景的管理需求，产品同时支持手机APP、微信公众号、WEB三种方式查看网站整体防护态势，包含受攻击域名排行、攻击类型排行、攻击IP排行、攻击区域分布等状态信息。</w:t>
            </w:r>
          </w:p>
        </w:tc>
      </w:tr>
      <w:tr>
        <w:tblPrEx>
          <w:tblCellMar>
            <w:top w:w="0" w:type="dxa"/>
            <w:left w:w="108" w:type="dxa"/>
            <w:bottom w:w="0" w:type="dxa"/>
            <w:right w:w="108" w:type="dxa"/>
          </w:tblCellMar>
        </w:tblPrEx>
        <w:trPr>
          <w:trHeight w:val="67" w:hRule="atLeast"/>
          <w:jc w:val="center"/>
        </w:trPr>
        <w:tc>
          <w:tcPr>
            <w:tcW w:w="1681"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p>
        </w:tc>
        <w:tc>
          <w:tcPr>
            <w:tcW w:w="7391" w:type="dxa"/>
            <w:tcBorders>
              <w:top w:val="single" w:color="auto" w:sz="4" w:space="0"/>
              <w:left w:val="nil"/>
              <w:bottom w:val="single" w:color="auto" w:sz="4" w:space="0"/>
              <w:right w:val="single" w:color="auto" w:sz="4" w:space="0"/>
            </w:tcBorders>
            <w:vAlign w:val="bottom"/>
          </w:tcPr>
          <w:p>
            <w:pPr>
              <w:rPr>
                <w:rFonts w:ascii="宋体" w:hAnsi="宋体" w:cs="Times New Roman"/>
              </w:rPr>
            </w:pPr>
            <w:r>
              <w:rPr>
                <w:rFonts w:ascii="宋体" w:hAnsi="宋体" w:cs="Times New Roman"/>
              </w:rPr>
              <w:t>同时支持单个站点和整体网站群攻击态势可视化分析，包括访问与攻击流量趋势、访问与攻击源实时分、析CC攻击趋势、受攻击网站趋势、访问源及攻击IP排行、攻击类型、攻击时段、网站访问排行等、攻击区域热点展示与挖掘等。</w:t>
            </w:r>
          </w:p>
        </w:tc>
      </w:tr>
    </w:tbl>
    <w:p>
      <w:bookmarkStart w:id="36" w:name="_Hlk32784404"/>
      <w:bookmarkStart w:id="37" w:name="_Hlk32827629"/>
    </w:p>
    <w:tbl>
      <w:tblPr>
        <w:tblStyle w:val="12"/>
        <w:tblW w:w="460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0"/>
        <w:gridCol w:w="6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宋体"/>
                <w:b/>
                <w:color w:val="000000"/>
                <w:kern w:val="0"/>
              </w:rPr>
            </w:pPr>
            <w:r>
              <w:rPr>
                <w:rFonts w:ascii="宋体" w:hAnsi="宋体"/>
                <w:b/>
                <w:bCs/>
                <w:color w:val="000000"/>
                <w:kern w:val="0"/>
              </w:rPr>
              <w:t>用途：蜜罐系统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pct"/>
            <w:tcBorders>
              <w:top w:val="single" w:color="auto" w:sz="4" w:space="0"/>
              <w:left w:val="single" w:color="auto" w:sz="4" w:space="0"/>
              <w:bottom w:val="single" w:color="auto" w:sz="4" w:space="0"/>
              <w:right w:val="single" w:color="auto" w:sz="4" w:space="0"/>
            </w:tcBorders>
            <w:shd w:val="clear" w:color="auto" w:fill="BFBFBF"/>
            <w:vAlign w:val="center"/>
          </w:tcPr>
          <w:p>
            <w:pPr>
              <w:jc w:val="center"/>
              <w:rPr>
                <w:rFonts w:ascii="宋体" w:hAnsi="宋体" w:cs="宋体"/>
                <w:b/>
                <w:color w:val="000000"/>
                <w:kern w:val="0"/>
              </w:rPr>
            </w:pPr>
            <w:r>
              <w:rPr>
                <w:rFonts w:ascii="宋体" w:hAnsi="宋体" w:cs="宋体"/>
                <w:b/>
                <w:color w:val="000000"/>
                <w:kern w:val="0"/>
              </w:rPr>
              <w:t>规格</w:t>
            </w:r>
          </w:p>
        </w:tc>
        <w:tc>
          <w:tcPr>
            <w:tcW w:w="4063" w:type="pct"/>
            <w:tcBorders>
              <w:top w:val="single" w:color="auto" w:sz="4" w:space="0"/>
              <w:left w:val="single" w:color="auto" w:sz="4" w:space="0"/>
              <w:bottom w:val="single" w:color="auto" w:sz="4" w:space="0"/>
              <w:right w:val="single" w:color="auto" w:sz="4" w:space="0"/>
            </w:tcBorders>
            <w:shd w:val="clear" w:color="auto" w:fill="BFBFBF"/>
            <w:vAlign w:val="bottom"/>
          </w:tcPr>
          <w:p>
            <w:pPr>
              <w:jc w:val="center"/>
              <w:rPr>
                <w:rFonts w:ascii="宋体" w:hAnsi="宋体" w:cs="宋体"/>
                <w:b/>
                <w:color w:val="000000"/>
                <w:kern w:val="0"/>
              </w:rPr>
            </w:pPr>
            <w:r>
              <w:rPr>
                <w:rFonts w:ascii="宋体" w:hAnsi="宋体" w:cs="宋体"/>
                <w:b/>
                <w:color w:val="000000"/>
                <w:kern w:val="0"/>
              </w:rPr>
              <w:t>指标要求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937" w:type="pct"/>
            <w:tcBorders>
              <w:top w:val="single" w:color="auto" w:sz="4" w:space="0"/>
              <w:left w:val="single" w:color="auto" w:sz="4" w:space="0"/>
              <w:bottom w:val="single" w:color="auto" w:sz="4" w:space="0"/>
              <w:right w:val="single" w:color="auto" w:sz="4" w:space="0"/>
            </w:tcBorders>
          </w:tcPr>
          <w:p>
            <w:pPr>
              <w:rPr>
                <w:rFonts w:ascii="宋体" w:hAnsi="宋体" w:cs="Times New Roman"/>
              </w:rPr>
            </w:pPr>
            <w:r>
              <w:rPr>
                <w:rFonts w:ascii="宋体" w:hAnsi="宋体" w:cs="Times New Roman"/>
              </w:rPr>
              <w:t>蜜罐创建能力</w:t>
            </w:r>
          </w:p>
        </w:tc>
        <w:tc>
          <w:tcPr>
            <w:tcW w:w="4063" w:type="pct"/>
            <w:tcBorders>
              <w:top w:val="single" w:color="auto" w:sz="4" w:space="0"/>
              <w:left w:val="single" w:color="auto" w:sz="4" w:space="0"/>
              <w:bottom w:val="single" w:color="auto" w:sz="4" w:space="0"/>
              <w:right w:val="single" w:color="auto" w:sz="4" w:space="0"/>
            </w:tcBorders>
          </w:tcPr>
          <w:p>
            <w:pPr>
              <w:rPr>
                <w:rFonts w:ascii="宋体" w:hAnsi="宋体" w:cs="Times New Roman"/>
              </w:rPr>
            </w:pPr>
            <w:r>
              <w:rPr>
                <w:rFonts w:ascii="宋体" w:hAnsi="宋体" w:cs="宋体"/>
                <w:color w:val="000000"/>
                <w:kern w:val="0"/>
              </w:rPr>
              <w:t>支持主机类蜜罐、服务类蜜罐、数据库类蜜罐、web蜜罐等创建，以上各类蜜罐都要具有高交互能力，并可以组成蜜网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937" w:type="pct"/>
            <w:tcBorders>
              <w:top w:val="single" w:color="auto" w:sz="4" w:space="0"/>
              <w:left w:val="single" w:color="auto" w:sz="4" w:space="0"/>
              <w:bottom w:val="single" w:color="auto" w:sz="4" w:space="0"/>
              <w:right w:val="single" w:color="auto" w:sz="4" w:space="0"/>
            </w:tcBorders>
          </w:tcPr>
          <w:p>
            <w:pPr>
              <w:rPr>
                <w:rFonts w:ascii="宋体" w:hAnsi="宋体" w:cs="Times New Roman"/>
              </w:rPr>
            </w:pPr>
            <w:r>
              <w:rPr>
                <w:rFonts w:ascii="宋体" w:hAnsi="宋体" w:cs="Times New Roman"/>
              </w:rPr>
              <w:t>诱饵创建能力</w:t>
            </w:r>
          </w:p>
        </w:tc>
        <w:tc>
          <w:tcPr>
            <w:tcW w:w="4063" w:type="pct"/>
            <w:tcBorders>
              <w:top w:val="single" w:color="auto" w:sz="4" w:space="0"/>
              <w:left w:val="single" w:color="auto" w:sz="4" w:space="0"/>
              <w:bottom w:val="single" w:color="auto" w:sz="4" w:space="0"/>
              <w:right w:val="single" w:color="auto" w:sz="4" w:space="0"/>
            </w:tcBorders>
          </w:tcPr>
          <w:p>
            <w:pPr>
              <w:rPr>
                <w:rFonts w:ascii="宋体" w:hAnsi="宋体" w:cs="Times New Roman"/>
              </w:rPr>
            </w:pPr>
            <w:r>
              <w:rPr>
                <w:rFonts w:ascii="宋体" w:hAnsi="宋体" w:cs="Times New Roman"/>
              </w:rPr>
              <w:t>支持创建撒放在Windows和Linux主机上的诱饵，包括但不限于文件类诱饵、连接类诱饵、网络共享类诱饵以及浏览器类诱饵，达到诱捕攻击者攻击诱捕节点的目的。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pct"/>
            <w:tcBorders>
              <w:top w:val="single" w:color="auto" w:sz="4" w:space="0"/>
              <w:left w:val="single" w:color="auto" w:sz="4" w:space="0"/>
              <w:bottom w:val="single" w:color="auto" w:sz="4" w:space="0"/>
              <w:right w:val="single" w:color="auto" w:sz="4" w:space="0"/>
            </w:tcBorders>
          </w:tcPr>
          <w:p>
            <w:pPr>
              <w:rPr>
                <w:rFonts w:ascii="宋体" w:hAnsi="宋体" w:cs="Times New Roman"/>
              </w:rPr>
            </w:pPr>
            <w:r>
              <w:rPr>
                <w:rFonts w:ascii="宋体" w:hAnsi="宋体" w:cs="Times New Roman"/>
              </w:rPr>
              <w:t>诱捕伪装能力</w:t>
            </w:r>
          </w:p>
        </w:tc>
        <w:tc>
          <w:tcPr>
            <w:tcW w:w="4063" w:type="pct"/>
            <w:tcBorders>
              <w:top w:val="single" w:color="auto" w:sz="4" w:space="0"/>
              <w:left w:val="single" w:color="auto" w:sz="4" w:space="0"/>
              <w:bottom w:val="single" w:color="auto" w:sz="4" w:space="0"/>
              <w:right w:val="single" w:color="auto" w:sz="4" w:space="0"/>
            </w:tcBorders>
          </w:tcPr>
          <w:p>
            <w:pPr>
              <w:rPr>
                <w:rFonts w:ascii="宋体" w:hAnsi="宋体" w:cs="Times New Roman"/>
              </w:rPr>
            </w:pPr>
            <w:r>
              <w:rPr>
                <w:rFonts w:ascii="宋体" w:hAnsi="宋体" w:cs="Times New Roman"/>
              </w:rPr>
              <w:t>支持在网络中部署轻量级的诱捕节点，考虑到经济性和真实性，一台诱捕主机应支持产生多个具有不同IP和MAC地址的诱捕节点，并且每个诱捕节点可以动态配置不同诱捕服务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37" w:type="pct"/>
            <w:tcBorders>
              <w:top w:val="single" w:color="auto" w:sz="4" w:space="0"/>
              <w:left w:val="single" w:color="auto" w:sz="4" w:space="0"/>
              <w:bottom w:val="single" w:color="auto" w:sz="4" w:space="0"/>
              <w:right w:val="single" w:color="auto" w:sz="4" w:space="0"/>
            </w:tcBorders>
          </w:tcPr>
          <w:p>
            <w:pPr>
              <w:rPr>
                <w:rFonts w:ascii="宋体" w:hAnsi="宋体" w:cs="Times New Roman"/>
              </w:rPr>
            </w:pPr>
            <w:r>
              <w:rPr>
                <w:rFonts w:ascii="宋体" w:hAnsi="宋体" w:cs="Times New Roman"/>
              </w:rPr>
              <w:t>攻击检测能力</w:t>
            </w:r>
          </w:p>
        </w:tc>
        <w:tc>
          <w:tcPr>
            <w:tcW w:w="4063" w:type="pct"/>
            <w:tcBorders>
              <w:top w:val="single" w:color="auto" w:sz="4" w:space="0"/>
              <w:left w:val="single" w:color="auto" w:sz="4" w:space="0"/>
              <w:bottom w:val="single" w:color="auto" w:sz="4" w:space="0"/>
              <w:right w:val="single" w:color="auto" w:sz="4" w:space="0"/>
            </w:tcBorders>
          </w:tcPr>
          <w:p>
            <w:pPr>
              <w:rPr>
                <w:rFonts w:ascii="宋体" w:hAnsi="宋体" w:cs="Times New Roman"/>
              </w:rPr>
            </w:pPr>
            <w:r>
              <w:rPr>
                <w:rFonts w:ascii="宋体" w:hAnsi="宋体" w:cs="Times New Roman"/>
              </w:rPr>
              <w:t>支持对诱捕节点触碰和蜜罐入侵两类事件的检测，并支持对攻击源的画像，以图表和时间轴的方式展示其相关信息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pct"/>
            <w:tcBorders>
              <w:top w:val="single" w:color="auto" w:sz="4" w:space="0"/>
              <w:left w:val="single" w:color="auto" w:sz="4" w:space="0"/>
              <w:bottom w:val="single" w:color="auto" w:sz="4" w:space="0"/>
              <w:right w:val="single" w:color="auto" w:sz="4" w:space="0"/>
            </w:tcBorders>
          </w:tcPr>
          <w:p>
            <w:pPr>
              <w:rPr>
                <w:rFonts w:ascii="宋体" w:hAnsi="宋体" w:cs="Times New Roman"/>
              </w:rPr>
            </w:pPr>
            <w:r>
              <w:rPr>
                <w:rFonts w:ascii="宋体" w:hAnsi="宋体" w:cs="Times New Roman"/>
              </w:rPr>
              <w:t>攻击取证能力</w:t>
            </w:r>
          </w:p>
        </w:tc>
        <w:tc>
          <w:tcPr>
            <w:tcW w:w="4063" w:type="pct"/>
            <w:tcBorders>
              <w:top w:val="single" w:color="auto" w:sz="4" w:space="0"/>
              <w:left w:val="single" w:color="auto" w:sz="4" w:space="0"/>
              <w:bottom w:val="single" w:color="auto" w:sz="4" w:space="0"/>
              <w:right w:val="single" w:color="auto" w:sz="4" w:space="0"/>
            </w:tcBorders>
          </w:tcPr>
          <w:p>
            <w:pPr>
              <w:rPr>
                <w:rFonts w:ascii="宋体" w:hAnsi="宋体" w:cs="Times New Roman"/>
              </w:rPr>
            </w:pPr>
            <w:r>
              <w:rPr>
                <w:rFonts w:ascii="宋体" w:hAnsi="宋体" w:cs="Times New Roman"/>
              </w:rPr>
              <w:t>支持对流经蜜罐的流量包进行捕获、保存以及从流量包中进行文件还原的能力，便于后续取证分析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pct"/>
            <w:tcBorders>
              <w:top w:val="single" w:color="auto" w:sz="4" w:space="0"/>
              <w:left w:val="single" w:color="auto" w:sz="4" w:space="0"/>
              <w:bottom w:val="single" w:color="auto" w:sz="4" w:space="0"/>
              <w:right w:val="single" w:color="auto" w:sz="4" w:space="0"/>
            </w:tcBorders>
          </w:tcPr>
          <w:p>
            <w:pPr>
              <w:rPr>
                <w:rFonts w:ascii="宋体" w:hAnsi="宋体" w:cs="Times New Roman"/>
              </w:rPr>
            </w:pPr>
            <w:r>
              <w:rPr>
                <w:rFonts w:ascii="宋体" w:hAnsi="宋体" w:cs="Times New Roman"/>
              </w:rPr>
              <w:t>统计分析能力</w:t>
            </w:r>
          </w:p>
        </w:tc>
        <w:tc>
          <w:tcPr>
            <w:tcW w:w="4063" w:type="pct"/>
            <w:tcBorders>
              <w:top w:val="single" w:color="auto" w:sz="4" w:space="0"/>
              <w:left w:val="single" w:color="auto" w:sz="4" w:space="0"/>
              <w:bottom w:val="single" w:color="auto" w:sz="4" w:space="0"/>
              <w:right w:val="single" w:color="auto" w:sz="4" w:space="0"/>
            </w:tcBorders>
          </w:tcPr>
          <w:p>
            <w:pPr>
              <w:rPr>
                <w:rFonts w:ascii="宋体" w:hAnsi="宋体" w:cs="Times New Roman"/>
              </w:rPr>
            </w:pPr>
            <w:r>
              <w:rPr>
                <w:rFonts w:ascii="宋体" w:hAnsi="宋体" w:cs="Times New Roman"/>
              </w:rPr>
              <w:t>支持统计分析功能，展示一段时间内系统所捕获的安全事件的汇总统计信息和趋势，呈现内网威胁信息的概览，并支持下钻到具体事件信息。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pct"/>
            <w:tcBorders>
              <w:top w:val="single" w:color="auto" w:sz="4" w:space="0"/>
              <w:left w:val="single" w:color="auto" w:sz="4" w:space="0"/>
              <w:bottom w:val="single" w:color="auto" w:sz="4" w:space="0"/>
              <w:right w:val="single" w:color="auto" w:sz="4" w:space="0"/>
            </w:tcBorders>
          </w:tcPr>
          <w:p>
            <w:pPr>
              <w:rPr>
                <w:rFonts w:ascii="宋体" w:hAnsi="宋体" w:cs="Times New Roman"/>
              </w:rPr>
            </w:pPr>
            <w:r>
              <w:rPr>
                <w:rFonts w:ascii="宋体" w:hAnsi="宋体" w:cs="Times New Roman"/>
              </w:rPr>
              <w:t>事件告警能力</w:t>
            </w:r>
          </w:p>
        </w:tc>
        <w:tc>
          <w:tcPr>
            <w:tcW w:w="4063" w:type="pct"/>
            <w:tcBorders>
              <w:top w:val="single" w:color="auto" w:sz="4" w:space="0"/>
              <w:left w:val="single" w:color="auto" w:sz="4" w:space="0"/>
              <w:bottom w:val="single" w:color="auto" w:sz="4" w:space="0"/>
              <w:right w:val="single" w:color="auto" w:sz="4" w:space="0"/>
            </w:tcBorders>
          </w:tcPr>
          <w:p>
            <w:pPr>
              <w:rPr>
                <w:rFonts w:ascii="宋体" w:hAnsi="宋体" w:cs="Times New Roman"/>
              </w:rPr>
            </w:pPr>
            <w:r>
              <w:rPr>
                <w:rFonts w:ascii="宋体" w:hAnsi="宋体" w:cs="Times New Roman"/>
              </w:rPr>
              <w:t>支持多种告警方式，包括但不限于邮件、SYSLOG等。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37" w:type="pct"/>
            <w:tcBorders>
              <w:top w:val="single" w:color="auto" w:sz="4" w:space="0"/>
              <w:left w:val="single" w:color="auto" w:sz="4" w:space="0"/>
              <w:bottom w:val="single" w:color="auto" w:sz="4" w:space="0"/>
              <w:right w:val="single" w:color="auto" w:sz="4" w:space="0"/>
            </w:tcBorders>
          </w:tcPr>
          <w:p>
            <w:pPr>
              <w:rPr>
                <w:rFonts w:ascii="宋体" w:hAnsi="宋体" w:cs="Times New Roman"/>
              </w:rPr>
            </w:pPr>
            <w:r>
              <w:rPr>
                <w:rFonts w:ascii="宋体" w:hAnsi="宋体" w:cs="Times New Roman"/>
              </w:rPr>
              <w:t>统计报表能力</w:t>
            </w:r>
          </w:p>
        </w:tc>
        <w:tc>
          <w:tcPr>
            <w:tcW w:w="4063" w:type="pct"/>
            <w:tcBorders>
              <w:top w:val="single" w:color="auto" w:sz="4" w:space="0"/>
              <w:left w:val="single" w:color="auto" w:sz="4" w:space="0"/>
              <w:bottom w:val="single" w:color="auto" w:sz="4" w:space="0"/>
              <w:right w:val="single" w:color="auto" w:sz="4" w:space="0"/>
            </w:tcBorders>
          </w:tcPr>
          <w:p>
            <w:pPr>
              <w:rPr>
                <w:rFonts w:ascii="宋体" w:hAnsi="宋体" w:cs="Times New Roman"/>
              </w:rPr>
            </w:pPr>
            <w:r>
              <w:rPr>
                <w:rFonts w:ascii="宋体" w:hAnsi="宋体" w:cs="Times New Roman"/>
              </w:rPr>
              <w:t>支持统计报表功能，支持根据用户需求定期生成周报及自定义的报表，报表需包括周期内的所有安全事件、事件类型分布以及具体事件详情。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pct"/>
            <w:tcBorders>
              <w:top w:val="single" w:color="auto" w:sz="4" w:space="0"/>
              <w:left w:val="single" w:color="auto" w:sz="4" w:space="0"/>
              <w:bottom w:val="single" w:color="auto" w:sz="4" w:space="0"/>
              <w:right w:val="single" w:color="auto" w:sz="4" w:space="0"/>
            </w:tcBorders>
          </w:tcPr>
          <w:p>
            <w:pPr>
              <w:rPr>
                <w:rFonts w:ascii="宋体" w:hAnsi="宋体" w:cs="Times New Roman"/>
              </w:rPr>
            </w:pPr>
            <w:r>
              <w:rPr>
                <w:rFonts w:ascii="宋体" w:hAnsi="宋体" w:cs="Times New Roman"/>
              </w:rPr>
              <w:t>分级管控能力</w:t>
            </w:r>
          </w:p>
        </w:tc>
        <w:tc>
          <w:tcPr>
            <w:tcW w:w="4063" w:type="pct"/>
            <w:tcBorders>
              <w:top w:val="single" w:color="auto" w:sz="4" w:space="0"/>
              <w:left w:val="single" w:color="auto" w:sz="4" w:space="0"/>
              <w:bottom w:val="single" w:color="auto" w:sz="4" w:space="0"/>
              <w:right w:val="single" w:color="auto" w:sz="4" w:space="0"/>
            </w:tcBorders>
          </w:tcPr>
          <w:p>
            <w:pPr>
              <w:rPr>
                <w:rFonts w:ascii="宋体" w:hAnsi="宋体" w:cs="Times New Roman"/>
              </w:rPr>
            </w:pPr>
            <w:r>
              <w:rPr>
                <w:rFonts w:ascii="宋体" w:hAnsi="宋体" w:cs="Times New Roman"/>
              </w:rPr>
              <w:t>单套系统支持分级管理功能，下级用户仅能配置自己的蜜罐及诱捕节点，并且仅能查看自己的报警事件，上级用户可以对所有下级的蜜罐和诱捕节点进行配置，并查看所有下级的报警事件。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pct"/>
            <w:tcBorders>
              <w:top w:val="single" w:color="auto" w:sz="4" w:space="0"/>
              <w:left w:val="single" w:color="auto" w:sz="4" w:space="0"/>
              <w:bottom w:val="single" w:color="auto" w:sz="4" w:space="0"/>
              <w:right w:val="single" w:color="auto" w:sz="4" w:space="0"/>
            </w:tcBorders>
          </w:tcPr>
          <w:p>
            <w:pPr>
              <w:rPr>
                <w:rFonts w:ascii="宋体" w:hAnsi="宋体" w:cs="Times New Roman"/>
              </w:rPr>
            </w:pPr>
            <w:r>
              <w:rPr>
                <w:rFonts w:ascii="宋体" w:hAnsi="宋体" w:cs="Times New Roman"/>
              </w:rPr>
              <w:t>系统管理能力</w:t>
            </w:r>
          </w:p>
        </w:tc>
        <w:tc>
          <w:tcPr>
            <w:tcW w:w="4063" w:type="pct"/>
            <w:tcBorders>
              <w:top w:val="single" w:color="auto" w:sz="4" w:space="0"/>
              <w:left w:val="single" w:color="auto" w:sz="4" w:space="0"/>
              <w:bottom w:val="single" w:color="auto" w:sz="4" w:space="0"/>
              <w:right w:val="single" w:color="auto" w:sz="4" w:space="0"/>
            </w:tcBorders>
          </w:tcPr>
          <w:p>
            <w:pPr>
              <w:rPr>
                <w:rFonts w:ascii="宋体" w:hAnsi="宋体" w:cs="Times New Roman"/>
              </w:rPr>
            </w:pPr>
            <w:r>
              <w:rPr>
                <w:rFonts w:ascii="宋体" w:hAnsi="宋体" w:cs="Times New Roman"/>
              </w:rPr>
              <w:t>支持用户管理、蜜罐管理、诱捕节点管理、白名单、事件等级配置、一键启停诱捕节点等管理功能</w:t>
            </w:r>
          </w:p>
        </w:tc>
      </w:tr>
    </w:tbl>
    <w:p/>
    <w:p>
      <w:pPr>
        <w:pStyle w:val="4"/>
        <w:numPr>
          <w:ilvl w:val="2"/>
          <w:numId w:val="5"/>
        </w:numPr>
        <w:spacing w:before="160" w:line="300" w:lineRule="exact"/>
        <w:ind w:left="420"/>
        <w:rPr>
          <w:rFonts w:ascii="宋体" w:hAnsi="宋体"/>
        </w:rPr>
      </w:pPr>
      <w:bookmarkStart w:id="38" w:name="_Toc34080406"/>
      <w:bookmarkStart w:id="39" w:name="_Toc34080590"/>
      <w:r>
        <w:rPr>
          <w:rFonts w:ascii="宋体" w:hAnsi="宋体"/>
        </w:rPr>
        <w:t>国密技术要求</w:t>
      </w:r>
      <w:bookmarkEnd w:id="35"/>
      <w:bookmarkEnd w:id="38"/>
      <w:bookmarkEnd w:id="39"/>
    </w:p>
    <w:p>
      <w:pPr>
        <w:pStyle w:val="5"/>
        <w:numPr>
          <w:ilvl w:val="3"/>
          <w:numId w:val="14"/>
        </w:numPr>
        <w:spacing w:line="276" w:lineRule="auto"/>
        <w:ind w:left="840"/>
        <w:rPr>
          <w:rFonts w:hint="default"/>
        </w:rPr>
      </w:pPr>
      <w:bookmarkStart w:id="40" w:name="_Toc34080407"/>
      <w:r>
        <w:t>国密服务要求</w:t>
      </w:r>
      <w:bookmarkEnd w:id="40"/>
    </w:p>
    <w:p>
      <w:pPr>
        <w:spacing w:line="276" w:lineRule="auto"/>
        <w:ind w:left="420" w:firstLine="420"/>
      </w:pPr>
      <w:r>
        <w:rPr>
          <w:rFonts w:hint="eastAsia" w:ascii="宋体" w:hAnsi="宋体"/>
        </w:rPr>
        <w:t>中</w:t>
      </w:r>
      <w:r>
        <w:rPr>
          <w:rFonts w:ascii="宋体" w:hAnsi="宋体"/>
        </w:rPr>
        <w:t>标人需提供密码应用、物理和环境安全、网络和通信安全、设备和计算安全、密钥管理及密码安全管理体系制度等方面的建设和咨询服务。</w:t>
      </w:r>
    </w:p>
    <w:p>
      <w:pPr>
        <w:pStyle w:val="5"/>
        <w:numPr>
          <w:ilvl w:val="3"/>
          <w:numId w:val="14"/>
        </w:numPr>
        <w:spacing w:line="276" w:lineRule="auto"/>
        <w:ind w:left="840"/>
        <w:rPr>
          <w:rFonts w:hint="default"/>
        </w:rPr>
      </w:pPr>
      <w:bookmarkStart w:id="41" w:name="_Toc34080408"/>
      <w:r>
        <w:t>国密硬件要求</w:t>
      </w:r>
      <w:bookmarkEnd w:id="41"/>
    </w:p>
    <w:tbl>
      <w:tblPr>
        <w:tblStyle w:val="12"/>
        <w:tblW w:w="7860" w:type="dxa"/>
        <w:jc w:val="center"/>
        <w:tblLayout w:type="fixed"/>
        <w:tblCellMar>
          <w:top w:w="0" w:type="dxa"/>
          <w:left w:w="0" w:type="dxa"/>
          <w:bottom w:w="0" w:type="dxa"/>
          <w:right w:w="0" w:type="dxa"/>
        </w:tblCellMar>
      </w:tblPr>
      <w:tblGrid>
        <w:gridCol w:w="1456"/>
        <w:gridCol w:w="6404"/>
      </w:tblGrid>
      <w:tr>
        <w:trPr>
          <w:trHeight w:val="270" w:hRule="atLeast"/>
          <w:jc w:val="center"/>
        </w:trPr>
        <w:tc>
          <w:tcPr>
            <w:tcW w:w="786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ind w:firstLine="211" w:firstLineChars="100"/>
              <w:textAlignment w:val="center"/>
              <w:rPr>
                <w:rFonts w:ascii="宋体" w:hAnsi="宋体" w:cs="宋体"/>
                <w:b/>
                <w:bCs/>
                <w:color w:val="000000"/>
                <w:kern w:val="0"/>
              </w:rPr>
            </w:pPr>
            <w:r>
              <w:rPr>
                <w:rFonts w:ascii="宋体" w:hAnsi="宋体" w:cs="宋体"/>
                <w:b/>
                <w:bCs/>
                <w:color w:val="000000"/>
                <w:kern w:val="0"/>
              </w:rPr>
              <w:t>用途：云密码机</w:t>
            </w:r>
          </w:p>
        </w:tc>
      </w:tr>
      <w:tr>
        <w:trPr>
          <w:trHeight w:val="270" w:hRule="atLeast"/>
          <w:jc w:val="center"/>
        </w:trPr>
        <w:tc>
          <w:tcPr>
            <w:tcW w:w="1456" w:type="dxa"/>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vAlign w:val="center"/>
          </w:tcPr>
          <w:p>
            <w:pPr>
              <w:ind w:firstLine="422" w:firstLineChars="200"/>
              <w:textAlignment w:val="center"/>
              <w:rPr>
                <w:rFonts w:ascii="宋体" w:hAnsi="宋体" w:cs="宋体"/>
                <w:b/>
                <w:bCs/>
                <w:color w:val="000000"/>
              </w:rPr>
            </w:pPr>
            <w:r>
              <w:rPr>
                <w:rFonts w:ascii="宋体" w:hAnsi="宋体" w:cs="宋体"/>
                <w:b/>
                <w:bCs/>
                <w:color w:val="000000"/>
                <w:kern w:val="0"/>
              </w:rPr>
              <w:t>要求</w:t>
            </w:r>
          </w:p>
        </w:tc>
        <w:tc>
          <w:tcPr>
            <w:tcW w:w="6404" w:type="dxa"/>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vAlign w:val="center"/>
          </w:tcPr>
          <w:p>
            <w:pPr>
              <w:ind w:firstLine="422" w:firstLineChars="200"/>
              <w:textAlignment w:val="center"/>
              <w:rPr>
                <w:rFonts w:ascii="宋体" w:hAnsi="宋体" w:cs="宋体"/>
                <w:b/>
                <w:bCs/>
                <w:color w:val="000000"/>
              </w:rPr>
            </w:pPr>
            <w:r>
              <w:rPr>
                <w:rFonts w:ascii="宋体" w:hAnsi="宋体" w:cs="宋体"/>
                <w:b/>
                <w:bCs/>
                <w:color w:val="000000"/>
                <w:kern w:val="0"/>
              </w:rPr>
              <w:t>具体要求</w:t>
            </w:r>
          </w:p>
        </w:tc>
      </w:tr>
      <w:tr>
        <w:trPr>
          <w:trHeight w:val="35" w:hRule="atLeast"/>
          <w:jc w:val="center"/>
        </w:trPr>
        <w:tc>
          <w:tcPr>
            <w:tcW w:w="1456" w:type="dxa"/>
            <w:tcBorders>
              <w:top w:val="single" w:color="000000" w:sz="4" w:space="0"/>
              <w:left w:val="single" w:color="000000" w:sz="4" w:space="0"/>
              <w:right w:val="single" w:color="000000" w:sz="4" w:space="0"/>
            </w:tcBorders>
            <w:tcMar>
              <w:top w:w="15" w:type="dxa"/>
              <w:left w:w="15" w:type="dxa"/>
              <w:right w:w="15" w:type="dxa"/>
            </w:tcMar>
            <w:vAlign w:val="center"/>
          </w:tcPr>
          <w:p>
            <w:pPr>
              <w:textAlignment w:val="center"/>
              <w:rPr>
                <w:rFonts w:ascii="宋体" w:hAnsi="宋体" w:cs="宋体"/>
                <w:color w:val="000000"/>
              </w:rPr>
            </w:pPr>
            <w:r>
              <w:rPr>
                <w:rFonts w:ascii="宋体" w:hAnsi="宋体" w:cs="宋体"/>
                <w:color w:val="000000"/>
                <w:kern w:val="0"/>
              </w:rPr>
              <w:t>资质要求</w:t>
            </w:r>
          </w:p>
        </w:tc>
        <w:tc>
          <w:tcPr>
            <w:tcW w:w="64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楷体"/>
                <w:color w:val="000000"/>
              </w:rPr>
            </w:pPr>
            <w:r>
              <w:rPr>
                <w:rFonts w:ascii="宋体" w:hAnsi="宋体" w:cs="楷体"/>
                <w:color w:val="000000"/>
                <w:kern w:val="0"/>
              </w:rPr>
              <w:t>具有国家密码局颁发的《商用密码产品型号证书》；</w:t>
            </w:r>
          </w:p>
        </w:tc>
      </w:tr>
      <w:tr>
        <w:trPr>
          <w:trHeight w:val="35" w:hRule="atLeast"/>
          <w:jc w:val="center"/>
        </w:trPr>
        <w:tc>
          <w:tcPr>
            <w:tcW w:w="1456" w:type="dxa"/>
            <w:tcBorders>
              <w:top w:val="single" w:color="000000" w:sz="4" w:space="0"/>
              <w:left w:val="single" w:color="000000" w:sz="4" w:space="0"/>
              <w:right w:val="single" w:color="000000" w:sz="4" w:space="0"/>
            </w:tcBorders>
            <w:tcMar>
              <w:top w:w="15" w:type="dxa"/>
              <w:left w:w="15" w:type="dxa"/>
              <w:right w:w="15" w:type="dxa"/>
            </w:tcMar>
            <w:vAlign w:val="center"/>
          </w:tcPr>
          <w:p>
            <w:pPr>
              <w:textAlignment w:val="center"/>
              <w:rPr>
                <w:rFonts w:ascii="宋体" w:hAnsi="宋体" w:cs="宋体"/>
                <w:color w:val="000000"/>
              </w:rPr>
            </w:pPr>
            <w:r>
              <w:rPr>
                <w:rFonts w:ascii="宋体" w:hAnsi="宋体" w:cs="宋体"/>
                <w:color w:val="000000"/>
                <w:kern w:val="0"/>
              </w:rPr>
              <w:t>密码算法和协议要求</w:t>
            </w:r>
          </w:p>
        </w:tc>
        <w:tc>
          <w:tcPr>
            <w:tcW w:w="64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楷体"/>
                <w:color w:val="000000"/>
              </w:rPr>
            </w:pPr>
            <w:r>
              <w:rPr>
                <w:rFonts w:ascii="宋体" w:hAnsi="宋体" w:cs="楷体"/>
                <w:color w:val="000000"/>
                <w:kern w:val="0"/>
              </w:rPr>
              <w:t>支持签名和验签名、基于密钥的完整性保护、数据加解密及安全密钥存储等功能，且所有密码运算都基于国家商用密码算法；</w:t>
            </w:r>
          </w:p>
        </w:tc>
      </w:tr>
      <w:tr>
        <w:trPr>
          <w:trHeight w:val="35" w:hRule="atLeast"/>
          <w:jc w:val="center"/>
        </w:trPr>
        <w:tc>
          <w:tcPr>
            <w:tcW w:w="1456"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textAlignment w:val="center"/>
              <w:rPr>
                <w:rFonts w:ascii="宋体" w:hAnsi="宋体" w:cs="宋体"/>
                <w:color w:val="000000"/>
              </w:rPr>
            </w:pPr>
            <w:r>
              <w:rPr>
                <w:rFonts w:ascii="宋体" w:hAnsi="宋体" w:cs="宋体"/>
                <w:color w:val="000000"/>
                <w:kern w:val="0"/>
              </w:rPr>
              <w:t>技术参数</w:t>
            </w:r>
          </w:p>
        </w:tc>
        <w:tc>
          <w:tcPr>
            <w:tcW w:w="64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楷体"/>
                <w:color w:val="000000"/>
              </w:rPr>
            </w:pPr>
            <w:r>
              <w:rPr>
                <w:rFonts w:ascii="宋体" w:hAnsi="宋体" w:cs="楷体"/>
                <w:color w:val="000000"/>
                <w:kern w:val="0"/>
              </w:rPr>
              <w:t>支持SM2非对称密钥生成、获取公钥，256位SM2密钥对生成≥26000次/秒；</w:t>
            </w:r>
          </w:p>
        </w:tc>
      </w:tr>
      <w:tr>
        <w:trPr>
          <w:trHeight w:val="35" w:hRule="atLeast"/>
          <w:jc w:val="center"/>
        </w:trPr>
        <w:tc>
          <w:tcPr>
            <w:tcW w:w="1456" w:type="dxa"/>
            <w:vMerge w:val="continue"/>
            <w:tcBorders>
              <w:left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64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楷体"/>
                <w:color w:val="000000"/>
              </w:rPr>
            </w:pPr>
            <w:r>
              <w:rPr>
                <w:rFonts w:ascii="宋体" w:hAnsi="宋体" w:cs="楷体"/>
                <w:color w:val="000000"/>
                <w:kern w:val="0"/>
              </w:rPr>
              <w:t>支持SM2非对称密钥私钥签名、验签功能，256位SM2签名≥26000次/秒，256位SM2验签≥24000次/秒；</w:t>
            </w:r>
          </w:p>
        </w:tc>
      </w:tr>
      <w:tr>
        <w:trPr>
          <w:trHeight w:val="35" w:hRule="atLeast"/>
          <w:jc w:val="center"/>
        </w:trPr>
        <w:tc>
          <w:tcPr>
            <w:tcW w:w="1456" w:type="dxa"/>
            <w:vMerge w:val="continue"/>
            <w:tcBorders>
              <w:left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64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楷体"/>
                <w:color w:val="000000"/>
              </w:rPr>
            </w:pPr>
            <w:r>
              <w:rPr>
                <w:rFonts w:ascii="宋体" w:hAnsi="宋体" w:cs="楷体"/>
                <w:color w:val="000000"/>
                <w:kern w:val="0"/>
              </w:rPr>
              <w:t>支持SM2非对称密钥公钥加密、解密，256位SM2加密≥16000次/秒，256位SM2解密</w:t>
            </w:r>
            <w:r>
              <w:rPr>
                <w:rFonts w:ascii="宋体" w:hAnsi="宋体"/>
                <w:color w:val="000000"/>
              </w:rPr>
              <w:t xml:space="preserve"> </w:t>
            </w:r>
            <w:r>
              <w:rPr>
                <w:rFonts w:ascii="宋体" w:hAnsi="宋体" w:cs="楷体"/>
                <w:color w:val="000000"/>
              </w:rPr>
              <w:t>≥30000次/秒；</w:t>
            </w:r>
          </w:p>
        </w:tc>
      </w:tr>
      <w:tr>
        <w:trPr>
          <w:trHeight w:val="35" w:hRule="atLeast"/>
          <w:jc w:val="center"/>
        </w:trPr>
        <w:tc>
          <w:tcPr>
            <w:tcW w:w="1456" w:type="dxa"/>
            <w:vMerge w:val="continue"/>
            <w:tcBorders>
              <w:left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64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楷体"/>
                <w:color w:val="000000"/>
              </w:rPr>
            </w:pPr>
            <w:r>
              <w:rPr>
                <w:rFonts w:ascii="宋体" w:hAnsi="宋体" w:cs="楷体"/>
                <w:color w:val="000000"/>
                <w:kern w:val="0"/>
              </w:rPr>
              <w:t>支持SM4对称密钥生成，且支持ECB和CBC模式加解密，SM4计算效率≥3000Mbps；</w:t>
            </w:r>
          </w:p>
        </w:tc>
      </w:tr>
      <w:tr>
        <w:trPr>
          <w:trHeight w:val="35" w:hRule="atLeast"/>
          <w:jc w:val="center"/>
        </w:trPr>
        <w:tc>
          <w:tcPr>
            <w:tcW w:w="1456" w:type="dxa"/>
            <w:vMerge w:val="continue"/>
            <w:tcBorders>
              <w:left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64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楷体"/>
                <w:color w:val="000000"/>
              </w:rPr>
            </w:pPr>
            <w:r>
              <w:rPr>
                <w:rFonts w:ascii="宋体" w:hAnsi="宋体" w:cs="楷体"/>
                <w:color w:val="000000"/>
                <w:kern w:val="0"/>
              </w:rPr>
              <w:t>支持SM3算法数据摘要运算,支持MAC和HMAC，SM3计算效率≥3000Mbps</w:t>
            </w:r>
          </w:p>
        </w:tc>
      </w:tr>
      <w:tr>
        <w:trPr>
          <w:trHeight w:val="35" w:hRule="atLeast"/>
          <w:jc w:val="center"/>
        </w:trPr>
        <w:tc>
          <w:tcPr>
            <w:tcW w:w="1456" w:type="dxa"/>
            <w:vMerge w:val="continue"/>
            <w:tcBorders>
              <w:left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64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楷体"/>
                <w:color w:val="000000"/>
              </w:rPr>
            </w:pPr>
            <w:r>
              <w:rPr>
                <w:rFonts w:ascii="宋体" w:hAnsi="宋体" w:cs="楷体"/>
                <w:color w:val="000000"/>
                <w:kern w:val="0"/>
              </w:rPr>
              <w:t>支持海量密钥存储，存储量大于100万条</w:t>
            </w:r>
          </w:p>
        </w:tc>
      </w:tr>
      <w:tr>
        <w:trPr>
          <w:trHeight w:val="228" w:hRule="atLeast"/>
          <w:jc w:val="center"/>
        </w:trPr>
        <w:tc>
          <w:tcPr>
            <w:tcW w:w="1456"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textAlignment w:val="center"/>
              <w:rPr>
                <w:rFonts w:ascii="宋体" w:hAnsi="宋体" w:cs="宋体"/>
                <w:color w:val="000000"/>
              </w:rPr>
            </w:pPr>
            <w:r>
              <w:rPr>
                <w:rFonts w:ascii="宋体" w:hAnsi="宋体" w:cs="宋体"/>
                <w:color w:val="000000"/>
                <w:kern w:val="0"/>
              </w:rPr>
              <w:t>功能要求</w:t>
            </w:r>
          </w:p>
        </w:tc>
        <w:tc>
          <w:tcPr>
            <w:tcW w:w="64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楷体"/>
                <w:color w:val="000000"/>
              </w:rPr>
            </w:pPr>
            <w:r>
              <w:rPr>
                <w:rFonts w:ascii="宋体" w:hAnsi="宋体" w:cs="楷体"/>
                <w:color w:val="000000"/>
                <w:kern w:val="0"/>
              </w:rPr>
              <w:t>支持基于虚拟化技术的自动化部署，虚拟的密码机以文件镜象加密存储；云平台管理端可调用云密码管理服务平台的接口实现远程创建虚拟加密机镜象，远程调用不同的虚拟密码机镜象，实现虚拟密码机的自动化部署、启用、卸载、销毁等；</w:t>
            </w:r>
          </w:p>
        </w:tc>
      </w:tr>
      <w:tr>
        <w:trPr>
          <w:trHeight w:val="35" w:hRule="atLeast"/>
          <w:jc w:val="center"/>
        </w:trPr>
        <w:tc>
          <w:tcPr>
            <w:tcW w:w="1456" w:type="dxa"/>
            <w:vMerge w:val="continue"/>
            <w:tcBorders>
              <w:left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64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楷体"/>
                <w:color w:val="000000"/>
              </w:rPr>
            </w:pPr>
            <w:r>
              <w:rPr>
                <w:rFonts w:ascii="宋体" w:hAnsi="宋体" w:cs="楷体"/>
                <w:color w:val="000000"/>
                <w:kern w:val="0"/>
              </w:rPr>
              <w:t>安全存储服务器密码机核心程序：服务器密码机使用带有逻辑加密功能的芯片对核心程序进行存储，防止非法读出；</w:t>
            </w:r>
          </w:p>
        </w:tc>
      </w:tr>
      <w:tr>
        <w:trPr>
          <w:trHeight w:val="35" w:hRule="atLeast"/>
          <w:jc w:val="center"/>
        </w:trPr>
        <w:tc>
          <w:tcPr>
            <w:tcW w:w="1456"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textAlignment w:val="center"/>
              <w:rPr>
                <w:rFonts w:ascii="宋体" w:hAnsi="宋体" w:cs="宋体"/>
                <w:color w:val="000000"/>
              </w:rPr>
            </w:pPr>
            <w:r>
              <w:rPr>
                <w:rFonts w:ascii="宋体" w:hAnsi="宋体" w:cs="宋体"/>
                <w:color w:val="000000"/>
                <w:kern w:val="0"/>
              </w:rPr>
              <w:t>管理要求</w:t>
            </w:r>
          </w:p>
        </w:tc>
        <w:tc>
          <w:tcPr>
            <w:tcW w:w="64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楷体"/>
                <w:color w:val="000000"/>
              </w:rPr>
            </w:pPr>
            <w:r>
              <w:rPr>
                <w:rFonts w:ascii="宋体" w:hAnsi="宋体" w:cs="楷体"/>
                <w:color w:val="000000"/>
                <w:kern w:val="0"/>
              </w:rPr>
              <w:t>管理软件能够针对云密码机和虚拟密码机进行运行状态监控，包括服务正常运行情况、业务连接数、CPU、内存占用率、磁盘使用率等业务状态,支持三权分立角色管理和国密强身份认证；</w:t>
            </w:r>
          </w:p>
        </w:tc>
      </w:tr>
      <w:tr>
        <w:trPr>
          <w:trHeight w:val="35" w:hRule="atLeast"/>
          <w:jc w:val="center"/>
        </w:trPr>
        <w:tc>
          <w:tcPr>
            <w:tcW w:w="1456"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64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楷体"/>
                <w:color w:val="000000"/>
                <w:kern w:val="0"/>
              </w:rPr>
            </w:pPr>
            <w:r>
              <w:rPr>
                <w:rFonts w:ascii="宋体" w:hAnsi="宋体" w:cs="楷体"/>
                <w:color w:val="000000"/>
                <w:kern w:val="0"/>
              </w:rPr>
              <w:t>支持对云密码机日志信息和访问控制信息进行基于商用密码算法的完整性保护；</w:t>
            </w:r>
          </w:p>
        </w:tc>
      </w:tr>
    </w:tbl>
    <w:p/>
    <w:tbl>
      <w:tblPr>
        <w:tblStyle w:val="12"/>
        <w:tblW w:w="7844" w:type="dxa"/>
        <w:jc w:val="center"/>
        <w:tblLayout w:type="fixed"/>
        <w:tblCellMar>
          <w:top w:w="0" w:type="dxa"/>
          <w:left w:w="0" w:type="dxa"/>
          <w:bottom w:w="0" w:type="dxa"/>
          <w:right w:w="0" w:type="dxa"/>
        </w:tblCellMar>
      </w:tblPr>
      <w:tblGrid>
        <w:gridCol w:w="1448"/>
        <w:gridCol w:w="6396"/>
      </w:tblGrid>
      <w:tr>
        <w:trPr>
          <w:trHeight w:val="270" w:hRule="atLeast"/>
          <w:jc w:val="center"/>
        </w:trPr>
        <w:tc>
          <w:tcPr>
            <w:tcW w:w="784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ind w:firstLine="200" w:firstLineChars="95"/>
              <w:textAlignment w:val="center"/>
              <w:rPr>
                <w:rFonts w:ascii="宋体" w:hAnsi="宋体" w:cs="宋体"/>
                <w:b/>
                <w:bCs/>
                <w:color w:val="000000"/>
                <w:kern w:val="0"/>
              </w:rPr>
            </w:pPr>
            <w:r>
              <w:rPr>
                <w:rFonts w:ascii="宋体" w:hAnsi="宋体" w:cs="宋体"/>
                <w:b/>
                <w:bCs/>
                <w:color w:val="000000"/>
                <w:kern w:val="0"/>
              </w:rPr>
              <w:t>用途：国密SSL VPN</w:t>
            </w:r>
          </w:p>
        </w:tc>
      </w:tr>
      <w:tr>
        <w:tblPrEx>
          <w:tblCellMar>
            <w:top w:w="0" w:type="dxa"/>
            <w:left w:w="0" w:type="dxa"/>
            <w:bottom w:w="0" w:type="dxa"/>
            <w:right w:w="0" w:type="dxa"/>
          </w:tblCellMar>
        </w:tblPrEx>
        <w:trPr>
          <w:trHeight w:val="270" w:hRule="atLeast"/>
          <w:jc w:val="center"/>
        </w:trPr>
        <w:tc>
          <w:tcPr>
            <w:tcW w:w="1448" w:type="dxa"/>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vAlign w:val="center"/>
          </w:tcPr>
          <w:p>
            <w:pPr>
              <w:jc w:val="center"/>
              <w:textAlignment w:val="center"/>
              <w:rPr>
                <w:rFonts w:ascii="宋体" w:hAnsi="宋体" w:cs="宋体"/>
                <w:b/>
                <w:bCs/>
                <w:color w:val="000000"/>
              </w:rPr>
            </w:pPr>
            <w:r>
              <w:rPr>
                <w:rFonts w:ascii="宋体" w:hAnsi="宋体" w:cs="宋体"/>
                <w:b/>
                <w:bCs/>
                <w:color w:val="000000"/>
                <w:kern w:val="0"/>
              </w:rPr>
              <w:t>要求</w:t>
            </w:r>
          </w:p>
        </w:tc>
        <w:tc>
          <w:tcPr>
            <w:tcW w:w="6396" w:type="dxa"/>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vAlign w:val="center"/>
          </w:tcPr>
          <w:p>
            <w:pPr>
              <w:jc w:val="center"/>
              <w:textAlignment w:val="center"/>
              <w:rPr>
                <w:rFonts w:ascii="宋体" w:hAnsi="宋体" w:cs="宋体"/>
                <w:b/>
                <w:bCs/>
                <w:color w:val="000000"/>
              </w:rPr>
            </w:pPr>
            <w:r>
              <w:rPr>
                <w:rFonts w:ascii="宋体" w:hAnsi="宋体" w:cs="宋体"/>
                <w:b/>
                <w:bCs/>
                <w:color w:val="000000"/>
                <w:kern w:val="0"/>
              </w:rPr>
              <w:t>具体要求</w:t>
            </w:r>
          </w:p>
        </w:tc>
      </w:tr>
      <w:tr>
        <w:tblPrEx>
          <w:tblCellMar>
            <w:top w:w="0" w:type="dxa"/>
            <w:left w:w="0" w:type="dxa"/>
            <w:bottom w:w="0" w:type="dxa"/>
            <w:right w:w="0" w:type="dxa"/>
          </w:tblCellMar>
        </w:tblPrEx>
        <w:trPr>
          <w:trHeight w:val="35" w:hRule="atLeast"/>
          <w:jc w:val="center"/>
        </w:trPr>
        <w:tc>
          <w:tcPr>
            <w:tcW w:w="1448"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textAlignment w:val="center"/>
              <w:rPr>
                <w:rFonts w:ascii="宋体" w:hAnsi="宋体" w:cs="宋体"/>
                <w:color w:val="000000"/>
              </w:rPr>
            </w:pPr>
            <w:r>
              <w:rPr>
                <w:rFonts w:ascii="宋体" w:hAnsi="宋体" w:cs="宋体"/>
                <w:color w:val="000000"/>
                <w:kern w:val="0"/>
              </w:rPr>
              <w:t>资质要求</w:t>
            </w:r>
          </w:p>
        </w:tc>
        <w:tc>
          <w:tcPr>
            <w:tcW w:w="639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国密SSL VPN具有国家密码局颁发的商用密码产品型号证书；</w:t>
            </w:r>
          </w:p>
        </w:tc>
      </w:tr>
      <w:tr>
        <w:tblPrEx>
          <w:tblCellMar>
            <w:top w:w="0" w:type="dxa"/>
            <w:left w:w="0" w:type="dxa"/>
            <w:bottom w:w="0" w:type="dxa"/>
            <w:right w:w="0" w:type="dxa"/>
          </w:tblCellMar>
        </w:tblPrEx>
        <w:trPr>
          <w:trHeight w:val="35" w:hRule="atLeast"/>
          <w:jc w:val="center"/>
        </w:trPr>
        <w:tc>
          <w:tcPr>
            <w:tcW w:w="1448" w:type="dxa"/>
            <w:vMerge w:val="continue"/>
            <w:tcBorders>
              <w:left w:val="single" w:color="000000" w:sz="4" w:space="0"/>
              <w:right w:val="single" w:color="000000" w:sz="4" w:space="0"/>
            </w:tcBorders>
            <w:tcMar>
              <w:top w:w="15" w:type="dxa"/>
              <w:left w:w="15" w:type="dxa"/>
              <w:right w:w="15" w:type="dxa"/>
            </w:tcMar>
            <w:vAlign w:val="center"/>
          </w:tcPr>
          <w:p>
            <w:pPr>
              <w:rPr>
                <w:rFonts w:ascii="宋体" w:hAnsi="宋体" w:cs="宋体"/>
                <w:color w:val="000000"/>
              </w:rPr>
            </w:pPr>
          </w:p>
        </w:tc>
        <w:tc>
          <w:tcPr>
            <w:tcW w:w="639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支持ESP、AH封装协议，支持SM2_SM4_SM3_ESP隧道模式</w:t>
            </w:r>
          </w:p>
        </w:tc>
      </w:tr>
      <w:tr>
        <w:tblPrEx>
          <w:tblCellMar>
            <w:top w:w="0" w:type="dxa"/>
            <w:left w:w="0" w:type="dxa"/>
            <w:bottom w:w="0" w:type="dxa"/>
            <w:right w:w="0" w:type="dxa"/>
          </w:tblCellMar>
        </w:tblPrEx>
        <w:trPr>
          <w:trHeight w:val="300" w:hRule="atLeast"/>
          <w:jc w:val="center"/>
        </w:trPr>
        <w:tc>
          <w:tcPr>
            <w:tcW w:w="1448" w:type="dxa"/>
            <w:vMerge w:val="continue"/>
            <w:tcBorders>
              <w:left w:val="single" w:color="000000" w:sz="4" w:space="0"/>
              <w:bottom w:val="single" w:color="auto"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639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支持国密标准SSL/TLS协议</w:t>
            </w:r>
          </w:p>
        </w:tc>
      </w:tr>
      <w:tr>
        <w:tblPrEx>
          <w:tblCellMar>
            <w:top w:w="0" w:type="dxa"/>
            <w:left w:w="0" w:type="dxa"/>
            <w:bottom w:w="0" w:type="dxa"/>
            <w:right w:w="0" w:type="dxa"/>
          </w:tblCellMar>
        </w:tblPrEx>
        <w:trPr>
          <w:trHeight w:val="90" w:hRule="atLeast"/>
          <w:jc w:val="center"/>
        </w:trPr>
        <w:tc>
          <w:tcPr>
            <w:tcW w:w="1448" w:type="dxa"/>
            <w:vMerge w:val="restart"/>
            <w:tcBorders>
              <w:top w:val="single" w:color="auto" w:sz="4" w:space="0"/>
              <w:left w:val="single" w:color="000000" w:sz="4" w:space="0"/>
              <w:right w:val="single" w:color="000000" w:sz="4" w:space="0"/>
            </w:tcBorders>
            <w:tcMar>
              <w:top w:w="15" w:type="dxa"/>
              <w:left w:w="15" w:type="dxa"/>
              <w:right w:w="15" w:type="dxa"/>
            </w:tcMar>
            <w:vAlign w:val="center"/>
          </w:tcPr>
          <w:p>
            <w:pPr>
              <w:textAlignment w:val="center"/>
              <w:rPr>
                <w:rFonts w:ascii="宋体" w:hAnsi="宋体" w:cs="宋体"/>
                <w:color w:val="000000"/>
              </w:rPr>
            </w:pPr>
            <w:r>
              <w:rPr>
                <w:rFonts w:ascii="宋体" w:hAnsi="宋体" w:cs="宋体"/>
                <w:color w:val="000000"/>
                <w:kern w:val="0"/>
              </w:rPr>
              <w:t>性能要求</w:t>
            </w:r>
          </w:p>
        </w:tc>
        <w:tc>
          <w:tcPr>
            <w:tcW w:w="639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rPr>
            </w:pPr>
            <w:r>
              <w:rPr>
                <w:rFonts w:ascii="宋体" w:hAnsi="宋体" w:cs="楷体"/>
                <w:kern w:val="0"/>
              </w:rPr>
              <w:t>每秒新建并发用户数≥1000</w:t>
            </w:r>
          </w:p>
        </w:tc>
      </w:tr>
      <w:tr>
        <w:trPr>
          <w:trHeight w:val="90" w:hRule="atLeast"/>
          <w:jc w:val="center"/>
        </w:trPr>
        <w:tc>
          <w:tcPr>
            <w:tcW w:w="1448" w:type="dxa"/>
            <w:vMerge w:val="continue"/>
            <w:tcBorders>
              <w:left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639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rPr>
            </w:pPr>
            <w:r>
              <w:rPr>
                <w:rFonts w:ascii="宋体" w:hAnsi="宋体" w:cs="楷体"/>
                <w:kern w:val="0"/>
              </w:rPr>
              <w:t>https最大并发连接数 ≥5W</w:t>
            </w:r>
          </w:p>
        </w:tc>
      </w:tr>
      <w:tr>
        <w:tblPrEx>
          <w:tblCellMar>
            <w:top w:w="0" w:type="dxa"/>
            <w:left w:w="0" w:type="dxa"/>
            <w:bottom w:w="0" w:type="dxa"/>
            <w:right w:w="0" w:type="dxa"/>
          </w:tblCellMar>
        </w:tblPrEx>
        <w:trPr>
          <w:trHeight w:val="300" w:hRule="atLeast"/>
          <w:jc w:val="center"/>
        </w:trPr>
        <w:tc>
          <w:tcPr>
            <w:tcW w:w="1448" w:type="dxa"/>
            <w:vMerge w:val="continue"/>
            <w:tcBorders>
              <w:left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639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rPr>
            </w:pPr>
            <w:r>
              <w:rPr>
                <w:rFonts w:ascii="宋体" w:hAnsi="宋体" w:cs="楷体"/>
                <w:kern w:val="0"/>
              </w:rPr>
              <w:t>密文吞吐率 ≥1</w:t>
            </w:r>
            <w:r>
              <w:rPr>
                <w:rFonts w:hint="eastAsia" w:ascii="宋体" w:hAnsi="宋体" w:cs="楷体"/>
                <w:kern w:val="0"/>
              </w:rPr>
              <w:t>.</w:t>
            </w:r>
            <w:r>
              <w:rPr>
                <w:rFonts w:ascii="宋体" w:hAnsi="宋体" w:cs="楷体"/>
                <w:kern w:val="0"/>
              </w:rPr>
              <w:t xml:space="preserve">5 </w:t>
            </w:r>
            <w:r>
              <w:rPr>
                <w:rFonts w:hint="eastAsia" w:ascii="宋体" w:hAnsi="宋体" w:cs="楷体"/>
                <w:kern w:val="0"/>
              </w:rPr>
              <w:t>G</w:t>
            </w:r>
            <w:r>
              <w:rPr>
                <w:rFonts w:ascii="宋体" w:hAnsi="宋体" w:cs="楷体"/>
                <w:kern w:val="0"/>
              </w:rPr>
              <w:t>bps</w:t>
            </w:r>
          </w:p>
        </w:tc>
      </w:tr>
      <w:tr>
        <w:tblPrEx>
          <w:tblCellMar>
            <w:top w:w="0" w:type="dxa"/>
            <w:left w:w="0" w:type="dxa"/>
            <w:bottom w:w="0" w:type="dxa"/>
            <w:right w:w="0" w:type="dxa"/>
          </w:tblCellMar>
        </w:tblPrEx>
        <w:trPr>
          <w:trHeight w:val="300" w:hRule="atLeast"/>
          <w:jc w:val="center"/>
        </w:trPr>
        <w:tc>
          <w:tcPr>
            <w:tcW w:w="1448"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639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rPr>
            </w:pPr>
            <w:r>
              <w:rPr>
                <w:rFonts w:ascii="宋体" w:hAnsi="宋体" w:cs="楷体"/>
                <w:kern w:val="0"/>
              </w:rPr>
              <w:t>整机吞吐率≥10 Gbps</w:t>
            </w:r>
          </w:p>
        </w:tc>
      </w:tr>
      <w:tr>
        <w:trPr>
          <w:trHeight w:val="300" w:hRule="atLeast"/>
          <w:jc w:val="center"/>
        </w:trPr>
        <w:tc>
          <w:tcPr>
            <w:tcW w:w="1448" w:type="dxa"/>
            <w:tcBorders>
              <w:top w:val="single" w:color="000000" w:sz="4" w:space="0"/>
              <w:left w:val="single" w:color="000000" w:sz="4" w:space="0"/>
              <w:right w:val="single" w:color="000000" w:sz="4" w:space="0"/>
            </w:tcBorders>
            <w:tcMar>
              <w:top w:w="15" w:type="dxa"/>
              <w:left w:w="15" w:type="dxa"/>
              <w:right w:w="15" w:type="dxa"/>
            </w:tcMar>
            <w:vAlign w:val="center"/>
          </w:tcPr>
          <w:p>
            <w:pPr>
              <w:textAlignment w:val="center"/>
              <w:rPr>
                <w:rFonts w:ascii="宋体" w:hAnsi="宋体" w:cs="宋体"/>
                <w:color w:val="000000"/>
              </w:rPr>
            </w:pPr>
            <w:r>
              <w:rPr>
                <w:rFonts w:ascii="宋体" w:hAnsi="宋体" w:cs="宋体"/>
                <w:color w:val="000000"/>
                <w:kern w:val="0"/>
              </w:rPr>
              <w:t>可靠性</w:t>
            </w:r>
          </w:p>
        </w:tc>
        <w:tc>
          <w:tcPr>
            <w:tcW w:w="639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支持多机集群部署。支持双主机热备部署，支持主备机自动切换，多机负载均衡，支持负载动态分配。</w:t>
            </w:r>
          </w:p>
        </w:tc>
      </w:tr>
      <w:tr>
        <w:tblPrEx>
          <w:tblCellMar>
            <w:top w:w="0" w:type="dxa"/>
            <w:left w:w="0" w:type="dxa"/>
            <w:bottom w:w="0" w:type="dxa"/>
            <w:right w:w="0" w:type="dxa"/>
          </w:tblCellMar>
        </w:tblPrEx>
        <w:trPr>
          <w:trHeight w:val="35" w:hRule="atLeast"/>
          <w:jc w:val="center"/>
        </w:trPr>
        <w:tc>
          <w:tcPr>
            <w:tcW w:w="1448"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textAlignment w:val="center"/>
              <w:rPr>
                <w:rFonts w:ascii="宋体" w:hAnsi="宋体" w:cs="宋体"/>
                <w:color w:val="000000"/>
              </w:rPr>
            </w:pPr>
            <w:r>
              <w:rPr>
                <w:rFonts w:ascii="宋体" w:hAnsi="宋体" w:cs="宋体"/>
                <w:color w:val="000000"/>
                <w:kern w:val="0"/>
              </w:rPr>
              <w:t>功能要求</w:t>
            </w:r>
          </w:p>
        </w:tc>
        <w:tc>
          <w:tcPr>
            <w:tcW w:w="639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支持SM2国密证书+口令的“双因子”认证，</w:t>
            </w:r>
            <w:r>
              <w:rPr>
                <w:rFonts w:hint="eastAsia" w:ascii="宋体" w:hAnsi="宋体" w:cs="楷体"/>
                <w:color w:val="000000"/>
                <w:kern w:val="0"/>
              </w:rPr>
              <w:t>支持集中认证</w:t>
            </w:r>
            <w:r>
              <w:rPr>
                <w:rFonts w:ascii="宋体" w:hAnsi="宋体" w:cs="楷体"/>
                <w:color w:val="000000"/>
                <w:kern w:val="0"/>
              </w:rPr>
              <w:t>。</w:t>
            </w:r>
          </w:p>
        </w:tc>
      </w:tr>
      <w:tr>
        <w:tblPrEx>
          <w:tblCellMar>
            <w:top w:w="0" w:type="dxa"/>
            <w:left w:w="0" w:type="dxa"/>
            <w:bottom w:w="0" w:type="dxa"/>
            <w:right w:w="0" w:type="dxa"/>
          </w:tblCellMar>
        </w:tblPrEx>
        <w:trPr>
          <w:trHeight w:val="35" w:hRule="atLeast"/>
          <w:jc w:val="center"/>
        </w:trPr>
        <w:tc>
          <w:tcPr>
            <w:tcW w:w="1448" w:type="dxa"/>
            <w:vMerge w:val="continue"/>
            <w:tcBorders>
              <w:left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639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支持SM2证书签发与验证，支持第三方CA证书、CRL导入。</w:t>
            </w:r>
          </w:p>
        </w:tc>
      </w:tr>
      <w:tr>
        <w:tblPrEx>
          <w:tblCellMar>
            <w:top w:w="0" w:type="dxa"/>
            <w:left w:w="0" w:type="dxa"/>
            <w:bottom w:w="0" w:type="dxa"/>
            <w:right w:w="0" w:type="dxa"/>
          </w:tblCellMar>
        </w:tblPrEx>
        <w:trPr>
          <w:trHeight w:val="35" w:hRule="atLeast"/>
          <w:jc w:val="center"/>
        </w:trPr>
        <w:tc>
          <w:tcPr>
            <w:tcW w:w="1448"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textAlignment w:val="center"/>
              <w:rPr>
                <w:rFonts w:ascii="宋体" w:hAnsi="宋体" w:cs="宋体"/>
                <w:color w:val="000000"/>
              </w:rPr>
            </w:pPr>
            <w:r>
              <w:rPr>
                <w:rFonts w:ascii="宋体" w:hAnsi="宋体" w:cs="宋体"/>
                <w:color w:val="000000"/>
                <w:kern w:val="0"/>
              </w:rPr>
              <w:t>管理要求</w:t>
            </w:r>
          </w:p>
        </w:tc>
        <w:tc>
          <w:tcPr>
            <w:tcW w:w="639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支持安全管理员、系统管理员、审计管理员分权管理，管理员身份凭证信息安全存储在智能密码钥匙中。</w:t>
            </w:r>
          </w:p>
        </w:tc>
      </w:tr>
      <w:tr>
        <w:trPr>
          <w:trHeight w:val="35" w:hRule="atLeast"/>
          <w:jc w:val="center"/>
        </w:trPr>
        <w:tc>
          <w:tcPr>
            <w:tcW w:w="1448" w:type="dxa"/>
            <w:vMerge w:val="continue"/>
            <w:tcBorders>
              <w:left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639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管理员登录支持数字证书（SM2）+口令的“双因子”认证方式。</w:t>
            </w:r>
          </w:p>
        </w:tc>
      </w:tr>
      <w:tr>
        <w:trPr>
          <w:trHeight w:val="35" w:hRule="atLeast"/>
          <w:jc w:val="center"/>
        </w:trPr>
        <w:tc>
          <w:tcPr>
            <w:tcW w:w="1448" w:type="dxa"/>
            <w:vMerge w:val="continue"/>
            <w:tcBorders>
              <w:left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639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支持对国密SSL VPN日志信息和访问控制信息进行基于商用密码算法的完整性保护。</w:t>
            </w:r>
          </w:p>
        </w:tc>
      </w:tr>
      <w:tr>
        <w:tblPrEx>
          <w:tblCellMar>
            <w:top w:w="0" w:type="dxa"/>
            <w:left w:w="0" w:type="dxa"/>
            <w:bottom w:w="0" w:type="dxa"/>
            <w:right w:w="0" w:type="dxa"/>
          </w:tblCellMar>
        </w:tblPrEx>
        <w:trPr>
          <w:trHeight w:val="35" w:hRule="atLeast"/>
          <w:jc w:val="center"/>
        </w:trPr>
        <w:tc>
          <w:tcPr>
            <w:tcW w:w="1448"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639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楷体"/>
                <w:color w:val="000000"/>
                <w:kern w:val="0"/>
              </w:rPr>
            </w:pPr>
            <w:r>
              <w:rPr>
                <w:rFonts w:hint="eastAsia" w:ascii="宋体" w:hAnsi="宋体" w:cs="楷体"/>
                <w:color w:val="000000"/>
                <w:kern w:val="0"/>
              </w:rPr>
              <w:t>支持密码复杂度设置</w:t>
            </w:r>
            <w:r>
              <w:rPr>
                <w:rFonts w:ascii="宋体" w:hAnsi="宋体" w:cs="楷体"/>
                <w:color w:val="000000"/>
                <w:kern w:val="0"/>
              </w:rPr>
              <w:t>。</w:t>
            </w:r>
          </w:p>
        </w:tc>
      </w:tr>
    </w:tbl>
    <w:p/>
    <w:p>
      <w:pPr>
        <w:pStyle w:val="5"/>
        <w:numPr>
          <w:ilvl w:val="3"/>
          <w:numId w:val="14"/>
        </w:numPr>
        <w:spacing w:line="276" w:lineRule="auto"/>
        <w:ind w:left="840"/>
        <w:rPr>
          <w:rFonts w:hint="default"/>
        </w:rPr>
      </w:pPr>
      <w:bookmarkStart w:id="42" w:name="_Toc34080409"/>
      <w:r>
        <w:t>国密软件要求</w:t>
      </w:r>
      <w:bookmarkEnd w:id="42"/>
    </w:p>
    <w:tbl>
      <w:tblPr>
        <w:tblStyle w:val="12"/>
        <w:tblW w:w="4691" w:type="pct"/>
        <w:jc w:val="center"/>
        <w:tblLayout w:type="fixed"/>
        <w:tblCellMar>
          <w:top w:w="0" w:type="dxa"/>
          <w:left w:w="0" w:type="dxa"/>
          <w:bottom w:w="0" w:type="dxa"/>
          <w:right w:w="0" w:type="dxa"/>
        </w:tblCellMar>
      </w:tblPr>
      <w:tblGrid>
        <w:gridCol w:w="1588"/>
        <w:gridCol w:w="6233"/>
      </w:tblGrid>
      <w:tr>
        <w:trPr>
          <w:trHeight w:val="270" w:hRule="atLeast"/>
          <w:jc w:val="center"/>
        </w:trPr>
        <w:tc>
          <w:tcPr>
            <w:tcW w:w="5000" w:type="pct"/>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ind w:firstLine="211" w:firstLineChars="100"/>
              <w:textAlignment w:val="center"/>
              <w:rPr>
                <w:rFonts w:ascii="宋体" w:hAnsi="宋体" w:cs="宋体"/>
                <w:b/>
                <w:bCs/>
                <w:color w:val="000000"/>
                <w:kern w:val="0"/>
              </w:rPr>
            </w:pPr>
            <w:r>
              <w:rPr>
                <w:rFonts w:ascii="宋体" w:hAnsi="宋体" w:cs="宋体"/>
                <w:b/>
                <w:bCs/>
                <w:color w:val="000000"/>
                <w:kern w:val="0"/>
              </w:rPr>
              <w:t>用途：签名验签服务系统</w:t>
            </w:r>
          </w:p>
        </w:tc>
      </w:tr>
      <w:tr>
        <w:trPr>
          <w:trHeight w:val="270" w:hRule="atLeast"/>
          <w:jc w:val="center"/>
        </w:trPr>
        <w:tc>
          <w:tcPr>
            <w:tcW w:w="1015" w:type="pct"/>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vAlign w:val="center"/>
          </w:tcPr>
          <w:p>
            <w:pPr>
              <w:jc w:val="center"/>
              <w:textAlignment w:val="center"/>
              <w:rPr>
                <w:rFonts w:ascii="宋体" w:hAnsi="宋体" w:cs="宋体"/>
                <w:b/>
                <w:bCs/>
                <w:color w:val="000000"/>
              </w:rPr>
            </w:pPr>
            <w:r>
              <w:rPr>
                <w:rFonts w:ascii="宋体" w:hAnsi="宋体" w:cs="宋体"/>
                <w:b/>
                <w:bCs/>
                <w:color w:val="000000"/>
                <w:kern w:val="0"/>
              </w:rPr>
              <w:t>要求</w:t>
            </w:r>
          </w:p>
        </w:tc>
        <w:tc>
          <w:tcPr>
            <w:tcW w:w="3985" w:type="pct"/>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vAlign w:val="center"/>
          </w:tcPr>
          <w:p>
            <w:pPr>
              <w:jc w:val="center"/>
              <w:textAlignment w:val="center"/>
              <w:rPr>
                <w:rFonts w:ascii="宋体" w:hAnsi="宋体" w:cs="宋体"/>
                <w:b/>
                <w:bCs/>
                <w:color w:val="000000"/>
              </w:rPr>
            </w:pPr>
            <w:r>
              <w:rPr>
                <w:rFonts w:ascii="宋体" w:hAnsi="宋体" w:cs="宋体"/>
                <w:b/>
                <w:bCs/>
                <w:color w:val="000000"/>
                <w:kern w:val="0"/>
              </w:rPr>
              <w:t>具体要求</w:t>
            </w:r>
          </w:p>
        </w:tc>
      </w:tr>
      <w:tr>
        <w:trPr>
          <w:trHeight w:val="35" w:hRule="atLeast"/>
          <w:jc w:val="center"/>
        </w:trPr>
        <w:tc>
          <w:tcPr>
            <w:tcW w:w="101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宋体"/>
                <w:color w:val="000000"/>
              </w:rPr>
            </w:pPr>
            <w:r>
              <w:rPr>
                <w:rFonts w:ascii="宋体" w:hAnsi="宋体" w:cs="宋体"/>
                <w:color w:val="000000"/>
                <w:kern w:val="0"/>
              </w:rPr>
              <w:t>部署要求</w:t>
            </w:r>
          </w:p>
        </w:tc>
        <w:tc>
          <w:tcPr>
            <w:tcW w:w="398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楷体"/>
                <w:color w:val="000000"/>
              </w:rPr>
            </w:pPr>
            <w:r>
              <w:rPr>
                <w:rFonts w:ascii="宋体" w:hAnsi="宋体" w:cs="楷体"/>
                <w:color w:val="000000"/>
                <w:kern w:val="0"/>
              </w:rPr>
              <w:t>签名验签服务能够部署在云端虚拟机中，并且能与CA、云密码机进行联动，与CA配合完成证书的验证，与云密码机配合完成签名和验签功能；</w:t>
            </w:r>
          </w:p>
        </w:tc>
      </w:tr>
      <w:tr>
        <w:trPr>
          <w:trHeight w:val="35" w:hRule="atLeast"/>
          <w:jc w:val="center"/>
        </w:trPr>
        <w:tc>
          <w:tcPr>
            <w:tcW w:w="1015"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宋体"/>
                <w:color w:val="000000"/>
              </w:rPr>
            </w:pPr>
            <w:r>
              <w:rPr>
                <w:rFonts w:ascii="宋体" w:hAnsi="宋体" w:cs="宋体"/>
                <w:color w:val="000000"/>
                <w:kern w:val="0"/>
              </w:rPr>
              <w:t>功能要求</w:t>
            </w:r>
          </w:p>
        </w:tc>
        <w:tc>
          <w:tcPr>
            <w:tcW w:w="398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支持配置信任多个CA根证书，可验证不同CA机构签发的符合SM2证书标准的签名结果。</w:t>
            </w:r>
          </w:p>
        </w:tc>
      </w:tr>
      <w:tr>
        <w:trPr>
          <w:trHeight w:val="35" w:hRule="atLeast"/>
          <w:jc w:val="center"/>
        </w:trPr>
        <w:tc>
          <w:tcPr>
            <w:tcW w:w="101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398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支持制作数字签名，支持对数据原文制作数字签名，签名结构符合SM2证书国家标准。</w:t>
            </w:r>
          </w:p>
        </w:tc>
      </w:tr>
      <w:tr>
        <w:trPr>
          <w:trHeight w:val="35" w:hRule="atLeast"/>
          <w:jc w:val="center"/>
        </w:trPr>
        <w:tc>
          <w:tcPr>
            <w:tcW w:w="101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398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支持配置记录日志的类型，如业务日志、管理员日志、Debug日志、错误日志，并可根据需求开启或关闭，支持错误和故障日志完整保留，并可进行下载。</w:t>
            </w:r>
          </w:p>
        </w:tc>
      </w:tr>
      <w:tr>
        <w:trPr>
          <w:trHeight w:val="35" w:hRule="atLeast"/>
          <w:jc w:val="center"/>
        </w:trPr>
        <w:tc>
          <w:tcPr>
            <w:tcW w:w="1015"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宋体"/>
                <w:color w:val="000000"/>
              </w:rPr>
            </w:pPr>
            <w:r>
              <w:rPr>
                <w:rFonts w:ascii="宋体" w:hAnsi="宋体" w:cs="宋体"/>
                <w:color w:val="000000"/>
                <w:kern w:val="0"/>
              </w:rPr>
              <w:t>监管要求</w:t>
            </w:r>
          </w:p>
        </w:tc>
        <w:tc>
          <w:tcPr>
            <w:tcW w:w="398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支持签名验签服务运行状态监控，包括服务正常运行情况、业务连接数、CPU、内存占用率、磁盘使用率等业务状态，提供信息提取接口便于第三方网络管理软件进行信息提取；</w:t>
            </w:r>
          </w:p>
        </w:tc>
      </w:tr>
      <w:tr>
        <w:trPr>
          <w:trHeight w:val="35" w:hRule="atLeast"/>
          <w:jc w:val="center"/>
        </w:trPr>
        <w:tc>
          <w:tcPr>
            <w:tcW w:w="101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398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支持故障定位功能，错误签名或验签信息必须有详细的日志，譬如验签的原文、验签的时间等。</w:t>
            </w:r>
          </w:p>
        </w:tc>
      </w:tr>
      <w:tr>
        <w:trPr>
          <w:trHeight w:val="35" w:hRule="atLeast"/>
          <w:jc w:val="center"/>
        </w:trPr>
        <w:tc>
          <w:tcPr>
            <w:tcW w:w="1015"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宋体"/>
                <w:color w:val="000000"/>
              </w:rPr>
            </w:pPr>
            <w:r>
              <w:rPr>
                <w:rFonts w:ascii="宋体" w:hAnsi="宋体" w:cs="宋体"/>
                <w:color w:val="000000"/>
                <w:kern w:val="0"/>
              </w:rPr>
              <w:t>密评要求</w:t>
            </w:r>
          </w:p>
        </w:tc>
        <w:tc>
          <w:tcPr>
            <w:tcW w:w="398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签名验签服务应用程序与服务申请应用、云密码机之间的数据传输应采用基于商用密码算法的机密性和完整性保护；</w:t>
            </w:r>
          </w:p>
        </w:tc>
      </w:tr>
      <w:tr>
        <w:trPr>
          <w:trHeight w:val="35" w:hRule="atLeast"/>
          <w:jc w:val="center"/>
        </w:trPr>
        <w:tc>
          <w:tcPr>
            <w:tcW w:w="101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398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签名验签服务的访问控制信息、日志信息能够自主进行基于商用密码算法的完整性保护。</w:t>
            </w:r>
          </w:p>
        </w:tc>
      </w:tr>
    </w:tbl>
    <w:p/>
    <w:tbl>
      <w:tblPr>
        <w:tblStyle w:val="12"/>
        <w:tblW w:w="7860" w:type="dxa"/>
        <w:jc w:val="center"/>
        <w:tblLayout w:type="fixed"/>
        <w:tblCellMar>
          <w:top w:w="0" w:type="dxa"/>
          <w:left w:w="0" w:type="dxa"/>
          <w:bottom w:w="0" w:type="dxa"/>
          <w:right w:w="0" w:type="dxa"/>
        </w:tblCellMar>
      </w:tblPr>
      <w:tblGrid>
        <w:gridCol w:w="1588"/>
        <w:gridCol w:w="6272"/>
      </w:tblGrid>
      <w:tr>
        <w:trPr>
          <w:trHeight w:val="270" w:hRule="atLeast"/>
          <w:jc w:val="center"/>
        </w:trPr>
        <w:tc>
          <w:tcPr>
            <w:tcW w:w="786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ind w:firstLine="211" w:firstLineChars="100"/>
              <w:textAlignment w:val="center"/>
              <w:rPr>
                <w:rFonts w:ascii="宋体" w:hAnsi="宋体" w:cs="宋体"/>
                <w:b/>
                <w:bCs/>
                <w:color w:val="000000"/>
                <w:kern w:val="0"/>
              </w:rPr>
            </w:pPr>
            <w:r>
              <w:rPr>
                <w:rFonts w:ascii="宋体" w:hAnsi="宋体" w:cs="宋体"/>
                <w:b/>
                <w:bCs/>
                <w:color w:val="000000"/>
                <w:kern w:val="0"/>
              </w:rPr>
              <w:t>用途：时间戳服系统</w:t>
            </w:r>
          </w:p>
        </w:tc>
      </w:tr>
      <w:tr>
        <w:tblPrEx>
          <w:tblCellMar>
            <w:top w:w="0" w:type="dxa"/>
            <w:left w:w="0" w:type="dxa"/>
            <w:bottom w:w="0" w:type="dxa"/>
            <w:right w:w="0" w:type="dxa"/>
          </w:tblCellMar>
        </w:tblPrEx>
        <w:trPr>
          <w:trHeight w:val="270" w:hRule="atLeast"/>
          <w:jc w:val="center"/>
        </w:trPr>
        <w:tc>
          <w:tcPr>
            <w:tcW w:w="1588" w:type="dxa"/>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vAlign w:val="center"/>
          </w:tcPr>
          <w:p>
            <w:pPr>
              <w:jc w:val="center"/>
              <w:textAlignment w:val="center"/>
              <w:rPr>
                <w:rFonts w:ascii="宋体" w:hAnsi="宋体" w:cs="宋体"/>
                <w:b/>
                <w:bCs/>
                <w:color w:val="000000"/>
              </w:rPr>
            </w:pPr>
            <w:r>
              <w:rPr>
                <w:rFonts w:ascii="宋体" w:hAnsi="宋体" w:cs="宋体"/>
                <w:b/>
                <w:bCs/>
                <w:color w:val="000000"/>
                <w:kern w:val="0"/>
              </w:rPr>
              <w:t>要求</w:t>
            </w:r>
          </w:p>
        </w:tc>
        <w:tc>
          <w:tcPr>
            <w:tcW w:w="6272" w:type="dxa"/>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vAlign w:val="center"/>
          </w:tcPr>
          <w:p>
            <w:pPr>
              <w:jc w:val="center"/>
              <w:textAlignment w:val="center"/>
              <w:rPr>
                <w:rFonts w:ascii="宋体" w:hAnsi="宋体" w:cs="宋体"/>
                <w:b/>
                <w:bCs/>
                <w:color w:val="000000"/>
              </w:rPr>
            </w:pPr>
            <w:r>
              <w:rPr>
                <w:rFonts w:ascii="宋体" w:hAnsi="宋体" w:cs="宋体"/>
                <w:b/>
                <w:bCs/>
                <w:color w:val="000000"/>
                <w:kern w:val="0"/>
              </w:rPr>
              <w:t>具体要求</w:t>
            </w:r>
          </w:p>
        </w:tc>
      </w:tr>
      <w:tr>
        <w:tblPrEx>
          <w:tblCellMar>
            <w:top w:w="0" w:type="dxa"/>
            <w:left w:w="0" w:type="dxa"/>
            <w:bottom w:w="0" w:type="dxa"/>
            <w:right w:w="0" w:type="dxa"/>
          </w:tblCellMar>
        </w:tblPrEx>
        <w:trPr>
          <w:trHeight w:val="35" w:hRule="atLeast"/>
          <w:jc w:val="center"/>
        </w:trPr>
        <w:tc>
          <w:tcPr>
            <w:tcW w:w="158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宋体"/>
                <w:color w:val="000000"/>
              </w:rPr>
            </w:pPr>
            <w:r>
              <w:rPr>
                <w:rFonts w:ascii="宋体" w:hAnsi="宋体" w:cs="宋体"/>
                <w:color w:val="000000"/>
                <w:kern w:val="0"/>
              </w:rPr>
              <w:t>部署要求</w:t>
            </w:r>
          </w:p>
        </w:tc>
        <w:tc>
          <w:tcPr>
            <w:tcW w:w="62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时间戳服务能够部署在云端虚拟机中，并且能与CA/RA系统、签名和验证签系统、云密码机进行联动，与签名和验签系统、CA/RA系统配合完成证书的验证与签名功能；</w:t>
            </w:r>
          </w:p>
        </w:tc>
      </w:tr>
      <w:tr>
        <w:tblPrEx>
          <w:tblCellMar>
            <w:top w:w="0" w:type="dxa"/>
            <w:left w:w="0" w:type="dxa"/>
            <w:bottom w:w="0" w:type="dxa"/>
            <w:right w:w="0" w:type="dxa"/>
          </w:tblCellMar>
        </w:tblPrEx>
        <w:trPr>
          <w:trHeight w:val="35" w:hRule="atLeast"/>
          <w:jc w:val="center"/>
        </w:trPr>
        <w:tc>
          <w:tcPr>
            <w:tcW w:w="1588" w:type="dxa"/>
            <w:tcBorders>
              <w:top w:val="single" w:color="000000" w:sz="4" w:space="0"/>
              <w:left w:val="single" w:color="000000" w:sz="4" w:space="0"/>
              <w:right w:val="single" w:color="000000" w:sz="4" w:space="0"/>
            </w:tcBorders>
            <w:tcMar>
              <w:top w:w="15" w:type="dxa"/>
              <w:left w:w="15" w:type="dxa"/>
              <w:right w:w="15" w:type="dxa"/>
            </w:tcMar>
            <w:vAlign w:val="center"/>
          </w:tcPr>
          <w:p>
            <w:pPr>
              <w:rPr>
                <w:rFonts w:ascii="宋体" w:hAnsi="宋体" w:cs="宋体"/>
                <w:color w:val="000000"/>
              </w:rPr>
            </w:pPr>
            <w:r>
              <w:rPr>
                <w:rFonts w:ascii="宋体" w:hAnsi="宋体" w:cs="宋体"/>
                <w:color w:val="000000"/>
              </w:rPr>
              <w:t>功能要求</w:t>
            </w:r>
          </w:p>
        </w:tc>
        <w:tc>
          <w:tcPr>
            <w:tcW w:w="62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能够与第三方授时中心、卫星授权时间源进行时间同步，确保所签发时间戳时所获取的时间的有效性；</w:t>
            </w:r>
          </w:p>
        </w:tc>
      </w:tr>
      <w:tr>
        <w:tblPrEx>
          <w:tblCellMar>
            <w:top w:w="0" w:type="dxa"/>
            <w:left w:w="0" w:type="dxa"/>
            <w:bottom w:w="0" w:type="dxa"/>
            <w:right w:w="0" w:type="dxa"/>
          </w:tblCellMar>
        </w:tblPrEx>
        <w:trPr>
          <w:trHeight w:val="35" w:hRule="atLeast"/>
          <w:jc w:val="center"/>
        </w:trPr>
        <w:tc>
          <w:tcPr>
            <w:tcW w:w="158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宋体"/>
                <w:color w:val="000000"/>
              </w:rPr>
            </w:pPr>
            <w:r>
              <w:rPr>
                <w:rFonts w:ascii="宋体" w:hAnsi="宋体" w:cs="宋体"/>
                <w:color w:val="000000"/>
                <w:kern w:val="0"/>
              </w:rPr>
              <w:t>监管要求</w:t>
            </w:r>
          </w:p>
        </w:tc>
        <w:tc>
          <w:tcPr>
            <w:tcW w:w="62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支持签名验签服务运行状态监控，包括服务正常运行情况、业务连接数、CPU、内存占用率、磁盘使用率等业务状态，提供信息提取接口便于第三方网络管理软件进行信息提取；</w:t>
            </w:r>
          </w:p>
        </w:tc>
      </w:tr>
      <w:tr>
        <w:tblPrEx>
          <w:tblCellMar>
            <w:top w:w="0" w:type="dxa"/>
            <w:left w:w="0" w:type="dxa"/>
            <w:bottom w:w="0" w:type="dxa"/>
            <w:right w:w="0" w:type="dxa"/>
          </w:tblCellMar>
        </w:tblPrEx>
        <w:trPr>
          <w:trHeight w:val="665" w:hRule="atLeast"/>
          <w:jc w:val="center"/>
        </w:trPr>
        <w:tc>
          <w:tcPr>
            <w:tcW w:w="158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宋体"/>
                <w:color w:val="000000"/>
              </w:rPr>
            </w:pPr>
            <w:r>
              <w:rPr>
                <w:rFonts w:ascii="宋体" w:hAnsi="宋体" w:cs="宋体"/>
                <w:color w:val="000000"/>
                <w:kern w:val="0"/>
              </w:rPr>
              <w:t>安全要求</w:t>
            </w:r>
          </w:p>
        </w:tc>
        <w:tc>
          <w:tcPr>
            <w:tcW w:w="62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时间戳服务可采用分级权限管理，支持初始化管理员和操作员，负责管理员、操作员权限的判断。</w:t>
            </w:r>
          </w:p>
        </w:tc>
      </w:tr>
      <w:tr>
        <w:tblPrEx>
          <w:tblCellMar>
            <w:top w:w="0" w:type="dxa"/>
            <w:left w:w="0" w:type="dxa"/>
            <w:bottom w:w="0" w:type="dxa"/>
            <w:right w:w="0" w:type="dxa"/>
          </w:tblCellMar>
        </w:tblPrEx>
        <w:trPr>
          <w:trHeight w:val="424" w:hRule="atLeast"/>
          <w:jc w:val="center"/>
        </w:trPr>
        <w:tc>
          <w:tcPr>
            <w:tcW w:w="158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宋体"/>
                <w:color w:val="000000"/>
              </w:rPr>
            </w:pPr>
            <w:r>
              <w:rPr>
                <w:rFonts w:ascii="宋体" w:hAnsi="宋体" w:cs="宋体"/>
                <w:color w:val="000000"/>
                <w:kern w:val="0"/>
              </w:rPr>
              <w:t>可靠性要求</w:t>
            </w:r>
          </w:p>
        </w:tc>
        <w:tc>
          <w:tcPr>
            <w:tcW w:w="62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部署后可保证在当一台物理机器出现问题时，时间戳服务能够漂移至其他物理机，不影响业务系统的正常运行。</w:t>
            </w:r>
          </w:p>
        </w:tc>
      </w:tr>
      <w:tr>
        <w:tblPrEx>
          <w:tblCellMar>
            <w:top w:w="0" w:type="dxa"/>
            <w:left w:w="0" w:type="dxa"/>
            <w:bottom w:w="0" w:type="dxa"/>
            <w:right w:w="0" w:type="dxa"/>
          </w:tblCellMar>
        </w:tblPrEx>
        <w:trPr>
          <w:trHeight w:val="35" w:hRule="atLeast"/>
          <w:jc w:val="center"/>
        </w:trPr>
        <w:tc>
          <w:tcPr>
            <w:tcW w:w="1588"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textAlignment w:val="center"/>
              <w:rPr>
                <w:rFonts w:ascii="宋体" w:hAnsi="宋体" w:cs="宋体"/>
                <w:color w:val="000000"/>
              </w:rPr>
            </w:pPr>
            <w:r>
              <w:rPr>
                <w:rFonts w:ascii="宋体" w:hAnsi="宋体" w:cs="宋体"/>
                <w:color w:val="000000"/>
                <w:kern w:val="0"/>
              </w:rPr>
              <w:t>密评要求</w:t>
            </w:r>
          </w:p>
        </w:tc>
        <w:tc>
          <w:tcPr>
            <w:tcW w:w="62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承载时间戳服务的虚拟机，其运维管理支持集中的安全管理通道，身份认证基于商密证书的强身份认证或支持基于商用密码算法的信任链；</w:t>
            </w:r>
          </w:p>
        </w:tc>
      </w:tr>
      <w:tr>
        <w:trPr>
          <w:trHeight w:val="35" w:hRule="atLeast"/>
          <w:jc w:val="center"/>
        </w:trPr>
        <w:tc>
          <w:tcPr>
            <w:tcW w:w="1588" w:type="dxa"/>
            <w:vMerge w:val="continue"/>
            <w:tcBorders>
              <w:left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62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时间戳服务的访问控制信息、日志信息能够进行基于商用密码算法的完整性保护。</w:t>
            </w:r>
          </w:p>
        </w:tc>
      </w:tr>
      <w:tr>
        <w:trPr>
          <w:trHeight w:val="35" w:hRule="atLeast"/>
          <w:jc w:val="center"/>
        </w:trPr>
        <w:tc>
          <w:tcPr>
            <w:tcW w:w="1588"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62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时间戳服务应用程序与服务申请应用、云密码机之间的数据传输应采用基于商用密码算法的机密性和完整性保护；</w:t>
            </w:r>
          </w:p>
        </w:tc>
      </w:tr>
    </w:tbl>
    <w:p/>
    <w:tbl>
      <w:tblPr>
        <w:tblStyle w:val="12"/>
        <w:tblW w:w="7886" w:type="dxa"/>
        <w:jc w:val="center"/>
        <w:tblLayout w:type="fixed"/>
        <w:tblCellMar>
          <w:top w:w="0" w:type="dxa"/>
          <w:left w:w="0" w:type="dxa"/>
          <w:bottom w:w="0" w:type="dxa"/>
          <w:right w:w="0" w:type="dxa"/>
        </w:tblCellMar>
      </w:tblPr>
      <w:tblGrid>
        <w:gridCol w:w="1608"/>
        <w:gridCol w:w="6278"/>
      </w:tblGrid>
      <w:tr>
        <w:tblPrEx>
          <w:tblCellMar>
            <w:top w:w="0" w:type="dxa"/>
            <w:left w:w="0" w:type="dxa"/>
            <w:bottom w:w="0" w:type="dxa"/>
            <w:right w:w="0" w:type="dxa"/>
          </w:tblCellMar>
        </w:tblPrEx>
        <w:trPr>
          <w:trHeight w:val="270" w:hRule="atLeast"/>
          <w:jc w:val="center"/>
        </w:trPr>
        <w:tc>
          <w:tcPr>
            <w:tcW w:w="78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ind w:firstLine="211" w:firstLineChars="100"/>
              <w:textAlignment w:val="center"/>
              <w:rPr>
                <w:rFonts w:ascii="宋体" w:hAnsi="宋体" w:cs="宋体"/>
                <w:b/>
                <w:bCs/>
                <w:color w:val="000000"/>
                <w:kern w:val="0"/>
              </w:rPr>
            </w:pPr>
            <w:r>
              <w:rPr>
                <w:rFonts w:ascii="宋体" w:hAnsi="宋体" w:cs="宋体"/>
                <w:b/>
                <w:bCs/>
                <w:color w:val="000000"/>
                <w:kern w:val="0"/>
              </w:rPr>
              <w:t>用途：电子签章系统</w:t>
            </w:r>
          </w:p>
        </w:tc>
      </w:tr>
      <w:tr>
        <w:tblPrEx>
          <w:tblCellMar>
            <w:top w:w="0" w:type="dxa"/>
            <w:left w:w="0" w:type="dxa"/>
            <w:bottom w:w="0" w:type="dxa"/>
            <w:right w:w="0" w:type="dxa"/>
          </w:tblCellMar>
        </w:tblPrEx>
        <w:trPr>
          <w:trHeight w:val="270" w:hRule="atLeast"/>
          <w:jc w:val="center"/>
        </w:trPr>
        <w:tc>
          <w:tcPr>
            <w:tcW w:w="1608" w:type="dxa"/>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vAlign w:val="center"/>
          </w:tcPr>
          <w:p>
            <w:pPr>
              <w:jc w:val="center"/>
              <w:textAlignment w:val="center"/>
              <w:rPr>
                <w:rFonts w:ascii="宋体" w:hAnsi="宋体" w:cs="宋体"/>
                <w:b/>
                <w:bCs/>
                <w:color w:val="000000"/>
              </w:rPr>
            </w:pPr>
            <w:r>
              <w:rPr>
                <w:rFonts w:ascii="宋体" w:hAnsi="宋体" w:cs="宋体"/>
                <w:b/>
                <w:bCs/>
                <w:color w:val="000000"/>
                <w:kern w:val="0"/>
              </w:rPr>
              <w:t>要求</w:t>
            </w:r>
          </w:p>
        </w:tc>
        <w:tc>
          <w:tcPr>
            <w:tcW w:w="6278" w:type="dxa"/>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vAlign w:val="center"/>
          </w:tcPr>
          <w:p>
            <w:pPr>
              <w:jc w:val="center"/>
              <w:textAlignment w:val="center"/>
              <w:rPr>
                <w:rFonts w:ascii="宋体" w:hAnsi="宋体" w:cs="宋体"/>
                <w:b/>
                <w:bCs/>
                <w:color w:val="000000"/>
              </w:rPr>
            </w:pPr>
            <w:r>
              <w:rPr>
                <w:rFonts w:ascii="宋体" w:hAnsi="宋体" w:cs="宋体"/>
                <w:b/>
                <w:bCs/>
                <w:color w:val="000000"/>
                <w:kern w:val="0"/>
              </w:rPr>
              <w:t>具体要求</w:t>
            </w:r>
          </w:p>
        </w:tc>
      </w:tr>
      <w:tr>
        <w:tblPrEx>
          <w:tblCellMar>
            <w:top w:w="0" w:type="dxa"/>
            <w:left w:w="0" w:type="dxa"/>
            <w:bottom w:w="0" w:type="dxa"/>
            <w:right w:w="0" w:type="dxa"/>
          </w:tblCellMar>
        </w:tblPrEx>
        <w:trPr>
          <w:trHeight w:val="199" w:hRule="atLeast"/>
          <w:jc w:val="center"/>
        </w:trPr>
        <w:tc>
          <w:tcPr>
            <w:tcW w:w="160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宋体"/>
                <w:color w:val="000000"/>
              </w:rPr>
            </w:pPr>
            <w:r>
              <w:rPr>
                <w:rFonts w:ascii="宋体" w:hAnsi="宋体" w:cs="宋体"/>
                <w:color w:val="000000"/>
                <w:kern w:val="0"/>
              </w:rPr>
              <w:t>部署要求</w:t>
            </w:r>
          </w:p>
        </w:tc>
        <w:tc>
          <w:tcPr>
            <w:tcW w:w="62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电子签章服务能够部署在云端虚拟机中，并且能与CA/RA系统、时间戳服务、云密码机进行联动；与CA/RA配合完成证书的验证；与时间戳服务配合获取可信时间；与签验签系统和云密码机配合完成签名和验签功能；</w:t>
            </w:r>
          </w:p>
        </w:tc>
      </w:tr>
      <w:tr>
        <w:tblPrEx>
          <w:tblCellMar>
            <w:top w:w="0" w:type="dxa"/>
            <w:left w:w="0" w:type="dxa"/>
            <w:bottom w:w="0" w:type="dxa"/>
            <w:right w:w="0" w:type="dxa"/>
          </w:tblCellMar>
        </w:tblPrEx>
        <w:trPr>
          <w:trHeight w:val="300" w:hRule="atLeast"/>
          <w:jc w:val="center"/>
        </w:trPr>
        <w:tc>
          <w:tcPr>
            <w:tcW w:w="1608"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rPr>
                <w:rFonts w:ascii="宋体" w:hAnsi="宋体" w:cs="宋体"/>
                <w:color w:val="000000"/>
              </w:rPr>
            </w:pPr>
            <w:r>
              <w:rPr>
                <w:rFonts w:ascii="宋体" w:hAnsi="宋体" w:cs="宋体"/>
                <w:color w:val="000000"/>
              </w:rPr>
              <w:t>功能要求</w:t>
            </w:r>
          </w:p>
        </w:tc>
        <w:tc>
          <w:tcPr>
            <w:tcW w:w="62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支持电子签章用章审计；</w:t>
            </w:r>
            <w:r>
              <w:rPr>
                <w:rFonts w:ascii="宋体" w:hAnsi="宋体" w:cs="Wingdings"/>
                <w:color w:val="000000"/>
              </w:rPr>
              <w:t></w:t>
            </w:r>
          </w:p>
        </w:tc>
      </w:tr>
      <w:tr>
        <w:tblPrEx>
          <w:tblCellMar>
            <w:top w:w="0" w:type="dxa"/>
            <w:left w:w="0" w:type="dxa"/>
            <w:bottom w:w="0" w:type="dxa"/>
            <w:right w:w="0" w:type="dxa"/>
          </w:tblCellMar>
        </w:tblPrEx>
        <w:trPr>
          <w:trHeight w:val="35" w:hRule="atLeast"/>
          <w:jc w:val="center"/>
        </w:trPr>
        <w:tc>
          <w:tcPr>
            <w:tcW w:w="160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ind w:firstLine="420" w:firstLineChars="200"/>
              <w:jc w:val="center"/>
              <w:rPr>
                <w:rFonts w:ascii="宋体" w:hAnsi="宋体" w:cs="宋体"/>
                <w:color w:val="000000"/>
              </w:rPr>
            </w:pPr>
          </w:p>
        </w:tc>
        <w:tc>
          <w:tcPr>
            <w:tcW w:w="62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通过证书/证书链导入CA信息，支持多CA证书验证。</w:t>
            </w:r>
          </w:p>
        </w:tc>
      </w:tr>
      <w:tr>
        <w:tblPrEx>
          <w:tblCellMar>
            <w:top w:w="0" w:type="dxa"/>
            <w:left w:w="0" w:type="dxa"/>
            <w:bottom w:w="0" w:type="dxa"/>
            <w:right w:w="0" w:type="dxa"/>
          </w:tblCellMar>
        </w:tblPrEx>
        <w:trPr>
          <w:trHeight w:val="870" w:hRule="atLeast"/>
          <w:jc w:val="center"/>
        </w:trPr>
        <w:tc>
          <w:tcPr>
            <w:tcW w:w="160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ind w:firstLine="420" w:firstLineChars="200"/>
              <w:jc w:val="center"/>
              <w:rPr>
                <w:rFonts w:ascii="宋体" w:hAnsi="宋体" w:cs="宋体"/>
                <w:color w:val="000000"/>
              </w:rPr>
            </w:pPr>
          </w:p>
        </w:tc>
        <w:tc>
          <w:tcPr>
            <w:tcW w:w="62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通过设置不同的服务端口来添加多个电子签章服务，为不同的应用系统同时提供电子签章等服务。</w:t>
            </w:r>
          </w:p>
        </w:tc>
      </w:tr>
      <w:tr>
        <w:tblPrEx>
          <w:tblCellMar>
            <w:top w:w="0" w:type="dxa"/>
            <w:left w:w="0" w:type="dxa"/>
            <w:bottom w:w="0" w:type="dxa"/>
            <w:right w:w="0" w:type="dxa"/>
          </w:tblCellMar>
        </w:tblPrEx>
        <w:trPr>
          <w:trHeight w:val="132" w:hRule="atLeast"/>
          <w:jc w:val="center"/>
        </w:trPr>
        <w:tc>
          <w:tcPr>
            <w:tcW w:w="160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宋体"/>
                <w:color w:val="000000"/>
              </w:rPr>
            </w:pPr>
            <w:r>
              <w:rPr>
                <w:rFonts w:ascii="宋体" w:hAnsi="宋体" w:cs="宋体"/>
                <w:color w:val="000000"/>
                <w:kern w:val="0"/>
              </w:rPr>
              <w:t>监管要求</w:t>
            </w:r>
          </w:p>
        </w:tc>
        <w:tc>
          <w:tcPr>
            <w:tcW w:w="62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支持电子签章服务运行状态监控，包括服务正常运行情况、业务连接数、签章使用率等状态，提供信息提取接口便于第三方网络管理软件进行信息提取；</w:t>
            </w:r>
          </w:p>
        </w:tc>
      </w:tr>
      <w:tr>
        <w:tblPrEx>
          <w:tblCellMar>
            <w:top w:w="0" w:type="dxa"/>
            <w:left w:w="0" w:type="dxa"/>
            <w:bottom w:w="0" w:type="dxa"/>
            <w:right w:w="0" w:type="dxa"/>
          </w:tblCellMar>
        </w:tblPrEx>
        <w:trPr>
          <w:trHeight w:val="35" w:hRule="atLeast"/>
          <w:jc w:val="center"/>
        </w:trPr>
        <w:tc>
          <w:tcPr>
            <w:tcW w:w="160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宋体"/>
                <w:color w:val="000000"/>
              </w:rPr>
            </w:pPr>
            <w:r>
              <w:rPr>
                <w:rFonts w:ascii="宋体" w:hAnsi="宋体" w:cs="宋体"/>
                <w:color w:val="000000"/>
                <w:kern w:val="0"/>
              </w:rPr>
              <w:t>可靠性要求</w:t>
            </w:r>
          </w:p>
        </w:tc>
        <w:tc>
          <w:tcPr>
            <w:tcW w:w="62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电子签章系统部署后能够漂移至其他物理机，不影响业务系统的正常运行。</w:t>
            </w:r>
          </w:p>
        </w:tc>
      </w:tr>
      <w:tr>
        <w:tblPrEx>
          <w:tblCellMar>
            <w:top w:w="0" w:type="dxa"/>
            <w:left w:w="0" w:type="dxa"/>
            <w:bottom w:w="0" w:type="dxa"/>
            <w:right w:w="0" w:type="dxa"/>
          </w:tblCellMar>
        </w:tblPrEx>
        <w:trPr>
          <w:trHeight w:val="35" w:hRule="atLeast"/>
          <w:jc w:val="center"/>
        </w:trPr>
        <w:tc>
          <w:tcPr>
            <w:tcW w:w="1608"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rPr>
                <w:rFonts w:ascii="宋体" w:hAnsi="宋体" w:cs="宋体"/>
                <w:color w:val="000000"/>
              </w:rPr>
            </w:pPr>
            <w:r>
              <w:rPr>
                <w:rFonts w:ascii="宋体" w:hAnsi="宋体" w:cs="宋体"/>
                <w:color w:val="000000"/>
              </w:rPr>
              <w:t>密评要求</w:t>
            </w:r>
          </w:p>
        </w:tc>
        <w:tc>
          <w:tcPr>
            <w:tcW w:w="62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电子签章系统的访问控制信息、日志信息能够进行基于商用密码算法的完整性保护。</w:t>
            </w:r>
          </w:p>
        </w:tc>
      </w:tr>
      <w:tr>
        <w:tblPrEx>
          <w:tblCellMar>
            <w:top w:w="0" w:type="dxa"/>
            <w:left w:w="0" w:type="dxa"/>
            <w:bottom w:w="0" w:type="dxa"/>
            <w:right w:w="0" w:type="dxa"/>
          </w:tblCellMar>
        </w:tblPrEx>
        <w:trPr>
          <w:trHeight w:val="35" w:hRule="atLeast"/>
          <w:jc w:val="center"/>
        </w:trPr>
        <w:tc>
          <w:tcPr>
            <w:tcW w:w="160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ind w:firstLine="420" w:firstLineChars="200"/>
              <w:jc w:val="center"/>
              <w:rPr>
                <w:rFonts w:ascii="宋体" w:hAnsi="宋体" w:cs="宋体"/>
                <w:color w:val="000000"/>
              </w:rPr>
            </w:pPr>
          </w:p>
        </w:tc>
        <w:tc>
          <w:tcPr>
            <w:tcW w:w="62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电子签章服务应用程序与服务申请应用、云密码机之间的数据传输应采用商用密码算法进行机密性和完整性保护；</w:t>
            </w:r>
          </w:p>
        </w:tc>
      </w:tr>
    </w:tbl>
    <w:p/>
    <w:tbl>
      <w:tblPr>
        <w:tblStyle w:val="12"/>
        <w:tblW w:w="7908" w:type="dxa"/>
        <w:jc w:val="center"/>
        <w:tblLayout w:type="fixed"/>
        <w:tblCellMar>
          <w:top w:w="0" w:type="dxa"/>
          <w:left w:w="0" w:type="dxa"/>
          <w:bottom w:w="0" w:type="dxa"/>
          <w:right w:w="0" w:type="dxa"/>
        </w:tblCellMar>
      </w:tblPr>
      <w:tblGrid>
        <w:gridCol w:w="1619"/>
        <w:gridCol w:w="6289"/>
      </w:tblGrid>
      <w:tr>
        <w:tblPrEx>
          <w:tblCellMar>
            <w:top w:w="0" w:type="dxa"/>
            <w:left w:w="0" w:type="dxa"/>
            <w:bottom w:w="0" w:type="dxa"/>
            <w:right w:w="0" w:type="dxa"/>
          </w:tblCellMar>
        </w:tblPrEx>
        <w:trPr>
          <w:trHeight w:val="270" w:hRule="atLeast"/>
          <w:jc w:val="center"/>
        </w:trPr>
        <w:tc>
          <w:tcPr>
            <w:tcW w:w="7908"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ind w:firstLine="200" w:firstLineChars="95"/>
              <w:textAlignment w:val="center"/>
              <w:rPr>
                <w:rFonts w:ascii="宋体" w:hAnsi="宋体" w:cs="宋体"/>
                <w:b/>
                <w:bCs/>
                <w:color w:val="000000"/>
                <w:kern w:val="0"/>
              </w:rPr>
            </w:pPr>
            <w:r>
              <w:rPr>
                <w:rFonts w:ascii="宋体" w:hAnsi="宋体" w:cs="宋体"/>
                <w:b/>
                <w:bCs/>
                <w:color w:val="000000"/>
                <w:kern w:val="0"/>
              </w:rPr>
              <w:t>用途：</w:t>
            </w:r>
            <w:r>
              <w:rPr>
                <w:rFonts w:ascii="宋体" w:hAnsi="宋体" w:cs="宋体"/>
                <w:b/>
                <w:bCs/>
                <w:color w:val="000000"/>
              </w:rPr>
              <w:t>RA/CA系统</w:t>
            </w:r>
          </w:p>
        </w:tc>
      </w:tr>
      <w:tr>
        <w:tblPrEx>
          <w:tblCellMar>
            <w:top w:w="0" w:type="dxa"/>
            <w:left w:w="0" w:type="dxa"/>
            <w:bottom w:w="0" w:type="dxa"/>
            <w:right w:w="0" w:type="dxa"/>
          </w:tblCellMar>
        </w:tblPrEx>
        <w:trPr>
          <w:trHeight w:val="270" w:hRule="atLeast"/>
          <w:jc w:val="center"/>
        </w:trPr>
        <w:tc>
          <w:tcPr>
            <w:tcW w:w="1619" w:type="dxa"/>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vAlign w:val="center"/>
          </w:tcPr>
          <w:p>
            <w:pPr>
              <w:jc w:val="center"/>
              <w:textAlignment w:val="center"/>
              <w:rPr>
                <w:rFonts w:ascii="宋体" w:hAnsi="宋体" w:cs="宋体"/>
                <w:b/>
                <w:bCs/>
                <w:color w:val="000000"/>
              </w:rPr>
            </w:pPr>
            <w:r>
              <w:rPr>
                <w:rFonts w:ascii="宋体" w:hAnsi="宋体" w:cs="宋体"/>
                <w:b/>
                <w:bCs/>
                <w:color w:val="000000"/>
                <w:kern w:val="0"/>
              </w:rPr>
              <w:t>要求</w:t>
            </w:r>
          </w:p>
        </w:tc>
        <w:tc>
          <w:tcPr>
            <w:tcW w:w="6289" w:type="dxa"/>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vAlign w:val="center"/>
          </w:tcPr>
          <w:p>
            <w:pPr>
              <w:jc w:val="center"/>
              <w:textAlignment w:val="center"/>
              <w:rPr>
                <w:rFonts w:ascii="宋体" w:hAnsi="宋体" w:cs="宋体"/>
                <w:b/>
                <w:bCs/>
                <w:color w:val="000000"/>
              </w:rPr>
            </w:pPr>
            <w:r>
              <w:rPr>
                <w:rFonts w:ascii="宋体" w:hAnsi="宋体" w:cs="宋体"/>
                <w:b/>
                <w:bCs/>
                <w:color w:val="000000"/>
                <w:kern w:val="0"/>
              </w:rPr>
              <w:t>具体要求</w:t>
            </w:r>
          </w:p>
        </w:tc>
      </w:tr>
      <w:tr>
        <w:tblPrEx>
          <w:tblCellMar>
            <w:top w:w="0" w:type="dxa"/>
            <w:left w:w="0" w:type="dxa"/>
            <w:bottom w:w="0" w:type="dxa"/>
            <w:right w:w="0" w:type="dxa"/>
          </w:tblCellMar>
        </w:tblPrEx>
        <w:trPr>
          <w:trHeight w:val="35" w:hRule="atLeast"/>
          <w:jc w:val="center"/>
        </w:trPr>
        <w:tc>
          <w:tcPr>
            <w:tcW w:w="16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宋体"/>
                <w:color w:val="000000"/>
              </w:rPr>
            </w:pPr>
            <w:r>
              <w:rPr>
                <w:rFonts w:ascii="宋体" w:hAnsi="宋体" w:cs="宋体"/>
                <w:color w:val="000000"/>
                <w:kern w:val="0"/>
              </w:rPr>
              <w:t>部署要求</w:t>
            </w:r>
          </w:p>
        </w:tc>
        <w:tc>
          <w:tcPr>
            <w:tcW w:w="62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RA/CA系统能够部署在云端虚拟机中，并且能与应用系统配合完成基于证书的身份认证及相应证书管理功能；</w:t>
            </w:r>
          </w:p>
        </w:tc>
      </w:tr>
      <w:tr>
        <w:tblPrEx>
          <w:tblCellMar>
            <w:top w:w="0" w:type="dxa"/>
            <w:left w:w="0" w:type="dxa"/>
            <w:bottom w:w="0" w:type="dxa"/>
            <w:right w:w="0" w:type="dxa"/>
          </w:tblCellMar>
        </w:tblPrEx>
        <w:trPr>
          <w:trHeight w:val="35" w:hRule="atLeast"/>
          <w:jc w:val="center"/>
        </w:trPr>
        <w:tc>
          <w:tcPr>
            <w:tcW w:w="1619"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cs="宋体"/>
                <w:color w:val="000000"/>
              </w:rPr>
            </w:pPr>
            <w:r>
              <w:rPr>
                <w:rFonts w:ascii="宋体" w:hAnsi="宋体" w:cs="宋体"/>
                <w:color w:val="000000"/>
              </w:rPr>
              <w:t>功能要求</w:t>
            </w:r>
          </w:p>
        </w:tc>
        <w:tc>
          <w:tcPr>
            <w:tcW w:w="62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访问控制：实现基于身份的访问控制，阻止对信息资源的非授权使用。</w:t>
            </w:r>
          </w:p>
        </w:tc>
      </w:tr>
      <w:tr>
        <w:tblPrEx>
          <w:tblCellMar>
            <w:top w:w="0" w:type="dxa"/>
            <w:left w:w="0" w:type="dxa"/>
            <w:bottom w:w="0" w:type="dxa"/>
            <w:right w:w="0" w:type="dxa"/>
          </w:tblCellMar>
        </w:tblPrEx>
        <w:trPr>
          <w:trHeight w:val="35" w:hRule="atLeast"/>
          <w:jc w:val="center"/>
        </w:trPr>
        <w:tc>
          <w:tcPr>
            <w:tcW w:w="1619"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62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身份生命周期管理：包括对用户身份的赋予、变更、冻结、注销等全生命周期进行管理。</w:t>
            </w:r>
          </w:p>
        </w:tc>
      </w:tr>
      <w:tr>
        <w:tblPrEx>
          <w:tblCellMar>
            <w:top w:w="0" w:type="dxa"/>
            <w:left w:w="0" w:type="dxa"/>
            <w:bottom w:w="0" w:type="dxa"/>
            <w:right w:w="0" w:type="dxa"/>
          </w:tblCellMar>
        </w:tblPrEx>
        <w:trPr>
          <w:trHeight w:val="35" w:hRule="atLeast"/>
          <w:jc w:val="center"/>
        </w:trPr>
        <w:tc>
          <w:tcPr>
            <w:tcW w:w="1619"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62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信息保密性功能：对身份数据和访问控制信息进行保护,非授权用户无法得到用户身份信息。</w:t>
            </w:r>
          </w:p>
        </w:tc>
      </w:tr>
      <w:tr>
        <w:tblPrEx>
          <w:tblCellMar>
            <w:top w:w="0" w:type="dxa"/>
            <w:left w:w="0" w:type="dxa"/>
            <w:bottom w:w="0" w:type="dxa"/>
            <w:right w:w="0" w:type="dxa"/>
          </w:tblCellMar>
        </w:tblPrEx>
        <w:trPr>
          <w:trHeight w:val="35" w:hRule="atLeast"/>
          <w:jc w:val="center"/>
        </w:trPr>
        <w:tc>
          <w:tcPr>
            <w:tcW w:w="1619"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62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提供基于数字签名的日志记录和审计功能。</w:t>
            </w:r>
          </w:p>
        </w:tc>
      </w:tr>
      <w:tr>
        <w:tblPrEx>
          <w:tblCellMar>
            <w:top w:w="0" w:type="dxa"/>
            <w:left w:w="0" w:type="dxa"/>
            <w:bottom w:w="0" w:type="dxa"/>
            <w:right w:w="0" w:type="dxa"/>
          </w:tblCellMar>
        </w:tblPrEx>
        <w:trPr>
          <w:trHeight w:val="35" w:hRule="atLeast"/>
          <w:jc w:val="center"/>
        </w:trPr>
        <w:tc>
          <w:tcPr>
            <w:tcW w:w="16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宋体"/>
                <w:color w:val="000000"/>
              </w:rPr>
            </w:pPr>
            <w:r>
              <w:rPr>
                <w:rFonts w:ascii="宋体" w:hAnsi="宋体" w:cs="宋体"/>
                <w:color w:val="000000"/>
                <w:kern w:val="0"/>
              </w:rPr>
              <w:t>监管要求</w:t>
            </w:r>
          </w:p>
        </w:tc>
        <w:tc>
          <w:tcPr>
            <w:tcW w:w="62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支持RA/CA系统运行状态监控，包括服务正常运行情况、业务连接数、签章使用率等状态，提供信息提取接口便于第三方网络管理软件进行信息提取；</w:t>
            </w:r>
          </w:p>
        </w:tc>
      </w:tr>
      <w:tr>
        <w:tblPrEx>
          <w:tblCellMar>
            <w:top w:w="0" w:type="dxa"/>
            <w:left w:w="0" w:type="dxa"/>
            <w:bottom w:w="0" w:type="dxa"/>
            <w:right w:w="0" w:type="dxa"/>
          </w:tblCellMar>
        </w:tblPrEx>
        <w:trPr>
          <w:trHeight w:val="35" w:hRule="atLeast"/>
          <w:jc w:val="center"/>
        </w:trPr>
        <w:tc>
          <w:tcPr>
            <w:tcW w:w="16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宋体"/>
                <w:color w:val="000000"/>
              </w:rPr>
            </w:pPr>
            <w:r>
              <w:rPr>
                <w:rFonts w:ascii="宋体" w:hAnsi="宋体" w:cs="宋体"/>
                <w:color w:val="000000"/>
                <w:kern w:val="0"/>
              </w:rPr>
              <w:t>可靠性要求</w:t>
            </w:r>
          </w:p>
        </w:tc>
        <w:tc>
          <w:tcPr>
            <w:tcW w:w="62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具备完善的多机并行能力及容错能力，支持负载均衡，可以保证在一台物理机器出现问题时，RA/CA服务能够漂移至其他物理机，不影响业务系统的正常运行。</w:t>
            </w:r>
          </w:p>
        </w:tc>
      </w:tr>
      <w:tr>
        <w:tblPrEx>
          <w:tblCellMar>
            <w:top w:w="0" w:type="dxa"/>
            <w:left w:w="0" w:type="dxa"/>
            <w:bottom w:w="0" w:type="dxa"/>
            <w:right w:w="0" w:type="dxa"/>
          </w:tblCellMar>
        </w:tblPrEx>
        <w:trPr>
          <w:trHeight w:val="35" w:hRule="atLeast"/>
          <w:jc w:val="center"/>
        </w:trPr>
        <w:tc>
          <w:tcPr>
            <w:tcW w:w="1619"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rPr>
                <w:rFonts w:ascii="宋体" w:hAnsi="宋体" w:cs="宋体"/>
                <w:color w:val="000000"/>
              </w:rPr>
            </w:pPr>
            <w:r>
              <w:rPr>
                <w:rFonts w:ascii="宋体" w:hAnsi="宋体" w:cs="宋体"/>
                <w:color w:val="000000"/>
              </w:rPr>
              <w:t>密评要求</w:t>
            </w:r>
          </w:p>
        </w:tc>
        <w:tc>
          <w:tcPr>
            <w:tcW w:w="62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RA/CA系统的访问控制信息、日志信息能够进行基于商用密码算法的完整性保护。</w:t>
            </w:r>
          </w:p>
        </w:tc>
      </w:tr>
      <w:tr>
        <w:tblPrEx>
          <w:tblCellMar>
            <w:top w:w="0" w:type="dxa"/>
            <w:left w:w="0" w:type="dxa"/>
            <w:bottom w:w="0" w:type="dxa"/>
            <w:right w:w="0" w:type="dxa"/>
          </w:tblCellMar>
        </w:tblPrEx>
        <w:trPr>
          <w:trHeight w:val="35" w:hRule="atLeast"/>
          <w:jc w:val="center"/>
        </w:trPr>
        <w:tc>
          <w:tcPr>
            <w:tcW w:w="1619"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pPr>
              <w:ind w:firstLine="420" w:firstLineChars="200"/>
              <w:jc w:val="center"/>
              <w:rPr>
                <w:rFonts w:ascii="宋体" w:hAnsi="宋体" w:cs="宋体"/>
                <w:color w:val="000000"/>
              </w:rPr>
            </w:pPr>
          </w:p>
        </w:tc>
        <w:tc>
          <w:tcPr>
            <w:tcW w:w="62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RA/CA与其他应用程序之间的重要数据传输应采用商用密码算法进行机密性和完整性保护；</w:t>
            </w:r>
          </w:p>
        </w:tc>
      </w:tr>
    </w:tbl>
    <w:p/>
    <w:tbl>
      <w:tblPr>
        <w:tblStyle w:val="12"/>
        <w:tblW w:w="79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610"/>
        <w:gridCol w:w="63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jc w:val="center"/>
        </w:trPr>
        <w:tc>
          <w:tcPr>
            <w:tcW w:w="7911" w:type="dxa"/>
            <w:gridSpan w:val="2"/>
            <w:tcMar>
              <w:top w:w="15" w:type="dxa"/>
              <w:left w:w="15" w:type="dxa"/>
              <w:right w:w="15" w:type="dxa"/>
            </w:tcMar>
            <w:vAlign w:val="center"/>
          </w:tcPr>
          <w:p>
            <w:pPr>
              <w:ind w:firstLine="211" w:firstLineChars="100"/>
              <w:textAlignment w:val="center"/>
              <w:rPr>
                <w:rFonts w:ascii="宋体" w:hAnsi="宋体" w:cs="宋体"/>
                <w:b/>
                <w:bCs/>
                <w:color w:val="000000"/>
                <w:kern w:val="0"/>
              </w:rPr>
            </w:pPr>
            <w:r>
              <w:rPr>
                <w:rFonts w:ascii="宋体" w:hAnsi="宋体" w:cs="宋体"/>
                <w:b/>
                <w:bCs/>
                <w:color w:val="000000"/>
                <w:kern w:val="0"/>
              </w:rPr>
              <w:t>用途：密码服务管理平台系统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jc w:val="center"/>
        </w:trPr>
        <w:tc>
          <w:tcPr>
            <w:tcW w:w="1610" w:type="dxa"/>
            <w:shd w:val="clear" w:color="auto" w:fill="D9D9D9"/>
            <w:tcMar>
              <w:top w:w="15" w:type="dxa"/>
              <w:left w:w="15" w:type="dxa"/>
              <w:right w:w="15" w:type="dxa"/>
            </w:tcMar>
            <w:vAlign w:val="center"/>
          </w:tcPr>
          <w:p>
            <w:pPr>
              <w:jc w:val="center"/>
              <w:textAlignment w:val="center"/>
              <w:rPr>
                <w:rFonts w:ascii="宋体" w:hAnsi="宋体" w:cs="宋体"/>
                <w:b/>
                <w:bCs/>
                <w:color w:val="000000"/>
              </w:rPr>
            </w:pPr>
            <w:r>
              <w:rPr>
                <w:rFonts w:ascii="宋体" w:hAnsi="宋体" w:cs="宋体"/>
                <w:b/>
                <w:bCs/>
                <w:color w:val="000000"/>
                <w:kern w:val="0"/>
              </w:rPr>
              <w:t>要求</w:t>
            </w:r>
          </w:p>
        </w:tc>
        <w:tc>
          <w:tcPr>
            <w:tcW w:w="6301" w:type="dxa"/>
            <w:shd w:val="clear" w:color="auto" w:fill="D9D9D9"/>
            <w:tcMar>
              <w:top w:w="15" w:type="dxa"/>
              <w:left w:w="15" w:type="dxa"/>
              <w:right w:w="15" w:type="dxa"/>
            </w:tcMar>
            <w:vAlign w:val="center"/>
          </w:tcPr>
          <w:p>
            <w:pPr>
              <w:jc w:val="center"/>
              <w:textAlignment w:val="center"/>
              <w:rPr>
                <w:rFonts w:ascii="宋体" w:hAnsi="宋体" w:cs="宋体"/>
                <w:b/>
                <w:bCs/>
                <w:color w:val="000000"/>
              </w:rPr>
            </w:pPr>
            <w:r>
              <w:rPr>
                <w:rFonts w:ascii="宋体" w:hAnsi="宋体" w:cs="宋体"/>
                <w:b/>
                <w:bCs/>
                <w:color w:val="000000"/>
                <w:kern w:val="0"/>
              </w:rPr>
              <w:t>具体要求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 w:hRule="atLeast"/>
          <w:jc w:val="center"/>
        </w:trPr>
        <w:tc>
          <w:tcPr>
            <w:tcW w:w="1610" w:type="dxa"/>
            <w:tcMar>
              <w:top w:w="15" w:type="dxa"/>
              <w:left w:w="15" w:type="dxa"/>
              <w:right w:w="15" w:type="dxa"/>
            </w:tcMar>
            <w:vAlign w:val="center"/>
          </w:tcPr>
          <w:p>
            <w:pPr>
              <w:textAlignment w:val="center"/>
              <w:rPr>
                <w:rFonts w:ascii="宋体" w:hAnsi="宋体" w:cs="宋体"/>
                <w:color w:val="000000"/>
              </w:rPr>
            </w:pPr>
            <w:r>
              <w:rPr>
                <w:rFonts w:ascii="宋体" w:hAnsi="宋体" w:cs="宋体"/>
                <w:color w:val="000000"/>
                <w:kern w:val="0"/>
              </w:rPr>
              <w:t>资质要求</w:t>
            </w:r>
          </w:p>
        </w:tc>
        <w:tc>
          <w:tcPr>
            <w:tcW w:w="6301" w:type="dxa"/>
            <w:tcMar>
              <w:top w:w="15" w:type="dxa"/>
              <w:left w:w="15" w:type="dxa"/>
              <w:right w:w="15" w:type="dxa"/>
            </w:tcMar>
            <w:vAlign w:val="center"/>
          </w:tcPr>
          <w:p>
            <w:pPr>
              <w:textAlignment w:val="center"/>
              <w:rPr>
                <w:rFonts w:ascii="宋体" w:hAnsi="宋体" w:cs="楷体"/>
                <w:color w:val="000000"/>
              </w:rPr>
            </w:pPr>
            <w:r>
              <w:rPr>
                <w:rFonts w:ascii="宋体" w:hAnsi="宋体" w:cs="楷体"/>
                <w:color w:val="000000"/>
                <w:kern w:val="0"/>
              </w:rPr>
              <w:t>产品具有国家密码管理局颁发的《商用密码产品型号证书》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 w:hRule="atLeast"/>
          <w:jc w:val="center"/>
        </w:trPr>
        <w:tc>
          <w:tcPr>
            <w:tcW w:w="1610" w:type="dxa"/>
            <w:tcMar>
              <w:top w:w="15" w:type="dxa"/>
              <w:left w:w="15" w:type="dxa"/>
              <w:right w:w="15" w:type="dxa"/>
            </w:tcMar>
            <w:vAlign w:val="center"/>
          </w:tcPr>
          <w:p>
            <w:pPr>
              <w:textAlignment w:val="center"/>
              <w:rPr>
                <w:rFonts w:ascii="宋体" w:hAnsi="宋体" w:cs="宋体"/>
                <w:color w:val="000000"/>
              </w:rPr>
            </w:pPr>
            <w:r>
              <w:rPr>
                <w:rFonts w:ascii="宋体" w:hAnsi="宋体" w:cs="宋体"/>
                <w:color w:val="000000"/>
                <w:kern w:val="0"/>
              </w:rPr>
              <w:t>部署要求</w:t>
            </w:r>
          </w:p>
        </w:tc>
        <w:tc>
          <w:tcPr>
            <w:tcW w:w="6301" w:type="dxa"/>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支持云环境部署，可集中部署和分布式部署；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 w:hRule="atLeast"/>
          <w:jc w:val="center"/>
        </w:trPr>
        <w:tc>
          <w:tcPr>
            <w:tcW w:w="1610" w:type="dxa"/>
            <w:vMerge w:val="restart"/>
            <w:tcMar>
              <w:top w:w="15" w:type="dxa"/>
              <w:left w:w="15" w:type="dxa"/>
              <w:right w:w="15" w:type="dxa"/>
            </w:tcMar>
            <w:vAlign w:val="center"/>
          </w:tcPr>
          <w:p>
            <w:pPr>
              <w:textAlignment w:val="center"/>
              <w:rPr>
                <w:rFonts w:ascii="宋体" w:hAnsi="宋体" w:cs="宋体"/>
                <w:color w:val="000000"/>
              </w:rPr>
            </w:pPr>
            <w:r>
              <w:rPr>
                <w:rFonts w:ascii="宋体" w:hAnsi="宋体" w:cs="宋体"/>
                <w:color w:val="000000"/>
                <w:kern w:val="0"/>
              </w:rPr>
              <w:t>功能要求</w:t>
            </w:r>
          </w:p>
        </w:tc>
        <w:tc>
          <w:tcPr>
            <w:tcW w:w="6301" w:type="dxa"/>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支持虚拟密码机、签名验签服务、时间戳服务、电子签章服务的动态添加删除功能；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 w:hRule="atLeast"/>
          <w:jc w:val="center"/>
        </w:trPr>
        <w:tc>
          <w:tcPr>
            <w:tcW w:w="1610" w:type="dxa"/>
            <w:vMerge w:val="continue"/>
            <w:tcMar>
              <w:top w:w="15" w:type="dxa"/>
              <w:left w:w="15" w:type="dxa"/>
              <w:right w:w="15" w:type="dxa"/>
            </w:tcMar>
            <w:vAlign w:val="center"/>
          </w:tcPr>
          <w:p>
            <w:pPr>
              <w:ind w:firstLine="420" w:firstLineChars="200"/>
              <w:rPr>
                <w:rFonts w:ascii="宋体" w:hAnsi="宋体" w:cs="宋体"/>
                <w:color w:val="000000"/>
              </w:rPr>
            </w:pPr>
          </w:p>
        </w:tc>
        <w:tc>
          <w:tcPr>
            <w:tcW w:w="6301" w:type="dxa"/>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支持加解密服务、认证服务和完整性保护等密码运算，并支持这些运算的统计功能，且能根据管理需求添加并显示相应统计功能；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 w:hRule="atLeast"/>
          <w:jc w:val="center"/>
        </w:trPr>
        <w:tc>
          <w:tcPr>
            <w:tcW w:w="1610" w:type="dxa"/>
            <w:vMerge w:val="continue"/>
            <w:tcMar>
              <w:top w:w="15" w:type="dxa"/>
              <w:left w:w="15" w:type="dxa"/>
              <w:right w:w="15" w:type="dxa"/>
            </w:tcMar>
            <w:vAlign w:val="center"/>
          </w:tcPr>
          <w:p>
            <w:pPr>
              <w:ind w:firstLine="420" w:firstLineChars="200"/>
              <w:rPr>
                <w:rFonts w:ascii="宋体" w:hAnsi="宋体" w:cs="宋体"/>
                <w:color w:val="000000"/>
              </w:rPr>
            </w:pPr>
          </w:p>
        </w:tc>
        <w:tc>
          <w:tcPr>
            <w:tcW w:w="6301" w:type="dxa"/>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提供虚拟密码设备、密码资源配置、密码资源分组等进行统一管理。支持设备注册、注销、隔离、恢复。设备信息包含IP、端口、部署数据中心、厂商、设备型号、设备序列号、所属系统等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 w:hRule="atLeast"/>
          <w:jc w:val="center"/>
        </w:trPr>
        <w:tc>
          <w:tcPr>
            <w:tcW w:w="1610" w:type="dxa"/>
            <w:vMerge w:val="continue"/>
            <w:tcMar>
              <w:top w:w="15" w:type="dxa"/>
              <w:left w:w="15" w:type="dxa"/>
              <w:right w:w="15" w:type="dxa"/>
            </w:tcMar>
            <w:vAlign w:val="center"/>
          </w:tcPr>
          <w:p>
            <w:pPr>
              <w:ind w:firstLine="420" w:firstLineChars="200"/>
              <w:rPr>
                <w:rFonts w:ascii="宋体" w:hAnsi="宋体" w:cs="宋体"/>
                <w:color w:val="000000"/>
              </w:rPr>
            </w:pPr>
          </w:p>
        </w:tc>
        <w:tc>
          <w:tcPr>
            <w:tcW w:w="6301" w:type="dxa"/>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为业务系统提供底层的密码运算服务支撑，包括密钥访问处理、密码运算等。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 w:hRule="atLeast"/>
          <w:jc w:val="center"/>
        </w:trPr>
        <w:tc>
          <w:tcPr>
            <w:tcW w:w="1610" w:type="dxa"/>
            <w:vMerge w:val="continue"/>
            <w:tcMar>
              <w:top w:w="15" w:type="dxa"/>
              <w:left w:w="15" w:type="dxa"/>
              <w:right w:w="15" w:type="dxa"/>
            </w:tcMar>
            <w:vAlign w:val="center"/>
          </w:tcPr>
          <w:p>
            <w:pPr>
              <w:ind w:firstLine="420" w:firstLineChars="200"/>
              <w:rPr>
                <w:rFonts w:ascii="宋体" w:hAnsi="宋体" w:cs="宋体"/>
                <w:color w:val="000000"/>
              </w:rPr>
            </w:pPr>
          </w:p>
        </w:tc>
        <w:tc>
          <w:tcPr>
            <w:tcW w:w="6301" w:type="dxa"/>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提供密码设备监控功能，包括设备状态、CPU利用率、内存使用情况、磁盘空间、设备服务链接数等。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 w:hRule="atLeast"/>
          <w:jc w:val="center"/>
        </w:trPr>
        <w:tc>
          <w:tcPr>
            <w:tcW w:w="1610" w:type="dxa"/>
            <w:vMerge w:val="restart"/>
            <w:tcMar>
              <w:top w:w="15" w:type="dxa"/>
              <w:left w:w="15" w:type="dxa"/>
              <w:right w:w="15" w:type="dxa"/>
            </w:tcMar>
            <w:vAlign w:val="center"/>
          </w:tcPr>
          <w:p>
            <w:pPr>
              <w:textAlignment w:val="center"/>
              <w:rPr>
                <w:rFonts w:ascii="宋体" w:hAnsi="宋体" w:cs="宋体"/>
                <w:color w:val="000000"/>
              </w:rPr>
            </w:pPr>
            <w:r>
              <w:rPr>
                <w:rFonts w:ascii="宋体" w:hAnsi="宋体" w:cs="宋体"/>
                <w:color w:val="000000"/>
                <w:kern w:val="0"/>
              </w:rPr>
              <w:t>密钥管理要求</w:t>
            </w:r>
          </w:p>
        </w:tc>
        <w:tc>
          <w:tcPr>
            <w:tcW w:w="6301" w:type="dxa"/>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为业务系统及模块提供以密钥生命周期为主线的密钥管理功能，包含密钥的生成、存储、分发、备份、更新、撤销、归档和恢复等信息进行采集、存储、查询及分析等；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 w:hRule="atLeast"/>
          <w:jc w:val="center"/>
        </w:trPr>
        <w:tc>
          <w:tcPr>
            <w:tcW w:w="1610" w:type="dxa"/>
            <w:vMerge w:val="continue"/>
            <w:tcMar>
              <w:top w:w="15" w:type="dxa"/>
              <w:left w:w="15" w:type="dxa"/>
              <w:right w:w="15" w:type="dxa"/>
            </w:tcMar>
            <w:vAlign w:val="center"/>
          </w:tcPr>
          <w:p>
            <w:pPr>
              <w:ind w:firstLine="420" w:firstLineChars="200"/>
              <w:rPr>
                <w:rFonts w:ascii="宋体" w:hAnsi="宋体" w:cs="宋体"/>
                <w:color w:val="000000"/>
              </w:rPr>
            </w:pPr>
          </w:p>
        </w:tc>
        <w:tc>
          <w:tcPr>
            <w:tcW w:w="6301" w:type="dxa"/>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持密钥同步服务功能，多个密钥管理系统之间具有密钥同步功能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 w:hRule="atLeast"/>
          <w:jc w:val="center"/>
        </w:trPr>
        <w:tc>
          <w:tcPr>
            <w:tcW w:w="1610" w:type="dxa"/>
            <w:vMerge w:val="continue"/>
            <w:tcMar>
              <w:top w:w="15" w:type="dxa"/>
              <w:left w:w="15" w:type="dxa"/>
              <w:right w:w="15" w:type="dxa"/>
            </w:tcMar>
            <w:vAlign w:val="center"/>
          </w:tcPr>
          <w:p>
            <w:pPr>
              <w:ind w:firstLine="420" w:firstLineChars="200"/>
              <w:rPr>
                <w:rFonts w:ascii="宋体" w:hAnsi="宋体" w:cs="宋体"/>
                <w:color w:val="000000"/>
              </w:rPr>
            </w:pPr>
          </w:p>
        </w:tc>
        <w:tc>
          <w:tcPr>
            <w:tcW w:w="6301" w:type="dxa"/>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所有密钥需按照国家采购人认可的密钥生成方法产生，不使用软件、人工等伪随机数方法产生；密钥生成装置需为硬件设备；能生成高质量随机数、对称密钥和非对称密钥；必须以加密方式导出密钥生成装置的密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 w:hRule="atLeast"/>
          <w:jc w:val="center"/>
        </w:trPr>
        <w:tc>
          <w:tcPr>
            <w:tcW w:w="1610" w:type="dxa"/>
            <w:vMerge w:val="continue"/>
            <w:tcMar>
              <w:top w:w="15" w:type="dxa"/>
              <w:left w:w="15" w:type="dxa"/>
              <w:right w:w="15" w:type="dxa"/>
            </w:tcMar>
            <w:vAlign w:val="center"/>
          </w:tcPr>
          <w:p>
            <w:pPr>
              <w:ind w:firstLine="420" w:firstLineChars="200"/>
              <w:rPr>
                <w:rFonts w:ascii="宋体" w:hAnsi="宋体" w:cs="宋体"/>
                <w:color w:val="000000"/>
              </w:rPr>
            </w:pPr>
          </w:p>
        </w:tc>
        <w:tc>
          <w:tcPr>
            <w:tcW w:w="6301" w:type="dxa"/>
            <w:tcMar>
              <w:top w:w="15" w:type="dxa"/>
              <w:left w:w="15" w:type="dxa"/>
              <w:right w:w="15" w:type="dxa"/>
            </w:tcMar>
            <w:vAlign w:val="center"/>
          </w:tcPr>
          <w:p>
            <w:pPr>
              <w:textAlignment w:val="center"/>
              <w:rPr>
                <w:rFonts w:ascii="宋体" w:hAnsi="宋体" w:cs="楷体"/>
                <w:color w:val="000000"/>
                <w:kern w:val="0"/>
              </w:rPr>
            </w:pPr>
            <w:r>
              <w:rPr>
                <w:rFonts w:ascii="宋体" w:hAnsi="宋体" w:cs="楷体"/>
                <w:color w:val="000000"/>
                <w:kern w:val="0"/>
              </w:rPr>
              <w:t>支持密钥同步服务功能，多个密钥管理系统之间具有密钥同步功能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 w:hRule="atLeast"/>
          <w:jc w:val="center"/>
        </w:trPr>
        <w:tc>
          <w:tcPr>
            <w:tcW w:w="1610" w:type="dxa"/>
            <w:tcMar>
              <w:top w:w="15" w:type="dxa"/>
              <w:left w:w="15" w:type="dxa"/>
              <w:right w:w="15" w:type="dxa"/>
            </w:tcMar>
            <w:vAlign w:val="center"/>
          </w:tcPr>
          <w:p>
            <w:pPr>
              <w:textAlignment w:val="center"/>
              <w:rPr>
                <w:rFonts w:ascii="宋体" w:hAnsi="宋体" w:cs="宋体"/>
                <w:color w:val="000000"/>
              </w:rPr>
            </w:pPr>
            <w:r>
              <w:rPr>
                <w:rFonts w:ascii="宋体" w:hAnsi="宋体" w:cs="宋体"/>
                <w:color w:val="000000"/>
                <w:kern w:val="0"/>
              </w:rPr>
              <w:t>监管要求</w:t>
            </w:r>
          </w:p>
        </w:tc>
        <w:tc>
          <w:tcPr>
            <w:tcW w:w="6301" w:type="dxa"/>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支持云密码机集群管理，支持虚拟密码机、签名验签服务、时间戳服务、电子签章服务资源池管理和监控；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 w:hRule="atLeast"/>
          <w:jc w:val="center"/>
        </w:trPr>
        <w:tc>
          <w:tcPr>
            <w:tcW w:w="1610" w:type="dxa"/>
            <w:tcMar>
              <w:top w:w="15" w:type="dxa"/>
              <w:left w:w="15" w:type="dxa"/>
              <w:right w:w="15" w:type="dxa"/>
            </w:tcMar>
            <w:vAlign w:val="center"/>
          </w:tcPr>
          <w:p>
            <w:pPr>
              <w:textAlignment w:val="center"/>
              <w:rPr>
                <w:rFonts w:ascii="宋体" w:hAnsi="宋体" w:cs="宋体"/>
                <w:color w:val="000000"/>
              </w:rPr>
            </w:pPr>
            <w:r>
              <w:rPr>
                <w:rFonts w:ascii="宋体" w:hAnsi="宋体" w:cs="宋体"/>
                <w:color w:val="000000"/>
                <w:kern w:val="0"/>
              </w:rPr>
              <w:t>可靠性要求</w:t>
            </w:r>
          </w:p>
        </w:tc>
        <w:tc>
          <w:tcPr>
            <w:tcW w:w="6301" w:type="dxa"/>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支持将密码服务协议转换处理完成后得到的服务请求分发到负载均衡模块，支持加密设备之间的业务负载功能，业务请求采用轮转调度算法实现负载均衡。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 w:hRule="atLeast"/>
          <w:jc w:val="center"/>
        </w:trPr>
        <w:tc>
          <w:tcPr>
            <w:tcW w:w="1610" w:type="dxa"/>
            <w:vMerge w:val="restart"/>
            <w:tcMar>
              <w:top w:w="15" w:type="dxa"/>
              <w:left w:w="15" w:type="dxa"/>
              <w:right w:w="15" w:type="dxa"/>
            </w:tcMar>
            <w:vAlign w:val="center"/>
          </w:tcPr>
          <w:p>
            <w:pPr>
              <w:textAlignment w:val="center"/>
              <w:rPr>
                <w:rFonts w:ascii="宋体" w:hAnsi="宋体" w:cs="宋体"/>
                <w:color w:val="000000"/>
              </w:rPr>
            </w:pPr>
            <w:r>
              <w:rPr>
                <w:rFonts w:ascii="宋体" w:hAnsi="宋体" w:cs="宋体"/>
                <w:color w:val="000000"/>
                <w:kern w:val="0"/>
              </w:rPr>
              <w:t>密评要求</w:t>
            </w:r>
          </w:p>
        </w:tc>
        <w:tc>
          <w:tcPr>
            <w:tcW w:w="6301" w:type="dxa"/>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承载密码管理服务平台的虚拟机，其运维管理支持集中的安全管理通道，其身份认证基于商密证书的强身份认证或支持基于商用密码算法的信任链；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 w:hRule="atLeast"/>
          <w:jc w:val="center"/>
        </w:trPr>
        <w:tc>
          <w:tcPr>
            <w:tcW w:w="1610" w:type="dxa"/>
            <w:vMerge w:val="continue"/>
            <w:tcMar>
              <w:top w:w="15" w:type="dxa"/>
              <w:left w:w="15" w:type="dxa"/>
              <w:right w:w="15" w:type="dxa"/>
            </w:tcMar>
            <w:vAlign w:val="center"/>
          </w:tcPr>
          <w:p>
            <w:pPr>
              <w:ind w:firstLine="420" w:firstLineChars="200"/>
              <w:rPr>
                <w:rFonts w:ascii="宋体" w:hAnsi="宋体" w:cs="宋体"/>
                <w:color w:val="000000"/>
              </w:rPr>
            </w:pPr>
          </w:p>
        </w:tc>
        <w:tc>
          <w:tcPr>
            <w:tcW w:w="6301" w:type="dxa"/>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密码管理服务平台的访问控制信息、日志信息能够进行基于商用密码算法的完整性保护。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 w:hRule="atLeast"/>
          <w:jc w:val="center"/>
        </w:trPr>
        <w:tc>
          <w:tcPr>
            <w:tcW w:w="1610" w:type="dxa"/>
            <w:vMerge w:val="continue"/>
            <w:tcMar>
              <w:top w:w="15" w:type="dxa"/>
              <w:left w:w="15" w:type="dxa"/>
              <w:right w:w="15" w:type="dxa"/>
            </w:tcMar>
            <w:vAlign w:val="center"/>
          </w:tcPr>
          <w:p>
            <w:pPr>
              <w:ind w:firstLine="420" w:firstLineChars="200"/>
              <w:rPr>
                <w:rFonts w:ascii="宋体" w:hAnsi="宋体" w:cs="宋体"/>
                <w:color w:val="000000"/>
              </w:rPr>
            </w:pPr>
          </w:p>
        </w:tc>
        <w:tc>
          <w:tcPr>
            <w:tcW w:w="6301" w:type="dxa"/>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密码管理服务平台应用程序与服务申请应用、云密码机之间的数据传输应采用商用密码算法进行机密性和完整性保护；</w:t>
            </w:r>
          </w:p>
        </w:tc>
      </w:tr>
      <w:bookmarkEnd w:id="36"/>
    </w:tbl>
    <w:p/>
    <w:tbl>
      <w:tblPr>
        <w:tblStyle w:val="12"/>
        <w:tblW w:w="4691" w:type="pct"/>
        <w:jc w:val="center"/>
        <w:tblLayout w:type="fixed"/>
        <w:tblCellMar>
          <w:top w:w="0" w:type="dxa"/>
          <w:left w:w="0" w:type="dxa"/>
          <w:bottom w:w="0" w:type="dxa"/>
          <w:right w:w="0" w:type="dxa"/>
        </w:tblCellMar>
      </w:tblPr>
      <w:tblGrid>
        <w:gridCol w:w="1099"/>
        <w:gridCol w:w="978"/>
        <w:gridCol w:w="5744"/>
      </w:tblGrid>
      <w:tr>
        <w:tblPrEx>
          <w:tblCellMar>
            <w:top w:w="0" w:type="dxa"/>
            <w:left w:w="0" w:type="dxa"/>
            <w:bottom w:w="0" w:type="dxa"/>
            <w:right w:w="0" w:type="dxa"/>
          </w:tblCellMar>
        </w:tblPrEx>
        <w:trPr>
          <w:trHeight w:val="270"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ind w:firstLine="422" w:firstLineChars="200"/>
              <w:textAlignment w:val="center"/>
              <w:rPr>
                <w:rFonts w:ascii="宋体" w:hAnsi="宋体" w:cs="宋体 ( 正文 )"/>
                <w:b/>
                <w:bCs/>
                <w:color w:val="000000"/>
                <w:kern w:val="0"/>
              </w:rPr>
            </w:pPr>
            <w:r>
              <w:rPr>
                <w:rFonts w:ascii="宋体" w:hAnsi="宋体" w:cs="宋体 ( 正文 )"/>
                <w:b/>
                <w:bCs/>
                <w:color w:val="000000"/>
                <w:kern w:val="0"/>
              </w:rPr>
              <w:t>用途：密码评估系统</w:t>
            </w:r>
          </w:p>
        </w:tc>
      </w:tr>
      <w:tr>
        <w:tblPrEx>
          <w:tblCellMar>
            <w:top w:w="0" w:type="dxa"/>
            <w:left w:w="0" w:type="dxa"/>
            <w:bottom w:w="0" w:type="dxa"/>
            <w:right w:w="0" w:type="dxa"/>
          </w:tblCellMar>
        </w:tblPrEx>
        <w:trPr>
          <w:trHeight w:val="270" w:hRule="atLeast"/>
          <w:jc w:val="center"/>
        </w:trPr>
        <w:tc>
          <w:tcPr>
            <w:tcW w:w="703" w:type="pct"/>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vAlign w:val="center"/>
          </w:tcPr>
          <w:p>
            <w:pPr>
              <w:jc w:val="center"/>
              <w:textAlignment w:val="center"/>
              <w:rPr>
                <w:rFonts w:ascii="宋体" w:hAnsi="宋体" w:cs="宋体"/>
                <w:b/>
                <w:bCs/>
                <w:color w:val="000000"/>
              </w:rPr>
            </w:pPr>
            <w:r>
              <w:rPr>
                <w:rFonts w:ascii="宋体" w:hAnsi="宋体" w:cs="宋体"/>
                <w:b/>
                <w:bCs/>
                <w:color w:val="000000"/>
              </w:rPr>
              <w:t>规格</w:t>
            </w:r>
          </w:p>
        </w:tc>
        <w:tc>
          <w:tcPr>
            <w:tcW w:w="4297" w:type="pct"/>
            <w:gridSpan w:val="2"/>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vAlign w:val="center"/>
          </w:tcPr>
          <w:p>
            <w:pPr>
              <w:jc w:val="center"/>
              <w:textAlignment w:val="center"/>
              <w:rPr>
                <w:rFonts w:ascii="宋体" w:hAnsi="宋体" w:cs="宋体"/>
                <w:b/>
                <w:bCs/>
                <w:color w:val="000000"/>
                <w:kern w:val="0"/>
              </w:rPr>
            </w:pPr>
            <w:r>
              <w:rPr>
                <w:rFonts w:ascii="宋体" w:hAnsi="宋体" w:cs="宋体"/>
                <w:b/>
                <w:bCs/>
                <w:color w:val="000000"/>
                <w:kern w:val="0"/>
              </w:rPr>
              <w:t>指标要求</w:t>
            </w:r>
          </w:p>
        </w:tc>
      </w:tr>
      <w:tr>
        <w:tblPrEx>
          <w:tblCellMar>
            <w:top w:w="0" w:type="dxa"/>
            <w:left w:w="0" w:type="dxa"/>
            <w:bottom w:w="0" w:type="dxa"/>
            <w:right w:w="0" w:type="dxa"/>
          </w:tblCellMar>
        </w:tblPrEx>
        <w:trPr>
          <w:trHeight w:val="270" w:hRule="atLeast"/>
          <w:jc w:val="center"/>
        </w:trPr>
        <w:tc>
          <w:tcPr>
            <w:tcW w:w="703" w:type="pct"/>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textAlignment w:val="center"/>
              <w:rPr>
                <w:rFonts w:ascii="宋体" w:hAnsi="宋体" w:cs="宋体"/>
                <w:color w:val="000000"/>
              </w:rPr>
            </w:pPr>
            <w:r>
              <w:rPr>
                <w:rFonts w:ascii="宋体" w:hAnsi="宋体" w:cs="宋体"/>
                <w:color w:val="000000"/>
                <w:kern w:val="0"/>
              </w:rPr>
              <w:t>根据密评要求和相关解答定义出对应的密码风险符合度报告，用户可自行进行密评符合度评估</w:t>
            </w:r>
          </w:p>
        </w:tc>
        <w:tc>
          <w:tcPr>
            <w:tcW w:w="62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宋体"/>
                <w:color w:val="000000"/>
                <w:kern w:val="0"/>
              </w:rPr>
            </w:pPr>
            <w:r>
              <w:rPr>
                <w:rFonts w:ascii="宋体" w:hAnsi="宋体" w:cs="宋体"/>
                <w:color w:val="000000"/>
                <w:kern w:val="0"/>
              </w:rPr>
              <w:t>总体要求评估功能</w:t>
            </w:r>
          </w:p>
        </w:tc>
        <w:tc>
          <w:tcPr>
            <w:tcW w:w="367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宋体 ( 正文 )"/>
                <w:color w:val="000000"/>
                <w:kern w:val="0"/>
              </w:rPr>
            </w:pPr>
            <w:r>
              <w:rPr>
                <w:rFonts w:ascii="宋体" w:hAnsi="宋体" w:cs="宋体 ( 正文 )"/>
                <w:color w:val="000000"/>
                <w:kern w:val="0"/>
              </w:rPr>
              <w:t>总体要求评估模块：对密码算法，密码技术，密码产品，密码服务进行安全符合度评估</w:t>
            </w:r>
          </w:p>
        </w:tc>
      </w:tr>
      <w:tr>
        <w:tblPrEx>
          <w:tblCellMar>
            <w:top w:w="0" w:type="dxa"/>
            <w:left w:w="0" w:type="dxa"/>
            <w:bottom w:w="0" w:type="dxa"/>
            <w:right w:w="0" w:type="dxa"/>
          </w:tblCellMar>
        </w:tblPrEx>
        <w:trPr>
          <w:trHeight w:val="270" w:hRule="atLeast"/>
          <w:jc w:val="center"/>
        </w:trPr>
        <w:tc>
          <w:tcPr>
            <w:tcW w:w="703" w:type="pct"/>
            <w:vMerge w:val="continue"/>
            <w:tcBorders>
              <w:left w:val="single" w:color="000000" w:sz="4" w:space="0"/>
              <w:right w:val="single" w:color="000000" w:sz="4" w:space="0"/>
            </w:tcBorders>
            <w:tcMar>
              <w:top w:w="15" w:type="dxa"/>
              <w:left w:w="15" w:type="dxa"/>
              <w:right w:w="15" w:type="dxa"/>
            </w:tcMar>
            <w:vAlign w:val="center"/>
          </w:tcPr>
          <w:p>
            <w:pPr>
              <w:ind w:firstLine="420" w:firstLineChars="200"/>
              <w:textAlignment w:val="center"/>
              <w:rPr>
                <w:rFonts w:ascii="宋体" w:hAnsi="宋体" w:cs="宋体"/>
                <w:color w:val="000000"/>
                <w:kern w:val="0"/>
              </w:rPr>
            </w:pPr>
          </w:p>
        </w:tc>
        <w:tc>
          <w:tcPr>
            <w:tcW w:w="62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宋体"/>
                <w:color w:val="000000"/>
                <w:kern w:val="0"/>
              </w:rPr>
            </w:pPr>
            <w:r>
              <w:rPr>
                <w:rFonts w:ascii="宋体" w:hAnsi="宋体" w:cs="宋体"/>
                <w:color w:val="000000"/>
                <w:kern w:val="0"/>
              </w:rPr>
              <w:t>密码功能要求评估</w:t>
            </w:r>
          </w:p>
        </w:tc>
        <w:tc>
          <w:tcPr>
            <w:tcW w:w="367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宋体 ( 正文 )"/>
                <w:color w:val="000000"/>
                <w:kern w:val="0"/>
              </w:rPr>
            </w:pPr>
            <w:r>
              <w:rPr>
                <w:rFonts w:ascii="宋体" w:hAnsi="宋体" w:cs="宋体 ( 正文 )"/>
                <w:color w:val="000000"/>
                <w:kern w:val="0"/>
              </w:rPr>
              <w:t>密码功能评估模块：能够对密码功能的机密性，完整性，真实性，不可否认性进行符合度评估</w:t>
            </w:r>
          </w:p>
        </w:tc>
      </w:tr>
      <w:tr>
        <w:tblPrEx>
          <w:tblCellMar>
            <w:top w:w="0" w:type="dxa"/>
            <w:left w:w="0" w:type="dxa"/>
            <w:bottom w:w="0" w:type="dxa"/>
            <w:right w:w="0" w:type="dxa"/>
          </w:tblCellMar>
        </w:tblPrEx>
        <w:trPr>
          <w:trHeight w:val="540" w:hRule="atLeast"/>
          <w:jc w:val="center"/>
        </w:trPr>
        <w:tc>
          <w:tcPr>
            <w:tcW w:w="703" w:type="pct"/>
            <w:vMerge w:val="continue"/>
            <w:tcBorders>
              <w:left w:val="single" w:color="000000" w:sz="4" w:space="0"/>
              <w:right w:val="single" w:color="000000" w:sz="4" w:space="0"/>
            </w:tcBorders>
            <w:tcMar>
              <w:top w:w="15" w:type="dxa"/>
              <w:left w:w="15" w:type="dxa"/>
              <w:right w:w="15" w:type="dxa"/>
            </w:tcMar>
            <w:vAlign w:val="center"/>
          </w:tcPr>
          <w:p>
            <w:pPr>
              <w:textAlignment w:val="center"/>
              <w:rPr>
                <w:rFonts w:ascii="宋体" w:hAnsi="宋体" w:cs="宋体"/>
                <w:color w:val="000000"/>
              </w:rPr>
            </w:pPr>
          </w:p>
        </w:tc>
        <w:tc>
          <w:tcPr>
            <w:tcW w:w="625" w:type="pct"/>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textAlignment w:val="center"/>
              <w:rPr>
                <w:rFonts w:ascii="宋体" w:hAnsi="宋体" w:cs="宋体"/>
                <w:color w:val="000000"/>
                <w:kern w:val="0"/>
              </w:rPr>
            </w:pPr>
            <w:r>
              <w:rPr>
                <w:rFonts w:ascii="宋体" w:hAnsi="宋体" w:cs="宋体"/>
                <w:color w:val="000000"/>
                <w:kern w:val="0"/>
              </w:rPr>
              <w:t>安全管理评估功能</w:t>
            </w:r>
          </w:p>
        </w:tc>
        <w:tc>
          <w:tcPr>
            <w:tcW w:w="367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宋体 ( 正文 )"/>
                <w:color w:val="000000"/>
              </w:rPr>
            </w:pPr>
            <w:r>
              <w:rPr>
                <w:rFonts w:ascii="宋体" w:hAnsi="宋体" w:cs="宋体 ( 正文 )"/>
                <w:color w:val="000000"/>
                <w:kern w:val="0"/>
              </w:rPr>
              <w:t>1.制度评测模块：根据信息系统密码应用基本要求规定，对等级保护二级和三级的标准制定制度管理符合度评测功能</w:t>
            </w:r>
          </w:p>
        </w:tc>
      </w:tr>
      <w:tr>
        <w:tblPrEx>
          <w:tblCellMar>
            <w:top w:w="0" w:type="dxa"/>
            <w:left w:w="0" w:type="dxa"/>
            <w:bottom w:w="0" w:type="dxa"/>
            <w:right w:w="0" w:type="dxa"/>
          </w:tblCellMar>
        </w:tblPrEx>
        <w:trPr>
          <w:trHeight w:val="810" w:hRule="atLeast"/>
          <w:jc w:val="center"/>
        </w:trPr>
        <w:tc>
          <w:tcPr>
            <w:tcW w:w="703" w:type="pct"/>
            <w:vMerge w:val="continue"/>
            <w:tcBorders>
              <w:left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625" w:type="pct"/>
            <w:vMerge w:val="continue"/>
            <w:tcBorders>
              <w:left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367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宋体 ( 正文 )"/>
                <w:color w:val="000000"/>
              </w:rPr>
            </w:pPr>
            <w:r>
              <w:rPr>
                <w:rFonts w:ascii="宋体" w:hAnsi="宋体" w:cs="宋体 ( 正文 )"/>
                <w:color w:val="000000"/>
                <w:kern w:val="0"/>
              </w:rPr>
              <w:t>2.人员评测模块：根据信息系统密码应用基本要求规定，对等级保护二级和三级的标准制定人员管理评测功能</w:t>
            </w:r>
          </w:p>
        </w:tc>
      </w:tr>
      <w:tr>
        <w:trPr>
          <w:trHeight w:val="810" w:hRule="atLeast"/>
          <w:jc w:val="center"/>
        </w:trPr>
        <w:tc>
          <w:tcPr>
            <w:tcW w:w="703" w:type="pct"/>
            <w:vMerge w:val="continue"/>
            <w:tcBorders>
              <w:left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625" w:type="pct"/>
            <w:vMerge w:val="continue"/>
            <w:tcBorders>
              <w:left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367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宋体 ( 正文 )"/>
                <w:color w:val="000000"/>
              </w:rPr>
            </w:pPr>
            <w:r>
              <w:rPr>
                <w:rFonts w:ascii="宋体" w:hAnsi="宋体" w:cs="宋体 ( 正文 )"/>
                <w:color w:val="000000"/>
                <w:kern w:val="0"/>
              </w:rPr>
              <w:t>3.实施评测：根据信息系统密码应用基本要求规定，实现实施管理评测功能模块，涵盖规划，建设，运营三部分</w:t>
            </w:r>
          </w:p>
        </w:tc>
      </w:tr>
      <w:tr>
        <w:tblPrEx>
          <w:tblCellMar>
            <w:top w:w="0" w:type="dxa"/>
            <w:left w:w="0" w:type="dxa"/>
            <w:bottom w:w="0" w:type="dxa"/>
            <w:right w:w="0" w:type="dxa"/>
          </w:tblCellMar>
        </w:tblPrEx>
        <w:trPr>
          <w:trHeight w:val="540" w:hRule="atLeast"/>
          <w:jc w:val="center"/>
        </w:trPr>
        <w:tc>
          <w:tcPr>
            <w:tcW w:w="703" w:type="pct"/>
            <w:vMerge w:val="continue"/>
            <w:tcBorders>
              <w:left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625" w:type="pct"/>
            <w:vMerge w:val="continue"/>
            <w:tcBorders>
              <w:left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367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宋体 ( 正文 )"/>
                <w:color w:val="000000"/>
              </w:rPr>
            </w:pPr>
            <w:r>
              <w:rPr>
                <w:rFonts w:ascii="宋体" w:hAnsi="宋体" w:cs="宋体 ( 正文 )"/>
                <w:color w:val="000000"/>
                <w:kern w:val="0"/>
              </w:rPr>
              <w:t>4.应急评测：根据信息系统密码应用基本要求规定，对等级保护二级和三级的标准制定应急管理符合度评测功能</w:t>
            </w:r>
          </w:p>
        </w:tc>
      </w:tr>
      <w:tr>
        <w:tblPrEx>
          <w:tblCellMar>
            <w:top w:w="0" w:type="dxa"/>
            <w:left w:w="0" w:type="dxa"/>
            <w:bottom w:w="0" w:type="dxa"/>
            <w:right w:w="0" w:type="dxa"/>
          </w:tblCellMar>
        </w:tblPrEx>
        <w:trPr>
          <w:trHeight w:val="540" w:hRule="atLeast"/>
          <w:jc w:val="center"/>
        </w:trPr>
        <w:tc>
          <w:tcPr>
            <w:tcW w:w="703" w:type="pct"/>
            <w:vMerge w:val="continue"/>
            <w:tcBorders>
              <w:left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625" w:type="pct"/>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rPr>
                <w:rFonts w:ascii="宋体" w:hAnsi="宋体" w:cs="宋体"/>
                <w:color w:val="000000"/>
              </w:rPr>
            </w:pPr>
            <w:r>
              <w:rPr>
                <w:rFonts w:ascii="宋体" w:hAnsi="宋体" w:cs="宋体"/>
                <w:color w:val="000000"/>
              </w:rPr>
              <w:t>安全技术评测功能</w:t>
            </w:r>
          </w:p>
        </w:tc>
        <w:tc>
          <w:tcPr>
            <w:tcW w:w="367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宋体 ( 正文 )"/>
                <w:color w:val="000000"/>
                <w:kern w:val="0"/>
              </w:rPr>
            </w:pPr>
            <w:r>
              <w:rPr>
                <w:rFonts w:ascii="宋体" w:hAnsi="宋体" w:cs="宋体 ( 正文 )"/>
                <w:color w:val="000000"/>
                <w:kern w:val="0"/>
              </w:rPr>
              <w:t>1.物理和环境安全评估模块：根据信息系统密码应用基本要求规定，对等级保护二级和三级的标准进行物理和环境安全评估</w:t>
            </w:r>
          </w:p>
        </w:tc>
      </w:tr>
      <w:tr>
        <w:tblPrEx>
          <w:tblCellMar>
            <w:top w:w="0" w:type="dxa"/>
            <w:left w:w="0" w:type="dxa"/>
            <w:bottom w:w="0" w:type="dxa"/>
            <w:right w:w="0" w:type="dxa"/>
          </w:tblCellMar>
        </w:tblPrEx>
        <w:trPr>
          <w:trHeight w:val="680" w:hRule="atLeast"/>
          <w:jc w:val="center"/>
        </w:trPr>
        <w:tc>
          <w:tcPr>
            <w:tcW w:w="703" w:type="pct"/>
            <w:vMerge w:val="continue"/>
            <w:tcBorders>
              <w:left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625" w:type="pct"/>
            <w:vMerge w:val="continue"/>
            <w:tcBorders>
              <w:left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367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宋体 ( 正文 )"/>
                <w:color w:val="000000"/>
                <w:kern w:val="0"/>
              </w:rPr>
            </w:pPr>
            <w:r>
              <w:rPr>
                <w:rFonts w:ascii="宋体" w:hAnsi="宋体" w:cs="宋体 ( 正文 )"/>
                <w:color w:val="000000"/>
                <w:kern w:val="0"/>
              </w:rPr>
              <w:t>2.网络和通信评估模块：根据信息系统密码应用基本要求规定，对等级保护二级和三级的标准进行网络和通信安全评估</w:t>
            </w:r>
          </w:p>
        </w:tc>
      </w:tr>
      <w:tr>
        <w:tblPrEx>
          <w:tblCellMar>
            <w:top w:w="0" w:type="dxa"/>
            <w:left w:w="0" w:type="dxa"/>
            <w:bottom w:w="0" w:type="dxa"/>
            <w:right w:w="0" w:type="dxa"/>
          </w:tblCellMar>
        </w:tblPrEx>
        <w:trPr>
          <w:trHeight w:val="540" w:hRule="atLeast"/>
          <w:jc w:val="center"/>
        </w:trPr>
        <w:tc>
          <w:tcPr>
            <w:tcW w:w="703" w:type="pct"/>
            <w:vMerge w:val="continue"/>
            <w:tcBorders>
              <w:left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625" w:type="pct"/>
            <w:vMerge w:val="continue"/>
            <w:tcBorders>
              <w:left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367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宋体 ( 正文 )"/>
                <w:color w:val="000000"/>
                <w:kern w:val="0"/>
              </w:rPr>
            </w:pPr>
            <w:r>
              <w:rPr>
                <w:rFonts w:ascii="宋体" w:hAnsi="宋体" w:cs="宋体 ( 正文 )"/>
                <w:color w:val="000000"/>
                <w:kern w:val="0"/>
              </w:rPr>
              <w:t>3.设备和计算安全评估模块：根据信息系统密码应用基本要求规定，对等级保护二级和三级的标准进行设备和计算安全评估</w:t>
            </w:r>
          </w:p>
        </w:tc>
      </w:tr>
      <w:tr>
        <w:tblPrEx>
          <w:tblCellMar>
            <w:top w:w="0" w:type="dxa"/>
            <w:left w:w="0" w:type="dxa"/>
            <w:bottom w:w="0" w:type="dxa"/>
            <w:right w:w="0" w:type="dxa"/>
          </w:tblCellMar>
        </w:tblPrEx>
        <w:trPr>
          <w:trHeight w:val="540" w:hRule="atLeast"/>
          <w:jc w:val="center"/>
        </w:trPr>
        <w:tc>
          <w:tcPr>
            <w:tcW w:w="703" w:type="pct"/>
            <w:vMerge w:val="continue"/>
            <w:tcBorders>
              <w:left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625" w:type="pct"/>
            <w:vMerge w:val="continue"/>
            <w:tcBorders>
              <w:left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367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宋体 ( 正文 )"/>
                <w:color w:val="000000"/>
                <w:kern w:val="0"/>
              </w:rPr>
            </w:pPr>
            <w:r>
              <w:rPr>
                <w:rFonts w:ascii="宋体" w:hAnsi="宋体" w:cs="宋体 ( 正文 )"/>
                <w:color w:val="000000"/>
                <w:kern w:val="0"/>
              </w:rPr>
              <w:t>4.应用和数据安全评估模块：根据信息系统密码应用基本要求规定，对等级保护二级和三级的标准进行应用和数据安全评估</w:t>
            </w:r>
          </w:p>
        </w:tc>
      </w:tr>
      <w:tr>
        <w:trPr>
          <w:trHeight w:val="540" w:hRule="atLeast"/>
          <w:jc w:val="center"/>
        </w:trPr>
        <w:tc>
          <w:tcPr>
            <w:tcW w:w="703" w:type="pct"/>
            <w:vMerge w:val="continue"/>
            <w:tcBorders>
              <w:left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625" w:type="pct"/>
            <w:vMerge w:val="continue"/>
            <w:tcBorders>
              <w:left w:val="single" w:color="000000" w:sz="4" w:space="0"/>
              <w:bottom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367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宋体 ( 正文 )"/>
                <w:color w:val="000000"/>
                <w:kern w:val="0"/>
              </w:rPr>
            </w:pPr>
            <w:r>
              <w:rPr>
                <w:rFonts w:ascii="宋体" w:hAnsi="宋体" w:cs="宋体 ( 正文 )"/>
                <w:color w:val="000000"/>
                <w:kern w:val="0"/>
              </w:rPr>
              <w:t>5.密钥管理评估模块：根据信息系统密码应用基本要求规定，对等级保护二级和三级的标准进行密钥管理安全评估</w:t>
            </w:r>
          </w:p>
        </w:tc>
      </w:tr>
      <w:tr>
        <w:tblPrEx>
          <w:tblCellMar>
            <w:top w:w="0" w:type="dxa"/>
            <w:left w:w="0" w:type="dxa"/>
            <w:bottom w:w="0" w:type="dxa"/>
            <w:right w:w="0" w:type="dxa"/>
          </w:tblCellMar>
        </w:tblPrEx>
        <w:trPr>
          <w:trHeight w:val="540" w:hRule="atLeast"/>
          <w:jc w:val="center"/>
        </w:trPr>
        <w:tc>
          <w:tcPr>
            <w:tcW w:w="703" w:type="pct"/>
            <w:vMerge w:val="continue"/>
            <w:tcBorders>
              <w:left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625" w:type="pct"/>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rPr>
                <w:rFonts w:ascii="宋体" w:hAnsi="宋体" w:cs="宋体"/>
                <w:color w:val="000000"/>
              </w:rPr>
            </w:pPr>
            <w:r>
              <w:rPr>
                <w:rFonts w:ascii="宋体" w:hAnsi="宋体" w:cs="宋体"/>
                <w:color w:val="000000"/>
              </w:rPr>
              <w:t>分析功能</w:t>
            </w:r>
          </w:p>
        </w:tc>
        <w:tc>
          <w:tcPr>
            <w:tcW w:w="367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宋体 ( 正文 )"/>
                <w:color w:val="000000"/>
                <w:kern w:val="0"/>
              </w:rPr>
            </w:pPr>
            <w:r>
              <w:rPr>
                <w:rFonts w:ascii="宋体" w:hAnsi="宋体" w:cs="宋体 ( 正文 )"/>
                <w:color w:val="000000"/>
                <w:kern w:val="0"/>
              </w:rPr>
              <w:t>1.综合评分功能：能够对各个模块的评测结果进行打分和分析</w:t>
            </w:r>
          </w:p>
        </w:tc>
      </w:tr>
      <w:tr>
        <w:tblPrEx>
          <w:tblCellMar>
            <w:top w:w="0" w:type="dxa"/>
            <w:left w:w="0" w:type="dxa"/>
            <w:bottom w:w="0" w:type="dxa"/>
            <w:right w:w="0" w:type="dxa"/>
          </w:tblCellMar>
        </w:tblPrEx>
        <w:trPr>
          <w:trHeight w:val="540" w:hRule="atLeast"/>
          <w:jc w:val="center"/>
        </w:trPr>
        <w:tc>
          <w:tcPr>
            <w:tcW w:w="703" w:type="pct"/>
            <w:vMerge w:val="continue"/>
            <w:tcBorders>
              <w:left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625" w:type="pct"/>
            <w:vMerge w:val="continue"/>
            <w:tcBorders>
              <w:left w:val="single" w:color="000000" w:sz="4" w:space="0"/>
              <w:right w:val="single" w:color="000000" w:sz="4" w:space="0"/>
            </w:tcBorders>
            <w:tcMar>
              <w:top w:w="15" w:type="dxa"/>
              <w:left w:w="15" w:type="dxa"/>
              <w:right w:w="15" w:type="dxa"/>
            </w:tcMar>
            <w:vAlign w:val="center"/>
          </w:tcPr>
          <w:p>
            <w:pPr>
              <w:rPr>
                <w:rFonts w:ascii="宋体" w:hAnsi="宋体" w:cs="宋体"/>
                <w:color w:val="000000"/>
              </w:rPr>
            </w:pPr>
          </w:p>
        </w:tc>
        <w:tc>
          <w:tcPr>
            <w:tcW w:w="367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宋体 ( 正文 )"/>
                <w:color w:val="000000"/>
                <w:kern w:val="0"/>
              </w:rPr>
            </w:pPr>
            <w:r>
              <w:rPr>
                <w:rFonts w:ascii="宋体" w:hAnsi="宋体" w:cs="宋体 ( 正文 )"/>
                <w:color w:val="000000"/>
                <w:kern w:val="0"/>
              </w:rPr>
              <w:t>2.建议功能：根据评测结果自动出具建议报告</w:t>
            </w:r>
          </w:p>
        </w:tc>
      </w:tr>
      <w:tr>
        <w:tblPrEx>
          <w:tblCellMar>
            <w:top w:w="0" w:type="dxa"/>
            <w:left w:w="0" w:type="dxa"/>
            <w:bottom w:w="0" w:type="dxa"/>
            <w:right w:w="0" w:type="dxa"/>
          </w:tblCellMar>
        </w:tblPrEx>
        <w:trPr>
          <w:trHeight w:val="540" w:hRule="atLeast"/>
          <w:jc w:val="center"/>
        </w:trPr>
        <w:tc>
          <w:tcPr>
            <w:tcW w:w="703" w:type="pct"/>
            <w:vMerge w:val="continue"/>
            <w:tcBorders>
              <w:left w:val="single" w:color="000000" w:sz="4" w:space="0"/>
              <w:bottom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625" w:type="pct"/>
            <w:vMerge w:val="continue"/>
            <w:tcBorders>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cs="宋体"/>
                <w:color w:val="000000"/>
              </w:rPr>
            </w:pPr>
          </w:p>
        </w:tc>
        <w:tc>
          <w:tcPr>
            <w:tcW w:w="367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宋体 ( 正文 )"/>
                <w:color w:val="000000"/>
                <w:kern w:val="0"/>
              </w:rPr>
            </w:pPr>
            <w:r>
              <w:rPr>
                <w:rFonts w:ascii="宋体" w:hAnsi="宋体" w:cs="宋体 ( 正文 )"/>
                <w:color w:val="000000"/>
                <w:kern w:val="0"/>
              </w:rPr>
              <w:t>3.能力矩阵图：根据系统各个模块收集到的信息制作能力矩阵分析图，能够清晰分析出系统的薄弱点和优势点</w:t>
            </w:r>
          </w:p>
        </w:tc>
      </w:tr>
    </w:tbl>
    <w:p/>
    <w:bookmarkEnd w:id="37"/>
    <w:p>
      <w:pPr>
        <w:pStyle w:val="2"/>
        <w:numPr>
          <w:ilvl w:val="0"/>
          <w:numId w:val="4"/>
        </w:numPr>
        <w:spacing w:line="276" w:lineRule="auto"/>
        <w:rPr>
          <w:rFonts w:hint="default" w:ascii="宋体" w:hAnsi="宋体"/>
        </w:rPr>
      </w:pPr>
      <w:r>
        <w:t>平台软件层技术要求</w:t>
      </w:r>
    </w:p>
    <w:p>
      <w:pPr>
        <w:pStyle w:val="17"/>
        <w:keepNext/>
        <w:keepLines/>
        <w:widowControl/>
        <w:numPr>
          <w:ilvl w:val="0"/>
          <w:numId w:val="14"/>
        </w:numPr>
        <w:topLinePunct/>
        <w:adjustRightInd w:val="0"/>
        <w:snapToGrid w:val="0"/>
        <w:spacing w:line="360" w:lineRule="auto"/>
        <w:ind w:firstLineChars="0"/>
        <w:jc w:val="left"/>
        <w:outlineLvl w:val="1"/>
        <w:rPr>
          <w:rFonts w:ascii="Book Antiqua" w:hAnsi="Book Antiqua" w:eastAsia="宋体"/>
          <w:bCs/>
          <w:vanish/>
          <w:kern w:val="0"/>
          <w:sz w:val="36"/>
          <w:szCs w:val="36"/>
        </w:rPr>
      </w:pPr>
      <w:bookmarkStart w:id="43" w:name="_Toc34080592"/>
      <w:bookmarkEnd w:id="43"/>
    </w:p>
    <w:p>
      <w:pPr>
        <w:pStyle w:val="3"/>
        <w:numPr>
          <w:ilvl w:val="1"/>
          <w:numId w:val="5"/>
        </w:numPr>
        <w:tabs>
          <w:tab w:val="clear" w:pos="840"/>
        </w:tabs>
        <w:ind w:left="720" w:hanging="720" w:hangingChars="200"/>
        <w:textAlignment w:val="auto"/>
        <w:rPr>
          <w:rFonts w:ascii="宋体" w:hAnsi="宋体"/>
          <w:lang w:eastAsia="zh-CN"/>
        </w:rPr>
      </w:pPr>
      <w:bookmarkStart w:id="44" w:name="_Toc34080413"/>
      <w:bookmarkStart w:id="45" w:name="_Toc29407439"/>
      <w:bookmarkStart w:id="46" w:name="_Toc34080595"/>
      <w:r>
        <w:rPr>
          <w:rFonts w:hint="eastAsia" w:ascii="宋体" w:hAnsi="宋体"/>
          <w:lang w:eastAsia="zh-CN"/>
        </w:rPr>
        <w:t>平台软件层整体要求</w:t>
      </w:r>
    </w:p>
    <w:p>
      <w:pPr>
        <w:widowControl/>
        <w:numPr>
          <w:ilvl w:val="0"/>
          <w:numId w:val="15"/>
        </w:numPr>
        <w:topLinePunct/>
        <w:adjustRightInd w:val="0"/>
        <w:snapToGrid w:val="0"/>
        <w:spacing w:before="100" w:after="100" w:line="300" w:lineRule="exact"/>
        <w:ind w:left="420" w:hangingChars="200"/>
        <w:jc w:val="left"/>
        <w:rPr>
          <w:rFonts w:ascii="宋体" w:hAnsi="宋体"/>
        </w:rPr>
      </w:pPr>
      <w:r>
        <w:rPr>
          <w:rFonts w:hint="eastAsia" w:ascii="宋体" w:hAnsi="宋体"/>
        </w:rPr>
        <w:t>系统部署要求：中标人提供的平台软件层服务中涉及基础资源使用的（包括但不限于计算、存储、备份）应当使用市级政务云基础设施服务资源。本项目中平台软件层服务费用中不包含市级政务云基础设施服务资源费用</w:t>
      </w:r>
      <w:r>
        <w:rPr>
          <w:rFonts w:ascii="宋体" w:hAnsi="宋体"/>
        </w:rPr>
        <w:t>，</w:t>
      </w:r>
      <w:r>
        <w:rPr>
          <w:rFonts w:hint="eastAsia" w:ascii="宋体" w:hAnsi="宋体"/>
        </w:rPr>
        <w:t>由采购人按服务单价另行支付</w:t>
      </w:r>
      <w:r>
        <w:rPr>
          <w:rFonts w:ascii="宋体" w:hAnsi="宋体"/>
        </w:rPr>
        <w:t>。</w:t>
      </w:r>
    </w:p>
    <w:p>
      <w:pPr>
        <w:widowControl/>
        <w:numPr>
          <w:ilvl w:val="0"/>
          <w:numId w:val="15"/>
        </w:numPr>
        <w:topLinePunct/>
        <w:adjustRightInd w:val="0"/>
        <w:snapToGrid w:val="0"/>
        <w:spacing w:before="100" w:after="100" w:line="300" w:lineRule="exact"/>
        <w:ind w:left="420" w:hangingChars="200"/>
        <w:jc w:val="left"/>
        <w:rPr>
          <w:rFonts w:ascii="宋体" w:hAnsi="宋体"/>
        </w:rPr>
      </w:pPr>
      <w:r>
        <w:rPr>
          <w:rFonts w:hint="eastAsia" w:ascii="宋体" w:hAnsi="宋体"/>
        </w:rPr>
        <w:t>接口服务要求：中标人应当提供包括但不限于API发布、管理、流量控制、熔断、用户管理功能的API网关，中标人提供的平台软件层能力中涉及API方式提供的应当具备通过API网关服务的能力。</w:t>
      </w:r>
    </w:p>
    <w:p>
      <w:pPr>
        <w:widowControl/>
        <w:numPr>
          <w:ilvl w:val="0"/>
          <w:numId w:val="15"/>
        </w:numPr>
        <w:topLinePunct/>
        <w:adjustRightInd w:val="0"/>
        <w:snapToGrid w:val="0"/>
        <w:spacing w:before="100" w:after="100" w:line="300" w:lineRule="exact"/>
        <w:ind w:left="420" w:hangingChars="200"/>
        <w:jc w:val="left"/>
        <w:rPr>
          <w:rFonts w:ascii="宋体" w:hAnsi="宋体"/>
        </w:rPr>
      </w:pPr>
      <w:r>
        <w:rPr>
          <w:rFonts w:hint="eastAsia" w:ascii="宋体" w:hAnsi="宋体"/>
        </w:rPr>
        <w:t>安全隔离要求：中标人提供的服务涉及集中部署的应该符合网络安全等级保护三级的要求，开展安全加固工作，每个服务期开展不少于4次服务的安全策略配置、安全扫描和系统漏洞的加固，配合使用单位完成应用的等级保护工作。提供软件介质部署在使用单位资源上的，应当提供安全漏洞修复补丁并提供技术支持，配合使用单位完成应用的等级保护工作。中标人应当通过技术方式确保不同安全责任主体之间的隔离。</w:t>
      </w:r>
    </w:p>
    <w:p>
      <w:pPr>
        <w:widowControl/>
        <w:numPr>
          <w:ilvl w:val="0"/>
          <w:numId w:val="15"/>
        </w:numPr>
        <w:topLinePunct/>
        <w:adjustRightInd w:val="0"/>
        <w:snapToGrid w:val="0"/>
        <w:spacing w:before="100" w:after="100" w:line="300" w:lineRule="exact"/>
        <w:ind w:left="420" w:hangingChars="200"/>
        <w:jc w:val="left"/>
        <w:rPr>
          <w:rFonts w:ascii="宋体" w:hAnsi="宋体"/>
        </w:rPr>
      </w:pPr>
      <w:r>
        <w:rPr>
          <w:rFonts w:hint="eastAsia" w:ascii="宋体" w:hAnsi="宋体"/>
        </w:rPr>
        <w:t>服务交付要求：中标人提供的政务云平台软件层服务，应当面向使用单位提供每个服务项的服务接入方式，包括但不限于界面、API接口、文件等。</w:t>
      </w:r>
    </w:p>
    <w:p>
      <w:pPr>
        <w:widowControl/>
        <w:numPr>
          <w:ilvl w:val="0"/>
          <w:numId w:val="15"/>
        </w:numPr>
        <w:topLinePunct/>
        <w:adjustRightInd w:val="0"/>
        <w:snapToGrid w:val="0"/>
        <w:spacing w:before="100" w:after="100" w:line="300" w:lineRule="exact"/>
        <w:ind w:left="420" w:hangingChars="200"/>
        <w:jc w:val="left"/>
        <w:rPr>
          <w:rFonts w:ascii="宋体" w:hAnsi="宋体"/>
        </w:rPr>
      </w:pPr>
      <w:r>
        <w:rPr>
          <w:rFonts w:hint="eastAsia" w:ascii="宋体" w:hAnsi="宋体"/>
        </w:rPr>
        <w:t>管理能力要求：中标人应当具备与政务云基础设施监管服务平台（以下简称“云管平台”）进行数据对接和业务协调联动，包括但不限于实时接收使用单位在云管平台中发起的PaaS服务申请工单信息，并向云管平台反馈工单实时处理信息。</w:t>
      </w:r>
    </w:p>
    <w:p>
      <w:pPr>
        <w:widowControl/>
        <w:numPr>
          <w:ilvl w:val="0"/>
          <w:numId w:val="15"/>
        </w:numPr>
        <w:topLinePunct/>
        <w:adjustRightInd w:val="0"/>
        <w:snapToGrid w:val="0"/>
        <w:spacing w:before="100" w:after="100" w:line="300" w:lineRule="exact"/>
        <w:ind w:left="420" w:hangingChars="200"/>
        <w:jc w:val="left"/>
        <w:rPr>
          <w:rFonts w:ascii="宋体" w:hAnsi="宋体"/>
        </w:rPr>
      </w:pPr>
      <w:r>
        <w:rPr>
          <w:rFonts w:hint="eastAsia" w:ascii="宋体" w:hAnsi="宋体"/>
        </w:rPr>
        <w:t>监控能力要求：中标人应当对所提供的各项平台软件层能力提供实时动态的监控服务，并将监控数据同步到“云管平台”中，同步内容包括但不限于服务的使用情况统计、计量计费数据、告警数据、资源数据、运行性能数据、故障处置信息、安全相关信息以及其他日志数据。</w:t>
      </w:r>
    </w:p>
    <w:p>
      <w:pPr>
        <w:widowControl/>
        <w:numPr>
          <w:ilvl w:val="0"/>
          <w:numId w:val="15"/>
        </w:numPr>
        <w:topLinePunct/>
        <w:adjustRightInd w:val="0"/>
        <w:snapToGrid w:val="0"/>
        <w:spacing w:before="100" w:after="100" w:line="300" w:lineRule="exact"/>
        <w:ind w:left="420" w:hangingChars="200"/>
        <w:jc w:val="left"/>
        <w:rPr>
          <w:rFonts w:ascii="宋体" w:hAnsi="宋体"/>
        </w:rPr>
      </w:pPr>
      <w:r>
        <w:rPr>
          <w:rFonts w:hint="eastAsia" w:ascii="宋体" w:hAnsi="宋体"/>
        </w:rPr>
        <w:t>协同工作要求</w:t>
      </w:r>
      <w:r>
        <w:rPr>
          <w:rFonts w:ascii="宋体" w:hAnsi="宋体"/>
        </w:rPr>
        <w:t>：</w:t>
      </w:r>
      <w:r>
        <w:rPr>
          <w:rFonts w:hint="eastAsia" w:ascii="宋体" w:hAnsi="宋体"/>
        </w:rPr>
        <w:t>中标人应当按照</w:t>
      </w:r>
      <w:r>
        <w:rPr>
          <w:rFonts w:ascii="宋体" w:hAnsi="宋体"/>
        </w:rPr>
        <w:t>采购人</w:t>
      </w:r>
      <w:r>
        <w:rPr>
          <w:rFonts w:hint="eastAsia" w:ascii="宋体" w:hAnsi="宋体"/>
        </w:rPr>
        <w:t>的要求</w:t>
      </w:r>
      <w:r>
        <w:rPr>
          <w:rFonts w:ascii="宋体" w:hAnsi="宋体"/>
        </w:rPr>
        <w:t>，</w:t>
      </w:r>
      <w:r>
        <w:rPr>
          <w:rFonts w:hint="eastAsia" w:ascii="宋体" w:hAnsi="宋体"/>
        </w:rPr>
        <w:t>配合本项目其他包件中标人开展平台软件层建设工作</w:t>
      </w:r>
      <w:r>
        <w:rPr>
          <w:rFonts w:ascii="宋体" w:hAnsi="宋体"/>
        </w:rPr>
        <w:t>。</w:t>
      </w:r>
    </w:p>
    <w:p>
      <w:pPr>
        <w:widowControl/>
        <w:numPr>
          <w:ilvl w:val="0"/>
          <w:numId w:val="15"/>
        </w:numPr>
        <w:topLinePunct/>
        <w:adjustRightInd w:val="0"/>
        <w:snapToGrid w:val="0"/>
        <w:spacing w:before="100" w:after="100" w:line="300" w:lineRule="exact"/>
        <w:ind w:left="420" w:hangingChars="200"/>
        <w:jc w:val="left"/>
        <w:rPr>
          <w:rFonts w:ascii="宋体" w:hAnsi="宋体"/>
        </w:rPr>
      </w:pPr>
      <w:r>
        <w:rPr>
          <w:rFonts w:hint="eastAsia" w:ascii="宋体" w:hAnsi="宋体"/>
        </w:rPr>
        <w:t>中标人应当配合</w:t>
      </w:r>
      <w:r>
        <w:rPr>
          <w:rFonts w:ascii="宋体" w:hAnsi="宋体"/>
        </w:rPr>
        <w:t>采购人</w:t>
      </w:r>
      <w:r>
        <w:rPr>
          <w:rFonts w:hint="eastAsia" w:ascii="宋体" w:hAnsi="宋体"/>
        </w:rPr>
        <w:t>完成服务考核评估工作，并负责对已经出现的服务问题进行整改。</w:t>
      </w:r>
    </w:p>
    <w:p>
      <w:pPr>
        <w:pStyle w:val="3"/>
        <w:numPr>
          <w:ilvl w:val="1"/>
          <w:numId w:val="5"/>
        </w:numPr>
        <w:tabs>
          <w:tab w:val="clear" w:pos="840"/>
        </w:tabs>
        <w:ind w:left="720" w:hanging="720" w:hangingChars="200"/>
        <w:textAlignment w:val="auto"/>
        <w:rPr>
          <w:rFonts w:ascii="宋体" w:hAnsi="宋体"/>
          <w:lang w:eastAsia="zh-CN"/>
        </w:rPr>
      </w:pPr>
      <w:r>
        <w:rPr>
          <w:rFonts w:hint="eastAsia" w:ascii="宋体" w:hAnsi="宋体"/>
          <w:lang w:eastAsia="zh-CN"/>
        </w:rPr>
        <w:t>软件</w:t>
      </w:r>
      <w:r>
        <w:rPr>
          <w:rFonts w:hint="eastAsia" w:ascii="宋体" w:hAnsi="宋体"/>
        </w:rPr>
        <w:t>技术</w:t>
      </w:r>
      <w:r>
        <w:rPr>
          <w:rFonts w:hint="eastAsia" w:ascii="宋体" w:hAnsi="宋体"/>
          <w:lang w:eastAsia="zh-CN"/>
        </w:rPr>
        <w:t>要求</w:t>
      </w:r>
    </w:p>
    <w:p>
      <w:pPr>
        <w:pStyle w:val="4"/>
        <w:numPr>
          <w:ilvl w:val="2"/>
          <w:numId w:val="5"/>
        </w:numPr>
        <w:spacing w:before="160" w:line="300" w:lineRule="exact"/>
        <w:ind w:left="420"/>
        <w:rPr>
          <w:rFonts w:ascii="宋体" w:hAnsi="宋体"/>
        </w:rPr>
      </w:pPr>
      <w:r>
        <w:rPr>
          <w:rFonts w:ascii="宋体" w:hAnsi="宋体"/>
        </w:rPr>
        <w:t>管理平台</w:t>
      </w:r>
    </w:p>
    <w:tbl>
      <w:tblPr>
        <w:tblStyle w:val="12"/>
        <w:tblW w:w="481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3"/>
        <w:gridCol w:w="6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0" w:hRule="atLeast"/>
          <w:jc w:val="center"/>
        </w:trPr>
        <w:tc>
          <w:tcPr>
            <w:tcW w:w="970" w:type="pct"/>
            <w:shd w:val="clear" w:color="auto" w:fill="D9D9D9"/>
            <w:vAlign w:val="center"/>
          </w:tcPr>
          <w:p>
            <w:pPr>
              <w:jc w:val="center"/>
              <w:rPr>
                <w:rFonts w:ascii="宋体" w:hAnsi="宋体" w:cs="宋体"/>
                <w:b/>
                <w:bCs/>
                <w:color w:val="000000"/>
                <w:kern w:val="0"/>
              </w:rPr>
            </w:pPr>
            <w:r>
              <w:rPr>
                <w:rFonts w:ascii="宋体" w:hAnsi="宋体" w:cs="宋体"/>
                <w:b/>
                <w:bCs/>
                <w:color w:val="000000"/>
                <w:kern w:val="0"/>
              </w:rPr>
              <w:t>规格</w:t>
            </w:r>
          </w:p>
        </w:tc>
        <w:tc>
          <w:tcPr>
            <w:tcW w:w="4030" w:type="pct"/>
            <w:shd w:val="clear" w:color="auto" w:fill="D9D9D9"/>
            <w:vAlign w:val="center"/>
          </w:tcPr>
          <w:p>
            <w:pPr>
              <w:jc w:val="center"/>
              <w:rPr>
                <w:rFonts w:ascii="宋体" w:hAnsi="宋体" w:cs="宋体"/>
                <w:b/>
                <w:bCs/>
                <w:color w:val="000000"/>
                <w:kern w:val="0"/>
              </w:rPr>
            </w:pPr>
            <w:r>
              <w:rPr>
                <w:rFonts w:ascii="宋体" w:hAnsi="宋体" w:cs="宋体"/>
                <w:b/>
                <w:bCs/>
                <w:color w:val="000000"/>
                <w:kern w:val="0"/>
              </w:rPr>
              <w:t>指标要求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0" w:hRule="atLeast"/>
          <w:jc w:val="center"/>
        </w:trPr>
        <w:tc>
          <w:tcPr>
            <w:tcW w:w="970" w:type="pct"/>
            <w:vMerge w:val="restart"/>
            <w:vAlign w:val="center"/>
          </w:tcPr>
          <w:p>
            <w:pPr>
              <w:rPr>
                <w:rFonts w:ascii="宋体" w:hAnsi="宋体" w:cs="宋体"/>
                <w:b/>
                <w:bCs/>
                <w:color w:val="000000"/>
                <w:kern w:val="0"/>
              </w:rPr>
            </w:pPr>
            <w:r>
              <w:rPr>
                <w:rFonts w:ascii="宋体" w:hAnsi="宋体" w:cs="宋体"/>
                <w:color w:val="000000"/>
                <w:kern w:val="0"/>
              </w:rPr>
              <w:t>功能要求</w:t>
            </w:r>
          </w:p>
        </w:tc>
        <w:tc>
          <w:tcPr>
            <w:tcW w:w="4030" w:type="pct"/>
            <w:vAlign w:val="bottom"/>
          </w:tcPr>
          <w:p>
            <w:pPr>
              <w:rPr>
                <w:rFonts w:ascii="宋体" w:hAnsi="宋体" w:cs="宋体"/>
                <w:color w:val="000000"/>
                <w:kern w:val="0"/>
              </w:rPr>
            </w:pPr>
            <w:r>
              <w:rPr>
                <w:rFonts w:ascii="宋体" w:hAnsi="宋体" w:cs="宋体"/>
                <w:color w:val="000000"/>
                <w:kern w:val="0"/>
              </w:rPr>
              <w:t>支持对部署在</w:t>
            </w:r>
            <w:r>
              <w:rPr>
                <w:rFonts w:ascii="宋体" w:hAnsi="宋体" w:cs="Times New Roman"/>
                <w:color w:val="000000"/>
                <w:kern w:val="0"/>
              </w:rPr>
              <w:t>PaaS</w:t>
            </w:r>
            <w:r>
              <w:rPr>
                <w:rFonts w:ascii="宋体" w:hAnsi="宋体" w:cs="宋体"/>
                <w:color w:val="000000"/>
                <w:kern w:val="0"/>
              </w:rPr>
              <w:t>软件运行环境中的应用程序进行版本更新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0" w:hRule="atLeast"/>
          <w:jc w:val="center"/>
        </w:trPr>
        <w:tc>
          <w:tcPr>
            <w:tcW w:w="970" w:type="pct"/>
            <w:vMerge w:val="continue"/>
            <w:vAlign w:val="center"/>
          </w:tcPr>
          <w:p>
            <w:pPr>
              <w:rPr>
                <w:rFonts w:ascii="宋体" w:hAnsi="宋体" w:cs="宋体"/>
                <w:b/>
                <w:bCs/>
                <w:color w:val="000000"/>
                <w:kern w:val="0"/>
              </w:rPr>
            </w:pPr>
          </w:p>
        </w:tc>
        <w:tc>
          <w:tcPr>
            <w:tcW w:w="4030" w:type="pct"/>
            <w:vAlign w:val="bottom"/>
          </w:tcPr>
          <w:p>
            <w:pPr>
              <w:rPr>
                <w:rFonts w:ascii="宋体" w:hAnsi="宋体" w:cs="宋体"/>
                <w:color w:val="000000"/>
                <w:kern w:val="0"/>
              </w:rPr>
            </w:pPr>
            <w:r>
              <w:rPr>
                <w:rFonts w:ascii="宋体" w:hAnsi="宋体" w:cs="宋体"/>
                <w:color w:val="000000"/>
                <w:kern w:val="0"/>
              </w:rPr>
              <w:t>提供开放的软件支撑应用程序查询、创建、更新、删除接口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0" w:hRule="atLeast"/>
          <w:jc w:val="center"/>
        </w:trPr>
        <w:tc>
          <w:tcPr>
            <w:tcW w:w="970" w:type="pct"/>
            <w:vMerge w:val="continue"/>
            <w:vAlign w:val="center"/>
          </w:tcPr>
          <w:p>
            <w:pPr>
              <w:rPr>
                <w:rFonts w:ascii="宋体" w:hAnsi="宋体" w:cs="宋体"/>
                <w:b/>
                <w:bCs/>
                <w:color w:val="000000"/>
                <w:kern w:val="0"/>
              </w:rPr>
            </w:pPr>
          </w:p>
        </w:tc>
        <w:tc>
          <w:tcPr>
            <w:tcW w:w="4030" w:type="pct"/>
            <w:vAlign w:val="bottom"/>
          </w:tcPr>
          <w:p>
            <w:pPr>
              <w:rPr>
                <w:rFonts w:ascii="宋体" w:hAnsi="宋体" w:cs="宋体"/>
                <w:color w:val="000000"/>
                <w:kern w:val="0"/>
              </w:rPr>
            </w:pPr>
            <w:r>
              <w:rPr>
                <w:rFonts w:ascii="宋体" w:hAnsi="宋体" w:cs="宋体"/>
                <w:color w:val="000000"/>
                <w:kern w:val="0"/>
              </w:rPr>
              <w:t>提供PaaS应用程序版本更新主要内容说明的服务或接口；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0" w:hRule="atLeast"/>
          <w:jc w:val="center"/>
        </w:trPr>
        <w:tc>
          <w:tcPr>
            <w:tcW w:w="970" w:type="pct"/>
            <w:vMerge w:val="continue"/>
            <w:vAlign w:val="center"/>
          </w:tcPr>
          <w:p>
            <w:pPr>
              <w:rPr>
                <w:rFonts w:ascii="宋体" w:hAnsi="宋体" w:cs="宋体"/>
                <w:b/>
                <w:bCs/>
                <w:color w:val="000000"/>
                <w:kern w:val="0"/>
              </w:rPr>
            </w:pPr>
          </w:p>
        </w:tc>
        <w:tc>
          <w:tcPr>
            <w:tcW w:w="4030" w:type="pct"/>
            <w:vAlign w:val="bottom"/>
          </w:tcPr>
          <w:p>
            <w:pPr>
              <w:rPr>
                <w:rFonts w:ascii="宋体" w:hAnsi="宋体" w:cs="宋体"/>
                <w:color w:val="000000"/>
                <w:kern w:val="0"/>
              </w:rPr>
            </w:pPr>
            <w:r>
              <w:rPr>
                <w:rFonts w:ascii="宋体" w:hAnsi="宋体" w:cs="宋体"/>
                <w:color w:val="000000"/>
                <w:kern w:val="0"/>
              </w:rPr>
              <w:t>提供控制PaaS应用程序运行状态的接口或工具；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0" w:hRule="atLeast"/>
          <w:jc w:val="center"/>
        </w:trPr>
        <w:tc>
          <w:tcPr>
            <w:tcW w:w="970" w:type="pct"/>
            <w:vMerge w:val="continue"/>
            <w:vAlign w:val="center"/>
          </w:tcPr>
          <w:p>
            <w:pPr>
              <w:rPr>
                <w:rFonts w:ascii="宋体" w:hAnsi="宋体" w:cs="宋体"/>
                <w:b/>
                <w:bCs/>
                <w:color w:val="000000"/>
                <w:kern w:val="0"/>
              </w:rPr>
            </w:pPr>
          </w:p>
        </w:tc>
        <w:tc>
          <w:tcPr>
            <w:tcW w:w="4030" w:type="pct"/>
            <w:vAlign w:val="bottom"/>
          </w:tcPr>
          <w:p>
            <w:pPr>
              <w:rPr>
                <w:rFonts w:ascii="宋体" w:hAnsi="宋体" w:cs="宋体"/>
                <w:color w:val="000000"/>
                <w:kern w:val="0"/>
              </w:rPr>
            </w:pPr>
            <w:r>
              <w:rPr>
                <w:rFonts w:ascii="宋体" w:hAnsi="宋体" w:cs="宋体"/>
                <w:color w:val="000000"/>
                <w:kern w:val="0"/>
              </w:rPr>
              <w:t>提供获取PaaS应用程序当前运行状态的接口或工具；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 w:hRule="atLeast"/>
          <w:jc w:val="center"/>
        </w:trPr>
        <w:tc>
          <w:tcPr>
            <w:tcW w:w="970" w:type="pct"/>
            <w:vMerge w:val="continue"/>
            <w:vAlign w:val="center"/>
          </w:tcPr>
          <w:p>
            <w:pPr>
              <w:rPr>
                <w:rFonts w:ascii="宋体" w:hAnsi="宋体" w:cs="宋体"/>
                <w:b/>
                <w:bCs/>
                <w:color w:val="000000"/>
                <w:kern w:val="0"/>
              </w:rPr>
            </w:pPr>
          </w:p>
        </w:tc>
        <w:tc>
          <w:tcPr>
            <w:tcW w:w="4030" w:type="pct"/>
            <w:vAlign w:val="bottom"/>
          </w:tcPr>
          <w:p>
            <w:pPr>
              <w:rPr>
                <w:rFonts w:ascii="宋体" w:hAnsi="宋体" w:cs="宋体"/>
                <w:color w:val="000000"/>
                <w:kern w:val="0"/>
              </w:rPr>
            </w:pPr>
            <w:r>
              <w:rPr>
                <w:rFonts w:ascii="宋体" w:hAnsi="宋体" w:cs="宋体"/>
                <w:color w:val="000000"/>
                <w:kern w:val="0"/>
              </w:rPr>
              <w:t>提供管理PaaS应用程序发布的接口或服务，支持PaaS应用程序的发布和撤回；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0" w:hRule="atLeast"/>
          <w:jc w:val="center"/>
        </w:trPr>
        <w:tc>
          <w:tcPr>
            <w:tcW w:w="970" w:type="pct"/>
            <w:vMerge w:val="continue"/>
            <w:vAlign w:val="center"/>
          </w:tcPr>
          <w:p>
            <w:pPr>
              <w:rPr>
                <w:rFonts w:ascii="宋体" w:hAnsi="宋体" w:cs="宋体"/>
                <w:b/>
                <w:bCs/>
                <w:color w:val="000000"/>
                <w:kern w:val="0"/>
              </w:rPr>
            </w:pPr>
          </w:p>
        </w:tc>
        <w:tc>
          <w:tcPr>
            <w:tcW w:w="4030" w:type="pct"/>
            <w:vAlign w:val="bottom"/>
          </w:tcPr>
          <w:p>
            <w:pPr>
              <w:rPr>
                <w:rFonts w:ascii="宋体" w:hAnsi="宋体" w:cs="宋体"/>
                <w:color w:val="000000"/>
                <w:kern w:val="0"/>
              </w:rPr>
            </w:pPr>
            <w:r>
              <w:rPr>
                <w:rFonts w:ascii="宋体" w:hAnsi="宋体" w:cs="宋体"/>
                <w:color w:val="000000"/>
                <w:kern w:val="0"/>
              </w:rPr>
              <w:t>提供PaaS应用程序发布的审核机制，支持将审核结果及意见反馈给用户，支持PaaS用户在线查询应用程序的审核状态；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0" w:hRule="atLeast"/>
          <w:jc w:val="center"/>
        </w:trPr>
        <w:tc>
          <w:tcPr>
            <w:tcW w:w="970" w:type="pct"/>
            <w:vMerge w:val="continue"/>
            <w:vAlign w:val="center"/>
          </w:tcPr>
          <w:p>
            <w:pPr>
              <w:rPr>
                <w:rFonts w:ascii="宋体" w:hAnsi="宋体" w:cs="宋体"/>
                <w:b/>
                <w:bCs/>
                <w:color w:val="000000"/>
                <w:kern w:val="0"/>
              </w:rPr>
            </w:pPr>
          </w:p>
        </w:tc>
        <w:tc>
          <w:tcPr>
            <w:tcW w:w="4030" w:type="pct"/>
            <w:vAlign w:val="bottom"/>
          </w:tcPr>
          <w:p>
            <w:pPr>
              <w:rPr>
                <w:rFonts w:ascii="宋体" w:hAnsi="宋体" w:cs="宋体"/>
                <w:color w:val="000000"/>
                <w:kern w:val="0"/>
              </w:rPr>
            </w:pPr>
            <w:r>
              <w:rPr>
                <w:rFonts w:ascii="宋体" w:hAnsi="宋体" w:cs="宋体"/>
                <w:color w:val="000000"/>
                <w:kern w:val="0"/>
              </w:rPr>
              <w:t>提供PaaS应用程序版本另生成规则及说明文档；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0" w:hRule="atLeast"/>
          <w:jc w:val="center"/>
        </w:trPr>
        <w:tc>
          <w:tcPr>
            <w:tcW w:w="970" w:type="pct"/>
            <w:vMerge w:val="continue"/>
            <w:vAlign w:val="center"/>
          </w:tcPr>
          <w:p>
            <w:pPr>
              <w:rPr>
                <w:rFonts w:ascii="宋体" w:hAnsi="宋体" w:cs="宋体"/>
                <w:b/>
                <w:bCs/>
                <w:color w:val="000000"/>
                <w:kern w:val="0"/>
              </w:rPr>
            </w:pPr>
          </w:p>
        </w:tc>
        <w:tc>
          <w:tcPr>
            <w:tcW w:w="4030" w:type="pct"/>
            <w:vAlign w:val="bottom"/>
          </w:tcPr>
          <w:p>
            <w:pPr>
              <w:rPr>
                <w:rFonts w:ascii="宋体" w:hAnsi="宋体" w:cs="宋体"/>
                <w:color w:val="000000"/>
                <w:kern w:val="0"/>
              </w:rPr>
            </w:pPr>
            <w:r>
              <w:rPr>
                <w:rFonts w:ascii="宋体" w:hAnsi="宋体" w:cs="宋体"/>
                <w:color w:val="000000"/>
                <w:kern w:val="0"/>
              </w:rPr>
              <w:t>提供图形化的PaaS应用程序版本管理界面；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0" w:hRule="atLeast"/>
          <w:jc w:val="center"/>
        </w:trPr>
        <w:tc>
          <w:tcPr>
            <w:tcW w:w="970" w:type="pct"/>
            <w:vMerge w:val="continue"/>
            <w:vAlign w:val="center"/>
          </w:tcPr>
          <w:p>
            <w:pPr>
              <w:rPr>
                <w:rFonts w:ascii="宋体" w:hAnsi="宋体" w:cs="宋体"/>
                <w:b/>
                <w:bCs/>
                <w:color w:val="000000"/>
                <w:kern w:val="0"/>
              </w:rPr>
            </w:pPr>
          </w:p>
        </w:tc>
        <w:tc>
          <w:tcPr>
            <w:tcW w:w="4030" w:type="pct"/>
            <w:vAlign w:val="bottom"/>
          </w:tcPr>
          <w:p>
            <w:pPr>
              <w:rPr>
                <w:rFonts w:ascii="宋体" w:hAnsi="宋体" w:cs="宋体"/>
                <w:color w:val="000000"/>
                <w:kern w:val="0"/>
              </w:rPr>
            </w:pPr>
            <w:r>
              <w:rPr>
                <w:rFonts w:ascii="宋体" w:hAnsi="宋体" w:cs="宋体"/>
                <w:color w:val="000000"/>
                <w:kern w:val="0"/>
              </w:rPr>
              <w:t>提供多版本PaaS应用程序的发布、同步及访问控制；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0" w:hRule="atLeast"/>
          <w:jc w:val="center"/>
        </w:trPr>
        <w:tc>
          <w:tcPr>
            <w:tcW w:w="970" w:type="pct"/>
            <w:vMerge w:val="continue"/>
            <w:vAlign w:val="center"/>
          </w:tcPr>
          <w:p>
            <w:pPr>
              <w:rPr>
                <w:rFonts w:ascii="宋体" w:hAnsi="宋体" w:cs="宋体"/>
                <w:b/>
                <w:bCs/>
                <w:color w:val="000000"/>
                <w:kern w:val="0"/>
              </w:rPr>
            </w:pPr>
          </w:p>
        </w:tc>
        <w:tc>
          <w:tcPr>
            <w:tcW w:w="4030" w:type="pct"/>
            <w:vAlign w:val="bottom"/>
          </w:tcPr>
          <w:p>
            <w:pPr>
              <w:rPr>
                <w:rFonts w:ascii="宋体" w:hAnsi="宋体" w:cs="宋体"/>
                <w:color w:val="000000"/>
                <w:kern w:val="0"/>
              </w:rPr>
            </w:pPr>
            <w:r>
              <w:rPr>
                <w:rFonts w:ascii="宋体" w:hAnsi="宋体" w:cs="宋体"/>
                <w:color w:val="000000"/>
                <w:kern w:val="0"/>
              </w:rPr>
              <w:t>提供批量控制PaaS应用程序运行状态的功能；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0" w:hRule="atLeast"/>
          <w:jc w:val="center"/>
        </w:trPr>
        <w:tc>
          <w:tcPr>
            <w:tcW w:w="970" w:type="pct"/>
            <w:vMerge w:val="continue"/>
            <w:vAlign w:val="center"/>
          </w:tcPr>
          <w:p>
            <w:pPr>
              <w:rPr>
                <w:rFonts w:ascii="宋体" w:hAnsi="宋体" w:cs="宋体"/>
                <w:b/>
                <w:bCs/>
                <w:color w:val="000000"/>
                <w:kern w:val="0"/>
              </w:rPr>
            </w:pPr>
          </w:p>
        </w:tc>
        <w:tc>
          <w:tcPr>
            <w:tcW w:w="4030" w:type="pct"/>
            <w:vAlign w:val="bottom"/>
          </w:tcPr>
          <w:p>
            <w:pPr>
              <w:rPr>
                <w:rFonts w:ascii="宋体" w:hAnsi="宋体" w:cs="宋体"/>
                <w:color w:val="000000"/>
                <w:kern w:val="0"/>
              </w:rPr>
            </w:pPr>
            <w:r>
              <w:rPr>
                <w:rFonts w:ascii="宋体" w:hAnsi="宋体" w:cs="宋体"/>
                <w:color w:val="000000"/>
                <w:kern w:val="0"/>
              </w:rPr>
              <w:t>提供管理PaaS应用程序运行状态的图形化界面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0" w:hRule="atLeast"/>
          <w:jc w:val="center"/>
        </w:trPr>
        <w:tc>
          <w:tcPr>
            <w:tcW w:w="970" w:type="pct"/>
            <w:vMerge w:val="continue"/>
            <w:vAlign w:val="center"/>
          </w:tcPr>
          <w:p>
            <w:pPr>
              <w:rPr>
                <w:rFonts w:ascii="宋体" w:hAnsi="宋体" w:cs="宋体"/>
                <w:b/>
                <w:bCs/>
                <w:color w:val="000000"/>
                <w:kern w:val="0"/>
              </w:rPr>
            </w:pPr>
          </w:p>
        </w:tc>
        <w:tc>
          <w:tcPr>
            <w:tcW w:w="4030" w:type="pct"/>
            <w:vAlign w:val="bottom"/>
          </w:tcPr>
          <w:p>
            <w:pPr>
              <w:rPr>
                <w:rFonts w:ascii="宋体" w:hAnsi="宋体" w:cs="宋体"/>
                <w:color w:val="000000"/>
                <w:kern w:val="0"/>
              </w:rPr>
            </w:pPr>
            <w:r>
              <w:rPr>
                <w:rFonts w:ascii="宋体" w:hAnsi="宋体" w:cs="宋体"/>
                <w:color w:val="000000"/>
                <w:kern w:val="0"/>
              </w:rPr>
              <w:t>提供PaaS应用程序发布接人规范，并提供发布示例：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0" w:hRule="atLeast"/>
          <w:jc w:val="center"/>
        </w:trPr>
        <w:tc>
          <w:tcPr>
            <w:tcW w:w="970" w:type="pct"/>
            <w:vMerge w:val="continue"/>
            <w:vAlign w:val="center"/>
          </w:tcPr>
          <w:p>
            <w:pPr>
              <w:rPr>
                <w:rFonts w:ascii="宋体" w:hAnsi="宋体" w:cs="宋体"/>
                <w:b/>
                <w:bCs/>
                <w:color w:val="000000"/>
                <w:kern w:val="0"/>
              </w:rPr>
            </w:pPr>
          </w:p>
        </w:tc>
        <w:tc>
          <w:tcPr>
            <w:tcW w:w="4030" w:type="pct"/>
            <w:vAlign w:val="bottom"/>
          </w:tcPr>
          <w:p>
            <w:pPr>
              <w:rPr>
                <w:rFonts w:ascii="宋体" w:hAnsi="宋体" w:cs="宋体"/>
                <w:color w:val="000000"/>
                <w:kern w:val="0"/>
              </w:rPr>
            </w:pPr>
            <w:r>
              <w:rPr>
                <w:rFonts w:ascii="宋体" w:hAnsi="宋体" w:cs="宋体"/>
                <w:color w:val="000000"/>
                <w:kern w:val="0"/>
              </w:rPr>
              <w:t>提供图形化的申请PaaS应用程序发布和撤回的界面。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0" w:hRule="atLeast"/>
          <w:jc w:val="center"/>
        </w:trPr>
        <w:tc>
          <w:tcPr>
            <w:tcW w:w="970" w:type="pct"/>
            <w:vMerge w:val="continue"/>
            <w:vAlign w:val="center"/>
          </w:tcPr>
          <w:p>
            <w:pPr>
              <w:rPr>
                <w:rFonts w:ascii="宋体" w:hAnsi="宋体" w:cs="宋体"/>
                <w:b/>
                <w:bCs/>
                <w:color w:val="000000"/>
                <w:kern w:val="0"/>
              </w:rPr>
            </w:pPr>
          </w:p>
        </w:tc>
        <w:tc>
          <w:tcPr>
            <w:tcW w:w="4030" w:type="pct"/>
            <w:vAlign w:val="bottom"/>
          </w:tcPr>
          <w:p>
            <w:pPr>
              <w:rPr>
                <w:rFonts w:ascii="宋体" w:hAnsi="宋体" w:cs="宋体"/>
                <w:color w:val="000000"/>
                <w:kern w:val="0"/>
              </w:rPr>
            </w:pPr>
            <w:r>
              <w:rPr>
                <w:rFonts w:ascii="宋体" w:hAnsi="宋体" w:cs="宋体"/>
                <w:color w:val="000000"/>
                <w:kern w:val="0"/>
              </w:rPr>
              <w:t>支持获取租户范围内PaaS软件运行环境的监控信息。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6" w:hRule="atLeast"/>
          <w:jc w:val="center"/>
        </w:trPr>
        <w:tc>
          <w:tcPr>
            <w:tcW w:w="970" w:type="pct"/>
            <w:vMerge w:val="continue"/>
            <w:vAlign w:val="center"/>
          </w:tcPr>
          <w:p>
            <w:pPr>
              <w:rPr>
                <w:rFonts w:ascii="宋体" w:hAnsi="宋体" w:cs="宋体"/>
                <w:b/>
                <w:bCs/>
                <w:color w:val="000000"/>
                <w:kern w:val="0"/>
              </w:rPr>
            </w:pPr>
          </w:p>
        </w:tc>
        <w:tc>
          <w:tcPr>
            <w:tcW w:w="4030" w:type="pct"/>
            <w:vAlign w:val="bottom"/>
          </w:tcPr>
          <w:p>
            <w:pPr>
              <w:rPr>
                <w:rFonts w:ascii="宋体" w:hAnsi="宋体" w:cs="宋体"/>
                <w:color w:val="000000"/>
                <w:kern w:val="0"/>
              </w:rPr>
            </w:pPr>
            <w:r>
              <w:rPr>
                <w:rFonts w:ascii="宋体" w:hAnsi="宋体" w:cs="宋体"/>
                <w:color w:val="000000"/>
                <w:kern w:val="0"/>
              </w:rPr>
              <w:t>支持定义租户范围内PaaS应用程序的资源分配、安全性和可用性等方面的策略；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0" w:hRule="atLeast"/>
          <w:jc w:val="center"/>
        </w:trPr>
        <w:tc>
          <w:tcPr>
            <w:tcW w:w="970" w:type="pct"/>
            <w:vMerge w:val="continue"/>
            <w:vAlign w:val="center"/>
          </w:tcPr>
          <w:p>
            <w:pPr>
              <w:rPr>
                <w:rFonts w:ascii="宋体" w:hAnsi="宋体" w:cs="宋体"/>
                <w:b/>
                <w:bCs/>
                <w:color w:val="000000"/>
                <w:kern w:val="0"/>
              </w:rPr>
            </w:pPr>
          </w:p>
        </w:tc>
        <w:tc>
          <w:tcPr>
            <w:tcW w:w="4030" w:type="pct"/>
            <w:vAlign w:val="bottom"/>
          </w:tcPr>
          <w:p>
            <w:pPr>
              <w:rPr>
                <w:rFonts w:ascii="宋体" w:hAnsi="宋体" w:cs="宋体"/>
                <w:color w:val="000000"/>
                <w:kern w:val="0"/>
              </w:rPr>
            </w:pPr>
            <w:r>
              <w:rPr>
                <w:rFonts w:ascii="宋体" w:hAnsi="宋体" w:cs="宋体"/>
                <w:color w:val="000000"/>
                <w:kern w:val="0"/>
              </w:rPr>
              <w:t>支持PaaS应用程序的多个副本分散在不同的PaaS软件运行环境中进行部署，避免单一PaaS软件运行环境实例故障带来的可用性问题;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6" w:hRule="atLeast"/>
          <w:jc w:val="center"/>
        </w:trPr>
        <w:tc>
          <w:tcPr>
            <w:tcW w:w="970" w:type="pct"/>
            <w:vMerge w:val="continue"/>
            <w:vAlign w:val="center"/>
          </w:tcPr>
          <w:p>
            <w:pPr>
              <w:rPr>
                <w:rFonts w:ascii="宋体" w:hAnsi="宋体" w:cs="宋体"/>
                <w:b/>
                <w:bCs/>
                <w:color w:val="000000"/>
                <w:kern w:val="0"/>
              </w:rPr>
            </w:pPr>
          </w:p>
        </w:tc>
        <w:tc>
          <w:tcPr>
            <w:tcW w:w="4030" w:type="pct"/>
            <w:vAlign w:val="bottom"/>
          </w:tcPr>
          <w:p>
            <w:pPr>
              <w:rPr>
                <w:rFonts w:ascii="宋体" w:hAnsi="宋体" w:cs="宋体"/>
                <w:color w:val="000000"/>
                <w:kern w:val="0"/>
              </w:rPr>
            </w:pPr>
            <w:r>
              <w:rPr>
                <w:rFonts w:ascii="宋体" w:hAnsi="宋体" w:cs="宋体"/>
                <w:color w:val="000000"/>
                <w:kern w:val="0"/>
              </w:rPr>
              <w:t>支持将PaaS应用程序的或组件分布的部署在多个PaaS软件运行环境中，将应用程序的访问负载分散到不同的 PaaS软件运行 环境实例中，以提升 PaaS 应用程序的访问件能。</w:t>
            </w:r>
          </w:p>
        </w:tc>
      </w:tr>
    </w:tbl>
    <w:p>
      <w:bookmarkStart w:id="47" w:name="_Toc30753"/>
      <w:bookmarkStart w:id="48" w:name="_Toc31835"/>
    </w:p>
    <w:bookmarkEnd w:id="47"/>
    <w:bookmarkEnd w:id="48"/>
    <w:p>
      <w:pPr>
        <w:pStyle w:val="4"/>
        <w:numPr>
          <w:ilvl w:val="2"/>
          <w:numId w:val="5"/>
        </w:numPr>
        <w:spacing w:before="160" w:line="300" w:lineRule="exact"/>
        <w:ind w:left="420"/>
        <w:rPr>
          <w:rFonts w:ascii="宋体" w:hAnsi="宋体"/>
        </w:rPr>
      </w:pPr>
      <w:r>
        <w:rPr>
          <w:rFonts w:hint="eastAsia" w:ascii="宋体" w:hAnsi="宋体"/>
          <w:lang w:val="en-US" w:eastAsia="zh-CN"/>
        </w:rPr>
        <w:t>主机安全防护服务</w:t>
      </w:r>
      <w:r>
        <w:rPr>
          <w:rFonts w:ascii="宋体" w:hAnsi="宋体"/>
        </w:rPr>
        <w:t>（</w:t>
      </w:r>
      <w:r>
        <w:rPr>
          <w:rFonts w:hint="eastAsia" w:ascii="宋体" w:hAnsi="宋体"/>
          <w:lang w:val="en-US" w:eastAsia="zh-CN"/>
        </w:rPr>
        <w:t>服务器</w:t>
      </w:r>
      <w:r>
        <w:rPr>
          <w:rFonts w:ascii="宋体" w:hAnsi="宋体"/>
        </w:rPr>
        <w:t>端）</w:t>
      </w:r>
    </w:p>
    <w:tbl>
      <w:tblPr>
        <w:tblStyle w:val="12"/>
        <w:tblW w:w="8217" w:type="dxa"/>
        <w:tblInd w:w="69" w:type="dxa"/>
        <w:tblLayout w:type="fixed"/>
        <w:tblCellMar>
          <w:top w:w="0" w:type="dxa"/>
          <w:left w:w="0" w:type="dxa"/>
          <w:bottom w:w="0" w:type="dxa"/>
          <w:right w:w="0" w:type="dxa"/>
        </w:tblCellMar>
      </w:tblPr>
      <w:tblGrid>
        <w:gridCol w:w="1588"/>
        <w:gridCol w:w="6629"/>
      </w:tblGrid>
      <w:tr>
        <w:tblPrEx>
          <w:tblCellMar>
            <w:top w:w="0" w:type="dxa"/>
            <w:left w:w="0" w:type="dxa"/>
            <w:bottom w:w="0" w:type="dxa"/>
            <w:right w:w="0" w:type="dxa"/>
          </w:tblCellMar>
        </w:tblPrEx>
        <w:trPr>
          <w:trHeight w:val="520" w:hRule="atLeast"/>
        </w:trPr>
        <w:tc>
          <w:tcPr>
            <w:tcW w:w="1588"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0" w:type="dxa"/>
              <w:left w:w="10" w:type="dxa"/>
              <w:right w:w="10" w:type="dxa"/>
            </w:tcMar>
            <w:vAlign w:val="center"/>
          </w:tcPr>
          <w:p>
            <w:pPr>
              <w:jc w:val="center"/>
              <w:rPr>
                <w:rFonts w:ascii="宋体" w:hAnsi="宋体" w:cs="宋体"/>
                <w:b/>
                <w:bCs/>
                <w:color w:val="000000"/>
                <w:kern w:val="0"/>
              </w:rPr>
            </w:pPr>
            <w:r>
              <w:rPr>
                <w:rFonts w:ascii="宋体" w:hAnsi="宋体" w:cs="宋体"/>
                <w:b/>
                <w:bCs/>
                <w:color w:val="000000"/>
                <w:kern w:val="0"/>
              </w:rPr>
              <w:t>规格</w:t>
            </w:r>
          </w:p>
        </w:tc>
        <w:tc>
          <w:tcPr>
            <w:tcW w:w="6629"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tcMar>
              <w:top w:w="10" w:type="dxa"/>
              <w:left w:w="10" w:type="dxa"/>
              <w:right w:w="10" w:type="dxa"/>
            </w:tcMar>
            <w:vAlign w:val="center"/>
          </w:tcPr>
          <w:p>
            <w:pPr>
              <w:jc w:val="center"/>
              <w:rPr>
                <w:rFonts w:ascii="宋体" w:hAnsi="宋体" w:cs="宋体"/>
                <w:b/>
                <w:bCs/>
                <w:color w:val="000000"/>
                <w:kern w:val="0"/>
              </w:rPr>
            </w:pPr>
            <w:r>
              <w:rPr>
                <w:rFonts w:ascii="宋体" w:hAnsi="宋体" w:cs="宋体"/>
                <w:b/>
                <w:bCs/>
                <w:color w:val="000000"/>
                <w:kern w:val="0"/>
              </w:rPr>
              <w:t>指标要求</w:t>
            </w:r>
          </w:p>
        </w:tc>
      </w:tr>
      <w:tr>
        <w:tblPrEx>
          <w:tblCellMar>
            <w:top w:w="0" w:type="dxa"/>
            <w:left w:w="0" w:type="dxa"/>
            <w:bottom w:w="0" w:type="dxa"/>
            <w:right w:w="0" w:type="dxa"/>
          </w:tblCellMar>
        </w:tblPrEx>
        <w:trPr>
          <w:trHeight w:val="520" w:hRule="atLeast"/>
        </w:trPr>
        <w:tc>
          <w:tcPr>
            <w:tcW w:w="15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textAlignment w:val="bottom"/>
              <w:rPr>
                <w:rFonts w:ascii="宋体" w:hAnsi="宋体" w:cs="宋体"/>
                <w:color w:val="000000"/>
              </w:rPr>
            </w:pPr>
            <w:r>
              <w:rPr>
                <w:rFonts w:ascii="宋体" w:hAnsi="宋体" w:cs="宋体"/>
                <w:color w:val="000000"/>
                <w:kern w:val="0"/>
              </w:rPr>
              <w:t>服务描述</w:t>
            </w:r>
          </w:p>
        </w:tc>
        <w:tc>
          <w:tcPr>
            <w:tcW w:w="662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rPr>
            </w:pPr>
            <w:r>
              <w:rPr>
                <w:rFonts w:ascii="宋体" w:hAnsi="宋体" w:cs="宋体"/>
                <w:color w:val="000000"/>
                <w:kern w:val="0"/>
              </w:rPr>
              <w:t>面向主机端提供多维度防御病毒传播和横向感染的服务能力，实时监控每个服务器端/客户端的运行状态、攻击日志、病毒状态，最大程度的减小病毒传播的可能，全面提升主机端安全管理能力。</w:t>
            </w:r>
          </w:p>
        </w:tc>
      </w:tr>
      <w:tr>
        <w:tblPrEx>
          <w:tblCellMar>
            <w:top w:w="0" w:type="dxa"/>
            <w:left w:w="0" w:type="dxa"/>
            <w:bottom w:w="0" w:type="dxa"/>
            <w:right w:w="0" w:type="dxa"/>
          </w:tblCellMar>
        </w:tblPrEx>
        <w:trPr>
          <w:trHeight w:val="260" w:hRule="atLeast"/>
        </w:trPr>
        <w:tc>
          <w:tcPr>
            <w:tcW w:w="15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textAlignment w:val="bottom"/>
              <w:rPr>
                <w:rFonts w:ascii="宋体" w:hAnsi="宋体" w:cs="宋体"/>
                <w:color w:val="000000"/>
              </w:rPr>
            </w:pPr>
            <w:r>
              <w:rPr>
                <w:rFonts w:ascii="宋体" w:hAnsi="宋体" w:cs="宋体"/>
                <w:color w:val="000000"/>
                <w:kern w:val="0"/>
              </w:rPr>
              <w:t>部署模式</w:t>
            </w:r>
          </w:p>
        </w:tc>
        <w:tc>
          <w:tcPr>
            <w:tcW w:w="662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rPr>
            </w:pPr>
            <w:r>
              <w:rPr>
                <w:rFonts w:ascii="宋体" w:hAnsi="宋体" w:cs="宋体"/>
                <w:color w:val="000000"/>
                <w:kern w:val="0"/>
              </w:rPr>
              <w:t>支持管理端+客户端组合部署，实现终端的集中管控和策略下发。同时支持单机部署以及级联部署。</w:t>
            </w:r>
          </w:p>
        </w:tc>
      </w:tr>
      <w:tr>
        <w:tblPrEx>
          <w:tblCellMar>
            <w:top w:w="0" w:type="dxa"/>
            <w:left w:w="0" w:type="dxa"/>
            <w:bottom w:w="0" w:type="dxa"/>
            <w:right w:w="0" w:type="dxa"/>
          </w:tblCellMar>
        </w:tblPrEx>
        <w:trPr>
          <w:trHeight w:val="277" w:hRule="atLeast"/>
        </w:trPr>
        <w:tc>
          <w:tcPr>
            <w:tcW w:w="15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textAlignment w:val="bottom"/>
              <w:rPr>
                <w:rFonts w:ascii="宋体" w:hAnsi="宋体" w:cs="宋体"/>
                <w:color w:val="000000"/>
              </w:rPr>
            </w:pPr>
            <w:r>
              <w:rPr>
                <w:rFonts w:ascii="宋体" w:hAnsi="宋体" w:cs="宋体"/>
                <w:color w:val="000000"/>
                <w:kern w:val="0"/>
              </w:rPr>
              <w:t>功能要求</w:t>
            </w:r>
          </w:p>
        </w:tc>
        <w:tc>
          <w:tcPr>
            <w:tcW w:w="662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kern w:val="0"/>
              </w:rPr>
            </w:pPr>
            <w:r>
              <w:rPr>
                <w:rFonts w:ascii="宋体" w:hAnsi="宋体" w:cs="宋体"/>
                <w:color w:val="000000"/>
                <w:kern w:val="0"/>
              </w:rPr>
              <w:t>提供主机端安全防病毒服务，服务功能要求包括不限于：</w:t>
            </w:r>
            <w:r>
              <w:rPr>
                <w:rFonts w:ascii="宋体" w:hAnsi="宋体" w:cs="宋体"/>
                <w:color w:val="000000"/>
                <w:kern w:val="0"/>
              </w:rPr>
              <w:br w:type="textWrapping"/>
            </w:r>
            <w:r>
              <w:rPr>
                <w:rFonts w:ascii="宋体" w:hAnsi="宋体" w:cs="宋体"/>
                <w:color w:val="000000"/>
                <w:kern w:val="0"/>
              </w:rPr>
              <w:t>1.病毒防护：病毒查杀、病毒诱捕，如勒索病毒等；</w:t>
            </w:r>
            <w:r>
              <w:rPr>
                <w:rFonts w:ascii="宋体" w:hAnsi="宋体" w:cs="宋体"/>
                <w:color w:val="000000"/>
                <w:kern w:val="0"/>
              </w:rPr>
              <w:br w:type="textWrapping"/>
            </w:r>
            <w:r>
              <w:rPr>
                <w:rFonts w:ascii="宋体" w:hAnsi="宋体" w:cs="宋体"/>
                <w:color w:val="000000"/>
                <w:kern w:val="0"/>
              </w:rPr>
              <w:t>2.系统防护：系统加固防御、漏洞修复、入侵检测、系统加固、网络防御、病毒库升级（在线/离线）</w:t>
            </w:r>
            <w:r>
              <w:rPr>
                <w:rFonts w:hint="eastAsia" w:ascii="宋体" w:hAnsi="宋体" w:cs="宋体"/>
                <w:color w:val="000000"/>
                <w:kern w:val="0"/>
                <w:lang w:eastAsia="zh-CN"/>
              </w:rPr>
              <w:t>、</w:t>
            </w:r>
            <w:r>
              <w:rPr>
                <w:rFonts w:hint="eastAsia" w:ascii="宋体" w:hAnsi="宋体" w:cs="宋体"/>
                <w:color w:val="000000"/>
                <w:kern w:val="0"/>
                <w:lang w:val="en-US" w:eastAsia="zh-CN"/>
              </w:rPr>
              <w:t>威胁情报联动、进程与网络异常行为分析检测</w:t>
            </w:r>
            <w:r>
              <w:rPr>
                <w:rFonts w:ascii="宋体" w:hAnsi="宋体" w:cs="宋体"/>
                <w:color w:val="000000"/>
                <w:kern w:val="0"/>
              </w:rPr>
              <w:t>、文件实时监控、软件安装拦截等；</w:t>
            </w:r>
            <w:r>
              <w:rPr>
                <w:rFonts w:ascii="宋体" w:hAnsi="宋体" w:cs="宋体"/>
                <w:color w:val="000000"/>
                <w:kern w:val="0"/>
              </w:rPr>
              <w:br w:type="textWrapping"/>
            </w:r>
            <w:r>
              <w:rPr>
                <w:rFonts w:ascii="宋体" w:hAnsi="宋体" w:cs="宋体"/>
                <w:color w:val="000000"/>
                <w:kern w:val="0"/>
              </w:rPr>
              <w:t>3.终端集中管理：使用单位（多租户）管理、资产管理、服务管理、审计管理、</w:t>
            </w:r>
            <w:r>
              <w:rPr>
                <w:rFonts w:hint="default" w:ascii="宋体" w:hAnsi="宋体" w:cs="宋体"/>
                <w:color w:val="000000"/>
                <w:kern w:val="0"/>
                <w:lang w:val="en-US" w:eastAsia="zh-CN"/>
              </w:rPr>
              <w:t>安全日志采集审计、</w:t>
            </w:r>
            <w:r>
              <w:rPr>
                <w:rFonts w:ascii="宋体" w:hAnsi="宋体" w:cs="宋体"/>
                <w:color w:val="000000"/>
                <w:kern w:val="0"/>
              </w:rPr>
              <w:t>风险态势展示等功能。</w:t>
            </w:r>
          </w:p>
          <w:p>
            <w:pPr>
              <w:textAlignment w:val="center"/>
              <w:rPr>
                <w:rFonts w:hint="default" w:ascii="宋体" w:hAnsi="宋体" w:cs="宋体"/>
                <w:color w:val="000000"/>
                <w:kern w:val="0"/>
              </w:rPr>
            </w:pPr>
            <w:r>
              <w:rPr>
                <w:rFonts w:hint="default" w:ascii="宋体" w:hAnsi="宋体" w:cs="宋体"/>
                <w:color w:val="000000"/>
                <w:kern w:val="0"/>
                <w:lang w:val="en-US" w:eastAsia="zh-CN"/>
              </w:rPr>
              <w:t>4.</w:t>
            </w:r>
            <w:r>
              <w:rPr>
                <w:rFonts w:hint="default" w:ascii="宋体" w:hAnsi="宋体" w:cs="宋体"/>
                <w:color w:val="000000"/>
                <w:kern w:val="0"/>
              </w:rPr>
              <w:t>资产管理：支持展示主机中的账号、开放端口、进程、软件、自启动项等信息。</w:t>
            </w:r>
          </w:p>
          <w:p>
            <w:pPr>
              <w:textAlignment w:val="center"/>
              <w:rPr>
                <w:rFonts w:hint="default" w:ascii="宋体" w:hAnsi="宋体" w:cs="宋体"/>
                <w:color w:val="000000"/>
                <w:kern w:val="0"/>
              </w:rPr>
            </w:pPr>
            <w:r>
              <w:rPr>
                <w:rFonts w:hint="eastAsia" w:ascii="宋体" w:hAnsi="宋体" w:cs="宋体"/>
                <w:color w:val="000000"/>
                <w:kern w:val="0"/>
                <w:lang w:val="en-US" w:eastAsia="zh-CN"/>
              </w:rPr>
              <w:t>5.</w:t>
            </w:r>
            <w:r>
              <w:rPr>
                <w:rFonts w:hint="default" w:ascii="宋体" w:hAnsi="宋体" w:cs="宋体"/>
                <w:color w:val="000000"/>
                <w:kern w:val="0"/>
              </w:rPr>
              <w:t>漏洞处理：支持漏洞检测、漏洞检测结果现实、漏洞具体信息展示和漏洞处置，漏洞信息显示包含漏洞名称、风险程度、漏洞描述、修复建议和漏洞详情，漏洞处置包括忽略、取消忽略、批量主机一键修复和验证。</w:t>
            </w:r>
          </w:p>
          <w:p>
            <w:pPr>
              <w:textAlignment w:val="center"/>
              <w:rPr>
                <w:rFonts w:hint="default" w:ascii="宋体" w:hAnsi="宋体" w:cs="宋体"/>
                <w:color w:val="000000"/>
                <w:kern w:val="0"/>
              </w:rPr>
            </w:pPr>
            <w:r>
              <w:rPr>
                <w:rFonts w:hint="eastAsia" w:ascii="宋体" w:hAnsi="宋体" w:cs="宋体"/>
                <w:color w:val="000000"/>
                <w:kern w:val="0"/>
                <w:lang w:val="en-US" w:eastAsia="zh-CN"/>
              </w:rPr>
              <w:t>6.</w:t>
            </w:r>
            <w:r>
              <w:rPr>
                <w:rFonts w:hint="default" w:ascii="宋体" w:hAnsi="宋体" w:cs="宋体"/>
                <w:color w:val="000000"/>
                <w:kern w:val="0"/>
              </w:rPr>
              <w:t>基线检查：口令复杂度策略检测支持口令复杂度策略检测和结果显示，给出修改建议，帮助用户提升口令安全性。支持检测系统账号口令是否属于常见的弱口令，防止账户口令被轻易猜解。支持检测常见应用不安全配置项的检测。</w:t>
            </w:r>
          </w:p>
          <w:p>
            <w:pPr>
              <w:textAlignment w:val="center"/>
              <w:rPr>
                <w:rFonts w:hint="default" w:ascii="宋体" w:hAnsi="宋体" w:cs="宋体"/>
                <w:color w:val="000000"/>
                <w:kern w:val="0"/>
              </w:rPr>
            </w:pPr>
            <w:r>
              <w:rPr>
                <w:rFonts w:hint="eastAsia" w:ascii="宋体" w:hAnsi="宋体" w:cs="宋体"/>
                <w:color w:val="000000"/>
                <w:kern w:val="0"/>
                <w:lang w:val="en-US" w:eastAsia="zh-CN"/>
              </w:rPr>
              <w:t>7.</w:t>
            </w:r>
            <w:r>
              <w:rPr>
                <w:rFonts w:hint="default" w:ascii="宋体" w:hAnsi="宋体" w:cs="宋体"/>
                <w:color w:val="000000"/>
                <w:kern w:val="0"/>
              </w:rPr>
              <w:t>入侵检测：支持高危命令执行检测，支持恶意程序检测、WebShell、反弹Shell检测、进程异常、暴力破解等检测能力。</w:t>
            </w:r>
          </w:p>
          <w:p>
            <w:pPr>
              <w:pStyle w:val="7"/>
              <w:rPr>
                <w:rFonts w:hint="default" w:eastAsiaTheme="minorEastAsia"/>
                <w:lang w:val="en-US" w:eastAsia="zh-CN"/>
              </w:rPr>
            </w:pPr>
            <w:r>
              <w:rPr>
                <w:rFonts w:hint="eastAsia"/>
                <w:lang w:val="en-US" w:eastAsia="zh-CN"/>
              </w:rPr>
              <w:t>8.服务端支持将用户端上报的接口使用API接口进行外部系统采集。</w:t>
            </w:r>
          </w:p>
        </w:tc>
      </w:tr>
      <w:tr>
        <w:tblPrEx>
          <w:tblCellMar>
            <w:top w:w="0" w:type="dxa"/>
            <w:left w:w="0" w:type="dxa"/>
            <w:bottom w:w="0" w:type="dxa"/>
            <w:right w:w="0" w:type="dxa"/>
          </w:tblCellMar>
        </w:tblPrEx>
        <w:trPr>
          <w:trHeight w:val="1560" w:hRule="atLeast"/>
        </w:trPr>
        <w:tc>
          <w:tcPr>
            <w:tcW w:w="15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textAlignment w:val="bottom"/>
              <w:rPr>
                <w:rFonts w:ascii="宋体" w:hAnsi="宋体" w:cs="宋体"/>
                <w:color w:val="000000"/>
              </w:rPr>
            </w:pPr>
            <w:r>
              <w:rPr>
                <w:rFonts w:ascii="宋体" w:hAnsi="宋体" w:cs="宋体"/>
                <w:color w:val="000000"/>
                <w:kern w:val="0"/>
              </w:rPr>
              <w:t>性能要求</w:t>
            </w:r>
          </w:p>
        </w:tc>
        <w:tc>
          <w:tcPr>
            <w:tcW w:w="662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rPr>
            </w:pPr>
            <w:r>
              <w:rPr>
                <w:rFonts w:ascii="宋体" w:hAnsi="宋体" w:cs="宋体"/>
                <w:color w:val="000000"/>
                <w:kern w:val="0"/>
              </w:rPr>
              <w:t>1、在管理端（CPU：64核，内存：128GB 磁盘容量：8TB ）资源配置的场景下，支持管理的客户端数量应大于1万台。</w:t>
            </w:r>
            <w:r>
              <w:rPr>
                <w:rFonts w:ascii="宋体" w:hAnsi="宋体" w:cs="宋体"/>
                <w:color w:val="000000"/>
                <w:kern w:val="0"/>
              </w:rPr>
              <w:br w:type="textWrapping"/>
            </w:r>
            <w:r>
              <w:rPr>
                <w:rFonts w:ascii="宋体" w:hAnsi="宋体" w:cs="宋体"/>
                <w:color w:val="000000"/>
                <w:kern w:val="0"/>
              </w:rPr>
              <w:t>2、在客户端（CPU：4核，内存：8GB 磁盘容量：50GB ）的资源配置场景下：</w:t>
            </w:r>
            <w:r>
              <w:rPr>
                <w:rFonts w:ascii="宋体" w:hAnsi="宋体" w:cs="宋体"/>
                <w:color w:val="000000"/>
                <w:kern w:val="0"/>
              </w:rPr>
              <w:br w:type="textWrapping"/>
            </w:r>
            <w:r>
              <w:rPr>
                <w:rFonts w:ascii="宋体" w:hAnsi="宋体" w:cs="宋体"/>
                <w:color w:val="000000"/>
                <w:kern w:val="0"/>
              </w:rPr>
              <w:t xml:space="preserve">    1）病毒扫描时，主机内存资源占用≤50MB, CPU资源占用率≤15%;</w:t>
            </w:r>
            <w:r>
              <w:rPr>
                <w:rFonts w:ascii="宋体" w:hAnsi="宋体" w:cs="宋体"/>
                <w:color w:val="000000"/>
                <w:kern w:val="0"/>
              </w:rPr>
              <w:br w:type="textWrapping"/>
            </w:r>
            <w:r>
              <w:rPr>
                <w:rFonts w:ascii="宋体" w:hAnsi="宋体" w:cs="宋体"/>
                <w:color w:val="000000"/>
                <w:kern w:val="0"/>
              </w:rPr>
              <w:t xml:space="preserve">    2）病毒监控时，主机内存资源占用≤50MB, CPU资源占用率≤1%;</w:t>
            </w:r>
            <w:r>
              <w:rPr>
                <w:rFonts w:ascii="宋体" w:hAnsi="宋体" w:cs="宋体"/>
                <w:color w:val="000000"/>
                <w:kern w:val="0"/>
              </w:rPr>
              <w:br w:type="textWrapping"/>
            </w:r>
            <w:r>
              <w:rPr>
                <w:rFonts w:ascii="宋体" w:hAnsi="宋体" w:cs="宋体"/>
                <w:color w:val="000000"/>
                <w:kern w:val="0"/>
              </w:rPr>
              <w:t xml:space="preserve">    3）病毒检出率≥98%。（不具备测试验证场景时，提供相关软件产品检出率证明材料）</w:t>
            </w:r>
          </w:p>
        </w:tc>
      </w:tr>
      <w:tr>
        <w:tblPrEx>
          <w:tblCellMar>
            <w:top w:w="0" w:type="dxa"/>
            <w:left w:w="0" w:type="dxa"/>
            <w:bottom w:w="0" w:type="dxa"/>
            <w:right w:w="0" w:type="dxa"/>
          </w:tblCellMar>
        </w:tblPrEx>
        <w:trPr>
          <w:trHeight w:val="90" w:hRule="atLeast"/>
        </w:trPr>
        <w:tc>
          <w:tcPr>
            <w:tcW w:w="15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textAlignment w:val="bottom"/>
              <w:rPr>
                <w:rFonts w:ascii="宋体" w:hAnsi="宋体" w:cs="宋体"/>
                <w:color w:val="000000"/>
              </w:rPr>
            </w:pPr>
            <w:r>
              <w:rPr>
                <w:rFonts w:ascii="宋体" w:hAnsi="宋体" w:cs="宋体"/>
                <w:color w:val="000000"/>
                <w:kern w:val="0"/>
              </w:rPr>
              <w:t>兼容性要求</w:t>
            </w:r>
          </w:p>
        </w:tc>
        <w:tc>
          <w:tcPr>
            <w:tcW w:w="662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rPr>
            </w:pPr>
            <w:r>
              <w:rPr>
                <w:rFonts w:ascii="宋体" w:hAnsi="宋体" w:cs="宋体"/>
                <w:color w:val="000000"/>
                <w:kern w:val="0"/>
              </w:rPr>
              <w:t>1、支持中标麒麟、银河麒麟、统信UOS、深度等多种主流国产操作系统，同时支持Linux、Windows、Unix等国外主流操作系统。</w:t>
            </w:r>
            <w:r>
              <w:rPr>
                <w:rFonts w:ascii="宋体" w:hAnsi="宋体" w:cs="宋体"/>
                <w:color w:val="000000"/>
                <w:kern w:val="0"/>
              </w:rPr>
              <w:br w:type="textWrapping"/>
            </w:r>
            <w:r>
              <w:rPr>
                <w:rFonts w:ascii="宋体" w:hAnsi="宋体" w:cs="宋体"/>
                <w:color w:val="000000"/>
                <w:kern w:val="0"/>
              </w:rPr>
              <w:t>2、支持达梦、人大金仓、神通等多种国产数据库，同时支持Oracle、DB2、SQL Server、MySql等国外主流数据库。</w:t>
            </w:r>
          </w:p>
        </w:tc>
      </w:tr>
      <w:tr>
        <w:tblPrEx>
          <w:tblCellMar>
            <w:top w:w="0" w:type="dxa"/>
            <w:left w:w="0" w:type="dxa"/>
            <w:bottom w:w="0" w:type="dxa"/>
            <w:right w:w="0" w:type="dxa"/>
          </w:tblCellMar>
        </w:tblPrEx>
        <w:trPr>
          <w:trHeight w:val="520" w:hRule="atLeast"/>
        </w:trPr>
        <w:tc>
          <w:tcPr>
            <w:tcW w:w="15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textAlignment w:val="bottom"/>
              <w:rPr>
                <w:rFonts w:ascii="宋体" w:hAnsi="宋体" w:cs="宋体"/>
                <w:color w:val="000000"/>
              </w:rPr>
            </w:pPr>
            <w:r>
              <w:rPr>
                <w:rFonts w:ascii="宋体" w:hAnsi="宋体" w:cs="宋体"/>
                <w:color w:val="000000"/>
                <w:kern w:val="0"/>
              </w:rPr>
              <w:t>安全性要求</w:t>
            </w:r>
          </w:p>
        </w:tc>
        <w:tc>
          <w:tcPr>
            <w:tcW w:w="662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rPr>
            </w:pPr>
            <w:r>
              <w:rPr>
                <w:rFonts w:ascii="宋体" w:hAnsi="宋体" w:cs="宋体"/>
                <w:color w:val="000000"/>
                <w:kern w:val="0"/>
              </w:rPr>
              <w:t>1、具备计算机信息系统安全专计算机信息系统安全专用产品销售许可证（增强级）；具备信息技术产品安全测评证书（EAL3+）。</w:t>
            </w:r>
          </w:p>
        </w:tc>
      </w:tr>
      <w:tr>
        <w:tblPrEx>
          <w:tblCellMar>
            <w:top w:w="0" w:type="dxa"/>
            <w:left w:w="0" w:type="dxa"/>
            <w:bottom w:w="0" w:type="dxa"/>
            <w:right w:w="0" w:type="dxa"/>
          </w:tblCellMar>
        </w:tblPrEx>
        <w:trPr>
          <w:trHeight w:val="520" w:hRule="atLeast"/>
        </w:trPr>
        <w:tc>
          <w:tcPr>
            <w:tcW w:w="15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textAlignment w:val="bottom"/>
              <w:rPr>
                <w:rFonts w:ascii="宋体" w:hAnsi="宋体" w:cs="宋体"/>
                <w:color w:val="000000"/>
              </w:rPr>
            </w:pPr>
            <w:r>
              <w:rPr>
                <w:rFonts w:ascii="宋体" w:hAnsi="宋体" w:cs="宋体"/>
                <w:color w:val="000000"/>
                <w:kern w:val="0"/>
              </w:rPr>
              <w:t>服务要求</w:t>
            </w:r>
          </w:p>
        </w:tc>
        <w:tc>
          <w:tcPr>
            <w:tcW w:w="662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rPr>
            </w:pPr>
            <w:r>
              <w:rPr>
                <w:rFonts w:ascii="宋体" w:hAnsi="宋体" w:cs="宋体"/>
                <w:color w:val="000000"/>
                <w:kern w:val="0"/>
              </w:rPr>
              <w:t>提供包括不限于该服务的安装介质、版本升级介质、</w:t>
            </w:r>
            <w:r>
              <w:rPr>
                <w:rFonts w:hint="eastAsia" w:ascii="宋体" w:hAnsi="宋体" w:cs="宋体"/>
                <w:color w:val="000000"/>
                <w:kern w:val="0"/>
              </w:rPr>
              <w:t>软件</w:t>
            </w:r>
            <w:r>
              <w:rPr>
                <w:rFonts w:ascii="宋体" w:hAnsi="宋体" w:cs="宋体"/>
                <w:color w:val="000000"/>
                <w:kern w:val="0"/>
              </w:rPr>
              <w:t>安全</w:t>
            </w:r>
            <w:r>
              <w:rPr>
                <w:rFonts w:hint="eastAsia" w:ascii="宋体" w:hAnsi="宋体" w:cs="宋体"/>
                <w:color w:val="000000"/>
                <w:kern w:val="0"/>
              </w:rPr>
              <w:t>风险补丁</w:t>
            </w:r>
            <w:r>
              <w:rPr>
                <w:rFonts w:ascii="宋体" w:hAnsi="宋体" w:cs="宋体"/>
                <w:color w:val="000000"/>
                <w:kern w:val="0"/>
              </w:rPr>
              <w:t>、产品文档、培训咨询、</w:t>
            </w:r>
            <w:r>
              <w:rPr>
                <w:rFonts w:hint="eastAsia" w:ascii="宋体" w:hAnsi="宋体" w:cs="宋体"/>
                <w:color w:val="000000"/>
                <w:kern w:val="0"/>
              </w:rPr>
              <w:t>管理端</w:t>
            </w:r>
            <w:r>
              <w:rPr>
                <w:rFonts w:ascii="宋体" w:hAnsi="宋体" w:cs="宋体"/>
                <w:color w:val="000000"/>
                <w:kern w:val="0"/>
              </w:rPr>
              <w:t>巡检服务、</w:t>
            </w:r>
            <w:r>
              <w:rPr>
                <w:rFonts w:hint="eastAsia" w:ascii="宋体" w:hAnsi="宋体" w:cs="宋体"/>
                <w:color w:val="000000"/>
                <w:kern w:val="0"/>
              </w:rPr>
              <w:t>管理端</w:t>
            </w:r>
            <w:r>
              <w:rPr>
                <w:rFonts w:ascii="宋体" w:hAnsi="宋体" w:cs="宋体"/>
                <w:color w:val="000000"/>
                <w:kern w:val="0"/>
              </w:rPr>
              <w:t>性能调优、重要活动和重大节假日</w:t>
            </w:r>
            <w:r>
              <w:rPr>
                <w:rFonts w:hint="eastAsia" w:ascii="宋体" w:hAnsi="宋体" w:cs="宋体"/>
                <w:color w:val="000000"/>
                <w:kern w:val="0"/>
              </w:rPr>
              <w:t>管理端</w:t>
            </w:r>
            <w:r>
              <w:rPr>
                <w:rFonts w:ascii="宋体" w:hAnsi="宋体" w:cs="宋体"/>
                <w:color w:val="000000"/>
                <w:kern w:val="0"/>
              </w:rPr>
              <w:t>保障等保障服务。</w:t>
            </w:r>
          </w:p>
        </w:tc>
      </w:tr>
      <w:tr>
        <w:tblPrEx>
          <w:tblCellMar>
            <w:top w:w="0" w:type="dxa"/>
            <w:left w:w="0" w:type="dxa"/>
            <w:bottom w:w="0" w:type="dxa"/>
            <w:right w:w="0" w:type="dxa"/>
          </w:tblCellMar>
        </w:tblPrEx>
        <w:trPr>
          <w:trHeight w:val="121" w:hRule="atLeast"/>
        </w:trPr>
        <w:tc>
          <w:tcPr>
            <w:tcW w:w="15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textAlignment w:val="center"/>
              <w:rPr>
                <w:rFonts w:ascii="宋体" w:hAnsi="宋体" w:cs="宋体"/>
                <w:color w:val="000000"/>
                <w:kern w:val="0"/>
              </w:rPr>
            </w:pPr>
            <w:r>
              <w:rPr>
                <w:rFonts w:ascii="宋体" w:hAnsi="宋体" w:cs="宋体"/>
                <w:color w:val="000000"/>
                <w:kern w:val="0"/>
              </w:rPr>
              <w:t>验收考核要求</w:t>
            </w:r>
          </w:p>
        </w:tc>
        <w:tc>
          <w:tcPr>
            <w:tcW w:w="662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kern w:val="0"/>
              </w:rPr>
            </w:pPr>
            <w:r>
              <w:rPr>
                <w:rFonts w:ascii="宋体" w:hAnsi="宋体" w:cs="宋体"/>
                <w:color w:val="000000"/>
                <w:kern w:val="0"/>
              </w:rPr>
              <w:t>1、提供服务对应软件产品的使用详情，以及提供按套授权的许可编号。</w:t>
            </w:r>
          </w:p>
          <w:p>
            <w:pPr>
              <w:textAlignment w:val="center"/>
              <w:rPr>
                <w:rFonts w:ascii="宋体" w:hAnsi="宋体" w:cs="宋体"/>
                <w:color w:val="000000"/>
                <w:kern w:val="0"/>
              </w:rPr>
            </w:pPr>
            <w:r>
              <w:rPr>
                <w:rFonts w:ascii="宋体" w:hAnsi="宋体" w:cs="宋体"/>
                <w:color w:val="000000"/>
                <w:kern w:val="0"/>
              </w:rPr>
              <w:t>2、服务结算按照实际授权开通套数计算。</w:t>
            </w:r>
          </w:p>
        </w:tc>
      </w:tr>
    </w:tbl>
    <w:p>
      <w:pPr>
        <w:pStyle w:val="4"/>
        <w:numPr>
          <w:ilvl w:val="2"/>
          <w:numId w:val="5"/>
        </w:numPr>
        <w:spacing w:before="160" w:line="300" w:lineRule="exact"/>
        <w:ind w:left="420"/>
        <w:rPr>
          <w:rFonts w:ascii="宋体" w:hAnsi="宋体"/>
        </w:rPr>
      </w:pPr>
      <w:r>
        <w:rPr>
          <w:rFonts w:hint="eastAsia" w:ascii="宋体" w:hAnsi="宋体"/>
          <w:lang w:val="en-US" w:eastAsia="zh-CN"/>
        </w:rPr>
        <w:t>主机安全防护服务</w:t>
      </w:r>
      <w:r>
        <w:rPr>
          <w:rFonts w:ascii="宋体" w:hAnsi="宋体"/>
        </w:rPr>
        <w:t>（PC客户端）</w:t>
      </w:r>
    </w:p>
    <w:tbl>
      <w:tblPr>
        <w:tblStyle w:val="12"/>
        <w:tblW w:w="8334" w:type="dxa"/>
        <w:tblInd w:w="0" w:type="dxa"/>
        <w:tblLayout w:type="fixed"/>
        <w:tblCellMar>
          <w:top w:w="0" w:type="dxa"/>
          <w:left w:w="0" w:type="dxa"/>
          <w:bottom w:w="0" w:type="dxa"/>
          <w:right w:w="0" w:type="dxa"/>
        </w:tblCellMar>
      </w:tblPr>
      <w:tblGrid>
        <w:gridCol w:w="1652"/>
        <w:gridCol w:w="6682"/>
      </w:tblGrid>
      <w:tr>
        <w:tblPrEx>
          <w:tblCellMar>
            <w:top w:w="0" w:type="dxa"/>
            <w:left w:w="0" w:type="dxa"/>
            <w:bottom w:w="0" w:type="dxa"/>
            <w:right w:w="0" w:type="dxa"/>
          </w:tblCellMar>
        </w:tblPrEx>
        <w:trPr>
          <w:trHeight w:val="9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0" w:type="dxa"/>
              <w:left w:w="10" w:type="dxa"/>
              <w:right w:w="10" w:type="dxa"/>
            </w:tcMar>
            <w:vAlign w:val="center"/>
          </w:tcPr>
          <w:p>
            <w:pPr>
              <w:jc w:val="center"/>
              <w:rPr>
                <w:rFonts w:ascii="宋体" w:hAnsi="宋体" w:cs="宋体"/>
                <w:b/>
                <w:bCs/>
                <w:color w:val="000000"/>
                <w:kern w:val="0"/>
              </w:rPr>
            </w:pPr>
            <w:r>
              <w:rPr>
                <w:rFonts w:ascii="宋体" w:hAnsi="宋体" w:cs="宋体"/>
                <w:b/>
                <w:bCs/>
                <w:color w:val="000000"/>
                <w:kern w:val="0"/>
              </w:rPr>
              <w:t>规格</w:t>
            </w:r>
          </w:p>
        </w:tc>
        <w:tc>
          <w:tcPr>
            <w:tcW w:w="6682"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tcMar>
              <w:top w:w="10" w:type="dxa"/>
              <w:left w:w="10" w:type="dxa"/>
              <w:right w:w="10" w:type="dxa"/>
            </w:tcMar>
            <w:vAlign w:val="center"/>
          </w:tcPr>
          <w:p>
            <w:pPr>
              <w:jc w:val="center"/>
              <w:rPr>
                <w:rFonts w:ascii="宋体" w:hAnsi="宋体" w:cs="宋体"/>
                <w:b/>
                <w:bCs/>
                <w:color w:val="000000"/>
                <w:kern w:val="0"/>
              </w:rPr>
            </w:pPr>
            <w:r>
              <w:rPr>
                <w:rFonts w:ascii="宋体" w:hAnsi="宋体" w:cs="宋体"/>
                <w:b/>
                <w:bCs/>
                <w:color w:val="000000"/>
                <w:kern w:val="0"/>
              </w:rPr>
              <w:t>指标要求</w:t>
            </w:r>
          </w:p>
        </w:tc>
      </w:tr>
      <w:tr>
        <w:trPr>
          <w:trHeight w:val="9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textAlignment w:val="bottom"/>
              <w:rPr>
                <w:rFonts w:ascii="宋体" w:hAnsi="宋体" w:cs="宋体"/>
                <w:color w:val="000000"/>
              </w:rPr>
            </w:pPr>
            <w:r>
              <w:rPr>
                <w:rFonts w:ascii="宋体" w:hAnsi="宋体" w:cs="宋体"/>
                <w:color w:val="000000"/>
                <w:kern w:val="0"/>
              </w:rPr>
              <w:t>服务描述</w:t>
            </w:r>
          </w:p>
        </w:tc>
        <w:tc>
          <w:tcPr>
            <w:tcW w:w="668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rPr>
            </w:pPr>
            <w:r>
              <w:rPr>
                <w:rFonts w:ascii="宋体" w:hAnsi="宋体" w:cs="宋体"/>
                <w:color w:val="000000"/>
                <w:kern w:val="0"/>
              </w:rPr>
              <w:t>面向PC终端提供多维度防御病毒传播和横向感染的服务能力，实时监控每个PC端的运行状态、攻击日志、病毒状态，最大程度的减小病毒传播的可能，全面提升PC终端安全管理能力。</w:t>
            </w:r>
          </w:p>
        </w:tc>
      </w:tr>
      <w:tr>
        <w:tblPrEx>
          <w:tblCellMar>
            <w:top w:w="0" w:type="dxa"/>
            <w:left w:w="0" w:type="dxa"/>
            <w:bottom w:w="0" w:type="dxa"/>
            <w:right w:w="0" w:type="dxa"/>
          </w:tblCellMar>
        </w:tblPrEx>
        <w:trPr>
          <w:trHeight w:val="26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textAlignment w:val="bottom"/>
              <w:rPr>
                <w:rFonts w:ascii="宋体" w:hAnsi="宋体" w:cs="宋体"/>
                <w:color w:val="000000"/>
              </w:rPr>
            </w:pPr>
            <w:r>
              <w:rPr>
                <w:rFonts w:ascii="宋体" w:hAnsi="宋体" w:cs="宋体"/>
                <w:color w:val="000000"/>
                <w:kern w:val="0"/>
              </w:rPr>
              <w:t>部署模式</w:t>
            </w:r>
          </w:p>
        </w:tc>
        <w:tc>
          <w:tcPr>
            <w:tcW w:w="668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rPr>
            </w:pPr>
            <w:r>
              <w:rPr>
                <w:rFonts w:ascii="宋体" w:hAnsi="宋体" w:cs="宋体"/>
                <w:color w:val="000000"/>
                <w:kern w:val="0"/>
              </w:rPr>
              <w:t>支持管理端+客户端组合部署，实现终端的集中管控和策略下发。同时支持单机部署以及级联部署。</w:t>
            </w:r>
          </w:p>
        </w:tc>
      </w:tr>
      <w:tr>
        <w:trPr>
          <w:trHeight w:val="9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textAlignment w:val="bottom"/>
              <w:rPr>
                <w:rFonts w:ascii="宋体" w:hAnsi="宋体" w:cs="宋体"/>
                <w:color w:val="000000"/>
              </w:rPr>
            </w:pPr>
            <w:r>
              <w:rPr>
                <w:rFonts w:ascii="宋体" w:hAnsi="宋体" w:cs="宋体"/>
                <w:color w:val="000000"/>
                <w:kern w:val="0"/>
              </w:rPr>
              <w:t>功能要求</w:t>
            </w:r>
          </w:p>
        </w:tc>
        <w:tc>
          <w:tcPr>
            <w:tcW w:w="668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kern w:val="0"/>
              </w:rPr>
            </w:pPr>
            <w:r>
              <w:rPr>
                <w:rFonts w:ascii="宋体" w:hAnsi="宋体" w:cs="宋体"/>
                <w:color w:val="000000"/>
                <w:kern w:val="0"/>
              </w:rPr>
              <w:t>提供PC客户端安全防病毒服务，服务功能要求包括不限于：</w:t>
            </w:r>
            <w:r>
              <w:rPr>
                <w:rFonts w:ascii="宋体" w:hAnsi="宋体" w:cs="宋体"/>
                <w:color w:val="000000"/>
                <w:kern w:val="0"/>
              </w:rPr>
              <w:br w:type="textWrapping"/>
            </w:r>
            <w:r>
              <w:rPr>
                <w:rFonts w:ascii="宋体" w:hAnsi="宋体" w:cs="宋体"/>
                <w:color w:val="000000"/>
                <w:kern w:val="0"/>
              </w:rPr>
              <w:t>1.病毒防护：病毒查杀、病毒诱捕，如勒索病毒等；</w:t>
            </w:r>
            <w:r>
              <w:rPr>
                <w:rFonts w:ascii="宋体" w:hAnsi="宋体" w:cs="宋体"/>
                <w:color w:val="000000"/>
                <w:kern w:val="0"/>
              </w:rPr>
              <w:br w:type="textWrapping"/>
            </w:r>
            <w:r>
              <w:rPr>
                <w:rFonts w:ascii="宋体" w:hAnsi="宋体" w:cs="宋体"/>
                <w:color w:val="000000"/>
                <w:kern w:val="0"/>
              </w:rPr>
              <w:t>2.系统防护：系统加固防御、漏洞修复、入侵检测、系统加固、网络防御、病毒库升级（在线/离线）</w:t>
            </w:r>
            <w:r>
              <w:rPr>
                <w:rFonts w:hint="eastAsia" w:ascii="宋体" w:hAnsi="宋体" w:cs="宋体"/>
                <w:color w:val="000000"/>
                <w:kern w:val="0"/>
                <w:lang w:eastAsia="zh-CN"/>
              </w:rPr>
              <w:t>、</w:t>
            </w:r>
            <w:r>
              <w:rPr>
                <w:rFonts w:hint="eastAsia" w:ascii="宋体" w:hAnsi="宋体" w:cs="宋体"/>
                <w:color w:val="000000"/>
                <w:kern w:val="0"/>
                <w:lang w:val="en-US" w:eastAsia="zh-CN"/>
              </w:rPr>
              <w:t>威胁情报联动、进程与网络异常行为分析检测</w:t>
            </w:r>
            <w:r>
              <w:rPr>
                <w:rFonts w:ascii="宋体" w:hAnsi="宋体" w:cs="宋体"/>
                <w:color w:val="000000"/>
                <w:kern w:val="0"/>
              </w:rPr>
              <w:t>、文件实时监控、软件安装拦截等；</w:t>
            </w:r>
            <w:r>
              <w:rPr>
                <w:rFonts w:ascii="宋体" w:hAnsi="宋体" w:cs="宋体"/>
                <w:color w:val="000000"/>
                <w:kern w:val="0"/>
              </w:rPr>
              <w:br w:type="textWrapping"/>
            </w:r>
            <w:r>
              <w:rPr>
                <w:rFonts w:ascii="宋体" w:hAnsi="宋体" w:cs="宋体"/>
                <w:color w:val="000000"/>
                <w:kern w:val="0"/>
              </w:rPr>
              <w:t>3.终端集中管理：使用单位（多租户）管理、资产管理、服务管理、审计管理、</w:t>
            </w:r>
            <w:r>
              <w:rPr>
                <w:rFonts w:hint="default" w:ascii="宋体" w:hAnsi="宋体" w:cs="宋体"/>
                <w:color w:val="000000"/>
                <w:kern w:val="0"/>
                <w:lang w:val="en-US" w:eastAsia="zh-CN"/>
              </w:rPr>
              <w:t>安全日志采集审计、</w:t>
            </w:r>
            <w:r>
              <w:rPr>
                <w:rFonts w:ascii="宋体" w:hAnsi="宋体" w:cs="宋体"/>
                <w:color w:val="000000"/>
                <w:kern w:val="0"/>
              </w:rPr>
              <w:t>风险态势展示等功能。</w:t>
            </w:r>
          </w:p>
          <w:p>
            <w:pPr>
              <w:textAlignment w:val="center"/>
              <w:rPr>
                <w:rFonts w:hint="default" w:ascii="宋体" w:hAnsi="宋体" w:cs="宋体"/>
                <w:color w:val="000000"/>
                <w:kern w:val="0"/>
              </w:rPr>
            </w:pPr>
            <w:r>
              <w:rPr>
                <w:rFonts w:hint="default" w:ascii="宋体" w:hAnsi="宋体" w:cs="宋体"/>
                <w:color w:val="000000"/>
                <w:kern w:val="0"/>
                <w:lang w:val="en-US" w:eastAsia="zh-CN"/>
              </w:rPr>
              <w:t>4.</w:t>
            </w:r>
            <w:r>
              <w:rPr>
                <w:rFonts w:hint="default" w:ascii="宋体" w:hAnsi="宋体" w:cs="宋体"/>
                <w:color w:val="000000"/>
                <w:kern w:val="0"/>
              </w:rPr>
              <w:t>资产管理：支持展示主机中的账号、开放端口、进程、软件、自启动项等信息。</w:t>
            </w:r>
          </w:p>
          <w:p>
            <w:pPr>
              <w:textAlignment w:val="center"/>
              <w:rPr>
                <w:rFonts w:hint="default" w:ascii="宋体" w:hAnsi="宋体" w:cs="宋体"/>
                <w:color w:val="000000"/>
                <w:kern w:val="0"/>
              </w:rPr>
            </w:pPr>
            <w:r>
              <w:rPr>
                <w:rFonts w:hint="eastAsia" w:ascii="宋体" w:hAnsi="宋体" w:cs="宋体"/>
                <w:color w:val="000000"/>
                <w:kern w:val="0"/>
                <w:lang w:val="en-US" w:eastAsia="zh-CN"/>
              </w:rPr>
              <w:t>5.</w:t>
            </w:r>
            <w:r>
              <w:rPr>
                <w:rFonts w:hint="default" w:ascii="宋体" w:hAnsi="宋体" w:cs="宋体"/>
                <w:color w:val="000000"/>
                <w:kern w:val="0"/>
              </w:rPr>
              <w:t>漏洞处理：支持漏洞检测、漏洞检测结果现实、漏洞具体信息展示和漏洞处置，漏洞信息显示包含漏洞名称、风险程度、漏洞描述、修复建议和漏洞详情，漏洞处置包括忽略、取消忽略、批量主机一键修复和验证。</w:t>
            </w:r>
          </w:p>
          <w:p>
            <w:pPr>
              <w:textAlignment w:val="center"/>
              <w:rPr>
                <w:rFonts w:hint="default" w:ascii="宋体" w:hAnsi="宋体" w:cs="宋体"/>
                <w:color w:val="000000"/>
                <w:kern w:val="0"/>
              </w:rPr>
            </w:pPr>
            <w:r>
              <w:rPr>
                <w:rFonts w:hint="eastAsia" w:ascii="宋体" w:hAnsi="宋体" w:cs="宋体"/>
                <w:color w:val="000000"/>
                <w:kern w:val="0"/>
                <w:lang w:val="en-US" w:eastAsia="zh-CN"/>
              </w:rPr>
              <w:t>6.</w:t>
            </w:r>
            <w:r>
              <w:rPr>
                <w:rFonts w:hint="default" w:ascii="宋体" w:hAnsi="宋体" w:cs="宋体"/>
                <w:color w:val="000000"/>
                <w:kern w:val="0"/>
              </w:rPr>
              <w:t>基线检查：口令复杂度策略检测支持口令复杂度策略检测和结果显示，给出修改建议，帮助用户提升口令安全性。支持检测系统账号口令是否属于常见的弱口令，防止账户口令被轻易猜解。支持检测常见应用不安全配置项的检测。</w:t>
            </w:r>
          </w:p>
          <w:p>
            <w:pPr>
              <w:textAlignment w:val="center"/>
              <w:rPr>
                <w:rFonts w:ascii="宋体" w:hAnsi="宋体" w:cs="宋体"/>
                <w:color w:val="000000"/>
              </w:rPr>
            </w:pPr>
            <w:r>
              <w:rPr>
                <w:rFonts w:hint="eastAsia" w:ascii="宋体" w:hAnsi="宋体" w:cs="宋体"/>
                <w:color w:val="000000"/>
                <w:kern w:val="0"/>
                <w:lang w:val="en-US" w:eastAsia="zh-CN"/>
              </w:rPr>
              <w:t>7.</w:t>
            </w:r>
            <w:r>
              <w:rPr>
                <w:rFonts w:hint="default" w:ascii="宋体" w:hAnsi="宋体" w:cs="宋体"/>
                <w:color w:val="000000"/>
                <w:kern w:val="0"/>
              </w:rPr>
              <w:t>入侵检测：支持高危命令执行检测，支持恶意程序检测、WebShell、反弹Shell检测、进程异常、暴力破解等检测能力。</w:t>
            </w:r>
          </w:p>
        </w:tc>
      </w:tr>
      <w:tr>
        <w:tblPrEx>
          <w:tblCellMar>
            <w:top w:w="0" w:type="dxa"/>
            <w:left w:w="0" w:type="dxa"/>
            <w:bottom w:w="0" w:type="dxa"/>
            <w:right w:w="0" w:type="dxa"/>
          </w:tblCellMar>
        </w:tblPrEx>
        <w:trPr>
          <w:trHeight w:val="130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textAlignment w:val="bottom"/>
              <w:rPr>
                <w:rFonts w:ascii="宋体" w:hAnsi="宋体" w:cs="宋体"/>
                <w:color w:val="000000"/>
              </w:rPr>
            </w:pPr>
            <w:r>
              <w:rPr>
                <w:rFonts w:ascii="宋体" w:hAnsi="宋体" w:cs="宋体"/>
                <w:color w:val="000000"/>
                <w:kern w:val="0"/>
              </w:rPr>
              <w:t>性能要求</w:t>
            </w:r>
          </w:p>
        </w:tc>
        <w:tc>
          <w:tcPr>
            <w:tcW w:w="668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rPr>
            </w:pPr>
            <w:r>
              <w:rPr>
                <w:rFonts w:ascii="宋体" w:hAnsi="宋体" w:cs="宋体"/>
                <w:color w:val="000000"/>
                <w:kern w:val="0"/>
              </w:rPr>
              <w:t>1、在管理端（CPU：8核，内存：8GB 磁盘容量：1TB）的资源配置场景下，支持管理的客户端数量大于10万台，小于30万台；</w:t>
            </w:r>
            <w:r>
              <w:rPr>
                <w:rFonts w:ascii="宋体" w:hAnsi="宋体" w:cs="宋体"/>
                <w:color w:val="000000"/>
                <w:kern w:val="0"/>
              </w:rPr>
              <w:br w:type="textWrapping"/>
            </w:r>
            <w:r>
              <w:rPr>
                <w:rFonts w:ascii="宋体" w:hAnsi="宋体" w:cs="宋体"/>
                <w:color w:val="000000"/>
                <w:kern w:val="0"/>
              </w:rPr>
              <w:t>2、在客户端（CPU：4核，内存：8GB 磁盘容量：50GB ）的资源配置场景下：</w:t>
            </w:r>
            <w:r>
              <w:rPr>
                <w:rFonts w:ascii="宋体" w:hAnsi="宋体" w:cs="宋体"/>
                <w:color w:val="000000"/>
                <w:kern w:val="0"/>
              </w:rPr>
              <w:br w:type="textWrapping"/>
            </w:r>
            <w:r>
              <w:rPr>
                <w:rFonts w:ascii="宋体" w:hAnsi="宋体" w:cs="宋体"/>
                <w:color w:val="000000"/>
                <w:kern w:val="0"/>
              </w:rPr>
              <w:t xml:space="preserve">     1）病毒扫描时，主机内存资源占用≤50MB, CPU资源占用率≤15%;</w:t>
            </w:r>
            <w:r>
              <w:rPr>
                <w:rFonts w:ascii="宋体" w:hAnsi="宋体" w:cs="宋体"/>
                <w:color w:val="000000"/>
                <w:kern w:val="0"/>
              </w:rPr>
              <w:br w:type="textWrapping"/>
            </w:r>
            <w:r>
              <w:rPr>
                <w:rFonts w:ascii="宋体" w:hAnsi="宋体" w:cs="宋体"/>
                <w:color w:val="000000"/>
                <w:kern w:val="0"/>
              </w:rPr>
              <w:t xml:space="preserve">     2）病毒监控时，主机内存资源占用≤50MB, CPU资源占用率≤1%;</w:t>
            </w:r>
            <w:r>
              <w:rPr>
                <w:rFonts w:ascii="宋体" w:hAnsi="宋体" w:cs="宋体"/>
                <w:color w:val="000000"/>
                <w:kern w:val="0"/>
              </w:rPr>
              <w:br w:type="textWrapping"/>
            </w:r>
            <w:r>
              <w:rPr>
                <w:rFonts w:ascii="宋体" w:hAnsi="宋体" w:cs="宋体"/>
                <w:color w:val="000000"/>
                <w:kern w:val="0"/>
              </w:rPr>
              <w:t xml:space="preserve">     3）病毒检出率≥98%。（不具备测试验证场景时，提供相关软件产品检出率证明材料）</w:t>
            </w:r>
          </w:p>
        </w:tc>
      </w:tr>
      <w:tr>
        <w:trPr>
          <w:trHeight w:val="78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textAlignment w:val="bottom"/>
              <w:rPr>
                <w:rFonts w:ascii="宋体" w:hAnsi="宋体" w:cs="宋体"/>
                <w:color w:val="000000"/>
              </w:rPr>
            </w:pPr>
            <w:r>
              <w:rPr>
                <w:rFonts w:ascii="宋体" w:hAnsi="宋体" w:cs="宋体"/>
                <w:color w:val="000000"/>
                <w:kern w:val="0"/>
              </w:rPr>
              <w:t>兼容性要求</w:t>
            </w:r>
          </w:p>
        </w:tc>
        <w:tc>
          <w:tcPr>
            <w:tcW w:w="668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rPr>
            </w:pPr>
            <w:r>
              <w:rPr>
                <w:rFonts w:ascii="宋体" w:hAnsi="宋体" w:cs="宋体"/>
                <w:color w:val="000000"/>
                <w:kern w:val="0"/>
              </w:rPr>
              <w:t>1、支持中标麒麟、银河麒麟、统信UOS、深度等多种主流国产操作系统，同时支持Linux、Windows、Unix等国外主流操作系统。</w:t>
            </w:r>
            <w:r>
              <w:rPr>
                <w:rFonts w:ascii="宋体" w:hAnsi="宋体" w:cs="宋体"/>
                <w:color w:val="000000"/>
                <w:kern w:val="0"/>
              </w:rPr>
              <w:br w:type="textWrapping"/>
            </w:r>
            <w:r>
              <w:rPr>
                <w:rFonts w:ascii="宋体" w:hAnsi="宋体" w:cs="宋体"/>
                <w:color w:val="000000"/>
                <w:kern w:val="0"/>
              </w:rPr>
              <w:t>2、支持红莲花等多种国产浏览器，同时支持IE、firefox等多种国外主流浏览器。</w:t>
            </w:r>
          </w:p>
        </w:tc>
      </w:tr>
      <w:tr>
        <w:tblPrEx>
          <w:tblCellMar>
            <w:top w:w="0" w:type="dxa"/>
            <w:left w:w="0" w:type="dxa"/>
            <w:bottom w:w="0" w:type="dxa"/>
            <w:right w:w="0" w:type="dxa"/>
          </w:tblCellMar>
        </w:tblPrEx>
        <w:trPr>
          <w:trHeight w:val="52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textAlignment w:val="bottom"/>
              <w:rPr>
                <w:rFonts w:ascii="宋体" w:hAnsi="宋体" w:cs="宋体"/>
                <w:color w:val="000000"/>
              </w:rPr>
            </w:pPr>
            <w:r>
              <w:rPr>
                <w:rFonts w:ascii="宋体" w:hAnsi="宋体" w:cs="宋体"/>
                <w:color w:val="000000"/>
                <w:kern w:val="0"/>
              </w:rPr>
              <w:t>安全性要求</w:t>
            </w:r>
          </w:p>
        </w:tc>
        <w:tc>
          <w:tcPr>
            <w:tcW w:w="668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rPr>
            </w:pPr>
            <w:r>
              <w:rPr>
                <w:rFonts w:ascii="宋体" w:hAnsi="宋体" w:cs="宋体"/>
                <w:color w:val="000000"/>
                <w:kern w:val="0"/>
              </w:rPr>
              <w:t>1、具备计算机信息系统安全专计算机信息系统安全专用产品销售许可证（增强级）；</w:t>
            </w:r>
            <w:r>
              <w:rPr>
                <w:rFonts w:ascii="宋体" w:hAnsi="宋体" w:cs="宋体"/>
                <w:color w:val="000000"/>
                <w:kern w:val="0"/>
              </w:rPr>
              <w:br w:type="textWrapping"/>
            </w:r>
            <w:r>
              <w:rPr>
                <w:rFonts w:ascii="宋体" w:hAnsi="宋体" w:cs="宋体"/>
                <w:color w:val="000000"/>
                <w:kern w:val="0"/>
              </w:rPr>
              <w:t>2、具备信息技术产品安全测评证书（EAL3+）。</w:t>
            </w:r>
          </w:p>
        </w:tc>
      </w:tr>
      <w:tr>
        <w:tblPrEx>
          <w:tblCellMar>
            <w:top w:w="0" w:type="dxa"/>
            <w:left w:w="0" w:type="dxa"/>
            <w:bottom w:w="0" w:type="dxa"/>
            <w:right w:w="0" w:type="dxa"/>
          </w:tblCellMar>
        </w:tblPrEx>
        <w:trPr>
          <w:trHeight w:val="52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textAlignment w:val="bottom"/>
              <w:rPr>
                <w:rFonts w:ascii="宋体" w:hAnsi="宋体" w:cs="宋体"/>
                <w:color w:val="000000"/>
              </w:rPr>
            </w:pPr>
            <w:r>
              <w:rPr>
                <w:rFonts w:ascii="宋体" w:hAnsi="宋体" w:cs="宋体"/>
                <w:color w:val="000000"/>
                <w:kern w:val="0"/>
              </w:rPr>
              <w:t>服务要求</w:t>
            </w:r>
          </w:p>
        </w:tc>
        <w:tc>
          <w:tcPr>
            <w:tcW w:w="668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rPr>
            </w:pPr>
            <w:r>
              <w:rPr>
                <w:rFonts w:ascii="宋体" w:hAnsi="宋体" w:cs="宋体"/>
                <w:color w:val="000000"/>
                <w:kern w:val="0"/>
              </w:rPr>
              <w:t>提供包括不限于该服务的安装介质、版本升级介质、</w:t>
            </w:r>
            <w:r>
              <w:rPr>
                <w:rFonts w:hint="eastAsia" w:ascii="宋体" w:hAnsi="宋体" w:cs="宋体"/>
                <w:color w:val="000000"/>
                <w:kern w:val="0"/>
              </w:rPr>
              <w:t>软件</w:t>
            </w:r>
            <w:r>
              <w:rPr>
                <w:rFonts w:ascii="宋体" w:hAnsi="宋体" w:cs="宋体"/>
                <w:color w:val="000000"/>
                <w:kern w:val="0"/>
              </w:rPr>
              <w:t>安全</w:t>
            </w:r>
            <w:r>
              <w:rPr>
                <w:rFonts w:hint="eastAsia" w:ascii="宋体" w:hAnsi="宋体" w:cs="宋体"/>
                <w:color w:val="000000"/>
                <w:kern w:val="0"/>
              </w:rPr>
              <w:t>风险补丁</w:t>
            </w:r>
            <w:r>
              <w:rPr>
                <w:rFonts w:ascii="宋体" w:hAnsi="宋体" w:cs="宋体"/>
                <w:color w:val="000000"/>
                <w:kern w:val="0"/>
              </w:rPr>
              <w:t>、产品文档、培训咨询、</w:t>
            </w:r>
            <w:r>
              <w:rPr>
                <w:rFonts w:hint="eastAsia" w:ascii="宋体" w:hAnsi="宋体" w:cs="宋体"/>
                <w:color w:val="000000"/>
                <w:kern w:val="0"/>
              </w:rPr>
              <w:t>管理端</w:t>
            </w:r>
            <w:r>
              <w:rPr>
                <w:rFonts w:ascii="宋体" w:hAnsi="宋体" w:cs="宋体"/>
                <w:color w:val="000000"/>
                <w:kern w:val="0"/>
              </w:rPr>
              <w:t>巡检服务、</w:t>
            </w:r>
            <w:r>
              <w:rPr>
                <w:rFonts w:hint="eastAsia" w:ascii="宋体" w:hAnsi="宋体" w:cs="宋体"/>
                <w:color w:val="000000"/>
                <w:kern w:val="0"/>
              </w:rPr>
              <w:t>管理端</w:t>
            </w:r>
            <w:r>
              <w:rPr>
                <w:rFonts w:ascii="宋体" w:hAnsi="宋体" w:cs="宋体"/>
                <w:color w:val="000000"/>
                <w:kern w:val="0"/>
              </w:rPr>
              <w:t>性能调优、重要活动和重大节假日</w:t>
            </w:r>
            <w:r>
              <w:rPr>
                <w:rFonts w:hint="eastAsia" w:ascii="宋体" w:hAnsi="宋体" w:cs="宋体"/>
                <w:color w:val="000000"/>
                <w:kern w:val="0"/>
              </w:rPr>
              <w:t>管理端</w:t>
            </w:r>
            <w:r>
              <w:rPr>
                <w:rFonts w:ascii="宋体" w:hAnsi="宋体" w:cs="宋体"/>
                <w:color w:val="000000"/>
                <w:kern w:val="0"/>
              </w:rPr>
              <w:t>保障等保障服务。</w:t>
            </w:r>
          </w:p>
        </w:tc>
      </w:tr>
      <w:tr>
        <w:trPr>
          <w:trHeight w:val="9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textAlignment w:val="center"/>
              <w:rPr>
                <w:rFonts w:ascii="宋体" w:hAnsi="宋体" w:cs="宋体"/>
                <w:color w:val="000000"/>
                <w:kern w:val="0"/>
              </w:rPr>
            </w:pPr>
            <w:r>
              <w:rPr>
                <w:rFonts w:ascii="宋体" w:hAnsi="宋体" w:cs="宋体"/>
                <w:color w:val="000000"/>
                <w:kern w:val="0"/>
              </w:rPr>
              <w:t>验收考核要求</w:t>
            </w:r>
          </w:p>
        </w:tc>
        <w:tc>
          <w:tcPr>
            <w:tcW w:w="668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kern w:val="0"/>
              </w:rPr>
            </w:pPr>
            <w:r>
              <w:rPr>
                <w:rFonts w:ascii="宋体" w:hAnsi="宋体" w:cs="宋体"/>
                <w:color w:val="000000"/>
                <w:kern w:val="0"/>
              </w:rPr>
              <w:t>1、提供服务对应软件产品的使用详情，以及提供按套授权的许可编号。</w:t>
            </w:r>
          </w:p>
          <w:p>
            <w:pPr>
              <w:textAlignment w:val="center"/>
              <w:rPr>
                <w:rFonts w:ascii="宋体" w:hAnsi="宋体" w:cs="宋体"/>
                <w:color w:val="000000"/>
                <w:kern w:val="0"/>
              </w:rPr>
            </w:pPr>
            <w:r>
              <w:rPr>
                <w:rFonts w:ascii="宋体" w:hAnsi="宋体" w:cs="宋体"/>
                <w:color w:val="000000"/>
                <w:kern w:val="0"/>
              </w:rPr>
              <w:t>2、服务结算按照实际授权开通套数计算。</w:t>
            </w:r>
          </w:p>
        </w:tc>
      </w:tr>
    </w:tbl>
    <w:p>
      <w:pPr>
        <w:pStyle w:val="4"/>
        <w:numPr>
          <w:ilvl w:val="2"/>
          <w:numId w:val="5"/>
        </w:numPr>
        <w:spacing w:before="160" w:line="300" w:lineRule="exact"/>
        <w:ind w:left="420"/>
        <w:rPr>
          <w:rFonts w:ascii="宋体" w:hAnsi="宋体"/>
        </w:rPr>
      </w:pPr>
      <w:bookmarkStart w:id="49" w:name="_Toc18952"/>
      <w:bookmarkStart w:id="50" w:name="_Toc4371"/>
      <w:r>
        <w:rPr>
          <w:rFonts w:ascii="宋体" w:hAnsi="宋体"/>
        </w:rPr>
        <w:t>实时语音转写服务</w:t>
      </w:r>
      <w:bookmarkEnd w:id="49"/>
      <w:bookmarkEnd w:id="50"/>
    </w:p>
    <w:tbl>
      <w:tblPr>
        <w:tblStyle w:val="12"/>
        <w:tblW w:w="8338" w:type="dxa"/>
        <w:tblInd w:w="0" w:type="dxa"/>
        <w:tblLayout w:type="fixed"/>
        <w:tblCellMar>
          <w:top w:w="0" w:type="dxa"/>
          <w:left w:w="0" w:type="dxa"/>
          <w:bottom w:w="0" w:type="dxa"/>
          <w:right w:w="0" w:type="dxa"/>
        </w:tblCellMar>
      </w:tblPr>
      <w:tblGrid>
        <w:gridCol w:w="1652"/>
        <w:gridCol w:w="6686"/>
      </w:tblGrid>
      <w:tr>
        <w:trPr>
          <w:trHeight w:val="9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0" w:type="dxa"/>
              <w:left w:w="10" w:type="dxa"/>
              <w:right w:w="10" w:type="dxa"/>
            </w:tcMar>
            <w:vAlign w:val="center"/>
          </w:tcPr>
          <w:p>
            <w:pPr>
              <w:jc w:val="center"/>
              <w:rPr>
                <w:rFonts w:ascii="宋体" w:hAnsi="宋体" w:cs="宋体"/>
                <w:b/>
                <w:bCs/>
                <w:color w:val="000000"/>
                <w:kern w:val="0"/>
                <w:szCs w:val="21"/>
              </w:rPr>
            </w:pPr>
            <w:r>
              <w:rPr>
                <w:rFonts w:ascii="宋体" w:hAnsi="宋体" w:cs="宋体"/>
                <w:b/>
                <w:bCs/>
                <w:color w:val="000000"/>
                <w:kern w:val="0"/>
                <w:szCs w:val="21"/>
              </w:rPr>
              <w:t>规格</w:t>
            </w:r>
          </w:p>
        </w:tc>
        <w:tc>
          <w:tcPr>
            <w:tcW w:w="6686"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tcMar>
              <w:top w:w="10" w:type="dxa"/>
              <w:left w:w="10" w:type="dxa"/>
              <w:right w:w="10" w:type="dxa"/>
            </w:tcMar>
            <w:vAlign w:val="center"/>
          </w:tcPr>
          <w:p>
            <w:pPr>
              <w:jc w:val="center"/>
              <w:rPr>
                <w:rFonts w:ascii="宋体" w:hAnsi="宋体" w:cs="宋体"/>
                <w:b/>
                <w:bCs/>
                <w:color w:val="000000"/>
                <w:kern w:val="0"/>
                <w:szCs w:val="21"/>
              </w:rPr>
            </w:pPr>
            <w:r>
              <w:rPr>
                <w:rFonts w:ascii="宋体" w:hAnsi="宋体" w:cs="宋体"/>
                <w:b/>
                <w:bCs/>
                <w:color w:val="000000"/>
                <w:kern w:val="0"/>
                <w:szCs w:val="21"/>
              </w:rPr>
              <w:t>指标要求</w:t>
            </w:r>
          </w:p>
        </w:tc>
      </w:tr>
      <w:tr>
        <w:trPr>
          <w:trHeight w:val="52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szCs w:val="21"/>
              </w:rPr>
            </w:pPr>
            <w:r>
              <w:rPr>
                <w:rFonts w:ascii="宋体" w:hAnsi="宋体" w:cs="宋体"/>
                <w:color w:val="000000"/>
                <w:kern w:val="0"/>
                <w:szCs w:val="21"/>
              </w:rPr>
              <w:t>服务描述</w:t>
            </w:r>
          </w:p>
        </w:tc>
        <w:tc>
          <w:tcPr>
            <w:tcW w:w="66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szCs w:val="21"/>
              </w:rPr>
            </w:pPr>
            <w:r>
              <w:rPr>
                <w:rFonts w:ascii="宋体" w:hAnsi="宋体" w:cs="宋体"/>
                <w:color w:val="000000"/>
                <w:kern w:val="0"/>
                <w:szCs w:val="21"/>
              </w:rPr>
              <w:t>提供基于普通话将实时/离线音频流转换为文字的实时语音转写服务，不含方言和小语种。</w:t>
            </w:r>
          </w:p>
        </w:tc>
      </w:tr>
      <w:tr>
        <w:trPr>
          <w:trHeight w:val="26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szCs w:val="21"/>
              </w:rPr>
            </w:pPr>
            <w:r>
              <w:rPr>
                <w:rFonts w:ascii="宋体" w:hAnsi="宋体" w:cs="宋体"/>
                <w:color w:val="000000"/>
                <w:kern w:val="0"/>
                <w:szCs w:val="21"/>
              </w:rPr>
              <w:t>部署模式</w:t>
            </w:r>
          </w:p>
        </w:tc>
        <w:tc>
          <w:tcPr>
            <w:tcW w:w="66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szCs w:val="21"/>
              </w:rPr>
            </w:pPr>
            <w:r>
              <w:rPr>
                <w:rFonts w:ascii="宋体" w:hAnsi="宋体" w:cs="宋体"/>
                <w:color w:val="000000"/>
                <w:kern w:val="0"/>
                <w:szCs w:val="21"/>
              </w:rPr>
              <w:t>支持单机和集群部署模式</w:t>
            </w:r>
          </w:p>
        </w:tc>
      </w:tr>
      <w:tr>
        <w:trPr>
          <w:trHeight w:val="9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szCs w:val="21"/>
              </w:rPr>
            </w:pPr>
            <w:r>
              <w:rPr>
                <w:rFonts w:ascii="宋体" w:hAnsi="宋体" w:cs="宋体"/>
                <w:color w:val="000000"/>
                <w:kern w:val="0"/>
                <w:szCs w:val="21"/>
              </w:rPr>
              <w:t>功能要求</w:t>
            </w:r>
          </w:p>
        </w:tc>
        <w:tc>
          <w:tcPr>
            <w:tcW w:w="66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szCs w:val="21"/>
              </w:rPr>
            </w:pPr>
            <w:r>
              <w:rPr>
                <w:rFonts w:ascii="宋体" w:hAnsi="宋体" w:cs="宋体"/>
                <w:color w:val="000000"/>
                <w:kern w:val="0"/>
                <w:szCs w:val="21"/>
              </w:rPr>
              <w:t>提供基础普通话转写服务，不包含方言和外语，提供16K在线引擎的单声道识别服务，可以将音频流实时识别为文字，也可以支持上传音频文件进行识别；返回结果包含每句话的开始和结束时间，适用于音视频字幕、直播字幕、会议记录等场景。</w:t>
            </w:r>
            <w:r>
              <w:rPr>
                <w:rFonts w:ascii="宋体" w:hAnsi="宋体" w:cs="宋体"/>
                <w:color w:val="000000"/>
                <w:kern w:val="0"/>
                <w:szCs w:val="21"/>
              </w:rPr>
              <w:br w:type="textWrapping"/>
            </w:r>
            <w:r>
              <w:rPr>
                <w:rFonts w:ascii="宋体" w:hAnsi="宋体" w:cs="宋体"/>
                <w:b/>
                <w:color w:val="000000"/>
                <w:szCs w:val="21"/>
              </w:rPr>
              <w:t>一、语音接入要求</w:t>
            </w:r>
            <w:r>
              <w:rPr>
                <w:rFonts w:ascii="宋体" w:hAnsi="宋体" w:cs="宋体"/>
                <w:color w:val="000000"/>
                <w:kern w:val="0"/>
                <w:szCs w:val="21"/>
              </w:rPr>
              <w:br w:type="textWrapping"/>
            </w:r>
            <w:r>
              <w:rPr>
                <w:rFonts w:ascii="宋体" w:hAnsi="宋体" w:cs="宋体"/>
                <w:color w:val="000000"/>
                <w:kern w:val="0"/>
                <w:szCs w:val="21"/>
              </w:rPr>
              <w:t>1.支持多音频格式接入，如支持raw、mp3、opus、vox、alaw、ulaw格式录音接入。支持8k16bit，16k16bit采样率音频接入。支持音频传输加密处理，并提供音频最佳压缩比和网络纠错能力。</w:t>
            </w:r>
            <w:r>
              <w:rPr>
                <w:rFonts w:ascii="宋体" w:hAnsi="宋体" w:cs="宋体"/>
                <w:color w:val="000000"/>
                <w:kern w:val="0"/>
                <w:szCs w:val="21"/>
              </w:rPr>
              <w:br w:type="textWrapping"/>
            </w:r>
            <w:r>
              <w:rPr>
                <w:rFonts w:ascii="宋体" w:hAnsi="宋体" w:cs="宋体"/>
                <w:color w:val="000000"/>
                <w:kern w:val="0"/>
                <w:szCs w:val="21"/>
              </w:rPr>
              <w:t>2.支持多渠道接入，语音识别需满足实时语音流的多种接入方式，支持Android/IOS/H5渠道接入；支持国际标准的媒体资源控制协议MRCP协议接入。</w:t>
            </w:r>
            <w:r>
              <w:rPr>
                <w:rFonts w:ascii="宋体" w:hAnsi="宋体" w:cs="宋体"/>
                <w:color w:val="000000"/>
                <w:kern w:val="0"/>
                <w:szCs w:val="21"/>
              </w:rPr>
              <w:br w:type="textWrapping"/>
            </w:r>
            <w:r>
              <w:rPr>
                <w:rFonts w:ascii="宋体" w:hAnsi="宋体" w:cs="宋体"/>
                <w:b/>
                <w:color w:val="000000"/>
                <w:szCs w:val="21"/>
              </w:rPr>
              <w:t>二、语音识别要求</w:t>
            </w:r>
            <w:r>
              <w:rPr>
                <w:rFonts w:ascii="宋体" w:hAnsi="宋体" w:cs="宋体"/>
                <w:color w:val="000000"/>
                <w:kern w:val="0"/>
                <w:szCs w:val="21"/>
              </w:rPr>
              <w:br w:type="textWrapping"/>
            </w:r>
            <w:r>
              <w:rPr>
                <w:rFonts w:ascii="宋体" w:hAnsi="宋体" w:cs="宋体"/>
                <w:color w:val="000000"/>
                <w:kern w:val="0"/>
                <w:szCs w:val="21"/>
              </w:rPr>
              <w:t>1.数字字符串转写功能，支持电话号码识别，支持金额识别，支持日期识别</w:t>
            </w:r>
            <w:r>
              <w:rPr>
                <w:rFonts w:ascii="宋体" w:hAnsi="宋体" w:cs="宋体"/>
                <w:color w:val="000000"/>
                <w:kern w:val="0"/>
                <w:szCs w:val="21"/>
              </w:rPr>
              <w:br w:type="textWrapping"/>
            </w:r>
            <w:r>
              <w:rPr>
                <w:rFonts w:ascii="宋体" w:hAnsi="宋体" w:cs="宋体"/>
                <w:color w:val="000000"/>
                <w:kern w:val="0"/>
                <w:szCs w:val="21"/>
              </w:rPr>
              <w:t>2.端点检测，端点检测是对输入的音频流进行分析，确定人员说话的起始和终止的处理过程。一旦检测到人员开始说话，语音开始流向识别引擎，直到检测到人员说话结束。识别引擎需在人员说话的同时就开始进行识别处理，避免话务数据信息丢失。</w:t>
            </w:r>
            <w:r>
              <w:rPr>
                <w:rFonts w:ascii="宋体" w:hAnsi="宋体" w:cs="宋体"/>
                <w:color w:val="000000"/>
                <w:kern w:val="0"/>
                <w:szCs w:val="21"/>
              </w:rPr>
              <w:br w:type="textWrapping"/>
            </w:r>
            <w:r>
              <w:rPr>
                <w:rFonts w:ascii="宋体" w:hAnsi="宋体" w:cs="宋体"/>
                <w:color w:val="000000"/>
                <w:kern w:val="0"/>
                <w:szCs w:val="21"/>
              </w:rPr>
              <w:t>3.噪声消除，在实际应用中，针对电话场景，适应人员在千差万别的环境中的语音文件识别要求，提供软件噪声消除功能，满足噪音环境下的语音文件识别。</w:t>
            </w:r>
            <w:r>
              <w:rPr>
                <w:rFonts w:ascii="宋体" w:hAnsi="宋体" w:cs="宋体"/>
                <w:color w:val="000000"/>
                <w:kern w:val="0"/>
                <w:szCs w:val="21"/>
              </w:rPr>
              <w:br w:type="textWrapping"/>
            </w:r>
            <w:r>
              <w:rPr>
                <w:rFonts w:ascii="宋体" w:hAnsi="宋体" w:cs="宋体"/>
                <w:color w:val="000000"/>
                <w:kern w:val="0"/>
                <w:szCs w:val="21"/>
              </w:rPr>
              <w:t>4.中文连续转写，根据场景，定制包括专业术语连续语音文件识别功能，满足8小时以上的不间断识别要求，并支持识别结果实时反馈，输出响应时间应小于700ms。</w:t>
            </w:r>
            <w:r>
              <w:rPr>
                <w:rFonts w:ascii="宋体" w:hAnsi="宋体" w:cs="宋体"/>
                <w:color w:val="000000"/>
                <w:kern w:val="0"/>
                <w:szCs w:val="21"/>
              </w:rPr>
              <w:br w:type="textWrapping"/>
            </w:r>
            <w:r>
              <w:rPr>
                <w:rFonts w:ascii="宋体" w:hAnsi="宋体" w:cs="宋体"/>
                <w:b/>
                <w:color w:val="000000"/>
                <w:szCs w:val="21"/>
              </w:rPr>
              <w:t>三、语音识别结果展示要求</w:t>
            </w:r>
            <w:r>
              <w:rPr>
                <w:rFonts w:ascii="宋体" w:hAnsi="宋体" w:cs="宋体"/>
                <w:color w:val="000000"/>
                <w:kern w:val="0"/>
                <w:szCs w:val="21"/>
              </w:rPr>
              <w:br w:type="textWrapping"/>
            </w:r>
            <w:r>
              <w:rPr>
                <w:rFonts w:ascii="宋体" w:hAnsi="宋体" w:cs="宋体"/>
                <w:color w:val="000000"/>
                <w:kern w:val="0"/>
                <w:szCs w:val="21"/>
              </w:rPr>
              <w:t>1.支持敏感词过滤，能够自动对语音文件识别结果中的敏感词进行自动过滤。</w:t>
            </w:r>
            <w:r>
              <w:rPr>
                <w:rFonts w:ascii="宋体" w:hAnsi="宋体" w:cs="宋体"/>
                <w:color w:val="000000"/>
                <w:kern w:val="0"/>
                <w:szCs w:val="21"/>
              </w:rPr>
              <w:br w:type="textWrapping"/>
            </w:r>
            <w:r>
              <w:rPr>
                <w:rFonts w:ascii="宋体" w:hAnsi="宋体" w:cs="宋体"/>
                <w:color w:val="000000"/>
                <w:kern w:val="0"/>
                <w:szCs w:val="21"/>
              </w:rPr>
              <w:t>2.支持语气词过滤，支持能将语气词和多余的词汇滤除，以保证录入文本的规整。</w:t>
            </w:r>
            <w:r>
              <w:rPr>
                <w:rFonts w:ascii="宋体" w:hAnsi="宋体" w:cs="宋体"/>
                <w:color w:val="000000"/>
                <w:kern w:val="0"/>
                <w:szCs w:val="21"/>
              </w:rPr>
              <w:br w:type="textWrapping"/>
            </w:r>
            <w:r>
              <w:rPr>
                <w:rFonts w:ascii="宋体" w:hAnsi="宋体" w:cs="宋体"/>
                <w:color w:val="000000"/>
                <w:kern w:val="0"/>
                <w:szCs w:val="21"/>
              </w:rPr>
              <w:t>3.数字字符串自动规整，能通过上下文语境分析，支持对语音文件识别结果中的数字串自动规整，可以识别日期、金额、单号等数字，文本输出为数字，并符合数字书面表达形式。</w:t>
            </w:r>
            <w:r>
              <w:rPr>
                <w:rFonts w:ascii="宋体" w:hAnsi="宋体" w:cs="宋体"/>
                <w:color w:val="000000"/>
                <w:kern w:val="0"/>
                <w:szCs w:val="21"/>
              </w:rPr>
              <w:br w:type="textWrapping"/>
            </w:r>
            <w:r>
              <w:rPr>
                <w:rFonts w:ascii="宋体" w:hAnsi="宋体" w:cs="宋体"/>
                <w:color w:val="000000"/>
                <w:kern w:val="0"/>
                <w:szCs w:val="21"/>
              </w:rPr>
              <w:t>4.标点智能预测，对语音识别文件的文本结果智能预测其对话语境，提供标点智能预测功能，自动生成标点符号，提高输出文本的可读性与规整性。</w:t>
            </w:r>
            <w:r>
              <w:rPr>
                <w:rFonts w:ascii="宋体" w:hAnsi="宋体" w:cs="宋体"/>
                <w:color w:val="000000"/>
                <w:kern w:val="0"/>
                <w:szCs w:val="21"/>
              </w:rPr>
              <w:br w:type="textWrapping"/>
            </w:r>
            <w:r>
              <w:rPr>
                <w:rFonts w:ascii="宋体" w:hAnsi="宋体" w:cs="宋体"/>
                <w:color w:val="000000"/>
                <w:kern w:val="0"/>
                <w:szCs w:val="21"/>
              </w:rPr>
              <w:t>5.针对识别结果能够进行二遍智能纠正，在实时语音文件识别过程中，能针对语音识别第一次识别错误的文本结果，能够根据语音内容对第一次的错误文本结果进行纠正，保障文本输出的正确性。</w:t>
            </w:r>
            <w:r>
              <w:rPr>
                <w:rFonts w:ascii="宋体" w:hAnsi="宋体" w:cs="宋体"/>
                <w:color w:val="000000"/>
                <w:kern w:val="0"/>
                <w:szCs w:val="21"/>
              </w:rPr>
              <w:br w:type="textWrapping"/>
            </w:r>
            <w:r>
              <w:rPr>
                <w:rFonts w:ascii="宋体" w:hAnsi="宋体" w:cs="宋体"/>
                <w:color w:val="000000"/>
                <w:kern w:val="0"/>
                <w:szCs w:val="21"/>
              </w:rPr>
              <w:t>6.识别文本词边界输出，语音文件识别服务返回文本识别结果时需携带识别结果的分词信息，并携带分词的起始和终止点，用于分析说话人语速变化，辅助情绪识别。</w:t>
            </w:r>
          </w:p>
        </w:tc>
      </w:tr>
      <w:tr>
        <w:trPr>
          <w:trHeight w:val="130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szCs w:val="21"/>
              </w:rPr>
            </w:pPr>
            <w:r>
              <w:rPr>
                <w:rFonts w:ascii="宋体" w:hAnsi="宋体" w:cs="宋体"/>
                <w:color w:val="000000"/>
                <w:kern w:val="0"/>
                <w:szCs w:val="21"/>
              </w:rPr>
              <w:t>性能要求</w:t>
            </w:r>
          </w:p>
        </w:tc>
        <w:tc>
          <w:tcPr>
            <w:tcW w:w="66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szCs w:val="21"/>
              </w:rPr>
            </w:pPr>
            <w:r>
              <w:rPr>
                <w:rFonts w:ascii="宋体" w:hAnsi="宋体" w:cs="宋体"/>
                <w:color w:val="000000"/>
                <w:kern w:val="0"/>
                <w:szCs w:val="21"/>
              </w:rPr>
              <w:t>1、语音识别准确率，中文普通话场景下，语音识别准确率应不低于90%（识别率：指中文汉字识别率）。</w:t>
            </w:r>
            <w:r>
              <w:rPr>
                <w:rFonts w:ascii="宋体" w:hAnsi="宋体" w:cs="宋体"/>
                <w:color w:val="000000"/>
                <w:kern w:val="0"/>
                <w:szCs w:val="21"/>
              </w:rPr>
              <w:br w:type="textWrapping"/>
            </w:r>
            <w:r>
              <w:rPr>
                <w:rFonts w:ascii="宋体" w:hAnsi="宋体" w:cs="宋体"/>
                <w:color w:val="000000"/>
                <w:kern w:val="0"/>
                <w:szCs w:val="21"/>
              </w:rPr>
              <w:t>2、支持大词汇量（≥5000）、非特定、噪声环境（40分贝左右）、多麦串音（两个人及以上）等情况下的汉语识别能力。</w:t>
            </w:r>
            <w:r>
              <w:rPr>
                <w:rFonts w:ascii="宋体" w:hAnsi="宋体" w:cs="宋体"/>
                <w:color w:val="000000"/>
                <w:kern w:val="0"/>
                <w:szCs w:val="21"/>
              </w:rPr>
              <w:br w:type="textWrapping"/>
            </w:r>
            <w:r>
              <w:rPr>
                <w:rFonts w:ascii="宋体" w:hAnsi="宋体" w:cs="宋体"/>
                <w:color w:val="000000"/>
                <w:kern w:val="0"/>
                <w:szCs w:val="21"/>
              </w:rPr>
              <w:t>3、人机交互60秒内短句在线平均子句响应时间在1秒内。</w:t>
            </w:r>
            <w:r>
              <w:rPr>
                <w:rFonts w:ascii="宋体" w:hAnsi="宋体" w:cs="宋体"/>
                <w:color w:val="000000"/>
                <w:kern w:val="0"/>
                <w:szCs w:val="21"/>
              </w:rPr>
              <w:br w:type="textWrapping"/>
            </w:r>
            <w:r>
              <w:rPr>
                <w:rFonts w:ascii="宋体" w:hAnsi="宋体" w:cs="宋体"/>
                <w:color w:val="000000"/>
                <w:kern w:val="0"/>
                <w:szCs w:val="21"/>
              </w:rPr>
              <w:t>4、实时语音转写：支持30路以上并发能力，平均子句响应时间在1秒内；</w:t>
            </w:r>
            <w:r>
              <w:rPr>
                <w:rFonts w:ascii="宋体" w:hAnsi="宋体" w:cs="宋体"/>
                <w:color w:val="000000"/>
                <w:kern w:val="0"/>
                <w:szCs w:val="21"/>
              </w:rPr>
              <w:br w:type="textWrapping"/>
            </w:r>
            <w:r>
              <w:rPr>
                <w:rFonts w:ascii="宋体" w:hAnsi="宋体" w:cs="宋体"/>
                <w:color w:val="000000"/>
                <w:kern w:val="0"/>
                <w:szCs w:val="21"/>
              </w:rPr>
              <w:t xml:space="preserve">   离线语音转写：支持30路以上并发能力，1小时完成不少于100小时语料转写能力。</w:t>
            </w:r>
          </w:p>
        </w:tc>
      </w:tr>
      <w:tr>
        <w:trPr>
          <w:trHeight w:val="100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szCs w:val="21"/>
              </w:rPr>
            </w:pPr>
            <w:r>
              <w:rPr>
                <w:rFonts w:ascii="宋体" w:hAnsi="宋体" w:cs="宋体"/>
                <w:color w:val="000000"/>
                <w:kern w:val="0"/>
                <w:szCs w:val="21"/>
              </w:rPr>
              <w:t>兼容性要求</w:t>
            </w:r>
          </w:p>
        </w:tc>
        <w:tc>
          <w:tcPr>
            <w:tcW w:w="66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numPr>
                <w:ilvl w:val="0"/>
                <w:numId w:val="16"/>
              </w:numPr>
              <w:textAlignment w:val="center"/>
              <w:rPr>
                <w:rFonts w:ascii="宋体" w:hAnsi="宋体" w:cs="宋体"/>
                <w:color w:val="000000"/>
                <w:szCs w:val="21"/>
              </w:rPr>
            </w:pPr>
            <w:r>
              <w:rPr>
                <w:rFonts w:ascii="宋体" w:hAnsi="宋体" w:cs="宋体"/>
                <w:color w:val="000000"/>
                <w:kern w:val="0"/>
                <w:szCs w:val="21"/>
              </w:rPr>
              <w:t>硬件兼容X86</w:t>
            </w:r>
            <w:r>
              <w:rPr>
                <w:rFonts w:hint="eastAsia" w:ascii="宋体" w:hAnsi="宋体" w:cs="宋体"/>
                <w:color w:val="000000"/>
                <w:kern w:val="0"/>
                <w:szCs w:val="21"/>
                <w:lang w:eastAsia="zh-CN"/>
              </w:rPr>
              <w:t>、</w:t>
            </w:r>
            <w:r>
              <w:rPr>
                <w:rFonts w:hint="eastAsia" w:ascii="宋体" w:hAnsi="宋体" w:cs="宋体"/>
                <w:color w:val="000000"/>
                <w:kern w:val="0"/>
                <w:szCs w:val="21"/>
                <w:lang w:val="en-US" w:eastAsia="zh-CN"/>
              </w:rPr>
              <w:t>ARM</w:t>
            </w:r>
            <w:r>
              <w:rPr>
                <w:rFonts w:ascii="宋体" w:hAnsi="宋体" w:cs="宋体"/>
                <w:color w:val="000000"/>
                <w:kern w:val="0"/>
                <w:szCs w:val="21"/>
              </w:rPr>
              <w:t>环境；</w:t>
            </w:r>
            <w:r>
              <w:rPr>
                <w:rFonts w:ascii="宋体" w:hAnsi="宋体" w:cs="宋体"/>
                <w:color w:val="000000"/>
                <w:kern w:val="0"/>
                <w:szCs w:val="21"/>
              </w:rPr>
              <w:br w:type="textWrapping"/>
            </w:r>
            <w:r>
              <w:rPr>
                <w:rFonts w:ascii="宋体" w:hAnsi="宋体" w:cs="宋体"/>
                <w:color w:val="000000"/>
                <w:kern w:val="0"/>
                <w:szCs w:val="21"/>
              </w:rPr>
              <w:t>2.系统兼容性，支持</w:t>
            </w:r>
            <w:r>
              <w:rPr>
                <w:rFonts w:hint="eastAsia" w:ascii="宋体" w:hAnsi="宋体" w:cs="宋体"/>
                <w:color w:val="000000"/>
                <w:kern w:val="0"/>
                <w:szCs w:val="21"/>
                <w:lang w:val="en-US" w:eastAsia="zh-CN"/>
              </w:rPr>
              <w:t>统</w:t>
            </w:r>
            <w:r>
              <w:rPr>
                <w:rFonts w:hint="eastAsia" w:ascii="宋体" w:hAnsi="宋体" w:cs="宋体"/>
                <w:color w:val="000000"/>
                <w:kern w:val="0"/>
                <w:szCs w:val="21"/>
                <w:u w:val="single"/>
                <w:lang w:val="en-US" w:eastAsia="zh-CN"/>
              </w:rPr>
              <w:t>信</w:t>
            </w:r>
            <w:r>
              <w:rPr>
                <w:rFonts w:ascii="宋体" w:hAnsi="宋体" w:cs="宋体"/>
                <w:color w:val="000000"/>
                <w:kern w:val="0"/>
                <w:szCs w:val="21"/>
              </w:rPr>
              <w:t>、银河麒麟等操作系统；</w:t>
            </w:r>
            <w:r>
              <w:rPr>
                <w:rFonts w:ascii="宋体" w:hAnsi="宋体" w:cs="宋体"/>
                <w:color w:val="000000"/>
                <w:kern w:val="0"/>
                <w:szCs w:val="21"/>
              </w:rPr>
              <w:br w:type="textWrapping"/>
            </w:r>
            <w:r>
              <w:rPr>
                <w:rFonts w:ascii="宋体" w:hAnsi="宋体" w:cs="宋体"/>
                <w:color w:val="000000"/>
                <w:kern w:val="0"/>
                <w:szCs w:val="21"/>
              </w:rPr>
              <w:t>3.产品API接口支持Java、C++、C#、go、Python等多种编程语言；</w:t>
            </w:r>
          </w:p>
        </w:tc>
      </w:tr>
      <w:tr>
        <w:trPr>
          <w:trHeight w:val="44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szCs w:val="21"/>
              </w:rPr>
            </w:pPr>
            <w:r>
              <w:rPr>
                <w:rFonts w:ascii="宋体" w:hAnsi="宋体" w:cs="宋体"/>
                <w:color w:val="000000"/>
                <w:kern w:val="0"/>
                <w:szCs w:val="21"/>
              </w:rPr>
              <w:t>安全性要求</w:t>
            </w:r>
          </w:p>
        </w:tc>
        <w:tc>
          <w:tcPr>
            <w:tcW w:w="66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szCs w:val="21"/>
              </w:rPr>
            </w:pPr>
            <w:r>
              <w:rPr>
                <w:rFonts w:ascii="宋体" w:hAnsi="宋体" w:cs="宋体"/>
                <w:color w:val="000000"/>
                <w:kern w:val="0"/>
                <w:szCs w:val="21"/>
              </w:rPr>
              <w:t>提供的软件产品通过第三方安全检测。</w:t>
            </w:r>
          </w:p>
        </w:tc>
      </w:tr>
      <w:tr>
        <w:trPr>
          <w:trHeight w:val="52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szCs w:val="21"/>
              </w:rPr>
            </w:pPr>
            <w:r>
              <w:rPr>
                <w:rFonts w:ascii="宋体" w:hAnsi="宋体" w:cs="宋体"/>
                <w:color w:val="000000"/>
                <w:kern w:val="0"/>
                <w:szCs w:val="21"/>
              </w:rPr>
              <w:t>服务要求</w:t>
            </w:r>
          </w:p>
        </w:tc>
        <w:tc>
          <w:tcPr>
            <w:tcW w:w="66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szCs w:val="21"/>
              </w:rPr>
            </w:pPr>
            <w:r>
              <w:rPr>
                <w:rFonts w:ascii="宋体" w:hAnsi="宋体" w:cs="宋体"/>
                <w:color w:val="000000"/>
                <w:kern w:val="0"/>
                <w:szCs w:val="21"/>
              </w:rPr>
              <w:t>提供包括不限于该服务的安装使用材料、产品使用介质、版本升级介质、产品API、适配改造、</w:t>
            </w:r>
            <w:r>
              <w:rPr>
                <w:rFonts w:hint="eastAsia" w:ascii="宋体" w:hAnsi="宋体" w:cs="宋体"/>
                <w:color w:val="000000"/>
                <w:kern w:val="0"/>
                <w:szCs w:val="21"/>
              </w:rPr>
              <w:t>管理端</w:t>
            </w:r>
            <w:r>
              <w:rPr>
                <w:rFonts w:ascii="宋体" w:hAnsi="宋体" w:cs="宋体"/>
                <w:color w:val="000000"/>
                <w:kern w:val="0"/>
                <w:szCs w:val="21"/>
              </w:rPr>
              <w:t>安全问题修复、</w:t>
            </w:r>
            <w:r>
              <w:rPr>
                <w:rFonts w:hint="eastAsia" w:ascii="宋体" w:hAnsi="宋体" w:cs="宋体"/>
                <w:color w:val="000000"/>
                <w:kern w:val="0"/>
                <w:szCs w:val="21"/>
              </w:rPr>
              <w:t>管理端</w:t>
            </w:r>
            <w:r>
              <w:rPr>
                <w:rFonts w:ascii="宋体" w:hAnsi="宋体" w:cs="宋体"/>
                <w:color w:val="000000"/>
                <w:kern w:val="0"/>
                <w:szCs w:val="21"/>
              </w:rPr>
              <w:t>应急保障、产品文档、培训咨询、巡检服务、</w:t>
            </w:r>
            <w:r>
              <w:rPr>
                <w:rFonts w:hint="eastAsia" w:ascii="宋体" w:hAnsi="宋体" w:cs="宋体"/>
                <w:color w:val="000000"/>
                <w:kern w:val="0"/>
                <w:szCs w:val="21"/>
              </w:rPr>
              <w:t>管理端</w:t>
            </w:r>
            <w:r>
              <w:rPr>
                <w:rFonts w:ascii="宋体" w:hAnsi="宋体" w:cs="宋体"/>
                <w:color w:val="000000"/>
                <w:kern w:val="0"/>
                <w:szCs w:val="21"/>
              </w:rPr>
              <w:t>性能调优、重要活动和重大节假日</w:t>
            </w:r>
            <w:r>
              <w:rPr>
                <w:rFonts w:hint="eastAsia" w:ascii="宋体" w:hAnsi="宋体" w:cs="宋体"/>
                <w:color w:val="000000"/>
                <w:kern w:val="0"/>
                <w:szCs w:val="21"/>
              </w:rPr>
              <w:t>管理端</w:t>
            </w:r>
            <w:r>
              <w:rPr>
                <w:rFonts w:ascii="宋体" w:hAnsi="宋体" w:cs="宋体"/>
                <w:color w:val="000000"/>
                <w:kern w:val="0"/>
                <w:szCs w:val="21"/>
              </w:rPr>
              <w:t>保障等保障服务。</w:t>
            </w:r>
          </w:p>
        </w:tc>
      </w:tr>
      <w:tr>
        <w:trPr>
          <w:trHeight w:val="9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kern w:val="0"/>
                <w:szCs w:val="21"/>
              </w:rPr>
            </w:pPr>
            <w:r>
              <w:rPr>
                <w:rFonts w:ascii="宋体" w:hAnsi="宋体" w:cs="宋体"/>
                <w:color w:val="000000"/>
                <w:kern w:val="0"/>
                <w:szCs w:val="21"/>
              </w:rPr>
              <w:t>验收考核要求</w:t>
            </w:r>
          </w:p>
        </w:tc>
        <w:tc>
          <w:tcPr>
            <w:tcW w:w="66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kern w:val="0"/>
                <w:szCs w:val="21"/>
              </w:rPr>
            </w:pPr>
            <w:r>
              <w:rPr>
                <w:rFonts w:ascii="宋体" w:hAnsi="宋体" w:cs="宋体"/>
                <w:color w:val="000000"/>
                <w:kern w:val="0"/>
                <w:szCs w:val="21"/>
              </w:rPr>
              <w:t>1、提供PaaS服务对应软件产品的使用详情。</w:t>
            </w:r>
          </w:p>
          <w:p>
            <w:pPr>
              <w:textAlignment w:val="center"/>
              <w:rPr>
                <w:rFonts w:ascii="宋体" w:hAnsi="宋体" w:cs="宋体"/>
                <w:color w:val="000000"/>
                <w:kern w:val="0"/>
                <w:szCs w:val="21"/>
              </w:rPr>
            </w:pPr>
            <w:r>
              <w:rPr>
                <w:rFonts w:ascii="宋体" w:hAnsi="宋体" w:eastAsia="宋体" w:cs="宋体"/>
                <w:color w:val="000000"/>
                <w:kern w:val="0"/>
                <w:sz w:val="21"/>
                <w:szCs w:val="21"/>
                <w14:ligatures w14:val="none"/>
              </w:rPr>
              <w:t>2、服务结算按照软件产品部署后</w:t>
            </w:r>
            <w:r>
              <w:rPr>
                <w:rFonts w:hint="eastAsia" w:ascii="宋体" w:hAnsi="宋体" w:eastAsia="宋体" w:cs="宋体"/>
                <w:color w:val="000000"/>
                <w:kern w:val="0"/>
                <w:sz w:val="21"/>
                <w:szCs w:val="21"/>
                <w:lang w:eastAsia="zh-CN"/>
                <w14:ligatures w14:val="none"/>
              </w:rPr>
              <w:t>“</w:t>
            </w:r>
            <w:r>
              <w:rPr>
                <w:rFonts w:hint="eastAsia" w:ascii="宋体" w:hAnsi="宋体" w:eastAsia="宋体" w:cs="宋体"/>
                <w:color w:val="000000"/>
                <w:kern w:val="0"/>
                <w:sz w:val="21"/>
                <w:szCs w:val="21"/>
                <w:lang w:val="en-US" w:eastAsia="zh-CN"/>
                <w14:ligatures w14:val="none"/>
              </w:rPr>
              <w:t>调用次数</w:t>
            </w:r>
            <w:r>
              <w:rPr>
                <w:rFonts w:hint="eastAsia" w:ascii="宋体" w:hAnsi="宋体" w:eastAsia="宋体" w:cs="宋体"/>
                <w:color w:val="000000"/>
                <w:kern w:val="0"/>
                <w:sz w:val="21"/>
                <w:szCs w:val="21"/>
                <w:lang w:eastAsia="zh-CN"/>
                <w14:ligatures w14:val="none"/>
              </w:rPr>
              <w:t>”</w:t>
            </w:r>
            <w:r>
              <w:rPr>
                <w:rFonts w:ascii="宋体" w:hAnsi="宋体" w:eastAsia="宋体" w:cs="宋体"/>
                <w:color w:val="000000"/>
                <w:kern w:val="0"/>
                <w:sz w:val="21"/>
                <w:szCs w:val="21"/>
                <w14:ligatures w14:val="none"/>
              </w:rPr>
              <w:t>进行结算。</w:t>
            </w:r>
          </w:p>
        </w:tc>
      </w:tr>
    </w:tbl>
    <w:p/>
    <w:p>
      <w:pPr>
        <w:pStyle w:val="4"/>
        <w:numPr>
          <w:ilvl w:val="2"/>
          <w:numId w:val="5"/>
        </w:numPr>
        <w:spacing w:before="160" w:line="300" w:lineRule="exact"/>
        <w:ind w:left="420"/>
        <w:rPr>
          <w:rFonts w:ascii="宋体" w:hAnsi="宋体"/>
        </w:rPr>
      </w:pPr>
      <w:bookmarkStart w:id="51" w:name="_Toc12948"/>
      <w:bookmarkStart w:id="52" w:name="_Toc6468"/>
      <w:r>
        <w:rPr>
          <w:rFonts w:ascii="宋体" w:hAnsi="宋体"/>
        </w:rPr>
        <w:t>在线语音合成服务</w:t>
      </w:r>
      <w:bookmarkEnd w:id="51"/>
      <w:bookmarkEnd w:id="52"/>
    </w:p>
    <w:tbl>
      <w:tblPr>
        <w:tblStyle w:val="12"/>
        <w:tblW w:w="8327" w:type="dxa"/>
        <w:tblInd w:w="0" w:type="dxa"/>
        <w:tblLayout w:type="fixed"/>
        <w:tblCellMar>
          <w:top w:w="0" w:type="dxa"/>
          <w:left w:w="0" w:type="dxa"/>
          <w:bottom w:w="0" w:type="dxa"/>
          <w:right w:w="0" w:type="dxa"/>
        </w:tblCellMar>
      </w:tblPr>
      <w:tblGrid>
        <w:gridCol w:w="1652"/>
        <w:gridCol w:w="6675"/>
      </w:tblGrid>
      <w:tr>
        <w:trPr>
          <w:trHeight w:val="9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0" w:type="dxa"/>
              <w:left w:w="10" w:type="dxa"/>
              <w:right w:w="10" w:type="dxa"/>
            </w:tcMar>
            <w:vAlign w:val="center"/>
          </w:tcPr>
          <w:p>
            <w:pPr>
              <w:jc w:val="center"/>
              <w:rPr>
                <w:rFonts w:ascii="宋体" w:hAnsi="宋体" w:cs="宋体"/>
                <w:b/>
                <w:bCs/>
                <w:color w:val="000000"/>
                <w:kern w:val="0"/>
              </w:rPr>
            </w:pPr>
            <w:r>
              <w:rPr>
                <w:rFonts w:ascii="宋体" w:hAnsi="宋体" w:cs="宋体"/>
                <w:b/>
                <w:bCs/>
                <w:color w:val="000000"/>
                <w:kern w:val="0"/>
              </w:rPr>
              <w:t>规格</w:t>
            </w:r>
          </w:p>
        </w:tc>
        <w:tc>
          <w:tcPr>
            <w:tcW w:w="6675"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tcMar>
              <w:top w:w="10" w:type="dxa"/>
              <w:left w:w="10" w:type="dxa"/>
              <w:right w:w="10" w:type="dxa"/>
            </w:tcMar>
            <w:vAlign w:val="center"/>
          </w:tcPr>
          <w:p>
            <w:pPr>
              <w:jc w:val="center"/>
              <w:rPr>
                <w:rFonts w:ascii="宋体" w:hAnsi="宋体" w:cs="宋体"/>
                <w:b/>
                <w:bCs/>
                <w:color w:val="000000"/>
                <w:kern w:val="0"/>
              </w:rPr>
            </w:pPr>
            <w:r>
              <w:rPr>
                <w:rFonts w:ascii="宋体" w:hAnsi="宋体" w:cs="宋体"/>
                <w:b/>
                <w:bCs/>
                <w:color w:val="000000"/>
                <w:kern w:val="0"/>
              </w:rPr>
              <w:t>指标要求</w:t>
            </w:r>
          </w:p>
        </w:tc>
      </w:tr>
      <w:tr>
        <w:tblPrEx>
          <w:tblCellMar>
            <w:top w:w="0" w:type="dxa"/>
            <w:left w:w="0" w:type="dxa"/>
            <w:bottom w:w="0" w:type="dxa"/>
            <w:right w:w="0" w:type="dxa"/>
          </w:tblCellMar>
        </w:tblPrEx>
        <w:trPr>
          <w:trHeight w:val="52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sz w:val="20"/>
                <w:szCs w:val="20"/>
              </w:rPr>
            </w:pPr>
            <w:r>
              <w:rPr>
                <w:rFonts w:ascii="宋体" w:hAnsi="宋体" w:cs="宋体"/>
                <w:color w:val="000000"/>
                <w:kern w:val="0"/>
                <w:sz w:val="20"/>
                <w:szCs w:val="20"/>
              </w:rPr>
              <w:t>服务描述</w:t>
            </w:r>
          </w:p>
        </w:tc>
        <w:tc>
          <w:tcPr>
            <w:tcW w:w="66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sz w:val="20"/>
                <w:szCs w:val="20"/>
              </w:rPr>
            </w:pPr>
            <w:r>
              <w:rPr>
                <w:rFonts w:ascii="宋体" w:hAnsi="宋体" w:cs="宋体"/>
                <w:color w:val="000000"/>
                <w:kern w:val="0"/>
                <w:sz w:val="20"/>
                <w:szCs w:val="20"/>
              </w:rPr>
              <w:t>提供基于中文的普通文本合成为拟人的语音，“像人一样开口说话”的文章等文本转音频(TTS)在线语音合成服务，不包含方言和小语种。</w:t>
            </w:r>
          </w:p>
        </w:tc>
      </w:tr>
      <w:tr>
        <w:trPr>
          <w:trHeight w:val="26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sz w:val="20"/>
                <w:szCs w:val="20"/>
              </w:rPr>
            </w:pPr>
            <w:r>
              <w:rPr>
                <w:rFonts w:ascii="宋体" w:hAnsi="宋体" w:cs="宋体"/>
                <w:color w:val="000000"/>
                <w:kern w:val="0"/>
                <w:sz w:val="20"/>
                <w:szCs w:val="20"/>
              </w:rPr>
              <w:t>部署模式</w:t>
            </w:r>
          </w:p>
        </w:tc>
        <w:tc>
          <w:tcPr>
            <w:tcW w:w="66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sz w:val="20"/>
                <w:szCs w:val="20"/>
              </w:rPr>
            </w:pPr>
            <w:r>
              <w:rPr>
                <w:rFonts w:ascii="宋体" w:hAnsi="宋体" w:cs="宋体"/>
                <w:color w:val="000000"/>
                <w:kern w:val="0"/>
                <w:sz w:val="20"/>
                <w:szCs w:val="20"/>
              </w:rPr>
              <w:t>支持单机和集群部署模式</w:t>
            </w:r>
          </w:p>
        </w:tc>
      </w:tr>
      <w:tr>
        <w:tblPrEx>
          <w:tblCellMar>
            <w:top w:w="0" w:type="dxa"/>
            <w:left w:w="0" w:type="dxa"/>
            <w:bottom w:w="0" w:type="dxa"/>
            <w:right w:w="0" w:type="dxa"/>
          </w:tblCellMar>
        </w:tblPrEx>
        <w:trPr>
          <w:trHeight w:val="9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sz w:val="20"/>
                <w:szCs w:val="20"/>
              </w:rPr>
            </w:pPr>
            <w:r>
              <w:rPr>
                <w:rFonts w:ascii="宋体" w:hAnsi="宋体" w:cs="宋体"/>
                <w:color w:val="000000"/>
                <w:kern w:val="0"/>
                <w:sz w:val="20"/>
                <w:szCs w:val="20"/>
              </w:rPr>
              <w:t>功能要求</w:t>
            </w:r>
          </w:p>
        </w:tc>
        <w:tc>
          <w:tcPr>
            <w:tcW w:w="66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sz w:val="20"/>
                <w:szCs w:val="20"/>
              </w:rPr>
            </w:pPr>
            <w:r>
              <w:rPr>
                <w:rFonts w:ascii="宋体" w:hAnsi="宋体" w:cs="宋体"/>
                <w:color w:val="000000"/>
                <w:kern w:val="0"/>
                <w:sz w:val="20"/>
                <w:szCs w:val="20"/>
              </w:rPr>
              <w:t>1.提供基础普通话合成服务，不包含方言和小语种。基于海量文本语料的自然语言理解技术实现的语音合成功能。</w:t>
            </w:r>
            <w:r>
              <w:rPr>
                <w:rFonts w:ascii="宋体" w:hAnsi="宋体" w:cs="宋体"/>
                <w:color w:val="000000"/>
                <w:kern w:val="0"/>
                <w:sz w:val="20"/>
                <w:szCs w:val="20"/>
              </w:rPr>
              <w:br w:type="textWrapping"/>
            </w:r>
            <w:r>
              <w:rPr>
                <w:rFonts w:ascii="宋体" w:hAnsi="宋体" w:cs="宋体"/>
                <w:color w:val="000000"/>
                <w:kern w:val="0"/>
                <w:sz w:val="20"/>
                <w:szCs w:val="20"/>
              </w:rPr>
              <w:t>2.支持中文断词断句准确、普通话男声女声声库、普通话男声女声试听等功能。</w:t>
            </w:r>
            <w:r>
              <w:rPr>
                <w:rFonts w:ascii="宋体" w:hAnsi="宋体" w:cs="宋体"/>
                <w:color w:val="000000"/>
                <w:kern w:val="0"/>
                <w:sz w:val="20"/>
                <w:szCs w:val="20"/>
              </w:rPr>
              <w:br w:type="textWrapping"/>
            </w:r>
            <w:r>
              <w:rPr>
                <w:rFonts w:ascii="宋体" w:hAnsi="宋体" w:cs="宋体"/>
                <w:color w:val="000000"/>
                <w:kern w:val="0"/>
                <w:sz w:val="20"/>
                <w:szCs w:val="20"/>
              </w:rPr>
              <w:t>3.提供百万量级词条的词典，高精度的多音字处理能力。</w:t>
            </w:r>
            <w:r>
              <w:rPr>
                <w:rFonts w:ascii="宋体" w:hAnsi="宋体" w:cs="宋体"/>
                <w:color w:val="000000"/>
                <w:kern w:val="0"/>
                <w:sz w:val="20"/>
                <w:szCs w:val="20"/>
              </w:rPr>
              <w:br w:type="textWrapping"/>
            </w:r>
            <w:r>
              <w:rPr>
                <w:rFonts w:ascii="宋体" w:hAnsi="宋体" w:cs="宋体"/>
                <w:color w:val="000000"/>
                <w:kern w:val="0"/>
                <w:sz w:val="20"/>
                <w:szCs w:val="20"/>
              </w:rPr>
              <w:t>4.准确的韵律层级预测，使合成语音的使用者更易于理解句子的内容；</w:t>
            </w:r>
            <w:r>
              <w:rPr>
                <w:rFonts w:ascii="宋体" w:hAnsi="宋体" w:cs="宋体"/>
                <w:color w:val="000000"/>
                <w:kern w:val="0"/>
                <w:sz w:val="20"/>
                <w:szCs w:val="20"/>
              </w:rPr>
              <w:br w:type="textWrapping"/>
            </w:r>
            <w:r>
              <w:rPr>
                <w:rFonts w:ascii="宋体" w:hAnsi="宋体" w:cs="宋体"/>
                <w:color w:val="000000"/>
                <w:kern w:val="0"/>
                <w:sz w:val="20"/>
                <w:szCs w:val="20"/>
              </w:rPr>
              <w:t>5.语音合成服务，基于HTTP请求的REST API接口，将文本转换为可以播放的音频文件。合成的文件格式为 mp3，pcm（16k），wav（16k）等。</w:t>
            </w:r>
            <w:r>
              <w:rPr>
                <w:rFonts w:ascii="宋体" w:hAnsi="宋体" w:cs="宋体"/>
                <w:color w:val="000000"/>
                <w:kern w:val="0"/>
                <w:sz w:val="20"/>
                <w:szCs w:val="20"/>
              </w:rPr>
              <w:br w:type="textWrapping"/>
            </w:r>
            <w:r>
              <w:rPr>
                <w:rFonts w:ascii="宋体" w:hAnsi="宋体" w:cs="宋体"/>
                <w:color w:val="000000"/>
                <w:kern w:val="0"/>
                <w:sz w:val="20"/>
                <w:szCs w:val="20"/>
              </w:rPr>
              <w:t>6.支持语速和音量设置,支持合成音的音量、语速、音高（基频）等多种合成参数动态调整功能；</w:t>
            </w:r>
            <w:r>
              <w:rPr>
                <w:rFonts w:ascii="宋体" w:hAnsi="宋体" w:cs="宋体"/>
                <w:color w:val="000000"/>
                <w:kern w:val="0"/>
                <w:sz w:val="20"/>
                <w:szCs w:val="20"/>
              </w:rPr>
              <w:br w:type="textWrapping"/>
            </w:r>
            <w:r>
              <w:rPr>
                <w:rFonts w:ascii="宋体" w:hAnsi="宋体" w:cs="宋体"/>
                <w:color w:val="000000"/>
                <w:kern w:val="0"/>
                <w:sz w:val="20"/>
                <w:szCs w:val="20"/>
              </w:rPr>
              <w:t>7.多样化合成方式：支持数字读法判断，根据上下文和语境判断数字朗读方式，是朗读成数值还是号码；支持指定姓氏发音，通过[r1]标记强制人名中姓氏发音；支持预录音的模版音合成等功能。</w:t>
            </w:r>
            <w:r>
              <w:rPr>
                <w:rFonts w:ascii="宋体" w:hAnsi="宋体" w:cs="宋体"/>
                <w:color w:val="000000"/>
                <w:kern w:val="0"/>
                <w:sz w:val="20"/>
                <w:szCs w:val="20"/>
              </w:rPr>
              <w:br w:type="textWrapping"/>
            </w:r>
            <w:r>
              <w:rPr>
                <w:rFonts w:ascii="宋体" w:hAnsi="宋体" w:cs="宋体"/>
                <w:color w:val="000000"/>
                <w:kern w:val="0"/>
                <w:sz w:val="20"/>
                <w:szCs w:val="20"/>
              </w:rPr>
              <w:t>8.多种合成文本的编码：GB2312、GBK、UTF8等各种合成文本的编码；</w:t>
            </w:r>
            <w:r>
              <w:rPr>
                <w:rFonts w:ascii="宋体" w:hAnsi="宋体" w:cs="宋体"/>
                <w:color w:val="000000"/>
                <w:kern w:val="0"/>
                <w:sz w:val="20"/>
                <w:szCs w:val="20"/>
              </w:rPr>
              <w:br w:type="textWrapping"/>
            </w:r>
            <w:r>
              <w:rPr>
                <w:rFonts w:ascii="宋体" w:hAnsi="宋体" w:cs="宋体"/>
                <w:color w:val="000000"/>
                <w:kern w:val="0"/>
                <w:sz w:val="20"/>
                <w:szCs w:val="20"/>
              </w:rPr>
              <w:t>9.中文多音字发音预测：支持根据上下文和语境判断中文多音字发音，对于单字或者有歧义的多音字发音，可以通过强制拼音标记来指定发音。</w:t>
            </w:r>
            <w:r>
              <w:rPr>
                <w:rFonts w:ascii="宋体" w:hAnsi="宋体" w:cs="宋体"/>
                <w:color w:val="000000"/>
                <w:kern w:val="0"/>
                <w:sz w:val="20"/>
                <w:szCs w:val="20"/>
              </w:rPr>
              <w:br w:type="textWrapping"/>
            </w:r>
            <w:r>
              <w:rPr>
                <w:rFonts w:ascii="宋体" w:hAnsi="宋体" w:cs="宋体"/>
                <w:color w:val="000000"/>
                <w:kern w:val="0"/>
                <w:sz w:val="20"/>
                <w:szCs w:val="20"/>
              </w:rPr>
              <w:t>10.功能点包括：文本分析、韵律停顿预测、声学参数预测、语音合成等。</w:t>
            </w:r>
          </w:p>
        </w:tc>
      </w:tr>
      <w:tr>
        <w:trPr>
          <w:trHeight w:val="52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sz w:val="20"/>
                <w:szCs w:val="20"/>
              </w:rPr>
            </w:pPr>
            <w:r>
              <w:rPr>
                <w:rFonts w:ascii="宋体" w:hAnsi="宋体" w:cs="宋体"/>
                <w:color w:val="000000"/>
                <w:kern w:val="0"/>
                <w:sz w:val="20"/>
                <w:szCs w:val="20"/>
              </w:rPr>
              <w:t>性能要求</w:t>
            </w:r>
          </w:p>
        </w:tc>
        <w:tc>
          <w:tcPr>
            <w:tcW w:w="66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sz w:val="20"/>
                <w:szCs w:val="20"/>
              </w:rPr>
            </w:pPr>
            <w:r>
              <w:rPr>
                <w:rFonts w:ascii="宋体" w:hAnsi="宋体" w:cs="宋体"/>
                <w:color w:val="000000"/>
                <w:kern w:val="0"/>
                <w:sz w:val="20"/>
                <w:szCs w:val="20"/>
              </w:rPr>
              <w:t>1、在建议配置(CPU:72核 内存:256G)下语音合成可支持的并发路数为40路，实时率不低于1.5</w:t>
            </w:r>
            <w:r>
              <w:rPr>
                <w:rFonts w:ascii="宋体" w:hAnsi="宋体" w:cs="宋体"/>
                <w:color w:val="000000"/>
                <w:kern w:val="0"/>
                <w:sz w:val="20"/>
                <w:szCs w:val="20"/>
              </w:rPr>
              <w:br w:type="textWrapping"/>
            </w:r>
            <w:r>
              <w:rPr>
                <w:rFonts w:ascii="宋体" w:hAnsi="宋体" w:cs="宋体"/>
                <w:color w:val="000000"/>
                <w:kern w:val="0"/>
                <w:sz w:val="20"/>
                <w:szCs w:val="20"/>
              </w:rPr>
              <w:t>2、语音合成自然度指标达MOS评分在4.5分及以上</w:t>
            </w:r>
          </w:p>
        </w:tc>
      </w:tr>
      <w:tr>
        <w:tblPrEx>
          <w:tblCellMar>
            <w:top w:w="0" w:type="dxa"/>
            <w:left w:w="0" w:type="dxa"/>
            <w:bottom w:w="0" w:type="dxa"/>
            <w:right w:w="0" w:type="dxa"/>
          </w:tblCellMar>
        </w:tblPrEx>
        <w:trPr>
          <w:trHeight w:val="78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sz w:val="20"/>
                <w:szCs w:val="20"/>
              </w:rPr>
            </w:pPr>
            <w:r>
              <w:rPr>
                <w:rFonts w:ascii="宋体" w:hAnsi="宋体" w:cs="宋体"/>
                <w:color w:val="000000"/>
                <w:kern w:val="0"/>
                <w:sz w:val="20"/>
                <w:szCs w:val="20"/>
              </w:rPr>
              <w:t>兼容性要求</w:t>
            </w:r>
          </w:p>
        </w:tc>
        <w:tc>
          <w:tcPr>
            <w:tcW w:w="66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sz w:val="20"/>
                <w:szCs w:val="20"/>
              </w:rPr>
            </w:pPr>
            <w:r>
              <w:rPr>
                <w:rFonts w:ascii="宋体" w:hAnsi="宋体" w:cs="宋体"/>
                <w:color w:val="000000"/>
                <w:kern w:val="0"/>
                <w:sz w:val="20"/>
                <w:szCs w:val="20"/>
              </w:rPr>
              <w:t>1.硬件兼容性X86</w:t>
            </w:r>
            <w:r>
              <w:rPr>
                <w:rFonts w:hint="eastAsia" w:ascii="宋体" w:hAnsi="宋体" w:cs="宋体"/>
                <w:color w:val="000000"/>
                <w:kern w:val="0"/>
                <w:sz w:val="20"/>
                <w:szCs w:val="20"/>
                <w:lang w:eastAsia="zh-CN"/>
              </w:rPr>
              <w:t>、</w:t>
            </w:r>
            <w:r>
              <w:rPr>
                <w:rFonts w:hint="eastAsia" w:ascii="宋体" w:hAnsi="宋体" w:cs="宋体"/>
                <w:color w:val="000000"/>
                <w:kern w:val="0"/>
                <w:sz w:val="20"/>
                <w:szCs w:val="20"/>
                <w:lang w:val="en-US" w:eastAsia="zh-CN"/>
              </w:rPr>
              <w:t>ARM</w:t>
            </w:r>
            <w:r>
              <w:rPr>
                <w:rFonts w:ascii="宋体" w:hAnsi="宋体" w:cs="宋体"/>
                <w:color w:val="000000"/>
                <w:kern w:val="0"/>
                <w:sz w:val="20"/>
                <w:szCs w:val="20"/>
              </w:rPr>
              <w:t>环境；</w:t>
            </w:r>
            <w:r>
              <w:rPr>
                <w:rFonts w:ascii="宋体" w:hAnsi="宋体" w:cs="宋体"/>
                <w:color w:val="000000"/>
                <w:kern w:val="0"/>
                <w:sz w:val="20"/>
                <w:szCs w:val="20"/>
              </w:rPr>
              <w:br w:type="textWrapping"/>
            </w:r>
            <w:r>
              <w:rPr>
                <w:rFonts w:ascii="宋体" w:hAnsi="宋体" w:cs="宋体"/>
                <w:color w:val="000000"/>
                <w:kern w:val="0"/>
                <w:sz w:val="20"/>
                <w:szCs w:val="20"/>
              </w:rPr>
              <w:t>2.系统兼容性，支持</w:t>
            </w:r>
            <w:r>
              <w:rPr>
                <w:rFonts w:hint="eastAsia" w:ascii="宋体" w:hAnsi="宋体" w:cs="宋体"/>
                <w:color w:val="000000"/>
                <w:kern w:val="0"/>
                <w:sz w:val="20"/>
                <w:szCs w:val="20"/>
                <w:lang w:val="en-US" w:eastAsia="zh-CN"/>
              </w:rPr>
              <w:t>统</w:t>
            </w:r>
            <w:r>
              <w:rPr>
                <w:rFonts w:hint="eastAsia" w:ascii="宋体" w:hAnsi="宋体" w:cs="宋体"/>
                <w:color w:val="000000"/>
                <w:kern w:val="0"/>
                <w:sz w:val="20"/>
                <w:szCs w:val="20"/>
                <w:u w:val="single"/>
                <w:lang w:val="en-US" w:eastAsia="zh-CN"/>
              </w:rPr>
              <w:t>信</w:t>
            </w:r>
            <w:r>
              <w:rPr>
                <w:rFonts w:ascii="宋体" w:hAnsi="宋体" w:cs="宋体"/>
                <w:color w:val="000000"/>
                <w:kern w:val="0"/>
                <w:sz w:val="20"/>
                <w:szCs w:val="20"/>
              </w:rPr>
              <w:t>、银河麒麟等操作系统；</w:t>
            </w:r>
            <w:r>
              <w:rPr>
                <w:rFonts w:ascii="宋体" w:hAnsi="宋体" w:cs="宋体"/>
                <w:color w:val="000000"/>
                <w:kern w:val="0"/>
                <w:sz w:val="20"/>
                <w:szCs w:val="20"/>
              </w:rPr>
              <w:br w:type="textWrapping"/>
            </w:r>
            <w:r>
              <w:rPr>
                <w:rFonts w:ascii="宋体" w:hAnsi="宋体" w:cs="宋体"/>
                <w:color w:val="000000"/>
                <w:kern w:val="0"/>
                <w:sz w:val="20"/>
                <w:szCs w:val="20"/>
              </w:rPr>
              <w:t>3.产品API接口支持Java、C++、C#、go、Python等多种编程语言；</w:t>
            </w:r>
          </w:p>
        </w:tc>
      </w:tr>
      <w:tr>
        <w:tblPrEx>
          <w:tblCellMar>
            <w:top w:w="0" w:type="dxa"/>
            <w:left w:w="0" w:type="dxa"/>
            <w:bottom w:w="0" w:type="dxa"/>
            <w:right w:w="0" w:type="dxa"/>
          </w:tblCellMar>
        </w:tblPrEx>
        <w:trPr>
          <w:trHeight w:val="26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sz w:val="20"/>
                <w:szCs w:val="20"/>
              </w:rPr>
            </w:pPr>
            <w:r>
              <w:rPr>
                <w:rFonts w:ascii="宋体" w:hAnsi="宋体" w:cs="宋体"/>
                <w:color w:val="000000"/>
                <w:kern w:val="0"/>
                <w:sz w:val="20"/>
                <w:szCs w:val="20"/>
              </w:rPr>
              <w:t>安全性要求</w:t>
            </w:r>
          </w:p>
        </w:tc>
        <w:tc>
          <w:tcPr>
            <w:tcW w:w="66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sz w:val="20"/>
                <w:szCs w:val="20"/>
              </w:rPr>
            </w:pPr>
            <w:r>
              <w:rPr>
                <w:rFonts w:ascii="宋体" w:hAnsi="宋体" w:cs="宋体"/>
                <w:color w:val="000000"/>
                <w:kern w:val="0"/>
                <w:sz w:val="20"/>
                <w:szCs w:val="20"/>
              </w:rPr>
              <w:t>提供的软件产品通过第三方安全检测。</w:t>
            </w:r>
          </w:p>
        </w:tc>
      </w:tr>
      <w:tr>
        <w:tblPrEx>
          <w:tblCellMar>
            <w:top w:w="0" w:type="dxa"/>
            <w:left w:w="0" w:type="dxa"/>
            <w:bottom w:w="0" w:type="dxa"/>
            <w:right w:w="0" w:type="dxa"/>
          </w:tblCellMar>
        </w:tblPrEx>
        <w:trPr>
          <w:trHeight w:val="52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sz w:val="20"/>
                <w:szCs w:val="20"/>
              </w:rPr>
            </w:pPr>
            <w:r>
              <w:rPr>
                <w:rFonts w:ascii="宋体" w:hAnsi="宋体" w:cs="宋体"/>
                <w:color w:val="000000"/>
                <w:kern w:val="0"/>
                <w:sz w:val="20"/>
                <w:szCs w:val="20"/>
              </w:rPr>
              <w:t>服务要求</w:t>
            </w:r>
          </w:p>
        </w:tc>
        <w:tc>
          <w:tcPr>
            <w:tcW w:w="66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sz w:val="20"/>
                <w:szCs w:val="20"/>
              </w:rPr>
            </w:pPr>
            <w:r>
              <w:rPr>
                <w:rFonts w:ascii="宋体" w:hAnsi="宋体" w:cs="宋体"/>
                <w:color w:val="000000"/>
                <w:kern w:val="0"/>
                <w:szCs w:val="21"/>
              </w:rPr>
              <w:t>提供包括不限于该服务的安装使用材料、产品使用介质、版本升级介质、产品API、适配改造、</w:t>
            </w:r>
            <w:r>
              <w:rPr>
                <w:rFonts w:hint="eastAsia" w:ascii="宋体" w:hAnsi="宋体" w:cs="宋体"/>
                <w:color w:val="000000"/>
                <w:kern w:val="0"/>
                <w:szCs w:val="21"/>
              </w:rPr>
              <w:t>管理端</w:t>
            </w:r>
            <w:r>
              <w:rPr>
                <w:rFonts w:ascii="宋体" w:hAnsi="宋体" w:cs="宋体"/>
                <w:color w:val="000000"/>
                <w:kern w:val="0"/>
                <w:szCs w:val="21"/>
              </w:rPr>
              <w:t>安全问题修复、</w:t>
            </w:r>
            <w:r>
              <w:rPr>
                <w:rFonts w:hint="eastAsia" w:ascii="宋体" w:hAnsi="宋体" w:cs="宋体"/>
                <w:color w:val="000000"/>
                <w:kern w:val="0"/>
                <w:szCs w:val="21"/>
              </w:rPr>
              <w:t>管理端</w:t>
            </w:r>
            <w:r>
              <w:rPr>
                <w:rFonts w:ascii="宋体" w:hAnsi="宋体" w:cs="宋体"/>
                <w:color w:val="000000"/>
                <w:kern w:val="0"/>
                <w:szCs w:val="21"/>
              </w:rPr>
              <w:t>应急保障、产品文档、培训咨询、巡检服务、</w:t>
            </w:r>
            <w:r>
              <w:rPr>
                <w:rFonts w:hint="eastAsia" w:ascii="宋体" w:hAnsi="宋体" w:cs="宋体"/>
                <w:color w:val="000000"/>
                <w:kern w:val="0"/>
                <w:szCs w:val="21"/>
              </w:rPr>
              <w:t>管理端</w:t>
            </w:r>
            <w:r>
              <w:rPr>
                <w:rFonts w:ascii="宋体" w:hAnsi="宋体" w:cs="宋体"/>
                <w:color w:val="000000"/>
                <w:kern w:val="0"/>
                <w:szCs w:val="21"/>
              </w:rPr>
              <w:t>性能调优、重要活动和重大节假日</w:t>
            </w:r>
            <w:r>
              <w:rPr>
                <w:rFonts w:hint="eastAsia" w:ascii="宋体" w:hAnsi="宋体" w:cs="宋体"/>
                <w:color w:val="000000"/>
                <w:kern w:val="0"/>
                <w:szCs w:val="21"/>
              </w:rPr>
              <w:t>管理端</w:t>
            </w:r>
            <w:r>
              <w:rPr>
                <w:rFonts w:ascii="宋体" w:hAnsi="宋体" w:cs="宋体"/>
                <w:color w:val="000000"/>
                <w:kern w:val="0"/>
                <w:szCs w:val="21"/>
              </w:rPr>
              <w:t>保障等保障服务。</w:t>
            </w:r>
          </w:p>
        </w:tc>
      </w:tr>
      <w:tr>
        <w:tblPrEx>
          <w:tblCellMar>
            <w:top w:w="0" w:type="dxa"/>
            <w:left w:w="0" w:type="dxa"/>
            <w:bottom w:w="0" w:type="dxa"/>
            <w:right w:w="0" w:type="dxa"/>
          </w:tblCellMar>
        </w:tblPrEx>
        <w:trPr>
          <w:trHeight w:val="26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kern w:val="0"/>
                <w:sz w:val="20"/>
                <w:szCs w:val="20"/>
              </w:rPr>
            </w:pPr>
            <w:r>
              <w:rPr>
                <w:rFonts w:ascii="宋体" w:hAnsi="宋体" w:cs="宋体"/>
                <w:color w:val="000000"/>
                <w:kern w:val="0"/>
              </w:rPr>
              <w:t>验收考核要求</w:t>
            </w:r>
          </w:p>
        </w:tc>
        <w:tc>
          <w:tcPr>
            <w:tcW w:w="66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kern w:val="0"/>
                <w:sz w:val="20"/>
                <w:szCs w:val="20"/>
              </w:rPr>
            </w:pPr>
            <w:r>
              <w:rPr>
                <w:rFonts w:ascii="宋体" w:hAnsi="宋体" w:cs="宋体"/>
              </w:rPr>
              <w:t>1</w:t>
            </w:r>
            <w:r>
              <w:rPr>
                <w:rFonts w:ascii="宋体" w:hAnsi="宋体" w:cs="宋体"/>
                <w:color w:val="000000"/>
                <w:kern w:val="0"/>
                <w:sz w:val="20"/>
                <w:szCs w:val="20"/>
              </w:rPr>
              <w:t>、提供PaaS服务对应软件产品的使用详情。</w:t>
            </w:r>
          </w:p>
          <w:p>
            <w:pPr>
              <w:textAlignment w:val="center"/>
              <w:rPr>
                <w:rFonts w:ascii="宋体" w:hAnsi="宋体" w:cs="宋体"/>
                <w:color w:val="000000"/>
                <w:kern w:val="0"/>
                <w:sz w:val="20"/>
                <w:szCs w:val="20"/>
              </w:rPr>
            </w:pPr>
            <w:r>
              <w:rPr>
                <w:rFonts w:ascii="宋体" w:hAnsi="宋体" w:eastAsia="宋体" w:cs="宋体"/>
                <w:color w:val="000000"/>
                <w:kern w:val="0"/>
                <w:sz w:val="20"/>
                <w:szCs w:val="20"/>
                <w14:ligatures w14:val="none"/>
              </w:rPr>
              <w:t>2、服务结</w:t>
            </w:r>
            <w:r>
              <w:rPr>
                <w:rFonts w:ascii="宋体" w:hAnsi="宋体" w:eastAsia="宋体" w:cs="宋体"/>
                <w:sz w:val="21"/>
                <w14:ligatures w14:val="none"/>
              </w:rPr>
              <w:t>算按照软件产品部署后支撑的</w:t>
            </w:r>
            <w:r>
              <w:rPr>
                <w:rFonts w:hint="eastAsia" w:ascii="宋体" w:hAnsi="宋体" w:eastAsia="宋体" w:cs="宋体"/>
                <w:color w:val="000000"/>
                <w:kern w:val="0"/>
                <w:sz w:val="21"/>
                <w:szCs w:val="21"/>
                <w:lang w:eastAsia="zh-CN"/>
                <w14:ligatures w14:val="none"/>
              </w:rPr>
              <w:t>“</w:t>
            </w:r>
            <w:r>
              <w:rPr>
                <w:rFonts w:hint="eastAsia" w:ascii="宋体" w:hAnsi="宋体" w:eastAsia="宋体" w:cs="宋体"/>
                <w:color w:val="000000"/>
                <w:kern w:val="0"/>
                <w:sz w:val="21"/>
                <w:szCs w:val="21"/>
                <w:lang w:val="en-US" w:eastAsia="zh-CN"/>
                <w14:ligatures w14:val="none"/>
              </w:rPr>
              <w:t>调用次数</w:t>
            </w:r>
            <w:r>
              <w:rPr>
                <w:rFonts w:hint="eastAsia" w:ascii="宋体" w:hAnsi="宋体" w:eastAsia="宋体" w:cs="宋体"/>
                <w:color w:val="000000"/>
                <w:kern w:val="0"/>
                <w:sz w:val="21"/>
                <w:szCs w:val="21"/>
                <w:lang w:eastAsia="zh-CN"/>
                <w14:ligatures w14:val="none"/>
              </w:rPr>
              <w:t>”</w:t>
            </w:r>
            <w:r>
              <w:rPr>
                <w:rFonts w:ascii="宋体" w:hAnsi="宋体" w:eastAsia="宋体" w:cs="宋体"/>
                <w:sz w:val="21"/>
                <w14:ligatures w14:val="none"/>
              </w:rPr>
              <w:t>进行结算。</w:t>
            </w:r>
          </w:p>
        </w:tc>
      </w:tr>
    </w:tbl>
    <w:p/>
    <w:p>
      <w:pPr>
        <w:pStyle w:val="4"/>
        <w:numPr>
          <w:ilvl w:val="2"/>
          <w:numId w:val="5"/>
        </w:numPr>
        <w:spacing w:before="160" w:line="300" w:lineRule="exact"/>
        <w:ind w:left="420"/>
        <w:rPr>
          <w:rFonts w:ascii="宋体" w:hAnsi="宋体"/>
        </w:rPr>
      </w:pPr>
      <w:bookmarkStart w:id="53" w:name="_Toc19977"/>
      <w:bookmarkStart w:id="54" w:name="_Toc28639"/>
      <w:r>
        <w:rPr>
          <w:rFonts w:ascii="宋体" w:hAnsi="宋体"/>
        </w:rPr>
        <w:t>文字识别服务（OCR）</w:t>
      </w:r>
      <w:bookmarkEnd w:id="53"/>
      <w:bookmarkEnd w:id="54"/>
    </w:p>
    <w:tbl>
      <w:tblPr>
        <w:tblStyle w:val="12"/>
        <w:tblW w:w="8327" w:type="dxa"/>
        <w:tblInd w:w="0" w:type="dxa"/>
        <w:tblLayout w:type="fixed"/>
        <w:tblCellMar>
          <w:top w:w="0" w:type="dxa"/>
          <w:left w:w="0" w:type="dxa"/>
          <w:bottom w:w="0" w:type="dxa"/>
          <w:right w:w="0" w:type="dxa"/>
        </w:tblCellMar>
      </w:tblPr>
      <w:tblGrid>
        <w:gridCol w:w="1652"/>
        <w:gridCol w:w="6675"/>
      </w:tblGrid>
      <w:tr>
        <w:trPr>
          <w:trHeight w:val="132" w:hRule="atLeast"/>
        </w:trPr>
        <w:tc>
          <w:tcPr>
            <w:tcW w:w="1652"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0" w:type="dxa"/>
              <w:left w:w="10" w:type="dxa"/>
              <w:right w:w="10" w:type="dxa"/>
            </w:tcMar>
            <w:vAlign w:val="center"/>
          </w:tcPr>
          <w:p>
            <w:pPr>
              <w:jc w:val="center"/>
              <w:rPr>
                <w:rFonts w:ascii="宋体" w:hAnsi="宋体" w:cs="宋体"/>
                <w:b/>
                <w:bCs/>
                <w:color w:val="000000"/>
                <w:kern w:val="0"/>
                <w:szCs w:val="21"/>
              </w:rPr>
            </w:pPr>
            <w:r>
              <w:rPr>
                <w:rFonts w:ascii="宋体" w:hAnsi="宋体" w:cs="宋体"/>
                <w:b/>
                <w:bCs/>
                <w:color w:val="000000"/>
                <w:kern w:val="0"/>
                <w:szCs w:val="21"/>
              </w:rPr>
              <w:t>规格</w:t>
            </w:r>
          </w:p>
        </w:tc>
        <w:tc>
          <w:tcPr>
            <w:tcW w:w="6675"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tcMar>
              <w:top w:w="10" w:type="dxa"/>
              <w:left w:w="10" w:type="dxa"/>
              <w:right w:w="10" w:type="dxa"/>
            </w:tcMar>
            <w:vAlign w:val="center"/>
          </w:tcPr>
          <w:p>
            <w:pPr>
              <w:jc w:val="center"/>
              <w:rPr>
                <w:rFonts w:ascii="宋体" w:hAnsi="宋体" w:cs="宋体"/>
                <w:b/>
                <w:bCs/>
                <w:color w:val="000000"/>
                <w:kern w:val="0"/>
                <w:szCs w:val="21"/>
              </w:rPr>
            </w:pPr>
            <w:r>
              <w:rPr>
                <w:rFonts w:ascii="宋体" w:hAnsi="宋体" w:cs="宋体"/>
                <w:b/>
                <w:bCs/>
                <w:color w:val="000000"/>
                <w:kern w:val="0"/>
                <w:szCs w:val="21"/>
              </w:rPr>
              <w:t>指标要求</w:t>
            </w:r>
          </w:p>
        </w:tc>
      </w:tr>
      <w:tr>
        <w:trPr>
          <w:trHeight w:val="52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szCs w:val="21"/>
              </w:rPr>
            </w:pPr>
            <w:r>
              <w:rPr>
                <w:rFonts w:ascii="宋体" w:hAnsi="宋体" w:cs="宋体"/>
                <w:color w:val="000000"/>
                <w:kern w:val="0"/>
                <w:szCs w:val="21"/>
              </w:rPr>
              <w:t>服务描述</w:t>
            </w:r>
          </w:p>
        </w:tc>
        <w:tc>
          <w:tcPr>
            <w:tcW w:w="66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szCs w:val="21"/>
              </w:rPr>
            </w:pPr>
            <w:r>
              <w:rPr>
                <w:rFonts w:ascii="宋体" w:hAnsi="宋体" w:cs="宋体"/>
                <w:color w:val="000000"/>
                <w:kern w:val="0"/>
                <w:szCs w:val="21"/>
              </w:rPr>
              <w:t>提供纸质文档电子化文字识别服务，实现对纸质文档电子化文件的识别，包括不限于对身份证、户口簿、医疗票据、个人签名等在内的大量个人证件、企业证件、业务单据、凭证进行处理，以及支持中文、英文、中英文混合语种识别。</w:t>
            </w:r>
          </w:p>
        </w:tc>
      </w:tr>
      <w:tr>
        <w:trPr>
          <w:trHeight w:val="26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szCs w:val="21"/>
              </w:rPr>
            </w:pPr>
            <w:r>
              <w:rPr>
                <w:rFonts w:ascii="宋体" w:hAnsi="宋体" w:cs="宋体"/>
                <w:color w:val="000000"/>
                <w:kern w:val="0"/>
                <w:szCs w:val="21"/>
              </w:rPr>
              <w:t>部署模式</w:t>
            </w:r>
          </w:p>
        </w:tc>
        <w:tc>
          <w:tcPr>
            <w:tcW w:w="66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szCs w:val="21"/>
              </w:rPr>
            </w:pPr>
            <w:r>
              <w:rPr>
                <w:rFonts w:ascii="宋体" w:hAnsi="宋体" w:cs="宋体"/>
                <w:color w:val="000000"/>
                <w:kern w:val="0"/>
                <w:szCs w:val="21"/>
              </w:rPr>
              <w:t>支持单机和集群部署模式</w:t>
            </w:r>
          </w:p>
        </w:tc>
      </w:tr>
      <w:tr>
        <w:trPr>
          <w:trHeight w:val="420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szCs w:val="21"/>
              </w:rPr>
            </w:pPr>
            <w:r>
              <w:rPr>
                <w:rFonts w:ascii="宋体" w:hAnsi="宋体" w:cs="宋体"/>
                <w:color w:val="000000"/>
                <w:kern w:val="0"/>
                <w:szCs w:val="21"/>
              </w:rPr>
              <w:t>功能要求</w:t>
            </w:r>
          </w:p>
        </w:tc>
        <w:tc>
          <w:tcPr>
            <w:tcW w:w="66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numPr>
                <w:ilvl w:val="0"/>
                <w:numId w:val="17"/>
              </w:numPr>
              <w:textAlignment w:val="center"/>
              <w:rPr>
                <w:rFonts w:ascii="宋体" w:hAnsi="宋体" w:cs="宋体"/>
                <w:color w:val="000000"/>
                <w:kern w:val="0"/>
                <w:szCs w:val="21"/>
              </w:rPr>
            </w:pPr>
            <w:r>
              <w:rPr>
                <w:rFonts w:ascii="宋体" w:hAnsi="宋体" w:cs="宋体"/>
                <w:color w:val="000000"/>
                <w:kern w:val="0"/>
                <w:szCs w:val="21"/>
              </w:rPr>
              <w:t>票证识别范围包括不限于：</w:t>
            </w:r>
            <w:r>
              <w:rPr>
                <w:rFonts w:ascii="宋体" w:hAnsi="宋体" w:cs="宋体"/>
                <w:color w:val="000000"/>
                <w:kern w:val="0"/>
                <w:szCs w:val="21"/>
              </w:rPr>
              <w:br w:type="textWrapping"/>
            </w:r>
            <w:r>
              <w:rPr>
                <w:rFonts w:ascii="宋体" w:hAnsi="宋体" w:cs="宋体"/>
                <w:color w:val="000000"/>
                <w:kern w:val="0"/>
                <w:szCs w:val="21"/>
              </w:rPr>
              <w:t xml:space="preserve">  1）增值税发票、增值税发票（卷票）</w:t>
            </w:r>
            <w:r>
              <w:rPr>
                <w:rFonts w:ascii="宋体" w:hAnsi="宋体" w:cs="宋体"/>
                <w:color w:val="000000"/>
                <w:kern w:val="0"/>
                <w:szCs w:val="21"/>
              </w:rPr>
              <w:br w:type="textWrapping"/>
            </w:r>
            <w:r>
              <w:rPr>
                <w:rFonts w:ascii="宋体" w:hAnsi="宋体" w:cs="宋体"/>
                <w:color w:val="000000"/>
                <w:kern w:val="0"/>
                <w:szCs w:val="21"/>
              </w:rPr>
              <w:t xml:space="preserve">  2）火车票</w:t>
            </w:r>
            <w:r>
              <w:rPr>
                <w:rFonts w:ascii="宋体" w:hAnsi="宋体" w:cs="宋体"/>
                <w:color w:val="000000"/>
                <w:kern w:val="0"/>
                <w:szCs w:val="21"/>
              </w:rPr>
              <w:br w:type="textWrapping"/>
            </w:r>
            <w:r>
              <w:rPr>
                <w:rFonts w:ascii="宋体" w:hAnsi="宋体" w:cs="宋体"/>
                <w:color w:val="000000"/>
                <w:kern w:val="0"/>
                <w:szCs w:val="21"/>
              </w:rPr>
              <w:t xml:space="preserve">  3）出租车发票</w:t>
            </w:r>
            <w:r>
              <w:rPr>
                <w:rFonts w:ascii="宋体" w:hAnsi="宋体" w:cs="宋体"/>
                <w:color w:val="000000"/>
                <w:kern w:val="0"/>
                <w:szCs w:val="21"/>
              </w:rPr>
              <w:br w:type="textWrapping"/>
            </w:r>
            <w:r>
              <w:rPr>
                <w:rFonts w:ascii="宋体" w:hAnsi="宋体" w:cs="宋体"/>
                <w:color w:val="000000"/>
                <w:kern w:val="0"/>
                <w:szCs w:val="21"/>
              </w:rPr>
              <w:t xml:space="preserve">  4）客运汽车票</w:t>
            </w:r>
            <w:r>
              <w:rPr>
                <w:rFonts w:ascii="宋体" w:hAnsi="宋体" w:cs="宋体"/>
                <w:color w:val="000000"/>
                <w:kern w:val="0"/>
                <w:szCs w:val="21"/>
              </w:rPr>
              <w:br w:type="textWrapping"/>
            </w:r>
            <w:r>
              <w:rPr>
                <w:rFonts w:ascii="宋体" w:hAnsi="宋体" w:cs="宋体"/>
                <w:color w:val="000000"/>
                <w:kern w:val="0"/>
                <w:szCs w:val="21"/>
              </w:rPr>
              <w:t xml:space="preserve">  5）定额发票</w:t>
            </w:r>
            <w:r>
              <w:rPr>
                <w:rFonts w:ascii="宋体" w:hAnsi="宋体" w:cs="宋体"/>
                <w:color w:val="000000"/>
                <w:kern w:val="0"/>
                <w:szCs w:val="21"/>
              </w:rPr>
              <w:br w:type="textWrapping"/>
            </w:r>
            <w:r>
              <w:rPr>
                <w:rFonts w:ascii="宋体" w:hAnsi="宋体" w:cs="宋体"/>
                <w:color w:val="000000"/>
                <w:kern w:val="0"/>
                <w:szCs w:val="21"/>
              </w:rPr>
              <w:t xml:space="preserve">  6）身份证、户口本、驾驶证、行驶证</w:t>
            </w:r>
            <w:r>
              <w:rPr>
                <w:rFonts w:ascii="宋体" w:hAnsi="宋体" w:cs="宋体"/>
                <w:color w:val="000000"/>
                <w:kern w:val="0"/>
                <w:szCs w:val="21"/>
              </w:rPr>
              <w:br w:type="textWrapping"/>
            </w:r>
            <w:r>
              <w:rPr>
                <w:rFonts w:ascii="宋体" w:hAnsi="宋体" w:cs="宋体"/>
                <w:color w:val="000000"/>
                <w:kern w:val="0"/>
                <w:szCs w:val="21"/>
              </w:rPr>
              <w:t xml:space="preserve">  7）营业执照、组织机构代码</w:t>
            </w:r>
            <w:r>
              <w:rPr>
                <w:rFonts w:ascii="宋体" w:hAnsi="宋体" w:cs="宋体"/>
                <w:color w:val="000000"/>
                <w:kern w:val="0"/>
                <w:szCs w:val="21"/>
              </w:rPr>
              <w:br w:type="textWrapping"/>
            </w:r>
            <w:r>
              <w:rPr>
                <w:rFonts w:ascii="宋体" w:hAnsi="宋体" w:cs="宋体"/>
                <w:color w:val="000000"/>
                <w:kern w:val="0"/>
                <w:szCs w:val="21"/>
              </w:rPr>
              <w:t xml:space="preserve">  8）航空行程单</w:t>
            </w:r>
            <w:r>
              <w:rPr>
                <w:rFonts w:ascii="宋体" w:hAnsi="宋体" w:cs="宋体"/>
                <w:color w:val="000000"/>
                <w:kern w:val="0"/>
                <w:szCs w:val="21"/>
              </w:rPr>
              <w:br w:type="textWrapping"/>
            </w:r>
            <w:r>
              <w:rPr>
                <w:rFonts w:ascii="宋体" w:hAnsi="宋体" w:cs="宋体"/>
                <w:color w:val="000000"/>
                <w:kern w:val="0"/>
                <w:szCs w:val="21"/>
              </w:rPr>
              <w:t>2、通用文字识别能力：</w:t>
            </w:r>
            <w:r>
              <w:rPr>
                <w:rFonts w:ascii="宋体" w:hAnsi="宋体" w:cs="宋体"/>
                <w:color w:val="000000"/>
                <w:kern w:val="0"/>
                <w:szCs w:val="21"/>
              </w:rPr>
              <w:br w:type="textWrapping"/>
            </w:r>
            <w:r>
              <w:rPr>
                <w:rFonts w:ascii="宋体" w:hAnsi="宋体" w:cs="宋体"/>
                <w:color w:val="000000"/>
                <w:kern w:val="0"/>
                <w:szCs w:val="21"/>
              </w:rPr>
              <w:t xml:space="preserve">  1）支持中文、英文、中英文混合语种识别。</w:t>
            </w:r>
            <w:r>
              <w:rPr>
                <w:rFonts w:ascii="宋体" w:hAnsi="宋体" w:cs="宋体"/>
                <w:color w:val="000000"/>
                <w:kern w:val="0"/>
                <w:szCs w:val="21"/>
              </w:rPr>
              <w:br w:type="textWrapping"/>
            </w:r>
            <w:r>
              <w:rPr>
                <w:rFonts w:ascii="宋体" w:hAnsi="宋体" w:cs="宋体"/>
                <w:color w:val="000000"/>
                <w:kern w:val="0"/>
                <w:szCs w:val="21"/>
              </w:rPr>
              <w:t xml:space="preserve">  2）支持表格识别：能够将表格识别信息进行格式化展示，并且可以搭配表格恢复引擎将识别的表格结果转换为Excel文件。</w:t>
            </w:r>
            <w:r>
              <w:rPr>
                <w:rFonts w:ascii="宋体" w:hAnsi="宋体" w:cs="宋体"/>
                <w:color w:val="000000"/>
                <w:kern w:val="0"/>
                <w:szCs w:val="21"/>
              </w:rPr>
              <w:br w:type="textWrapping"/>
            </w:r>
            <w:r>
              <w:rPr>
                <w:rFonts w:ascii="宋体" w:hAnsi="宋体" w:cs="宋体"/>
                <w:color w:val="000000"/>
                <w:kern w:val="0"/>
                <w:szCs w:val="21"/>
              </w:rPr>
              <w:t xml:space="preserve">  3）支持图片格式：支持PNG、JPG、JPEG、BMP格式图片识别。</w:t>
            </w:r>
            <w:r>
              <w:rPr>
                <w:rFonts w:ascii="宋体" w:hAnsi="宋体" w:cs="宋体"/>
                <w:color w:val="000000"/>
                <w:kern w:val="0"/>
                <w:szCs w:val="21"/>
              </w:rPr>
              <w:br w:type="textWrapping"/>
            </w:r>
            <w:r>
              <w:rPr>
                <w:rFonts w:ascii="宋体" w:hAnsi="宋体" w:cs="宋体"/>
                <w:color w:val="000000"/>
                <w:kern w:val="0"/>
                <w:szCs w:val="21"/>
              </w:rPr>
              <w:t xml:space="preserve">  4）单字位置显示：支持识别结果单字位置显示(默认识别结果为单行显示)，并且可以对单字位置功能进行开关处理 。</w:t>
            </w:r>
            <w:r>
              <w:rPr>
                <w:rFonts w:ascii="宋体" w:hAnsi="宋体" w:cs="宋体"/>
                <w:color w:val="000000"/>
                <w:kern w:val="0"/>
                <w:szCs w:val="21"/>
              </w:rPr>
              <w:br w:type="textWrapping"/>
            </w:r>
            <w:r>
              <w:rPr>
                <w:rFonts w:ascii="宋体" w:hAnsi="宋体" w:cs="宋体"/>
                <w:color w:val="000000"/>
                <w:kern w:val="0"/>
                <w:szCs w:val="21"/>
              </w:rPr>
              <w:t xml:space="preserve">  5）支持手写体识别</w:t>
            </w:r>
          </w:p>
          <w:p>
            <w:pPr>
              <w:pStyle w:val="7"/>
              <w:numPr>
                <w:ilvl w:val="0"/>
                <w:numId w:val="17"/>
              </w:numPr>
              <w:spacing w:after="0"/>
              <w:rPr>
                <w:rFonts w:hint="eastAsia"/>
              </w:rPr>
            </w:pPr>
            <w:r>
              <w:rPr>
                <w:rFonts w:hint="eastAsia"/>
              </w:rPr>
              <w:t>定制化卡证能力：</w:t>
            </w:r>
          </w:p>
          <w:p>
            <w:pPr>
              <w:pStyle w:val="7"/>
              <w:numPr>
                <w:ilvl w:val="-1"/>
                <w:numId w:val="0"/>
              </w:numPr>
              <w:spacing w:after="0"/>
              <w:ind w:firstLine="210" w:firstLineChars="100"/>
              <w:rPr>
                <w:rFonts w:hint="default" w:ascii="宋体" w:hAnsi="宋体" w:cs="宋体"/>
                <w:color w:val="000000"/>
                <w:kern w:val="0"/>
                <w:szCs w:val="21"/>
              </w:rPr>
            </w:pPr>
            <w:r>
              <w:rPr>
                <w:rFonts w:hint="default" w:ascii="宋体" w:hAnsi="宋体" w:cs="宋体"/>
                <w:color w:val="000000"/>
                <w:kern w:val="0"/>
                <w:szCs w:val="21"/>
              </w:rPr>
              <w:t>1）支持自定义新增卡证样式适配及开发： 在提供格式固定的卡证示例，测试用例和输出示例后，完成定制化输出适配。</w:t>
            </w:r>
          </w:p>
          <w:p>
            <w:pPr>
              <w:pStyle w:val="7"/>
              <w:numPr>
                <w:ilvl w:val="-1"/>
                <w:numId w:val="0"/>
              </w:numPr>
              <w:spacing w:after="0"/>
              <w:rPr>
                <w:rFonts w:hint="eastAsia"/>
              </w:rPr>
            </w:pPr>
            <w:r>
              <w:rPr>
                <w:rFonts w:hint="eastAsia"/>
              </w:rPr>
              <w:t>4、文档解析能力：</w:t>
            </w:r>
          </w:p>
          <w:p>
            <w:pPr>
              <w:pStyle w:val="7"/>
              <w:numPr>
                <w:ilvl w:val="-1"/>
                <w:numId w:val="0"/>
              </w:numPr>
              <w:spacing w:after="0"/>
              <w:ind w:firstLine="210" w:firstLineChars="100"/>
            </w:pPr>
            <w:r>
              <w:rPr>
                <w:rFonts w:hint="eastAsia" w:ascii="宋体" w:hAnsi="宋体" w:cs="宋体"/>
                <w:color w:val="000000"/>
                <w:kern w:val="0"/>
                <w:szCs w:val="21"/>
                <w:lang w:val="en-US" w:eastAsia="zh-CN"/>
              </w:rPr>
              <w:t>1）</w:t>
            </w:r>
            <w:r>
              <w:rPr>
                <w:rFonts w:hint="default" w:ascii="宋体" w:hAnsi="宋体" w:cs="宋体"/>
                <w:color w:val="000000"/>
                <w:kern w:val="0"/>
                <w:szCs w:val="21"/>
              </w:rPr>
              <w:t>支持文档解析：解析PDF文档单页图片，并提取文字，表格等。返回提取后的文本，图片，各区域位置信息。</w:t>
            </w:r>
          </w:p>
        </w:tc>
      </w:tr>
      <w:tr>
        <w:trPr>
          <w:trHeight w:val="9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szCs w:val="21"/>
              </w:rPr>
            </w:pPr>
            <w:r>
              <w:rPr>
                <w:rFonts w:ascii="宋体" w:hAnsi="宋体" w:cs="宋体"/>
                <w:color w:val="000000"/>
                <w:kern w:val="0"/>
                <w:szCs w:val="21"/>
              </w:rPr>
              <w:t>性能要求</w:t>
            </w:r>
          </w:p>
        </w:tc>
        <w:tc>
          <w:tcPr>
            <w:tcW w:w="66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szCs w:val="21"/>
              </w:rPr>
            </w:pPr>
            <w:r>
              <w:rPr>
                <w:rFonts w:ascii="宋体" w:hAnsi="宋体" w:cs="宋体"/>
                <w:color w:val="000000"/>
                <w:kern w:val="0"/>
                <w:szCs w:val="21"/>
              </w:rPr>
              <w:t>1、在脱机离线文字中英文扫描识别场景下手写正确率高于95%</w:t>
            </w:r>
            <w:r>
              <w:rPr>
                <w:rFonts w:ascii="宋体" w:hAnsi="宋体" w:cs="宋体"/>
                <w:color w:val="000000"/>
                <w:kern w:val="0"/>
                <w:szCs w:val="21"/>
              </w:rPr>
              <w:br w:type="textWrapping"/>
            </w:r>
            <w:r>
              <w:rPr>
                <w:rFonts w:ascii="宋体" w:hAnsi="宋体" w:cs="宋体"/>
                <w:color w:val="000000"/>
                <w:kern w:val="0"/>
                <w:szCs w:val="21"/>
              </w:rPr>
              <w:t>2、在脱机离线印刷体扫描识别的正确率达97%</w:t>
            </w:r>
            <w:r>
              <w:rPr>
                <w:rFonts w:ascii="宋体" w:hAnsi="宋体" w:cs="宋体"/>
                <w:color w:val="000000"/>
                <w:kern w:val="0"/>
                <w:szCs w:val="21"/>
              </w:rPr>
              <w:br w:type="textWrapping"/>
            </w:r>
            <w:r>
              <w:rPr>
                <w:rFonts w:ascii="宋体" w:hAnsi="宋体" w:cs="宋体"/>
                <w:color w:val="000000"/>
                <w:kern w:val="0"/>
                <w:szCs w:val="21"/>
              </w:rPr>
              <w:t>3、识别速度：在(CPU:32核 内存:128G GPU: NVIDIA Tesla T4*1 )的资源配置下，支持8路并发，平均响应时间2秒以内。</w:t>
            </w:r>
            <w:r>
              <w:rPr>
                <w:rFonts w:ascii="宋体" w:hAnsi="宋体" w:cs="宋体"/>
                <w:color w:val="000000"/>
                <w:kern w:val="0"/>
                <w:szCs w:val="21"/>
              </w:rPr>
              <w:br w:type="textWrapping"/>
            </w:r>
            <w:r>
              <w:rPr>
                <w:rFonts w:ascii="宋体" w:hAnsi="宋体" w:cs="宋体"/>
                <w:color w:val="000000"/>
                <w:kern w:val="0"/>
                <w:szCs w:val="21"/>
              </w:rPr>
              <w:t>3、识别速度：单个</w:t>
            </w:r>
            <w:r>
              <w:rPr>
                <w:rFonts w:hint="eastAsia" w:ascii="宋体" w:hAnsi="宋体" w:cs="宋体"/>
                <w:color w:val="000000"/>
                <w:kern w:val="0"/>
                <w:szCs w:val="21"/>
                <w:lang w:val="en-US" w:eastAsia="zh-CN"/>
              </w:rPr>
              <w:t>简单</w:t>
            </w:r>
            <w:r>
              <w:rPr>
                <w:rFonts w:ascii="宋体" w:hAnsi="宋体" w:cs="宋体"/>
                <w:color w:val="000000"/>
                <w:kern w:val="0"/>
                <w:szCs w:val="21"/>
              </w:rPr>
              <w:t>文图像文件（图片大小4M以内，图片内容为</w:t>
            </w:r>
            <w:r>
              <w:rPr>
                <w:rFonts w:hint="eastAsia" w:ascii="宋体" w:hAnsi="宋体" w:cs="宋体"/>
                <w:color w:val="000000"/>
                <w:kern w:val="0"/>
                <w:szCs w:val="21"/>
                <w:lang w:val="en-US" w:eastAsia="zh-CN"/>
              </w:rPr>
              <w:t>100</w:t>
            </w:r>
            <w:r>
              <w:rPr>
                <w:rFonts w:ascii="宋体" w:hAnsi="宋体" w:cs="宋体"/>
                <w:color w:val="000000"/>
                <w:kern w:val="0"/>
                <w:szCs w:val="21"/>
              </w:rPr>
              <w:t>字左右）的识别速度在</w:t>
            </w:r>
            <w:r>
              <w:rPr>
                <w:rFonts w:hint="eastAsia" w:ascii="宋体" w:hAnsi="宋体" w:cs="宋体"/>
                <w:color w:val="000000"/>
                <w:kern w:val="0"/>
                <w:szCs w:val="21"/>
                <w:lang w:val="en-US" w:eastAsia="zh-CN"/>
              </w:rPr>
              <w:t>4</w:t>
            </w:r>
            <w:r>
              <w:rPr>
                <w:rFonts w:ascii="宋体" w:hAnsi="宋体" w:cs="宋体"/>
                <w:color w:val="000000"/>
                <w:kern w:val="0"/>
                <w:szCs w:val="21"/>
              </w:rPr>
              <w:t>秒以内。单个</w:t>
            </w:r>
            <w:r>
              <w:rPr>
                <w:rFonts w:hint="eastAsia" w:ascii="宋体" w:hAnsi="宋体" w:cs="宋体"/>
                <w:color w:val="000000"/>
                <w:kern w:val="0"/>
                <w:szCs w:val="21"/>
                <w:lang w:val="en-US" w:eastAsia="zh-CN"/>
              </w:rPr>
              <w:t>复杂</w:t>
            </w:r>
            <w:r>
              <w:rPr>
                <w:rFonts w:ascii="宋体" w:hAnsi="宋体" w:cs="宋体"/>
                <w:color w:val="000000"/>
                <w:kern w:val="0"/>
                <w:szCs w:val="21"/>
              </w:rPr>
              <w:t>文图像文件</w:t>
            </w:r>
            <w:r>
              <w:rPr>
                <w:rFonts w:hint="eastAsia" w:ascii="宋体" w:hAnsi="宋体" w:cs="宋体"/>
                <w:color w:val="000000"/>
                <w:kern w:val="0"/>
                <w:szCs w:val="21"/>
                <w:lang w:eastAsia="zh-CN"/>
              </w:rPr>
              <w:t>（</w:t>
            </w:r>
            <w:r>
              <w:rPr>
                <w:rFonts w:ascii="宋体" w:hAnsi="宋体" w:cs="宋体"/>
                <w:color w:val="000000"/>
                <w:kern w:val="0"/>
                <w:szCs w:val="21"/>
              </w:rPr>
              <w:t>图片大小4M以内，图片内容为</w:t>
            </w:r>
            <w:r>
              <w:rPr>
                <w:rFonts w:hint="eastAsia" w:ascii="宋体" w:hAnsi="宋体" w:cs="宋体"/>
                <w:color w:val="000000"/>
                <w:kern w:val="0"/>
                <w:szCs w:val="21"/>
                <w:lang w:val="en-US" w:eastAsia="zh-CN"/>
              </w:rPr>
              <w:t>600</w:t>
            </w:r>
            <w:r>
              <w:rPr>
                <w:rFonts w:ascii="宋体" w:hAnsi="宋体" w:cs="宋体"/>
                <w:color w:val="000000"/>
                <w:kern w:val="0"/>
                <w:szCs w:val="21"/>
              </w:rPr>
              <w:t>字</w:t>
            </w:r>
            <w:r>
              <w:rPr>
                <w:rFonts w:hint="eastAsia" w:ascii="宋体" w:hAnsi="宋体" w:cs="宋体"/>
                <w:color w:val="000000"/>
                <w:kern w:val="0"/>
                <w:szCs w:val="21"/>
                <w:lang w:val="en-US" w:eastAsia="zh-CN"/>
              </w:rPr>
              <w:t>左右</w:t>
            </w:r>
            <w:r>
              <w:rPr>
                <w:rFonts w:ascii="宋体" w:hAnsi="宋体" w:cs="宋体"/>
                <w:color w:val="000000"/>
                <w:kern w:val="0"/>
                <w:szCs w:val="21"/>
              </w:rPr>
              <w:t>）</w:t>
            </w:r>
            <w:r>
              <w:rPr>
                <w:rFonts w:hint="eastAsia" w:ascii="宋体" w:hAnsi="宋体" w:cs="宋体"/>
                <w:color w:val="000000"/>
                <w:kern w:val="0"/>
                <w:szCs w:val="21"/>
                <w:lang w:val="en-US" w:eastAsia="zh-CN"/>
              </w:rPr>
              <w:t>的识别速度在15秒</w:t>
            </w:r>
            <w:r>
              <w:rPr>
                <w:rFonts w:ascii="宋体" w:hAnsi="宋体" w:cs="宋体"/>
                <w:color w:val="000000"/>
                <w:kern w:val="0"/>
                <w:szCs w:val="21"/>
              </w:rPr>
              <w:t>以</w:t>
            </w:r>
            <w:r>
              <w:rPr>
                <w:rFonts w:hint="eastAsia" w:ascii="宋体" w:hAnsi="宋体" w:cs="宋体"/>
                <w:color w:val="000000"/>
                <w:kern w:val="0"/>
                <w:szCs w:val="21"/>
                <w:lang w:val="en-US" w:eastAsia="zh-CN"/>
              </w:rPr>
              <w:t>内。</w:t>
            </w:r>
          </w:p>
        </w:tc>
      </w:tr>
      <w:tr>
        <w:trPr>
          <w:trHeight w:val="78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szCs w:val="21"/>
              </w:rPr>
            </w:pPr>
            <w:r>
              <w:rPr>
                <w:rFonts w:ascii="宋体" w:hAnsi="宋体" w:cs="宋体"/>
                <w:color w:val="000000"/>
                <w:kern w:val="0"/>
                <w:szCs w:val="21"/>
              </w:rPr>
              <w:t>兼容性要求</w:t>
            </w:r>
          </w:p>
        </w:tc>
        <w:tc>
          <w:tcPr>
            <w:tcW w:w="66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szCs w:val="21"/>
              </w:rPr>
            </w:pPr>
            <w:r>
              <w:rPr>
                <w:rFonts w:ascii="宋体" w:hAnsi="宋体" w:cs="宋体"/>
                <w:color w:val="000000"/>
                <w:kern w:val="0"/>
                <w:szCs w:val="21"/>
              </w:rPr>
              <w:t>1.系统兼容性，支持</w:t>
            </w:r>
            <w:r>
              <w:rPr>
                <w:rFonts w:hint="eastAsia" w:ascii="宋体" w:hAnsi="宋体" w:cs="宋体"/>
                <w:color w:val="000000"/>
                <w:kern w:val="0"/>
                <w:szCs w:val="21"/>
                <w:lang w:val="en-US" w:eastAsia="zh-CN"/>
              </w:rPr>
              <w:t>统信</w:t>
            </w:r>
            <w:r>
              <w:rPr>
                <w:rFonts w:ascii="宋体" w:hAnsi="宋体" w:cs="宋体"/>
                <w:color w:val="000000"/>
                <w:kern w:val="0"/>
                <w:szCs w:val="21"/>
              </w:rPr>
              <w:t>、银河麒麟等操作系统；</w:t>
            </w:r>
            <w:r>
              <w:rPr>
                <w:rFonts w:ascii="宋体" w:hAnsi="宋体" w:cs="宋体"/>
                <w:color w:val="000000"/>
                <w:kern w:val="0"/>
                <w:szCs w:val="21"/>
              </w:rPr>
              <w:br w:type="textWrapping"/>
            </w:r>
            <w:r>
              <w:rPr>
                <w:rFonts w:ascii="宋体" w:hAnsi="宋体" w:cs="宋体"/>
                <w:color w:val="000000"/>
                <w:kern w:val="0"/>
                <w:szCs w:val="21"/>
              </w:rPr>
              <w:t>2.产品API接口支持Java、C++、C#、go、Python等多种编程语言；</w:t>
            </w:r>
          </w:p>
        </w:tc>
      </w:tr>
      <w:tr>
        <w:trPr>
          <w:trHeight w:val="26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szCs w:val="21"/>
              </w:rPr>
            </w:pPr>
            <w:r>
              <w:rPr>
                <w:rFonts w:ascii="宋体" w:hAnsi="宋体" w:cs="宋体"/>
                <w:color w:val="000000"/>
                <w:kern w:val="0"/>
                <w:szCs w:val="21"/>
              </w:rPr>
              <w:t>安全性要求</w:t>
            </w:r>
          </w:p>
        </w:tc>
        <w:tc>
          <w:tcPr>
            <w:tcW w:w="66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szCs w:val="21"/>
              </w:rPr>
            </w:pPr>
            <w:r>
              <w:rPr>
                <w:rFonts w:ascii="宋体" w:hAnsi="宋体" w:cs="宋体"/>
                <w:color w:val="000000"/>
                <w:kern w:val="0"/>
                <w:szCs w:val="21"/>
              </w:rPr>
              <w:t>提供的软件产品通过第三方安全检测。</w:t>
            </w:r>
          </w:p>
        </w:tc>
      </w:tr>
      <w:tr>
        <w:trPr>
          <w:trHeight w:val="26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kern w:val="0"/>
                <w:szCs w:val="21"/>
              </w:rPr>
            </w:pPr>
            <w:r>
              <w:rPr>
                <w:rFonts w:hint="eastAsia" w:ascii="宋体" w:hAnsi="宋体" w:cs="宋体"/>
                <w:color w:val="000000"/>
                <w:kern w:val="0"/>
                <w:szCs w:val="21"/>
              </w:rPr>
              <w:t>服务要求</w:t>
            </w:r>
          </w:p>
        </w:tc>
        <w:tc>
          <w:tcPr>
            <w:tcW w:w="66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kern w:val="0"/>
                <w:szCs w:val="21"/>
              </w:rPr>
            </w:pPr>
            <w:r>
              <w:rPr>
                <w:rFonts w:ascii="宋体" w:hAnsi="宋体" w:cs="宋体"/>
                <w:color w:val="000000"/>
                <w:kern w:val="0"/>
                <w:szCs w:val="21"/>
              </w:rPr>
              <w:t>提供包括不限于该服务的安装使用材料、产品使用介质、版本升级介质、产品API、适配改造、</w:t>
            </w:r>
            <w:r>
              <w:rPr>
                <w:rFonts w:hint="eastAsia" w:ascii="宋体" w:hAnsi="宋体" w:cs="宋体"/>
                <w:color w:val="000000"/>
                <w:kern w:val="0"/>
                <w:szCs w:val="21"/>
              </w:rPr>
              <w:t>管理端</w:t>
            </w:r>
            <w:r>
              <w:rPr>
                <w:rFonts w:ascii="宋体" w:hAnsi="宋体" w:cs="宋体"/>
                <w:color w:val="000000"/>
                <w:kern w:val="0"/>
                <w:szCs w:val="21"/>
              </w:rPr>
              <w:t>安全问题修复、</w:t>
            </w:r>
            <w:r>
              <w:rPr>
                <w:rFonts w:hint="eastAsia" w:ascii="宋体" w:hAnsi="宋体" w:cs="宋体"/>
                <w:color w:val="000000"/>
                <w:kern w:val="0"/>
                <w:szCs w:val="21"/>
              </w:rPr>
              <w:t>管理端</w:t>
            </w:r>
            <w:r>
              <w:rPr>
                <w:rFonts w:ascii="宋体" w:hAnsi="宋体" w:cs="宋体"/>
                <w:color w:val="000000"/>
                <w:kern w:val="0"/>
                <w:szCs w:val="21"/>
              </w:rPr>
              <w:t>应急保障、产品文档、培训咨询、巡检服务、</w:t>
            </w:r>
            <w:r>
              <w:rPr>
                <w:rFonts w:hint="eastAsia" w:ascii="宋体" w:hAnsi="宋体" w:cs="宋体"/>
                <w:color w:val="000000"/>
                <w:kern w:val="0"/>
                <w:szCs w:val="21"/>
              </w:rPr>
              <w:t>管理端</w:t>
            </w:r>
            <w:r>
              <w:rPr>
                <w:rFonts w:ascii="宋体" w:hAnsi="宋体" w:cs="宋体"/>
                <w:color w:val="000000"/>
                <w:kern w:val="0"/>
                <w:szCs w:val="21"/>
              </w:rPr>
              <w:t>性能调优、重要活动和重大节假日</w:t>
            </w:r>
            <w:r>
              <w:rPr>
                <w:rFonts w:hint="eastAsia" w:ascii="宋体" w:hAnsi="宋体" w:cs="宋体"/>
                <w:color w:val="000000"/>
                <w:kern w:val="0"/>
                <w:szCs w:val="21"/>
              </w:rPr>
              <w:t>管理端</w:t>
            </w:r>
            <w:r>
              <w:rPr>
                <w:rFonts w:ascii="宋体" w:hAnsi="宋体" w:cs="宋体"/>
                <w:color w:val="000000"/>
                <w:kern w:val="0"/>
                <w:szCs w:val="21"/>
              </w:rPr>
              <w:t>保障等保障服务。</w:t>
            </w:r>
          </w:p>
        </w:tc>
      </w:tr>
      <w:tr>
        <w:trPr>
          <w:trHeight w:val="26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kern w:val="0"/>
                <w:szCs w:val="21"/>
              </w:rPr>
            </w:pPr>
            <w:r>
              <w:rPr>
                <w:rFonts w:ascii="宋体" w:hAnsi="宋体" w:cs="宋体"/>
                <w:color w:val="000000"/>
                <w:kern w:val="0"/>
                <w:szCs w:val="21"/>
              </w:rPr>
              <w:t>验收考核要求</w:t>
            </w:r>
          </w:p>
        </w:tc>
        <w:tc>
          <w:tcPr>
            <w:tcW w:w="66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kern w:val="0"/>
                <w:szCs w:val="21"/>
              </w:rPr>
            </w:pPr>
            <w:r>
              <w:rPr>
                <w:rFonts w:ascii="宋体" w:hAnsi="宋体" w:cs="宋体"/>
                <w:color w:val="000000"/>
                <w:kern w:val="0"/>
                <w:szCs w:val="21"/>
              </w:rPr>
              <w:t>1、提供PaaS服务对应软件产品的使用详情。</w:t>
            </w:r>
          </w:p>
          <w:p>
            <w:pPr>
              <w:textAlignment w:val="center"/>
              <w:rPr>
                <w:rFonts w:ascii="宋体" w:hAnsi="宋体" w:cs="宋体"/>
                <w:color w:val="000000"/>
                <w:kern w:val="0"/>
                <w:szCs w:val="21"/>
              </w:rPr>
            </w:pPr>
            <w:r>
              <w:rPr>
                <w:rFonts w:ascii="宋体" w:hAnsi="宋体" w:cs="宋体"/>
                <w:color w:val="000000"/>
                <w:kern w:val="0"/>
                <w:szCs w:val="21"/>
              </w:rPr>
              <w:t>2、服务结算按照软件产品部署后支撑的“</w:t>
            </w:r>
            <w:r>
              <w:rPr>
                <w:rFonts w:hint="eastAsia" w:ascii="宋体" w:hAnsi="宋体" w:cs="宋体"/>
                <w:color w:val="000000"/>
                <w:kern w:val="0"/>
                <w:szCs w:val="21"/>
                <w:lang w:val="en-US" w:eastAsia="zh-CN"/>
              </w:rPr>
              <w:t>调用次数</w:t>
            </w:r>
            <w:r>
              <w:rPr>
                <w:rFonts w:ascii="宋体" w:hAnsi="宋体" w:cs="宋体"/>
                <w:color w:val="000000"/>
                <w:kern w:val="0"/>
                <w:szCs w:val="21"/>
              </w:rPr>
              <w:t>”进行结算。</w:t>
            </w:r>
          </w:p>
        </w:tc>
      </w:tr>
    </w:tbl>
    <w:p/>
    <w:p>
      <w:pPr>
        <w:pStyle w:val="4"/>
        <w:numPr>
          <w:ilvl w:val="2"/>
          <w:numId w:val="5"/>
        </w:numPr>
        <w:spacing w:before="160" w:line="300" w:lineRule="exact"/>
        <w:ind w:left="420"/>
        <w:rPr>
          <w:rFonts w:ascii="宋体" w:hAnsi="宋体"/>
        </w:rPr>
      </w:pPr>
      <w:bookmarkStart w:id="55" w:name="_Toc912"/>
      <w:bookmarkStart w:id="56" w:name="_Toc57"/>
      <w:r>
        <w:rPr>
          <w:rFonts w:ascii="宋体" w:hAnsi="宋体"/>
        </w:rPr>
        <w:t>人像身份核验服务</w:t>
      </w:r>
      <w:bookmarkEnd w:id="55"/>
      <w:bookmarkEnd w:id="56"/>
    </w:p>
    <w:tbl>
      <w:tblPr>
        <w:tblStyle w:val="12"/>
        <w:tblW w:w="8315" w:type="dxa"/>
        <w:tblInd w:w="0" w:type="dxa"/>
        <w:tblLayout w:type="fixed"/>
        <w:tblCellMar>
          <w:top w:w="0" w:type="dxa"/>
          <w:left w:w="0" w:type="dxa"/>
          <w:bottom w:w="0" w:type="dxa"/>
          <w:right w:w="0" w:type="dxa"/>
        </w:tblCellMar>
      </w:tblPr>
      <w:tblGrid>
        <w:gridCol w:w="1641"/>
        <w:gridCol w:w="6674"/>
      </w:tblGrid>
      <w:tr>
        <w:tblPrEx>
          <w:tblCellMar>
            <w:top w:w="0" w:type="dxa"/>
            <w:left w:w="0" w:type="dxa"/>
            <w:bottom w:w="0" w:type="dxa"/>
            <w:right w:w="0" w:type="dxa"/>
          </w:tblCellMar>
        </w:tblPrEx>
        <w:trPr>
          <w:trHeight w:val="260" w:hRule="atLeast"/>
        </w:trPr>
        <w:tc>
          <w:tcPr>
            <w:tcW w:w="1641"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0" w:type="dxa"/>
              <w:left w:w="10" w:type="dxa"/>
              <w:right w:w="10" w:type="dxa"/>
            </w:tcMar>
            <w:vAlign w:val="center"/>
          </w:tcPr>
          <w:p>
            <w:pPr>
              <w:jc w:val="center"/>
              <w:rPr>
                <w:rFonts w:ascii="宋体" w:hAnsi="宋体" w:cs="宋体"/>
                <w:color w:val="000000"/>
                <w:kern w:val="0"/>
              </w:rPr>
            </w:pPr>
            <w:r>
              <w:rPr>
                <w:rFonts w:ascii="宋体" w:hAnsi="宋体" w:cs="宋体"/>
                <w:b/>
                <w:bCs/>
                <w:color w:val="000000"/>
                <w:kern w:val="0"/>
              </w:rPr>
              <w:t>规格</w:t>
            </w:r>
          </w:p>
        </w:tc>
        <w:tc>
          <w:tcPr>
            <w:tcW w:w="6674"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tcMar>
              <w:top w:w="10" w:type="dxa"/>
              <w:left w:w="10" w:type="dxa"/>
              <w:right w:w="10" w:type="dxa"/>
            </w:tcMar>
            <w:vAlign w:val="center"/>
          </w:tcPr>
          <w:p>
            <w:pPr>
              <w:jc w:val="center"/>
              <w:rPr>
                <w:rFonts w:ascii="宋体" w:hAnsi="宋体" w:cs="宋体"/>
                <w:color w:val="000000"/>
                <w:kern w:val="0"/>
              </w:rPr>
            </w:pPr>
            <w:r>
              <w:rPr>
                <w:rFonts w:ascii="宋体" w:hAnsi="宋体" w:cs="宋体"/>
                <w:b/>
                <w:bCs/>
                <w:color w:val="000000"/>
                <w:kern w:val="0"/>
              </w:rPr>
              <w:t>指标要求</w:t>
            </w:r>
          </w:p>
        </w:tc>
      </w:tr>
      <w:tr>
        <w:tblPrEx>
          <w:tblCellMar>
            <w:top w:w="0" w:type="dxa"/>
            <w:left w:w="0" w:type="dxa"/>
            <w:bottom w:w="0" w:type="dxa"/>
            <w:right w:w="0" w:type="dxa"/>
          </w:tblCellMar>
        </w:tblPrEx>
        <w:trPr>
          <w:trHeight w:val="260" w:hRule="atLeast"/>
        </w:trPr>
        <w:tc>
          <w:tcPr>
            <w:tcW w:w="16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rPr>
            </w:pPr>
            <w:r>
              <w:rPr>
                <w:rFonts w:ascii="宋体" w:hAnsi="宋体" w:cs="宋体"/>
                <w:color w:val="000000"/>
                <w:kern w:val="0"/>
              </w:rPr>
              <w:t>服务描述</w:t>
            </w:r>
          </w:p>
        </w:tc>
        <w:tc>
          <w:tcPr>
            <w:tcW w:w="66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rPr>
            </w:pPr>
            <w:r>
              <w:rPr>
                <w:rFonts w:hint="eastAsia" w:ascii="宋体" w:hAnsi="宋体" w:cs="宋体"/>
                <w:color w:val="000000"/>
              </w:rPr>
              <w:t>提供“人脸核身场景、人证核验场景、人像活体检测”的人像身份核验服务， 同时集成智能证件照处理能力，包含人像分割、背景替换、合规裁剪及标准化输出。</w:t>
            </w:r>
          </w:p>
        </w:tc>
      </w:tr>
      <w:tr>
        <w:tblPrEx>
          <w:tblCellMar>
            <w:top w:w="0" w:type="dxa"/>
            <w:left w:w="0" w:type="dxa"/>
            <w:bottom w:w="0" w:type="dxa"/>
            <w:right w:w="0" w:type="dxa"/>
          </w:tblCellMar>
        </w:tblPrEx>
        <w:trPr>
          <w:trHeight w:val="260" w:hRule="atLeast"/>
        </w:trPr>
        <w:tc>
          <w:tcPr>
            <w:tcW w:w="16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rPr>
            </w:pPr>
            <w:r>
              <w:rPr>
                <w:rFonts w:ascii="宋体" w:hAnsi="宋体" w:cs="宋体"/>
                <w:color w:val="000000"/>
                <w:kern w:val="0"/>
              </w:rPr>
              <w:t>部署模式</w:t>
            </w:r>
          </w:p>
        </w:tc>
        <w:tc>
          <w:tcPr>
            <w:tcW w:w="66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rPr>
            </w:pPr>
            <w:r>
              <w:rPr>
                <w:rFonts w:ascii="宋体" w:hAnsi="宋体" w:cs="宋体"/>
                <w:color w:val="000000"/>
                <w:kern w:val="0"/>
              </w:rPr>
              <w:t>支持单机和集群部署模式</w:t>
            </w:r>
          </w:p>
        </w:tc>
      </w:tr>
      <w:tr>
        <w:tblPrEx>
          <w:tblCellMar>
            <w:top w:w="0" w:type="dxa"/>
            <w:left w:w="0" w:type="dxa"/>
            <w:bottom w:w="0" w:type="dxa"/>
            <w:right w:w="0" w:type="dxa"/>
          </w:tblCellMar>
        </w:tblPrEx>
        <w:trPr>
          <w:trHeight w:val="90" w:hRule="atLeast"/>
        </w:trPr>
        <w:tc>
          <w:tcPr>
            <w:tcW w:w="16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rPr>
            </w:pPr>
            <w:r>
              <w:rPr>
                <w:rFonts w:ascii="宋体" w:hAnsi="宋体" w:cs="宋体"/>
                <w:color w:val="000000"/>
                <w:kern w:val="0"/>
              </w:rPr>
              <w:t>功能要求</w:t>
            </w:r>
          </w:p>
        </w:tc>
        <w:tc>
          <w:tcPr>
            <w:tcW w:w="66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kern w:val="0"/>
              </w:rPr>
            </w:pPr>
            <w:r>
              <w:rPr>
                <w:rFonts w:ascii="宋体" w:hAnsi="宋体" w:cs="宋体"/>
                <w:color w:val="000000"/>
                <w:kern w:val="0"/>
              </w:rPr>
              <w:t>1、人脸检测：检测图片中的人脸并分别标记出人脸框坐标点、人脸关键点,支持多人脸。</w:t>
            </w:r>
            <w:r>
              <w:rPr>
                <w:rFonts w:ascii="宋体" w:hAnsi="宋体" w:cs="宋体"/>
                <w:color w:val="000000"/>
                <w:kern w:val="0"/>
              </w:rPr>
              <w:br w:type="textWrapping"/>
            </w:r>
            <w:r>
              <w:rPr>
                <w:rFonts w:ascii="宋体" w:hAnsi="宋体" w:cs="宋体"/>
                <w:color w:val="000000"/>
                <w:kern w:val="0"/>
              </w:rPr>
              <w:t>2、人脸属性：对图片进行属性检测，返回性别、年龄、有无口罩等属性,支持多人脸和指定的人脸检测（默认检测当前图片中最大的脸）。</w:t>
            </w:r>
            <w:r>
              <w:rPr>
                <w:rFonts w:ascii="宋体" w:hAnsi="宋体" w:cs="宋体"/>
                <w:color w:val="000000"/>
                <w:kern w:val="0"/>
              </w:rPr>
              <w:br w:type="textWrapping"/>
            </w:r>
            <w:r>
              <w:rPr>
                <w:rFonts w:ascii="宋体" w:hAnsi="宋体" w:cs="宋体"/>
                <w:color w:val="000000"/>
                <w:kern w:val="0"/>
              </w:rPr>
              <w:t>3、人像质量检测：对图片进行质量检测，返回姿态、模糊、嘴部状态信息,支持多人脸人脸特征提取，提取图片中人脸的特征值，支持进行多人脸或指定人脸检测（默认检测图片中最大的一张人脸）。</w:t>
            </w:r>
            <w:r>
              <w:rPr>
                <w:rFonts w:ascii="宋体" w:hAnsi="宋体" w:cs="宋体"/>
                <w:color w:val="000000"/>
                <w:kern w:val="0"/>
              </w:rPr>
              <w:br w:type="textWrapping"/>
            </w:r>
            <w:r>
              <w:rPr>
                <w:rFonts w:ascii="宋体" w:hAnsi="宋体" w:cs="宋体"/>
                <w:color w:val="000000"/>
                <w:kern w:val="0"/>
              </w:rPr>
              <w:t>4、人脸特征比对：传入两个人脸特征值，检测特征值的比对相似度；特征值可由特征提取接口获取。</w:t>
            </w:r>
            <w:r>
              <w:rPr>
                <w:rFonts w:ascii="宋体" w:hAnsi="宋体" w:cs="宋体"/>
                <w:color w:val="000000"/>
                <w:kern w:val="0"/>
              </w:rPr>
              <w:br w:type="textWrapping"/>
            </w:r>
            <w:r>
              <w:rPr>
                <w:rFonts w:ascii="宋体" w:hAnsi="宋体" w:cs="宋体"/>
                <w:color w:val="000000"/>
                <w:kern w:val="0"/>
              </w:rPr>
              <w:t>5、两图比对：传入两张图片，检测图片的比对相似度；支持选择图片中的某个或多个人脸进行比对。</w:t>
            </w:r>
            <w:r>
              <w:rPr>
                <w:rFonts w:ascii="宋体" w:hAnsi="宋体" w:cs="宋体"/>
                <w:color w:val="000000"/>
                <w:kern w:val="0"/>
              </w:rPr>
              <w:br w:type="textWrapping"/>
            </w:r>
            <w:r>
              <w:rPr>
                <w:rFonts w:ascii="宋体" w:hAnsi="宋体" w:cs="宋体"/>
                <w:color w:val="000000"/>
                <w:kern w:val="0"/>
              </w:rPr>
              <w:t>6、单图防伪：基于单张图片，判断图片中的人脸是否为二次翻拍。</w:t>
            </w:r>
            <w:r>
              <w:rPr>
                <w:rFonts w:ascii="宋体" w:hAnsi="宋体" w:cs="宋体"/>
                <w:color w:val="000000"/>
                <w:kern w:val="0"/>
              </w:rPr>
              <w:br w:type="textWrapping"/>
            </w:r>
            <w:r>
              <w:rPr>
                <w:rFonts w:ascii="宋体" w:hAnsi="宋体" w:cs="宋体"/>
                <w:color w:val="000000"/>
                <w:kern w:val="0"/>
              </w:rPr>
              <w:t>7、视频交互活体：基于视频，对视频中的人像进行动作活体检测分析，判断视频中的人是否为活体，动作序列支持眨眼、张嘴、点头、摇头动作。</w:t>
            </w:r>
            <w:r>
              <w:rPr>
                <w:rFonts w:ascii="宋体" w:hAnsi="宋体" w:cs="宋体"/>
                <w:color w:val="000000"/>
                <w:kern w:val="0"/>
              </w:rPr>
              <w:br w:type="textWrapping"/>
            </w:r>
            <w:r>
              <w:rPr>
                <w:rFonts w:ascii="宋体" w:hAnsi="宋体" w:cs="宋体"/>
                <w:color w:val="000000"/>
                <w:kern w:val="0"/>
              </w:rPr>
              <w:t>8、视频静默活体 ：基于视频，对视频中的人像进行活体检测分析，用户无需配合作出相应指令。</w:t>
            </w:r>
            <w:r>
              <w:rPr>
                <w:rFonts w:ascii="宋体" w:hAnsi="宋体" w:cs="宋体"/>
                <w:color w:val="000000"/>
                <w:kern w:val="0"/>
              </w:rPr>
              <w:br w:type="textWrapping"/>
            </w:r>
            <w:r>
              <w:rPr>
                <w:rFonts w:ascii="宋体" w:hAnsi="宋体" w:cs="宋体"/>
                <w:color w:val="000000"/>
                <w:kern w:val="0"/>
              </w:rPr>
              <w:t>9、H5交互活体（含前端JS示例）：基于H5前后端连续帧传输方案，按要求实时完成一系列随机动作指令后，即可判断摄像头捕捉的对象是否为真人，支持质量检测，支持多人脸告警。</w:t>
            </w:r>
            <w:r>
              <w:rPr>
                <w:rFonts w:ascii="宋体" w:hAnsi="宋体" w:cs="宋体"/>
                <w:color w:val="000000"/>
                <w:kern w:val="0"/>
              </w:rPr>
              <w:br w:type="textWrapping"/>
            </w:r>
            <w:r>
              <w:rPr>
                <w:rFonts w:ascii="宋体" w:hAnsi="宋体" w:cs="宋体"/>
                <w:color w:val="000000"/>
                <w:kern w:val="0"/>
              </w:rPr>
              <w:t>10、H5静默活体（含前端JS示例）：基于H5前后端连续帧传输方案，无需依据提示进行脸部相应动作，保持直视屏幕即可判断摄像头捕捉的对象是否为真人，支持质量检测，支持多人脸告警。</w:t>
            </w:r>
          </w:p>
          <w:p>
            <w:pPr>
              <w:textAlignment w:val="center"/>
              <w:rPr>
                <w:rFonts w:ascii="宋体" w:hAnsi="宋体" w:cs="宋体"/>
                <w:color w:val="000000"/>
              </w:rPr>
            </w:pPr>
            <w:r>
              <w:rPr>
                <w:rFonts w:hint="eastAsia" w:ascii="宋体" w:hAnsi="宋体" w:cs="宋体"/>
                <w:color w:val="000000"/>
                <w:kern w:val="0"/>
                <w:lang w:val="en-US" w:eastAsia="zh-CN"/>
              </w:rPr>
              <w:t>11、</w:t>
            </w:r>
            <w:r>
              <w:rPr>
                <w:rFonts w:hint="eastAsia" w:ascii="宋体" w:hAnsi="宋体" w:cs="宋体"/>
                <w:color w:val="000000"/>
                <w:kern w:val="0"/>
              </w:rPr>
              <w:t>智能证件处理：头发/衣物边缘过渡精度≤1像素</w:t>
            </w:r>
            <w:r>
              <w:rPr>
                <w:rFonts w:hint="eastAsia" w:ascii="宋体" w:hAnsi="宋体" w:cs="宋体"/>
                <w:color w:val="000000"/>
                <w:kern w:val="0"/>
                <w:lang w:eastAsia="zh-CN"/>
              </w:rPr>
              <w:t>，</w:t>
            </w:r>
            <w:r>
              <w:rPr>
                <w:rFonts w:hint="eastAsia" w:ascii="宋体" w:hAnsi="宋体" w:cs="宋体"/>
                <w:color w:val="000000"/>
                <w:kern w:val="0"/>
              </w:rPr>
              <w:t>支持自定义RGB/LAB色值（符合国际签证标准）</w:t>
            </w:r>
            <w:r>
              <w:rPr>
                <w:rFonts w:hint="eastAsia" w:ascii="宋体" w:hAnsi="宋体" w:cs="宋体"/>
                <w:color w:val="000000"/>
                <w:kern w:val="0"/>
                <w:lang w:eastAsia="zh-CN"/>
              </w:rPr>
              <w:t>，</w:t>
            </w:r>
            <w:r>
              <w:rPr>
                <w:rFonts w:hint="eastAsia" w:ascii="宋体" w:hAnsi="宋体" w:cs="宋体"/>
                <w:color w:val="000000"/>
                <w:kern w:val="0"/>
              </w:rPr>
              <w:t>内置</w:t>
            </w:r>
            <w:r>
              <w:rPr>
                <w:rFonts w:hint="eastAsia" w:ascii="宋体" w:hAnsi="宋体" w:cs="宋体"/>
                <w:color w:val="000000"/>
                <w:kern w:val="0"/>
                <w:lang w:val="en-US" w:eastAsia="zh-CN"/>
              </w:rPr>
              <w:t>不低于</w:t>
            </w:r>
            <w:r>
              <w:rPr>
                <w:rFonts w:hint="eastAsia" w:ascii="宋体" w:hAnsi="宋体" w:cs="宋体"/>
                <w:color w:val="000000"/>
                <w:kern w:val="0"/>
              </w:rPr>
              <w:t>200+种证件模板</w:t>
            </w:r>
            <w:r>
              <w:rPr>
                <w:rFonts w:hint="eastAsia" w:ascii="宋体" w:hAnsi="宋体" w:cs="宋体"/>
                <w:color w:val="000000"/>
                <w:kern w:val="0"/>
                <w:lang w:eastAsia="zh-CN"/>
              </w:rPr>
              <w:t>，</w:t>
            </w:r>
            <w:r>
              <w:rPr>
                <w:rFonts w:hint="eastAsia" w:ascii="宋体" w:hAnsi="宋体" w:cs="宋体"/>
                <w:color w:val="000000"/>
                <w:kern w:val="0"/>
              </w:rPr>
              <w:t>支持300dpi/600dpi分辨率，文件大小智能压缩（≤100KB）</w:t>
            </w:r>
            <w:r>
              <w:rPr>
                <w:rFonts w:hint="eastAsia" w:ascii="宋体" w:hAnsi="宋体" w:cs="宋体"/>
                <w:color w:val="000000"/>
                <w:kern w:val="0"/>
                <w:lang w:eastAsia="zh-CN"/>
              </w:rPr>
              <w:t>。</w:t>
            </w:r>
            <w:r>
              <w:rPr>
                <w:rFonts w:ascii="宋体" w:hAnsi="宋体" w:cs="宋体"/>
                <w:color w:val="000000"/>
                <w:kern w:val="0"/>
              </w:rPr>
              <w:br w:type="textWrapping"/>
            </w:r>
            <w:r>
              <w:rPr>
                <w:rFonts w:ascii="宋体" w:hAnsi="宋体" w:cs="宋体"/>
                <w:color w:val="000000"/>
                <w:kern w:val="0"/>
              </w:rPr>
              <w:t>1</w:t>
            </w:r>
            <w:r>
              <w:rPr>
                <w:rFonts w:hint="eastAsia" w:ascii="宋体" w:hAnsi="宋体" w:cs="宋体"/>
                <w:color w:val="000000"/>
                <w:kern w:val="0"/>
                <w:lang w:val="en-US" w:eastAsia="zh-CN"/>
              </w:rPr>
              <w:t>2</w:t>
            </w:r>
            <w:r>
              <w:rPr>
                <w:rFonts w:ascii="宋体" w:hAnsi="宋体" w:cs="宋体"/>
                <w:color w:val="000000"/>
                <w:kern w:val="0"/>
              </w:rPr>
              <w:t>、操作日志管理：对用户在管理后台的操作进行展示和查找，筛选条件包括用户名、姓名、操作时间等。</w:t>
            </w:r>
            <w:r>
              <w:rPr>
                <w:rFonts w:ascii="宋体" w:hAnsi="宋体" w:cs="宋体"/>
                <w:color w:val="000000"/>
                <w:kern w:val="0"/>
              </w:rPr>
              <w:br w:type="textWrapping"/>
            </w:r>
            <w:r>
              <w:rPr>
                <w:rFonts w:ascii="宋体" w:hAnsi="宋体" w:cs="宋体"/>
                <w:color w:val="000000"/>
                <w:kern w:val="0"/>
              </w:rPr>
              <w:t>1</w:t>
            </w:r>
            <w:r>
              <w:rPr>
                <w:rFonts w:hint="eastAsia" w:ascii="宋体" w:hAnsi="宋体" w:cs="宋体"/>
                <w:color w:val="000000"/>
                <w:kern w:val="0"/>
                <w:lang w:val="en-US" w:eastAsia="zh-CN"/>
              </w:rPr>
              <w:t>3</w:t>
            </w:r>
            <w:r>
              <w:rPr>
                <w:rFonts w:ascii="宋体" w:hAnsi="宋体" w:cs="宋体"/>
                <w:color w:val="000000"/>
                <w:kern w:val="0"/>
              </w:rPr>
              <w:t>、提供软件产品基本功能管理功能，包括不限于：用户管理、角色管理、账户管理、监控管理、使用情况管理等能力。</w:t>
            </w:r>
          </w:p>
        </w:tc>
      </w:tr>
      <w:tr>
        <w:tblPrEx>
          <w:tblCellMar>
            <w:top w:w="0" w:type="dxa"/>
            <w:left w:w="0" w:type="dxa"/>
            <w:bottom w:w="0" w:type="dxa"/>
            <w:right w:w="0" w:type="dxa"/>
          </w:tblCellMar>
        </w:tblPrEx>
        <w:trPr>
          <w:trHeight w:val="1300" w:hRule="atLeast"/>
        </w:trPr>
        <w:tc>
          <w:tcPr>
            <w:tcW w:w="16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rPr>
            </w:pPr>
            <w:r>
              <w:rPr>
                <w:rFonts w:ascii="宋体" w:hAnsi="宋体" w:cs="宋体"/>
                <w:color w:val="000000"/>
                <w:kern w:val="0"/>
              </w:rPr>
              <w:t>性能要求</w:t>
            </w:r>
          </w:p>
        </w:tc>
        <w:tc>
          <w:tcPr>
            <w:tcW w:w="66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rPr>
            </w:pPr>
            <w:r>
              <w:rPr>
                <w:rFonts w:ascii="宋体" w:hAnsi="宋体" w:cs="宋体"/>
                <w:color w:val="000000"/>
                <w:kern w:val="0"/>
              </w:rPr>
              <w:t>1.支持戴口罩人脸识别首位命中率不低于98%。</w:t>
            </w:r>
            <w:r>
              <w:rPr>
                <w:rFonts w:ascii="宋体" w:hAnsi="宋体" w:cs="宋体"/>
                <w:color w:val="000000"/>
                <w:kern w:val="0"/>
              </w:rPr>
              <w:br w:type="textWrapping"/>
            </w:r>
            <w:r>
              <w:rPr>
                <w:rFonts w:ascii="宋体" w:hAnsi="宋体" w:cs="宋体"/>
                <w:color w:val="000000"/>
                <w:kern w:val="0"/>
              </w:rPr>
              <w:t>2.在线人脸比对实人认证并发数支持50及以上，线下人脸1:1服务并发达1000及以上。</w:t>
            </w:r>
            <w:r>
              <w:rPr>
                <w:rFonts w:ascii="宋体" w:hAnsi="宋体" w:cs="宋体"/>
                <w:color w:val="000000"/>
                <w:kern w:val="0"/>
              </w:rPr>
              <w:br w:type="textWrapping"/>
            </w:r>
            <w:r>
              <w:rPr>
                <w:rFonts w:ascii="宋体" w:hAnsi="宋体" w:cs="宋体"/>
                <w:color w:val="000000"/>
                <w:kern w:val="0"/>
              </w:rPr>
              <w:t>3.人像特征库总容量：不小于5亿张人脸图片；</w:t>
            </w:r>
            <w:r>
              <w:rPr>
                <w:rFonts w:ascii="宋体" w:hAnsi="宋体" w:cs="宋体"/>
                <w:color w:val="000000"/>
                <w:kern w:val="0"/>
              </w:rPr>
              <w:br w:type="textWrapping"/>
            </w:r>
            <w:r>
              <w:rPr>
                <w:rFonts w:ascii="宋体" w:hAnsi="宋体" w:cs="宋体"/>
                <w:color w:val="000000"/>
                <w:kern w:val="0"/>
              </w:rPr>
              <w:t>4.“判断画面中的人脸是否为真实人脸，有效识别打印照片、显示屏上显示的照片及视频等”相关功能，活体检测精度（拒绝率≧99%，接受率≧99%）</w:t>
            </w:r>
            <w:r>
              <w:rPr>
                <w:rFonts w:hint="eastAsia" w:ascii="宋体" w:hAnsi="宋体" w:cs="宋体"/>
                <w:color w:val="000000"/>
                <w:kern w:val="0"/>
                <w:lang w:eastAsia="zh-CN"/>
              </w:rPr>
              <w:t>，</w:t>
            </w:r>
            <w:r>
              <w:rPr>
                <w:rFonts w:hint="eastAsia" w:ascii="宋体" w:hAnsi="宋体" w:cs="宋体"/>
                <w:color w:val="000000"/>
                <w:kern w:val="0"/>
                <w:lang w:val="en-US" w:eastAsia="zh-CN"/>
              </w:rPr>
              <w:t>具备AI生成假体识别能力</w:t>
            </w:r>
            <w:r>
              <w:rPr>
                <w:rFonts w:ascii="宋体" w:hAnsi="宋体" w:cs="宋体"/>
                <w:color w:val="000000"/>
                <w:kern w:val="0"/>
              </w:rPr>
              <w:t>；</w:t>
            </w:r>
          </w:p>
        </w:tc>
      </w:tr>
      <w:tr>
        <w:trPr>
          <w:trHeight w:val="260" w:hRule="atLeast"/>
        </w:trPr>
        <w:tc>
          <w:tcPr>
            <w:tcW w:w="16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rPr>
            </w:pPr>
            <w:r>
              <w:rPr>
                <w:rFonts w:ascii="宋体" w:hAnsi="宋体" w:cs="宋体"/>
                <w:color w:val="000000"/>
                <w:kern w:val="0"/>
              </w:rPr>
              <w:t>兼容性要求</w:t>
            </w:r>
          </w:p>
        </w:tc>
        <w:tc>
          <w:tcPr>
            <w:tcW w:w="66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rPr>
            </w:pPr>
            <w:r>
              <w:rPr>
                <w:rFonts w:ascii="宋体" w:hAnsi="宋体" w:cs="宋体"/>
                <w:color w:val="000000"/>
                <w:kern w:val="0"/>
              </w:rPr>
              <w:t>提供接入服务的 API 接口，支持微信、支付宝 H5、小程序、SDK 等多种场景接入。</w:t>
            </w:r>
          </w:p>
        </w:tc>
      </w:tr>
      <w:tr>
        <w:tblPrEx>
          <w:tblCellMar>
            <w:top w:w="0" w:type="dxa"/>
            <w:left w:w="0" w:type="dxa"/>
            <w:bottom w:w="0" w:type="dxa"/>
            <w:right w:w="0" w:type="dxa"/>
          </w:tblCellMar>
        </w:tblPrEx>
        <w:trPr>
          <w:trHeight w:val="260" w:hRule="atLeast"/>
        </w:trPr>
        <w:tc>
          <w:tcPr>
            <w:tcW w:w="16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rPr>
            </w:pPr>
            <w:r>
              <w:rPr>
                <w:rFonts w:ascii="宋体" w:hAnsi="宋体" w:cs="宋体"/>
                <w:color w:val="000000"/>
                <w:kern w:val="0"/>
              </w:rPr>
              <w:t>安全性要求</w:t>
            </w:r>
          </w:p>
        </w:tc>
        <w:tc>
          <w:tcPr>
            <w:tcW w:w="66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rPr>
            </w:pPr>
            <w:r>
              <w:rPr>
                <w:rFonts w:ascii="宋体" w:hAnsi="宋体" w:cs="宋体"/>
                <w:color w:val="000000"/>
                <w:kern w:val="0"/>
              </w:rPr>
              <w:t>提供的软件产品通过第三方安全检测。</w:t>
            </w:r>
          </w:p>
        </w:tc>
      </w:tr>
      <w:tr>
        <w:tblPrEx>
          <w:tblCellMar>
            <w:top w:w="0" w:type="dxa"/>
            <w:left w:w="0" w:type="dxa"/>
            <w:bottom w:w="0" w:type="dxa"/>
            <w:right w:w="0" w:type="dxa"/>
          </w:tblCellMar>
        </w:tblPrEx>
        <w:trPr>
          <w:trHeight w:val="520" w:hRule="atLeast"/>
        </w:trPr>
        <w:tc>
          <w:tcPr>
            <w:tcW w:w="16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rPr>
            </w:pPr>
            <w:r>
              <w:rPr>
                <w:rFonts w:ascii="宋体" w:hAnsi="宋体" w:cs="宋体"/>
                <w:color w:val="000000"/>
                <w:kern w:val="0"/>
              </w:rPr>
              <w:t>服务要求</w:t>
            </w:r>
          </w:p>
        </w:tc>
        <w:tc>
          <w:tcPr>
            <w:tcW w:w="66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rPr>
            </w:pPr>
            <w:r>
              <w:rPr>
                <w:rFonts w:ascii="宋体" w:hAnsi="宋体" w:cs="宋体"/>
                <w:color w:val="000000"/>
                <w:kern w:val="0"/>
                <w:szCs w:val="21"/>
              </w:rPr>
              <w:t>提供包括不限于该服务的安装使用材料、产品使用介质、版本升级介质、产品API、适配改造、</w:t>
            </w:r>
            <w:r>
              <w:rPr>
                <w:rFonts w:hint="eastAsia" w:ascii="宋体" w:hAnsi="宋体" w:cs="宋体"/>
                <w:color w:val="000000"/>
                <w:kern w:val="0"/>
                <w:szCs w:val="21"/>
              </w:rPr>
              <w:t>管理端</w:t>
            </w:r>
            <w:r>
              <w:rPr>
                <w:rFonts w:ascii="宋体" w:hAnsi="宋体" w:cs="宋体"/>
                <w:color w:val="000000"/>
                <w:kern w:val="0"/>
                <w:szCs w:val="21"/>
              </w:rPr>
              <w:t>安全问题修复、</w:t>
            </w:r>
            <w:r>
              <w:rPr>
                <w:rFonts w:hint="eastAsia" w:ascii="宋体" w:hAnsi="宋体" w:cs="宋体"/>
                <w:color w:val="000000"/>
                <w:kern w:val="0"/>
                <w:szCs w:val="21"/>
              </w:rPr>
              <w:t>管理端</w:t>
            </w:r>
            <w:r>
              <w:rPr>
                <w:rFonts w:ascii="宋体" w:hAnsi="宋体" w:cs="宋体"/>
                <w:color w:val="000000"/>
                <w:kern w:val="0"/>
                <w:szCs w:val="21"/>
              </w:rPr>
              <w:t>应急保障、产品文档、培训咨询、巡检服务、</w:t>
            </w:r>
            <w:r>
              <w:rPr>
                <w:rFonts w:hint="eastAsia" w:ascii="宋体" w:hAnsi="宋体" w:cs="宋体"/>
                <w:color w:val="000000"/>
                <w:kern w:val="0"/>
                <w:szCs w:val="21"/>
              </w:rPr>
              <w:t>管理端</w:t>
            </w:r>
            <w:r>
              <w:rPr>
                <w:rFonts w:ascii="宋体" w:hAnsi="宋体" w:cs="宋体"/>
                <w:color w:val="000000"/>
                <w:kern w:val="0"/>
                <w:szCs w:val="21"/>
              </w:rPr>
              <w:t>性能调优、重要活动和重大节假日</w:t>
            </w:r>
            <w:r>
              <w:rPr>
                <w:rFonts w:hint="eastAsia" w:ascii="宋体" w:hAnsi="宋体" w:cs="宋体"/>
                <w:color w:val="000000"/>
                <w:kern w:val="0"/>
                <w:szCs w:val="21"/>
              </w:rPr>
              <w:t>管理端</w:t>
            </w:r>
            <w:r>
              <w:rPr>
                <w:rFonts w:ascii="宋体" w:hAnsi="宋体" w:cs="宋体"/>
                <w:color w:val="000000"/>
                <w:kern w:val="0"/>
                <w:szCs w:val="21"/>
              </w:rPr>
              <w:t>保障等保障服务。</w:t>
            </w:r>
          </w:p>
        </w:tc>
      </w:tr>
      <w:tr>
        <w:tblPrEx>
          <w:tblCellMar>
            <w:top w:w="0" w:type="dxa"/>
            <w:left w:w="0" w:type="dxa"/>
            <w:bottom w:w="0" w:type="dxa"/>
            <w:right w:w="0" w:type="dxa"/>
          </w:tblCellMar>
        </w:tblPrEx>
        <w:trPr>
          <w:trHeight w:val="260" w:hRule="atLeast"/>
        </w:trPr>
        <w:tc>
          <w:tcPr>
            <w:tcW w:w="16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kern w:val="0"/>
              </w:rPr>
            </w:pPr>
            <w:r>
              <w:rPr>
                <w:rFonts w:ascii="宋体" w:hAnsi="宋体" w:cs="宋体"/>
                <w:color w:val="000000"/>
                <w:kern w:val="0"/>
              </w:rPr>
              <w:t>验收考核要求</w:t>
            </w:r>
          </w:p>
        </w:tc>
        <w:tc>
          <w:tcPr>
            <w:tcW w:w="66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kern w:val="0"/>
              </w:rPr>
            </w:pPr>
            <w:r>
              <w:rPr>
                <w:rFonts w:ascii="宋体" w:hAnsi="宋体" w:cs="宋体"/>
              </w:rPr>
              <w:t>1、</w:t>
            </w:r>
            <w:r>
              <w:rPr>
                <w:rFonts w:ascii="宋体" w:hAnsi="宋体" w:cs="宋体"/>
                <w:color w:val="000000"/>
                <w:kern w:val="0"/>
              </w:rPr>
              <w:t>提供PaaS服务对应软件产品的使用详情，包括不限于按照服务使用次数统计的详情。</w:t>
            </w:r>
          </w:p>
          <w:p>
            <w:pPr>
              <w:textAlignment w:val="center"/>
              <w:rPr>
                <w:rFonts w:ascii="宋体" w:hAnsi="宋体" w:cs="宋体"/>
                <w:color w:val="000000"/>
                <w:kern w:val="0"/>
              </w:rPr>
            </w:pPr>
            <w:r>
              <w:rPr>
                <w:rFonts w:ascii="宋体" w:hAnsi="宋体" w:cs="宋体"/>
                <w:color w:val="000000"/>
                <w:kern w:val="0"/>
              </w:rPr>
              <w:t>2、服务结算按</w:t>
            </w:r>
            <w:r>
              <w:rPr>
                <w:rFonts w:ascii="宋体" w:hAnsi="宋体" w:cs="宋体"/>
              </w:rPr>
              <w:t>照使用单位实际使用次数进行结算。</w:t>
            </w:r>
          </w:p>
        </w:tc>
      </w:tr>
    </w:tbl>
    <w:p/>
    <w:p>
      <w:pPr>
        <w:pStyle w:val="2"/>
        <w:numPr>
          <w:ilvl w:val="0"/>
          <w:numId w:val="4"/>
        </w:numPr>
        <w:spacing w:line="276" w:lineRule="auto"/>
        <w:rPr>
          <w:rFonts w:hint="default" w:ascii="宋体" w:hAnsi="宋体"/>
        </w:rPr>
      </w:pPr>
      <w:r>
        <w:rPr>
          <w:rFonts w:ascii="宋体" w:hAnsi="宋体"/>
        </w:rPr>
        <w:t>运维服务支撑要求</w:t>
      </w:r>
      <w:bookmarkEnd w:id="44"/>
      <w:bookmarkEnd w:id="45"/>
      <w:bookmarkEnd w:id="46"/>
    </w:p>
    <w:p>
      <w:pPr>
        <w:spacing w:line="276" w:lineRule="auto"/>
        <w:ind w:left="420" w:firstLine="420"/>
      </w:pPr>
      <w:r>
        <w:rPr>
          <w:rFonts w:hint="eastAsia"/>
        </w:rPr>
        <w:t>中</w:t>
      </w:r>
      <w:r>
        <w:t>标人向采购人提供采购需求文件中采购的所有内容的培训和维护服务的全部内容，提供上海市电子政务云资源租赁服务，并负责包含但不限于政务云平台的硬件安装、软件集成、运维管理工作。中标人按照服务质量保证的服务标准要求提供各种售后服务，负责对其提供的服务进行维护或升级。</w:t>
      </w:r>
    </w:p>
    <w:p>
      <w:pPr>
        <w:pStyle w:val="17"/>
        <w:keepNext/>
        <w:keepLines/>
        <w:widowControl/>
        <w:numPr>
          <w:ilvl w:val="0"/>
          <w:numId w:val="14"/>
        </w:numPr>
        <w:topLinePunct/>
        <w:adjustRightInd w:val="0"/>
        <w:snapToGrid w:val="0"/>
        <w:spacing w:line="360" w:lineRule="auto"/>
        <w:ind w:firstLineChars="0"/>
        <w:jc w:val="left"/>
        <w:outlineLvl w:val="1"/>
        <w:rPr>
          <w:rFonts w:ascii="Book Antiqua" w:hAnsi="Book Antiqua" w:eastAsia="宋体"/>
          <w:bCs/>
          <w:vanish/>
          <w:kern w:val="0"/>
          <w:sz w:val="36"/>
          <w:szCs w:val="36"/>
        </w:rPr>
      </w:pPr>
      <w:bookmarkStart w:id="57" w:name="_Toc34080596"/>
      <w:bookmarkEnd w:id="57"/>
      <w:bookmarkStart w:id="58" w:name="_Toc29407440"/>
    </w:p>
    <w:p>
      <w:pPr>
        <w:pStyle w:val="3"/>
        <w:numPr>
          <w:ilvl w:val="1"/>
          <w:numId w:val="5"/>
        </w:numPr>
        <w:tabs>
          <w:tab w:val="clear" w:pos="840"/>
        </w:tabs>
        <w:ind w:left="720" w:hanging="720" w:hangingChars="200"/>
        <w:textAlignment w:val="auto"/>
        <w:rPr>
          <w:rFonts w:ascii="宋体" w:hAnsi="宋体"/>
          <w:lang w:eastAsia="zh-CN"/>
        </w:rPr>
      </w:pPr>
      <w:bookmarkStart w:id="59" w:name="_Toc34080597"/>
      <w:bookmarkStart w:id="60" w:name="_Toc34080414"/>
      <w:r>
        <w:rPr>
          <w:rFonts w:hint="eastAsia" w:ascii="宋体" w:hAnsi="宋体"/>
          <w:lang w:eastAsia="zh-CN"/>
        </w:rPr>
        <w:t>运维团队要求</w:t>
      </w:r>
      <w:bookmarkEnd w:id="58"/>
      <w:bookmarkEnd w:id="59"/>
      <w:bookmarkEnd w:id="60"/>
    </w:p>
    <w:p>
      <w:pPr>
        <w:widowControl/>
        <w:numPr>
          <w:ilvl w:val="0"/>
          <w:numId w:val="18"/>
        </w:numPr>
        <w:topLinePunct/>
        <w:adjustRightInd w:val="0"/>
        <w:snapToGrid w:val="0"/>
        <w:spacing w:before="100" w:after="100" w:line="300" w:lineRule="exact"/>
        <w:ind w:left="420" w:hangingChars="200"/>
        <w:jc w:val="left"/>
        <w:rPr>
          <w:rFonts w:ascii="宋体" w:hAnsi="宋体"/>
        </w:rPr>
      </w:pPr>
      <w:r>
        <w:rPr>
          <w:rFonts w:ascii="宋体" w:hAnsi="宋体"/>
        </w:rPr>
        <w:t>中标人提供热线电话、电子邮件和在线网站等技术支持方式，提供 7*24 小时电话响应服务。中标人提供7*24小时的现场运维服务，重大节点强化保障，确保政务云平台整体可用性不低于99.99%。</w:t>
      </w:r>
    </w:p>
    <w:p>
      <w:pPr>
        <w:widowControl/>
        <w:numPr>
          <w:ilvl w:val="0"/>
          <w:numId w:val="18"/>
        </w:numPr>
        <w:topLinePunct/>
        <w:adjustRightInd w:val="0"/>
        <w:snapToGrid w:val="0"/>
        <w:spacing w:before="100" w:after="100" w:line="300" w:lineRule="exact"/>
        <w:ind w:left="420" w:hangingChars="200"/>
        <w:jc w:val="left"/>
        <w:rPr>
          <w:rFonts w:ascii="宋体" w:hAnsi="宋体"/>
        </w:rPr>
      </w:pPr>
      <w:r>
        <w:rPr>
          <w:rFonts w:ascii="宋体" w:hAnsi="宋体"/>
        </w:rPr>
        <w:t>日常监控、巡检：对政务云平台进行日常监控、巡检，包括监控告警的处理，巡检异常的处理等；中标人需制定维护管理规定，并按照规定中的维护项目、周期和要求，制定详细的作业计划并执行。</w:t>
      </w:r>
    </w:p>
    <w:p>
      <w:pPr>
        <w:widowControl/>
        <w:numPr>
          <w:ilvl w:val="0"/>
          <w:numId w:val="18"/>
        </w:numPr>
        <w:topLinePunct/>
        <w:adjustRightInd w:val="0"/>
        <w:snapToGrid w:val="0"/>
        <w:spacing w:before="100" w:after="100" w:line="300" w:lineRule="exact"/>
        <w:ind w:left="420" w:hangingChars="200"/>
        <w:jc w:val="left"/>
        <w:rPr>
          <w:rFonts w:ascii="宋体" w:hAnsi="宋体"/>
        </w:rPr>
      </w:pPr>
      <w:r>
        <w:rPr>
          <w:rFonts w:ascii="宋体" w:hAnsi="宋体"/>
        </w:rPr>
        <w:t>系统扩容：中标人应承诺，在日常运维过程中，当政务云平台资源使用率超出限定额度或平台资源数量、功能、性能等方面不满足最终用户使用要求时，中标人需对现有平台进行扩容。在采购人发起扩容需求后，中标人需在1个工作日内响应，在5个工作日内完成扩容任务，同时向采购人提交扩容后平台的资源情况报告。</w:t>
      </w:r>
    </w:p>
    <w:p>
      <w:pPr>
        <w:widowControl/>
        <w:numPr>
          <w:ilvl w:val="0"/>
          <w:numId w:val="18"/>
        </w:numPr>
        <w:topLinePunct/>
        <w:adjustRightInd w:val="0"/>
        <w:snapToGrid w:val="0"/>
        <w:spacing w:before="100" w:after="100" w:line="300" w:lineRule="exact"/>
        <w:ind w:left="420" w:hangingChars="200"/>
        <w:jc w:val="left"/>
        <w:rPr>
          <w:rFonts w:ascii="宋体" w:hAnsi="宋体"/>
        </w:rPr>
      </w:pPr>
      <w:r>
        <w:rPr>
          <w:rFonts w:hint="eastAsia" w:ascii="宋体" w:hAnsi="宋体"/>
        </w:rPr>
        <w:t>服务升级：中标人应当承诺，在日常运维过程中提供的平台软件层服务功能、性能等方面需要升级更新时，</w:t>
      </w:r>
      <w:r>
        <w:rPr>
          <w:rFonts w:ascii="宋体" w:hAnsi="宋体"/>
        </w:rPr>
        <w:t>中标人</w:t>
      </w:r>
      <w:r>
        <w:rPr>
          <w:rFonts w:hint="eastAsia" w:ascii="宋体" w:hAnsi="宋体"/>
        </w:rPr>
        <w:t>应当在2工作日内作出响应，经</w:t>
      </w:r>
      <w:r>
        <w:rPr>
          <w:rFonts w:ascii="宋体" w:hAnsi="宋体"/>
        </w:rPr>
        <w:t>采购人</w:t>
      </w:r>
      <w:r>
        <w:rPr>
          <w:rFonts w:hint="eastAsia" w:ascii="宋体" w:hAnsi="宋体"/>
        </w:rPr>
        <w:t>确认升级方案后，按照计划完成升级任务。</w:t>
      </w:r>
    </w:p>
    <w:p>
      <w:pPr>
        <w:widowControl/>
        <w:numPr>
          <w:ilvl w:val="0"/>
          <w:numId w:val="18"/>
        </w:numPr>
        <w:topLinePunct/>
        <w:adjustRightInd w:val="0"/>
        <w:snapToGrid w:val="0"/>
        <w:spacing w:before="100" w:after="100" w:line="300" w:lineRule="exact"/>
        <w:ind w:left="420" w:hangingChars="200"/>
        <w:jc w:val="left"/>
        <w:rPr>
          <w:rFonts w:ascii="宋体" w:hAnsi="宋体"/>
        </w:rPr>
      </w:pPr>
      <w:r>
        <w:rPr>
          <w:rFonts w:ascii="宋体" w:hAnsi="宋体"/>
        </w:rPr>
        <w:t>政务云平台故障处理：处理政务云平台发生的各类软硬件、通信线路等故障，确保上层业务系统能够正常稳定运行；其中故障处理流程需要电子化并规定处理时限及当前处理环节的责任部门和责任人。</w:t>
      </w:r>
    </w:p>
    <w:p>
      <w:pPr>
        <w:widowControl/>
        <w:numPr>
          <w:ilvl w:val="0"/>
          <w:numId w:val="18"/>
        </w:numPr>
        <w:topLinePunct/>
        <w:adjustRightInd w:val="0"/>
        <w:snapToGrid w:val="0"/>
        <w:spacing w:before="100" w:after="100" w:line="300" w:lineRule="exact"/>
        <w:ind w:left="420" w:hangingChars="200"/>
        <w:jc w:val="left"/>
        <w:rPr>
          <w:rFonts w:ascii="宋体" w:hAnsi="宋体"/>
        </w:rPr>
      </w:pPr>
      <w:r>
        <w:rPr>
          <w:rFonts w:ascii="宋体" w:hAnsi="宋体"/>
        </w:rPr>
        <w:t>迁移及升级割接：开展业务系统迁移割接和政务云平台软硬件升级割接；中标人在升级前制定完善的操作实施方案，在方案中尽量降低对上层业务系统的影响；对于可能影响上层业务系统的各类操作，应全面评估操作影响，并提前通知采购人具体操作计划安排，在采购人的相关业务部门同意后方可执行操作。根据采购人要求提供业务开通报告及验收测试报告。</w:t>
      </w:r>
    </w:p>
    <w:p>
      <w:pPr>
        <w:widowControl/>
        <w:numPr>
          <w:ilvl w:val="0"/>
          <w:numId w:val="18"/>
        </w:numPr>
        <w:topLinePunct/>
        <w:adjustRightInd w:val="0"/>
        <w:snapToGrid w:val="0"/>
        <w:spacing w:before="100" w:after="100" w:line="300" w:lineRule="exact"/>
        <w:ind w:left="420" w:hangingChars="200"/>
        <w:jc w:val="left"/>
        <w:rPr>
          <w:rFonts w:ascii="宋体" w:hAnsi="宋体"/>
        </w:rPr>
      </w:pPr>
      <w:r>
        <w:rPr>
          <w:rFonts w:ascii="宋体" w:hAnsi="宋体"/>
        </w:rPr>
        <w:t>系统中断：中标人由于维护原因，需中断系统进行平台升级操作时，提前至少72小时（重大自然灾害除外）通知采购人做好相关准备工作，征得采购人同意方可实施。</w:t>
      </w:r>
    </w:p>
    <w:p>
      <w:pPr>
        <w:widowControl/>
        <w:numPr>
          <w:ilvl w:val="0"/>
          <w:numId w:val="18"/>
        </w:numPr>
        <w:topLinePunct/>
        <w:adjustRightInd w:val="0"/>
        <w:snapToGrid w:val="0"/>
        <w:spacing w:before="100" w:after="100" w:line="300" w:lineRule="exact"/>
        <w:ind w:left="420" w:hangingChars="200"/>
        <w:jc w:val="left"/>
        <w:rPr>
          <w:rFonts w:ascii="宋体" w:hAnsi="宋体"/>
        </w:rPr>
      </w:pPr>
      <w:r>
        <w:rPr>
          <w:rFonts w:ascii="宋体" w:hAnsi="宋体"/>
        </w:rPr>
        <w:t>中标人</w:t>
      </w:r>
      <w:r>
        <w:rPr>
          <w:rFonts w:hint="eastAsia" w:ascii="宋体" w:hAnsi="宋体"/>
        </w:rPr>
        <w:t>提供的平台软件层服务应当包含相应的软件安装介质、软件更新介质、软件使用技术支持、软件安装手册、业务场景接入技术支持以及服务使用培训等服务。</w:t>
      </w:r>
    </w:p>
    <w:p>
      <w:pPr>
        <w:widowControl/>
        <w:numPr>
          <w:ilvl w:val="0"/>
          <w:numId w:val="18"/>
        </w:numPr>
        <w:topLinePunct/>
        <w:adjustRightInd w:val="0"/>
        <w:snapToGrid w:val="0"/>
        <w:spacing w:before="100" w:after="100" w:line="300" w:lineRule="exact"/>
        <w:ind w:left="420" w:hangingChars="200"/>
        <w:jc w:val="left"/>
        <w:rPr>
          <w:rFonts w:ascii="宋体" w:hAnsi="宋体"/>
        </w:rPr>
      </w:pPr>
      <w:r>
        <w:rPr>
          <w:rFonts w:ascii="宋体" w:hAnsi="宋体"/>
        </w:rPr>
        <w:t>应急演练与应急响应：根据政务云平台高可用设计特性和各组件的重要性进行针对性演练，制订应急预案，每年组织至少2次应急演练。当发生重大应急事件时，中标人需在采购人的牵头下实施应急响应操作，并在事后制定重大事件报告。</w:t>
      </w:r>
    </w:p>
    <w:p>
      <w:pPr>
        <w:widowControl/>
        <w:numPr>
          <w:ilvl w:val="0"/>
          <w:numId w:val="18"/>
        </w:numPr>
        <w:topLinePunct/>
        <w:adjustRightInd w:val="0"/>
        <w:snapToGrid w:val="0"/>
        <w:spacing w:before="100" w:after="100" w:line="300" w:lineRule="exact"/>
        <w:ind w:left="420" w:hangingChars="200"/>
        <w:jc w:val="left"/>
        <w:rPr>
          <w:rFonts w:ascii="宋体" w:hAnsi="宋体"/>
        </w:rPr>
      </w:pPr>
      <w:r>
        <w:rPr>
          <w:rFonts w:ascii="宋体" w:hAnsi="宋体"/>
        </w:rPr>
        <w:t>安全加固：对政务云平台各个基础组件进行安全策略配置、安全扫描和系统漏洞的加固；</w:t>
      </w:r>
    </w:p>
    <w:p>
      <w:pPr>
        <w:widowControl/>
        <w:numPr>
          <w:ilvl w:val="0"/>
          <w:numId w:val="18"/>
        </w:numPr>
        <w:topLinePunct/>
        <w:adjustRightInd w:val="0"/>
        <w:snapToGrid w:val="0"/>
        <w:spacing w:before="100" w:after="100" w:line="300" w:lineRule="exact"/>
        <w:ind w:left="420" w:hangingChars="200"/>
        <w:jc w:val="left"/>
        <w:rPr>
          <w:rFonts w:ascii="宋体" w:hAnsi="宋体"/>
        </w:rPr>
      </w:pPr>
      <w:r>
        <w:rPr>
          <w:rFonts w:ascii="宋体" w:hAnsi="宋体"/>
        </w:rPr>
        <w:t>配置实施及管理：进行政务云平台各软硬件设备的基础配置、IP配置、角色用途、账号密码等的统一配置实施及配置管理；</w:t>
      </w:r>
    </w:p>
    <w:p>
      <w:pPr>
        <w:widowControl/>
        <w:numPr>
          <w:ilvl w:val="0"/>
          <w:numId w:val="18"/>
        </w:numPr>
        <w:topLinePunct/>
        <w:adjustRightInd w:val="0"/>
        <w:snapToGrid w:val="0"/>
        <w:spacing w:before="100" w:after="100" w:line="300" w:lineRule="exact"/>
        <w:ind w:left="420" w:hangingChars="200"/>
        <w:jc w:val="left"/>
        <w:rPr>
          <w:rFonts w:ascii="宋体" w:hAnsi="宋体"/>
        </w:rPr>
      </w:pPr>
      <w:r>
        <w:rPr>
          <w:rFonts w:ascii="宋体" w:hAnsi="宋体"/>
        </w:rPr>
        <w:t>故障处理和响应：中标人需对合同服务出现的故障响应做出相关保证。中标人应建立完善的政务云故障管理体系，管理体系涵盖故障处理的故障等级、职责分工和处理界面，每个处理流程留有电子化记录并在每个处理环节中落实到中标人的部门和相应的处理接口人。按照故障等级不同，需要有不同的处理时长和故障恢复时限。要求故障处理流程符合《市级电子政务云及政务外网故障上报机制（试行）》。</w:t>
      </w:r>
    </w:p>
    <w:p>
      <w:pPr>
        <w:widowControl/>
        <w:numPr>
          <w:ilvl w:val="0"/>
          <w:numId w:val="18"/>
        </w:numPr>
        <w:topLinePunct/>
        <w:adjustRightInd w:val="0"/>
        <w:snapToGrid w:val="0"/>
        <w:spacing w:before="100" w:after="100" w:line="300" w:lineRule="exact"/>
        <w:ind w:left="420" w:hangingChars="200"/>
        <w:jc w:val="left"/>
        <w:rPr>
          <w:rFonts w:ascii="宋体" w:hAnsi="宋体"/>
        </w:rPr>
      </w:pPr>
      <w:r>
        <w:rPr>
          <w:rFonts w:ascii="宋体" w:hAnsi="宋体"/>
        </w:rPr>
        <w:t>节假日保障：重大节假日期间进行政务云平台运行和信息安全的重点保障；</w:t>
      </w:r>
    </w:p>
    <w:p>
      <w:pPr>
        <w:pStyle w:val="3"/>
        <w:numPr>
          <w:ilvl w:val="1"/>
          <w:numId w:val="5"/>
        </w:numPr>
        <w:tabs>
          <w:tab w:val="clear" w:pos="840"/>
        </w:tabs>
        <w:ind w:left="720" w:hanging="720" w:hangingChars="200"/>
        <w:textAlignment w:val="auto"/>
        <w:rPr>
          <w:rFonts w:ascii="宋体" w:hAnsi="宋体"/>
          <w:lang w:eastAsia="zh-CN"/>
        </w:rPr>
      </w:pPr>
      <w:bookmarkStart w:id="61" w:name="_Toc29407441"/>
      <w:bookmarkStart w:id="62" w:name="_Toc34080415"/>
      <w:bookmarkStart w:id="63" w:name="_Toc34080598"/>
      <w:r>
        <w:rPr>
          <w:rFonts w:hint="eastAsia" w:ascii="宋体" w:hAnsi="宋体"/>
          <w:lang w:eastAsia="zh-CN"/>
        </w:rPr>
        <w:t>驻场服务要求</w:t>
      </w:r>
      <w:bookmarkEnd w:id="61"/>
      <w:bookmarkEnd w:id="62"/>
      <w:bookmarkEnd w:id="63"/>
    </w:p>
    <w:p>
      <w:pPr>
        <w:widowControl/>
        <w:numPr>
          <w:ilvl w:val="0"/>
          <w:numId w:val="19"/>
        </w:numPr>
        <w:topLinePunct/>
        <w:adjustRightInd w:val="0"/>
        <w:snapToGrid w:val="0"/>
        <w:spacing w:before="100" w:after="100" w:line="300" w:lineRule="exact"/>
        <w:ind w:left="420" w:hangingChars="200"/>
        <w:jc w:val="left"/>
        <w:rPr>
          <w:rFonts w:ascii="宋体" w:hAnsi="宋体"/>
        </w:rPr>
      </w:pPr>
      <w:r>
        <w:rPr>
          <w:rFonts w:ascii="宋体" w:hAnsi="宋体"/>
        </w:rPr>
        <w:t>中标人应为上海市电子政务云单独建立管理组织，配置相应团队。</w:t>
      </w:r>
    </w:p>
    <w:p>
      <w:pPr>
        <w:widowControl/>
        <w:numPr>
          <w:ilvl w:val="0"/>
          <w:numId w:val="19"/>
        </w:numPr>
        <w:topLinePunct/>
        <w:adjustRightInd w:val="0"/>
        <w:snapToGrid w:val="0"/>
        <w:spacing w:before="100" w:after="100" w:line="300" w:lineRule="exact"/>
        <w:ind w:left="420" w:hangingChars="200"/>
        <w:jc w:val="left"/>
        <w:rPr>
          <w:rFonts w:ascii="宋体" w:hAnsi="宋体"/>
        </w:rPr>
      </w:pPr>
      <w:r>
        <w:rPr>
          <w:rFonts w:ascii="宋体" w:hAnsi="宋体"/>
        </w:rPr>
        <w:t>运维团队不少于 40 人，其中云计算平台应保证核心服务人员不少于 10 人，客户响应及运营人员不少于10人，云业务管理平台、云虚拟化平台驻场服务人员不少于4人，</w:t>
      </w:r>
      <w:r>
        <w:rPr>
          <w:rFonts w:hint="eastAsia" w:ascii="宋体" w:hAnsi="宋体"/>
        </w:rPr>
        <w:t>平台软件层驻场服务人员不少于10人</w:t>
      </w:r>
      <w:r>
        <w:rPr>
          <w:rFonts w:hint="eastAsia" w:ascii="宋体" w:hAnsi="宋体"/>
          <w:lang w:eastAsia="zh-CN"/>
        </w:rPr>
        <w:t>，</w:t>
      </w:r>
      <w:r>
        <w:rPr>
          <w:rFonts w:ascii="宋体" w:hAnsi="宋体"/>
        </w:rPr>
        <w:t>其他现场驻场人员不少于6人。（提供</w:t>
      </w:r>
      <w:r>
        <w:rPr>
          <w:rFonts w:hint="eastAsia" w:ascii="宋体" w:hAnsi="宋体"/>
          <w:szCs w:val="21"/>
          <w:lang w:eastAsia="zh-CN"/>
        </w:rPr>
        <w:t>开标前三个月中</w:t>
      </w:r>
      <w:r>
        <w:rPr>
          <w:rFonts w:hint="eastAsia" w:ascii="宋体" w:hAnsi="宋体"/>
          <w:color w:val="000000"/>
          <w:szCs w:val="21"/>
        </w:rPr>
        <w:t>任意一个月</w:t>
      </w:r>
      <w:r>
        <w:rPr>
          <w:rFonts w:ascii="宋体" w:hAnsi="宋体"/>
        </w:rPr>
        <w:t>依法缴纳社保费的证明，原件彩色扫描件）。</w:t>
      </w:r>
    </w:p>
    <w:p>
      <w:pPr>
        <w:widowControl/>
        <w:numPr>
          <w:ilvl w:val="0"/>
          <w:numId w:val="19"/>
        </w:numPr>
        <w:topLinePunct/>
        <w:adjustRightInd w:val="0"/>
        <w:snapToGrid w:val="0"/>
        <w:spacing w:before="100" w:after="100" w:line="300" w:lineRule="exact"/>
        <w:ind w:left="420" w:hangingChars="200"/>
        <w:jc w:val="left"/>
        <w:rPr>
          <w:rFonts w:ascii="宋体" w:hAnsi="宋体"/>
        </w:rPr>
      </w:pPr>
      <w:r>
        <w:rPr>
          <w:rFonts w:ascii="宋体" w:hAnsi="宋体"/>
        </w:rPr>
        <w:t>中标人应在项目服务期内配合各业务部门做好应用上云及迁移工作，确保平稳过渡、顺利迁移。</w:t>
      </w:r>
    </w:p>
    <w:p>
      <w:pPr>
        <w:widowControl/>
        <w:numPr>
          <w:ilvl w:val="0"/>
          <w:numId w:val="19"/>
        </w:numPr>
        <w:topLinePunct/>
        <w:adjustRightInd w:val="0"/>
        <w:snapToGrid w:val="0"/>
        <w:spacing w:before="100" w:after="100" w:line="300" w:lineRule="exact"/>
        <w:ind w:left="420" w:hangingChars="200"/>
        <w:jc w:val="left"/>
        <w:rPr>
          <w:rFonts w:ascii="宋体" w:hAnsi="宋体"/>
        </w:rPr>
      </w:pPr>
      <w:r>
        <w:rPr>
          <w:rFonts w:ascii="宋体" w:hAnsi="宋体"/>
        </w:rPr>
        <w:t>配合需求单位对上云及迁移业务系统进行调查摸底</w:t>
      </w:r>
      <w:r>
        <w:rPr>
          <w:rFonts w:hint="eastAsia" w:ascii="宋体" w:hAnsi="宋体"/>
          <w:lang w:val="en-US" w:eastAsia="zh-CN"/>
        </w:rPr>
        <w:t>并</w:t>
      </w:r>
      <w:r>
        <w:rPr>
          <w:rFonts w:ascii="宋体" w:hAnsi="宋体"/>
        </w:rPr>
        <w:t>制定上云及迁移方案，提供架构设计咨询，在系统上云迁移前期</w:t>
      </w:r>
      <w:r>
        <w:rPr>
          <w:rFonts w:hint="eastAsia" w:ascii="宋体" w:hAnsi="宋体"/>
        </w:rPr>
        <w:t>提供</w:t>
      </w:r>
      <w:r>
        <w:rPr>
          <w:rFonts w:ascii="宋体" w:hAnsi="宋体"/>
        </w:rPr>
        <w:t>迁移</w:t>
      </w:r>
      <w:r>
        <w:rPr>
          <w:rFonts w:hint="eastAsia" w:ascii="宋体" w:hAnsi="宋体"/>
          <w:lang w:val="en-US" w:eastAsia="zh-CN"/>
        </w:rPr>
        <w:t>咨询</w:t>
      </w:r>
      <w:r>
        <w:rPr>
          <w:rFonts w:ascii="宋体" w:hAnsi="宋体"/>
        </w:rPr>
        <w:t>服务。提供服务方案，应配合各需求部门做好上云及整体迁移工作。</w:t>
      </w:r>
    </w:p>
    <w:p>
      <w:pPr>
        <w:widowControl/>
        <w:numPr>
          <w:ilvl w:val="0"/>
          <w:numId w:val="19"/>
        </w:numPr>
        <w:topLinePunct/>
        <w:adjustRightInd w:val="0"/>
        <w:snapToGrid w:val="0"/>
        <w:spacing w:before="100" w:after="100" w:line="300" w:lineRule="exact"/>
        <w:ind w:left="420" w:hangingChars="200"/>
        <w:jc w:val="left"/>
        <w:rPr>
          <w:rFonts w:ascii="宋体" w:hAnsi="宋体"/>
        </w:rPr>
      </w:pPr>
      <w:r>
        <w:rPr>
          <w:rFonts w:ascii="宋体" w:hAnsi="宋体"/>
        </w:rPr>
        <w:t>中标人应制定政务云平台使用规范、政务云安全防护管理办法等规范标准，协助各级部门进行相关业务应用系统的部署、运行和安全保障。</w:t>
      </w:r>
    </w:p>
    <w:p>
      <w:pPr>
        <w:pStyle w:val="3"/>
        <w:numPr>
          <w:ilvl w:val="1"/>
          <w:numId w:val="5"/>
        </w:numPr>
        <w:tabs>
          <w:tab w:val="clear" w:pos="840"/>
        </w:tabs>
        <w:ind w:left="720" w:hanging="720" w:hangingChars="200"/>
        <w:textAlignment w:val="auto"/>
        <w:rPr>
          <w:rFonts w:ascii="宋体" w:hAnsi="宋体"/>
          <w:lang w:eastAsia="zh-CN"/>
        </w:rPr>
      </w:pPr>
      <w:bookmarkStart w:id="64" w:name="_Toc34080416"/>
      <w:bookmarkStart w:id="65" w:name="_Toc34080599"/>
      <w:bookmarkStart w:id="66" w:name="_Toc29407442"/>
      <w:r>
        <w:rPr>
          <w:rFonts w:hint="eastAsia" w:ascii="宋体" w:hAnsi="宋体"/>
          <w:lang w:eastAsia="zh-CN"/>
        </w:rPr>
        <w:t>能力中心建设要求</w:t>
      </w:r>
      <w:bookmarkEnd w:id="64"/>
      <w:bookmarkEnd w:id="65"/>
      <w:bookmarkEnd w:id="66"/>
    </w:p>
    <w:p>
      <w:pPr>
        <w:widowControl/>
        <w:numPr>
          <w:ilvl w:val="0"/>
          <w:numId w:val="20"/>
        </w:numPr>
        <w:topLinePunct/>
        <w:adjustRightInd w:val="0"/>
        <w:snapToGrid w:val="0"/>
        <w:spacing w:before="100" w:after="100" w:line="300" w:lineRule="exact"/>
        <w:ind w:left="420" w:hangingChars="200"/>
        <w:jc w:val="left"/>
        <w:rPr>
          <w:rFonts w:ascii="宋体" w:hAnsi="宋体"/>
        </w:rPr>
      </w:pPr>
      <w:r>
        <w:rPr>
          <w:rFonts w:ascii="宋体" w:hAnsi="宋体"/>
        </w:rPr>
        <w:t>中标人需根据本项目的特点建立能力中心，包含但不限于政务云平台使用和管理能力培训、软件支撑层操作系统使用和管理能力培训、软件支撑层中间件使用和管理能力培训、软件支撑层数据库使用和管理能力培训，中标人负责安排专业培训讲师授课，并提供全套培训教材和培训课程计划表。</w:t>
      </w:r>
    </w:p>
    <w:p>
      <w:pPr>
        <w:widowControl/>
        <w:numPr>
          <w:ilvl w:val="0"/>
          <w:numId w:val="20"/>
        </w:numPr>
        <w:topLinePunct/>
        <w:adjustRightInd w:val="0"/>
        <w:snapToGrid w:val="0"/>
        <w:spacing w:before="100" w:after="100" w:line="300" w:lineRule="exact"/>
        <w:ind w:left="420" w:hangingChars="200"/>
        <w:jc w:val="left"/>
        <w:rPr>
          <w:rFonts w:ascii="宋体" w:hAnsi="宋体"/>
        </w:rPr>
      </w:pPr>
      <w:r>
        <w:rPr>
          <w:rFonts w:ascii="宋体" w:hAnsi="宋体"/>
        </w:rPr>
        <w:t>投标人需将所有培训费用（含培训教材费）及各项支出计入各服务项费用中，不单独报价。</w:t>
      </w:r>
    </w:p>
    <w:p>
      <w:pPr>
        <w:widowControl/>
        <w:numPr>
          <w:ilvl w:val="0"/>
          <w:numId w:val="20"/>
        </w:numPr>
        <w:topLinePunct/>
        <w:adjustRightInd w:val="0"/>
        <w:snapToGrid w:val="0"/>
        <w:spacing w:before="100" w:after="100" w:line="300" w:lineRule="exact"/>
        <w:ind w:left="420" w:hangingChars="200"/>
        <w:jc w:val="left"/>
        <w:rPr>
          <w:rFonts w:ascii="宋体" w:hAnsi="宋体"/>
        </w:rPr>
      </w:pPr>
      <w:r>
        <w:rPr>
          <w:rFonts w:ascii="宋体" w:hAnsi="宋体"/>
        </w:rPr>
        <w:t>中标人需提供可供能力中心人员使用的办公场所，提供工位不低于50个。</w:t>
      </w:r>
    </w:p>
    <w:p>
      <w:pPr>
        <w:pStyle w:val="3"/>
        <w:numPr>
          <w:ilvl w:val="1"/>
          <w:numId w:val="5"/>
        </w:numPr>
        <w:tabs>
          <w:tab w:val="clear" w:pos="840"/>
        </w:tabs>
        <w:ind w:left="720" w:hanging="720" w:hangingChars="200"/>
        <w:textAlignment w:val="auto"/>
        <w:rPr>
          <w:rFonts w:ascii="宋体" w:hAnsi="宋体"/>
          <w:lang w:eastAsia="zh-CN"/>
        </w:rPr>
      </w:pPr>
      <w:bookmarkStart w:id="67" w:name="_Toc29407443"/>
      <w:bookmarkStart w:id="68" w:name="_Toc34080600"/>
      <w:bookmarkStart w:id="69" w:name="_Toc34080417"/>
      <w:r>
        <w:rPr>
          <w:rFonts w:hint="eastAsia" w:ascii="宋体" w:hAnsi="宋体"/>
          <w:lang w:eastAsia="zh-CN"/>
        </w:rPr>
        <w:t>运维制度要求</w:t>
      </w:r>
      <w:bookmarkEnd w:id="67"/>
      <w:bookmarkEnd w:id="68"/>
      <w:bookmarkEnd w:id="69"/>
    </w:p>
    <w:p>
      <w:pPr>
        <w:spacing w:line="276" w:lineRule="auto"/>
        <w:ind w:left="420"/>
      </w:pPr>
      <w:r>
        <w:t>中标人应建立完善的信息系统运维和安全管理制度，建立的制度包括但不限于：</w:t>
      </w:r>
    </w:p>
    <w:p>
      <w:pPr>
        <w:widowControl/>
        <w:numPr>
          <w:ilvl w:val="0"/>
          <w:numId w:val="21"/>
        </w:numPr>
        <w:topLinePunct/>
        <w:adjustRightInd w:val="0"/>
        <w:snapToGrid w:val="0"/>
        <w:spacing w:before="100" w:after="100" w:line="300" w:lineRule="exact"/>
        <w:ind w:left="420" w:hangingChars="200"/>
        <w:jc w:val="left"/>
        <w:rPr>
          <w:rFonts w:ascii="宋体" w:hAnsi="宋体"/>
        </w:rPr>
      </w:pPr>
      <w:r>
        <w:rPr>
          <w:rFonts w:ascii="宋体" w:hAnsi="宋体"/>
        </w:rPr>
        <w:t>信息系统日常运行维护管理。例如：故障处理、配置变更、安全策略优化、运行监控等。</w:t>
      </w:r>
    </w:p>
    <w:p>
      <w:pPr>
        <w:widowControl/>
        <w:numPr>
          <w:ilvl w:val="0"/>
          <w:numId w:val="21"/>
        </w:numPr>
        <w:topLinePunct/>
        <w:adjustRightInd w:val="0"/>
        <w:snapToGrid w:val="0"/>
        <w:spacing w:before="100" w:after="100" w:line="300" w:lineRule="exact"/>
        <w:ind w:left="420" w:hangingChars="200"/>
        <w:jc w:val="left"/>
        <w:rPr>
          <w:rFonts w:ascii="宋体" w:hAnsi="宋体"/>
        </w:rPr>
      </w:pPr>
      <w:r>
        <w:rPr>
          <w:rFonts w:ascii="宋体" w:hAnsi="宋体"/>
        </w:rPr>
        <w:t>信息系统常规安全保障和监控预警工作。例如：操作系统防病毒管理、渗透测试、漏洞扫描、安全巡检、应急响应等，安全运维保障制度符合等保2.0标准。</w:t>
      </w:r>
    </w:p>
    <w:p>
      <w:pPr>
        <w:widowControl/>
        <w:numPr>
          <w:ilvl w:val="0"/>
          <w:numId w:val="21"/>
        </w:numPr>
        <w:topLinePunct/>
        <w:adjustRightInd w:val="0"/>
        <w:snapToGrid w:val="0"/>
        <w:spacing w:before="100" w:after="100" w:line="300" w:lineRule="exact"/>
        <w:ind w:left="420" w:hangingChars="200"/>
        <w:jc w:val="left"/>
        <w:rPr>
          <w:rFonts w:ascii="宋体" w:hAnsi="宋体"/>
        </w:rPr>
      </w:pPr>
      <w:r>
        <w:rPr>
          <w:rFonts w:ascii="宋体" w:hAnsi="宋体"/>
        </w:rPr>
        <w:t>运维人员管理制度。例如：运维团队人员服务管理、机房进出人员管理、工作环境管理办法等。</w:t>
      </w:r>
    </w:p>
    <w:p>
      <w:pPr>
        <w:pStyle w:val="2"/>
        <w:numPr>
          <w:ilvl w:val="0"/>
          <w:numId w:val="4"/>
        </w:numPr>
        <w:spacing w:line="276" w:lineRule="auto"/>
        <w:rPr>
          <w:rFonts w:hint="default" w:ascii="宋体" w:hAnsi="宋体"/>
        </w:rPr>
      </w:pPr>
      <w:bookmarkStart w:id="70" w:name="_Toc34080601"/>
      <w:bookmarkStart w:id="71" w:name="_Toc29407444"/>
      <w:bookmarkStart w:id="72" w:name="_Toc34080418"/>
      <w:r>
        <w:rPr>
          <w:rFonts w:ascii="宋体" w:hAnsi="宋体"/>
        </w:rPr>
        <w:t>机房技术要求</w:t>
      </w:r>
      <w:bookmarkEnd w:id="70"/>
      <w:bookmarkEnd w:id="71"/>
      <w:bookmarkEnd w:id="72"/>
    </w:p>
    <w:p>
      <w:pPr>
        <w:pStyle w:val="17"/>
        <w:keepNext/>
        <w:keepLines/>
        <w:widowControl/>
        <w:numPr>
          <w:ilvl w:val="0"/>
          <w:numId w:val="14"/>
        </w:numPr>
        <w:topLinePunct/>
        <w:adjustRightInd w:val="0"/>
        <w:snapToGrid w:val="0"/>
        <w:spacing w:line="360" w:lineRule="auto"/>
        <w:ind w:firstLineChars="0"/>
        <w:jc w:val="left"/>
        <w:outlineLvl w:val="1"/>
        <w:rPr>
          <w:rFonts w:ascii="Book Antiqua" w:hAnsi="Book Antiqua" w:eastAsia="宋体"/>
          <w:bCs/>
          <w:vanish/>
          <w:kern w:val="0"/>
          <w:sz w:val="36"/>
          <w:szCs w:val="36"/>
        </w:rPr>
      </w:pPr>
      <w:bookmarkStart w:id="73" w:name="_Toc34080602"/>
      <w:bookmarkEnd w:id="73"/>
      <w:bookmarkStart w:id="74" w:name="_Toc29407445"/>
    </w:p>
    <w:p>
      <w:pPr>
        <w:pStyle w:val="3"/>
        <w:numPr>
          <w:ilvl w:val="1"/>
          <w:numId w:val="5"/>
        </w:numPr>
        <w:tabs>
          <w:tab w:val="clear" w:pos="840"/>
        </w:tabs>
        <w:ind w:left="720" w:hanging="720" w:hangingChars="200"/>
        <w:textAlignment w:val="auto"/>
        <w:rPr>
          <w:rFonts w:ascii="宋体" w:hAnsi="宋体"/>
          <w:lang w:eastAsia="zh-CN"/>
        </w:rPr>
      </w:pPr>
      <w:bookmarkStart w:id="75" w:name="_Toc34080603"/>
      <w:bookmarkStart w:id="76" w:name="_Toc34080419"/>
      <w:r>
        <w:rPr>
          <w:rFonts w:hint="eastAsia" w:ascii="宋体" w:hAnsi="宋体"/>
          <w:lang w:eastAsia="zh-CN"/>
        </w:rPr>
        <w:t>机房环境要求</w:t>
      </w:r>
      <w:bookmarkEnd w:id="74"/>
      <w:bookmarkEnd w:id="75"/>
      <w:bookmarkEnd w:id="76"/>
    </w:p>
    <w:p>
      <w:pPr>
        <w:spacing w:line="276" w:lineRule="auto"/>
        <w:ind w:left="420"/>
      </w:pPr>
      <w:r>
        <w:t>运行环境达到《电子信息系统机房设计规范》GB50174-2008规定的A类机房标准要求:</w:t>
      </w:r>
    </w:p>
    <w:tbl>
      <w:tblPr>
        <w:tblStyle w:val="12"/>
        <w:tblW w:w="4746" w:type="pct"/>
        <w:jc w:val="center"/>
        <w:tblLayout w:type="autofit"/>
        <w:tblCellMar>
          <w:top w:w="0" w:type="dxa"/>
          <w:left w:w="108" w:type="dxa"/>
          <w:bottom w:w="0" w:type="dxa"/>
          <w:right w:w="108" w:type="dxa"/>
        </w:tblCellMar>
      </w:tblPr>
      <w:tblGrid>
        <w:gridCol w:w="980"/>
        <w:gridCol w:w="7109"/>
      </w:tblGrid>
      <w:tr>
        <w:trPr>
          <w:trHeight w:val="270" w:hRule="atLeast"/>
          <w:jc w:val="center"/>
        </w:trPr>
        <w:tc>
          <w:tcPr>
            <w:tcW w:w="606" w:type="pct"/>
            <w:tcBorders>
              <w:top w:val="single" w:color="auto" w:sz="4" w:space="0"/>
              <w:left w:val="single" w:color="auto" w:sz="4" w:space="0"/>
              <w:bottom w:val="single" w:color="auto" w:sz="4" w:space="0"/>
              <w:right w:val="single" w:color="auto" w:sz="4" w:space="0"/>
            </w:tcBorders>
            <w:shd w:val="clear" w:color="000000" w:fill="D9D9D9"/>
            <w:vAlign w:val="center"/>
          </w:tcPr>
          <w:p>
            <w:pPr>
              <w:rPr>
                <w:rFonts w:ascii="宋体" w:hAnsi="宋体" w:cs="宋体"/>
                <w:b/>
                <w:bCs/>
                <w:color w:val="000000"/>
                <w:kern w:val="0"/>
              </w:rPr>
            </w:pPr>
            <w:r>
              <w:rPr>
                <w:rFonts w:ascii="宋体" w:hAnsi="宋体" w:cs="宋体"/>
                <w:b/>
                <w:bCs/>
                <w:color w:val="000000"/>
                <w:kern w:val="0"/>
              </w:rPr>
              <w:t>项目</w:t>
            </w:r>
          </w:p>
        </w:tc>
        <w:tc>
          <w:tcPr>
            <w:tcW w:w="4394" w:type="pct"/>
            <w:tcBorders>
              <w:top w:val="single" w:color="auto" w:sz="4" w:space="0"/>
              <w:left w:val="nil"/>
              <w:bottom w:val="single" w:color="auto" w:sz="4" w:space="0"/>
              <w:right w:val="single" w:color="auto" w:sz="4" w:space="0"/>
            </w:tcBorders>
            <w:shd w:val="clear" w:color="000000" w:fill="D9D9D9"/>
            <w:vAlign w:val="center"/>
          </w:tcPr>
          <w:p>
            <w:pPr>
              <w:rPr>
                <w:rFonts w:ascii="宋体" w:hAnsi="宋体" w:cs="宋体"/>
                <w:b/>
                <w:bCs/>
                <w:color w:val="000000"/>
                <w:kern w:val="0"/>
              </w:rPr>
            </w:pPr>
            <w:r>
              <w:rPr>
                <w:rFonts w:ascii="宋体" w:hAnsi="宋体" w:cs="宋体"/>
                <w:b/>
                <w:bCs/>
                <w:color w:val="000000"/>
                <w:kern w:val="0"/>
              </w:rPr>
              <w:t>设计指标</w:t>
            </w:r>
          </w:p>
        </w:tc>
      </w:tr>
      <w:tr>
        <w:trPr>
          <w:trHeight w:val="540" w:hRule="atLeast"/>
          <w:jc w:val="center"/>
        </w:trPr>
        <w:tc>
          <w:tcPr>
            <w:tcW w:w="606" w:type="pct"/>
            <w:tcBorders>
              <w:top w:val="nil"/>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环境要求</w:t>
            </w:r>
          </w:p>
        </w:tc>
        <w:tc>
          <w:tcPr>
            <w:tcW w:w="4394"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温度：开机时</w:t>
            </w:r>
            <w:r>
              <w:rPr>
                <w:rFonts w:cs="Times New Roman"/>
                <w:color w:val="000000"/>
                <w:kern w:val="0"/>
              </w:rPr>
              <w:t>23</w:t>
            </w:r>
            <w:r>
              <w:rPr>
                <w:rFonts w:ascii="Symbol" w:hAnsi="Symbol" w:cs="宋体"/>
                <w:color w:val="000000"/>
                <w:kern w:val="0"/>
              </w:rPr>
              <w:t></w:t>
            </w:r>
            <w:r>
              <w:rPr>
                <w:rFonts w:cs="Times New Roman"/>
                <w:color w:val="000000"/>
                <w:kern w:val="0"/>
              </w:rPr>
              <w:t xml:space="preserve">C </w:t>
            </w:r>
            <w:r>
              <w:rPr>
                <w:rFonts w:ascii="Symbol" w:hAnsi="Symbol" w:cs="宋体"/>
                <w:color w:val="000000"/>
                <w:kern w:val="0"/>
              </w:rPr>
              <w:t></w:t>
            </w:r>
            <w:r>
              <w:rPr>
                <w:rFonts w:cs="Times New Roman"/>
                <w:color w:val="000000"/>
                <w:kern w:val="0"/>
              </w:rPr>
              <w:t>1</w:t>
            </w:r>
            <w:r>
              <w:rPr>
                <w:rFonts w:ascii="Symbol" w:hAnsi="Symbol" w:cs="宋体"/>
                <w:color w:val="000000"/>
                <w:kern w:val="0"/>
              </w:rPr>
              <w:t></w:t>
            </w:r>
            <w:r>
              <w:rPr>
                <w:rFonts w:cs="Times New Roman"/>
                <w:color w:val="000000"/>
                <w:kern w:val="0"/>
              </w:rPr>
              <w:t>C</w:t>
            </w:r>
            <w:r>
              <w:rPr>
                <w:rFonts w:ascii="宋体" w:hAnsi="宋体" w:cs="宋体"/>
                <w:color w:val="000000"/>
                <w:kern w:val="0"/>
              </w:rPr>
              <w:t>，停机时</w:t>
            </w:r>
            <w:r>
              <w:rPr>
                <w:rFonts w:cs="Times New Roman"/>
                <w:color w:val="000000"/>
                <w:kern w:val="0"/>
              </w:rPr>
              <w:t>5</w:t>
            </w:r>
            <w:r>
              <w:rPr>
                <w:rFonts w:ascii="Symbol" w:hAnsi="Symbol" w:cs="宋体"/>
                <w:color w:val="000000"/>
                <w:kern w:val="0"/>
              </w:rPr>
              <w:t></w:t>
            </w:r>
            <w:r>
              <w:rPr>
                <w:rFonts w:cs="Times New Roman"/>
                <w:color w:val="000000"/>
                <w:kern w:val="0"/>
              </w:rPr>
              <w:t xml:space="preserve">C </w:t>
            </w:r>
            <w:r>
              <w:rPr>
                <w:rFonts w:ascii="宋体" w:hAnsi="宋体" w:cs="宋体"/>
                <w:color w:val="000000"/>
                <w:kern w:val="0"/>
              </w:rPr>
              <w:t>～</w:t>
            </w:r>
            <w:r>
              <w:rPr>
                <w:rFonts w:cs="Times New Roman"/>
                <w:color w:val="000000"/>
                <w:kern w:val="0"/>
              </w:rPr>
              <w:t>35</w:t>
            </w:r>
            <w:r>
              <w:rPr>
                <w:rFonts w:ascii="Symbol" w:hAnsi="Symbol" w:cs="宋体"/>
                <w:color w:val="000000"/>
                <w:kern w:val="0"/>
              </w:rPr>
              <w:t></w:t>
            </w:r>
            <w:r>
              <w:rPr>
                <w:rFonts w:cs="Times New Roman"/>
                <w:color w:val="000000"/>
                <w:kern w:val="0"/>
              </w:rPr>
              <w:t>C</w:t>
            </w:r>
            <w:r>
              <w:rPr>
                <w:rFonts w:ascii="宋体" w:hAnsi="宋体" w:cs="宋体"/>
                <w:color w:val="000000"/>
                <w:kern w:val="0"/>
              </w:rPr>
              <w:t>；相对湿度：开机时</w:t>
            </w:r>
            <w:r>
              <w:rPr>
                <w:rFonts w:cs="Times New Roman"/>
                <w:color w:val="000000"/>
                <w:kern w:val="0"/>
              </w:rPr>
              <w:t xml:space="preserve">40% </w:t>
            </w:r>
            <w:r>
              <w:rPr>
                <w:rFonts w:ascii="宋体" w:hAnsi="宋体" w:cs="宋体"/>
                <w:color w:val="000000"/>
                <w:kern w:val="0"/>
              </w:rPr>
              <w:t>～</w:t>
            </w:r>
            <w:r>
              <w:rPr>
                <w:rFonts w:cs="Times New Roman"/>
                <w:color w:val="000000"/>
                <w:kern w:val="0"/>
              </w:rPr>
              <w:t>55%</w:t>
            </w:r>
            <w:r>
              <w:rPr>
                <w:rFonts w:ascii="宋体" w:hAnsi="宋体" w:cs="宋体"/>
                <w:color w:val="000000"/>
                <w:kern w:val="0"/>
              </w:rPr>
              <w:t>，停机时</w:t>
            </w:r>
            <w:r>
              <w:rPr>
                <w:rFonts w:cs="Times New Roman"/>
                <w:color w:val="000000"/>
                <w:kern w:val="0"/>
              </w:rPr>
              <w:t xml:space="preserve">40% </w:t>
            </w:r>
            <w:r>
              <w:rPr>
                <w:rFonts w:ascii="宋体" w:hAnsi="宋体" w:cs="宋体"/>
                <w:color w:val="000000"/>
                <w:kern w:val="0"/>
              </w:rPr>
              <w:t>～</w:t>
            </w:r>
            <w:r>
              <w:rPr>
                <w:rFonts w:cs="Times New Roman"/>
                <w:color w:val="000000"/>
                <w:kern w:val="0"/>
              </w:rPr>
              <w:t>70%</w:t>
            </w:r>
            <w:r>
              <w:rPr>
                <w:rFonts w:ascii="宋体" w:hAnsi="宋体" w:cs="宋体"/>
                <w:color w:val="000000"/>
                <w:kern w:val="0"/>
              </w:rPr>
              <w:t>；温度变化率＜</w:t>
            </w:r>
            <w:r>
              <w:rPr>
                <w:rFonts w:cs="Times New Roman"/>
                <w:color w:val="000000"/>
                <w:kern w:val="0"/>
              </w:rPr>
              <w:t xml:space="preserve"> 5</w:t>
            </w:r>
            <w:r>
              <w:rPr>
                <w:rFonts w:ascii="Symbol" w:hAnsi="Symbol" w:cs="宋体"/>
                <w:color w:val="000000"/>
                <w:kern w:val="0"/>
              </w:rPr>
              <w:t></w:t>
            </w:r>
            <w:r>
              <w:rPr>
                <w:rFonts w:cs="Times New Roman"/>
                <w:color w:val="000000"/>
                <w:kern w:val="0"/>
              </w:rPr>
              <w:t>C/h</w:t>
            </w:r>
            <w:r>
              <w:rPr>
                <w:rFonts w:ascii="宋体" w:hAnsi="宋体" w:cs="宋体"/>
                <w:color w:val="000000"/>
                <w:kern w:val="0"/>
              </w:rPr>
              <w:t>，不得结露。</w:t>
            </w:r>
          </w:p>
        </w:tc>
      </w:tr>
      <w:tr>
        <w:trPr>
          <w:trHeight w:val="585" w:hRule="atLeast"/>
          <w:jc w:val="center"/>
        </w:trPr>
        <w:tc>
          <w:tcPr>
            <w:tcW w:w="606" w:type="pct"/>
            <w:tcBorders>
              <w:top w:val="nil"/>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结构</w:t>
            </w:r>
          </w:p>
        </w:tc>
        <w:tc>
          <w:tcPr>
            <w:tcW w:w="4394"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抗震：乙级以上，抗震烈度</w:t>
            </w:r>
            <w:r>
              <w:rPr>
                <w:rFonts w:cs="Times New Roman"/>
                <w:color w:val="000000"/>
                <w:kern w:val="0"/>
              </w:rPr>
              <w:t>8</w:t>
            </w:r>
            <w:r>
              <w:rPr>
                <w:rFonts w:ascii="宋体" w:hAnsi="宋体" w:cs="宋体"/>
                <w:color w:val="000000"/>
                <w:kern w:val="0"/>
              </w:rPr>
              <w:t>度及以上，机房活荷载标准值≥</w:t>
            </w:r>
            <w:r>
              <w:rPr>
                <w:rFonts w:cs="Times New Roman"/>
                <w:color w:val="000000"/>
                <w:kern w:val="0"/>
              </w:rPr>
              <w:t>8kN/m</w:t>
            </w:r>
            <w:r>
              <w:rPr>
                <w:rFonts w:cs="Times New Roman"/>
                <w:color w:val="000000"/>
                <w:kern w:val="0"/>
                <w:vertAlign w:val="superscript"/>
              </w:rPr>
              <w:t>2</w:t>
            </w:r>
            <w:r>
              <w:rPr>
                <w:rFonts w:ascii="宋体" w:hAnsi="宋体" w:cs="宋体"/>
                <w:color w:val="000000"/>
                <w:kern w:val="0"/>
              </w:rPr>
              <w:t>，电池室≥</w:t>
            </w:r>
            <w:r>
              <w:rPr>
                <w:rFonts w:cs="Times New Roman"/>
                <w:color w:val="000000"/>
                <w:kern w:val="0"/>
              </w:rPr>
              <w:t>16kN/m</w:t>
            </w:r>
            <w:r>
              <w:rPr>
                <w:rFonts w:cs="Times New Roman"/>
                <w:color w:val="000000"/>
                <w:kern w:val="0"/>
                <w:vertAlign w:val="superscript"/>
              </w:rPr>
              <w:t>2</w:t>
            </w:r>
            <w:r>
              <w:rPr>
                <w:rFonts w:ascii="宋体" w:hAnsi="宋体" w:cs="宋体"/>
                <w:color w:val="000000"/>
                <w:kern w:val="0"/>
              </w:rPr>
              <w:t>，机房外墙不宜设采光窗，耐火等级：一级。</w:t>
            </w:r>
          </w:p>
        </w:tc>
      </w:tr>
      <w:tr>
        <w:trPr>
          <w:trHeight w:val="585" w:hRule="atLeast"/>
          <w:jc w:val="center"/>
        </w:trPr>
        <w:tc>
          <w:tcPr>
            <w:tcW w:w="606" w:type="pct"/>
            <w:vMerge w:val="restart"/>
            <w:tcBorders>
              <w:top w:val="nil"/>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空气调节</w:t>
            </w:r>
          </w:p>
        </w:tc>
        <w:tc>
          <w:tcPr>
            <w:tcW w:w="4394"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机房专用空调</w:t>
            </w:r>
            <w:r>
              <w:rPr>
                <w:rFonts w:cs="Times New Roman"/>
                <w:color w:val="000000"/>
                <w:kern w:val="0"/>
              </w:rPr>
              <w:t>N+1</w:t>
            </w:r>
            <w:r>
              <w:rPr>
                <w:rFonts w:ascii="宋体" w:hAnsi="宋体" w:cs="宋体"/>
                <w:color w:val="000000"/>
                <w:kern w:val="0"/>
              </w:rPr>
              <w:t>冗余，制冷量按</w:t>
            </w:r>
            <w:r>
              <w:rPr>
                <w:rFonts w:cs="Times New Roman"/>
                <w:color w:val="000000"/>
                <w:kern w:val="0"/>
              </w:rPr>
              <w:t>300W/m</w:t>
            </w:r>
            <w:r>
              <w:rPr>
                <w:rFonts w:cs="Times New Roman"/>
                <w:color w:val="000000"/>
                <w:kern w:val="0"/>
                <w:vertAlign w:val="superscript"/>
              </w:rPr>
              <w:t>2</w:t>
            </w:r>
            <w:r>
              <w:rPr>
                <w:rFonts w:ascii="宋体" w:hAnsi="宋体" w:cs="宋体"/>
                <w:color w:val="000000"/>
                <w:kern w:val="0"/>
              </w:rPr>
              <w:t>估算，总冷量负偏差不大于</w:t>
            </w:r>
            <w:r>
              <w:rPr>
                <w:rFonts w:cs="Times New Roman"/>
                <w:color w:val="000000"/>
                <w:kern w:val="0"/>
              </w:rPr>
              <w:t>5%</w:t>
            </w:r>
            <w:r>
              <w:rPr>
                <w:rFonts w:ascii="宋体" w:hAnsi="宋体" w:cs="宋体"/>
                <w:color w:val="000000"/>
                <w:kern w:val="0"/>
              </w:rPr>
              <w:t>；空调系统供电应采取双路市电自动切换线路供电，每台空调应采用独立回路供电；</w:t>
            </w:r>
          </w:p>
        </w:tc>
      </w:tr>
      <w:tr>
        <w:trPr>
          <w:trHeight w:val="525" w:hRule="atLeast"/>
          <w:jc w:val="center"/>
        </w:trPr>
        <w:tc>
          <w:tcPr>
            <w:tcW w:w="606" w:type="pct"/>
            <w:vMerge w:val="continue"/>
            <w:tcBorders>
              <w:top w:val="nil"/>
              <w:left w:val="single" w:color="auto" w:sz="4" w:space="0"/>
              <w:bottom w:val="single" w:color="auto" w:sz="4" w:space="0"/>
              <w:right w:val="single" w:color="auto" w:sz="4" w:space="0"/>
            </w:tcBorders>
            <w:vAlign w:val="center"/>
          </w:tcPr>
          <w:p>
            <w:pPr>
              <w:rPr>
                <w:rFonts w:ascii="宋体" w:hAnsi="宋体" w:cs="宋体"/>
                <w:color w:val="000000"/>
                <w:kern w:val="0"/>
              </w:rPr>
            </w:pPr>
          </w:p>
        </w:tc>
        <w:tc>
          <w:tcPr>
            <w:tcW w:w="4394"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机房和辅助区应设置空气调节系统，机房应保持正压，主机房与其它房间、走廊间的压差不应小于</w:t>
            </w:r>
            <w:r>
              <w:rPr>
                <w:rFonts w:cs="Times New Roman"/>
                <w:color w:val="000000"/>
                <w:kern w:val="0"/>
              </w:rPr>
              <w:t>4.9Pa</w:t>
            </w:r>
            <w:r>
              <w:rPr>
                <w:rFonts w:ascii="宋体" w:hAnsi="宋体" w:cs="宋体"/>
                <w:color w:val="000000"/>
                <w:kern w:val="0"/>
              </w:rPr>
              <w:t>，与室外静压差不应小于</w:t>
            </w:r>
            <w:r>
              <w:rPr>
                <w:rFonts w:cs="Times New Roman"/>
                <w:color w:val="000000"/>
                <w:kern w:val="0"/>
              </w:rPr>
              <w:t>9.8Pa</w:t>
            </w:r>
            <w:r>
              <w:rPr>
                <w:rFonts w:ascii="宋体" w:hAnsi="宋体" w:cs="宋体"/>
                <w:color w:val="000000"/>
                <w:kern w:val="0"/>
              </w:rPr>
              <w:t>；</w:t>
            </w:r>
          </w:p>
        </w:tc>
      </w:tr>
      <w:tr>
        <w:trPr>
          <w:trHeight w:val="540" w:hRule="atLeast"/>
          <w:jc w:val="center"/>
        </w:trPr>
        <w:tc>
          <w:tcPr>
            <w:tcW w:w="606" w:type="pct"/>
            <w:vMerge w:val="continue"/>
            <w:tcBorders>
              <w:top w:val="nil"/>
              <w:left w:val="single" w:color="auto" w:sz="4" w:space="0"/>
              <w:bottom w:val="single" w:color="auto" w:sz="4" w:space="0"/>
              <w:right w:val="single" w:color="auto" w:sz="4" w:space="0"/>
            </w:tcBorders>
            <w:vAlign w:val="center"/>
          </w:tcPr>
          <w:p>
            <w:pPr>
              <w:rPr>
                <w:rFonts w:ascii="宋体" w:hAnsi="宋体" w:cs="宋体"/>
                <w:color w:val="000000"/>
                <w:kern w:val="0"/>
              </w:rPr>
            </w:pPr>
          </w:p>
        </w:tc>
        <w:tc>
          <w:tcPr>
            <w:tcW w:w="4394"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主机房内的空气含尘浓度，在表态条件下测试，每升空气中大于或等于</w:t>
            </w:r>
            <w:r>
              <w:rPr>
                <w:rFonts w:cs="Times New Roman"/>
                <w:color w:val="000000"/>
                <w:kern w:val="0"/>
              </w:rPr>
              <w:t>0.5</w:t>
            </w:r>
            <w:r>
              <w:rPr>
                <w:rFonts w:ascii="宋体" w:hAnsi="宋体" w:cs="宋体"/>
                <w:color w:val="000000"/>
                <w:kern w:val="0"/>
              </w:rPr>
              <w:t>μ</w:t>
            </w:r>
            <w:r>
              <w:rPr>
                <w:rFonts w:cs="Times New Roman"/>
                <w:color w:val="000000"/>
                <w:kern w:val="0"/>
              </w:rPr>
              <w:t>m</w:t>
            </w:r>
            <w:r>
              <w:rPr>
                <w:rFonts w:ascii="宋体" w:hAnsi="宋体" w:cs="宋体"/>
                <w:color w:val="000000"/>
                <w:kern w:val="0"/>
              </w:rPr>
              <w:t>的尘粒数，应少于</w:t>
            </w:r>
            <w:r>
              <w:rPr>
                <w:rFonts w:cs="Times New Roman"/>
                <w:color w:val="000000"/>
                <w:kern w:val="0"/>
              </w:rPr>
              <w:t>18,000</w:t>
            </w:r>
            <w:r>
              <w:rPr>
                <w:rFonts w:ascii="宋体" w:hAnsi="宋体" w:cs="宋体"/>
                <w:color w:val="000000"/>
                <w:kern w:val="0"/>
              </w:rPr>
              <w:t>颗。</w:t>
            </w:r>
          </w:p>
        </w:tc>
      </w:tr>
      <w:tr>
        <w:trPr>
          <w:trHeight w:val="810" w:hRule="atLeast"/>
          <w:jc w:val="center"/>
        </w:trPr>
        <w:tc>
          <w:tcPr>
            <w:tcW w:w="606" w:type="pct"/>
            <w:tcBorders>
              <w:top w:val="nil"/>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供电电源</w:t>
            </w:r>
          </w:p>
        </w:tc>
        <w:tc>
          <w:tcPr>
            <w:tcW w:w="4394"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主机房由</w:t>
            </w:r>
            <w:r>
              <w:rPr>
                <w:rFonts w:cs="Times New Roman"/>
                <w:color w:val="000000"/>
                <w:kern w:val="0"/>
              </w:rPr>
              <w:t>2</w:t>
            </w:r>
            <w:r>
              <w:rPr>
                <w:rFonts w:ascii="宋体" w:hAnsi="宋体" w:cs="宋体"/>
                <w:color w:val="000000"/>
                <w:kern w:val="0"/>
              </w:rPr>
              <w:t>个供电局向、</w:t>
            </w:r>
            <w:r>
              <w:rPr>
                <w:rFonts w:cs="Times New Roman"/>
                <w:color w:val="000000"/>
                <w:kern w:val="0"/>
              </w:rPr>
              <w:t>2</w:t>
            </w:r>
            <w:r>
              <w:rPr>
                <w:rFonts w:ascii="宋体" w:hAnsi="宋体" w:cs="宋体"/>
                <w:color w:val="000000"/>
                <w:kern w:val="0"/>
              </w:rPr>
              <w:t>个不同路由同时供电，保证电源不同时受到损坏，配备电源自动切换系统，切换时间小于</w:t>
            </w:r>
            <w:r>
              <w:rPr>
                <w:rFonts w:cs="Times New Roman"/>
                <w:color w:val="000000"/>
                <w:kern w:val="0"/>
              </w:rPr>
              <w:t>4</w:t>
            </w:r>
            <w:r>
              <w:rPr>
                <w:rFonts w:ascii="宋体" w:hAnsi="宋体" w:cs="宋体"/>
                <w:color w:val="000000"/>
                <w:kern w:val="0"/>
              </w:rPr>
              <w:t>毫秒，供电系统可用性（由市电至机柜计算）≥</w:t>
            </w:r>
            <w:r>
              <w:rPr>
                <w:rFonts w:cs="Times New Roman"/>
                <w:color w:val="000000"/>
                <w:kern w:val="0"/>
              </w:rPr>
              <w:t xml:space="preserve">99.99% </w:t>
            </w:r>
            <w:r>
              <w:rPr>
                <w:rFonts w:ascii="宋体" w:hAnsi="宋体" w:cs="宋体"/>
                <w:color w:val="000000"/>
                <w:kern w:val="0"/>
              </w:rPr>
              <w:t>，单相负荷应均匀地分配在三相线路上，并应使三相负荷不平衡度小于</w:t>
            </w:r>
            <w:r>
              <w:rPr>
                <w:rFonts w:cs="Times New Roman"/>
                <w:color w:val="000000"/>
                <w:kern w:val="0"/>
              </w:rPr>
              <w:t>20%</w:t>
            </w:r>
            <w:r>
              <w:rPr>
                <w:rFonts w:ascii="宋体" w:hAnsi="宋体" w:cs="宋体"/>
                <w:color w:val="000000"/>
                <w:kern w:val="0"/>
              </w:rPr>
              <w:t>。</w:t>
            </w:r>
          </w:p>
        </w:tc>
      </w:tr>
      <w:tr>
        <w:trPr>
          <w:trHeight w:val="540" w:hRule="atLeast"/>
          <w:jc w:val="center"/>
        </w:trPr>
        <w:tc>
          <w:tcPr>
            <w:tcW w:w="606" w:type="pct"/>
            <w:vMerge w:val="restart"/>
            <w:tcBorders>
              <w:top w:val="nil"/>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后备用电</w:t>
            </w:r>
          </w:p>
        </w:tc>
        <w:tc>
          <w:tcPr>
            <w:tcW w:w="4394"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配备不间断电源系统，</w:t>
            </w:r>
            <w:r>
              <w:rPr>
                <w:rFonts w:cs="Times New Roman"/>
                <w:color w:val="000000"/>
                <w:kern w:val="0"/>
              </w:rPr>
              <w:t>N+1</w:t>
            </w:r>
            <w:r>
              <w:rPr>
                <w:rFonts w:ascii="宋体" w:hAnsi="宋体" w:cs="宋体"/>
                <w:color w:val="000000"/>
                <w:kern w:val="0"/>
              </w:rPr>
              <w:t>的冗余备份</w:t>
            </w:r>
            <w:r>
              <w:rPr>
                <w:rFonts w:cs="Times New Roman"/>
                <w:color w:val="000000"/>
                <w:kern w:val="0"/>
              </w:rPr>
              <w:t>UPS</w:t>
            </w:r>
            <w:r>
              <w:rPr>
                <w:rFonts w:ascii="宋体" w:hAnsi="宋体" w:cs="宋体"/>
                <w:color w:val="000000"/>
                <w:kern w:val="0"/>
              </w:rPr>
              <w:t>系统数量大于一套，所有设备机架供电应由两套不同</w:t>
            </w:r>
            <w:r>
              <w:rPr>
                <w:rFonts w:cs="Times New Roman"/>
                <w:color w:val="000000"/>
                <w:kern w:val="0"/>
              </w:rPr>
              <w:t>UPS</w:t>
            </w:r>
            <w:r>
              <w:rPr>
                <w:rFonts w:ascii="宋体" w:hAnsi="宋体" w:cs="宋体"/>
                <w:color w:val="000000"/>
                <w:kern w:val="0"/>
              </w:rPr>
              <w:t>提供，电池满负荷放电时间不少于</w:t>
            </w:r>
            <w:r>
              <w:rPr>
                <w:rFonts w:cs="Times New Roman"/>
                <w:color w:val="000000"/>
                <w:kern w:val="0"/>
              </w:rPr>
              <w:t>30</w:t>
            </w:r>
            <w:r>
              <w:rPr>
                <w:rFonts w:ascii="宋体" w:hAnsi="宋体" w:cs="宋体"/>
                <w:color w:val="000000"/>
                <w:kern w:val="0"/>
              </w:rPr>
              <w:t>分钟；</w:t>
            </w:r>
          </w:p>
        </w:tc>
      </w:tr>
      <w:tr>
        <w:trPr>
          <w:trHeight w:val="270" w:hRule="atLeast"/>
          <w:jc w:val="center"/>
        </w:trPr>
        <w:tc>
          <w:tcPr>
            <w:tcW w:w="606" w:type="pct"/>
            <w:vMerge w:val="continue"/>
            <w:tcBorders>
              <w:top w:val="nil"/>
              <w:left w:val="single" w:color="auto" w:sz="4" w:space="0"/>
              <w:bottom w:val="single" w:color="auto" w:sz="4" w:space="0"/>
              <w:right w:val="single" w:color="auto" w:sz="4" w:space="0"/>
            </w:tcBorders>
            <w:vAlign w:val="center"/>
          </w:tcPr>
          <w:p>
            <w:pPr>
              <w:rPr>
                <w:rFonts w:ascii="宋体" w:hAnsi="宋体" w:cs="宋体"/>
                <w:color w:val="000000"/>
                <w:kern w:val="0"/>
              </w:rPr>
            </w:pPr>
          </w:p>
        </w:tc>
        <w:tc>
          <w:tcPr>
            <w:tcW w:w="4394"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配备柴油发电机组，保障本系统满负荷情况下可靠供电运行</w:t>
            </w:r>
            <w:r>
              <w:rPr>
                <w:rFonts w:cs="Times New Roman"/>
                <w:color w:val="000000"/>
                <w:kern w:val="0"/>
              </w:rPr>
              <w:t>72</w:t>
            </w:r>
            <w:r>
              <w:rPr>
                <w:rFonts w:ascii="宋体" w:hAnsi="宋体" w:cs="宋体"/>
                <w:color w:val="000000"/>
                <w:kern w:val="0"/>
              </w:rPr>
              <w:t>小时。</w:t>
            </w:r>
          </w:p>
        </w:tc>
      </w:tr>
      <w:tr>
        <w:trPr>
          <w:trHeight w:val="540" w:hRule="atLeast"/>
          <w:jc w:val="center"/>
        </w:trPr>
        <w:tc>
          <w:tcPr>
            <w:tcW w:w="606" w:type="pct"/>
            <w:tcBorders>
              <w:top w:val="nil"/>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电源质量</w:t>
            </w:r>
          </w:p>
        </w:tc>
        <w:tc>
          <w:tcPr>
            <w:tcW w:w="4394"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稳态电压偏移范围</w:t>
            </w:r>
            <w:r>
              <w:rPr>
                <w:rFonts w:ascii="Symbol" w:hAnsi="Symbol" w:cs="宋体"/>
                <w:color w:val="000000"/>
                <w:kern w:val="0"/>
              </w:rPr>
              <w:t></w:t>
            </w:r>
            <w:r>
              <w:rPr>
                <w:rFonts w:cs="Times New Roman"/>
                <w:color w:val="000000"/>
                <w:kern w:val="0"/>
              </w:rPr>
              <w:t>3%</w:t>
            </w:r>
            <w:r>
              <w:rPr>
                <w:rFonts w:ascii="宋体" w:hAnsi="宋体" w:cs="宋体"/>
                <w:color w:val="000000"/>
                <w:kern w:val="0"/>
              </w:rPr>
              <w:t>，稳态频率偏移范围</w:t>
            </w:r>
            <w:r>
              <w:rPr>
                <w:rFonts w:cs="Times New Roman"/>
                <w:color w:val="000000"/>
                <w:kern w:val="0"/>
              </w:rPr>
              <w:t xml:space="preserve"> </w:t>
            </w:r>
            <w:r>
              <w:rPr>
                <w:rFonts w:ascii="Symbol" w:hAnsi="Symbol" w:cs="宋体"/>
                <w:color w:val="000000"/>
                <w:kern w:val="0"/>
              </w:rPr>
              <w:t></w:t>
            </w:r>
            <w:r>
              <w:rPr>
                <w:rFonts w:cs="Times New Roman"/>
                <w:color w:val="000000"/>
                <w:kern w:val="0"/>
              </w:rPr>
              <w:t>0.5Hz</w:t>
            </w:r>
            <w:r>
              <w:rPr>
                <w:rFonts w:ascii="宋体" w:hAnsi="宋体" w:cs="宋体"/>
                <w:color w:val="000000"/>
                <w:kern w:val="0"/>
              </w:rPr>
              <w:t>，输出电压波形失真度≤</w:t>
            </w:r>
            <w:r>
              <w:rPr>
                <w:rFonts w:cs="Times New Roman"/>
                <w:color w:val="000000"/>
                <w:kern w:val="0"/>
              </w:rPr>
              <w:t>5%</w:t>
            </w:r>
            <w:r>
              <w:rPr>
                <w:rFonts w:ascii="宋体" w:hAnsi="宋体" w:cs="宋体"/>
                <w:color w:val="000000"/>
                <w:kern w:val="0"/>
              </w:rPr>
              <w:t>，允许断电持续时间</w:t>
            </w:r>
            <w:r>
              <w:rPr>
                <w:rFonts w:cs="Times New Roman"/>
                <w:color w:val="000000"/>
                <w:kern w:val="0"/>
              </w:rPr>
              <w:t>0</w:t>
            </w:r>
            <w:r>
              <w:rPr>
                <w:rFonts w:ascii="宋体" w:hAnsi="宋体" w:cs="宋体"/>
                <w:color w:val="000000"/>
                <w:kern w:val="0"/>
              </w:rPr>
              <w:t>～</w:t>
            </w:r>
            <w:r>
              <w:rPr>
                <w:rFonts w:cs="Times New Roman"/>
                <w:color w:val="000000"/>
                <w:kern w:val="0"/>
              </w:rPr>
              <w:t>4ms</w:t>
            </w:r>
            <w:r>
              <w:rPr>
                <w:rFonts w:ascii="宋体" w:hAnsi="宋体" w:cs="宋体"/>
                <w:color w:val="000000"/>
                <w:kern w:val="0"/>
              </w:rPr>
              <w:t>；防雷、防浪涌：保护级别（</w:t>
            </w:r>
            <w:r>
              <w:rPr>
                <w:rFonts w:cs="Times New Roman"/>
                <w:color w:val="000000"/>
                <w:kern w:val="0"/>
              </w:rPr>
              <w:t>IEC/VDE</w:t>
            </w:r>
            <w:r>
              <w:rPr>
                <w:rFonts w:ascii="宋体" w:hAnsi="宋体" w:cs="宋体"/>
                <w:color w:val="000000"/>
                <w:kern w:val="0"/>
              </w:rPr>
              <w:t>标准）达到</w:t>
            </w:r>
            <w:r>
              <w:rPr>
                <w:rFonts w:cs="Times New Roman"/>
                <w:color w:val="000000"/>
                <w:kern w:val="0"/>
              </w:rPr>
              <w:t>I</w:t>
            </w:r>
            <w:r>
              <w:rPr>
                <w:rFonts w:ascii="宋体" w:hAnsi="宋体" w:cs="宋体"/>
                <w:color w:val="000000"/>
                <w:kern w:val="0"/>
              </w:rPr>
              <w:t>级</w:t>
            </w:r>
            <w:r>
              <w:rPr>
                <w:rFonts w:cs="Times New Roman"/>
                <w:color w:val="000000"/>
                <w:kern w:val="0"/>
              </w:rPr>
              <w:t>B</w:t>
            </w:r>
            <w:r>
              <w:rPr>
                <w:rFonts w:ascii="宋体" w:hAnsi="宋体" w:cs="宋体"/>
                <w:color w:val="000000"/>
                <w:kern w:val="0"/>
              </w:rPr>
              <w:t>类标准。</w:t>
            </w:r>
          </w:p>
        </w:tc>
      </w:tr>
      <w:tr>
        <w:trPr>
          <w:trHeight w:val="270" w:hRule="atLeast"/>
          <w:jc w:val="center"/>
        </w:trPr>
        <w:tc>
          <w:tcPr>
            <w:tcW w:w="606" w:type="pct"/>
            <w:tcBorders>
              <w:top w:val="nil"/>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接地</w:t>
            </w:r>
          </w:p>
        </w:tc>
        <w:tc>
          <w:tcPr>
            <w:tcW w:w="4394"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接地电阻≤</w:t>
            </w:r>
            <w:r>
              <w:rPr>
                <w:rFonts w:cs="Times New Roman"/>
                <w:color w:val="000000"/>
                <w:kern w:val="0"/>
              </w:rPr>
              <w:t xml:space="preserve"> 1</w:t>
            </w:r>
            <w:r>
              <w:rPr>
                <w:rFonts w:ascii="Symbol" w:hAnsi="Symbol" w:cs="宋体"/>
                <w:color w:val="000000"/>
                <w:kern w:val="0"/>
              </w:rPr>
              <w:t></w:t>
            </w:r>
            <w:r>
              <w:rPr>
                <w:rFonts w:ascii="宋体" w:hAnsi="宋体" w:cs="宋体"/>
                <w:color w:val="000000"/>
                <w:kern w:val="0"/>
              </w:rPr>
              <w:t>，接地电位差</w:t>
            </w:r>
            <w:r>
              <w:rPr>
                <w:rFonts w:ascii="Symbol" w:hAnsi="Symbol" w:cs="宋体"/>
                <w:color w:val="000000"/>
                <w:kern w:val="0"/>
              </w:rPr>
              <w:t></w:t>
            </w:r>
            <w:r>
              <w:rPr>
                <w:rFonts w:cs="Times New Roman"/>
                <w:color w:val="000000"/>
                <w:kern w:val="0"/>
              </w:rPr>
              <w:t>1V</w:t>
            </w:r>
            <w:r>
              <w:rPr>
                <w:rFonts w:ascii="宋体" w:hAnsi="宋体" w:cs="宋体"/>
                <w:color w:val="000000"/>
                <w:kern w:val="0"/>
              </w:rPr>
              <w:t>。</w:t>
            </w:r>
          </w:p>
        </w:tc>
      </w:tr>
      <w:tr>
        <w:trPr>
          <w:trHeight w:val="510" w:hRule="atLeast"/>
          <w:jc w:val="center"/>
        </w:trPr>
        <w:tc>
          <w:tcPr>
            <w:tcW w:w="606" w:type="pct"/>
            <w:tcBorders>
              <w:top w:val="nil"/>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无线电干扰场强</w:t>
            </w:r>
          </w:p>
        </w:tc>
        <w:tc>
          <w:tcPr>
            <w:tcW w:w="4394"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在频率为</w:t>
            </w:r>
            <w:r>
              <w:rPr>
                <w:rFonts w:cs="Times New Roman"/>
                <w:color w:val="000000"/>
                <w:kern w:val="0"/>
              </w:rPr>
              <w:t>0.15</w:t>
            </w:r>
            <w:r>
              <w:rPr>
                <w:rFonts w:ascii="宋体" w:hAnsi="宋体" w:cs="宋体"/>
                <w:color w:val="000000"/>
                <w:kern w:val="0"/>
              </w:rPr>
              <w:t>～</w:t>
            </w:r>
            <w:r>
              <w:rPr>
                <w:rFonts w:cs="Times New Roman"/>
                <w:color w:val="000000"/>
                <w:kern w:val="0"/>
              </w:rPr>
              <w:t>1,000MHz</w:t>
            </w:r>
            <w:r>
              <w:rPr>
                <w:rFonts w:ascii="宋体" w:hAnsi="宋体" w:cs="宋体"/>
                <w:color w:val="000000"/>
                <w:kern w:val="0"/>
              </w:rPr>
              <w:t>时，不应大于</w:t>
            </w:r>
            <w:r>
              <w:rPr>
                <w:rFonts w:cs="Times New Roman"/>
                <w:color w:val="000000"/>
                <w:kern w:val="0"/>
              </w:rPr>
              <w:t>126dB</w:t>
            </w:r>
            <w:r>
              <w:rPr>
                <w:rFonts w:ascii="宋体" w:hAnsi="宋体" w:cs="宋体"/>
                <w:color w:val="000000"/>
                <w:kern w:val="0"/>
              </w:rPr>
              <w:t>。</w:t>
            </w:r>
          </w:p>
        </w:tc>
      </w:tr>
      <w:tr>
        <w:trPr>
          <w:trHeight w:val="510" w:hRule="atLeast"/>
          <w:jc w:val="center"/>
        </w:trPr>
        <w:tc>
          <w:tcPr>
            <w:tcW w:w="606" w:type="pct"/>
            <w:tcBorders>
              <w:top w:val="nil"/>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内磁场干扰</w:t>
            </w:r>
          </w:p>
        </w:tc>
        <w:tc>
          <w:tcPr>
            <w:tcW w:w="4394"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主机房内磁场干扰环境场强不应大于</w:t>
            </w:r>
            <w:r>
              <w:rPr>
                <w:rFonts w:cs="Times New Roman"/>
                <w:color w:val="000000"/>
                <w:kern w:val="0"/>
              </w:rPr>
              <w:t>800A/m</w:t>
            </w:r>
            <w:r>
              <w:rPr>
                <w:rFonts w:ascii="宋体" w:hAnsi="宋体" w:cs="宋体"/>
                <w:color w:val="000000"/>
                <w:kern w:val="0"/>
              </w:rPr>
              <w:t>。</w:t>
            </w:r>
          </w:p>
        </w:tc>
      </w:tr>
      <w:tr>
        <w:trPr>
          <w:trHeight w:val="270" w:hRule="atLeast"/>
          <w:jc w:val="center"/>
        </w:trPr>
        <w:tc>
          <w:tcPr>
            <w:tcW w:w="606" w:type="pct"/>
            <w:tcBorders>
              <w:top w:val="nil"/>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静电电位</w:t>
            </w:r>
          </w:p>
        </w:tc>
        <w:tc>
          <w:tcPr>
            <w:tcW w:w="4394"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主机房内绝缘体的静电电位不应大于</w:t>
            </w:r>
            <w:r>
              <w:rPr>
                <w:rFonts w:cs="Times New Roman"/>
                <w:color w:val="000000"/>
                <w:kern w:val="0"/>
              </w:rPr>
              <w:t>1kV</w:t>
            </w:r>
            <w:r>
              <w:rPr>
                <w:rFonts w:ascii="宋体" w:hAnsi="宋体" w:cs="宋体"/>
                <w:color w:val="000000"/>
                <w:kern w:val="0"/>
              </w:rPr>
              <w:t>。</w:t>
            </w:r>
          </w:p>
        </w:tc>
      </w:tr>
      <w:tr>
        <w:trPr>
          <w:trHeight w:val="270" w:hRule="atLeast"/>
          <w:jc w:val="center"/>
        </w:trPr>
        <w:tc>
          <w:tcPr>
            <w:tcW w:w="606" w:type="pct"/>
            <w:tcBorders>
              <w:top w:val="nil"/>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机房布线</w:t>
            </w:r>
          </w:p>
        </w:tc>
        <w:tc>
          <w:tcPr>
            <w:tcW w:w="4394"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采用光缆或六类及以上对绞电缆，采用</w:t>
            </w:r>
            <w:r>
              <w:rPr>
                <w:rFonts w:cs="Times New Roman"/>
                <w:color w:val="000000"/>
                <w:kern w:val="0"/>
              </w:rPr>
              <w:t>1+1</w:t>
            </w:r>
            <w:r>
              <w:rPr>
                <w:rFonts w:ascii="宋体" w:hAnsi="宋体" w:cs="宋体"/>
                <w:color w:val="000000"/>
                <w:kern w:val="0"/>
              </w:rPr>
              <w:t>冗余。</w:t>
            </w:r>
          </w:p>
        </w:tc>
      </w:tr>
      <w:tr>
        <w:trPr>
          <w:trHeight w:val="810" w:hRule="atLeast"/>
          <w:jc w:val="center"/>
        </w:trPr>
        <w:tc>
          <w:tcPr>
            <w:tcW w:w="606" w:type="pct"/>
            <w:tcBorders>
              <w:top w:val="nil"/>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照明要求</w:t>
            </w:r>
          </w:p>
        </w:tc>
        <w:tc>
          <w:tcPr>
            <w:tcW w:w="4394"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眩光限制按</w:t>
            </w:r>
            <w:r>
              <w:rPr>
                <w:rFonts w:cs="Times New Roman"/>
                <w:color w:val="000000"/>
                <w:kern w:val="0"/>
              </w:rPr>
              <w:t>I</w:t>
            </w:r>
            <w:r>
              <w:rPr>
                <w:rFonts w:ascii="宋体" w:hAnsi="宋体" w:cs="宋体"/>
                <w:color w:val="000000"/>
                <w:kern w:val="0"/>
              </w:rPr>
              <w:t>级标准，照度按机房≥</w:t>
            </w:r>
            <w:r>
              <w:rPr>
                <w:rFonts w:cs="Times New Roman"/>
                <w:color w:val="000000"/>
                <w:kern w:val="0"/>
              </w:rPr>
              <w:t xml:space="preserve">300Lux </w:t>
            </w:r>
            <w:r>
              <w:rPr>
                <w:rFonts w:ascii="宋体" w:hAnsi="宋体" w:cs="宋体"/>
                <w:color w:val="000000"/>
                <w:kern w:val="0"/>
              </w:rPr>
              <w:t>及按现场布局排列，机房内应设置备用照明，其照度为一般照明的</w:t>
            </w:r>
            <w:r>
              <w:rPr>
                <w:rFonts w:cs="Times New Roman"/>
                <w:color w:val="000000"/>
                <w:kern w:val="0"/>
              </w:rPr>
              <w:t>15%</w:t>
            </w:r>
            <w:r>
              <w:rPr>
                <w:rFonts w:ascii="宋体" w:hAnsi="宋体" w:cs="宋体"/>
                <w:color w:val="000000"/>
                <w:kern w:val="0"/>
              </w:rPr>
              <w:t>。机房应设置疏散照明和安全出口标志灯，其照度不应低于</w:t>
            </w:r>
            <w:r>
              <w:rPr>
                <w:rFonts w:cs="Times New Roman"/>
                <w:color w:val="000000"/>
                <w:kern w:val="0"/>
              </w:rPr>
              <w:t>0.5LUX</w:t>
            </w:r>
            <w:r>
              <w:rPr>
                <w:rFonts w:ascii="宋体" w:hAnsi="宋体" w:cs="宋体"/>
                <w:color w:val="000000"/>
                <w:kern w:val="0"/>
              </w:rPr>
              <w:t>。</w:t>
            </w:r>
          </w:p>
        </w:tc>
      </w:tr>
      <w:tr>
        <w:trPr>
          <w:trHeight w:val="540" w:hRule="atLeast"/>
          <w:jc w:val="center"/>
        </w:trPr>
        <w:tc>
          <w:tcPr>
            <w:tcW w:w="606" w:type="pct"/>
            <w:tcBorders>
              <w:top w:val="nil"/>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机房监控</w:t>
            </w:r>
          </w:p>
        </w:tc>
        <w:tc>
          <w:tcPr>
            <w:tcW w:w="4394"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空气质量：对温度、相对湿度、压差、含尘度；漏水监测报警；监控</w:t>
            </w:r>
            <w:r>
              <w:rPr>
                <w:rFonts w:cs="Times New Roman"/>
                <w:color w:val="000000"/>
                <w:kern w:val="0"/>
              </w:rPr>
              <w:t>IT</w:t>
            </w:r>
            <w:r>
              <w:rPr>
                <w:rFonts w:ascii="宋体" w:hAnsi="宋体" w:cs="宋体"/>
                <w:color w:val="000000"/>
                <w:kern w:val="0"/>
              </w:rPr>
              <w:t>设备、空调、新风、动力、供配电系统、不间断电源、电池、柴油发电等设备；采用</w:t>
            </w:r>
            <w:r>
              <w:rPr>
                <w:rFonts w:cs="Times New Roman"/>
                <w:color w:val="000000"/>
                <w:kern w:val="0"/>
              </w:rPr>
              <w:t>KVM</w:t>
            </w:r>
            <w:r>
              <w:rPr>
                <w:rFonts w:ascii="宋体" w:hAnsi="宋体" w:cs="宋体"/>
                <w:color w:val="000000"/>
                <w:kern w:val="0"/>
              </w:rPr>
              <w:t>切换系统。</w:t>
            </w:r>
          </w:p>
        </w:tc>
      </w:tr>
      <w:tr>
        <w:trPr>
          <w:trHeight w:val="795" w:hRule="atLeast"/>
          <w:jc w:val="center"/>
        </w:trPr>
        <w:tc>
          <w:tcPr>
            <w:tcW w:w="606" w:type="pct"/>
            <w:tcBorders>
              <w:top w:val="nil"/>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安全防范</w:t>
            </w:r>
          </w:p>
        </w:tc>
        <w:tc>
          <w:tcPr>
            <w:tcW w:w="4394"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在主要出入口、机房、配套区域采用门禁系统和视频监控系统，机柜区域配备专用门禁和</w:t>
            </w:r>
            <w:r>
              <w:rPr>
                <w:rFonts w:cs="Times New Roman"/>
                <w:color w:val="000000"/>
                <w:kern w:val="0"/>
              </w:rPr>
              <w:t>24</w:t>
            </w:r>
            <w:r>
              <w:rPr>
                <w:rFonts w:ascii="宋体" w:hAnsi="宋体" w:cs="宋体"/>
                <w:color w:val="000000"/>
                <w:kern w:val="0"/>
              </w:rPr>
              <w:t>小时监控系统，视频监控画面可远程调用，中标人需开放相应的接口或者服务提供监控服务，监控录像保存时间大于</w:t>
            </w:r>
            <w:r>
              <w:rPr>
                <w:rFonts w:cs="Times New Roman"/>
                <w:color w:val="000000"/>
                <w:kern w:val="0"/>
              </w:rPr>
              <w:t>3</w:t>
            </w:r>
            <w:r>
              <w:rPr>
                <w:rFonts w:ascii="宋体" w:hAnsi="宋体" w:cs="宋体"/>
                <w:color w:val="000000"/>
                <w:kern w:val="0"/>
              </w:rPr>
              <w:t>个月。</w:t>
            </w:r>
          </w:p>
        </w:tc>
      </w:tr>
      <w:tr>
        <w:trPr>
          <w:trHeight w:val="270" w:hRule="atLeast"/>
          <w:jc w:val="center"/>
        </w:trPr>
        <w:tc>
          <w:tcPr>
            <w:tcW w:w="606" w:type="pct"/>
            <w:tcBorders>
              <w:top w:val="nil"/>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消防</w:t>
            </w:r>
          </w:p>
        </w:tc>
        <w:tc>
          <w:tcPr>
            <w:tcW w:w="4394"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应配置气体消防系统和火灾自动报警系统。</w:t>
            </w:r>
          </w:p>
        </w:tc>
      </w:tr>
    </w:tbl>
    <w:p>
      <w:pPr>
        <w:spacing w:line="276" w:lineRule="auto"/>
      </w:pPr>
    </w:p>
    <w:p>
      <w:pPr>
        <w:widowControl/>
        <w:numPr>
          <w:ilvl w:val="0"/>
          <w:numId w:val="22"/>
        </w:numPr>
        <w:topLinePunct/>
        <w:adjustRightInd w:val="0"/>
        <w:snapToGrid w:val="0"/>
        <w:spacing w:before="100" w:after="100" w:line="300" w:lineRule="exact"/>
        <w:ind w:left="420" w:hangingChars="200"/>
        <w:jc w:val="left"/>
        <w:rPr>
          <w:rFonts w:ascii="宋体" w:hAnsi="宋体"/>
        </w:rPr>
      </w:pPr>
      <w:r>
        <w:rPr>
          <w:rFonts w:ascii="宋体" w:hAnsi="宋体"/>
        </w:rPr>
        <w:t>机房空间要求满足业务资源需求。实际使用机柜数量可根据用户要求提供，每机柜提供双路不间断供电，电力总功率：低密度区每机柜不低于3KW，高密度区每机柜不低于5KW。遵循国家有关绿色机房的建设要求。</w:t>
      </w:r>
    </w:p>
    <w:p>
      <w:pPr>
        <w:widowControl/>
        <w:numPr>
          <w:ilvl w:val="0"/>
          <w:numId w:val="22"/>
        </w:numPr>
        <w:topLinePunct/>
        <w:adjustRightInd w:val="0"/>
        <w:snapToGrid w:val="0"/>
        <w:spacing w:before="100" w:after="100" w:line="300" w:lineRule="exact"/>
        <w:ind w:left="420" w:hangingChars="200"/>
        <w:jc w:val="left"/>
        <w:rPr>
          <w:rFonts w:ascii="宋体" w:hAnsi="宋体"/>
        </w:rPr>
      </w:pPr>
      <w:r>
        <w:rPr>
          <w:rFonts w:ascii="宋体" w:hAnsi="宋体"/>
        </w:rPr>
        <w:t>中标人提供的机房可以按照采购人的要求对资源进行物理和逻辑隔离，且需要在机房内划分独立区域，满足多个云平台资源区和独立资源区域划分要求。独立区域具有门禁控制，控制权按照采购人要求进行管理。</w:t>
      </w:r>
    </w:p>
    <w:p>
      <w:pPr>
        <w:widowControl/>
        <w:numPr>
          <w:ilvl w:val="0"/>
          <w:numId w:val="22"/>
        </w:numPr>
        <w:topLinePunct/>
        <w:adjustRightInd w:val="0"/>
        <w:snapToGrid w:val="0"/>
        <w:spacing w:before="100" w:after="100" w:line="300" w:lineRule="exact"/>
        <w:ind w:left="420" w:hangingChars="200"/>
        <w:jc w:val="left"/>
        <w:rPr>
          <w:rFonts w:ascii="宋体" w:hAnsi="宋体"/>
        </w:rPr>
      </w:pPr>
      <w:r>
        <w:rPr>
          <w:rFonts w:ascii="宋体" w:hAnsi="宋体"/>
        </w:rPr>
        <w:t>为达到同城灾备的要求，中标人</w:t>
      </w:r>
      <w:r>
        <w:rPr>
          <w:rFonts w:hint="eastAsia" w:ascii="宋体" w:hAnsi="宋体"/>
        </w:rPr>
        <w:t>应当为非创新区域与创新区域均</w:t>
      </w:r>
      <w:r>
        <w:rPr>
          <w:rFonts w:ascii="宋体" w:hAnsi="宋体"/>
        </w:rPr>
        <w:t>提供不少于两个机房供上海市电子政务云使用，两个机房之间直线距离应大于15KM，机房位置距人民广场直线距离不超过2</w:t>
      </w:r>
      <w:r>
        <w:rPr>
          <w:rFonts w:hint="eastAsia" w:ascii="宋体" w:hAnsi="宋体"/>
          <w:lang w:val="en-US" w:eastAsia="zh-CN"/>
        </w:rPr>
        <w:t>5</w:t>
      </w:r>
      <w:r>
        <w:rPr>
          <w:rFonts w:ascii="宋体" w:hAnsi="宋体"/>
        </w:rPr>
        <w:t>KM，机房之间有通信线路实现互相连接。</w:t>
      </w:r>
    </w:p>
    <w:p>
      <w:pPr>
        <w:widowControl/>
        <w:numPr>
          <w:ilvl w:val="0"/>
          <w:numId w:val="22"/>
        </w:numPr>
        <w:topLinePunct/>
        <w:adjustRightInd w:val="0"/>
        <w:snapToGrid w:val="0"/>
        <w:spacing w:before="100" w:after="100" w:line="300" w:lineRule="exact"/>
        <w:ind w:left="420" w:hangingChars="200"/>
        <w:jc w:val="left"/>
        <w:rPr>
          <w:rFonts w:ascii="宋体" w:hAnsi="宋体"/>
        </w:rPr>
      </w:pPr>
      <w:r>
        <w:rPr>
          <w:rFonts w:ascii="宋体" w:hAnsi="宋体"/>
        </w:rPr>
        <w:t>机房有较好的容灾备份方案及措施，若某一地区发生如地震、海啸或者其他未知不可抗力灾害，启动容灾备份方案以快速地使另一后备机房承接原服务。</w:t>
      </w:r>
    </w:p>
    <w:p>
      <w:pPr>
        <w:widowControl/>
        <w:numPr>
          <w:ilvl w:val="0"/>
          <w:numId w:val="22"/>
        </w:numPr>
        <w:topLinePunct/>
        <w:adjustRightInd w:val="0"/>
        <w:snapToGrid w:val="0"/>
        <w:spacing w:before="100" w:after="100" w:line="300" w:lineRule="exact"/>
        <w:ind w:left="420" w:hangingChars="200"/>
        <w:jc w:val="left"/>
        <w:rPr>
          <w:rFonts w:ascii="宋体" w:hAnsi="宋体"/>
        </w:rPr>
      </w:pPr>
      <w:r>
        <w:rPr>
          <w:rFonts w:ascii="宋体" w:hAnsi="宋体"/>
        </w:rPr>
        <w:t>提供的机房需要通过网络连接到电子政务外网，预留相应的信息管道。</w:t>
      </w:r>
    </w:p>
    <w:p>
      <w:pPr>
        <w:widowControl/>
        <w:numPr>
          <w:ilvl w:val="0"/>
          <w:numId w:val="22"/>
        </w:numPr>
        <w:topLinePunct/>
        <w:adjustRightInd w:val="0"/>
        <w:snapToGrid w:val="0"/>
        <w:spacing w:before="100" w:after="100" w:line="300" w:lineRule="exact"/>
        <w:ind w:left="420" w:hangingChars="200"/>
        <w:jc w:val="left"/>
        <w:rPr>
          <w:rFonts w:ascii="宋体" w:hAnsi="宋体"/>
        </w:rPr>
      </w:pPr>
      <w:r>
        <w:rPr>
          <w:rFonts w:ascii="宋体" w:hAnsi="宋体"/>
        </w:rPr>
        <w:t>中标人提供的机房应具备符合国密要求的门禁系统。</w:t>
      </w:r>
    </w:p>
    <w:p>
      <w:pPr>
        <w:pStyle w:val="3"/>
        <w:numPr>
          <w:ilvl w:val="1"/>
          <w:numId w:val="5"/>
        </w:numPr>
        <w:tabs>
          <w:tab w:val="clear" w:pos="840"/>
        </w:tabs>
        <w:ind w:left="720" w:hanging="720" w:hangingChars="200"/>
        <w:textAlignment w:val="auto"/>
        <w:rPr>
          <w:rFonts w:ascii="宋体" w:hAnsi="宋体"/>
          <w:lang w:eastAsia="zh-CN"/>
        </w:rPr>
      </w:pPr>
      <w:bookmarkStart w:id="77" w:name="_Toc29407446"/>
      <w:bookmarkStart w:id="78" w:name="_Toc34080420"/>
      <w:bookmarkStart w:id="79" w:name="_Toc34080604"/>
      <w:r>
        <w:rPr>
          <w:rFonts w:hint="eastAsia" w:ascii="宋体" w:hAnsi="宋体"/>
          <w:lang w:eastAsia="zh-CN"/>
        </w:rPr>
        <w:t>机房链路要求</w:t>
      </w:r>
      <w:bookmarkEnd w:id="77"/>
      <w:bookmarkEnd w:id="78"/>
      <w:bookmarkEnd w:id="79"/>
    </w:p>
    <w:p>
      <w:pPr>
        <w:widowControl/>
        <w:numPr>
          <w:ilvl w:val="0"/>
          <w:numId w:val="23"/>
        </w:numPr>
        <w:topLinePunct/>
        <w:adjustRightInd w:val="0"/>
        <w:snapToGrid w:val="0"/>
        <w:spacing w:before="100" w:after="100" w:line="300" w:lineRule="exact"/>
        <w:ind w:left="420" w:hangingChars="200"/>
        <w:jc w:val="left"/>
        <w:rPr>
          <w:rFonts w:ascii="宋体" w:hAnsi="宋体"/>
        </w:rPr>
      </w:pPr>
      <w:r>
        <w:rPr>
          <w:rFonts w:ascii="宋体" w:hAnsi="宋体"/>
        </w:rPr>
        <w:t>政务外网接入：要求承载政务云平台的网络和市政务外网骨干传输网络高效安全地衔接，满足各政务部门接入政务云业务系统的网络需要。根据相关安全管理部门的要求，中标人应支撑安全管理部门放置相关设备到中标人机房或进行专网的接入，采购人无需支付相关费用。</w:t>
      </w:r>
    </w:p>
    <w:p>
      <w:pPr>
        <w:widowControl/>
        <w:numPr>
          <w:ilvl w:val="0"/>
          <w:numId w:val="23"/>
        </w:numPr>
        <w:topLinePunct/>
        <w:adjustRightInd w:val="0"/>
        <w:snapToGrid w:val="0"/>
        <w:spacing w:before="100" w:after="100" w:line="300" w:lineRule="exact"/>
        <w:ind w:left="420" w:hangingChars="200"/>
        <w:jc w:val="left"/>
        <w:rPr>
          <w:rFonts w:ascii="宋体" w:hAnsi="宋体"/>
        </w:rPr>
      </w:pPr>
      <w:r>
        <w:rPr>
          <w:rFonts w:ascii="宋体" w:hAnsi="宋体"/>
        </w:rPr>
        <w:t>互联网接入：要求承载政务云平台的网络和市政务外网互联网统一出口高效安全地衔接，满足各政务部门业务系统接入互联网的需要，需提供互联网骨干级带宽服务及异网接入能力。</w:t>
      </w:r>
    </w:p>
    <w:p>
      <w:pPr>
        <w:widowControl/>
        <w:numPr>
          <w:ilvl w:val="0"/>
          <w:numId w:val="23"/>
        </w:numPr>
        <w:topLinePunct/>
        <w:adjustRightInd w:val="0"/>
        <w:snapToGrid w:val="0"/>
        <w:spacing w:before="100" w:after="100" w:line="300" w:lineRule="exact"/>
        <w:ind w:left="420" w:hangingChars="200"/>
        <w:jc w:val="left"/>
        <w:rPr>
          <w:rFonts w:ascii="宋体" w:hAnsi="宋体"/>
        </w:rPr>
      </w:pPr>
      <w:r>
        <w:rPr>
          <w:rFonts w:ascii="宋体" w:hAnsi="宋体"/>
        </w:rPr>
        <w:t>中标人需提供必要的配合，并按相关规范要求做好网络对接和安全防护。</w:t>
      </w:r>
    </w:p>
    <w:p>
      <w:pPr>
        <w:pStyle w:val="3"/>
        <w:numPr>
          <w:ilvl w:val="1"/>
          <w:numId w:val="5"/>
        </w:numPr>
        <w:tabs>
          <w:tab w:val="clear" w:pos="840"/>
        </w:tabs>
        <w:ind w:left="720" w:hanging="720" w:hangingChars="200"/>
        <w:textAlignment w:val="auto"/>
        <w:rPr>
          <w:rFonts w:ascii="宋体" w:hAnsi="宋体"/>
          <w:lang w:eastAsia="zh-CN"/>
        </w:rPr>
      </w:pPr>
      <w:bookmarkStart w:id="80" w:name="_Toc29407447"/>
      <w:bookmarkStart w:id="81" w:name="_Toc34080605"/>
      <w:bookmarkStart w:id="82" w:name="_Toc34080421"/>
      <w:r>
        <w:rPr>
          <w:rFonts w:hint="eastAsia" w:ascii="宋体" w:hAnsi="宋体"/>
          <w:lang w:eastAsia="zh-CN"/>
        </w:rPr>
        <w:t>管理要求</w:t>
      </w:r>
      <w:bookmarkEnd w:id="80"/>
      <w:bookmarkEnd w:id="81"/>
      <w:bookmarkEnd w:id="82"/>
    </w:p>
    <w:p>
      <w:pPr>
        <w:widowControl/>
        <w:numPr>
          <w:ilvl w:val="0"/>
          <w:numId w:val="24"/>
        </w:numPr>
        <w:topLinePunct/>
        <w:adjustRightInd w:val="0"/>
        <w:snapToGrid w:val="0"/>
        <w:spacing w:before="100" w:after="100" w:line="300" w:lineRule="exact"/>
        <w:ind w:left="420" w:hangingChars="200"/>
        <w:jc w:val="left"/>
        <w:rPr>
          <w:rFonts w:ascii="宋体" w:hAnsi="宋体"/>
        </w:rPr>
      </w:pPr>
      <w:r>
        <w:rPr>
          <w:rFonts w:ascii="宋体" w:hAnsi="宋体"/>
        </w:rPr>
        <w:t>中标人向采购人提供7*24小时机房值守响应电话，7*24小时全天候技术支持响应。</w:t>
      </w:r>
    </w:p>
    <w:p>
      <w:pPr>
        <w:widowControl/>
        <w:numPr>
          <w:ilvl w:val="0"/>
          <w:numId w:val="24"/>
        </w:numPr>
        <w:topLinePunct/>
        <w:adjustRightInd w:val="0"/>
        <w:snapToGrid w:val="0"/>
        <w:spacing w:before="100" w:after="100" w:line="300" w:lineRule="exact"/>
        <w:ind w:left="420" w:hangingChars="200"/>
        <w:jc w:val="left"/>
        <w:rPr>
          <w:rFonts w:ascii="宋体" w:hAnsi="宋体"/>
        </w:rPr>
      </w:pPr>
      <w:r>
        <w:rPr>
          <w:rFonts w:ascii="宋体" w:hAnsi="宋体"/>
        </w:rPr>
        <w:t>应配备7*24小时值班运维人员，负责机房的日常运维工作；应配备7*24小时值班保安人员，负责机房的安全保卫工作。</w:t>
      </w:r>
    </w:p>
    <w:p>
      <w:pPr>
        <w:widowControl/>
        <w:numPr>
          <w:ilvl w:val="0"/>
          <w:numId w:val="24"/>
        </w:numPr>
        <w:topLinePunct/>
        <w:adjustRightInd w:val="0"/>
        <w:snapToGrid w:val="0"/>
        <w:spacing w:before="100" w:after="100" w:line="300" w:lineRule="exact"/>
        <w:ind w:left="420" w:hangingChars="200"/>
        <w:jc w:val="left"/>
        <w:rPr>
          <w:rFonts w:ascii="宋体" w:hAnsi="宋体"/>
        </w:rPr>
      </w:pPr>
      <w:r>
        <w:rPr>
          <w:rFonts w:ascii="宋体" w:hAnsi="宋体"/>
        </w:rPr>
        <w:t>安保监控：至少包括机房门禁独立管理、门禁状态监控、CCTV摄像头实时监控系统。</w:t>
      </w:r>
    </w:p>
    <w:p>
      <w:pPr>
        <w:widowControl/>
        <w:numPr>
          <w:ilvl w:val="0"/>
          <w:numId w:val="24"/>
        </w:numPr>
        <w:topLinePunct/>
        <w:adjustRightInd w:val="0"/>
        <w:snapToGrid w:val="0"/>
        <w:spacing w:before="100" w:after="100" w:line="300" w:lineRule="exact"/>
        <w:ind w:left="420" w:hangingChars="200"/>
        <w:jc w:val="left"/>
        <w:rPr>
          <w:rFonts w:ascii="宋体" w:hAnsi="宋体"/>
        </w:rPr>
      </w:pPr>
      <w:r>
        <w:rPr>
          <w:rFonts w:ascii="宋体" w:hAnsi="宋体"/>
        </w:rPr>
        <w:t>应定期完成机房巡检（包括机房环境、温湿度、安防、设备告警指示灯等、卫生状况），机房巡检不少于每日三次，保证早晚各1次，并留有记录，采购人有权调阅相关记录；除应急处置外，其余时间不允许对采购人机房相关环境设施进行维护操作</w:t>
      </w:r>
    </w:p>
    <w:p>
      <w:pPr>
        <w:pStyle w:val="3"/>
        <w:numPr>
          <w:ilvl w:val="1"/>
          <w:numId w:val="5"/>
        </w:numPr>
        <w:tabs>
          <w:tab w:val="clear" w:pos="840"/>
        </w:tabs>
        <w:ind w:left="720" w:hanging="720" w:hangingChars="200"/>
        <w:textAlignment w:val="auto"/>
        <w:rPr>
          <w:rFonts w:ascii="宋体" w:hAnsi="宋体"/>
          <w:lang w:eastAsia="zh-CN"/>
        </w:rPr>
      </w:pPr>
      <w:bookmarkStart w:id="83" w:name="_Toc29407448"/>
      <w:bookmarkStart w:id="84" w:name="_Toc34080606"/>
      <w:bookmarkStart w:id="85" w:name="_Toc34080422"/>
      <w:r>
        <w:rPr>
          <w:rFonts w:hint="eastAsia" w:ascii="宋体" w:hAnsi="宋体"/>
          <w:lang w:eastAsia="zh-CN"/>
        </w:rPr>
        <w:t>服务项要求</w:t>
      </w:r>
      <w:bookmarkEnd w:id="83"/>
      <w:bookmarkEnd w:id="84"/>
      <w:bookmarkEnd w:id="85"/>
      <w:bookmarkStart w:id="86" w:name="_Hlk32671454"/>
    </w:p>
    <w:p>
      <w:pPr>
        <w:widowControl/>
        <w:numPr>
          <w:ilvl w:val="0"/>
          <w:numId w:val="25"/>
        </w:numPr>
        <w:topLinePunct/>
        <w:adjustRightInd w:val="0"/>
        <w:snapToGrid w:val="0"/>
        <w:spacing w:before="100" w:after="100" w:line="300" w:lineRule="exact"/>
        <w:ind w:left="420" w:hangingChars="200"/>
        <w:jc w:val="left"/>
        <w:rPr>
          <w:rFonts w:ascii="宋体" w:hAnsi="宋体"/>
        </w:rPr>
      </w:pPr>
      <w:r>
        <w:rPr>
          <w:rFonts w:ascii="宋体" w:hAnsi="宋体"/>
        </w:rPr>
        <w:t>中标人需提供机房同地点处的办公场地及办公环境，供云平台使用单位使用，用于测试、应用部署及后期业务系统迁移等工作。</w:t>
      </w:r>
    </w:p>
    <w:p>
      <w:pPr>
        <w:widowControl/>
        <w:numPr>
          <w:ilvl w:val="0"/>
          <w:numId w:val="25"/>
        </w:numPr>
        <w:topLinePunct/>
        <w:adjustRightInd w:val="0"/>
        <w:snapToGrid w:val="0"/>
        <w:spacing w:before="100" w:after="100" w:line="300" w:lineRule="exact"/>
        <w:ind w:left="420" w:hangingChars="200"/>
        <w:jc w:val="left"/>
        <w:rPr>
          <w:rFonts w:ascii="宋体" w:hAnsi="宋体"/>
        </w:rPr>
      </w:pPr>
      <w:r>
        <w:rPr>
          <w:rFonts w:ascii="宋体" w:hAnsi="宋体"/>
        </w:rPr>
        <w:t>中标人需提供数据中心机房空间服务，提供额外设备托管空间。中标人需提供数据中心机房整机柜出租服务，提供额外设备托管机柜。</w:t>
      </w:r>
      <w:bookmarkEnd w:id="86"/>
    </w:p>
    <w:p>
      <w:pPr>
        <w:widowControl/>
        <w:jc w:val="left"/>
        <w:sectPr>
          <w:pgSz w:w="11906" w:h="16838"/>
          <w:pgMar w:top="1440" w:right="1800" w:bottom="1440" w:left="1800" w:header="851" w:footer="992" w:gutter="0"/>
          <w:cols w:space="425" w:num="1"/>
          <w:docGrid w:type="lines" w:linePitch="312" w:charSpace="0"/>
        </w:sectPr>
      </w:pPr>
    </w:p>
    <w:p>
      <w:pPr>
        <w:pStyle w:val="7"/>
        <w:rPr>
          <w:rFonts w:hint="eastAsia"/>
          <w:sz w:val="28"/>
          <w:szCs w:val="28"/>
          <w:lang w:eastAsia="zh-CN"/>
        </w:rPr>
      </w:pPr>
      <w:r>
        <w:rPr>
          <w:rFonts w:hint="eastAsia"/>
          <w:sz w:val="28"/>
          <w:szCs w:val="28"/>
          <w:lang w:eastAsia="zh-CN"/>
        </w:rPr>
        <w:t>附件：</w:t>
      </w:r>
    </w:p>
    <w:p>
      <w:pPr>
        <w:widowControl w:val="0"/>
        <w:spacing w:line="600" w:lineRule="exact"/>
        <w:ind w:firstLine="560" w:firstLineChars="200"/>
        <w:outlineLvl w:val="0"/>
        <w:rPr>
          <w:rFonts w:ascii="黑体" w:hAnsi="黑体" w:eastAsia="黑体" w:cs="仿宋_GB2312"/>
          <w:color w:val="000000"/>
          <w:kern w:val="0"/>
          <w:sz w:val="28"/>
          <w:szCs w:val="28"/>
          <w:highlight w:val="none"/>
          <w:lang w:val="zh-CN" w:bidi="en-US"/>
        </w:rPr>
      </w:pPr>
      <w:bookmarkStart w:id="87" w:name="_Hlk99577173"/>
      <w:r>
        <w:rPr>
          <w:rFonts w:hint="eastAsia" w:ascii="黑体" w:hAnsi="黑体" w:eastAsia="黑体" w:cs="仿宋_GB2312"/>
          <w:color w:val="000000"/>
          <w:kern w:val="0"/>
          <w:sz w:val="28"/>
          <w:szCs w:val="28"/>
          <w:highlight w:val="none"/>
          <w:lang w:val="zh-CN" w:bidi="en-US"/>
        </w:rPr>
        <w:t>考核指标</w:t>
      </w:r>
    </w:p>
    <w:p>
      <w:pPr>
        <w:widowControl w:val="0"/>
        <w:spacing w:line="600" w:lineRule="exact"/>
        <w:ind w:firstLine="562" w:firstLineChars="200"/>
        <w:outlineLvl w:val="1"/>
        <w:rPr>
          <w:rFonts w:ascii="楷体_GB2312" w:hAnsi="仿宋_GB2312" w:eastAsia="楷体_GB2312" w:cs="仿宋_GB2312"/>
          <w:b/>
          <w:bCs/>
          <w:color w:val="000000"/>
          <w:kern w:val="0"/>
          <w:sz w:val="28"/>
          <w:szCs w:val="28"/>
          <w:highlight w:val="none"/>
          <w:lang w:bidi="en-US"/>
        </w:rPr>
      </w:pPr>
      <w:r>
        <w:rPr>
          <w:rFonts w:hint="eastAsia" w:ascii="楷体_GB2312" w:hAnsi="仿宋_GB2312" w:eastAsia="楷体_GB2312" w:cs="仿宋_GB2312"/>
          <w:b/>
          <w:bCs/>
          <w:color w:val="000000"/>
          <w:kern w:val="0"/>
          <w:sz w:val="28"/>
          <w:szCs w:val="28"/>
          <w:highlight w:val="none"/>
          <w:lang w:bidi="en-US"/>
        </w:rPr>
        <w:t>（一）月度考核指标体系</w:t>
      </w:r>
    </w:p>
    <w:tbl>
      <w:tblPr>
        <w:tblStyle w:val="12"/>
        <w:tblW w:w="460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741"/>
        <w:gridCol w:w="416"/>
        <w:gridCol w:w="756"/>
        <w:gridCol w:w="489"/>
        <w:gridCol w:w="1359"/>
        <w:gridCol w:w="1444"/>
        <w:gridCol w:w="1300"/>
        <w:gridCol w:w="16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300" w:hRule="atLeast"/>
          <w:tblHeader/>
          <w:jc w:val="center"/>
        </w:trPr>
        <w:tc>
          <w:tcPr>
            <w:tcW w:w="463" w:type="pct"/>
            <w:shd w:val="clear" w:color="auto" w:fill="auto"/>
            <w:vAlign w:val="center"/>
          </w:tcPr>
          <w:p>
            <w:pPr>
              <w:keepNext w:val="0"/>
              <w:keepLines w:val="0"/>
              <w:widowControl/>
              <w:suppressLineNumbers w:val="0"/>
              <w:jc w:val="center"/>
              <w:textAlignment w:val="center"/>
              <w:rPr>
                <w:rFonts w:ascii="仿宋_GB2312" w:hAnsi="宋体" w:eastAsia="仿宋_GB2312" w:cs="仿宋_GB2312"/>
                <w:b/>
                <w:bCs/>
                <w:i w:val="0"/>
                <w:iCs w:val="0"/>
                <w:color w:val="auto"/>
                <w:sz w:val="18"/>
                <w:szCs w:val="18"/>
                <w:highlight w:val="none"/>
                <w:u w:val="none"/>
              </w:rPr>
            </w:pPr>
            <w:r>
              <w:rPr>
                <w:rFonts w:hint="eastAsia" w:ascii="仿宋_GB2312" w:hAnsi="宋体" w:eastAsia="仿宋_GB2312" w:cs="仿宋_GB2312"/>
                <w:b/>
                <w:bCs/>
                <w:i w:val="0"/>
                <w:iCs w:val="0"/>
                <w:color w:val="auto"/>
                <w:kern w:val="0"/>
                <w:sz w:val="18"/>
                <w:szCs w:val="18"/>
                <w:highlight w:val="none"/>
                <w:u w:val="none"/>
                <w:lang w:val="en-US" w:eastAsia="zh-CN" w:bidi="ar"/>
              </w:rPr>
              <w:t>一级指标</w:t>
            </w:r>
          </w:p>
        </w:tc>
        <w:tc>
          <w:tcPr>
            <w:tcW w:w="264"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auto"/>
                <w:sz w:val="18"/>
                <w:szCs w:val="18"/>
                <w:highlight w:val="none"/>
                <w:u w:val="none"/>
              </w:rPr>
            </w:pPr>
            <w:r>
              <w:rPr>
                <w:rFonts w:hint="eastAsia" w:ascii="仿宋_GB2312" w:hAnsi="宋体" w:eastAsia="仿宋_GB2312" w:cs="仿宋_GB2312"/>
                <w:b/>
                <w:bCs/>
                <w:i w:val="0"/>
                <w:iCs w:val="0"/>
                <w:color w:val="auto"/>
                <w:kern w:val="0"/>
                <w:sz w:val="18"/>
                <w:szCs w:val="18"/>
                <w:highlight w:val="none"/>
                <w:u w:val="none"/>
                <w:lang w:val="en-US" w:eastAsia="zh-CN" w:bidi="ar"/>
              </w:rPr>
              <w:t>分值</w:t>
            </w:r>
          </w:p>
        </w:tc>
        <w:tc>
          <w:tcPr>
            <w:tcW w:w="418"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auto"/>
                <w:sz w:val="18"/>
                <w:szCs w:val="18"/>
                <w:highlight w:val="none"/>
                <w:u w:val="none"/>
              </w:rPr>
            </w:pPr>
            <w:r>
              <w:rPr>
                <w:rFonts w:hint="eastAsia" w:ascii="仿宋_GB2312" w:hAnsi="宋体" w:eastAsia="仿宋_GB2312" w:cs="仿宋_GB2312"/>
                <w:b/>
                <w:bCs/>
                <w:i w:val="0"/>
                <w:iCs w:val="0"/>
                <w:color w:val="auto"/>
                <w:kern w:val="0"/>
                <w:sz w:val="18"/>
                <w:szCs w:val="18"/>
                <w:highlight w:val="none"/>
                <w:u w:val="none"/>
                <w:lang w:val="en-US" w:eastAsia="zh-CN" w:bidi="ar"/>
              </w:rPr>
              <w:t>二级指标</w:t>
            </w:r>
          </w:p>
        </w:tc>
        <w:tc>
          <w:tcPr>
            <w:tcW w:w="290"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auto"/>
                <w:sz w:val="18"/>
                <w:szCs w:val="18"/>
                <w:highlight w:val="none"/>
                <w:u w:val="none"/>
              </w:rPr>
            </w:pPr>
            <w:r>
              <w:rPr>
                <w:rFonts w:hint="eastAsia" w:ascii="仿宋_GB2312" w:hAnsi="宋体" w:eastAsia="仿宋_GB2312" w:cs="仿宋_GB2312"/>
                <w:b/>
                <w:bCs/>
                <w:i w:val="0"/>
                <w:iCs w:val="0"/>
                <w:color w:val="auto"/>
                <w:kern w:val="0"/>
                <w:sz w:val="18"/>
                <w:szCs w:val="18"/>
                <w:highlight w:val="none"/>
                <w:u w:val="none"/>
                <w:lang w:val="en-US" w:eastAsia="zh-CN" w:bidi="ar"/>
              </w:rPr>
              <w:t>分值</w:t>
            </w:r>
          </w:p>
        </w:tc>
        <w:tc>
          <w:tcPr>
            <w:tcW w:w="842"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auto"/>
                <w:sz w:val="18"/>
                <w:szCs w:val="18"/>
                <w:highlight w:val="none"/>
                <w:u w:val="none"/>
              </w:rPr>
            </w:pPr>
            <w:r>
              <w:rPr>
                <w:rFonts w:hint="eastAsia" w:ascii="仿宋_GB2312" w:hAnsi="宋体" w:eastAsia="仿宋_GB2312" w:cs="仿宋_GB2312"/>
                <w:b/>
                <w:bCs/>
                <w:i w:val="0"/>
                <w:iCs w:val="0"/>
                <w:color w:val="auto"/>
                <w:kern w:val="0"/>
                <w:sz w:val="18"/>
                <w:szCs w:val="18"/>
                <w:highlight w:val="none"/>
                <w:u w:val="none"/>
                <w:lang w:val="en-US" w:eastAsia="zh-CN" w:bidi="ar"/>
              </w:rPr>
              <w:t>指标解释</w:t>
            </w:r>
          </w:p>
        </w:tc>
        <w:tc>
          <w:tcPr>
            <w:tcW w:w="893"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auto"/>
                <w:sz w:val="18"/>
                <w:szCs w:val="18"/>
                <w:highlight w:val="none"/>
                <w:u w:val="none"/>
              </w:rPr>
            </w:pPr>
            <w:r>
              <w:rPr>
                <w:rFonts w:hint="eastAsia" w:ascii="仿宋_GB2312" w:hAnsi="宋体" w:eastAsia="仿宋_GB2312" w:cs="仿宋_GB2312"/>
                <w:b/>
                <w:bCs/>
                <w:i w:val="0"/>
                <w:iCs w:val="0"/>
                <w:color w:val="auto"/>
                <w:kern w:val="0"/>
                <w:sz w:val="18"/>
                <w:szCs w:val="18"/>
                <w:highlight w:val="none"/>
                <w:u w:val="none"/>
                <w:lang w:val="en-US" w:eastAsia="zh-CN" w:bidi="ar"/>
              </w:rPr>
              <w:t>应达要求</w:t>
            </w:r>
          </w:p>
        </w:tc>
        <w:tc>
          <w:tcPr>
            <w:tcW w:w="805"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auto"/>
                <w:sz w:val="18"/>
                <w:szCs w:val="18"/>
                <w:highlight w:val="none"/>
                <w:u w:val="none"/>
              </w:rPr>
            </w:pPr>
            <w:r>
              <w:rPr>
                <w:rFonts w:hint="eastAsia" w:ascii="仿宋_GB2312" w:hAnsi="宋体" w:eastAsia="仿宋_GB2312" w:cs="仿宋_GB2312"/>
                <w:b/>
                <w:bCs/>
                <w:i w:val="0"/>
                <w:iCs w:val="0"/>
                <w:color w:val="auto"/>
                <w:kern w:val="0"/>
                <w:sz w:val="18"/>
                <w:szCs w:val="18"/>
                <w:highlight w:val="none"/>
                <w:u w:val="none"/>
                <w:lang w:val="en-US" w:eastAsia="zh-CN" w:bidi="ar"/>
              </w:rPr>
              <w:t>测量规则</w:t>
            </w:r>
          </w:p>
        </w:tc>
        <w:tc>
          <w:tcPr>
            <w:tcW w:w="1020"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auto"/>
                <w:sz w:val="18"/>
                <w:szCs w:val="18"/>
                <w:highlight w:val="none"/>
                <w:u w:val="none"/>
              </w:rPr>
            </w:pPr>
            <w:r>
              <w:rPr>
                <w:rFonts w:hint="eastAsia" w:ascii="仿宋_GB2312" w:hAnsi="宋体" w:eastAsia="仿宋_GB2312" w:cs="仿宋_GB2312"/>
                <w:b/>
                <w:bCs/>
                <w:i w:val="0"/>
                <w:iCs w:val="0"/>
                <w:color w:val="auto"/>
                <w:kern w:val="0"/>
                <w:sz w:val="18"/>
                <w:szCs w:val="18"/>
                <w:highlight w:val="none"/>
                <w:u w:val="none"/>
                <w:lang w:val="en-US" w:eastAsia="zh-CN" w:bidi="ar"/>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300" w:hRule="atLeast"/>
          <w:jc w:val="center"/>
        </w:trPr>
        <w:tc>
          <w:tcPr>
            <w:tcW w:w="463" w:type="pct"/>
            <w:vMerge w:val="restar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服务交付管理</w:t>
            </w:r>
            <w:r>
              <w:rPr>
                <w:rFonts w:hint="eastAsia" w:ascii="仿宋_GB2312" w:hAnsi="宋体" w:eastAsia="仿宋_GB2312" w:cs="仿宋_GB2312"/>
                <w:i w:val="0"/>
                <w:iCs w:val="0"/>
                <w:color w:val="auto"/>
                <w:kern w:val="0"/>
                <w:sz w:val="18"/>
                <w:szCs w:val="18"/>
                <w:highlight w:val="none"/>
                <w:u w:val="none"/>
                <w:lang w:val="en-US" w:eastAsia="zh-CN" w:bidi="ar"/>
              </w:rPr>
              <w:br w:type="textWrapping"/>
            </w:r>
            <w:r>
              <w:rPr>
                <w:rFonts w:hint="eastAsia" w:ascii="仿宋_GB2312" w:hAnsi="宋体" w:eastAsia="仿宋_GB2312" w:cs="仿宋_GB2312"/>
                <w:i w:val="0"/>
                <w:iCs w:val="0"/>
                <w:color w:val="auto"/>
                <w:kern w:val="0"/>
                <w:sz w:val="18"/>
                <w:szCs w:val="18"/>
                <w:highlight w:val="none"/>
                <w:u w:val="none"/>
                <w:lang w:val="en-US" w:eastAsia="zh-CN" w:bidi="ar"/>
              </w:rPr>
              <w:t>（A）</w:t>
            </w:r>
          </w:p>
        </w:tc>
        <w:tc>
          <w:tcPr>
            <w:tcW w:w="264" w:type="pct"/>
            <w:vMerge w:val="restar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25</w:t>
            </w:r>
          </w:p>
        </w:tc>
        <w:tc>
          <w:tcPr>
            <w:tcW w:w="418"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服务交付及时率（A1）</w:t>
            </w:r>
          </w:p>
        </w:tc>
        <w:tc>
          <w:tcPr>
            <w:tcW w:w="290"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10</w:t>
            </w:r>
          </w:p>
        </w:tc>
        <w:tc>
          <w:tcPr>
            <w:tcW w:w="842"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中标方对于服务交付场景的请求在规定的时间内予以完成的工单数量。</w:t>
            </w:r>
          </w:p>
        </w:tc>
        <w:tc>
          <w:tcPr>
            <w:tcW w:w="893"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中标方应该保证资源水位安全，服务交付完成时间不超过5个工作日</w:t>
            </w:r>
          </w:p>
        </w:tc>
        <w:tc>
          <w:tcPr>
            <w:tcW w:w="805"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（1）服务交付完成时间=云管反馈时间-审核通过时间</w:t>
            </w:r>
            <w:r>
              <w:rPr>
                <w:rFonts w:hint="eastAsia" w:ascii="仿宋_GB2312" w:hAnsi="宋体" w:eastAsia="仿宋_GB2312" w:cs="仿宋_GB2312"/>
                <w:i w:val="0"/>
                <w:iCs w:val="0"/>
                <w:color w:val="auto"/>
                <w:kern w:val="0"/>
                <w:sz w:val="18"/>
                <w:szCs w:val="18"/>
                <w:highlight w:val="none"/>
                <w:u w:val="none"/>
                <w:lang w:val="en-US" w:eastAsia="zh-CN" w:bidi="ar"/>
              </w:rPr>
              <w:br w:type="textWrapping"/>
            </w:r>
            <w:r>
              <w:rPr>
                <w:rFonts w:hint="eastAsia" w:ascii="仿宋_GB2312" w:hAnsi="宋体" w:eastAsia="仿宋_GB2312" w:cs="仿宋_GB2312"/>
                <w:i w:val="0"/>
                <w:iCs w:val="0"/>
                <w:color w:val="auto"/>
                <w:kern w:val="0"/>
                <w:sz w:val="18"/>
                <w:szCs w:val="18"/>
                <w:highlight w:val="none"/>
                <w:u w:val="none"/>
                <w:lang w:val="en-US" w:eastAsia="zh-CN" w:bidi="ar"/>
              </w:rPr>
              <w:t>（2）服务交付及时数=每月按时交付工单数</w:t>
            </w:r>
          </w:p>
        </w:tc>
        <w:tc>
          <w:tcPr>
            <w:tcW w:w="1020"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服务交付及时数，则当月每件因中标方责任未达标的工单扣0.5分，扣完为止。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300" w:hRule="atLeast"/>
          <w:jc w:val="center"/>
        </w:trPr>
        <w:tc>
          <w:tcPr>
            <w:tcW w:w="463" w:type="pct"/>
            <w:vMerge w:val="continue"/>
            <w:shd w:val="clear" w:color="auto" w:fill="auto"/>
            <w:vAlign w:val="center"/>
          </w:tcPr>
          <w:p>
            <w:pPr>
              <w:jc w:val="center"/>
              <w:rPr>
                <w:rFonts w:hint="eastAsia" w:ascii="仿宋_GB2312" w:hAnsi="宋体" w:eastAsia="仿宋_GB2312" w:cs="仿宋_GB2312"/>
                <w:i w:val="0"/>
                <w:iCs w:val="0"/>
                <w:color w:val="auto"/>
                <w:sz w:val="18"/>
                <w:szCs w:val="18"/>
                <w:highlight w:val="none"/>
                <w:u w:val="none"/>
              </w:rPr>
            </w:pPr>
          </w:p>
        </w:tc>
        <w:tc>
          <w:tcPr>
            <w:tcW w:w="264" w:type="pct"/>
            <w:vMerge w:val="continue"/>
            <w:shd w:val="clear" w:color="auto" w:fill="auto"/>
            <w:vAlign w:val="center"/>
          </w:tcPr>
          <w:p>
            <w:pPr>
              <w:jc w:val="center"/>
              <w:rPr>
                <w:rFonts w:hint="eastAsia" w:ascii="仿宋_GB2312" w:hAnsi="宋体" w:eastAsia="仿宋_GB2312" w:cs="仿宋_GB2312"/>
                <w:i w:val="0"/>
                <w:iCs w:val="0"/>
                <w:color w:val="auto"/>
                <w:sz w:val="18"/>
                <w:szCs w:val="18"/>
                <w:highlight w:val="none"/>
                <w:u w:val="none"/>
              </w:rPr>
            </w:pPr>
          </w:p>
        </w:tc>
        <w:tc>
          <w:tcPr>
            <w:tcW w:w="418"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服务发放准确率（A2）</w:t>
            </w:r>
          </w:p>
        </w:tc>
        <w:tc>
          <w:tcPr>
            <w:tcW w:w="290"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5</w:t>
            </w:r>
          </w:p>
        </w:tc>
        <w:tc>
          <w:tcPr>
            <w:tcW w:w="842"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中标方服务发放的准确工单数量。</w:t>
            </w:r>
          </w:p>
        </w:tc>
        <w:tc>
          <w:tcPr>
            <w:tcW w:w="893"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不发生该类错误</w:t>
            </w:r>
          </w:p>
        </w:tc>
        <w:tc>
          <w:tcPr>
            <w:tcW w:w="805"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服务发放偏差数=每月服务发放偏差的工单数</w:t>
            </w:r>
          </w:p>
        </w:tc>
        <w:tc>
          <w:tcPr>
            <w:tcW w:w="1020"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中标方按审核通过情况如实发放服务，每发生一起工单发放偏差扣除0.3分，扣完为止。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1471" w:hRule="atLeast"/>
          <w:jc w:val="center"/>
        </w:trPr>
        <w:tc>
          <w:tcPr>
            <w:tcW w:w="463" w:type="pct"/>
            <w:vMerge w:val="continue"/>
            <w:shd w:val="clear" w:color="auto" w:fill="auto"/>
            <w:vAlign w:val="center"/>
          </w:tcPr>
          <w:p>
            <w:pPr>
              <w:jc w:val="center"/>
              <w:rPr>
                <w:rFonts w:hint="eastAsia" w:ascii="仿宋_GB2312" w:hAnsi="宋体" w:eastAsia="仿宋_GB2312" w:cs="仿宋_GB2312"/>
                <w:i w:val="0"/>
                <w:iCs w:val="0"/>
                <w:color w:val="auto"/>
                <w:sz w:val="18"/>
                <w:szCs w:val="18"/>
                <w:highlight w:val="none"/>
                <w:u w:val="none"/>
              </w:rPr>
            </w:pPr>
          </w:p>
        </w:tc>
        <w:tc>
          <w:tcPr>
            <w:tcW w:w="264" w:type="pct"/>
            <w:vMerge w:val="continue"/>
            <w:shd w:val="clear" w:color="auto" w:fill="auto"/>
            <w:vAlign w:val="center"/>
          </w:tcPr>
          <w:p>
            <w:pPr>
              <w:jc w:val="center"/>
              <w:rPr>
                <w:rFonts w:hint="eastAsia" w:ascii="仿宋_GB2312" w:hAnsi="宋体" w:eastAsia="仿宋_GB2312" w:cs="仿宋_GB2312"/>
                <w:i w:val="0"/>
                <w:iCs w:val="0"/>
                <w:color w:val="auto"/>
                <w:sz w:val="18"/>
                <w:szCs w:val="18"/>
                <w:highlight w:val="none"/>
                <w:u w:val="none"/>
              </w:rPr>
            </w:pPr>
          </w:p>
        </w:tc>
        <w:tc>
          <w:tcPr>
            <w:tcW w:w="418"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服务任务完成及时性（A3）</w:t>
            </w:r>
          </w:p>
        </w:tc>
        <w:tc>
          <w:tcPr>
            <w:tcW w:w="290"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5</w:t>
            </w:r>
          </w:p>
        </w:tc>
        <w:tc>
          <w:tcPr>
            <w:tcW w:w="842"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中标方对于各项服务任务按计划完成。</w:t>
            </w:r>
          </w:p>
        </w:tc>
        <w:tc>
          <w:tcPr>
            <w:tcW w:w="893"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按期完成各项服务任务</w:t>
            </w:r>
          </w:p>
        </w:tc>
        <w:tc>
          <w:tcPr>
            <w:tcW w:w="805"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服务任务完成延误数=每月未按计划完成的服务任务数量</w:t>
            </w:r>
          </w:p>
        </w:tc>
        <w:tc>
          <w:tcPr>
            <w:tcW w:w="1020"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每发生一起因中标方全部责任或者主要责任未能按计划完成服务任务扣1分，扣完为止。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1739" w:hRule="atLeast"/>
          <w:jc w:val="center"/>
        </w:trPr>
        <w:tc>
          <w:tcPr>
            <w:tcW w:w="463" w:type="pct"/>
            <w:vMerge w:val="continue"/>
            <w:shd w:val="clear" w:color="auto" w:fill="auto"/>
            <w:vAlign w:val="center"/>
          </w:tcPr>
          <w:p>
            <w:pPr>
              <w:jc w:val="center"/>
              <w:rPr>
                <w:rFonts w:hint="eastAsia" w:ascii="仿宋_GB2312" w:hAnsi="宋体" w:eastAsia="仿宋_GB2312" w:cs="仿宋_GB2312"/>
                <w:i w:val="0"/>
                <w:iCs w:val="0"/>
                <w:color w:val="auto"/>
                <w:sz w:val="18"/>
                <w:szCs w:val="18"/>
                <w:highlight w:val="none"/>
                <w:u w:val="none"/>
              </w:rPr>
            </w:pPr>
          </w:p>
        </w:tc>
        <w:tc>
          <w:tcPr>
            <w:tcW w:w="264" w:type="pct"/>
            <w:vMerge w:val="continue"/>
            <w:shd w:val="clear" w:color="auto" w:fill="auto"/>
            <w:vAlign w:val="center"/>
          </w:tcPr>
          <w:p>
            <w:pPr>
              <w:jc w:val="center"/>
              <w:rPr>
                <w:rFonts w:hint="eastAsia" w:ascii="仿宋_GB2312" w:hAnsi="宋体" w:eastAsia="仿宋_GB2312" w:cs="仿宋_GB2312"/>
                <w:i w:val="0"/>
                <w:iCs w:val="0"/>
                <w:color w:val="auto"/>
                <w:sz w:val="18"/>
                <w:szCs w:val="18"/>
                <w:highlight w:val="none"/>
                <w:u w:val="none"/>
              </w:rPr>
            </w:pPr>
          </w:p>
        </w:tc>
        <w:tc>
          <w:tcPr>
            <w:tcW w:w="418"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资源交付流程合规性（A4）</w:t>
            </w:r>
          </w:p>
        </w:tc>
        <w:tc>
          <w:tcPr>
            <w:tcW w:w="290"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5</w:t>
            </w:r>
          </w:p>
        </w:tc>
        <w:tc>
          <w:tcPr>
            <w:tcW w:w="842"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中标方按照市级政务云基础设施服务流程开展服务工作。</w:t>
            </w:r>
          </w:p>
        </w:tc>
        <w:tc>
          <w:tcPr>
            <w:tcW w:w="893"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不发生违反流程发放及整改未完毕情况</w:t>
            </w:r>
          </w:p>
        </w:tc>
        <w:tc>
          <w:tcPr>
            <w:tcW w:w="805"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资源交付流程不合规数=每月无工单交付政务云基础设施服务数</w:t>
            </w:r>
          </w:p>
        </w:tc>
        <w:tc>
          <w:tcPr>
            <w:tcW w:w="1020"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中标方无工单交付政务云基础设施服务，当月每发生一起或者未整改完毕的扣1分，扣完为止。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300" w:hRule="atLeast"/>
          <w:jc w:val="center"/>
        </w:trPr>
        <w:tc>
          <w:tcPr>
            <w:tcW w:w="463"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人员管理</w:t>
            </w:r>
            <w:r>
              <w:rPr>
                <w:rFonts w:hint="eastAsia" w:ascii="仿宋_GB2312" w:hAnsi="宋体" w:eastAsia="仿宋_GB2312" w:cs="仿宋_GB2312"/>
                <w:i w:val="0"/>
                <w:iCs w:val="0"/>
                <w:color w:val="auto"/>
                <w:kern w:val="0"/>
                <w:sz w:val="18"/>
                <w:szCs w:val="18"/>
                <w:highlight w:val="none"/>
                <w:u w:val="none"/>
                <w:lang w:val="en-US" w:eastAsia="zh-CN" w:bidi="ar"/>
              </w:rPr>
              <w:br w:type="textWrapping"/>
            </w:r>
            <w:r>
              <w:rPr>
                <w:rFonts w:hint="eastAsia" w:ascii="仿宋_GB2312" w:hAnsi="宋体" w:eastAsia="仿宋_GB2312" w:cs="仿宋_GB2312"/>
                <w:i w:val="0"/>
                <w:iCs w:val="0"/>
                <w:color w:val="auto"/>
                <w:kern w:val="0"/>
                <w:sz w:val="18"/>
                <w:szCs w:val="18"/>
                <w:highlight w:val="none"/>
                <w:u w:val="none"/>
                <w:lang w:val="en-US" w:eastAsia="zh-CN" w:bidi="ar"/>
              </w:rPr>
              <w:t>（B）</w:t>
            </w:r>
          </w:p>
        </w:tc>
        <w:tc>
          <w:tcPr>
            <w:tcW w:w="264"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10</w:t>
            </w:r>
          </w:p>
        </w:tc>
        <w:tc>
          <w:tcPr>
            <w:tcW w:w="418"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驻场人员出勤率（B1）</w:t>
            </w:r>
          </w:p>
        </w:tc>
        <w:tc>
          <w:tcPr>
            <w:tcW w:w="290"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10</w:t>
            </w:r>
          </w:p>
        </w:tc>
        <w:tc>
          <w:tcPr>
            <w:tcW w:w="842"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中标方对于政务云现场驻场运维服务按时出勤场景的请求在合同要求内予以完成的百分率。</w:t>
            </w:r>
          </w:p>
        </w:tc>
        <w:tc>
          <w:tcPr>
            <w:tcW w:w="893"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遵守中心单位考勤管理制度</w:t>
            </w:r>
          </w:p>
        </w:tc>
        <w:tc>
          <w:tcPr>
            <w:tcW w:w="805"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驻场人员出勤率=每月所有驻场人员实际出勤总工时/每月所有驻场人员应出勤总工时</w:t>
            </w:r>
          </w:p>
        </w:tc>
        <w:tc>
          <w:tcPr>
            <w:tcW w:w="1020"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依据实际出勤率进行考评，出勤率≥90%得满分，每降低1%，扣除权重的5%，扣完为止。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300" w:hRule="atLeast"/>
          <w:jc w:val="center"/>
        </w:trPr>
        <w:tc>
          <w:tcPr>
            <w:tcW w:w="463"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投诉管理</w:t>
            </w:r>
            <w:r>
              <w:rPr>
                <w:rFonts w:hint="eastAsia" w:ascii="仿宋_GB2312" w:hAnsi="宋体" w:eastAsia="仿宋_GB2312" w:cs="仿宋_GB2312"/>
                <w:i w:val="0"/>
                <w:iCs w:val="0"/>
                <w:color w:val="auto"/>
                <w:kern w:val="0"/>
                <w:sz w:val="18"/>
                <w:szCs w:val="18"/>
                <w:highlight w:val="none"/>
                <w:u w:val="none"/>
                <w:lang w:val="en-US" w:eastAsia="zh-CN" w:bidi="ar"/>
              </w:rPr>
              <w:br w:type="textWrapping"/>
            </w:r>
            <w:r>
              <w:rPr>
                <w:rFonts w:hint="eastAsia" w:ascii="仿宋_GB2312" w:hAnsi="宋体" w:eastAsia="仿宋_GB2312" w:cs="仿宋_GB2312"/>
                <w:i w:val="0"/>
                <w:iCs w:val="0"/>
                <w:color w:val="auto"/>
                <w:kern w:val="0"/>
                <w:sz w:val="18"/>
                <w:szCs w:val="18"/>
                <w:highlight w:val="none"/>
                <w:u w:val="none"/>
                <w:lang w:val="en-US" w:eastAsia="zh-CN" w:bidi="ar"/>
              </w:rPr>
              <w:t>(C)</w:t>
            </w:r>
          </w:p>
        </w:tc>
        <w:tc>
          <w:tcPr>
            <w:tcW w:w="264"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10</w:t>
            </w:r>
          </w:p>
        </w:tc>
        <w:tc>
          <w:tcPr>
            <w:tcW w:w="418"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有责投诉(C1)</w:t>
            </w:r>
          </w:p>
        </w:tc>
        <w:tc>
          <w:tcPr>
            <w:tcW w:w="290"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10</w:t>
            </w:r>
          </w:p>
        </w:tc>
        <w:tc>
          <w:tcPr>
            <w:tcW w:w="842"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中标方服务过程中使用单位来函投诉的数量（包括其他渠道有责投诉数量）。</w:t>
            </w:r>
          </w:p>
        </w:tc>
        <w:tc>
          <w:tcPr>
            <w:tcW w:w="893"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不发生该类事件</w:t>
            </w:r>
          </w:p>
        </w:tc>
        <w:tc>
          <w:tcPr>
            <w:tcW w:w="805"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有责投诉数=使用单位有责投诉数量</w:t>
            </w:r>
          </w:p>
        </w:tc>
        <w:tc>
          <w:tcPr>
            <w:tcW w:w="1020"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每发生一起有责投诉扣5分，扣完为止。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cantSplit/>
          <w:trHeight w:val="300" w:hRule="atLeast"/>
          <w:jc w:val="center"/>
        </w:trPr>
        <w:tc>
          <w:tcPr>
            <w:tcW w:w="463"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服务可用性</w:t>
            </w:r>
            <w:r>
              <w:rPr>
                <w:rFonts w:hint="eastAsia" w:ascii="仿宋_GB2312" w:hAnsi="宋体" w:eastAsia="仿宋_GB2312" w:cs="仿宋_GB2312"/>
                <w:i w:val="0"/>
                <w:iCs w:val="0"/>
                <w:color w:val="auto"/>
                <w:kern w:val="0"/>
                <w:sz w:val="18"/>
                <w:szCs w:val="18"/>
                <w:highlight w:val="none"/>
                <w:u w:val="none"/>
                <w:lang w:val="en-US" w:eastAsia="zh-CN" w:bidi="ar"/>
              </w:rPr>
              <w:br w:type="textWrapping"/>
            </w:r>
            <w:r>
              <w:rPr>
                <w:rFonts w:hint="eastAsia" w:ascii="仿宋_GB2312" w:hAnsi="宋体" w:eastAsia="仿宋_GB2312" w:cs="仿宋_GB2312"/>
                <w:i w:val="0"/>
                <w:iCs w:val="0"/>
                <w:color w:val="auto"/>
                <w:kern w:val="0"/>
                <w:sz w:val="18"/>
                <w:szCs w:val="18"/>
                <w:highlight w:val="none"/>
                <w:u w:val="none"/>
                <w:lang w:val="en-US" w:eastAsia="zh-CN" w:bidi="ar"/>
              </w:rPr>
              <w:t>（D）</w:t>
            </w:r>
          </w:p>
        </w:tc>
        <w:tc>
          <w:tcPr>
            <w:tcW w:w="264"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10</w:t>
            </w:r>
          </w:p>
        </w:tc>
        <w:tc>
          <w:tcPr>
            <w:tcW w:w="418"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服务可用性（D1）</w:t>
            </w:r>
          </w:p>
        </w:tc>
        <w:tc>
          <w:tcPr>
            <w:tcW w:w="290"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10</w:t>
            </w:r>
          </w:p>
        </w:tc>
        <w:tc>
          <w:tcPr>
            <w:tcW w:w="842"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服务可用性：中标方在规定条件下和规定时间内履行服务协议的百分率。</w:t>
            </w:r>
          </w:p>
        </w:tc>
        <w:tc>
          <w:tcPr>
            <w:tcW w:w="893"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服务可用性每月不低于99.99%</w:t>
            </w:r>
          </w:p>
        </w:tc>
        <w:tc>
          <w:tcPr>
            <w:tcW w:w="805"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服务可用性=【每月自然日总数×24×60×60秒-单个云服务失效时间之和(秒)】/ 每月自然日总数×24×60×60秒</w:t>
            </w:r>
          </w:p>
        </w:tc>
        <w:tc>
          <w:tcPr>
            <w:tcW w:w="1020"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中标方的单个云服务可用性指标未达到要求。若每月每降低0.01%，则扣除权重的1%，扣完为止。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300" w:hRule="atLeast"/>
          <w:jc w:val="center"/>
        </w:trPr>
        <w:tc>
          <w:tcPr>
            <w:tcW w:w="463" w:type="pct"/>
            <w:vMerge w:val="restar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故障管理</w:t>
            </w:r>
            <w:r>
              <w:rPr>
                <w:rFonts w:hint="eastAsia" w:ascii="仿宋_GB2312" w:hAnsi="宋体" w:eastAsia="仿宋_GB2312" w:cs="仿宋_GB2312"/>
                <w:i w:val="0"/>
                <w:iCs w:val="0"/>
                <w:color w:val="auto"/>
                <w:kern w:val="0"/>
                <w:sz w:val="18"/>
                <w:szCs w:val="18"/>
                <w:highlight w:val="none"/>
                <w:u w:val="none"/>
                <w:lang w:val="en-US" w:eastAsia="zh-CN" w:bidi="ar"/>
              </w:rPr>
              <w:br w:type="textWrapping"/>
            </w:r>
            <w:r>
              <w:rPr>
                <w:rFonts w:hint="eastAsia" w:ascii="仿宋_GB2312" w:hAnsi="宋体" w:eastAsia="仿宋_GB2312" w:cs="仿宋_GB2312"/>
                <w:i w:val="0"/>
                <w:iCs w:val="0"/>
                <w:color w:val="auto"/>
                <w:kern w:val="0"/>
                <w:sz w:val="18"/>
                <w:szCs w:val="18"/>
                <w:highlight w:val="none"/>
                <w:u w:val="none"/>
                <w:lang w:val="en-US" w:eastAsia="zh-CN" w:bidi="ar"/>
              </w:rPr>
              <w:t>（E）</w:t>
            </w:r>
          </w:p>
        </w:tc>
        <w:tc>
          <w:tcPr>
            <w:tcW w:w="264" w:type="pct"/>
            <w:vMerge w:val="restar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30</w:t>
            </w:r>
          </w:p>
        </w:tc>
        <w:tc>
          <w:tcPr>
            <w:tcW w:w="418"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故障发生数（E1）</w:t>
            </w:r>
          </w:p>
        </w:tc>
        <w:tc>
          <w:tcPr>
            <w:tcW w:w="290"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10</w:t>
            </w:r>
          </w:p>
        </w:tc>
        <w:tc>
          <w:tcPr>
            <w:tcW w:w="842"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由于云平台故障造成使用单位的业务系统出现功能不可用、应用或服务不可访问、业务系统失效或崩溃、性能严重下降等情况之一的；由于云平台故障造成使用单位的业务系统应用或服务部分功能不可用、业务系统时断时续、明显卡顿、性能明显下降等情况之一的。</w:t>
            </w:r>
          </w:p>
        </w:tc>
        <w:tc>
          <w:tcPr>
            <w:tcW w:w="893"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不发生该类事件</w:t>
            </w:r>
          </w:p>
        </w:tc>
        <w:tc>
          <w:tcPr>
            <w:tcW w:w="805" w:type="pct"/>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故障发生数=采购方指定的三方出具监管报告确认为故障数量</w:t>
            </w:r>
          </w:p>
        </w:tc>
        <w:tc>
          <w:tcPr>
            <w:tcW w:w="1020" w:type="pct"/>
            <w:shd w:val="clear" w:color="auto" w:fill="auto"/>
            <w:vAlign w:val="center"/>
          </w:tcPr>
          <w:p>
            <w:pPr>
              <w:keepNext w:val="0"/>
              <w:keepLines w:val="0"/>
              <w:widowControl/>
              <w:numPr>
                <w:ilvl w:val="0"/>
                <w:numId w:val="26"/>
              </w:numPr>
              <w:suppressLineNumbers w:val="0"/>
              <w:jc w:val="left"/>
              <w:textAlignment w:val="center"/>
              <w:rPr>
                <w:rFonts w:hint="eastAsia" w:ascii="仿宋_GB2312" w:hAnsi="宋体" w:eastAsia="仿宋_GB2312" w:cs="仿宋_GB2312"/>
                <w:i w:val="0"/>
                <w:iCs w:val="0"/>
                <w:color w:val="auto"/>
                <w:kern w:val="0"/>
                <w:sz w:val="18"/>
                <w:szCs w:val="18"/>
                <w:highlight w:val="none"/>
                <w:u w:val="none"/>
                <w:lang w:val="en-US" w:eastAsia="zh-CN" w:bidi="ar"/>
              </w:rPr>
            </w:pPr>
            <w:r>
              <w:rPr>
                <w:rFonts w:hint="eastAsia" w:ascii="仿宋_GB2312" w:hAnsi="宋体" w:eastAsia="仿宋_GB2312" w:cs="仿宋_GB2312"/>
                <w:i w:val="0"/>
                <w:iCs w:val="0"/>
                <w:color w:val="auto"/>
                <w:kern w:val="0"/>
                <w:sz w:val="18"/>
                <w:szCs w:val="18"/>
                <w:highlight w:val="none"/>
                <w:u w:val="none"/>
                <w:lang w:val="en-US" w:eastAsia="zh-CN" w:bidi="ar"/>
              </w:rPr>
              <w:t>中标方每发生一起六级故障扣1分；</w:t>
            </w:r>
            <w:r>
              <w:rPr>
                <w:rFonts w:hint="eastAsia" w:ascii="仿宋_GB2312" w:hAnsi="宋体" w:eastAsia="仿宋_GB2312" w:cs="仿宋_GB2312"/>
                <w:i w:val="0"/>
                <w:iCs w:val="0"/>
                <w:color w:val="auto"/>
                <w:kern w:val="0"/>
                <w:sz w:val="18"/>
                <w:szCs w:val="18"/>
                <w:highlight w:val="none"/>
                <w:u w:val="none"/>
                <w:lang w:val="en-US" w:eastAsia="zh-CN" w:bidi="ar"/>
              </w:rPr>
              <w:br w:type="textWrapping"/>
            </w:r>
            <w:r>
              <w:rPr>
                <w:rFonts w:hint="eastAsia" w:ascii="仿宋_GB2312" w:hAnsi="宋体" w:eastAsia="仿宋_GB2312" w:cs="仿宋_GB2312"/>
                <w:i w:val="0"/>
                <w:iCs w:val="0"/>
                <w:color w:val="auto"/>
                <w:kern w:val="0"/>
                <w:sz w:val="18"/>
                <w:szCs w:val="18"/>
                <w:highlight w:val="none"/>
                <w:u w:val="none"/>
                <w:lang w:val="en-US" w:eastAsia="zh-CN" w:bidi="ar"/>
              </w:rPr>
              <w:t>（2）中标方每发生一起五级故障扣2分；</w:t>
            </w:r>
            <w:r>
              <w:rPr>
                <w:rFonts w:hint="eastAsia" w:ascii="仿宋_GB2312" w:hAnsi="宋体" w:eastAsia="仿宋_GB2312" w:cs="仿宋_GB2312"/>
                <w:i w:val="0"/>
                <w:iCs w:val="0"/>
                <w:color w:val="auto"/>
                <w:kern w:val="0"/>
                <w:sz w:val="18"/>
                <w:szCs w:val="18"/>
                <w:highlight w:val="none"/>
                <w:u w:val="none"/>
                <w:lang w:val="en-US" w:eastAsia="zh-CN" w:bidi="ar"/>
              </w:rPr>
              <w:br w:type="textWrapping"/>
            </w:r>
            <w:r>
              <w:rPr>
                <w:rFonts w:hint="eastAsia" w:ascii="仿宋_GB2312" w:hAnsi="宋体" w:eastAsia="仿宋_GB2312" w:cs="仿宋_GB2312"/>
                <w:i w:val="0"/>
                <w:iCs w:val="0"/>
                <w:color w:val="auto"/>
                <w:kern w:val="0"/>
                <w:sz w:val="18"/>
                <w:szCs w:val="18"/>
                <w:highlight w:val="none"/>
                <w:u w:val="none"/>
                <w:lang w:val="en-US" w:eastAsia="zh-CN" w:bidi="ar"/>
              </w:rPr>
              <w:t>（3）中标方每发生一起四级故障扣3分；</w:t>
            </w:r>
            <w:r>
              <w:rPr>
                <w:rFonts w:hint="eastAsia" w:ascii="仿宋_GB2312" w:hAnsi="宋体" w:eastAsia="仿宋_GB2312" w:cs="仿宋_GB2312"/>
                <w:i w:val="0"/>
                <w:iCs w:val="0"/>
                <w:color w:val="auto"/>
                <w:kern w:val="0"/>
                <w:sz w:val="18"/>
                <w:szCs w:val="18"/>
                <w:highlight w:val="none"/>
                <w:u w:val="none"/>
                <w:lang w:val="en-US" w:eastAsia="zh-CN" w:bidi="ar"/>
              </w:rPr>
              <w:br w:type="textWrapping"/>
            </w:r>
            <w:r>
              <w:rPr>
                <w:rFonts w:hint="eastAsia" w:ascii="仿宋_GB2312" w:hAnsi="宋体" w:eastAsia="仿宋_GB2312" w:cs="仿宋_GB2312"/>
                <w:i w:val="0"/>
                <w:iCs w:val="0"/>
                <w:color w:val="auto"/>
                <w:kern w:val="0"/>
                <w:sz w:val="18"/>
                <w:szCs w:val="18"/>
                <w:highlight w:val="none"/>
                <w:u w:val="none"/>
                <w:lang w:val="en-US" w:eastAsia="zh-CN" w:bidi="ar"/>
              </w:rPr>
              <w:t>（4）中标方每发生一起三级故障扣4分；</w:t>
            </w:r>
            <w:r>
              <w:rPr>
                <w:rFonts w:hint="eastAsia" w:ascii="仿宋_GB2312" w:hAnsi="宋体" w:eastAsia="仿宋_GB2312" w:cs="仿宋_GB2312"/>
                <w:i w:val="0"/>
                <w:iCs w:val="0"/>
                <w:color w:val="auto"/>
                <w:kern w:val="0"/>
                <w:sz w:val="18"/>
                <w:szCs w:val="18"/>
                <w:highlight w:val="none"/>
                <w:u w:val="none"/>
                <w:lang w:val="en-US" w:eastAsia="zh-CN" w:bidi="ar"/>
              </w:rPr>
              <w:br w:type="textWrapping"/>
            </w:r>
            <w:r>
              <w:rPr>
                <w:rFonts w:hint="eastAsia" w:ascii="仿宋_GB2312" w:hAnsi="宋体" w:eastAsia="仿宋_GB2312" w:cs="仿宋_GB2312"/>
                <w:i w:val="0"/>
                <w:iCs w:val="0"/>
                <w:color w:val="auto"/>
                <w:kern w:val="0"/>
                <w:sz w:val="18"/>
                <w:szCs w:val="18"/>
                <w:highlight w:val="none"/>
                <w:u w:val="none"/>
                <w:lang w:val="en-US" w:eastAsia="zh-CN" w:bidi="ar"/>
              </w:rPr>
              <w:t>（5）中标方每发生一起二级故障扣5分；</w:t>
            </w:r>
            <w:r>
              <w:rPr>
                <w:rFonts w:hint="eastAsia" w:ascii="仿宋_GB2312" w:hAnsi="宋体" w:eastAsia="仿宋_GB2312" w:cs="仿宋_GB2312"/>
                <w:i w:val="0"/>
                <w:iCs w:val="0"/>
                <w:color w:val="auto"/>
                <w:kern w:val="0"/>
                <w:sz w:val="18"/>
                <w:szCs w:val="18"/>
                <w:highlight w:val="none"/>
                <w:u w:val="none"/>
                <w:lang w:val="en-US" w:eastAsia="zh-CN" w:bidi="ar"/>
              </w:rPr>
              <w:br w:type="textWrapping"/>
            </w:r>
            <w:r>
              <w:rPr>
                <w:rFonts w:hint="eastAsia" w:ascii="仿宋_GB2312" w:hAnsi="宋体" w:eastAsia="仿宋_GB2312" w:cs="仿宋_GB2312"/>
                <w:i w:val="0"/>
                <w:iCs w:val="0"/>
                <w:color w:val="auto"/>
                <w:kern w:val="0"/>
                <w:sz w:val="18"/>
                <w:szCs w:val="18"/>
                <w:highlight w:val="none"/>
                <w:u w:val="none"/>
                <w:lang w:val="en-US" w:eastAsia="zh-CN" w:bidi="ar"/>
              </w:rPr>
              <w:t>（6）中标方每发生一起一级故障扣6分。</w:t>
            </w:r>
          </w:p>
          <w:p>
            <w:pPr>
              <w:keepNext w:val="0"/>
              <w:keepLines w:val="0"/>
              <w:widowControl/>
              <w:numPr>
                <w:ilvl w:val="-1"/>
                <w:numId w:val="0"/>
              </w:numPr>
              <w:suppressLineNumbers w:val="0"/>
              <w:jc w:val="left"/>
              <w:textAlignment w:val="center"/>
              <w:rPr>
                <w:rFonts w:hint="default" w:ascii="仿宋_GB2312" w:hAnsi="宋体" w:eastAsia="仿宋_GB2312" w:cs="仿宋_GB2312"/>
                <w:i w:val="0"/>
                <w:iCs w:val="0"/>
                <w:color w:val="auto"/>
                <w:kern w:val="0"/>
                <w:sz w:val="18"/>
                <w:szCs w:val="18"/>
                <w:highlight w:val="none"/>
                <w:u w:val="none"/>
                <w:lang w:val="en-US" w:eastAsia="zh-CN" w:bidi="ar"/>
              </w:rPr>
            </w:pPr>
            <w:r>
              <w:rPr>
                <w:rFonts w:hint="eastAsia" w:ascii="仿宋_GB2312" w:hAnsi="宋体" w:eastAsia="仿宋_GB2312" w:cs="仿宋_GB2312"/>
                <w:i w:val="0"/>
                <w:iCs w:val="0"/>
                <w:color w:val="auto"/>
                <w:kern w:val="0"/>
                <w:sz w:val="18"/>
                <w:szCs w:val="18"/>
                <w:highlight w:val="none"/>
                <w:u w:val="none"/>
                <w:lang w:val="en-US" w:eastAsia="zh-CN" w:bidi="ar"/>
              </w:rPr>
              <w:t>本指标扣分上不封顶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300" w:hRule="atLeast"/>
          <w:jc w:val="center"/>
        </w:trPr>
        <w:tc>
          <w:tcPr>
            <w:tcW w:w="463" w:type="pct"/>
            <w:vMerge w:val="continue"/>
            <w:shd w:val="clear" w:color="auto" w:fill="auto"/>
            <w:vAlign w:val="center"/>
          </w:tcPr>
          <w:p>
            <w:pPr>
              <w:jc w:val="center"/>
              <w:rPr>
                <w:rFonts w:hint="eastAsia" w:ascii="仿宋_GB2312" w:hAnsi="宋体" w:eastAsia="仿宋_GB2312" w:cs="仿宋_GB2312"/>
                <w:i w:val="0"/>
                <w:iCs w:val="0"/>
                <w:color w:val="auto"/>
                <w:sz w:val="18"/>
                <w:szCs w:val="18"/>
                <w:highlight w:val="none"/>
                <w:u w:val="none"/>
              </w:rPr>
            </w:pPr>
          </w:p>
        </w:tc>
        <w:tc>
          <w:tcPr>
            <w:tcW w:w="264" w:type="pct"/>
            <w:vMerge w:val="continue"/>
            <w:shd w:val="clear" w:color="auto" w:fill="auto"/>
            <w:vAlign w:val="center"/>
          </w:tcPr>
          <w:p>
            <w:pPr>
              <w:jc w:val="center"/>
              <w:rPr>
                <w:rFonts w:hint="eastAsia" w:ascii="仿宋_GB2312" w:hAnsi="宋体" w:eastAsia="仿宋_GB2312" w:cs="仿宋_GB2312"/>
                <w:i w:val="0"/>
                <w:iCs w:val="0"/>
                <w:color w:val="auto"/>
                <w:sz w:val="18"/>
                <w:szCs w:val="18"/>
                <w:highlight w:val="none"/>
                <w:u w:val="none"/>
              </w:rPr>
            </w:pPr>
          </w:p>
        </w:tc>
        <w:tc>
          <w:tcPr>
            <w:tcW w:w="418"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故障及时恢复数（E2）</w:t>
            </w:r>
          </w:p>
        </w:tc>
        <w:tc>
          <w:tcPr>
            <w:tcW w:w="290"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10</w:t>
            </w:r>
          </w:p>
        </w:tc>
        <w:tc>
          <w:tcPr>
            <w:tcW w:w="842"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中标方对自身所提供云服务出现故障时，为使用单位及时恢复业务运行的数量。</w:t>
            </w:r>
          </w:p>
        </w:tc>
        <w:tc>
          <w:tcPr>
            <w:tcW w:w="893"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一级故障不超过30分钟</w:t>
            </w:r>
            <w:r>
              <w:rPr>
                <w:rFonts w:hint="eastAsia" w:ascii="仿宋_GB2312" w:hAnsi="宋体" w:eastAsia="仿宋_GB2312" w:cs="仿宋_GB2312"/>
                <w:i w:val="0"/>
                <w:iCs w:val="0"/>
                <w:color w:val="auto"/>
                <w:kern w:val="0"/>
                <w:sz w:val="18"/>
                <w:szCs w:val="18"/>
                <w:highlight w:val="none"/>
                <w:u w:val="none"/>
                <w:lang w:val="en-US" w:eastAsia="zh-CN" w:bidi="ar"/>
              </w:rPr>
              <w:br w:type="textWrapping"/>
            </w:r>
            <w:r>
              <w:rPr>
                <w:rFonts w:hint="eastAsia" w:ascii="仿宋_GB2312" w:hAnsi="宋体" w:eastAsia="仿宋_GB2312" w:cs="仿宋_GB2312"/>
                <w:i w:val="0"/>
                <w:iCs w:val="0"/>
                <w:color w:val="auto"/>
                <w:kern w:val="0"/>
                <w:sz w:val="18"/>
                <w:szCs w:val="18"/>
                <w:highlight w:val="none"/>
                <w:u w:val="none"/>
                <w:lang w:val="en-US" w:eastAsia="zh-CN" w:bidi="ar"/>
              </w:rPr>
              <w:t>二级故障不超过30分钟</w:t>
            </w:r>
            <w:r>
              <w:rPr>
                <w:rFonts w:hint="eastAsia" w:ascii="仿宋_GB2312" w:hAnsi="宋体" w:eastAsia="仿宋_GB2312" w:cs="仿宋_GB2312"/>
                <w:i w:val="0"/>
                <w:iCs w:val="0"/>
                <w:color w:val="auto"/>
                <w:kern w:val="0"/>
                <w:sz w:val="18"/>
                <w:szCs w:val="18"/>
                <w:highlight w:val="none"/>
                <w:u w:val="none"/>
                <w:lang w:val="en-US" w:eastAsia="zh-CN" w:bidi="ar"/>
              </w:rPr>
              <w:br w:type="textWrapping"/>
            </w:r>
            <w:r>
              <w:rPr>
                <w:rFonts w:hint="eastAsia" w:ascii="仿宋_GB2312" w:hAnsi="宋体" w:eastAsia="仿宋_GB2312" w:cs="仿宋_GB2312"/>
                <w:i w:val="0"/>
                <w:iCs w:val="0"/>
                <w:color w:val="auto"/>
                <w:kern w:val="0"/>
                <w:sz w:val="18"/>
                <w:szCs w:val="18"/>
                <w:highlight w:val="none"/>
                <w:u w:val="none"/>
                <w:lang w:val="en-US" w:eastAsia="zh-CN" w:bidi="ar"/>
              </w:rPr>
              <w:t>三级故障不超过60分钟</w:t>
            </w:r>
            <w:r>
              <w:rPr>
                <w:rFonts w:hint="eastAsia" w:ascii="仿宋_GB2312" w:hAnsi="宋体" w:eastAsia="仿宋_GB2312" w:cs="仿宋_GB2312"/>
                <w:i w:val="0"/>
                <w:iCs w:val="0"/>
                <w:color w:val="auto"/>
                <w:kern w:val="0"/>
                <w:sz w:val="18"/>
                <w:szCs w:val="18"/>
                <w:highlight w:val="none"/>
                <w:u w:val="none"/>
                <w:lang w:val="en-US" w:eastAsia="zh-CN" w:bidi="ar"/>
              </w:rPr>
              <w:br w:type="textWrapping"/>
            </w:r>
            <w:r>
              <w:rPr>
                <w:rFonts w:hint="eastAsia" w:ascii="仿宋_GB2312" w:hAnsi="宋体" w:eastAsia="仿宋_GB2312" w:cs="仿宋_GB2312"/>
                <w:i w:val="0"/>
                <w:iCs w:val="0"/>
                <w:color w:val="auto"/>
                <w:kern w:val="0"/>
                <w:sz w:val="18"/>
                <w:szCs w:val="18"/>
                <w:highlight w:val="none"/>
                <w:u w:val="none"/>
                <w:lang w:val="en-US" w:eastAsia="zh-CN" w:bidi="ar"/>
              </w:rPr>
              <w:t>四级故障不超过120分钟</w:t>
            </w:r>
            <w:r>
              <w:rPr>
                <w:rFonts w:hint="eastAsia" w:ascii="仿宋_GB2312" w:hAnsi="宋体" w:eastAsia="仿宋_GB2312" w:cs="仿宋_GB2312"/>
                <w:i w:val="0"/>
                <w:iCs w:val="0"/>
                <w:color w:val="auto"/>
                <w:kern w:val="0"/>
                <w:sz w:val="18"/>
                <w:szCs w:val="18"/>
                <w:highlight w:val="none"/>
                <w:u w:val="none"/>
                <w:lang w:val="en-US" w:eastAsia="zh-CN" w:bidi="ar"/>
              </w:rPr>
              <w:br w:type="textWrapping"/>
            </w:r>
            <w:r>
              <w:rPr>
                <w:rFonts w:hint="eastAsia" w:ascii="仿宋_GB2312" w:hAnsi="宋体" w:eastAsia="仿宋_GB2312" w:cs="仿宋_GB2312"/>
                <w:i w:val="0"/>
                <w:iCs w:val="0"/>
                <w:color w:val="auto"/>
                <w:kern w:val="0"/>
                <w:sz w:val="18"/>
                <w:szCs w:val="18"/>
                <w:highlight w:val="none"/>
                <w:u w:val="none"/>
                <w:lang w:val="en-US" w:eastAsia="zh-CN" w:bidi="ar"/>
              </w:rPr>
              <w:t>五级故障不超过240分钟</w:t>
            </w:r>
            <w:r>
              <w:rPr>
                <w:rFonts w:hint="eastAsia" w:ascii="仿宋_GB2312" w:hAnsi="宋体" w:eastAsia="仿宋_GB2312" w:cs="仿宋_GB2312"/>
                <w:i w:val="0"/>
                <w:iCs w:val="0"/>
                <w:color w:val="auto"/>
                <w:kern w:val="0"/>
                <w:sz w:val="18"/>
                <w:szCs w:val="18"/>
                <w:highlight w:val="none"/>
                <w:u w:val="none"/>
                <w:lang w:val="en-US" w:eastAsia="zh-CN" w:bidi="ar"/>
              </w:rPr>
              <w:br w:type="textWrapping"/>
            </w:r>
            <w:r>
              <w:rPr>
                <w:rFonts w:hint="eastAsia" w:ascii="仿宋_GB2312" w:hAnsi="宋体" w:eastAsia="仿宋_GB2312" w:cs="仿宋_GB2312"/>
                <w:i w:val="0"/>
                <w:iCs w:val="0"/>
                <w:color w:val="auto"/>
                <w:kern w:val="0"/>
                <w:sz w:val="18"/>
                <w:szCs w:val="18"/>
                <w:highlight w:val="none"/>
                <w:u w:val="none"/>
                <w:lang w:val="en-US" w:eastAsia="zh-CN" w:bidi="ar"/>
              </w:rPr>
              <w:t>六级故障不超过360分钟</w:t>
            </w:r>
          </w:p>
        </w:tc>
        <w:tc>
          <w:tcPr>
            <w:tcW w:w="805" w:type="pct"/>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（1）故障恢复时间=恢复运行时间-发生时间</w:t>
            </w:r>
            <w:r>
              <w:rPr>
                <w:rFonts w:hint="eastAsia" w:ascii="仿宋_GB2312" w:hAnsi="宋体" w:eastAsia="仿宋_GB2312" w:cs="仿宋_GB2312"/>
                <w:i w:val="0"/>
                <w:iCs w:val="0"/>
                <w:color w:val="auto"/>
                <w:kern w:val="0"/>
                <w:sz w:val="18"/>
                <w:szCs w:val="18"/>
                <w:highlight w:val="none"/>
                <w:u w:val="none"/>
                <w:lang w:val="en-US" w:eastAsia="zh-CN" w:bidi="ar"/>
              </w:rPr>
              <w:br w:type="textWrapping"/>
            </w:r>
            <w:r>
              <w:rPr>
                <w:rFonts w:hint="eastAsia" w:ascii="仿宋_GB2312" w:hAnsi="宋体" w:eastAsia="仿宋_GB2312" w:cs="仿宋_GB2312"/>
                <w:i w:val="0"/>
                <w:iCs w:val="0"/>
                <w:color w:val="auto"/>
                <w:kern w:val="0"/>
                <w:sz w:val="18"/>
                <w:szCs w:val="18"/>
                <w:highlight w:val="none"/>
                <w:u w:val="none"/>
                <w:lang w:val="en-US" w:eastAsia="zh-CN" w:bidi="ar"/>
              </w:rPr>
              <w:t>（2）故障及时恢复数=每月故障按时间要求及时恢复的数量</w:t>
            </w:r>
          </w:p>
        </w:tc>
        <w:tc>
          <w:tcPr>
            <w:tcW w:w="1020"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中标方的故障及时恢复指标未达到要求，每发生一起扣2分，本指标扣分上不封顶。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4054" w:hRule="atLeast"/>
          <w:jc w:val="center"/>
        </w:trPr>
        <w:tc>
          <w:tcPr>
            <w:tcW w:w="463" w:type="pct"/>
            <w:vMerge w:val="continue"/>
            <w:shd w:val="clear" w:color="auto" w:fill="auto"/>
            <w:vAlign w:val="center"/>
          </w:tcPr>
          <w:p>
            <w:pPr>
              <w:jc w:val="center"/>
              <w:rPr>
                <w:rFonts w:hint="eastAsia" w:ascii="仿宋_GB2312" w:hAnsi="宋体" w:eastAsia="仿宋_GB2312" w:cs="仿宋_GB2312"/>
                <w:i w:val="0"/>
                <w:iCs w:val="0"/>
                <w:color w:val="auto"/>
                <w:sz w:val="18"/>
                <w:szCs w:val="18"/>
                <w:highlight w:val="none"/>
                <w:u w:val="none"/>
              </w:rPr>
            </w:pPr>
          </w:p>
        </w:tc>
        <w:tc>
          <w:tcPr>
            <w:tcW w:w="264" w:type="pct"/>
            <w:vMerge w:val="continue"/>
            <w:shd w:val="clear" w:color="auto" w:fill="auto"/>
            <w:vAlign w:val="center"/>
          </w:tcPr>
          <w:p>
            <w:pPr>
              <w:jc w:val="center"/>
              <w:rPr>
                <w:rFonts w:hint="eastAsia" w:ascii="仿宋_GB2312" w:hAnsi="宋体" w:eastAsia="仿宋_GB2312" w:cs="仿宋_GB2312"/>
                <w:i w:val="0"/>
                <w:iCs w:val="0"/>
                <w:color w:val="auto"/>
                <w:sz w:val="18"/>
                <w:szCs w:val="18"/>
                <w:highlight w:val="none"/>
                <w:u w:val="none"/>
              </w:rPr>
            </w:pPr>
          </w:p>
        </w:tc>
        <w:tc>
          <w:tcPr>
            <w:tcW w:w="418"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故障及时上报数（E3）</w:t>
            </w:r>
          </w:p>
        </w:tc>
        <w:tc>
          <w:tcPr>
            <w:tcW w:w="290"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5</w:t>
            </w:r>
          </w:p>
        </w:tc>
        <w:tc>
          <w:tcPr>
            <w:tcW w:w="842"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中标方对自身所提供云服务出现故障时，向采购方及时上报故障发生的数量。</w:t>
            </w:r>
          </w:p>
        </w:tc>
        <w:tc>
          <w:tcPr>
            <w:tcW w:w="893"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一级故障不超过10分钟—电话上报</w:t>
            </w:r>
            <w:r>
              <w:rPr>
                <w:rFonts w:hint="eastAsia" w:ascii="仿宋_GB2312" w:hAnsi="宋体" w:eastAsia="仿宋_GB2312" w:cs="仿宋_GB2312"/>
                <w:i w:val="0"/>
                <w:iCs w:val="0"/>
                <w:color w:val="auto"/>
                <w:kern w:val="0"/>
                <w:sz w:val="18"/>
                <w:szCs w:val="18"/>
                <w:highlight w:val="none"/>
                <w:u w:val="none"/>
                <w:lang w:val="en-US" w:eastAsia="zh-CN" w:bidi="ar"/>
              </w:rPr>
              <w:br w:type="textWrapping"/>
            </w:r>
            <w:r>
              <w:rPr>
                <w:rFonts w:hint="eastAsia" w:ascii="仿宋_GB2312" w:hAnsi="宋体" w:eastAsia="仿宋_GB2312" w:cs="仿宋_GB2312"/>
                <w:i w:val="0"/>
                <w:iCs w:val="0"/>
                <w:color w:val="auto"/>
                <w:kern w:val="0"/>
                <w:sz w:val="18"/>
                <w:szCs w:val="18"/>
                <w:highlight w:val="none"/>
                <w:u w:val="none"/>
                <w:lang w:val="en-US" w:eastAsia="zh-CN" w:bidi="ar"/>
              </w:rPr>
              <w:t>二级故障不超过10分钟—电话上报</w:t>
            </w:r>
            <w:r>
              <w:rPr>
                <w:rFonts w:hint="eastAsia" w:ascii="仿宋_GB2312" w:hAnsi="宋体" w:eastAsia="仿宋_GB2312" w:cs="仿宋_GB2312"/>
                <w:i w:val="0"/>
                <w:iCs w:val="0"/>
                <w:color w:val="auto"/>
                <w:kern w:val="0"/>
                <w:sz w:val="18"/>
                <w:szCs w:val="18"/>
                <w:highlight w:val="none"/>
                <w:u w:val="none"/>
                <w:lang w:val="en-US" w:eastAsia="zh-CN" w:bidi="ar"/>
              </w:rPr>
              <w:br w:type="textWrapping"/>
            </w:r>
            <w:r>
              <w:rPr>
                <w:rFonts w:hint="eastAsia" w:ascii="仿宋_GB2312" w:hAnsi="宋体" w:eastAsia="仿宋_GB2312" w:cs="仿宋_GB2312"/>
                <w:i w:val="0"/>
                <w:iCs w:val="0"/>
                <w:color w:val="auto"/>
                <w:kern w:val="0"/>
                <w:sz w:val="18"/>
                <w:szCs w:val="18"/>
                <w:highlight w:val="none"/>
                <w:u w:val="none"/>
                <w:lang w:val="en-US" w:eastAsia="zh-CN" w:bidi="ar"/>
              </w:rPr>
              <w:t>三级故障不超过10分钟—电话上报</w:t>
            </w:r>
            <w:r>
              <w:rPr>
                <w:rFonts w:hint="eastAsia" w:ascii="仿宋_GB2312" w:hAnsi="宋体" w:eastAsia="仿宋_GB2312" w:cs="仿宋_GB2312"/>
                <w:i w:val="0"/>
                <w:iCs w:val="0"/>
                <w:color w:val="auto"/>
                <w:kern w:val="0"/>
                <w:sz w:val="18"/>
                <w:szCs w:val="18"/>
                <w:highlight w:val="none"/>
                <w:u w:val="none"/>
                <w:lang w:val="en-US" w:eastAsia="zh-CN" w:bidi="ar"/>
              </w:rPr>
              <w:br w:type="textWrapping"/>
            </w:r>
            <w:r>
              <w:rPr>
                <w:rFonts w:hint="eastAsia" w:ascii="仿宋_GB2312" w:hAnsi="宋体" w:eastAsia="仿宋_GB2312" w:cs="仿宋_GB2312"/>
                <w:i w:val="0"/>
                <w:iCs w:val="0"/>
                <w:color w:val="auto"/>
                <w:kern w:val="0"/>
                <w:sz w:val="18"/>
                <w:szCs w:val="18"/>
                <w:highlight w:val="none"/>
                <w:u w:val="none"/>
                <w:lang w:val="en-US" w:eastAsia="zh-CN" w:bidi="ar"/>
              </w:rPr>
              <w:t>四级故障不超过30分钟—微信上报</w:t>
            </w:r>
            <w:r>
              <w:rPr>
                <w:rFonts w:hint="eastAsia" w:ascii="仿宋_GB2312" w:hAnsi="宋体" w:eastAsia="仿宋_GB2312" w:cs="仿宋_GB2312"/>
                <w:i w:val="0"/>
                <w:iCs w:val="0"/>
                <w:color w:val="auto"/>
                <w:kern w:val="0"/>
                <w:sz w:val="18"/>
                <w:szCs w:val="18"/>
                <w:highlight w:val="none"/>
                <w:u w:val="none"/>
                <w:lang w:val="en-US" w:eastAsia="zh-CN" w:bidi="ar"/>
              </w:rPr>
              <w:br w:type="textWrapping"/>
            </w:r>
            <w:r>
              <w:rPr>
                <w:rFonts w:hint="eastAsia" w:ascii="仿宋_GB2312" w:hAnsi="宋体" w:eastAsia="仿宋_GB2312" w:cs="仿宋_GB2312"/>
                <w:i w:val="0"/>
                <w:iCs w:val="0"/>
                <w:color w:val="auto"/>
                <w:kern w:val="0"/>
                <w:sz w:val="18"/>
                <w:szCs w:val="18"/>
                <w:highlight w:val="none"/>
                <w:u w:val="none"/>
                <w:lang w:val="en-US" w:eastAsia="zh-CN" w:bidi="ar"/>
              </w:rPr>
              <w:t>五级故障不超过60分钟—微信上报</w:t>
            </w:r>
            <w:r>
              <w:rPr>
                <w:rFonts w:hint="eastAsia" w:ascii="仿宋_GB2312" w:hAnsi="宋体" w:eastAsia="仿宋_GB2312" w:cs="仿宋_GB2312"/>
                <w:i w:val="0"/>
                <w:iCs w:val="0"/>
                <w:color w:val="auto"/>
                <w:kern w:val="0"/>
                <w:sz w:val="18"/>
                <w:szCs w:val="18"/>
                <w:highlight w:val="none"/>
                <w:u w:val="none"/>
                <w:lang w:val="en-US" w:eastAsia="zh-CN" w:bidi="ar"/>
              </w:rPr>
              <w:br w:type="textWrapping"/>
            </w:r>
            <w:r>
              <w:rPr>
                <w:rFonts w:hint="eastAsia" w:ascii="仿宋_GB2312" w:hAnsi="宋体" w:eastAsia="仿宋_GB2312" w:cs="仿宋_GB2312"/>
                <w:i w:val="0"/>
                <w:iCs w:val="0"/>
                <w:color w:val="auto"/>
                <w:kern w:val="0"/>
                <w:sz w:val="18"/>
                <w:szCs w:val="18"/>
                <w:highlight w:val="none"/>
                <w:u w:val="none"/>
                <w:lang w:val="en-US" w:eastAsia="zh-CN" w:bidi="ar"/>
              </w:rPr>
              <w:t>六级故障不超过120分钟—微信上报</w:t>
            </w:r>
          </w:p>
        </w:tc>
        <w:tc>
          <w:tcPr>
            <w:tcW w:w="805" w:type="pct"/>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故障上报时间=上报时间-发生时间</w:t>
            </w:r>
          </w:p>
        </w:tc>
        <w:tc>
          <w:tcPr>
            <w:tcW w:w="1020"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中标方的故障及时上报，故障未及时上报，每发生一起扣1分，本指标扣分上不封顶。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300" w:hRule="atLeast"/>
          <w:jc w:val="center"/>
        </w:trPr>
        <w:tc>
          <w:tcPr>
            <w:tcW w:w="463" w:type="pct"/>
            <w:vMerge w:val="continue"/>
            <w:shd w:val="clear" w:color="auto" w:fill="auto"/>
            <w:vAlign w:val="center"/>
          </w:tcPr>
          <w:p>
            <w:pPr>
              <w:jc w:val="center"/>
              <w:rPr>
                <w:rFonts w:hint="eastAsia" w:ascii="仿宋_GB2312" w:hAnsi="宋体" w:eastAsia="仿宋_GB2312" w:cs="仿宋_GB2312"/>
                <w:i w:val="0"/>
                <w:iCs w:val="0"/>
                <w:color w:val="auto"/>
                <w:sz w:val="18"/>
                <w:szCs w:val="18"/>
                <w:highlight w:val="none"/>
                <w:u w:val="none"/>
              </w:rPr>
            </w:pPr>
          </w:p>
        </w:tc>
        <w:tc>
          <w:tcPr>
            <w:tcW w:w="264" w:type="pct"/>
            <w:vMerge w:val="continue"/>
            <w:shd w:val="clear" w:color="auto" w:fill="auto"/>
            <w:vAlign w:val="center"/>
          </w:tcPr>
          <w:p>
            <w:pPr>
              <w:jc w:val="center"/>
              <w:rPr>
                <w:rFonts w:hint="eastAsia" w:ascii="仿宋_GB2312" w:hAnsi="宋体" w:eastAsia="仿宋_GB2312" w:cs="仿宋_GB2312"/>
                <w:i w:val="0"/>
                <w:iCs w:val="0"/>
                <w:color w:val="auto"/>
                <w:sz w:val="18"/>
                <w:szCs w:val="18"/>
                <w:highlight w:val="none"/>
                <w:u w:val="none"/>
              </w:rPr>
            </w:pPr>
          </w:p>
        </w:tc>
        <w:tc>
          <w:tcPr>
            <w:tcW w:w="418"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故障上报准确数（E4）</w:t>
            </w:r>
          </w:p>
        </w:tc>
        <w:tc>
          <w:tcPr>
            <w:tcW w:w="290"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5</w:t>
            </w:r>
          </w:p>
        </w:tc>
        <w:tc>
          <w:tcPr>
            <w:tcW w:w="842"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中标方对自身所提供云服务出现故障时，向采购方准确上报故障实际情况的数量。</w:t>
            </w:r>
          </w:p>
        </w:tc>
        <w:tc>
          <w:tcPr>
            <w:tcW w:w="893"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不发生瞒报和错报事件</w:t>
            </w:r>
          </w:p>
        </w:tc>
        <w:tc>
          <w:tcPr>
            <w:tcW w:w="805"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故障上报准确数=故障正确上报数</w:t>
            </w:r>
          </w:p>
        </w:tc>
        <w:tc>
          <w:tcPr>
            <w:tcW w:w="1020" w:type="pct"/>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每发生一起错报、瞒报事件扣1分，本指标扣分上不封顶。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300" w:hRule="atLeast"/>
          <w:jc w:val="center"/>
        </w:trPr>
        <w:tc>
          <w:tcPr>
            <w:tcW w:w="463" w:type="pct"/>
            <w:vMerge w:val="restar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变更管理</w:t>
            </w:r>
            <w:r>
              <w:rPr>
                <w:rFonts w:hint="eastAsia" w:ascii="仿宋_GB2312" w:hAnsi="宋体" w:eastAsia="仿宋_GB2312" w:cs="仿宋_GB2312"/>
                <w:i w:val="0"/>
                <w:iCs w:val="0"/>
                <w:color w:val="auto"/>
                <w:kern w:val="0"/>
                <w:sz w:val="18"/>
                <w:szCs w:val="18"/>
                <w:highlight w:val="none"/>
                <w:u w:val="none"/>
                <w:lang w:val="en-US" w:eastAsia="zh-CN" w:bidi="ar"/>
              </w:rPr>
              <w:br w:type="textWrapping"/>
            </w:r>
            <w:r>
              <w:rPr>
                <w:rFonts w:hint="eastAsia" w:ascii="仿宋_GB2312" w:hAnsi="宋体" w:eastAsia="仿宋_GB2312" w:cs="仿宋_GB2312"/>
                <w:i w:val="0"/>
                <w:iCs w:val="0"/>
                <w:color w:val="auto"/>
                <w:kern w:val="0"/>
                <w:sz w:val="18"/>
                <w:szCs w:val="18"/>
                <w:highlight w:val="none"/>
                <w:u w:val="none"/>
                <w:lang w:val="en-US" w:eastAsia="zh-CN" w:bidi="ar"/>
              </w:rPr>
              <w:t>（F）</w:t>
            </w:r>
          </w:p>
        </w:tc>
        <w:tc>
          <w:tcPr>
            <w:tcW w:w="264" w:type="pct"/>
            <w:vMerge w:val="restar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10</w:t>
            </w:r>
          </w:p>
        </w:tc>
        <w:tc>
          <w:tcPr>
            <w:tcW w:w="418"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变更成功数（F1）</w:t>
            </w:r>
          </w:p>
        </w:tc>
        <w:tc>
          <w:tcPr>
            <w:tcW w:w="290"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5</w:t>
            </w:r>
          </w:p>
        </w:tc>
        <w:tc>
          <w:tcPr>
            <w:tcW w:w="842"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中标方对自身所提供云服务变更能力予以完成的数量。</w:t>
            </w:r>
          </w:p>
        </w:tc>
        <w:tc>
          <w:tcPr>
            <w:tcW w:w="893"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不发生该类事件</w:t>
            </w:r>
          </w:p>
        </w:tc>
        <w:tc>
          <w:tcPr>
            <w:tcW w:w="805"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变更成功数=每月中标方上报并经确认的变更成功数量</w:t>
            </w:r>
          </w:p>
        </w:tc>
        <w:tc>
          <w:tcPr>
            <w:tcW w:w="1020"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Style w:val="22"/>
                <w:rFonts w:hAnsi="宋体"/>
                <w:color w:val="auto"/>
                <w:sz w:val="18"/>
                <w:szCs w:val="18"/>
                <w:highlight w:val="none"/>
                <w:lang w:val="en-US" w:eastAsia="zh-CN" w:bidi="ar"/>
              </w:rPr>
              <w:t>中标方当月变更未能实际按方案完成，每发生1起扣1分，扣完为止。</w:t>
            </w:r>
            <w:r>
              <w:rPr>
                <w:rStyle w:val="22"/>
                <w:rFonts w:hAnsi="宋体"/>
                <w:color w:val="auto"/>
                <w:sz w:val="18"/>
                <w:szCs w:val="18"/>
                <w:highlight w:val="none"/>
                <w:lang w:val="en-US" w:eastAsia="zh-CN" w:bidi="ar"/>
              </w:rPr>
              <w:br w:type="textWrapping"/>
            </w:r>
            <w:r>
              <w:rPr>
                <w:rStyle w:val="23"/>
                <w:rFonts w:hAnsi="宋体"/>
                <w:color w:val="auto"/>
                <w:sz w:val="18"/>
                <w:szCs w:val="18"/>
                <w:highlight w:val="none"/>
                <w:lang w:val="en-US" w:eastAsia="zh-CN" w:bidi="ar"/>
              </w:rPr>
              <w:t>注：按原定回退方案执行并成功回退的不做扣分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300" w:hRule="atLeast"/>
          <w:jc w:val="center"/>
        </w:trPr>
        <w:tc>
          <w:tcPr>
            <w:tcW w:w="463" w:type="pct"/>
            <w:vMerge w:val="continue"/>
            <w:shd w:val="clear" w:color="auto" w:fill="auto"/>
            <w:vAlign w:val="center"/>
          </w:tcPr>
          <w:p>
            <w:pPr>
              <w:jc w:val="center"/>
              <w:rPr>
                <w:rFonts w:hint="eastAsia" w:ascii="仿宋_GB2312" w:hAnsi="宋体" w:eastAsia="仿宋_GB2312" w:cs="仿宋_GB2312"/>
                <w:i w:val="0"/>
                <w:iCs w:val="0"/>
                <w:color w:val="auto"/>
                <w:sz w:val="18"/>
                <w:szCs w:val="18"/>
                <w:highlight w:val="none"/>
                <w:u w:val="none"/>
              </w:rPr>
            </w:pPr>
          </w:p>
        </w:tc>
        <w:tc>
          <w:tcPr>
            <w:tcW w:w="264" w:type="pct"/>
            <w:vMerge w:val="continue"/>
            <w:shd w:val="clear" w:color="auto" w:fill="auto"/>
            <w:vAlign w:val="center"/>
          </w:tcPr>
          <w:p>
            <w:pPr>
              <w:jc w:val="center"/>
              <w:rPr>
                <w:rFonts w:hint="eastAsia" w:ascii="仿宋_GB2312" w:hAnsi="宋体" w:eastAsia="仿宋_GB2312" w:cs="仿宋_GB2312"/>
                <w:i w:val="0"/>
                <w:iCs w:val="0"/>
                <w:color w:val="auto"/>
                <w:sz w:val="18"/>
                <w:szCs w:val="18"/>
                <w:highlight w:val="none"/>
                <w:u w:val="none"/>
              </w:rPr>
            </w:pPr>
          </w:p>
        </w:tc>
        <w:tc>
          <w:tcPr>
            <w:tcW w:w="418"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变更及时上报数（F2）</w:t>
            </w:r>
          </w:p>
        </w:tc>
        <w:tc>
          <w:tcPr>
            <w:tcW w:w="290"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5</w:t>
            </w:r>
          </w:p>
        </w:tc>
        <w:tc>
          <w:tcPr>
            <w:tcW w:w="842"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中标方对自身所提供云服务执行变更前，及时书面上报政务云变更执行计划的数量。</w:t>
            </w:r>
          </w:p>
        </w:tc>
        <w:tc>
          <w:tcPr>
            <w:tcW w:w="893"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变更应全部及时上报</w:t>
            </w:r>
          </w:p>
        </w:tc>
        <w:tc>
          <w:tcPr>
            <w:tcW w:w="805" w:type="pct"/>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（1）变更通知上报时间=变更执行时间-提交时间</w:t>
            </w:r>
            <w:r>
              <w:rPr>
                <w:rFonts w:hint="eastAsia" w:ascii="仿宋_GB2312" w:hAnsi="宋体" w:eastAsia="仿宋_GB2312" w:cs="仿宋_GB2312"/>
                <w:i w:val="0"/>
                <w:iCs w:val="0"/>
                <w:color w:val="auto"/>
                <w:kern w:val="0"/>
                <w:sz w:val="18"/>
                <w:szCs w:val="18"/>
                <w:highlight w:val="none"/>
                <w:u w:val="none"/>
                <w:lang w:val="en-US" w:eastAsia="zh-CN" w:bidi="ar"/>
              </w:rPr>
              <w:br w:type="textWrapping"/>
            </w:r>
            <w:r>
              <w:rPr>
                <w:rFonts w:hint="eastAsia" w:ascii="仿宋_GB2312" w:hAnsi="宋体" w:eastAsia="仿宋_GB2312" w:cs="仿宋_GB2312"/>
                <w:i w:val="0"/>
                <w:iCs w:val="0"/>
                <w:color w:val="auto"/>
                <w:kern w:val="0"/>
                <w:sz w:val="18"/>
                <w:szCs w:val="18"/>
                <w:highlight w:val="none"/>
                <w:u w:val="none"/>
                <w:lang w:val="en-US" w:eastAsia="zh-CN" w:bidi="ar"/>
              </w:rPr>
              <w:t>（2）变更及时上报数=每月变更及时上报的数量</w:t>
            </w:r>
          </w:p>
        </w:tc>
        <w:tc>
          <w:tcPr>
            <w:tcW w:w="1020"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Style w:val="22"/>
                <w:rFonts w:hAnsi="宋体"/>
                <w:color w:val="auto"/>
                <w:sz w:val="18"/>
                <w:szCs w:val="18"/>
                <w:highlight w:val="none"/>
                <w:lang w:val="en-US" w:eastAsia="zh-CN" w:bidi="ar"/>
              </w:rPr>
              <w:t>中标方的变更方案未上报或者上报时间未达到要求，每发生一起扣1分，扣完为止。</w:t>
            </w:r>
            <w:r>
              <w:rPr>
                <w:rStyle w:val="22"/>
                <w:rFonts w:hAnsi="宋体"/>
                <w:color w:val="auto"/>
                <w:sz w:val="18"/>
                <w:szCs w:val="18"/>
                <w:highlight w:val="none"/>
                <w:lang w:val="en-US" w:eastAsia="zh-CN" w:bidi="ar"/>
              </w:rPr>
              <w:br w:type="textWrapping"/>
            </w:r>
            <w:r>
              <w:rPr>
                <w:rStyle w:val="23"/>
                <w:rFonts w:hAnsi="宋体"/>
                <w:color w:val="auto"/>
                <w:sz w:val="18"/>
                <w:szCs w:val="18"/>
                <w:highlight w:val="none"/>
                <w:lang w:val="en-US" w:eastAsia="zh-CN" w:bidi="ar"/>
              </w:rPr>
              <w:t>注：紧急变更方案上报提前时间不作考核。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300" w:hRule="atLeast"/>
          <w:jc w:val="center"/>
        </w:trPr>
        <w:tc>
          <w:tcPr>
            <w:tcW w:w="463"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制度执行有效性（G）</w:t>
            </w:r>
          </w:p>
        </w:tc>
        <w:tc>
          <w:tcPr>
            <w:tcW w:w="264"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5</w:t>
            </w:r>
          </w:p>
        </w:tc>
        <w:tc>
          <w:tcPr>
            <w:tcW w:w="418"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制度执行有效性</w:t>
            </w:r>
            <w:r>
              <w:rPr>
                <w:rFonts w:hint="eastAsia" w:ascii="仿宋_GB2312" w:hAnsi="宋体" w:eastAsia="仿宋_GB2312" w:cs="仿宋_GB2312"/>
                <w:i w:val="0"/>
                <w:iCs w:val="0"/>
                <w:color w:val="auto"/>
                <w:kern w:val="0"/>
                <w:sz w:val="18"/>
                <w:szCs w:val="18"/>
                <w:highlight w:val="none"/>
                <w:u w:val="none"/>
                <w:lang w:val="en-US" w:eastAsia="zh-CN" w:bidi="ar"/>
              </w:rPr>
              <w:br w:type="textWrapping"/>
            </w:r>
            <w:r>
              <w:rPr>
                <w:rFonts w:hint="eastAsia" w:ascii="仿宋_GB2312" w:hAnsi="宋体" w:eastAsia="仿宋_GB2312" w:cs="仿宋_GB2312"/>
                <w:i w:val="0"/>
                <w:iCs w:val="0"/>
                <w:color w:val="auto"/>
                <w:kern w:val="0"/>
                <w:sz w:val="18"/>
                <w:szCs w:val="18"/>
                <w:highlight w:val="none"/>
                <w:u w:val="none"/>
                <w:lang w:val="en-US" w:eastAsia="zh-CN" w:bidi="ar"/>
              </w:rPr>
              <w:t>（G1）</w:t>
            </w:r>
          </w:p>
        </w:tc>
        <w:tc>
          <w:tcPr>
            <w:tcW w:w="290"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5</w:t>
            </w:r>
          </w:p>
        </w:tc>
        <w:tc>
          <w:tcPr>
            <w:tcW w:w="842"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中标方应严格执行政务云相关管理制度。</w:t>
            </w:r>
          </w:p>
        </w:tc>
        <w:tc>
          <w:tcPr>
            <w:tcW w:w="893"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中标方不发生任何违反制度的事件</w:t>
            </w:r>
          </w:p>
        </w:tc>
        <w:tc>
          <w:tcPr>
            <w:tcW w:w="805"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违反制度次数=每月未有效执行制度的事件次数</w:t>
            </w:r>
          </w:p>
        </w:tc>
        <w:tc>
          <w:tcPr>
            <w:tcW w:w="1020"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在日常工作中或者其他第三方发现中标方未有效执行政务云管理制度的，每发现一起扣除1分，扣完为止。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cantSplit/>
          <w:trHeight w:val="300" w:hRule="atLeast"/>
          <w:jc w:val="center"/>
        </w:trPr>
        <w:tc>
          <w:tcPr>
            <w:tcW w:w="1147" w:type="pct"/>
            <w:gridSpan w:val="3"/>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auto"/>
                <w:sz w:val="18"/>
                <w:szCs w:val="18"/>
                <w:highlight w:val="none"/>
                <w:u w:val="none"/>
              </w:rPr>
            </w:pPr>
            <w:r>
              <w:rPr>
                <w:rFonts w:hint="eastAsia" w:ascii="仿宋_GB2312" w:hAnsi="宋体" w:eastAsia="仿宋_GB2312" w:cs="仿宋_GB2312"/>
                <w:b/>
                <w:bCs/>
                <w:i w:val="0"/>
                <w:iCs w:val="0"/>
                <w:color w:val="auto"/>
                <w:kern w:val="0"/>
                <w:sz w:val="18"/>
                <w:szCs w:val="18"/>
                <w:highlight w:val="none"/>
                <w:u w:val="none"/>
                <w:lang w:val="en-US" w:eastAsia="zh-CN" w:bidi="ar"/>
              </w:rPr>
              <w:t>合计</w:t>
            </w:r>
          </w:p>
        </w:tc>
        <w:tc>
          <w:tcPr>
            <w:tcW w:w="290"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auto"/>
                <w:sz w:val="18"/>
                <w:szCs w:val="18"/>
                <w:highlight w:val="none"/>
                <w:u w:val="none"/>
              </w:rPr>
            </w:pPr>
            <w:r>
              <w:rPr>
                <w:rFonts w:hint="eastAsia" w:ascii="仿宋_GB2312" w:hAnsi="宋体" w:eastAsia="仿宋_GB2312" w:cs="仿宋_GB2312"/>
                <w:b/>
                <w:bCs/>
                <w:i w:val="0"/>
                <w:iCs w:val="0"/>
                <w:color w:val="auto"/>
                <w:kern w:val="0"/>
                <w:sz w:val="18"/>
                <w:szCs w:val="18"/>
                <w:highlight w:val="none"/>
                <w:u w:val="none"/>
                <w:lang w:val="en-US" w:eastAsia="zh-CN" w:bidi="ar"/>
              </w:rPr>
              <w:t>100</w:t>
            </w:r>
          </w:p>
        </w:tc>
        <w:tc>
          <w:tcPr>
            <w:tcW w:w="842" w:type="pct"/>
            <w:shd w:val="clear" w:color="auto" w:fill="auto"/>
            <w:vAlign w:val="center"/>
          </w:tcPr>
          <w:p>
            <w:pPr>
              <w:rPr>
                <w:rFonts w:hint="eastAsia" w:ascii="仿宋_GB2312" w:hAnsi="宋体" w:eastAsia="仿宋_GB2312" w:cs="仿宋_GB2312"/>
                <w:b/>
                <w:bCs/>
                <w:i w:val="0"/>
                <w:iCs w:val="0"/>
                <w:color w:val="auto"/>
                <w:sz w:val="18"/>
                <w:szCs w:val="18"/>
                <w:highlight w:val="none"/>
                <w:u w:val="none"/>
              </w:rPr>
            </w:pPr>
          </w:p>
        </w:tc>
        <w:tc>
          <w:tcPr>
            <w:tcW w:w="893" w:type="pct"/>
            <w:shd w:val="clear" w:color="auto" w:fill="auto"/>
            <w:vAlign w:val="center"/>
          </w:tcPr>
          <w:p>
            <w:pPr>
              <w:rPr>
                <w:rFonts w:hint="eastAsia" w:ascii="仿宋_GB2312" w:hAnsi="宋体" w:eastAsia="仿宋_GB2312" w:cs="仿宋_GB2312"/>
                <w:b/>
                <w:bCs/>
                <w:i w:val="0"/>
                <w:iCs w:val="0"/>
                <w:color w:val="auto"/>
                <w:sz w:val="18"/>
                <w:szCs w:val="18"/>
                <w:highlight w:val="none"/>
                <w:u w:val="none"/>
              </w:rPr>
            </w:pPr>
          </w:p>
        </w:tc>
        <w:tc>
          <w:tcPr>
            <w:tcW w:w="805" w:type="pct"/>
            <w:shd w:val="clear" w:color="auto" w:fill="auto"/>
            <w:vAlign w:val="center"/>
          </w:tcPr>
          <w:p>
            <w:pPr>
              <w:rPr>
                <w:rFonts w:hint="eastAsia" w:ascii="仿宋_GB2312" w:hAnsi="宋体" w:eastAsia="仿宋_GB2312" w:cs="仿宋_GB2312"/>
                <w:b/>
                <w:bCs/>
                <w:i w:val="0"/>
                <w:iCs w:val="0"/>
                <w:color w:val="auto"/>
                <w:sz w:val="18"/>
                <w:szCs w:val="18"/>
                <w:highlight w:val="none"/>
                <w:u w:val="none"/>
              </w:rPr>
            </w:pPr>
          </w:p>
        </w:tc>
        <w:tc>
          <w:tcPr>
            <w:tcW w:w="1020" w:type="pct"/>
            <w:shd w:val="clear" w:color="auto" w:fill="auto"/>
            <w:vAlign w:val="center"/>
          </w:tcPr>
          <w:p>
            <w:pPr>
              <w:rPr>
                <w:rFonts w:hint="eastAsia" w:ascii="仿宋_GB2312" w:hAnsi="宋体" w:eastAsia="仿宋_GB2312" w:cs="仿宋_GB2312"/>
                <w:b/>
                <w:bCs/>
                <w:i w:val="0"/>
                <w:iCs w:val="0"/>
                <w:color w:val="auto"/>
                <w:sz w:val="18"/>
                <w:szCs w:val="18"/>
                <w:highlight w:val="none"/>
                <w:u w:val="none"/>
              </w:rPr>
            </w:pPr>
          </w:p>
        </w:tc>
      </w:tr>
    </w:tbl>
    <w:p>
      <w:pPr>
        <w:jc w:val="left"/>
        <w:rPr>
          <w:highlight w:val="none"/>
        </w:rPr>
        <w:sectPr>
          <w:footerReference r:id="rId3" w:type="default"/>
          <w:pgSz w:w="12240" w:h="15840"/>
          <w:pgMar w:top="1440" w:right="1800" w:bottom="1440" w:left="1800" w:header="720" w:footer="720" w:gutter="0"/>
          <w:cols w:space="720" w:num="1"/>
          <w:docGrid w:type="lines" w:linePitch="312" w:charSpace="0"/>
        </w:sectPr>
      </w:pPr>
    </w:p>
    <w:p>
      <w:pPr>
        <w:spacing w:line="600" w:lineRule="exact"/>
        <w:ind w:firstLine="562" w:firstLineChars="200"/>
        <w:rPr>
          <w:rFonts w:hint="default" w:ascii="仿宋_GB2312" w:hAnsi="仿宋_GB2312" w:eastAsia="仿宋_GB2312" w:cs="仿宋_GB2312"/>
          <w:b/>
          <w:bCs/>
          <w:sz w:val="28"/>
          <w:szCs w:val="28"/>
          <w:highlight w:val="none"/>
          <w:lang w:val="en-US" w:eastAsia="zh-CN"/>
        </w:rPr>
      </w:pPr>
      <w:r>
        <w:rPr>
          <w:rFonts w:hint="eastAsia" w:ascii="仿宋_GB2312" w:hAnsi="仿宋_GB2312" w:eastAsia="仿宋_GB2312" w:cs="仿宋_GB2312"/>
          <w:b/>
          <w:bCs/>
          <w:sz w:val="28"/>
          <w:szCs w:val="28"/>
          <w:highlight w:val="none"/>
          <w:lang w:val="en-US" w:eastAsia="zh-CN"/>
        </w:rPr>
        <w:t>故障定级说明如下</w:t>
      </w:r>
    </w:p>
    <w:p>
      <w:pPr>
        <w:spacing w:line="600" w:lineRule="exact"/>
        <w:ind w:firstLine="560" w:firstLineChars="200"/>
        <w:rPr>
          <w:sz w:val="28"/>
          <w:szCs w:val="28"/>
          <w:highlight w:val="none"/>
        </w:rPr>
      </w:pPr>
      <w:r>
        <w:rPr>
          <w:rFonts w:ascii="仿宋_GB2312" w:hAnsi="仿宋_GB2312" w:eastAsia="仿宋_GB2312" w:cs="仿宋_GB2312"/>
          <w:sz w:val="28"/>
          <w:szCs w:val="28"/>
          <w:highlight w:val="none"/>
        </w:rPr>
        <w:t>各类故障按影响</w:t>
      </w:r>
      <w:r>
        <w:rPr>
          <w:rFonts w:hint="eastAsia" w:ascii="仿宋_GB2312" w:hAnsi="仿宋_GB2312" w:eastAsia="仿宋_GB2312" w:cs="仿宋_GB2312"/>
          <w:sz w:val="28"/>
          <w:szCs w:val="28"/>
          <w:highlight w:val="none"/>
        </w:rPr>
        <w:t>系统数量</w:t>
      </w:r>
      <w:r>
        <w:rPr>
          <w:rFonts w:ascii="仿宋_GB2312" w:hAnsi="仿宋_GB2312" w:eastAsia="仿宋_GB2312" w:cs="仿宋_GB2312"/>
          <w:sz w:val="28"/>
          <w:szCs w:val="28"/>
          <w:highlight w:val="none"/>
        </w:rPr>
        <w:t>、系统重要性、</w:t>
      </w:r>
      <w:r>
        <w:rPr>
          <w:rFonts w:hint="eastAsia" w:ascii="仿宋_GB2312" w:hAnsi="仿宋_GB2312" w:eastAsia="仿宋_GB2312" w:cs="仿宋_GB2312"/>
          <w:sz w:val="28"/>
          <w:szCs w:val="28"/>
          <w:highlight w:val="none"/>
        </w:rPr>
        <w:t>影响程度和</w:t>
      </w:r>
      <w:r>
        <w:rPr>
          <w:rFonts w:ascii="仿宋_GB2312" w:hAnsi="仿宋_GB2312" w:eastAsia="仿宋_GB2312" w:cs="仿宋_GB2312"/>
          <w:sz w:val="28"/>
          <w:szCs w:val="28"/>
          <w:highlight w:val="none"/>
        </w:rPr>
        <w:t>故障时长分</w:t>
      </w:r>
      <w:r>
        <w:rPr>
          <w:rFonts w:hint="eastAsia" w:ascii="仿宋_GB2312" w:hAnsi="仿宋_GB2312" w:eastAsia="仿宋_GB2312" w:cs="仿宋_GB2312"/>
          <w:sz w:val="28"/>
          <w:szCs w:val="28"/>
          <w:highlight w:val="none"/>
          <w:lang w:eastAsia="zh-Hans"/>
        </w:rPr>
        <w:t>为一至六级</w:t>
      </w:r>
      <w:r>
        <w:rPr>
          <w:rFonts w:ascii="仿宋_GB2312" w:hAnsi="仿宋_GB2312" w:eastAsia="仿宋_GB2312" w:cs="仿宋_GB2312"/>
          <w:sz w:val="28"/>
          <w:szCs w:val="28"/>
          <w:highlight w:val="none"/>
        </w:rPr>
        <w:t>六个故障等级</w:t>
      </w:r>
      <w:r>
        <w:rPr>
          <w:rFonts w:hint="eastAsia" w:ascii="仿宋_GB2312" w:hAnsi="仿宋_GB2312" w:eastAsia="仿宋_GB2312" w:cs="仿宋_GB2312"/>
          <w:sz w:val="28"/>
          <w:szCs w:val="28"/>
          <w:highlight w:val="none"/>
        </w:rPr>
        <w:t>，其中一级严重程度最高，六级严重程度最低，</w:t>
      </w:r>
      <w:r>
        <w:rPr>
          <w:rFonts w:ascii="仿宋_GB2312" w:hAnsi="仿宋_GB2312" w:eastAsia="仿宋_GB2312" w:cs="仿宋_GB2312"/>
          <w:sz w:val="28"/>
          <w:szCs w:val="28"/>
          <w:highlight w:val="none"/>
        </w:rPr>
        <w:t>各级别详细定义描述如下：</w:t>
      </w:r>
    </w:p>
    <w:tbl>
      <w:tblPr>
        <w:tblStyle w:val="12"/>
        <w:tblW w:w="5000" w:type="pct"/>
        <w:tblInd w:w="0" w:type="dxa"/>
        <w:tblLayout w:type="fixed"/>
        <w:tblCellMar>
          <w:top w:w="0" w:type="dxa"/>
          <w:left w:w="108" w:type="dxa"/>
          <w:bottom w:w="0" w:type="dxa"/>
          <w:right w:w="108" w:type="dxa"/>
        </w:tblCellMar>
      </w:tblPr>
      <w:tblGrid>
        <w:gridCol w:w="553"/>
        <w:gridCol w:w="737"/>
        <w:gridCol w:w="3241"/>
        <w:gridCol w:w="1031"/>
        <w:gridCol w:w="1619"/>
        <w:gridCol w:w="1674"/>
      </w:tblGrid>
      <w:tr>
        <w:tblPrEx>
          <w:tblCellMar>
            <w:top w:w="0" w:type="dxa"/>
            <w:left w:w="108" w:type="dxa"/>
            <w:bottom w:w="0" w:type="dxa"/>
            <w:right w:w="108" w:type="dxa"/>
          </w:tblCellMar>
        </w:tblPrEx>
        <w:trPr>
          <w:tblHeader/>
        </w:trPr>
        <w:tc>
          <w:tcPr>
            <w:tcW w:w="313" w:type="pct"/>
            <w:tcBorders>
              <w:top w:val="single" w:color="auto" w:sz="4" w:space="0"/>
              <w:left w:val="single" w:color="auto" w:sz="4" w:space="0"/>
              <w:bottom w:val="single" w:color="auto" w:sz="4" w:space="0"/>
              <w:right w:val="single" w:color="auto" w:sz="4" w:space="0"/>
            </w:tcBorders>
            <w:vAlign w:val="center"/>
          </w:tcPr>
          <w:p>
            <w:pPr>
              <w:jc w:val="center"/>
              <w:rPr>
                <w:rFonts w:ascii="仿宋_GB2312" w:hAnsi="等线" w:eastAsia="仿宋_GB2312" w:cs="宋体"/>
                <w:b/>
                <w:bCs/>
                <w:szCs w:val="21"/>
                <w:highlight w:val="none"/>
              </w:rPr>
            </w:pPr>
            <w:r>
              <w:rPr>
                <w:rFonts w:hint="eastAsia" w:ascii="仿宋_GB2312" w:hAnsi="等线" w:eastAsia="仿宋_GB2312" w:cs="宋体"/>
                <w:b/>
                <w:bCs/>
                <w:szCs w:val="21"/>
                <w:highlight w:val="none"/>
              </w:rPr>
              <w:t>序号</w:t>
            </w:r>
          </w:p>
        </w:tc>
        <w:tc>
          <w:tcPr>
            <w:tcW w:w="416" w:type="pct"/>
            <w:tcBorders>
              <w:top w:val="single" w:color="auto" w:sz="4" w:space="0"/>
              <w:left w:val="nil"/>
              <w:bottom w:val="single" w:color="auto" w:sz="4" w:space="0"/>
              <w:right w:val="single" w:color="auto" w:sz="4" w:space="0"/>
            </w:tcBorders>
            <w:vAlign w:val="center"/>
          </w:tcPr>
          <w:p>
            <w:pPr>
              <w:jc w:val="center"/>
              <w:rPr>
                <w:rFonts w:ascii="仿宋_GB2312" w:hAnsi="等线" w:eastAsia="仿宋_GB2312" w:cs="宋体"/>
                <w:b/>
                <w:bCs/>
                <w:szCs w:val="21"/>
                <w:highlight w:val="none"/>
              </w:rPr>
            </w:pPr>
            <w:r>
              <w:rPr>
                <w:rFonts w:hint="eastAsia" w:ascii="仿宋_GB2312" w:hAnsi="等线" w:eastAsia="仿宋_GB2312" w:cs="宋体"/>
                <w:b/>
                <w:bCs/>
                <w:szCs w:val="21"/>
                <w:highlight w:val="none"/>
              </w:rPr>
              <w:t>故障定级</w:t>
            </w:r>
          </w:p>
        </w:tc>
        <w:tc>
          <w:tcPr>
            <w:tcW w:w="1830" w:type="pct"/>
            <w:tcBorders>
              <w:top w:val="single" w:color="auto" w:sz="4" w:space="0"/>
              <w:left w:val="nil"/>
              <w:bottom w:val="single" w:color="auto" w:sz="4" w:space="0"/>
              <w:right w:val="single" w:color="auto" w:sz="4" w:space="0"/>
            </w:tcBorders>
            <w:vAlign w:val="center"/>
          </w:tcPr>
          <w:p>
            <w:pPr>
              <w:jc w:val="center"/>
              <w:rPr>
                <w:rFonts w:ascii="仿宋_GB2312" w:hAnsi="等线" w:eastAsia="仿宋_GB2312" w:cs="宋体"/>
                <w:b/>
                <w:bCs/>
                <w:szCs w:val="21"/>
                <w:highlight w:val="none"/>
              </w:rPr>
            </w:pPr>
            <w:r>
              <w:rPr>
                <w:rFonts w:hint="eastAsia" w:ascii="仿宋_GB2312" w:hAnsi="等线" w:eastAsia="仿宋_GB2312" w:cs="宋体"/>
                <w:b/>
                <w:bCs/>
                <w:szCs w:val="21"/>
                <w:highlight w:val="none"/>
              </w:rPr>
              <w:t>影响系统数量</w:t>
            </w:r>
          </w:p>
        </w:tc>
        <w:tc>
          <w:tcPr>
            <w:tcW w:w="582" w:type="pct"/>
            <w:tcBorders>
              <w:top w:val="single" w:color="auto" w:sz="4" w:space="0"/>
              <w:left w:val="nil"/>
              <w:bottom w:val="single" w:color="auto" w:sz="4" w:space="0"/>
              <w:right w:val="single" w:color="auto" w:sz="4" w:space="0"/>
            </w:tcBorders>
            <w:vAlign w:val="center"/>
          </w:tcPr>
          <w:p>
            <w:pPr>
              <w:jc w:val="center"/>
              <w:rPr>
                <w:rFonts w:ascii="仿宋_GB2312" w:hAnsi="等线" w:eastAsia="仿宋_GB2312" w:cs="宋体"/>
                <w:b/>
                <w:bCs/>
                <w:szCs w:val="21"/>
                <w:highlight w:val="none"/>
              </w:rPr>
            </w:pPr>
            <w:r>
              <w:rPr>
                <w:rFonts w:hint="eastAsia" w:ascii="仿宋_GB2312" w:hAnsi="等线" w:eastAsia="仿宋_GB2312" w:cs="宋体"/>
                <w:b/>
                <w:bCs/>
                <w:szCs w:val="21"/>
                <w:highlight w:val="none"/>
              </w:rPr>
              <w:t>系统重要性</w:t>
            </w:r>
          </w:p>
        </w:tc>
        <w:tc>
          <w:tcPr>
            <w:tcW w:w="914" w:type="pct"/>
            <w:tcBorders>
              <w:top w:val="single" w:color="auto" w:sz="4" w:space="0"/>
              <w:left w:val="nil"/>
              <w:bottom w:val="single" w:color="auto" w:sz="4" w:space="0"/>
              <w:right w:val="single" w:color="auto" w:sz="4" w:space="0"/>
            </w:tcBorders>
            <w:vAlign w:val="center"/>
          </w:tcPr>
          <w:p>
            <w:pPr>
              <w:jc w:val="center"/>
              <w:rPr>
                <w:rFonts w:ascii="仿宋_GB2312" w:hAnsi="等线" w:eastAsia="仿宋_GB2312" w:cs="宋体"/>
                <w:b/>
                <w:bCs/>
                <w:szCs w:val="21"/>
                <w:highlight w:val="none"/>
              </w:rPr>
            </w:pPr>
            <w:r>
              <w:rPr>
                <w:rFonts w:hint="eastAsia" w:ascii="仿宋_GB2312" w:hAnsi="等线" w:eastAsia="仿宋_GB2312" w:cs="宋体"/>
                <w:b/>
                <w:bCs/>
                <w:szCs w:val="21"/>
                <w:highlight w:val="none"/>
              </w:rPr>
              <w:t>影响程度</w:t>
            </w:r>
          </w:p>
        </w:tc>
        <w:tc>
          <w:tcPr>
            <w:tcW w:w="945" w:type="pct"/>
            <w:tcBorders>
              <w:top w:val="single" w:color="auto" w:sz="4" w:space="0"/>
              <w:left w:val="nil"/>
              <w:bottom w:val="single" w:color="auto" w:sz="4" w:space="0"/>
              <w:right w:val="single" w:color="auto" w:sz="4" w:space="0"/>
            </w:tcBorders>
            <w:vAlign w:val="center"/>
          </w:tcPr>
          <w:p>
            <w:pPr>
              <w:jc w:val="center"/>
              <w:rPr>
                <w:rFonts w:ascii="仿宋_GB2312" w:hAnsi="等线" w:eastAsia="仿宋_GB2312" w:cs="宋体"/>
                <w:b/>
                <w:bCs/>
                <w:szCs w:val="21"/>
                <w:highlight w:val="none"/>
              </w:rPr>
            </w:pPr>
            <w:r>
              <w:rPr>
                <w:rFonts w:hint="eastAsia" w:ascii="仿宋_GB2312" w:hAnsi="等线" w:eastAsia="仿宋_GB2312" w:cs="宋体"/>
                <w:b/>
                <w:bCs/>
                <w:szCs w:val="21"/>
                <w:highlight w:val="none"/>
              </w:rPr>
              <w:t>故障时长</w:t>
            </w:r>
          </w:p>
        </w:tc>
      </w:tr>
      <w:tr>
        <w:tblPrEx>
          <w:tblCellMar>
            <w:top w:w="0" w:type="dxa"/>
            <w:left w:w="108" w:type="dxa"/>
            <w:bottom w:w="0" w:type="dxa"/>
            <w:right w:w="108" w:type="dxa"/>
          </w:tblCellMar>
        </w:tblPrEx>
        <w:tc>
          <w:tcPr>
            <w:tcW w:w="313" w:type="pct"/>
            <w:tcBorders>
              <w:top w:val="nil"/>
              <w:left w:val="single" w:color="auto" w:sz="4" w:space="0"/>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1</w:t>
            </w:r>
          </w:p>
        </w:tc>
        <w:tc>
          <w:tcPr>
            <w:tcW w:w="416"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一级</w:t>
            </w:r>
          </w:p>
        </w:tc>
        <w:tc>
          <w:tcPr>
            <w:tcW w:w="1830" w:type="pct"/>
            <w:tcBorders>
              <w:top w:val="nil"/>
              <w:left w:val="nil"/>
              <w:bottom w:val="single" w:color="auto" w:sz="4" w:space="0"/>
              <w:right w:val="single" w:color="auto" w:sz="4" w:space="0"/>
            </w:tcBorders>
            <w:vAlign w:val="center"/>
          </w:tcPr>
          <w:p>
            <w:pPr>
              <w:rPr>
                <w:rFonts w:ascii="仿宋_GB2312" w:hAnsi="等线" w:eastAsia="仿宋_GB2312" w:cs="宋体"/>
                <w:szCs w:val="21"/>
                <w:highlight w:val="none"/>
              </w:rPr>
            </w:pPr>
            <w:r>
              <w:rPr>
                <w:rFonts w:hint="eastAsia" w:ascii="仿宋_GB2312" w:hAnsi="等线" w:eastAsia="仿宋_GB2312" w:cs="宋体"/>
                <w:szCs w:val="21"/>
                <w:highlight w:val="none"/>
              </w:rPr>
              <w:t>所有系统</w:t>
            </w:r>
          </w:p>
        </w:tc>
        <w:tc>
          <w:tcPr>
            <w:tcW w:w="582"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w:t>
            </w:r>
          </w:p>
        </w:tc>
        <w:tc>
          <w:tcPr>
            <w:tcW w:w="914"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无法使用</w:t>
            </w:r>
          </w:p>
        </w:tc>
        <w:tc>
          <w:tcPr>
            <w:tcW w:w="945"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w:t>
            </w:r>
          </w:p>
        </w:tc>
      </w:tr>
      <w:tr>
        <w:tblPrEx>
          <w:tblCellMar>
            <w:top w:w="0" w:type="dxa"/>
            <w:left w:w="108" w:type="dxa"/>
            <w:bottom w:w="0" w:type="dxa"/>
            <w:right w:w="108" w:type="dxa"/>
          </w:tblCellMar>
        </w:tblPrEx>
        <w:tc>
          <w:tcPr>
            <w:tcW w:w="313" w:type="pct"/>
            <w:tcBorders>
              <w:top w:val="nil"/>
              <w:left w:val="single" w:color="auto" w:sz="4" w:space="0"/>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2</w:t>
            </w:r>
          </w:p>
        </w:tc>
        <w:tc>
          <w:tcPr>
            <w:tcW w:w="416"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一级</w:t>
            </w:r>
          </w:p>
        </w:tc>
        <w:tc>
          <w:tcPr>
            <w:tcW w:w="1830" w:type="pct"/>
            <w:tcBorders>
              <w:top w:val="nil"/>
              <w:left w:val="nil"/>
              <w:bottom w:val="single" w:color="auto" w:sz="4" w:space="0"/>
              <w:right w:val="single" w:color="auto" w:sz="4" w:space="0"/>
            </w:tcBorders>
            <w:vAlign w:val="center"/>
          </w:tcPr>
          <w:p>
            <w:pPr>
              <w:rPr>
                <w:rFonts w:ascii="仿宋_GB2312" w:hAnsi="等线" w:eastAsia="仿宋_GB2312" w:cs="宋体"/>
                <w:szCs w:val="21"/>
                <w:highlight w:val="none"/>
              </w:rPr>
            </w:pPr>
            <w:r>
              <w:rPr>
                <w:rFonts w:hint="eastAsia" w:ascii="仿宋_GB2312" w:hAnsi="等线" w:eastAsia="仿宋_GB2312" w:cs="宋体"/>
                <w:szCs w:val="21"/>
                <w:highlight w:val="none"/>
              </w:rPr>
              <w:t>占云上系统总数25%及以上且数量超过50个</w:t>
            </w:r>
          </w:p>
        </w:tc>
        <w:tc>
          <w:tcPr>
            <w:tcW w:w="582"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w:t>
            </w:r>
          </w:p>
        </w:tc>
        <w:tc>
          <w:tcPr>
            <w:tcW w:w="914"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无法使用</w:t>
            </w:r>
          </w:p>
        </w:tc>
        <w:tc>
          <w:tcPr>
            <w:tcW w:w="945"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超过30分钟</w:t>
            </w:r>
          </w:p>
        </w:tc>
      </w:tr>
      <w:tr>
        <w:tblPrEx>
          <w:tblCellMar>
            <w:top w:w="0" w:type="dxa"/>
            <w:left w:w="108" w:type="dxa"/>
            <w:bottom w:w="0" w:type="dxa"/>
            <w:right w:w="108" w:type="dxa"/>
          </w:tblCellMar>
        </w:tblPrEx>
        <w:tc>
          <w:tcPr>
            <w:tcW w:w="313" w:type="pct"/>
            <w:tcBorders>
              <w:top w:val="nil"/>
              <w:left w:val="single" w:color="auto" w:sz="4" w:space="0"/>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3</w:t>
            </w:r>
          </w:p>
        </w:tc>
        <w:tc>
          <w:tcPr>
            <w:tcW w:w="416"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一级</w:t>
            </w:r>
          </w:p>
        </w:tc>
        <w:tc>
          <w:tcPr>
            <w:tcW w:w="1830"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w:t>
            </w:r>
          </w:p>
        </w:tc>
        <w:tc>
          <w:tcPr>
            <w:tcW w:w="582"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A类系统</w:t>
            </w:r>
          </w:p>
        </w:tc>
        <w:tc>
          <w:tcPr>
            <w:tcW w:w="914"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无法使用</w:t>
            </w:r>
          </w:p>
        </w:tc>
        <w:tc>
          <w:tcPr>
            <w:tcW w:w="945"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超过30分钟</w:t>
            </w:r>
          </w:p>
        </w:tc>
      </w:tr>
      <w:tr>
        <w:tblPrEx>
          <w:tblCellMar>
            <w:top w:w="0" w:type="dxa"/>
            <w:left w:w="108" w:type="dxa"/>
            <w:bottom w:w="0" w:type="dxa"/>
            <w:right w:w="108" w:type="dxa"/>
          </w:tblCellMar>
        </w:tblPrEx>
        <w:tc>
          <w:tcPr>
            <w:tcW w:w="313" w:type="pct"/>
            <w:tcBorders>
              <w:top w:val="nil"/>
              <w:left w:val="single" w:color="auto" w:sz="4" w:space="0"/>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4</w:t>
            </w:r>
          </w:p>
        </w:tc>
        <w:tc>
          <w:tcPr>
            <w:tcW w:w="416"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二级</w:t>
            </w:r>
          </w:p>
        </w:tc>
        <w:tc>
          <w:tcPr>
            <w:tcW w:w="1830" w:type="pct"/>
            <w:tcBorders>
              <w:top w:val="nil"/>
              <w:left w:val="nil"/>
              <w:bottom w:val="single" w:color="auto" w:sz="4" w:space="0"/>
              <w:right w:val="single" w:color="auto" w:sz="4" w:space="0"/>
            </w:tcBorders>
            <w:vAlign w:val="center"/>
          </w:tcPr>
          <w:p>
            <w:pPr>
              <w:rPr>
                <w:rFonts w:ascii="仿宋_GB2312" w:hAnsi="等线" w:eastAsia="仿宋_GB2312" w:cs="宋体"/>
                <w:szCs w:val="21"/>
                <w:highlight w:val="none"/>
              </w:rPr>
            </w:pPr>
            <w:r>
              <w:rPr>
                <w:rFonts w:hint="eastAsia" w:ascii="仿宋_GB2312" w:hAnsi="等线" w:eastAsia="仿宋_GB2312" w:cs="宋体"/>
                <w:szCs w:val="21"/>
                <w:highlight w:val="none"/>
              </w:rPr>
              <w:t>占云上系统总数25%及以上且数量超过50个</w:t>
            </w:r>
          </w:p>
        </w:tc>
        <w:tc>
          <w:tcPr>
            <w:tcW w:w="582"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w:t>
            </w:r>
          </w:p>
        </w:tc>
        <w:tc>
          <w:tcPr>
            <w:tcW w:w="914"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无法使用</w:t>
            </w:r>
          </w:p>
        </w:tc>
        <w:tc>
          <w:tcPr>
            <w:tcW w:w="945"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不超过3</w:t>
            </w:r>
            <w:r>
              <w:rPr>
                <w:rFonts w:ascii="仿宋_GB2312" w:hAnsi="等线" w:eastAsia="仿宋_GB2312" w:cs="宋体"/>
                <w:szCs w:val="21"/>
                <w:highlight w:val="none"/>
              </w:rPr>
              <w:t>0</w:t>
            </w:r>
            <w:r>
              <w:rPr>
                <w:rFonts w:hint="eastAsia" w:ascii="仿宋_GB2312" w:hAnsi="等线" w:eastAsia="仿宋_GB2312" w:cs="宋体"/>
                <w:szCs w:val="21"/>
                <w:highlight w:val="none"/>
              </w:rPr>
              <w:t>分钟</w:t>
            </w:r>
          </w:p>
        </w:tc>
      </w:tr>
      <w:tr>
        <w:tblPrEx>
          <w:tblCellMar>
            <w:top w:w="0" w:type="dxa"/>
            <w:left w:w="108" w:type="dxa"/>
            <w:bottom w:w="0" w:type="dxa"/>
            <w:right w:w="108" w:type="dxa"/>
          </w:tblCellMar>
        </w:tblPrEx>
        <w:tc>
          <w:tcPr>
            <w:tcW w:w="313" w:type="pct"/>
            <w:tcBorders>
              <w:top w:val="nil"/>
              <w:left w:val="single" w:color="auto" w:sz="4" w:space="0"/>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5</w:t>
            </w:r>
          </w:p>
        </w:tc>
        <w:tc>
          <w:tcPr>
            <w:tcW w:w="416"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二级</w:t>
            </w:r>
          </w:p>
        </w:tc>
        <w:tc>
          <w:tcPr>
            <w:tcW w:w="1830"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w:t>
            </w:r>
          </w:p>
        </w:tc>
        <w:tc>
          <w:tcPr>
            <w:tcW w:w="582"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A类系统</w:t>
            </w:r>
          </w:p>
        </w:tc>
        <w:tc>
          <w:tcPr>
            <w:tcW w:w="914"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无法使用</w:t>
            </w:r>
          </w:p>
        </w:tc>
        <w:tc>
          <w:tcPr>
            <w:tcW w:w="945"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不超过3</w:t>
            </w:r>
            <w:r>
              <w:rPr>
                <w:rFonts w:ascii="仿宋_GB2312" w:hAnsi="等线" w:eastAsia="仿宋_GB2312" w:cs="宋体"/>
                <w:szCs w:val="21"/>
                <w:highlight w:val="none"/>
              </w:rPr>
              <w:t>0</w:t>
            </w:r>
            <w:r>
              <w:rPr>
                <w:rFonts w:hint="eastAsia" w:ascii="仿宋_GB2312" w:hAnsi="等线" w:eastAsia="仿宋_GB2312" w:cs="宋体"/>
                <w:szCs w:val="21"/>
                <w:highlight w:val="none"/>
              </w:rPr>
              <w:t>分钟</w:t>
            </w:r>
          </w:p>
        </w:tc>
      </w:tr>
      <w:tr>
        <w:tblPrEx>
          <w:tblCellMar>
            <w:top w:w="0" w:type="dxa"/>
            <w:left w:w="108" w:type="dxa"/>
            <w:bottom w:w="0" w:type="dxa"/>
            <w:right w:w="108" w:type="dxa"/>
          </w:tblCellMar>
        </w:tblPrEx>
        <w:tc>
          <w:tcPr>
            <w:tcW w:w="313" w:type="pct"/>
            <w:tcBorders>
              <w:top w:val="nil"/>
              <w:left w:val="single" w:color="auto" w:sz="4" w:space="0"/>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6</w:t>
            </w:r>
          </w:p>
        </w:tc>
        <w:tc>
          <w:tcPr>
            <w:tcW w:w="416"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二级</w:t>
            </w:r>
          </w:p>
        </w:tc>
        <w:tc>
          <w:tcPr>
            <w:tcW w:w="1830" w:type="pct"/>
            <w:tcBorders>
              <w:top w:val="nil"/>
              <w:left w:val="nil"/>
              <w:bottom w:val="single" w:color="auto" w:sz="4" w:space="0"/>
              <w:right w:val="single" w:color="auto" w:sz="4" w:space="0"/>
            </w:tcBorders>
            <w:vAlign w:val="center"/>
          </w:tcPr>
          <w:p>
            <w:pPr>
              <w:rPr>
                <w:rFonts w:ascii="仿宋_GB2312" w:hAnsi="等线" w:eastAsia="仿宋_GB2312" w:cs="宋体"/>
                <w:szCs w:val="21"/>
                <w:highlight w:val="none"/>
              </w:rPr>
            </w:pPr>
            <w:r>
              <w:rPr>
                <w:rFonts w:hint="eastAsia" w:ascii="仿宋_GB2312" w:hAnsi="等线" w:eastAsia="仿宋_GB2312" w:cs="宋体"/>
                <w:szCs w:val="21"/>
                <w:highlight w:val="none"/>
              </w:rPr>
              <w:t>占云上系统总数25%及以上且数量超过50个</w:t>
            </w:r>
          </w:p>
        </w:tc>
        <w:tc>
          <w:tcPr>
            <w:tcW w:w="582"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w:t>
            </w:r>
          </w:p>
        </w:tc>
        <w:tc>
          <w:tcPr>
            <w:tcW w:w="914"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影响系统使用</w:t>
            </w:r>
          </w:p>
        </w:tc>
        <w:tc>
          <w:tcPr>
            <w:tcW w:w="945"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超过60分钟</w:t>
            </w:r>
          </w:p>
        </w:tc>
      </w:tr>
      <w:tr>
        <w:tblPrEx>
          <w:tblCellMar>
            <w:top w:w="0" w:type="dxa"/>
            <w:left w:w="108" w:type="dxa"/>
            <w:bottom w:w="0" w:type="dxa"/>
            <w:right w:w="108" w:type="dxa"/>
          </w:tblCellMar>
        </w:tblPrEx>
        <w:tc>
          <w:tcPr>
            <w:tcW w:w="313" w:type="pct"/>
            <w:tcBorders>
              <w:top w:val="nil"/>
              <w:left w:val="single" w:color="auto" w:sz="4" w:space="0"/>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7</w:t>
            </w:r>
          </w:p>
        </w:tc>
        <w:tc>
          <w:tcPr>
            <w:tcW w:w="416"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二级</w:t>
            </w:r>
          </w:p>
        </w:tc>
        <w:tc>
          <w:tcPr>
            <w:tcW w:w="1830" w:type="pct"/>
            <w:tcBorders>
              <w:top w:val="nil"/>
              <w:left w:val="nil"/>
              <w:bottom w:val="single" w:color="auto" w:sz="4" w:space="0"/>
              <w:right w:val="single" w:color="auto" w:sz="4" w:space="0"/>
            </w:tcBorders>
            <w:vAlign w:val="center"/>
          </w:tcPr>
          <w:p>
            <w:pPr>
              <w:rPr>
                <w:rFonts w:ascii="仿宋_GB2312" w:hAnsi="等线" w:eastAsia="仿宋_GB2312" w:cs="宋体"/>
                <w:szCs w:val="21"/>
                <w:highlight w:val="none"/>
              </w:rPr>
            </w:pPr>
            <w:r>
              <w:rPr>
                <w:rFonts w:hint="eastAsia" w:ascii="仿宋_GB2312" w:hAnsi="等线" w:eastAsia="仿宋_GB2312" w:cs="宋体"/>
                <w:szCs w:val="21"/>
                <w:highlight w:val="none"/>
              </w:rPr>
              <w:t>云上系统5%至25%（包含5%）且数量超过10个业务系统</w:t>
            </w:r>
            <w:r>
              <w:rPr>
                <w:rFonts w:hint="eastAsia" w:ascii="仿宋_GB2312" w:hAnsi="仿宋_GB2312" w:eastAsia="仿宋_GB2312" w:cs="仿宋_GB2312"/>
                <w:highlight w:val="none"/>
              </w:rPr>
              <w:t>或者超过2</w:t>
            </w:r>
            <w:r>
              <w:rPr>
                <w:rFonts w:ascii="仿宋_GB2312" w:hAnsi="仿宋_GB2312" w:eastAsia="仿宋_GB2312" w:cs="仿宋_GB2312"/>
                <w:highlight w:val="none"/>
              </w:rPr>
              <w:t>5%</w:t>
            </w:r>
            <w:r>
              <w:rPr>
                <w:rFonts w:hint="eastAsia" w:ascii="仿宋_GB2312" w:hAnsi="仿宋_GB2312" w:eastAsia="仿宋_GB2312" w:cs="仿宋_GB2312"/>
                <w:highlight w:val="none"/>
              </w:rPr>
              <w:t>但系统数量不满5</w:t>
            </w:r>
            <w:r>
              <w:rPr>
                <w:rFonts w:ascii="仿宋_GB2312" w:hAnsi="仿宋_GB2312" w:eastAsia="仿宋_GB2312" w:cs="仿宋_GB2312"/>
                <w:highlight w:val="none"/>
              </w:rPr>
              <w:t>0</w:t>
            </w:r>
            <w:r>
              <w:rPr>
                <w:rFonts w:hint="eastAsia" w:ascii="仿宋_GB2312" w:hAnsi="仿宋_GB2312" w:eastAsia="仿宋_GB2312" w:cs="仿宋_GB2312"/>
                <w:highlight w:val="none"/>
              </w:rPr>
              <w:t>个</w:t>
            </w:r>
          </w:p>
        </w:tc>
        <w:tc>
          <w:tcPr>
            <w:tcW w:w="582"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w:t>
            </w:r>
          </w:p>
        </w:tc>
        <w:tc>
          <w:tcPr>
            <w:tcW w:w="914"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无法使用</w:t>
            </w:r>
          </w:p>
        </w:tc>
        <w:tc>
          <w:tcPr>
            <w:tcW w:w="945"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超过60分钟</w:t>
            </w:r>
          </w:p>
        </w:tc>
      </w:tr>
      <w:tr>
        <w:tblPrEx>
          <w:tblCellMar>
            <w:top w:w="0" w:type="dxa"/>
            <w:left w:w="108" w:type="dxa"/>
            <w:bottom w:w="0" w:type="dxa"/>
            <w:right w:w="108" w:type="dxa"/>
          </w:tblCellMar>
        </w:tblPrEx>
        <w:tc>
          <w:tcPr>
            <w:tcW w:w="313" w:type="pct"/>
            <w:tcBorders>
              <w:top w:val="nil"/>
              <w:left w:val="single" w:color="auto" w:sz="4" w:space="0"/>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8</w:t>
            </w:r>
          </w:p>
        </w:tc>
        <w:tc>
          <w:tcPr>
            <w:tcW w:w="416"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二级</w:t>
            </w:r>
          </w:p>
        </w:tc>
        <w:tc>
          <w:tcPr>
            <w:tcW w:w="1830"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w:t>
            </w:r>
          </w:p>
        </w:tc>
        <w:tc>
          <w:tcPr>
            <w:tcW w:w="582"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B类系统</w:t>
            </w:r>
          </w:p>
        </w:tc>
        <w:tc>
          <w:tcPr>
            <w:tcW w:w="914"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无法使用</w:t>
            </w:r>
          </w:p>
        </w:tc>
        <w:tc>
          <w:tcPr>
            <w:tcW w:w="945"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超过60分钟</w:t>
            </w:r>
          </w:p>
        </w:tc>
      </w:tr>
      <w:tr>
        <w:tblPrEx>
          <w:tblCellMar>
            <w:top w:w="0" w:type="dxa"/>
            <w:left w:w="108" w:type="dxa"/>
            <w:bottom w:w="0" w:type="dxa"/>
            <w:right w:w="108" w:type="dxa"/>
          </w:tblCellMar>
        </w:tblPrEx>
        <w:tc>
          <w:tcPr>
            <w:tcW w:w="313" w:type="pct"/>
            <w:tcBorders>
              <w:top w:val="nil"/>
              <w:left w:val="single" w:color="auto" w:sz="4" w:space="0"/>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9</w:t>
            </w:r>
          </w:p>
        </w:tc>
        <w:tc>
          <w:tcPr>
            <w:tcW w:w="416"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二级</w:t>
            </w:r>
          </w:p>
        </w:tc>
        <w:tc>
          <w:tcPr>
            <w:tcW w:w="1830"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w:t>
            </w:r>
          </w:p>
        </w:tc>
        <w:tc>
          <w:tcPr>
            <w:tcW w:w="582"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A类系统</w:t>
            </w:r>
          </w:p>
        </w:tc>
        <w:tc>
          <w:tcPr>
            <w:tcW w:w="914"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影响系统使用</w:t>
            </w:r>
          </w:p>
        </w:tc>
        <w:tc>
          <w:tcPr>
            <w:tcW w:w="945"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超过60分钟</w:t>
            </w:r>
          </w:p>
        </w:tc>
      </w:tr>
      <w:tr>
        <w:tblPrEx>
          <w:tblCellMar>
            <w:top w:w="0" w:type="dxa"/>
            <w:left w:w="108" w:type="dxa"/>
            <w:bottom w:w="0" w:type="dxa"/>
            <w:right w:w="108" w:type="dxa"/>
          </w:tblCellMar>
        </w:tblPrEx>
        <w:tc>
          <w:tcPr>
            <w:tcW w:w="313" w:type="pct"/>
            <w:tcBorders>
              <w:top w:val="nil"/>
              <w:left w:val="single" w:color="auto" w:sz="4" w:space="0"/>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10</w:t>
            </w:r>
          </w:p>
        </w:tc>
        <w:tc>
          <w:tcPr>
            <w:tcW w:w="416"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三级</w:t>
            </w:r>
          </w:p>
        </w:tc>
        <w:tc>
          <w:tcPr>
            <w:tcW w:w="1830" w:type="pct"/>
            <w:tcBorders>
              <w:top w:val="nil"/>
              <w:left w:val="nil"/>
              <w:bottom w:val="single" w:color="auto" w:sz="4" w:space="0"/>
              <w:right w:val="single" w:color="auto" w:sz="4" w:space="0"/>
            </w:tcBorders>
            <w:vAlign w:val="center"/>
          </w:tcPr>
          <w:p>
            <w:pPr>
              <w:rPr>
                <w:rFonts w:ascii="仿宋_GB2312" w:hAnsi="等线" w:eastAsia="仿宋_GB2312" w:cs="宋体"/>
                <w:szCs w:val="21"/>
                <w:highlight w:val="none"/>
              </w:rPr>
            </w:pPr>
            <w:r>
              <w:rPr>
                <w:rFonts w:hint="eastAsia" w:ascii="仿宋_GB2312" w:hAnsi="等线" w:eastAsia="仿宋_GB2312" w:cs="宋体"/>
                <w:szCs w:val="21"/>
                <w:highlight w:val="none"/>
              </w:rPr>
              <w:t>占云上系统总数25%及以上且数量超过50个</w:t>
            </w:r>
          </w:p>
        </w:tc>
        <w:tc>
          <w:tcPr>
            <w:tcW w:w="582"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w:t>
            </w:r>
          </w:p>
        </w:tc>
        <w:tc>
          <w:tcPr>
            <w:tcW w:w="914"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影响系统使用</w:t>
            </w:r>
          </w:p>
        </w:tc>
        <w:tc>
          <w:tcPr>
            <w:tcW w:w="945"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不超过60分钟</w:t>
            </w:r>
          </w:p>
        </w:tc>
      </w:tr>
      <w:tr>
        <w:tblPrEx>
          <w:tblCellMar>
            <w:top w:w="0" w:type="dxa"/>
            <w:left w:w="108" w:type="dxa"/>
            <w:bottom w:w="0" w:type="dxa"/>
            <w:right w:w="108" w:type="dxa"/>
          </w:tblCellMar>
        </w:tblPrEx>
        <w:tc>
          <w:tcPr>
            <w:tcW w:w="313" w:type="pct"/>
            <w:tcBorders>
              <w:top w:val="nil"/>
              <w:left w:val="single" w:color="auto" w:sz="4" w:space="0"/>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11</w:t>
            </w:r>
          </w:p>
        </w:tc>
        <w:tc>
          <w:tcPr>
            <w:tcW w:w="416"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三级</w:t>
            </w:r>
          </w:p>
        </w:tc>
        <w:tc>
          <w:tcPr>
            <w:tcW w:w="1830" w:type="pct"/>
            <w:tcBorders>
              <w:top w:val="nil"/>
              <w:left w:val="nil"/>
              <w:bottom w:val="single" w:color="auto" w:sz="4" w:space="0"/>
              <w:right w:val="single" w:color="auto" w:sz="4" w:space="0"/>
            </w:tcBorders>
            <w:vAlign w:val="center"/>
          </w:tcPr>
          <w:p>
            <w:pPr>
              <w:rPr>
                <w:rFonts w:ascii="仿宋_GB2312" w:hAnsi="等线" w:eastAsia="仿宋_GB2312" w:cs="宋体"/>
                <w:szCs w:val="21"/>
                <w:highlight w:val="none"/>
              </w:rPr>
            </w:pPr>
            <w:r>
              <w:rPr>
                <w:rFonts w:hint="eastAsia" w:ascii="仿宋_GB2312" w:hAnsi="等线" w:eastAsia="仿宋_GB2312" w:cs="宋体"/>
                <w:szCs w:val="21"/>
                <w:highlight w:val="none"/>
              </w:rPr>
              <w:t>云上系统5%至25%（包含5%）且数量超过10个业务系统</w:t>
            </w:r>
            <w:r>
              <w:rPr>
                <w:rFonts w:hint="eastAsia" w:ascii="仿宋_GB2312" w:hAnsi="仿宋_GB2312" w:eastAsia="仿宋_GB2312" w:cs="仿宋_GB2312"/>
                <w:highlight w:val="none"/>
              </w:rPr>
              <w:t>或者超过2</w:t>
            </w:r>
            <w:r>
              <w:rPr>
                <w:rFonts w:ascii="仿宋_GB2312" w:hAnsi="仿宋_GB2312" w:eastAsia="仿宋_GB2312" w:cs="仿宋_GB2312"/>
                <w:highlight w:val="none"/>
              </w:rPr>
              <w:t>5%</w:t>
            </w:r>
            <w:r>
              <w:rPr>
                <w:rFonts w:hint="eastAsia" w:ascii="仿宋_GB2312" w:hAnsi="仿宋_GB2312" w:eastAsia="仿宋_GB2312" w:cs="仿宋_GB2312"/>
                <w:highlight w:val="none"/>
              </w:rPr>
              <w:t>但系统数量不满5</w:t>
            </w:r>
            <w:r>
              <w:rPr>
                <w:rFonts w:ascii="仿宋_GB2312" w:hAnsi="仿宋_GB2312" w:eastAsia="仿宋_GB2312" w:cs="仿宋_GB2312"/>
                <w:highlight w:val="none"/>
              </w:rPr>
              <w:t>0</w:t>
            </w:r>
            <w:r>
              <w:rPr>
                <w:rFonts w:hint="eastAsia" w:ascii="仿宋_GB2312" w:hAnsi="仿宋_GB2312" w:eastAsia="仿宋_GB2312" w:cs="仿宋_GB2312"/>
                <w:highlight w:val="none"/>
              </w:rPr>
              <w:t>个</w:t>
            </w:r>
          </w:p>
        </w:tc>
        <w:tc>
          <w:tcPr>
            <w:tcW w:w="582"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w:t>
            </w:r>
          </w:p>
        </w:tc>
        <w:tc>
          <w:tcPr>
            <w:tcW w:w="914"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无法使用</w:t>
            </w:r>
          </w:p>
        </w:tc>
        <w:tc>
          <w:tcPr>
            <w:tcW w:w="945"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不超过60分钟</w:t>
            </w:r>
          </w:p>
        </w:tc>
      </w:tr>
      <w:tr>
        <w:tblPrEx>
          <w:tblCellMar>
            <w:top w:w="0" w:type="dxa"/>
            <w:left w:w="108" w:type="dxa"/>
            <w:bottom w:w="0" w:type="dxa"/>
            <w:right w:w="108" w:type="dxa"/>
          </w:tblCellMar>
        </w:tblPrEx>
        <w:tc>
          <w:tcPr>
            <w:tcW w:w="313" w:type="pct"/>
            <w:tcBorders>
              <w:top w:val="nil"/>
              <w:left w:val="single" w:color="auto" w:sz="4" w:space="0"/>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12</w:t>
            </w:r>
          </w:p>
        </w:tc>
        <w:tc>
          <w:tcPr>
            <w:tcW w:w="416"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三级</w:t>
            </w:r>
          </w:p>
        </w:tc>
        <w:tc>
          <w:tcPr>
            <w:tcW w:w="1830"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w:t>
            </w:r>
          </w:p>
        </w:tc>
        <w:tc>
          <w:tcPr>
            <w:tcW w:w="582"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B类系统</w:t>
            </w:r>
          </w:p>
        </w:tc>
        <w:tc>
          <w:tcPr>
            <w:tcW w:w="914"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无法使用</w:t>
            </w:r>
          </w:p>
        </w:tc>
        <w:tc>
          <w:tcPr>
            <w:tcW w:w="945"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不超过60分钟</w:t>
            </w:r>
          </w:p>
        </w:tc>
      </w:tr>
      <w:tr>
        <w:tblPrEx>
          <w:tblCellMar>
            <w:top w:w="0" w:type="dxa"/>
            <w:left w:w="108" w:type="dxa"/>
            <w:bottom w:w="0" w:type="dxa"/>
            <w:right w:w="108" w:type="dxa"/>
          </w:tblCellMar>
        </w:tblPrEx>
        <w:tc>
          <w:tcPr>
            <w:tcW w:w="313" w:type="pct"/>
            <w:tcBorders>
              <w:top w:val="nil"/>
              <w:left w:val="single" w:color="auto" w:sz="4" w:space="0"/>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13</w:t>
            </w:r>
          </w:p>
        </w:tc>
        <w:tc>
          <w:tcPr>
            <w:tcW w:w="416"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三级</w:t>
            </w:r>
          </w:p>
        </w:tc>
        <w:tc>
          <w:tcPr>
            <w:tcW w:w="1830"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w:t>
            </w:r>
          </w:p>
        </w:tc>
        <w:tc>
          <w:tcPr>
            <w:tcW w:w="582"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A类系统</w:t>
            </w:r>
          </w:p>
        </w:tc>
        <w:tc>
          <w:tcPr>
            <w:tcW w:w="914"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影响系统使用</w:t>
            </w:r>
          </w:p>
        </w:tc>
        <w:tc>
          <w:tcPr>
            <w:tcW w:w="945"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不超过60分钟</w:t>
            </w:r>
          </w:p>
        </w:tc>
      </w:tr>
      <w:tr>
        <w:tblPrEx>
          <w:tblCellMar>
            <w:top w:w="0" w:type="dxa"/>
            <w:left w:w="108" w:type="dxa"/>
            <w:bottom w:w="0" w:type="dxa"/>
            <w:right w:w="108" w:type="dxa"/>
          </w:tblCellMar>
        </w:tblPrEx>
        <w:tc>
          <w:tcPr>
            <w:tcW w:w="313" w:type="pct"/>
            <w:tcBorders>
              <w:top w:val="nil"/>
              <w:left w:val="single" w:color="auto" w:sz="4" w:space="0"/>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14</w:t>
            </w:r>
          </w:p>
        </w:tc>
        <w:tc>
          <w:tcPr>
            <w:tcW w:w="416"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三级</w:t>
            </w:r>
          </w:p>
        </w:tc>
        <w:tc>
          <w:tcPr>
            <w:tcW w:w="1830" w:type="pct"/>
            <w:tcBorders>
              <w:top w:val="nil"/>
              <w:left w:val="nil"/>
              <w:bottom w:val="single" w:color="auto" w:sz="4" w:space="0"/>
              <w:right w:val="single" w:color="auto" w:sz="4" w:space="0"/>
            </w:tcBorders>
            <w:vAlign w:val="center"/>
          </w:tcPr>
          <w:p>
            <w:pPr>
              <w:rPr>
                <w:rFonts w:ascii="仿宋_GB2312" w:hAnsi="等线" w:eastAsia="仿宋_GB2312" w:cs="宋体"/>
                <w:szCs w:val="21"/>
                <w:highlight w:val="none"/>
              </w:rPr>
            </w:pPr>
            <w:r>
              <w:rPr>
                <w:rFonts w:hint="eastAsia" w:ascii="仿宋_GB2312" w:hAnsi="等线" w:eastAsia="仿宋_GB2312" w:cs="宋体"/>
                <w:szCs w:val="21"/>
                <w:highlight w:val="none"/>
              </w:rPr>
              <w:t>云上系统5%至25%（包含5%）且数量超过10个业务系统</w:t>
            </w:r>
            <w:r>
              <w:rPr>
                <w:rFonts w:hint="eastAsia" w:ascii="仿宋_GB2312" w:hAnsi="仿宋_GB2312" w:eastAsia="仿宋_GB2312" w:cs="仿宋_GB2312"/>
                <w:highlight w:val="none"/>
              </w:rPr>
              <w:t>或者超过2</w:t>
            </w:r>
            <w:r>
              <w:rPr>
                <w:rFonts w:ascii="仿宋_GB2312" w:hAnsi="仿宋_GB2312" w:eastAsia="仿宋_GB2312" w:cs="仿宋_GB2312"/>
                <w:highlight w:val="none"/>
              </w:rPr>
              <w:t>5%</w:t>
            </w:r>
            <w:r>
              <w:rPr>
                <w:rFonts w:hint="eastAsia" w:ascii="仿宋_GB2312" w:hAnsi="仿宋_GB2312" w:eastAsia="仿宋_GB2312" w:cs="仿宋_GB2312"/>
                <w:highlight w:val="none"/>
              </w:rPr>
              <w:t>但系统数量不满5</w:t>
            </w:r>
            <w:r>
              <w:rPr>
                <w:rFonts w:ascii="仿宋_GB2312" w:hAnsi="仿宋_GB2312" w:eastAsia="仿宋_GB2312" w:cs="仿宋_GB2312"/>
                <w:highlight w:val="none"/>
              </w:rPr>
              <w:t>0</w:t>
            </w:r>
            <w:r>
              <w:rPr>
                <w:rFonts w:hint="eastAsia" w:ascii="仿宋_GB2312" w:hAnsi="仿宋_GB2312" w:eastAsia="仿宋_GB2312" w:cs="仿宋_GB2312"/>
                <w:highlight w:val="none"/>
              </w:rPr>
              <w:t>个</w:t>
            </w:r>
          </w:p>
        </w:tc>
        <w:tc>
          <w:tcPr>
            <w:tcW w:w="582"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w:t>
            </w:r>
          </w:p>
        </w:tc>
        <w:tc>
          <w:tcPr>
            <w:tcW w:w="914"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影响系统使用</w:t>
            </w:r>
          </w:p>
        </w:tc>
        <w:tc>
          <w:tcPr>
            <w:tcW w:w="945"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超过120分钟</w:t>
            </w:r>
          </w:p>
        </w:tc>
      </w:tr>
      <w:tr>
        <w:tblPrEx>
          <w:tblCellMar>
            <w:top w:w="0" w:type="dxa"/>
            <w:left w:w="108" w:type="dxa"/>
            <w:bottom w:w="0" w:type="dxa"/>
            <w:right w:w="108" w:type="dxa"/>
          </w:tblCellMar>
        </w:tblPrEx>
        <w:tc>
          <w:tcPr>
            <w:tcW w:w="313" w:type="pct"/>
            <w:tcBorders>
              <w:top w:val="nil"/>
              <w:left w:val="single" w:color="auto" w:sz="4" w:space="0"/>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15</w:t>
            </w:r>
          </w:p>
        </w:tc>
        <w:tc>
          <w:tcPr>
            <w:tcW w:w="416"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三级</w:t>
            </w:r>
          </w:p>
        </w:tc>
        <w:tc>
          <w:tcPr>
            <w:tcW w:w="1830" w:type="pct"/>
            <w:tcBorders>
              <w:top w:val="nil"/>
              <w:left w:val="nil"/>
              <w:bottom w:val="single" w:color="auto" w:sz="4" w:space="0"/>
              <w:right w:val="single" w:color="auto" w:sz="4" w:space="0"/>
            </w:tcBorders>
            <w:vAlign w:val="center"/>
          </w:tcPr>
          <w:p>
            <w:pPr>
              <w:rPr>
                <w:rFonts w:ascii="仿宋_GB2312" w:hAnsi="等线" w:eastAsia="仿宋_GB2312" w:cs="宋体"/>
                <w:szCs w:val="21"/>
                <w:highlight w:val="none"/>
              </w:rPr>
            </w:pPr>
            <w:r>
              <w:rPr>
                <w:rFonts w:hint="eastAsia" w:ascii="仿宋_GB2312" w:hAnsi="等线" w:eastAsia="仿宋_GB2312" w:cs="宋体"/>
                <w:szCs w:val="21"/>
                <w:highlight w:val="none"/>
              </w:rPr>
              <w:t>云上5%以下业务系统</w:t>
            </w:r>
          </w:p>
        </w:tc>
        <w:tc>
          <w:tcPr>
            <w:tcW w:w="582"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w:t>
            </w:r>
          </w:p>
        </w:tc>
        <w:tc>
          <w:tcPr>
            <w:tcW w:w="914"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无法使用</w:t>
            </w:r>
          </w:p>
        </w:tc>
        <w:tc>
          <w:tcPr>
            <w:tcW w:w="945"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超过120分钟</w:t>
            </w:r>
          </w:p>
        </w:tc>
      </w:tr>
      <w:tr>
        <w:tblPrEx>
          <w:tblCellMar>
            <w:top w:w="0" w:type="dxa"/>
            <w:left w:w="108" w:type="dxa"/>
            <w:bottom w:w="0" w:type="dxa"/>
            <w:right w:w="108" w:type="dxa"/>
          </w:tblCellMar>
        </w:tblPrEx>
        <w:tc>
          <w:tcPr>
            <w:tcW w:w="313" w:type="pct"/>
            <w:tcBorders>
              <w:top w:val="nil"/>
              <w:left w:val="single" w:color="auto" w:sz="4" w:space="0"/>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16</w:t>
            </w:r>
          </w:p>
        </w:tc>
        <w:tc>
          <w:tcPr>
            <w:tcW w:w="416"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三级</w:t>
            </w:r>
          </w:p>
        </w:tc>
        <w:tc>
          <w:tcPr>
            <w:tcW w:w="1830" w:type="pct"/>
            <w:tcBorders>
              <w:top w:val="nil"/>
              <w:left w:val="nil"/>
              <w:bottom w:val="single" w:color="auto" w:sz="4" w:space="0"/>
              <w:right w:val="single" w:color="auto" w:sz="4" w:space="0"/>
            </w:tcBorders>
            <w:vAlign w:val="center"/>
          </w:tcPr>
          <w:p>
            <w:pPr>
              <w:rPr>
                <w:rFonts w:ascii="仿宋_GB2312" w:hAnsi="等线" w:eastAsia="仿宋_GB2312" w:cs="宋体"/>
                <w:szCs w:val="21"/>
                <w:highlight w:val="none"/>
              </w:rPr>
            </w:pPr>
            <w:r>
              <w:rPr>
                <w:rFonts w:hint="eastAsia" w:ascii="仿宋_GB2312" w:hAnsi="等线" w:eastAsia="仿宋_GB2312" w:cs="宋体"/>
                <w:szCs w:val="21"/>
                <w:highlight w:val="none"/>
              </w:rPr>
              <w:t>云上系统5%及以上但不超过10个业务系统</w:t>
            </w:r>
          </w:p>
        </w:tc>
        <w:tc>
          <w:tcPr>
            <w:tcW w:w="582"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w:t>
            </w:r>
          </w:p>
        </w:tc>
        <w:tc>
          <w:tcPr>
            <w:tcW w:w="914"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无法使用</w:t>
            </w:r>
          </w:p>
        </w:tc>
        <w:tc>
          <w:tcPr>
            <w:tcW w:w="945"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超过120分钟</w:t>
            </w:r>
          </w:p>
        </w:tc>
      </w:tr>
      <w:tr>
        <w:tblPrEx>
          <w:tblCellMar>
            <w:top w:w="0" w:type="dxa"/>
            <w:left w:w="108" w:type="dxa"/>
            <w:bottom w:w="0" w:type="dxa"/>
            <w:right w:w="108" w:type="dxa"/>
          </w:tblCellMar>
        </w:tblPrEx>
        <w:tc>
          <w:tcPr>
            <w:tcW w:w="313" w:type="pct"/>
            <w:tcBorders>
              <w:top w:val="nil"/>
              <w:left w:val="single" w:color="auto" w:sz="4" w:space="0"/>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17</w:t>
            </w:r>
          </w:p>
        </w:tc>
        <w:tc>
          <w:tcPr>
            <w:tcW w:w="416"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三级</w:t>
            </w:r>
          </w:p>
        </w:tc>
        <w:tc>
          <w:tcPr>
            <w:tcW w:w="1830"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w:t>
            </w:r>
          </w:p>
        </w:tc>
        <w:tc>
          <w:tcPr>
            <w:tcW w:w="582"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B类系统</w:t>
            </w:r>
          </w:p>
        </w:tc>
        <w:tc>
          <w:tcPr>
            <w:tcW w:w="914"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影响系统使用</w:t>
            </w:r>
          </w:p>
        </w:tc>
        <w:tc>
          <w:tcPr>
            <w:tcW w:w="945"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超过120分钟</w:t>
            </w:r>
          </w:p>
        </w:tc>
      </w:tr>
      <w:tr>
        <w:tblPrEx>
          <w:tblCellMar>
            <w:top w:w="0" w:type="dxa"/>
            <w:left w:w="108" w:type="dxa"/>
            <w:bottom w:w="0" w:type="dxa"/>
            <w:right w:w="108" w:type="dxa"/>
          </w:tblCellMar>
        </w:tblPrEx>
        <w:tc>
          <w:tcPr>
            <w:tcW w:w="313" w:type="pct"/>
            <w:tcBorders>
              <w:top w:val="nil"/>
              <w:left w:val="single" w:color="auto" w:sz="4" w:space="0"/>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18</w:t>
            </w:r>
          </w:p>
        </w:tc>
        <w:tc>
          <w:tcPr>
            <w:tcW w:w="416"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四级</w:t>
            </w:r>
          </w:p>
        </w:tc>
        <w:tc>
          <w:tcPr>
            <w:tcW w:w="1830" w:type="pct"/>
            <w:tcBorders>
              <w:top w:val="nil"/>
              <w:left w:val="nil"/>
              <w:bottom w:val="single" w:color="auto" w:sz="4" w:space="0"/>
              <w:right w:val="single" w:color="auto" w:sz="4" w:space="0"/>
            </w:tcBorders>
            <w:vAlign w:val="center"/>
          </w:tcPr>
          <w:p>
            <w:pPr>
              <w:rPr>
                <w:rFonts w:ascii="仿宋_GB2312" w:hAnsi="等线" w:eastAsia="仿宋_GB2312" w:cs="宋体"/>
                <w:szCs w:val="21"/>
                <w:highlight w:val="none"/>
              </w:rPr>
            </w:pPr>
            <w:r>
              <w:rPr>
                <w:rFonts w:hint="eastAsia" w:ascii="仿宋_GB2312" w:hAnsi="等线" w:eastAsia="仿宋_GB2312" w:cs="宋体"/>
                <w:szCs w:val="21"/>
                <w:highlight w:val="none"/>
              </w:rPr>
              <w:t>云上系统5%至25%（包含5%）且数量超过10个业务系统</w:t>
            </w:r>
            <w:r>
              <w:rPr>
                <w:rFonts w:hint="eastAsia" w:ascii="仿宋_GB2312" w:hAnsi="仿宋_GB2312" w:eastAsia="仿宋_GB2312" w:cs="仿宋_GB2312"/>
                <w:highlight w:val="none"/>
              </w:rPr>
              <w:t>或者超过2</w:t>
            </w:r>
            <w:r>
              <w:rPr>
                <w:rFonts w:ascii="仿宋_GB2312" w:hAnsi="仿宋_GB2312" w:eastAsia="仿宋_GB2312" w:cs="仿宋_GB2312"/>
                <w:highlight w:val="none"/>
              </w:rPr>
              <w:t>5%</w:t>
            </w:r>
            <w:r>
              <w:rPr>
                <w:rFonts w:hint="eastAsia" w:ascii="仿宋_GB2312" w:hAnsi="仿宋_GB2312" w:eastAsia="仿宋_GB2312" w:cs="仿宋_GB2312"/>
                <w:highlight w:val="none"/>
              </w:rPr>
              <w:t>但系统数量不满5</w:t>
            </w:r>
            <w:r>
              <w:rPr>
                <w:rFonts w:ascii="仿宋_GB2312" w:hAnsi="仿宋_GB2312" w:eastAsia="仿宋_GB2312" w:cs="仿宋_GB2312"/>
                <w:highlight w:val="none"/>
              </w:rPr>
              <w:t>0</w:t>
            </w:r>
            <w:r>
              <w:rPr>
                <w:rFonts w:hint="eastAsia" w:ascii="仿宋_GB2312" w:hAnsi="仿宋_GB2312" w:eastAsia="仿宋_GB2312" w:cs="仿宋_GB2312"/>
                <w:highlight w:val="none"/>
              </w:rPr>
              <w:t>个</w:t>
            </w:r>
          </w:p>
        </w:tc>
        <w:tc>
          <w:tcPr>
            <w:tcW w:w="582"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w:t>
            </w:r>
          </w:p>
        </w:tc>
        <w:tc>
          <w:tcPr>
            <w:tcW w:w="914"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影响系统使用</w:t>
            </w:r>
          </w:p>
        </w:tc>
        <w:tc>
          <w:tcPr>
            <w:tcW w:w="945"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不超过120分钟</w:t>
            </w:r>
          </w:p>
        </w:tc>
      </w:tr>
      <w:tr>
        <w:tblPrEx>
          <w:tblCellMar>
            <w:top w:w="0" w:type="dxa"/>
            <w:left w:w="108" w:type="dxa"/>
            <w:bottom w:w="0" w:type="dxa"/>
            <w:right w:w="108" w:type="dxa"/>
          </w:tblCellMar>
        </w:tblPrEx>
        <w:tc>
          <w:tcPr>
            <w:tcW w:w="313" w:type="pct"/>
            <w:tcBorders>
              <w:top w:val="nil"/>
              <w:left w:val="single" w:color="auto" w:sz="4" w:space="0"/>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19</w:t>
            </w:r>
          </w:p>
        </w:tc>
        <w:tc>
          <w:tcPr>
            <w:tcW w:w="416"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四级</w:t>
            </w:r>
          </w:p>
        </w:tc>
        <w:tc>
          <w:tcPr>
            <w:tcW w:w="1830" w:type="pct"/>
            <w:tcBorders>
              <w:top w:val="nil"/>
              <w:left w:val="nil"/>
              <w:bottom w:val="single" w:color="auto" w:sz="4" w:space="0"/>
              <w:right w:val="single" w:color="auto" w:sz="4" w:space="0"/>
            </w:tcBorders>
            <w:vAlign w:val="center"/>
          </w:tcPr>
          <w:p>
            <w:pPr>
              <w:rPr>
                <w:rFonts w:ascii="仿宋_GB2312" w:hAnsi="等线" w:eastAsia="仿宋_GB2312" w:cs="宋体"/>
                <w:szCs w:val="21"/>
                <w:highlight w:val="none"/>
              </w:rPr>
            </w:pPr>
            <w:r>
              <w:rPr>
                <w:rFonts w:hint="eastAsia" w:ascii="仿宋_GB2312" w:hAnsi="等线" w:eastAsia="仿宋_GB2312" w:cs="宋体"/>
                <w:szCs w:val="21"/>
                <w:highlight w:val="none"/>
              </w:rPr>
              <w:t>云上5%以下业务系统</w:t>
            </w:r>
          </w:p>
        </w:tc>
        <w:tc>
          <w:tcPr>
            <w:tcW w:w="582"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w:t>
            </w:r>
          </w:p>
        </w:tc>
        <w:tc>
          <w:tcPr>
            <w:tcW w:w="914"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无法使用</w:t>
            </w:r>
          </w:p>
        </w:tc>
        <w:tc>
          <w:tcPr>
            <w:tcW w:w="945"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不超过120分钟</w:t>
            </w:r>
          </w:p>
        </w:tc>
      </w:tr>
      <w:tr>
        <w:tblPrEx>
          <w:tblCellMar>
            <w:top w:w="0" w:type="dxa"/>
            <w:left w:w="108" w:type="dxa"/>
            <w:bottom w:w="0" w:type="dxa"/>
            <w:right w:w="108" w:type="dxa"/>
          </w:tblCellMar>
        </w:tblPrEx>
        <w:tc>
          <w:tcPr>
            <w:tcW w:w="313" w:type="pct"/>
            <w:tcBorders>
              <w:top w:val="nil"/>
              <w:left w:val="single" w:color="auto" w:sz="4" w:space="0"/>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20</w:t>
            </w:r>
          </w:p>
        </w:tc>
        <w:tc>
          <w:tcPr>
            <w:tcW w:w="416"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四级</w:t>
            </w:r>
          </w:p>
        </w:tc>
        <w:tc>
          <w:tcPr>
            <w:tcW w:w="1830" w:type="pct"/>
            <w:tcBorders>
              <w:top w:val="nil"/>
              <w:left w:val="nil"/>
              <w:bottom w:val="single" w:color="auto" w:sz="4" w:space="0"/>
              <w:right w:val="single" w:color="auto" w:sz="4" w:space="0"/>
            </w:tcBorders>
            <w:vAlign w:val="center"/>
          </w:tcPr>
          <w:p>
            <w:pPr>
              <w:rPr>
                <w:rFonts w:ascii="仿宋_GB2312" w:hAnsi="等线" w:eastAsia="仿宋_GB2312" w:cs="宋体"/>
                <w:szCs w:val="21"/>
                <w:highlight w:val="none"/>
              </w:rPr>
            </w:pPr>
            <w:r>
              <w:rPr>
                <w:rFonts w:hint="eastAsia" w:ascii="仿宋_GB2312" w:hAnsi="等线" w:eastAsia="仿宋_GB2312" w:cs="宋体"/>
                <w:szCs w:val="21"/>
                <w:highlight w:val="none"/>
              </w:rPr>
              <w:t>云上系统5%及以上但不超过10个业务系统</w:t>
            </w:r>
          </w:p>
        </w:tc>
        <w:tc>
          <w:tcPr>
            <w:tcW w:w="582"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w:t>
            </w:r>
          </w:p>
        </w:tc>
        <w:tc>
          <w:tcPr>
            <w:tcW w:w="914"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无法使用</w:t>
            </w:r>
          </w:p>
        </w:tc>
        <w:tc>
          <w:tcPr>
            <w:tcW w:w="945"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不超过120分钟</w:t>
            </w:r>
          </w:p>
        </w:tc>
      </w:tr>
      <w:tr>
        <w:tblPrEx>
          <w:tblCellMar>
            <w:top w:w="0" w:type="dxa"/>
            <w:left w:w="108" w:type="dxa"/>
            <w:bottom w:w="0" w:type="dxa"/>
            <w:right w:w="108" w:type="dxa"/>
          </w:tblCellMar>
        </w:tblPrEx>
        <w:tc>
          <w:tcPr>
            <w:tcW w:w="313" w:type="pct"/>
            <w:tcBorders>
              <w:top w:val="nil"/>
              <w:left w:val="single" w:color="auto" w:sz="4" w:space="0"/>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21</w:t>
            </w:r>
          </w:p>
        </w:tc>
        <w:tc>
          <w:tcPr>
            <w:tcW w:w="416"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四级</w:t>
            </w:r>
          </w:p>
        </w:tc>
        <w:tc>
          <w:tcPr>
            <w:tcW w:w="1830"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w:t>
            </w:r>
          </w:p>
        </w:tc>
        <w:tc>
          <w:tcPr>
            <w:tcW w:w="582"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B类系统</w:t>
            </w:r>
          </w:p>
        </w:tc>
        <w:tc>
          <w:tcPr>
            <w:tcW w:w="914"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影响系统使用</w:t>
            </w:r>
          </w:p>
        </w:tc>
        <w:tc>
          <w:tcPr>
            <w:tcW w:w="945"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不超过120分钟</w:t>
            </w:r>
          </w:p>
        </w:tc>
      </w:tr>
      <w:tr>
        <w:tblPrEx>
          <w:tblCellMar>
            <w:top w:w="0" w:type="dxa"/>
            <w:left w:w="108" w:type="dxa"/>
            <w:bottom w:w="0" w:type="dxa"/>
            <w:right w:w="108" w:type="dxa"/>
          </w:tblCellMar>
        </w:tblPrEx>
        <w:tc>
          <w:tcPr>
            <w:tcW w:w="313" w:type="pct"/>
            <w:tcBorders>
              <w:top w:val="nil"/>
              <w:left w:val="single" w:color="auto" w:sz="4" w:space="0"/>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22</w:t>
            </w:r>
          </w:p>
        </w:tc>
        <w:tc>
          <w:tcPr>
            <w:tcW w:w="416"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四级</w:t>
            </w:r>
          </w:p>
        </w:tc>
        <w:tc>
          <w:tcPr>
            <w:tcW w:w="1830" w:type="pct"/>
            <w:tcBorders>
              <w:top w:val="nil"/>
              <w:left w:val="nil"/>
              <w:bottom w:val="single" w:color="auto" w:sz="4" w:space="0"/>
              <w:right w:val="single" w:color="auto" w:sz="4" w:space="0"/>
            </w:tcBorders>
            <w:vAlign w:val="center"/>
          </w:tcPr>
          <w:p>
            <w:pPr>
              <w:rPr>
                <w:rFonts w:ascii="仿宋_GB2312" w:hAnsi="等线" w:eastAsia="仿宋_GB2312" w:cs="宋体"/>
                <w:szCs w:val="21"/>
                <w:highlight w:val="none"/>
              </w:rPr>
            </w:pPr>
            <w:r>
              <w:rPr>
                <w:rFonts w:hint="eastAsia" w:ascii="仿宋_GB2312" w:hAnsi="等线" w:eastAsia="仿宋_GB2312" w:cs="宋体"/>
                <w:szCs w:val="21"/>
                <w:highlight w:val="none"/>
              </w:rPr>
              <w:t>占云上系统5%及以上但不超过10个业务系统</w:t>
            </w:r>
          </w:p>
        </w:tc>
        <w:tc>
          <w:tcPr>
            <w:tcW w:w="582"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w:t>
            </w:r>
          </w:p>
        </w:tc>
        <w:tc>
          <w:tcPr>
            <w:tcW w:w="914"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影响系统使用</w:t>
            </w:r>
          </w:p>
        </w:tc>
        <w:tc>
          <w:tcPr>
            <w:tcW w:w="945"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超过240分钟</w:t>
            </w:r>
          </w:p>
        </w:tc>
      </w:tr>
      <w:tr>
        <w:tblPrEx>
          <w:tblCellMar>
            <w:top w:w="0" w:type="dxa"/>
            <w:left w:w="108" w:type="dxa"/>
            <w:bottom w:w="0" w:type="dxa"/>
            <w:right w:w="108" w:type="dxa"/>
          </w:tblCellMar>
        </w:tblPrEx>
        <w:tc>
          <w:tcPr>
            <w:tcW w:w="313" w:type="pct"/>
            <w:tcBorders>
              <w:top w:val="nil"/>
              <w:left w:val="single" w:color="auto" w:sz="4" w:space="0"/>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23</w:t>
            </w:r>
          </w:p>
        </w:tc>
        <w:tc>
          <w:tcPr>
            <w:tcW w:w="416"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四级</w:t>
            </w:r>
          </w:p>
        </w:tc>
        <w:tc>
          <w:tcPr>
            <w:tcW w:w="1830" w:type="pct"/>
            <w:tcBorders>
              <w:top w:val="nil"/>
              <w:left w:val="nil"/>
              <w:bottom w:val="single" w:color="auto" w:sz="4" w:space="0"/>
              <w:right w:val="single" w:color="auto" w:sz="4" w:space="0"/>
            </w:tcBorders>
            <w:vAlign w:val="center"/>
          </w:tcPr>
          <w:p>
            <w:pPr>
              <w:rPr>
                <w:rFonts w:ascii="仿宋_GB2312" w:hAnsi="等线" w:eastAsia="仿宋_GB2312" w:cs="宋体"/>
                <w:szCs w:val="21"/>
                <w:highlight w:val="none"/>
              </w:rPr>
            </w:pPr>
            <w:r>
              <w:rPr>
                <w:rFonts w:hint="eastAsia" w:ascii="仿宋_GB2312" w:hAnsi="等线" w:eastAsia="仿宋_GB2312" w:cs="宋体"/>
                <w:szCs w:val="21"/>
                <w:highlight w:val="none"/>
              </w:rPr>
              <w:t>系统数量超过1个且占云上系统总数5%以下</w:t>
            </w:r>
          </w:p>
        </w:tc>
        <w:tc>
          <w:tcPr>
            <w:tcW w:w="582"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w:t>
            </w:r>
          </w:p>
        </w:tc>
        <w:tc>
          <w:tcPr>
            <w:tcW w:w="914"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影响系统使用</w:t>
            </w:r>
          </w:p>
        </w:tc>
        <w:tc>
          <w:tcPr>
            <w:tcW w:w="945"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超过240分钟</w:t>
            </w:r>
          </w:p>
        </w:tc>
      </w:tr>
      <w:tr>
        <w:tblPrEx>
          <w:tblCellMar>
            <w:top w:w="0" w:type="dxa"/>
            <w:left w:w="108" w:type="dxa"/>
            <w:bottom w:w="0" w:type="dxa"/>
            <w:right w:w="108" w:type="dxa"/>
          </w:tblCellMar>
        </w:tblPrEx>
        <w:tc>
          <w:tcPr>
            <w:tcW w:w="313" w:type="pct"/>
            <w:tcBorders>
              <w:top w:val="nil"/>
              <w:left w:val="single" w:color="auto" w:sz="4" w:space="0"/>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24</w:t>
            </w:r>
          </w:p>
        </w:tc>
        <w:tc>
          <w:tcPr>
            <w:tcW w:w="416"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五级</w:t>
            </w:r>
          </w:p>
        </w:tc>
        <w:tc>
          <w:tcPr>
            <w:tcW w:w="1830" w:type="pct"/>
            <w:tcBorders>
              <w:top w:val="nil"/>
              <w:left w:val="nil"/>
              <w:bottom w:val="single" w:color="auto" w:sz="4" w:space="0"/>
              <w:right w:val="single" w:color="auto" w:sz="4" w:space="0"/>
            </w:tcBorders>
            <w:vAlign w:val="center"/>
          </w:tcPr>
          <w:p>
            <w:pPr>
              <w:rPr>
                <w:rFonts w:ascii="仿宋_GB2312" w:hAnsi="等线" w:eastAsia="仿宋_GB2312" w:cs="宋体"/>
                <w:szCs w:val="21"/>
                <w:highlight w:val="none"/>
              </w:rPr>
            </w:pPr>
            <w:r>
              <w:rPr>
                <w:rFonts w:hint="eastAsia" w:ascii="仿宋_GB2312" w:hAnsi="等线" w:eastAsia="仿宋_GB2312" w:cs="宋体"/>
                <w:szCs w:val="21"/>
                <w:highlight w:val="none"/>
              </w:rPr>
              <w:t>占云上系统5%及以上但不超过10个业务系统</w:t>
            </w:r>
          </w:p>
        </w:tc>
        <w:tc>
          <w:tcPr>
            <w:tcW w:w="582"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w:t>
            </w:r>
          </w:p>
        </w:tc>
        <w:tc>
          <w:tcPr>
            <w:tcW w:w="914"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影响系统使用</w:t>
            </w:r>
          </w:p>
        </w:tc>
        <w:tc>
          <w:tcPr>
            <w:tcW w:w="945"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不超过240分钟</w:t>
            </w:r>
          </w:p>
        </w:tc>
      </w:tr>
      <w:tr>
        <w:tblPrEx>
          <w:tblCellMar>
            <w:top w:w="0" w:type="dxa"/>
            <w:left w:w="108" w:type="dxa"/>
            <w:bottom w:w="0" w:type="dxa"/>
            <w:right w:w="108" w:type="dxa"/>
          </w:tblCellMar>
        </w:tblPrEx>
        <w:tc>
          <w:tcPr>
            <w:tcW w:w="313" w:type="pct"/>
            <w:tcBorders>
              <w:top w:val="nil"/>
              <w:left w:val="single" w:color="auto" w:sz="4" w:space="0"/>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25</w:t>
            </w:r>
          </w:p>
        </w:tc>
        <w:tc>
          <w:tcPr>
            <w:tcW w:w="416"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五级</w:t>
            </w:r>
          </w:p>
        </w:tc>
        <w:tc>
          <w:tcPr>
            <w:tcW w:w="1830" w:type="pct"/>
            <w:tcBorders>
              <w:top w:val="nil"/>
              <w:left w:val="nil"/>
              <w:bottom w:val="single" w:color="auto" w:sz="4" w:space="0"/>
              <w:right w:val="single" w:color="auto" w:sz="4" w:space="0"/>
            </w:tcBorders>
            <w:vAlign w:val="center"/>
          </w:tcPr>
          <w:p>
            <w:pPr>
              <w:rPr>
                <w:rFonts w:ascii="仿宋_GB2312" w:hAnsi="等线" w:eastAsia="仿宋_GB2312" w:cs="宋体"/>
                <w:szCs w:val="21"/>
                <w:highlight w:val="none"/>
              </w:rPr>
            </w:pPr>
            <w:r>
              <w:rPr>
                <w:rFonts w:hint="eastAsia" w:ascii="仿宋_GB2312" w:hAnsi="等线" w:eastAsia="仿宋_GB2312" w:cs="宋体"/>
                <w:szCs w:val="21"/>
                <w:highlight w:val="none"/>
              </w:rPr>
              <w:t>系统数量超过1个且占云上系统总数5%以下</w:t>
            </w:r>
          </w:p>
        </w:tc>
        <w:tc>
          <w:tcPr>
            <w:tcW w:w="582"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w:t>
            </w:r>
          </w:p>
        </w:tc>
        <w:tc>
          <w:tcPr>
            <w:tcW w:w="914"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影响系统使用</w:t>
            </w:r>
          </w:p>
        </w:tc>
        <w:tc>
          <w:tcPr>
            <w:tcW w:w="945"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不超过240分钟</w:t>
            </w:r>
          </w:p>
        </w:tc>
      </w:tr>
      <w:tr>
        <w:tblPrEx>
          <w:tblCellMar>
            <w:top w:w="0" w:type="dxa"/>
            <w:left w:w="108" w:type="dxa"/>
            <w:bottom w:w="0" w:type="dxa"/>
            <w:right w:w="108" w:type="dxa"/>
          </w:tblCellMar>
        </w:tblPrEx>
        <w:tc>
          <w:tcPr>
            <w:tcW w:w="313" w:type="pct"/>
            <w:tcBorders>
              <w:top w:val="nil"/>
              <w:left w:val="single" w:color="auto" w:sz="4" w:space="0"/>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26</w:t>
            </w:r>
          </w:p>
        </w:tc>
        <w:tc>
          <w:tcPr>
            <w:tcW w:w="416"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五级</w:t>
            </w:r>
          </w:p>
        </w:tc>
        <w:tc>
          <w:tcPr>
            <w:tcW w:w="1830" w:type="pct"/>
            <w:tcBorders>
              <w:top w:val="nil"/>
              <w:left w:val="nil"/>
              <w:bottom w:val="single" w:color="auto" w:sz="4" w:space="0"/>
              <w:right w:val="single" w:color="auto" w:sz="4" w:space="0"/>
            </w:tcBorders>
            <w:vAlign w:val="center"/>
          </w:tcPr>
          <w:p>
            <w:pPr>
              <w:rPr>
                <w:rFonts w:ascii="仿宋_GB2312" w:hAnsi="等线" w:eastAsia="仿宋_GB2312" w:cs="宋体"/>
                <w:szCs w:val="21"/>
                <w:highlight w:val="none"/>
              </w:rPr>
            </w:pPr>
            <w:r>
              <w:rPr>
                <w:rFonts w:hint="eastAsia" w:ascii="仿宋_GB2312" w:hAnsi="等线" w:eastAsia="仿宋_GB2312" w:cs="宋体"/>
                <w:szCs w:val="21"/>
                <w:highlight w:val="none"/>
              </w:rPr>
              <w:t>单个业务系统</w:t>
            </w:r>
          </w:p>
        </w:tc>
        <w:tc>
          <w:tcPr>
            <w:tcW w:w="582"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w:t>
            </w:r>
          </w:p>
        </w:tc>
        <w:tc>
          <w:tcPr>
            <w:tcW w:w="914"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影响系统使用</w:t>
            </w:r>
          </w:p>
        </w:tc>
        <w:tc>
          <w:tcPr>
            <w:tcW w:w="945"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超过360分钟</w:t>
            </w:r>
          </w:p>
        </w:tc>
      </w:tr>
      <w:tr>
        <w:tblPrEx>
          <w:tblCellMar>
            <w:top w:w="0" w:type="dxa"/>
            <w:left w:w="108" w:type="dxa"/>
            <w:bottom w:w="0" w:type="dxa"/>
            <w:right w:w="108" w:type="dxa"/>
          </w:tblCellMar>
        </w:tblPrEx>
        <w:tc>
          <w:tcPr>
            <w:tcW w:w="313" w:type="pct"/>
            <w:tcBorders>
              <w:top w:val="nil"/>
              <w:left w:val="single" w:color="auto" w:sz="4" w:space="0"/>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27</w:t>
            </w:r>
          </w:p>
        </w:tc>
        <w:tc>
          <w:tcPr>
            <w:tcW w:w="416"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六级</w:t>
            </w:r>
          </w:p>
        </w:tc>
        <w:tc>
          <w:tcPr>
            <w:tcW w:w="1830" w:type="pct"/>
            <w:tcBorders>
              <w:top w:val="nil"/>
              <w:left w:val="nil"/>
              <w:bottom w:val="single" w:color="auto" w:sz="4" w:space="0"/>
              <w:right w:val="single" w:color="auto" w:sz="4" w:space="0"/>
            </w:tcBorders>
            <w:vAlign w:val="center"/>
          </w:tcPr>
          <w:p>
            <w:pPr>
              <w:rPr>
                <w:rFonts w:ascii="仿宋_GB2312" w:hAnsi="等线" w:eastAsia="仿宋_GB2312" w:cs="宋体"/>
                <w:szCs w:val="21"/>
                <w:highlight w:val="none"/>
              </w:rPr>
            </w:pPr>
            <w:r>
              <w:rPr>
                <w:rFonts w:hint="eastAsia" w:ascii="仿宋_GB2312" w:hAnsi="等线" w:eastAsia="仿宋_GB2312" w:cs="宋体"/>
                <w:szCs w:val="21"/>
                <w:highlight w:val="none"/>
              </w:rPr>
              <w:t>单个业务系统</w:t>
            </w:r>
          </w:p>
        </w:tc>
        <w:tc>
          <w:tcPr>
            <w:tcW w:w="582"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w:t>
            </w:r>
          </w:p>
        </w:tc>
        <w:tc>
          <w:tcPr>
            <w:tcW w:w="914"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影响系统使用</w:t>
            </w:r>
          </w:p>
        </w:tc>
        <w:tc>
          <w:tcPr>
            <w:tcW w:w="945"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不超过360分钟</w:t>
            </w:r>
          </w:p>
        </w:tc>
      </w:tr>
    </w:tbl>
    <w:p>
      <w:pPr>
        <w:spacing w:line="600" w:lineRule="exact"/>
        <w:ind w:firstLine="567"/>
        <w:rPr>
          <w:rFonts w:ascii="仿宋_GB2312" w:hAnsi="仿宋_GB2312" w:eastAsia="仿宋_GB2312" w:cs="仿宋_GB2312"/>
          <w:b/>
          <w:bCs/>
          <w:sz w:val="28"/>
          <w:szCs w:val="28"/>
          <w:highlight w:val="none"/>
          <w:lang w:eastAsia="zh-Hans"/>
        </w:rPr>
      </w:pPr>
      <w:r>
        <w:rPr>
          <w:rFonts w:hint="eastAsia" w:ascii="仿宋_GB2312" w:hAnsi="仿宋_GB2312" w:eastAsia="仿宋_GB2312" w:cs="仿宋_GB2312"/>
          <w:b/>
          <w:bCs/>
          <w:sz w:val="28"/>
          <w:szCs w:val="28"/>
          <w:highlight w:val="none"/>
          <w:lang w:val="en-US" w:eastAsia="zh-CN"/>
        </w:rPr>
        <w:t>备注</w:t>
      </w:r>
      <w:r>
        <w:rPr>
          <w:rFonts w:hint="eastAsia" w:ascii="仿宋_GB2312" w:hAnsi="仿宋_GB2312" w:eastAsia="仿宋_GB2312" w:cs="仿宋_GB2312"/>
          <w:b/>
          <w:bCs/>
          <w:sz w:val="28"/>
          <w:szCs w:val="28"/>
          <w:highlight w:val="none"/>
          <w:lang w:eastAsia="zh-Hans"/>
        </w:rPr>
        <w:t>：</w:t>
      </w:r>
    </w:p>
    <w:p>
      <w:pPr>
        <w:spacing w:line="600" w:lineRule="exact"/>
        <w:ind w:firstLine="560" w:firstLineChars="20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（1）故障按照就高原则定级，即如果一个故障符合多级故障定级条件时，按照严重程度更高的故障等级定级。</w:t>
      </w:r>
    </w:p>
    <w:p>
      <w:pPr>
        <w:spacing w:line="600" w:lineRule="exact"/>
        <w:ind w:firstLine="560" w:firstLineChars="20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（2）系统分类</w:t>
      </w:r>
    </w:p>
    <w:p>
      <w:pPr>
        <w:spacing w:line="600" w:lineRule="exact"/>
        <w:ind w:firstLine="560" w:firstLineChars="20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A类系统：如</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市医疗急救中心系统平台整体入云项目</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“随申办”“医保平台”等涉及重大民生的系统。</w:t>
      </w:r>
    </w:p>
    <w:p>
      <w:pPr>
        <w:spacing w:line="600" w:lineRule="exact"/>
        <w:ind w:firstLine="560" w:firstLineChars="20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B类系统：如“120调度系统”“市路政局停车业务管理系统”“市涉法涉诉信访管理系统”等面向公众服务的系统；如“预算管理一体化系统”“市政府网站集约化平台”“电子政务云系统软件和国产密码应用服务基础设施”等面向多个委办单位服务的系统；如“市义务教育入学报名系统”“市电子证照库”“大数据资源平台”等对经济社会发展有重要影响的系统。</w:t>
      </w:r>
    </w:p>
    <w:p>
      <w:pPr>
        <w:spacing w:line="600" w:lineRule="exact"/>
        <w:ind w:firstLine="560" w:firstLineChars="20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C类系统：除了A类、B类以外的信息系统。</w:t>
      </w:r>
    </w:p>
    <w:p>
      <w:pPr>
        <w:spacing w:line="600" w:lineRule="exact"/>
        <w:ind w:firstLine="560" w:firstLineChars="20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某个发生故障的系统属于A、B、C的分类认定以</w:t>
      </w:r>
      <w:r>
        <w:rPr>
          <w:rFonts w:hint="eastAsia" w:ascii="仿宋_GB2312" w:hAnsi="仿宋_GB2312" w:eastAsia="仿宋_GB2312" w:cs="仿宋_GB2312"/>
          <w:sz w:val="28"/>
          <w:szCs w:val="28"/>
          <w:highlight w:val="none"/>
          <w:lang w:val="en-US" w:eastAsia="zh-CN"/>
        </w:rPr>
        <w:t>采购方指定的</w:t>
      </w:r>
      <w:r>
        <w:rPr>
          <w:rFonts w:hint="eastAsia" w:ascii="仿宋_GB2312" w:hAnsi="仿宋_GB2312" w:eastAsia="仿宋_GB2312" w:cs="仿宋_GB2312"/>
          <w:sz w:val="28"/>
          <w:szCs w:val="28"/>
          <w:highlight w:val="none"/>
        </w:rPr>
        <w:t>第三方出具的评估结论为准。</w:t>
      </w:r>
    </w:p>
    <w:p>
      <w:pPr>
        <w:spacing w:line="600" w:lineRule="exact"/>
        <w:ind w:firstLine="560" w:firstLineChars="20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（3）故障影响程度</w:t>
      </w:r>
    </w:p>
    <w:p>
      <w:pPr>
        <w:spacing w:line="600" w:lineRule="exact"/>
        <w:ind w:firstLine="560" w:firstLineChars="20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系统无法使用：由于云平台故障造成使用单位的业务系统出现功能不可用、应用或服务不可访问、业务系统失效或崩溃、性能严重下降等情况之一的。</w:t>
      </w:r>
    </w:p>
    <w:p>
      <w:pPr>
        <w:spacing w:line="600" w:lineRule="exact"/>
        <w:ind w:firstLine="560" w:firstLineChars="200"/>
        <w:rPr>
          <w:rFonts w:ascii="仿宋_GB2312" w:hAnsi="仿宋_GB2312" w:eastAsia="仿宋_GB2312" w:cs="仿宋_GB2312"/>
          <w:sz w:val="28"/>
          <w:szCs w:val="28"/>
          <w:highlight w:val="none"/>
          <w:lang w:eastAsia="zh-Hans"/>
        </w:rPr>
      </w:pPr>
      <w:r>
        <w:rPr>
          <w:rFonts w:hint="eastAsia" w:ascii="仿宋_GB2312" w:hAnsi="仿宋_GB2312" w:eastAsia="仿宋_GB2312" w:cs="仿宋_GB2312"/>
          <w:sz w:val="28"/>
          <w:szCs w:val="28"/>
          <w:highlight w:val="none"/>
          <w:lang w:eastAsia="zh-Hans"/>
        </w:rPr>
        <w:t>影响系统使用：由于云平台故障造成使用单位的业务系统应用或服务部分功能不可用、业务系统时断时续、明显卡顿、性能明显下降等情况之一的。</w:t>
      </w:r>
    </w:p>
    <w:p>
      <w:pPr>
        <w:widowControl w:val="0"/>
        <w:spacing w:line="600" w:lineRule="exact"/>
        <w:ind w:firstLine="562" w:firstLineChars="200"/>
        <w:outlineLvl w:val="1"/>
        <w:rPr>
          <w:rFonts w:ascii="楷体_GB2312" w:hAnsi="仿宋_GB2312" w:eastAsia="楷体_GB2312" w:cs="仿宋_GB2312"/>
          <w:b/>
          <w:bCs/>
          <w:color w:val="000000"/>
          <w:kern w:val="0"/>
          <w:sz w:val="28"/>
          <w:szCs w:val="28"/>
          <w:highlight w:val="none"/>
          <w:lang w:bidi="en-US"/>
        </w:rPr>
      </w:pPr>
      <w:r>
        <w:rPr>
          <w:rFonts w:hint="eastAsia" w:ascii="楷体_GB2312" w:hAnsi="仿宋_GB2312" w:eastAsia="楷体_GB2312" w:cs="仿宋_GB2312"/>
          <w:b/>
          <w:bCs/>
          <w:color w:val="000000"/>
          <w:kern w:val="0"/>
          <w:sz w:val="28"/>
          <w:szCs w:val="28"/>
          <w:highlight w:val="none"/>
          <w:lang w:bidi="en-US"/>
        </w:rPr>
        <w:t>（二）年度考核指标体系</w:t>
      </w:r>
    </w:p>
    <w:tbl>
      <w:tblPr>
        <w:tblStyle w:val="12"/>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725"/>
        <w:gridCol w:w="434"/>
        <w:gridCol w:w="912"/>
        <w:gridCol w:w="531"/>
        <w:gridCol w:w="1307"/>
        <w:gridCol w:w="1102"/>
        <w:gridCol w:w="1235"/>
        <w:gridCol w:w="2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blHeader/>
        </w:trPr>
        <w:tc>
          <w:tcPr>
            <w:tcW w:w="409" w:type="pct"/>
            <w:shd w:val="clear" w:color="auto" w:fill="auto"/>
            <w:vAlign w:val="center"/>
          </w:tcPr>
          <w:p>
            <w:pPr>
              <w:keepNext w:val="0"/>
              <w:keepLines w:val="0"/>
              <w:widowControl/>
              <w:suppressLineNumbers w:val="0"/>
              <w:jc w:val="center"/>
              <w:textAlignment w:val="center"/>
              <w:rPr>
                <w:rFonts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一级指标</w:t>
            </w:r>
          </w:p>
        </w:tc>
        <w:tc>
          <w:tcPr>
            <w:tcW w:w="245"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分值</w:t>
            </w:r>
          </w:p>
        </w:tc>
        <w:tc>
          <w:tcPr>
            <w:tcW w:w="515"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二级指标</w:t>
            </w:r>
          </w:p>
        </w:tc>
        <w:tc>
          <w:tcPr>
            <w:tcW w:w="300"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分值</w:t>
            </w:r>
          </w:p>
        </w:tc>
        <w:tc>
          <w:tcPr>
            <w:tcW w:w="738"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指标解释</w:t>
            </w:r>
          </w:p>
        </w:tc>
        <w:tc>
          <w:tcPr>
            <w:tcW w:w="622"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应达要求</w:t>
            </w:r>
          </w:p>
        </w:tc>
        <w:tc>
          <w:tcPr>
            <w:tcW w:w="697"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测量规则</w:t>
            </w:r>
          </w:p>
        </w:tc>
        <w:tc>
          <w:tcPr>
            <w:tcW w:w="1471"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0" w:hRule="atLeast"/>
        </w:trPr>
        <w:tc>
          <w:tcPr>
            <w:tcW w:w="409"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满意度管理（H）</w:t>
            </w:r>
          </w:p>
        </w:tc>
        <w:tc>
          <w:tcPr>
            <w:tcW w:w="245"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30</w:t>
            </w:r>
          </w:p>
        </w:tc>
        <w:tc>
          <w:tcPr>
            <w:tcW w:w="515"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云服务满意率（H1）</w:t>
            </w:r>
          </w:p>
        </w:tc>
        <w:tc>
          <w:tcPr>
            <w:tcW w:w="300"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30</w:t>
            </w:r>
          </w:p>
        </w:tc>
        <w:tc>
          <w:tcPr>
            <w:tcW w:w="738"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见满意度调查问卷。</w:t>
            </w:r>
          </w:p>
        </w:tc>
        <w:tc>
          <w:tcPr>
            <w:tcW w:w="622"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每年满意度不低于90%</w:t>
            </w:r>
          </w:p>
        </w:tc>
        <w:tc>
          <w:tcPr>
            <w:tcW w:w="697"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云服务满意率：见满意度调查问卷</w:t>
            </w:r>
          </w:p>
        </w:tc>
        <w:tc>
          <w:tcPr>
            <w:tcW w:w="1471"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云服务满意度≥90%得满分，每偏差1%扣除权重2%，扣完为止。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800" w:hRule="atLeast"/>
        </w:trPr>
        <w:tc>
          <w:tcPr>
            <w:tcW w:w="409"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培训管理(I)</w:t>
            </w:r>
          </w:p>
        </w:tc>
        <w:tc>
          <w:tcPr>
            <w:tcW w:w="245"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10</w:t>
            </w:r>
          </w:p>
        </w:tc>
        <w:tc>
          <w:tcPr>
            <w:tcW w:w="515"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年有效培训次数</w:t>
            </w:r>
            <w:r>
              <w:rPr>
                <w:rFonts w:hint="eastAsia" w:ascii="仿宋_GB2312" w:hAnsi="宋体" w:eastAsia="仿宋_GB2312" w:cs="仿宋_GB2312"/>
                <w:i w:val="0"/>
                <w:iCs w:val="0"/>
                <w:color w:val="000000"/>
                <w:kern w:val="0"/>
                <w:sz w:val="18"/>
                <w:szCs w:val="18"/>
                <w:highlight w:val="none"/>
                <w:u w:val="none"/>
                <w:lang w:val="en-US" w:eastAsia="zh-CN" w:bidi="ar"/>
              </w:rPr>
              <w:br w:type="textWrapping"/>
            </w:r>
            <w:r>
              <w:rPr>
                <w:rFonts w:hint="eastAsia" w:ascii="仿宋_GB2312" w:hAnsi="宋体" w:eastAsia="仿宋_GB2312" w:cs="仿宋_GB2312"/>
                <w:i w:val="0"/>
                <w:iCs w:val="0"/>
                <w:color w:val="000000"/>
                <w:kern w:val="0"/>
                <w:sz w:val="18"/>
                <w:szCs w:val="18"/>
                <w:highlight w:val="none"/>
                <w:u w:val="none"/>
                <w:lang w:val="en-US" w:eastAsia="zh-CN" w:bidi="ar"/>
              </w:rPr>
              <w:t>（I1）</w:t>
            </w:r>
          </w:p>
        </w:tc>
        <w:tc>
          <w:tcPr>
            <w:tcW w:w="300"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10</w:t>
            </w:r>
          </w:p>
        </w:tc>
        <w:tc>
          <w:tcPr>
            <w:tcW w:w="738"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每年中标方面向政务云使用单位的培训次数。</w:t>
            </w:r>
          </w:p>
        </w:tc>
        <w:tc>
          <w:tcPr>
            <w:tcW w:w="622"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每年有效培训次数不小于20次</w:t>
            </w:r>
          </w:p>
        </w:tc>
        <w:tc>
          <w:tcPr>
            <w:tcW w:w="697"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每次培训人数不少于4人，按提供培训教材、培训通知、现场签到或会议记录等佐证材料计数。</w:t>
            </w:r>
          </w:p>
        </w:tc>
        <w:tc>
          <w:tcPr>
            <w:tcW w:w="1471"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年有效培训次数≥20次得满分，每偏差1次扣除权重的5%，扣完为止。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100" w:hRule="atLeast"/>
        </w:trPr>
        <w:tc>
          <w:tcPr>
            <w:tcW w:w="409" w:type="pct"/>
            <w:vMerge w:val="restar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安全管理</w:t>
            </w:r>
            <w:r>
              <w:rPr>
                <w:rFonts w:hint="eastAsia" w:ascii="仿宋_GB2312" w:hAnsi="宋体" w:eastAsia="仿宋_GB2312" w:cs="仿宋_GB2312"/>
                <w:i w:val="0"/>
                <w:iCs w:val="0"/>
                <w:color w:val="000000"/>
                <w:kern w:val="0"/>
                <w:sz w:val="18"/>
                <w:szCs w:val="18"/>
                <w:highlight w:val="none"/>
                <w:u w:val="none"/>
                <w:lang w:val="en-US" w:eastAsia="zh-CN" w:bidi="ar"/>
              </w:rPr>
              <w:br w:type="textWrapping"/>
            </w:r>
            <w:r>
              <w:rPr>
                <w:rFonts w:hint="eastAsia" w:ascii="仿宋_GB2312" w:hAnsi="宋体" w:eastAsia="仿宋_GB2312" w:cs="仿宋_GB2312"/>
                <w:i w:val="0"/>
                <w:iCs w:val="0"/>
                <w:color w:val="000000"/>
                <w:kern w:val="0"/>
                <w:sz w:val="18"/>
                <w:szCs w:val="18"/>
                <w:highlight w:val="none"/>
                <w:u w:val="none"/>
                <w:lang w:val="en-US" w:eastAsia="zh-CN" w:bidi="ar"/>
              </w:rPr>
              <w:t>(J)</w:t>
            </w:r>
          </w:p>
        </w:tc>
        <w:tc>
          <w:tcPr>
            <w:tcW w:w="245" w:type="pct"/>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18"/>
                <w:szCs w:val="18"/>
                <w:highlight w:val="none"/>
                <w:u w:val="none"/>
                <w:lang w:val="en-US" w:eastAsia="zh-CN" w:bidi="ar"/>
              </w:rPr>
            </w:pPr>
            <w:r>
              <w:rPr>
                <w:rFonts w:hint="eastAsia" w:ascii="仿宋_GB2312" w:hAnsi="宋体" w:eastAsia="仿宋_GB2312" w:cs="仿宋_GB2312"/>
                <w:i w:val="0"/>
                <w:iCs w:val="0"/>
                <w:color w:val="000000"/>
                <w:kern w:val="0"/>
                <w:sz w:val="18"/>
                <w:szCs w:val="18"/>
                <w:highlight w:val="none"/>
                <w:u w:val="none"/>
                <w:lang w:val="en-US" w:eastAsia="zh-CN" w:bidi="ar"/>
              </w:rPr>
              <w:t>20</w:t>
            </w:r>
          </w:p>
        </w:tc>
        <w:tc>
          <w:tcPr>
            <w:tcW w:w="515" w:type="pct"/>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18"/>
                <w:szCs w:val="18"/>
                <w:highlight w:val="none"/>
                <w:u w:val="none"/>
                <w:lang w:val="en-US" w:eastAsia="zh-CN" w:bidi="ar"/>
              </w:rPr>
            </w:pPr>
            <w:r>
              <w:rPr>
                <w:rFonts w:hint="eastAsia" w:ascii="仿宋_GB2312" w:hAnsi="宋体" w:eastAsia="仿宋_GB2312" w:cs="仿宋_GB2312"/>
                <w:i w:val="0"/>
                <w:iCs w:val="0"/>
                <w:color w:val="000000"/>
                <w:kern w:val="0"/>
                <w:sz w:val="18"/>
                <w:szCs w:val="18"/>
                <w:highlight w:val="none"/>
                <w:u w:val="none"/>
                <w:lang w:val="en-US" w:eastAsia="zh-CN" w:bidi="ar"/>
              </w:rPr>
              <w:t>安全通报事件数</w:t>
            </w:r>
          </w:p>
        </w:tc>
        <w:tc>
          <w:tcPr>
            <w:tcW w:w="300" w:type="pct"/>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18"/>
                <w:szCs w:val="18"/>
                <w:highlight w:val="none"/>
                <w:u w:val="none"/>
                <w:lang w:val="en-US" w:eastAsia="zh-CN" w:bidi="ar"/>
              </w:rPr>
            </w:pPr>
            <w:r>
              <w:rPr>
                <w:rFonts w:hint="eastAsia" w:ascii="仿宋_GB2312" w:hAnsi="宋体" w:eastAsia="仿宋_GB2312" w:cs="仿宋_GB2312"/>
                <w:i w:val="0"/>
                <w:iCs w:val="0"/>
                <w:color w:val="000000"/>
                <w:kern w:val="0"/>
                <w:sz w:val="18"/>
                <w:szCs w:val="18"/>
                <w:highlight w:val="none"/>
                <w:u w:val="none"/>
                <w:lang w:val="en-US" w:eastAsia="zh-CN" w:bidi="ar"/>
              </w:rPr>
              <w:t>20</w:t>
            </w:r>
          </w:p>
        </w:tc>
        <w:tc>
          <w:tcPr>
            <w:tcW w:w="738" w:type="pct"/>
            <w:shd w:val="clear" w:color="auto" w:fill="auto"/>
            <w:vAlign w:val="center"/>
          </w:tcPr>
          <w:p>
            <w:pPr>
              <w:keepNext w:val="0"/>
              <w:keepLines w:val="0"/>
              <w:widowControl/>
              <w:suppressLineNumbers w:val="0"/>
              <w:jc w:val="both"/>
              <w:textAlignment w:val="center"/>
              <w:rPr>
                <w:rFonts w:hint="default" w:ascii="仿宋_GB2312" w:hAnsi="宋体" w:eastAsia="仿宋_GB2312" w:cs="仿宋_GB2312"/>
                <w:i w:val="0"/>
                <w:iCs w:val="0"/>
                <w:color w:val="000000"/>
                <w:kern w:val="0"/>
                <w:sz w:val="18"/>
                <w:szCs w:val="18"/>
                <w:highlight w:val="none"/>
                <w:u w:val="none"/>
                <w:lang w:val="en-US" w:eastAsia="zh-CN" w:bidi="ar"/>
              </w:rPr>
            </w:pPr>
            <w:r>
              <w:rPr>
                <w:rFonts w:hint="eastAsia" w:ascii="仿宋_GB2312" w:hAnsi="宋体" w:eastAsia="仿宋_GB2312" w:cs="仿宋_GB2312"/>
                <w:i w:val="0"/>
                <w:iCs w:val="0"/>
                <w:color w:val="000000"/>
                <w:kern w:val="0"/>
                <w:sz w:val="18"/>
                <w:szCs w:val="18"/>
                <w:highlight w:val="none"/>
                <w:u w:val="none"/>
                <w:lang w:val="en-US" w:eastAsia="zh-CN" w:bidi="ar"/>
              </w:rPr>
              <w:t>每年中标方被国家、市级安全主管部门通报涉及市政务云安全事件数量。</w:t>
            </w:r>
          </w:p>
        </w:tc>
        <w:tc>
          <w:tcPr>
            <w:tcW w:w="622" w:type="pct"/>
            <w:shd w:val="clear" w:color="auto" w:fill="auto"/>
            <w:vAlign w:val="center"/>
          </w:tcPr>
          <w:p>
            <w:pPr>
              <w:keepNext w:val="0"/>
              <w:keepLines w:val="0"/>
              <w:widowControl/>
              <w:suppressLineNumbers w:val="0"/>
              <w:jc w:val="both"/>
              <w:textAlignment w:val="center"/>
              <w:rPr>
                <w:rFonts w:hint="default" w:ascii="仿宋_GB2312" w:hAnsi="宋体" w:eastAsia="仿宋_GB2312" w:cs="仿宋_GB2312"/>
                <w:i w:val="0"/>
                <w:iCs w:val="0"/>
                <w:color w:val="000000"/>
                <w:kern w:val="0"/>
                <w:sz w:val="18"/>
                <w:szCs w:val="18"/>
                <w:highlight w:val="none"/>
                <w:u w:val="none"/>
                <w:lang w:val="en-US" w:eastAsia="zh-CN" w:bidi="ar"/>
              </w:rPr>
            </w:pPr>
            <w:r>
              <w:rPr>
                <w:rFonts w:hint="eastAsia" w:ascii="仿宋_GB2312" w:hAnsi="宋体" w:eastAsia="仿宋_GB2312" w:cs="仿宋_GB2312"/>
                <w:i w:val="0"/>
                <w:iCs w:val="0"/>
                <w:color w:val="000000"/>
                <w:kern w:val="0"/>
                <w:sz w:val="18"/>
                <w:szCs w:val="18"/>
                <w:highlight w:val="none"/>
                <w:u w:val="none"/>
                <w:lang w:val="en-US" w:eastAsia="zh-CN" w:bidi="ar"/>
              </w:rPr>
              <w:t>不发生安全通报事件</w:t>
            </w:r>
          </w:p>
        </w:tc>
        <w:tc>
          <w:tcPr>
            <w:tcW w:w="697"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kern w:val="0"/>
                <w:sz w:val="18"/>
                <w:szCs w:val="18"/>
                <w:highlight w:val="none"/>
                <w:u w:val="none"/>
                <w:lang w:val="en-US" w:eastAsia="zh-CN" w:bidi="ar"/>
              </w:rPr>
            </w:pPr>
            <w:r>
              <w:rPr>
                <w:rFonts w:hint="eastAsia" w:ascii="仿宋_GB2312" w:hAnsi="宋体" w:eastAsia="仿宋_GB2312" w:cs="仿宋_GB2312"/>
                <w:i w:val="0"/>
                <w:iCs w:val="0"/>
                <w:color w:val="000000"/>
                <w:kern w:val="0"/>
                <w:sz w:val="18"/>
                <w:szCs w:val="18"/>
                <w:highlight w:val="none"/>
                <w:u w:val="none"/>
                <w:lang w:val="en-US" w:eastAsia="zh-CN" w:bidi="ar"/>
              </w:rPr>
              <w:t>安全通报事件数=国家、市级安全主管部门通报涉及市政务云安全事件数量</w:t>
            </w:r>
          </w:p>
        </w:tc>
        <w:tc>
          <w:tcPr>
            <w:tcW w:w="1471"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kern w:val="0"/>
                <w:sz w:val="18"/>
                <w:szCs w:val="18"/>
                <w:highlight w:val="none"/>
                <w:u w:val="none"/>
                <w:lang w:val="en-US" w:eastAsia="zh-CN" w:bidi="ar"/>
              </w:rPr>
            </w:pPr>
            <w:r>
              <w:rPr>
                <w:rFonts w:hint="eastAsia" w:ascii="仿宋_GB2312" w:hAnsi="宋体" w:eastAsia="仿宋_GB2312" w:cs="仿宋_GB2312"/>
                <w:i w:val="0"/>
                <w:iCs w:val="0"/>
                <w:color w:val="000000"/>
                <w:kern w:val="0"/>
                <w:sz w:val="18"/>
                <w:szCs w:val="18"/>
                <w:highlight w:val="none"/>
                <w:u w:val="none"/>
                <w:lang w:val="en-US" w:eastAsia="zh-CN" w:bidi="ar"/>
              </w:rPr>
              <w:t>中标方每发生一起被国家、市级安全主管部门通报涉及市政务云安全事件扣10分，扣完为止；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100" w:hRule="atLeast"/>
        </w:trPr>
        <w:tc>
          <w:tcPr>
            <w:tcW w:w="409" w:type="pct"/>
            <w:vMerge w:val="continue"/>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highlight w:val="none"/>
                <w:u w:val="none"/>
              </w:rPr>
            </w:pPr>
          </w:p>
        </w:tc>
        <w:tc>
          <w:tcPr>
            <w:tcW w:w="245"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20</w:t>
            </w:r>
          </w:p>
        </w:tc>
        <w:tc>
          <w:tcPr>
            <w:tcW w:w="515"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安全风险及时整改数（J1）</w:t>
            </w:r>
          </w:p>
        </w:tc>
        <w:tc>
          <w:tcPr>
            <w:tcW w:w="300"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20</w:t>
            </w:r>
          </w:p>
        </w:tc>
        <w:tc>
          <w:tcPr>
            <w:tcW w:w="738"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发现涉及安全风险事件时，在规定的时间内予以整改的数量。</w:t>
            </w:r>
          </w:p>
        </w:tc>
        <w:tc>
          <w:tcPr>
            <w:tcW w:w="622"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安全风险包括安全漏洞、故障隐患、其他问题等应及时整改，时间不超过规定时间。</w:t>
            </w:r>
          </w:p>
        </w:tc>
        <w:tc>
          <w:tcPr>
            <w:tcW w:w="697"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（1）安全风险整改时间=安全风险处理完成时间-发现安全风险的时间</w:t>
            </w:r>
            <w:r>
              <w:rPr>
                <w:rFonts w:hint="eastAsia" w:ascii="仿宋_GB2312" w:hAnsi="宋体" w:eastAsia="仿宋_GB2312" w:cs="仿宋_GB2312"/>
                <w:i w:val="0"/>
                <w:iCs w:val="0"/>
                <w:color w:val="000000"/>
                <w:kern w:val="0"/>
                <w:sz w:val="18"/>
                <w:szCs w:val="18"/>
                <w:highlight w:val="none"/>
                <w:u w:val="none"/>
                <w:lang w:val="en-US" w:eastAsia="zh-CN" w:bidi="ar"/>
              </w:rPr>
              <w:br w:type="textWrapping"/>
            </w:r>
            <w:r>
              <w:rPr>
                <w:rFonts w:hint="eastAsia" w:ascii="仿宋_GB2312" w:hAnsi="宋体" w:eastAsia="仿宋_GB2312" w:cs="仿宋_GB2312"/>
                <w:i w:val="0"/>
                <w:iCs w:val="0"/>
                <w:color w:val="000000"/>
                <w:kern w:val="0"/>
                <w:sz w:val="18"/>
                <w:szCs w:val="18"/>
                <w:highlight w:val="none"/>
                <w:u w:val="none"/>
                <w:lang w:val="en-US" w:eastAsia="zh-CN" w:bidi="ar"/>
              </w:rPr>
              <w:t>（2）安全风险及时整改数=按时整改数</w:t>
            </w:r>
          </w:p>
        </w:tc>
        <w:tc>
          <w:tcPr>
            <w:tcW w:w="1471"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中标方的安全风险整改指标未达到要求，每发生一起则扣5分，扣完为止。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0" w:hRule="atLeast"/>
        </w:trPr>
        <w:tc>
          <w:tcPr>
            <w:tcW w:w="409" w:type="pct"/>
            <w:vMerge w:val="continue"/>
            <w:shd w:val="clear" w:color="auto" w:fill="auto"/>
            <w:vAlign w:val="center"/>
          </w:tcPr>
          <w:p>
            <w:pPr>
              <w:jc w:val="center"/>
              <w:rPr>
                <w:rFonts w:hint="eastAsia" w:ascii="仿宋_GB2312" w:hAnsi="宋体" w:eastAsia="仿宋_GB2312" w:cs="仿宋_GB2312"/>
                <w:i w:val="0"/>
                <w:iCs w:val="0"/>
                <w:color w:val="000000"/>
                <w:sz w:val="18"/>
                <w:szCs w:val="18"/>
                <w:highlight w:val="none"/>
                <w:u w:val="none"/>
              </w:rPr>
            </w:pPr>
          </w:p>
        </w:tc>
        <w:tc>
          <w:tcPr>
            <w:tcW w:w="245"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20</w:t>
            </w:r>
          </w:p>
        </w:tc>
        <w:tc>
          <w:tcPr>
            <w:tcW w:w="515"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安全责任事故数（J2）</w:t>
            </w:r>
          </w:p>
        </w:tc>
        <w:tc>
          <w:tcPr>
            <w:tcW w:w="300"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20</w:t>
            </w:r>
          </w:p>
        </w:tc>
        <w:tc>
          <w:tcPr>
            <w:tcW w:w="738"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中标方提供的机房、网络、安全、虚拟机、物理机、存储、运维等方面出现问题引起的安全责任事故数量。</w:t>
            </w:r>
          </w:p>
        </w:tc>
        <w:tc>
          <w:tcPr>
            <w:tcW w:w="622"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不发生该类事件</w:t>
            </w:r>
          </w:p>
        </w:tc>
        <w:tc>
          <w:tcPr>
            <w:tcW w:w="697"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安全责任事故数=采购方指定的第三方出具监管报告确认为安全责任事故的数量</w:t>
            </w:r>
          </w:p>
        </w:tc>
        <w:tc>
          <w:tcPr>
            <w:tcW w:w="1471"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（1）中标方的五级安全责任事故每发生一起则扣2分，扣完为止；</w:t>
            </w:r>
            <w:r>
              <w:rPr>
                <w:rFonts w:hint="eastAsia" w:ascii="仿宋_GB2312" w:hAnsi="宋体" w:eastAsia="仿宋_GB2312" w:cs="仿宋_GB2312"/>
                <w:i w:val="0"/>
                <w:iCs w:val="0"/>
                <w:color w:val="000000"/>
                <w:kern w:val="0"/>
                <w:sz w:val="18"/>
                <w:szCs w:val="18"/>
                <w:highlight w:val="none"/>
                <w:u w:val="none"/>
                <w:lang w:val="en-US" w:eastAsia="zh-CN" w:bidi="ar"/>
              </w:rPr>
              <w:br w:type="textWrapping"/>
            </w:r>
            <w:r>
              <w:rPr>
                <w:rFonts w:hint="eastAsia" w:ascii="仿宋_GB2312" w:hAnsi="宋体" w:eastAsia="仿宋_GB2312" w:cs="仿宋_GB2312"/>
                <w:i w:val="0"/>
                <w:iCs w:val="0"/>
                <w:color w:val="000000"/>
                <w:kern w:val="0"/>
                <w:sz w:val="18"/>
                <w:szCs w:val="18"/>
                <w:highlight w:val="none"/>
                <w:u w:val="none"/>
                <w:lang w:val="en-US" w:eastAsia="zh-CN" w:bidi="ar"/>
              </w:rPr>
              <w:t>（2）中标方的四级安全责任事故每发生一起则扣4分，扣完为止；</w:t>
            </w:r>
            <w:r>
              <w:rPr>
                <w:rFonts w:hint="eastAsia" w:ascii="仿宋_GB2312" w:hAnsi="宋体" w:eastAsia="仿宋_GB2312" w:cs="仿宋_GB2312"/>
                <w:i w:val="0"/>
                <w:iCs w:val="0"/>
                <w:color w:val="000000"/>
                <w:kern w:val="0"/>
                <w:sz w:val="18"/>
                <w:szCs w:val="18"/>
                <w:highlight w:val="none"/>
                <w:u w:val="none"/>
                <w:lang w:val="en-US" w:eastAsia="zh-CN" w:bidi="ar"/>
              </w:rPr>
              <w:br w:type="textWrapping"/>
            </w:r>
            <w:r>
              <w:rPr>
                <w:rFonts w:hint="eastAsia" w:ascii="仿宋_GB2312" w:hAnsi="宋体" w:eastAsia="仿宋_GB2312" w:cs="仿宋_GB2312"/>
                <w:i w:val="0"/>
                <w:iCs w:val="0"/>
                <w:color w:val="000000"/>
                <w:kern w:val="0"/>
                <w:sz w:val="18"/>
                <w:szCs w:val="18"/>
                <w:highlight w:val="none"/>
                <w:u w:val="none"/>
                <w:lang w:val="en-US" w:eastAsia="zh-CN" w:bidi="ar"/>
              </w:rPr>
              <w:t>（3）中标方的三级安全责任事故每发生一起则扣6分，扣完为止；</w:t>
            </w:r>
            <w:r>
              <w:rPr>
                <w:rFonts w:hint="eastAsia" w:ascii="仿宋_GB2312" w:hAnsi="宋体" w:eastAsia="仿宋_GB2312" w:cs="仿宋_GB2312"/>
                <w:i w:val="0"/>
                <w:iCs w:val="0"/>
                <w:color w:val="000000"/>
                <w:kern w:val="0"/>
                <w:sz w:val="18"/>
                <w:szCs w:val="18"/>
                <w:highlight w:val="none"/>
                <w:u w:val="none"/>
                <w:lang w:val="en-US" w:eastAsia="zh-CN" w:bidi="ar"/>
              </w:rPr>
              <w:br w:type="textWrapping"/>
            </w:r>
            <w:r>
              <w:rPr>
                <w:rFonts w:hint="eastAsia" w:ascii="仿宋_GB2312" w:hAnsi="宋体" w:eastAsia="仿宋_GB2312" w:cs="仿宋_GB2312"/>
                <w:i w:val="0"/>
                <w:iCs w:val="0"/>
                <w:color w:val="000000"/>
                <w:kern w:val="0"/>
                <w:sz w:val="18"/>
                <w:szCs w:val="18"/>
                <w:highlight w:val="none"/>
                <w:u w:val="none"/>
                <w:lang w:val="en-US" w:eastAsia="zh-CN" w:bidi="ar"/>
              </w:rPr>
              <w:t>（4）中标方的二级安全责任事故每发生一起则扣8分，扣完为止；</w:t>
            </w:r>
            <w:r>
              <w:rPr>
                <w:rFonts w:hint="eastAsia" w:ascii="仿宋_GB2312" w:hAnsi="宋体" w:eastAsia="仿宋_GB2312" w:cs="仿宋_GB2312"/>
                <w:i w:val="0"/>
                <w:iCs w:val="0"/>
                <w:color w:val="000000"/>
                <w:kern w:val="0"/>
                <w:sz w:val="18"/>
                <w:szCs w:val="18"/>
                <w:highlight w:val="none"/>
                <w:u w:val="none"/>
                <w:lang w:val="en-US" w:eastAsia="zh-CN" w:bidi="ar"/>
              </w:rPr>
              <w:br w:type="textWrapping"/>
            </w:r>
            <w:r>
              <w:rPr>
                <w:rFonts w:hint="eastAsia" w:ascii="仿宋_GB2312" w:hAnsi="宋体" w:eastAsia="仿宋_GB2312" w:cs="仿宋_GB2312"/>
                <w:i w:val="0"/>
                <w:iCs w:val="0"/>
                <w:color w:val="000000"/>
                <w:kern w:val="0"/>
                <w:sz w:val="18"/>
                <w:szCs w:val="18"/>
                <w:highlight w:val="none"/>
                <w:u w:val="none"/>
                <w:lang w:val="en-US" w:eastAsia="zh-CN" w:bidi="ar"/>
              </w:rPr>
              <w:t>（5）中标方的一级安全责任事故每发生一起则扣10分，扣完为止。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 w:hRule="atLeast"/>
        </w:trPr>
        <w:tc>
          <w:tcPr>
            <w:tcW w:w="1169" w:type="pct"/>
            <w:gridSpan w:val="3"/>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合计</w:t>
            </w:r>
          </w:p>
        </w:tc>
        <w:tc>
          <w:tcPr>
            <w:tcW w:w="300"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100</w:t>
            </w:r>
          </w:p>
        </w:tc>
        <w:tc>
          <w:tcPr>
            <w:tcW w:w="738" w:type="pct"/>
            <w:shd w:val="clear" w:color="auto" w:fill="auto"/>
            <w:vAlign w:val="center"/>
          </w:tcPr>
          <w:p>
            <w:pPr>
              <w:rPr>
                <w:rFonts w:hint="eastAsia" w:ascii="仿宋_GB2312" w:hAnsi="宋体" w:eastAsia="仿宋_GB2312" w:cs="仿宋_GB2312"/>
                <w:b/>
                <w:bCs/>
                <w:i w:val="0"/>
                <w:iCs w:val="0"/>
                <w:color w:val="000000"/>
                <w:sz w:val="18"/>
                <w:szCs w:val="18"/>
                <w:highlight w:val="none"/>
                <w:u w:val="none"/>
              </w:rPr>
            </w:pPr>
          </w:p>
        </w:tc>
        <w:tc>
          <w:tcPr>
            <w:tcW w:w="622" w:type="pct"/>
            <w:shd w:val="clear" w:color="auto" w:fill="auto"/>
            <w:vAlign w:val="center"/>
          </w:tcPr>
          <w:p>
            <w:pPr>
              <w:rPr>
                <w:rFonts w:hint="eastAsia" w:ascii="仿宋_GB2312" w:hAnsi="宋体" w:eastAsia="仿宋_GB2312" w:cs="仿宋_GB2312"/>
                <w:b/>
                <w:bCs/>
                <w:i w:val="0"/>
                <w:iCs w:val="0"/>
                <w:color w:val="000000"/>
                <w:sz w:val="18"/>
                <w:szCs w:val="18"/>
                <w:highlight w:val="none"/>
                <w:u w:val="none"/>
              </w:rPr>
            </w:pPr>
          </w:p>
        </w:tc>
        <w:tc>
          <w:tcPr>
            <w:tcW w:w="697" w:type="pct"/>
            <w:shd w:val="clear" w:color="auto" w:fill="auto"/>
            <w:vAlign w:val="center"/>
          </w:tcPr>
          <w:p>
            <w:pPr>
              <w:rPr>
                <w:rFonts w:hint="eastAsia" w:ascii="仿宋_GB2312" w:hAnsi="宋体" w:eastAsia="仿宋_GB2312" w:cs="仿宋_GB2312"/>
                <w:b/>
                <w:bCs/>
                <w:i w:val="0"/>
                <w:iCs w:val="0"/>
                <w:color w:val="000000"/>
                <w:sz w:val="18"/>
                <w:szCs w:val="18"/>
                <w:highlight w:val="none"/>
                <w:u w:val="none"/>
              </w:rPr>
            </w:pPr>
          </w:p>
        </w:tc>
        <w:tc>
          <w:tcPr>
            <w:tcW w:w="1471" w:type="pct"/>
            <w:shd w:val="clear" w:color="auto" w:fill="auto"/>
            <w:vAlign w:val="center"/>
          </w:tcPr>
          <w:p>
            <w:pPr>
              <w:rPr>
                <w:rFonts w:hint="eastAsia" w:ascii="仿宋_GB2312" w:hAnsi="宋体" w:eastAsia="仿宋_GB2312" w:cs="仿宋_GB2312"/>
                <w:b/>
                <w:bCs/>
                <w:i w:val="0"/>
                <w:iCs w:val="0"/>
                <w:color w:val="000000"/>
                <w:sz w:val="18"/>
                <w:szCs w:val="18"/>
                <w:highlight w:val="none"/>
                <w:u w:val="none"/>
              </w:rPr>
            </w:pPr>
          </w:p>
        </w:tc>
      </w:tr>
    </w:tbl>
    <w:p>
      <w:pPr>
        <w:spacing w:line="400" w:lineRule="exact"/>
        <w:ind w:firstLine="480"/>
        <w:rPr>
          <w:rFonts w:ascii="微软雅黑" w:hAnsi="微软雅黑" w:eastAsia="微软雅黑" w:cs="微软雅黑"/>
          <w:highlight w:val="none"/>
        </w:rPr>
      </w:pPr>
    </w:p>
    <w:p>
      <w:pPr>
        <w:tabs>
          <w:tab w:val="left" w:pos="580"/>
        </w:tabs>
        <w:rPr>
          <w:rFonts w:ascii="微软雅黑" w:hAnsi="微软雅黑" w:eastAsia="微软雅黑" w:cs="微软雅黑"/>
          <w:highlight w:val="none"/>
        </w:rPr>
        <w:sectPr>
          <w:pgSz w:w="12240" w:h="15840"/>
          <w:pgMar w:top="1440" w:right="1800" w:bottom="1440" w:left="1800" w:header="720" w:footer="720" w:gutter="0"/>
          <w:cols w:space="720" w:num="1"/>
          <w:docGrid w:type="lines" w:linePitch="312" w:charSpace="0"/>
        </w:sectPr>
      </w:pPr>
      <w:r>
        <w:rPr>
          <w:rFonts w:ascii="微软雅黑" w:hAnsi="微软雅黑" w:eastAsia="微软雅黑" w:cs="微软雅黑"/>
          <w:highlight w:val="none"/>
        </w:rPr>
        <w:tab/>
      </w:r>
    </w:p>
    <w:p>
      <w:pPr>
        <w:widowControl w:val="0"/>
        <w:spacing w:line="600" w:lineRule="exact"/>
        <w:ind w:firstLine="560" w:firstLineChars="200"/>
        <w:outlineLvl w:val="0"/>
        <w:rPr>
          <w:rFonts w:ascii="黑体" w:hAnsi="黑体" w:eastAsia="黑体" w:cs="仿宋_GB2312"/>
          <w:color w:val="000000"/>
          <w:kern w:val="0"/>
          <w:sz w:val="28"/>
          <w:szCs w:val="28"/>
          <w:highlight w:val="none"/>
          <w:lang w:val="zh-CN" w:bidi="en-US"/>
        </w:rPr>
      </w:pPr>
      <w:r>
        <w:rPr>
          <w:rFonts w:hint="eastAsia" w:ascii="黑体" w:hAnsi="黑体" w:eastAsia="黑体" w:cs="仿宋_GB2312"/>
          <w:color w:val="000000"/>
          <w:kern w:val="0"/>
          <w:sz w:val="28"/>
          <w:szCs w:val="28"/>
          <w:highlight w:val="none"/>
          <w:lang w:val="zh-CN" w:bidi="en-US"/>
        </w:rPr>
        <w:t>考核方法与考核结果</w:t>
      </w:r>
    </w:p>
    <w:p>
      <w:pPr>
        <w:spacing w:line="600" w:lineRule="atLeast"/>
        <w:ind w:firstLine="560" w:firstLineChars="200"/>
        <w:rPr>
          <w:rFonts w:ascii="仿宋_GB2312" w:hAnsi="仿宋_GB2312" w:eastAsia="仿宋_GB2312" w:cs="仿宋_GB2312"/>
          <w:sz w:val="28"/>
          <w:szCs w:val="28"/>
          <w:highlight w:val="none"/>
          <w:lang w:eastAsia="zh-Hans"/>
        </w:rPr>
      </w:pPr>
      <w:r>
        <w:rPr>
          <w:rFonts w:hint="eastAsia" w:ascii="仿宋_GB2312" w:hAnsi="仿宋_GB2312" w:eastAsia="仿宋_GB2312" w:cs="仿宋_GB2312"/>
          <w:sz w:val="28"/>
          <w:szCs w:val="28"/>
          <w:highlight w:val="none"/>
          <w:lang w:val="en-US" w:eastAsia="zh-CN"/>
        </w:rPr>
        <w:t>采购方</w:t>
      </w:r>
      <w:r>
        <w:rPr>
          <w:rFonts w:hint="eastAsia" w:ascii="仿宋_GB2312" w:hAnsi="仿宋_GB2312" w:eastAsia="仿宋_GB2312" w:cs="仿宋_GB2312"/>
          <w:sz w:val="28"/>
          <w:szCs w:val="28"/>
          <w:highlight w:val="none"/>
          <w:lang w:eastAsia="zh-Hans"/>
        </w:rPr>
        <w:t>每月定期按月度考核指标进行考核，出具考核结果，一个服务年度按年度考核指标执行一次年度考核，出具年度考核结果。</w:t>
      </w:r>
    </w:p>
    <w:p>
      <w:pPr>
        <w:spacing w:line="600" w:lineRule="atLeast"/>
        <w:ind w:firstLine="560" w:firstLineChars="200"/>
        <w:rPr>
          <w:rFonts w:ascii="仿宋_GB2312" w:hAnsi="仿宋_GB2312" w:eastAsia="仿宋_GB2312" w:cs="仿宋_GB2312"/>
          <w:sz w:val="28"/>
          <w:szCs w:val="28"/>
          <w:highlight w:val="none"/>
          <w:lang w:eastAsia="zh-Hans"/>
        </w:rPr>
      </w:pPr>
      <w:r>
        <w:rPr>
          <w:rFonts w:hint="eastAsia" w:ascii="仿宋_GB2312" w:hAnsi="仿宋_GB2312" w:eastAsia="仿宋_GB2312" w:cs="仿宋_GB2312"/>
          <w:sz w:val="28"/>
          <w:szCs w:val="28"/>
          <w:highlight w:val="none"/>
          <w:lang w:eastAsia="zh-CN"/>
        </w:rPr>
        <w:t>中标方</w:t>
      </w:r>
      <w:r>
        <w:rPr>
          <w:rFonts w:hint="eastAsia" w:ascii="仿宋_GB2312" w:hAnsi="仿宋_GB2312" w:eastAsia="仿宋_GB2312" w:cs="仿宋_GB2312"/>
          <w:sz w:val="28"/>
          <w:szCs w:val="28"/>
          <w:highlight w:val="none"/>
          <w:lang w:eastAsia="zh-Hans"/>
        </w:rPr>
        <w:t>年度考核得分8</w:t>
      </w:r>
      <w:r>
        <w:rPr>
          <w:rFonts w:ascii="仿宋_GB2312" w:hAnsi="仿宋_GB2312" w:eastAsia="仿宋_GB2312" w:cs="仿宋_GB2312"/>
          <w:sz w:val="28"/>
          <w:szCs w:val="28"/>
          <w:highlight w:val="none"/>
          <w:lang w:eastAsia="zh-Hans"/>
        </w:rPr>
        <w:t>0</w:t>
      </w:r>
      <w:r>
        <w:rPr>
          <w:rFonts w:hint="eastAsia" w:ascii="仿宋_GB2312" w:hAnsi="仿宋_GB2312" w:eastAsia="仿宋_GB2312" w:cs="仿宋_GB2312"/>
          <w:sz w:val="28"/>
          <w:szCs w:val="28"/>
          <w:highlight w:val="none"/>
          <w:lang w:eastAsia="zh-Hans"/>
        </w:rPr>
        <w:t>%权重来自于月度考核，2</w:t>
      </w:r>
      <w:r>
        <w:rPr>
          <w:rFonts w:ascii="仿宋_GB2312" w:hAnsi="仿宋_GB2312" w:eastAsia="仿宋_GB2312" w:cs="仿宋_GB2312"/>
          <w:sz w:val="28"/>
          <w:szCs w:val="28"/>
          <w:highlight w:val="none"/>
          <w:lang w:eastAsia="zh-Hans"/>
        </w:rPr>
        <w:t>0</w:t>
      </w:r>
      <w:r>
        <w:rPr>
          <w:rFonts w:hint="eastAsia" w:ascii="仿宋_GB2312" w:hAnsi="仿宋_GB2312" w:eastAsia="仿宋_GB2312" w:cs="仿宋_GB2312"/>
          <w:sz w:val="28"/>
          <w:szCs w:val="28"/>
          <w:highlight w:val="none"/>
          <w:lang w:eastAsia="zh-Hans"/>
        </w:rPr>
        <w:t>%来自于年度考核，具体计算公式如下：</w:t>
      </w:r>
    </w:p>
    <w:p>
      <w:pPr>
        <w:spacing w:line="600" w:lineRule="atLeast"/>
        <w:ind w:firstLine="560" w:firstLineChars="200"/>
        <w:rPr>
          <w:sz w:val="20"/>
          <w:szCs w:val="18"/>
          <w:highlight w:val="none"/>
        </w:rPr>
      </w:pPr>
      <w:r>
        <w:rPr>
          <w:rFonts w:hint="eastAsia" w:ascii="仿宋_GB2312" w:hAnsi="仿宋_GB2312" w:eastAsia="仿宋_GB2312" w:cs="仿宋_GB2312"/>
          <w:sz w:val="28"/>
          <w:szCs w:val="28"/>
          <w:highlight w:val="none"/>
          <w:lang w:eastAsia="zh-CN"/>
        </w:rPr>
        <w:t>中标方</w:t>
      </w:r>
      <w:r>
        <w:rPr>
          <w:rFonts w:hint="eastAsia" w:ascii="仿宋_GB2312" w:hAnsi="仿宋_GB2312" w:eastAsia="仿宋_GB2312" w:cs="仿宋_GB2312"/>
          <w:sz w:val="28"/>
          <w:szCs w:val="28"/>
          <w:highlight w:val="none"/>
          <w:lang w:eastAsia="zh-Hans"/>
        </w:rPr>
        <w:t>年度考核得分=服务年度月度考核得分平均分×8</w:t>
      </w:r>
      <w:r>
        <w:rPr>
          <w:rFonts w:ascii="仿宋_GB2312" w:hAnsi="仿宋_GB2312" w:eastAsia="仿宋_GB2312" w:cs="仿宋_GB2312"/>
          <w:sz w:val="28"/>
          <w:szCs w:val="28"/>
          <w:highlight w:val="none"/>
          <w:lang w:eastAsia="zh-Hans"/>
        </w:rPr>
        <w:t>0</w:t>
      </w:r>
      <w:r>
        <w:rPr>
          <w:rFonts w:hint="eastAsia" w:ascii="仿宋_GB2312" w:hAnsi="仿宋_GB2312" w:eastAsia="仿宋_GB2312" w:cs="仿宋_GB2312"/>
          <w:sz w:val="28"/>
          <w:szCs w:val="28"/>
          <w:highlight w:val="none"/>
          <w:lang w:eastAsia="zh-Hans"/>
        </w:rPr>
        <w:t>%+服务年度考核得分×</w:t>
      </w:r>
      <w:r>
        <w:rPr>
          <w:rFonts w:ascii="仿宋_GB2312" w:hAnsi="仿宋_GB2312" w:eastAsia="仿宋_GB2312" w:cs="仿宋_GB2312"/>
          <w:sz w:val="28"/>
          <w:szCs w:val="28"/>
          <w:highlight w:val="none"/>
          <w:lang w:eastAsia="zh-Hans"/>
        </w:rPr>
        <w:t>20</w:t>
      </w:r>
      <w:r>
        <w:rPr>
          <w:rFonts w:hint="eastAsia" w:ascii="仿宋_GB2312" w:hAnsi="仿宋_GB2312" w:eastAsia="仿宋_GB2312" w:cs="仿宋_GB2312"/>
          <w:sz w:val="28"/>
          <w:szCs w:val="28"/>
          <w:highlight w:val="none"/>
          <w:lang w:eastAsia="zh-Hans"/>
        </w:rPr>
        <w:t>%</w:t>
      </w:r>
      <w:bookmarkEnd w:id="87"/>
    </w:p>
    <w:p>
      <w:pPr>
        <w:pStyle w:val="7"/>
        <w:rPr>
          <w:rFonts w:hint="eastAsia" w:eastAsiaTheme="minorEastAsia"/>
          <w:sz w:val="28"/>
          <w:szCs w:val="28"/>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503050405090304"/>
    <w:charset w:val="CC"/>
    <w:family w:val="roman"/>
    <w:pitch w:val="default"/>
    <w:sig w:usb0="00000000" w:usb1="00000000" w:usb2="00000001" w:usb3="00000000" w:csb0="400001BF" w:csb1="DFF7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Book Antiqua">
    <w:altName w:val="Liberation Serif"/>
    <w:panose1 w:val="02040602050305030304"/>
    <w:charset w:val="00"/>
    <w:family w:val="roman"/>
    <w:pitch w:val="default"/>
    <w:sig w:usb0="00000000" w:usb1="00000000" w:usb2="00000000" w:usb3="00000000" w:csb0="2000009F" w:csb1="DFD70000"/>
  </w:font>
  <w:font w:name="Liberation Serif">
    <w:panose1 w:val="02020603050405020304"/>
    <w:charset w:val="00"/>
    <w:family w:val="auto"/>
    <w:pitch w:val="default"/>
    <w:sig w:usb0="A00002AF" w:usb1="500078FB" w:usb2="00000000" w:usb3="00000000" w:csb0="6000009F" w:csb1="DFD70000"/>
  </w:font>
  <w:font w:name="方正黑体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Segoe UI Symbol">
    <w:altName w:val="Noto Sans"/>
    <w:panose1 w:val="020B0502040204020203"/>
    <w:charset w:val="00"/>
    <w:family w:val="swiss"/>
    <w:pitch w:val="default"/>
    <w:sig w:usb0="00000000" w:usb1="00000000" w:usb2="00040000" w:usb3="04000000" w:csb0="00000001" w:csb1="40000000"/>
  </w:font>
  <w:font w:name="Noto Sans">
    <w:panose1 w:val="020B0502040504020204"/>
    <w:charset w:val="00"/>
    <w:family w:val="auto"/>
    <w:pitch w:val="default"/>
    <w:sig w:usb0="E00002FF" w:usb1="4000201F" w:usb2="08000029" w:usb3="00100000" w:csb0="0000019F" w:csb1="00000000"/>
  </w:font>
  <w:font w:name="等线">
    <w:altName w:val="华文中宋"/>
    <w:panose1 w:val="02010600030101010101"/>
    <w:charset w:val="86"/>
    <w:family w:val="auto"/>
    <w:pitch w:val="default"/>
    <w:sig w:usb0="00000000" w:usb1="00000000" w:usb2="00000016" w:usb3="00000000" w:csb0="0004000F" w:csb1="00000000"/>
  </w:font>
  <w:font w:name="华文中宋">
    <w:panose1 w:val="02010600040101010101"/>
    <w:charset w:val="86"/>
    <w:family w:val="auto"/>
    <w:pitch w:val="default"/>
    <w:sig w:usb0="00000287" w:usb1="080F0000" w:usb2="00000000" w:usb3="00000000" w:csb0="0004009F" w:csb1="DFD70000"/>
  </w:font>
  <w:font w:name="微软雅黑">
    <w:altName w:val="方正黑体_GBK"/>
    <w:panose1 w:val="020B0503020204020204"/>
    <w:charset w:val="86"/>
    <w:family w:val="swiss"/>
    <w:pitch w:val="default"/>
    <w:sig w:usb0="00000000" w:usb1="00000000" w:usb2="00000016" w:usb3="00000000" w:csb0="0004001F"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宋体 ( 正文 )">
    <w:altName w:val="方正书宋_GBK"/>
    <w:panose1 w:val="00000000000000000000"/>
    <w:charset w:val="00"/>
    <w:family w:val="auto"/>
    <w:pitch w:val="default"/>
    <w:sig w:usb0="00000000" w:usb1="00000000" w:usb2="00000000" w:usb3="00000000" w:csb0="00040001" w:csb1="00000000"/>
  </w:font>
  <w:font w:name="楷体_GB2312">
    <w:panose1 w:val="02010609030101010101"/>
    <w:charset w:val="86"/>
    <w:family w:val="modern"/>
    <w:pitch w:val="default"/>
    <w:sig w:usb0="00000001" w:usb1="080E0000" w:usb2="00000000" w:usb3="00000000" w:csb0="00040000" w:csb1="00000000"/>
  </w:font>
  <w:font w:name="Arial">
    <w:altName w:val="DejaVu Sans"/>
    <w:panose1 w:val="00000000000000000000"/>
    <w:charset w:val="00"/>
    <w:family w:val="auto"/>
    <w:pitch w:val="default"/>
    <w:sig w:usb0="00000000" w:usb1="00000000" w:usb2="00000000" w:usb3="00000000" w:csb0="00000000" w:csb1="00000000"/>
  </w:font>
  <w:font w:name="文泉驿微米黑">
    <w:panose1 w:val="020B0606030804020204"/>
    <w:charset w:val="86"/>
    <w:family w:val="auto"/>
    <w:pitch w:val="default"/>
    <w:sig w:usb0="E10002EF" w:usb1="6BDFFCFB" w:usb2="00800036" w:usb3="00000000" w:csb0="603E01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95197834"/>
      <w:docPartObj>
        <w:docPartGallery w:val="autotext"/>
      </w:docPartObj>
    </w:sdtPr>
    <w:sdtContent>
      <w:p>
        <w:pPr>
          <w:pStyle w:val="9"/>
          <w:jc w:val="center"/>
        </w:pPr>
        <w:r>
          <w:fldChar w:fldCharType="begin"/>
        </w:r>
        <w:r>
          <w:instrText xml:space="preserve">PAGE   \* MERGEFORMAT</w:instrText>
        </w:r>
        <w:r>
          <w:fldChar w:fldCharType="separate"/>
        </w:r>
        <w:r>
          <w:rPr>
            <w:lang w:val="zh-CN"/>
          </w:rPr>
          <w:t>2</w:t>
        </w:r>
        <w:r>
          <w:fldChar w:fldCharType="end"/>
        </w:r>
      </w:p>
    </w:sdtContent>
  </w:sdt>
  <w:p>
    <w:pPr>
      <w:pStyle w:val="9"/>
      <w:tabs>
        <w:tab w:val="center" w:pos="4320"/>
        <w:tab w:val="clear" w:pos="4153"/>
        <w:tab w:val="clear"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AEB9EF"/>
    <w:multiLevelType w:val="singleLevel"/>
    <w:tmpl w:val="8EAEB9EF"/>
    <w:lvl w:ilvl="0" w:tentative="0">
      <w:start w:val="1"/>
      <w:numFmt w:val="decimal"/>
      <w:suff w:val="space"/>
      <w:lvlText w:val="%1."/>
      <w:lvlJc w:val="left"/>
    </w:lvl>
  </w:abstractNum>
  <w:abstractNum w:abstractNumId="1">
    <w:nsid w:val="A7FE0BF3"/>
    <w:multiLevelType w:val="multilevel"/>
    <w:tmpl w:val="A7FE0BF3"/>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AC6B8741"/>
    <w:multiLevelType w:val="multilevel"/>
    <w:tmpl w:val="AC6B8741"/>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AFBA93F8"/>
    <w:multiLevelType w:val="singleLevel"/>
    <w:tmpl w:val="AFBA93F8"/>
    <w:lvl w:ilvl="0" w:tentative="0">
      <w:start w:val="1"/>
      <w:numFmt w:val="decimal"/>
      <w:suff w:val="nothing"/>
      <w:lvlText w:val="%1、"/>
      <w:lvlJc w:val="left"/>
    </w:lvl>
  </w:abstractNum>
  <w:abstractNum w:abstractNumId="4">
    <w:nsid w:val="DF7ED537"/>
    <w:multiLevelType w:val="multilevel"/>
    <w:tmpl w:val="DF7ED537"/>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EBEE133E"/>
    <w:multiLevelType w:val="multilevel"/>
    <w:tmpl w:val="EBEE133E"/>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EFBEC619"/>
    <w:multiLevelType w:val="multilevel"/>
    <w:tmpl w:val="EFBEC619"/>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
    <w:nsid w:val="F1FAF5B0"/>
    <w:multiLevelType w:val="multilevel"/>
    <w:tmpl w:val="F1FAF5B0"/>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
    <w:nsid w:val="FB3F173C"/>
    <w:multiLevelType w:val="multilevel"/>
    <w:tmpl w:val="FB3F173C"/>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9">
    <w:nsid w:val="FBFF9496"/>
    <w:multiLevelType w:val="multilevel"/>
    <w:tmpl w:val="FBFF9496"/>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0">
    <w:nsid w:val="FEFF27DF"/>
    <w:multiLevelType w:val="multilevel"/>
    <w:tmpl w:val="FEFF27DF"/>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1">
    <w:nsid w:val="FF9FD440"/>
    <w:multiLevelType w:val="multilevel"/>
    <w:tmpl w:val="FF9FD440"/>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2">
    <w:nsid w:val="FFF6871F"/>
    <w:multiLevelType w:val="multilevel"/>
    <w:tmpl w:val="FFF6871F"/>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3">
    <w:nsid w:val="FFFFFF88"/>
    <w:multiLevelType w:val="singleLevel"/>
    <w:tmpl w:val="FFFFFF88"/>
    <w:lvl w:ilvl="0" w:tentative="0">
      <w:start w:val="1"/>
      <w:numFmt w:val="decimal"/>
      <w:pStyle w:val="2"/>
      <w:lvlText w:val="%1."/>
      <w:lvlJc w:val="left"/>
      <w:pPr>
        <w:tabs>
          <w:tab w:val="left" w:pos="360"/>
        </w:tabs>
        <w:ind w:left="360" w:hanging="360"/>
      </w:pPr>
    </w:lvl>
  </w:abstractNum>
  <w:abstractNum w:abstractNumId="14">
    <w:nsid w:val="0D540E02"/>
    <w:multiLevelType w:val="multilevel"/>
    <w:tmpl w:val="0D540E02"/>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5">
    <w:nsid w:val="171657A1"/>
    <w:multiLevelType w:val="multilevel"/>
    <w:tmpl w:val="171657A1"/>
    <w:lvl w:ilvl="0" w:tentative="0">
      <w:start w:val="1"/>
      <w:numFmt w:val="decimal"/>
      <w:suff w:val="nothing"/>
      <w:lvlText w:val="%1 "/>
      <w:lvlJc w:val="left"/>
      <w:rPr>
        <w:rFonts w:hint="default" w:ascii="Book Antiqua" w:hAnsi="Book Antiqua" w:eastAsia="黑体" w:cs="Book Antiqua"/>
        <w:b/>
        <w:bCs/>
        <w:i w:val="0"/>
        <w:iCs w:val="0"/>
        <w:caps w:val="0"/>
        <w:strike w:val="0"/>
        <w:dstrike w:val="0"/>
        <w:vanish w:val="0"/>
        <w:color w:val="000000"/>
        <w:sz w:val="144"/>
        <w:szCs w:val="144"/>
        <w:vertAlign w:val="baseline"/>
      </w:rPr>
    </w:lvl>
    <w:lvl w:ilvl="1" w:tentative="0">
      <w:start w:val="1"/>
      <w:numFmt w:val="decimal"/>
      <w:suff w:val="nothing"/>
      <w:lvlText w:val="%1.%2 "/>
      <w:lvlJc w:val="left"/>
      <w:rPr>
        <w:rFonts w:hint="default" w:ascii="宋体" w:hAnsi="宋体" w:eastAsia="宋体" w:cs="Book Antiqua"/>
        <w:b w:val="0"/>
        <w:bCs/>
        <w:i w:val="0"/>
        <w:iCs w:val="0"/>
        <w:caps w:val="0"/>
        <w:strike w:val="0"/>
        <w:dstrike w:val="0"/>
        <w:snapToGrid w:val="0"/>
        <w:vanish w:val="0"/>
        <w:color w:val="000000"/>
        <w:spacing w:val="0"/>
        <w:kern w:val="0"/>
        <w:sz w:val="36"/>
        <w:szCs w:val="36"/>
        <w:vertAlign w:val="baseline"/>
      </w:rPr>
    </w:lvl>
    <w:lvl w:ilvl="2" w:tentative="0">
      <w:start w:val="1"/>
      <w:numFmt w:val="decimal"/>
      <w:suff w:val="nothing"/>
      <w:lvlText w:val="%1.%2.%3 "/>
      <w:lvlJc w:val="left"/>
      <w:rPr>
        <w:rFonts w:hint="default" w:ascii="Book Antiqua" w:hAnsi="Book Antiqua" w:eastAsia="黑体" w:cs="Book Antiqua"/>
        <w:b w:val="0"/>
        <w:bCs/>
        <w:i w:val="0"/>
        <w:iCs w:val="0"/>
        <w:caps w:val="0"/>
        <w:strike w:val="0"/>
        <w:dstrike w:val="0"/>
        <w:snapToGrid w:val="0"/>
        <w:vanish w:val="0"/>
        <w:color w:val="000000"/>
        <w:kern w:val="0"/>
        <w:sz w:val="32"/>
        <w:szCs w:val="32"/>
        <w:vertAlign w:val="baseline"/>
      </w:rPr>
    </w:lvl>
    <w:lvl w:ilvl="3" w:tentative="0">
      <w:start w:val="1"/>
      <w:numFmt w:val="decimal"/>
      <w:lvlRestart w:val="1"/>
      <w:suff w:val="nothing"/>
      <w:lvlText w:val="%1.%2.%3.%4 "/>
      <w:lvlJc w:val="left"/>
      <w:rPr>
        <w:rFonts w:hint="default" w:ascii="Book Antiqua" w:hAnsi="Book Antiqua" w:eastAsia="黑体" w:cs="Book Antiqua"/>
        <w:bCs/>
        <w:i w:val="0"/>
        <w:iCs w:val="0"/>
        <w:caps w:val="0"/>
        <w:strike w:val="0"/>
        <w:dstrike w:val="0"/>
        <w:vanish w:val="0"/>
        <w:color w:val="000000"/>
        <w:sz w:val="28"/>
        <w:szCs w:val="28"/>
        <w:vertAlign w:val="baseline"/>
      </w:rPr>
    </w:lvl>
    <w:lvl w:ilvl="4" w:tentative="0">
      <w:start w:val="1"/>
      <w:numFmt w:val="decimal"/>
      <w:lvlRestart w:val="1"/>
      <w:suff w:val="nothing"/>
      <w:lvlText w:val="%1.%2.%3.%4.%5 "/>
      <w:lvlJc w:val="left"/>
      <w:rPr>
        <w:rFonts w:hint="default" w:ascii="Book Antiqua" w:hAnsi="Book Antiqua" w:eastAsia="黑体" w:cs="Book Antiqua"/>
        <w:bCs/>
        <w:i w:val="0"/>
        <w:iCs w:val="0"/>
        <w:caps w:val="0"/>
        <w:strike w:val="0"/>
        <w:dstrike w:val="0"/>
        <w:vanish w:val="0"/>
        <w:color w:val="000000"/>
        <w:sz w:val="24"/>
        <w:szCs w:val="24"/>
        <w:vertAlign w:val="baseline"/>
      </w:rPr>
    </w:lvl>
    <w:lvl w:ilvl="5" w:tentative="0">
      <w:start w:val="1"/>
      <w:numFmt w:val="none"/>
      <w:suff w:val="nothing"/>
      <w:lvlText w:val=""/>
      <w:lvlJc w:val="left"/>
      <w:rPr>
        <w:rFonts w:hint="default" w:ascii="Arial" w:hAnsi="Arial" w:cs="Arial"/>
        <w:b/>
        <w:bCs/>
        <w:i w:val="0"/>
        <w:iCs w:val="0"/>
        <w:caps w:val="0"/>
        <w:strike w:val="0"/>
        <w:dstrike w:val="0"/>
        <w:vanish w:val="0"/>
        <w:color w:val="000000"/>
        <w:sz w:val="20"/>
        <w:szCs w:val="20"/>
        <w:vertAlign w:val="baseline"/>
      </w:rPr>
    </w:lvl>
    <w:lvl w:ilvl="6" w:tentative="0">
      <w:start w:val="1"/>
      <w:numFmt w:val="decimal"/>
      <w:lvlText w:val="步骤 %7"/>
      <w:lvlJc w:val="right"/>
      <w:pPr>
        <w:tabs>
          <w:tab w:val="left" w:pos="1701"/>
        </w:tabs>
        <w:ind w:left="1701" w:hanging="159"/>
      </w:pPr>
      <w:rPr>
        <w:rFonts w:hint="default" w:ascii="Book Antiqua" w:hAnsi="Book Antiqua" w:eastAsia="黑体" w:cs="Times New Roman"/>
        <w:b w:val="0"/>
        <w:bCs/>
        <w:i w:val="0"/>
        <w:iCs w:val="0"/>
        <w:color w:val="auto"/>
        <w:sz w:val="21"/>
        <w:szCs w:val="21"/>
      </w:rPr>
    </w:lvl>
    <w:lvl w:ilvl="7" w:tentative="0">
      <w:start w:val="1"/>
      <w:numFmt w:val="decimal"/>
      <w:lvlRestart w:val="1"/>
      <w:suff w:val="space"/>
      <w:lvlText w:val="图%1-%8"/>
      <w:lvlJc w:val="left"/>
      <w:rPr>
        <w:rFonts w:hint="default" w:ascii="Times New Roman" w:hAnsi="Times New Roman" w:eastAsia="黑体" w:cs="Book Antiqua"/>
        <w:b w:val="0"/>
        <w:bCs/>
        <w:i w:val="0"/>
        <w:iCs w:val="0"/>
        <w:strike w:val="0"/>
        <w:dstrike w:val="0"/>
        <w:color w:val="auto"/>
        <w:sz w:val="21"/>
        <w:szCs w:val="21"/>
        <w:vertAlign w:val="baseline"/>
      </w:rPr>
    </w:lvl>
    <w:lvl w:ilvl="8" w:tentative="0">
      <w:start w:val="1"/>
      <w:numFmt w:val="decimal"/>
      <w:lvlRestart w:val="1"/>
      <w:suff w:val="space"/>
      <w:lvlText w:val="表%1-%9"/>
      <w:lvlJc w:val="left"/>
      <w:pPr>
        <w:ind w:left="1701" w:firstLine="0"/>
      </w:pPr>
      <w:rPr>
        <w:rFonts w:hint="default" w:ascii="Times New Roman" w:hAnsi="Times New Roman" w:eastAsia="黑体"/>
        <w:b w:val="0"/>
        <w:bCs/>
        <w:i w:val="0"/>
        <w:iCs w:val="0"/>
        <w:color w:val="auto"/>
        <w:sz w:val="21"/>
        <w:szCs w:val="21"/>
      </w:rPr>
    </w:lvl>
  </w:abstractNum>
  <w:abstractNum w:abstractNumId="16">
    <w:nsid w:val="1CAC1923"/>
    <w:multiLevelType w:val="multilevel"/>
    <w:tmpl w:val="1CAC1923"/>
    <w:lvl w:ilvl="0" w:tentative="0">
      <w:start w:val="1"/>
      <w:numFmt w:val="decimalEnclosedCircle"/>
      <w:lvlText w:val="%1"/>
      <w:lvlJc w:val="left"/>
      <w:pPr>
        <w:ind w:left="2523" w:hanging="360"/>
      </w:pPr>
      <w:rPr>
        <w:rFonts w:hint="default"/>
      </w:rPr>
    </w:lvl>
    <w:lvl w:ilvl="1" w:tentative="0">
      <w:start w:val="1"/>
      <w:numFmt w:val="lowerLetter"/>
      <w:lvlText w:val="%2)"/>
      <w:lvlJc w:val="left"/>
      <w:pPr>
        <w:ind w:left="3003" w:hanging="420"/>
      </w:pPr>
    </w:lvl>
    <w:lvl w:ilvl="2" w:tentative="0">
      <w:start w:val="1"/>
      <w:numFmt w:val="lowerRoman"/>
      <w:lvlText w:val="%3."/>
      <w:lvlJc w:val="right"/>
      <w:pPr>
        <w:ind w:left="3423" w:hanging="420"/>
      </w:pPr>
    </w:lvl>
    <w:lvl w:ilvl="3" w:tentative="0">
      <w:start w:val="1"/>
      <w:numFmt w:val="decimal"/>
      <w:lvlText w:val="%4."/>
      <w:lvlJc w:val="left"/>
      <w:pPr>
        <w:ind w:left="3843" w:hanging="420"/>
      </w:pPr>
    </w:lvl>
    <w:lvl w:ilvl="4" w:tentative="0">
      <w:start w:val="1"/>
      <w:numFmt w:val="lowerLetter"/>
      <w:lvlText w:val="%5)"/>
      <w:lvlJc w:val="left"/>
      <w:pPr>
        <w:ind w:left="4263" w:hanging="420"/>
      </w:pPr>
    </w:lvl>
    <w:lvl w:ilvl="5" w:tentative="0">
      <w:start w:val="1"/>
      <w:numFmt w:val="lowerRoman"/>
      <w:lvlText w:val="%6."/>
      <w:lvlJc w:val="right"/>
      <w:pPr>
        <w:ind w:left="4683" w:hanging="420"/>
      </w:pPr>
    </w:lvl>
    <w:lvl w:ilvl="6" w:tentative="0">
      <w:start w:val="1"/>
      <w:numFmt w:val="decimal"/>
      <w:lvlText w:val="%7."/>
      <w:lvlJc w:val="left"/>
      <w:pPr>
        <w:ind w:left="5103" w:hanging="420"/>
      </w:pPr>
    </w:lvl>
    <w:lvl w:ilvl="7" w:tentative="0">
      <w:start w:val="1"/>
      <w:numFmt w:val="lowerLetter"/>
      <w:lvlText w:val="%8)"/>
      <w:lvlJc w:val="left"/>
      <w:pPr>
        <w:ind w:left="5523" w:hanging="420"/>
      </w:pPr>
    </w:lvl>
    <w:lvl w:ilvl="8" w:tentative="0">
      <w:start w:val="1"/>
      <w:numFmt w:val="lowerRoman"/>
      <w:lvlText w:val="%9."/>
      <w:lvlJc w:val="right"/>
      <w:pPr>
        <w:ind w:left="5943" w:hanging="420"/>
      </w:pPr>
    </w:lvl>
  </w:abstractNum>
  <w:abstractNum w:abstractNumId="17">
    <w:nsid w:val="27727B63"/>
    <w:multiLevelType w:val="multilevel"/>
    <w:tmpl w:val="27727B63"/>
    <w:lvl w:ilvl="0" w:tentative="0">
      <w:start w:val="1"/>
      <w:numFmt w:val="bullet"/>
      <w:lvlText w:val=""/>
      <w:lvlJc w:val="left"/>
      <w:pPr>
        <w:tabs>
          <w:tab w:val="left" w:pos="340"/>
        </w:tabs>
        <w:ind w:left="340" w:hanging="170"/>
      </w:pPr>
      <w:rPr>
        <w:rFonts w:hint="default" w:ascii="Wingdings" w:hAnsi="Wingdings"/>
        <w:color w:val="auto"/>
        <w:spacing w:val="0"/>
        <w:w w:val="100"/>
        <w:position w:val="1"/>
        <w:sz w:val="13"/>
        <w:szCs w:val="13"/>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pStyle w:val="4"/>
      <w:lvlText w:val=""/>
      <w:lvlJc w:val="left"/>
      <w:pPr>
        <w:tabs>
          <w:tab w:val="left" w:pos="1260"/>
        </w:tabs>
        <w:ind w:left="1260" w:hanging="420"/>
      </w:pPr>
      <w:rPr>
        <w:rFonts w:hint="default" w:ascii="Wingdings" w:hAnsi="Wingdings"/>
      </w:rPr>
    </w:lvl>
    <w:lvl w:ilvl="3" w:tentative="0">
      <w:start w:val="1"/>
      <w:numFmt w:val="bullet"/>
      <w:pStyle w:val="5"/>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8">
    <w:nsid w:val="3FFE7FFD"/>
    <w:multiLevelType w:val="multilevel"/>
    <w:tmpl w:val="3FFE7FFD"/>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9">
    <w:nsid w:val="47E134F7"/>
    <w:multiLevelType w:val="multilevel"/>
    <w:tmpl w:val="47E134F7"/>
    <w:lvl w:ilvl="0" w:tentative="0">
      <w:start w:val="1"/>
      <w:numFmt w:val="decimalEnclosedCircle"/>
      <w:lvlText w:val="%1"/>
      <w:lvlJc w:val="left"/>
      <w:pPr>
        <w:ind w:left="1200" w:hanging="36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0">
    <w:nsid w:val="5B8715FD"/>
    <w:multiLevelType w:val="multilevel"/>
    <w:tmpl w:val="5B8715FD"/>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1">
    <w:nsid w:val="641F42DB"/>
    <w:multiLevelType w:val="multilevel"/>
    <w:tmpl w:val="641F42DB"/>
    <w:lvl w:ilvl="0" w:tentative="0">
      <w:start w:val="1"/>
      <w:numFmt w:val="decimalEnclosedCircle"/>
      <w:lvlText w:val="%1"/>
      <w:lvlJc w:val="left"/>
      <w:pPr>
        <w:ind w:left="1200" w:hanging="36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2">
    <w:nsid w:val="776F1CF3"/>
    <w:multiLevelType w:val="singleLevel"/>
    <w:tmpl w:val="776F1CF3"/>
    <w:lvl w:ilvl="0" w:tentative="0">
      <w:start w:val="1"/>
      <w:numFmt w:val="decimal"/>
      <w:lvlText w:val="%1."/>
      <w:lvlJc w:val="left"/>
      <w:pPr>
        <w:tabs>
          <w:tab w:val="left" w:pos="312"/>
        </w:tabs>
      </w:pPr>
    </w:lvl>
  </w:abstractNum>
  <w:abstractNum w:abstractNumId="23">
    <w:nsid w:val="7E79530B"/>
    <w:multiLevelType w:val="singleLevel"/>
    <w:tmpl w:val="7E79530B"/>
    <w:lvl w:ilvl="0" w:tentative="0">
      <w:start w:val="1"/>
      <w:numFmt w:val="decimal"/>
      <w:suff w:val="nothing"/>
      <w:lvlText w:val="（%1）"/>
      <w:lvlJc w:val="left"/>
    </w:lvl>
  </w:abstractNum>
  <w:abstractNum w:abstractNumId="24">
    <w:nsid w:val="7F773C35"/>
    <w:multiLevelType w:val="multilevel"/>
    <w:tmpl w:val="7F773C35"/>
    <w:lvl w:ilvl="0" w:tentative="0">
      <w:start w:val="1"/>
      <w:numFmt w:val="bullet"/>
      <w:pStyle w:val="3"/>
      <w:lvlText w:val=""/>
      <w:lvlJc w:val="left"/>
      <w:pPr>
        <w:tabs>
          <w:tab w:val="left" w:pos="1260"/>
        </w:tabs>
        <w:ind w:left="126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decimal"/>
      <w:lvlText w:val="%7."/>
      <w:lvlJc w:val="left"/>
      <w:pPr>
        <w:tabs>
          <w:tab w:val="left" w:pos="2546"/>
        </w:tabs>
        <w:ind w:left="2546" w:hanging="425"/>
      </w:pPr>
      <w:rPr>
        <w:rFonts w:hint="default" w:ascii="Times New Roman" w:hAnsi="Times New Roman" w:cs="Book Antiqua"/>
        <w:b w:val="0"/>
        <w:bCs/>
        <w:i w:val="0"/>
        <w:iCs w:val="0"/>
        <w:sz w:val="21"/>
        <w:szCs w:val="21"/>
        <w:u w:val="none"/>
      </w:rPr>
    </w:lvl>
    <w:lvl w:ilvl="7" w:tentative="0">
      <w:start w:val="1"/>
      <w:numFmt w:val="lowerLetter"/>
      <w:lvlText w:val="%8."/>
      <w:lvlJc w:val="left"/>
      <w:pPr>
        <w:tabs>
          <w:tab w:val="left" w:pos="2546"/>
        </w:tabs>
        <w:ind w:left="2946" w:hanging="425"/>
      </w:pPr>
      <w:rPr>
        <w:rFonts w:hint="default" w:ascii="Times New Roman" w:hAnsi="Times New Roman" w:cs="Book Antiqua"/>
        <w:b w:val="0"/>
        <w:bCs/>
        <w:i w:val="0"/>
        <w:iCs w:val="0"/>
        <w:sz w:val="21"/>
        <w:szCs w:val="21"/>
        <w:u w:val="none"/>
      </w:rPr>
    </w:lvl>
    <w:lvl w:ilvl="8" w:tentative="0">
      <w:start w:val="1"/>
      <w:numFmt w:val="decimal"/>
      <w:lvlRestart w:val="0"/>
      <w:lvlText w:val="%9."/>
      <w:lvlJc w:val="left"/>
      <w:pPr>
        <w:tabs>
          <w:tab w:val="left" w:pos="704"/>
        </w:tabs>
        <w:ind w:left="704" w:hanging="284"/>
      </w:pPr>
      <w:rPr>
        <w:rFonts w:hint="eastAsia"/>
      </w:rPr>
    </w:lvl>
  </w:abstractNum>
  <w:num w:numId="1">
    <w:abstractNumId w:val="13"/>
  </w:num>
  <w:num w:numId="2">
    <w:abstractNumId w:val="24"/>
  </w:num>
  <w:num w:numId="3">
    <w:abstractNumId w:val="17"/>
  </w:num>
  <w:num w:numId="4">
    <w:abstractNumId w:val="0"/>
  </w:num>
  <w:num w:numId="5">
    <w:abstractNumId w:val="15"/>
  </w:num>
  <w:num w:numId="6">
    <w:abstractNumId w:val="14"/>
  </w:num>
  <w:num w:numId="7">
    <w:abstractNumId w:val="10"/>
  </w:num>
  <w:num w:numId="8">
    <w:abstractNumId w:val="12"/>
  </w:num>
  <w:num w:numId="9">
    <w:abstractNumId w:val="11"/>
  </w:num>
  <w:num w:numId="10">
    <w:abstractNumId w:val="20"/>
  </w:num>
  <w:num w:numId="11">
    <w:abstractNumId w:val="16"/>
  </w:num>
  <w:num w:numId="12">
    <w:abstractNumId w:val="21"/>
  </w:num>
  <w:num w:numId="13">
    <w:abstractNumId w:val="19"/>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22"/>
  </w:num>
  <w:num w:numId="17">
    <w:abstractNumId w:val="3"/>
  </w:num>
  <w:num w:numId="18">
    <w:abstractNumId w:val="2"/>
  </w:num>
  <w:num w:numId="19">
    <w:abstractNumId w:val="18"/>
  </w:num>
  <w:num w:numId="20">
    <w:abstractNumId w:val="9"/>
  </w:num>
  <w:num w:numId="21">
    <w:abstractNumId w:val="1"/>
  </w:num>
  <w:num w:numId="22">
    <w:abstractNumId w:val="6"/>
  </w:num>
  <w:num w:numId="23">
    <w:abstractNumId w:val="4"/>
  </w:num>
  <w:num w:numId="24">
    <w:abstractNumId w:val="7"/>
  </w:num>
  <w:num w:numId="25">
    <w:abstractNumId w:val="5"/>
  </w:num>
  <w:num w:numId="26">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DFFEF014"/>
    <w:rsid w:val="000A4728"/>
    <w:rsid w:val="000E7C4B"/>
    <w:rsid w:val="00137C17"/>
    <w:rsid w:val="001D5CC9"/>
    <w:rsid w:val="002825B4"/>
    <w:rsid w:val="00490564"/>
    <w:rsid w:val="004B0619"/>
    <w:rsid w:val="00515F1C"/>
    <w:rsid w:val="006A21A6"/>
    <w:rsid w:val="007C2717"/>
    <w:rsid w:val="00821C31"/>
    <w:rsid w:val="008A5C33"/>
    <w:rsid w:val="009B2F52"/>
    <w:rsid w:val="00A8238A"/>
    <w:rsid w:val="00BE6ED0"/>
    <w:rsid w:val="00D17164"/>
    <w:rsid w:val="00D367E0"/>
    <w:rsid w:val="00F6745F"/>
    <w:rsid w:val="0B3F35DC"/>
    <w:rsid w:val="0D48109D"/>
    <w:rsid w:val="0EFA7F6E"/>
    <w:rsid w:val="0FFA20D7"/>
    <w:rsid w:val="12D7EB8F"/>
    <w:rsid w:val="1BB37CE3"/>
    <w:rsid w:val="27552B75"/>
    <w:rsid w:val="27F5B112"/>
    <w:rsid w:val="2B7D9E8C"/>
    <w:rsid w:val="2F777A73"/>
    <w:rsid w:val="35FB6C4D"/>
    <w:rsid w:val="369739A3"/>
    <w:rsid w:val="36FE5284"/>
    <w:rsid w:val="377FBB3F"/>
    <w:rsid w:val="37F2BBA0"/>
    <w:rsid w:val="3BCB4A36"/>
    <w:rsid w:val="3BFDEF85"/>
    <w:rsid w:val="3BFFDB34"/>
    <w:rsid w:val="3CEF95E3"/>
    <w:rsid w:val="3CF76178"/>
    <w:rsid w:val="3CFBBA32"/>
    <w:rsid w:val="3EBFCF5E"/>
    <w:rsid w:val="3FDF44C6"/>
    <w:rsid w:val="3FFA39A2"/>
    <w:rsid w:val="3FFF403F"/>
    <w:rsid w:val="3FFF5444"/>
    <w:rsid w:val="3FFF82A9"/>
    <w:rsid w:val="477B4513"/>
    <w:rsid w:val="4BDFC3E1"/>
    <w:rsid w:val="4BEDF7B4"/>
    <w:rsid w:val="52DF34EA"/>
    <w:rsid w:val="53FF497B"/>
    <w:rsid w:val="54FB53C7"/>
    <w:rsid w:val="56FD5282"/>
    <w:rsid w:val="5B5E10DC"/>
    <w:rsid w:val="5BFD8EC8"/>
    <w:rsid w:val="5E7C8088"/>
    <w:rsid w:val="5ED356B8"/>
    <w:rsid w:val="5EDE7173"/>
    <w:rsid w:val="5EDFB8F2"/>
    <w:rsid w:val="5F338EF3"/>
    <w:rsid w:val="5FEB63AD"/>
    <w:rsid w:val="5FEFA0AF"/>
    <w:rsid w:val="5FF92D7F"/>
    <w:rsid w:val="61250A1E"/>
    <w:rsid w:val="61F73C24"/>
    <w:rsid w:val="653F2008"/>
    <w:rsid w:val="66FF7A9F"/>
    <w:rsid w:val="67C94F40"/>
    <w:rsid w:val="67FB116E"/>
    <w:rsid w:val="6B3D224D"/>
    <w:rsid w:val="6B3DDE4A"/>
    <w:rsid w:val="6BF5DE19"/>
    <w:rsid w:val="6EBAB00A"/>
    <w:rsid w:val="6FB78C7D"/>
    <w:rsid w:val="6FEB7A35"/>
    <w:rsid w:val="6FFA0F43"/>
    <w:rsid w:val="6FFBCFDB"/>
    <w:rsid w:val="6FFEE27B"/>
    <w:rsid w:val="736F1A14"/>
    <w:rsid w:val="74AEC3CE"/>
    <w:rsid w:val="75D6ACAF"/>
    <w:rsid w:val="76BD3D5F"/>
    <w:rsid w:val="77B74BB3"/>
    <w:rsid w:val="77BDA466"/>
    <w:rsid w:val="77BF783A"/>
    <w:rsid w:val="77F77C11"/>
    <w:rsid w:val="797F2AF8"/>
    <w:rsid w:val="79B934D4"/>
    <w:rsid w:val="79FB454E"/>
    <w:rsid w:val="7AFF04BD"/>
    <w:rsid w:val="7B83A583"/>
    <w:rsid w:val="7B96D7AA"/>
    <w:rsid w:val="7BF3983F"/>
    <w:rsid w:val="7C9D332E"/>
    <w:rsid w:val="7CEE7910"/>
    <w:rsid w:val="7CEF7730"/>
    <w:rsid w:val="7DF76525"/>
    <w:rsid w:val="7DFD9D25"/>
    <w:rsid w:val="7DFF284F"/>
    <w:rsid w:val="7E7C0367"/>
    <w:rsid w:val="7EEE4E62"/>
    <w:rsid w:val="7F6A3BE1"/>
    <w:rsid w:val="7F6FF6EF"/>
    <w:rsid w:val="7FB92546"/>
    <w:rsid w:val="7FE3FC25"/>
    <w:rsid w:val="7FE505CB"/>
    <w:rsid w:val="7FEB0FE3"/>
    <w:rsid w:val="7FF557CE"/>
    <w:rsid w:val="91E943A7"/>
    <w:rsid w:val="97D385F1"/>
    <w:rsid w:val="9A327BC4"/>
    <w:rsid w:val="9C5F240C"/>
    <w:rsid w:val="9F924FF2"/>
    <w:rsid w:val="A2EBE1D6"/>
    <w:rsid w:val="AEFD36DF"/>
    <w:rsid w:val="AF4FBC0F"/>
    <w:rsid w:val="B5EADA95"/>
    <w:rsid w:val="B6BE6D9E"/>
    <w:rsid w:val="B7F923D6"/>
    <w:rsid w:val="B9D9E3C9"/>
    <w:rsid w:val="BA9F7D2B"/>
    <w:rsid w:val="BAEFB078"/>
    <w:rsid w:val="BB3F7B0B"/>
    <w:rsid w:val="BEBFA92C"/>
    <w:rsid w:val="BF7BDCE6"/>
    <w:rsid w:val="BFEF4980"/>
    <w:rsid w:val="CCEF4AFB"/>
    <w:rsid w:val="CE9A2D67"/>
    <w:rsid w:val="CEAE551F"/>
    <w:rsid w:val="CF165400"/>
    <w:rsid w:val="CF7F8DCE"/>
    <w:rsid w:val="D3BF433D"/>
    <w:rsid w:val="D3DEEE91"/>
    <w:rsid w:val="D4DACAA0"/>
    <w:rsid w:val="D5EB413C"/>
    <w:rsid w:val="D63FED84"/>
    <w:rsid w:val="D7EBC177"/>
    <w:rsid w:val="D9AD3163"/>
    <w:rsid w:val="D9D59789"/>
    <w:rsid w:val="D9F30225"/>
    <w:rsid w:val="DBAF2C1B"/>
    <w:rsid w:val="DBFBDABC"/>
    <w:rsid w:val="DBFC61B1"/>
    <w:rsid w:val="DBFCF6A1"/>
    <w:rsid w:val="DFFEF014"/>
    <w:rsid w:val="DFFF6B32"/>
    <w:rsid w:val="E70FD308"/>
    <w:rsid w:val="E7FEB1E7"/>
    <w:rsid w:val="E9DE6CCB"/>
    <w:rsid w:val="ECEFEE3D"/>
    <w:rsid w:val="ED5FB8B2"/>
    <w:rsid w:val="ED99A0BB"/>
    <w:rsid w:val="EDCB9DE7"/>
    <w:rsid w:val="EDF6C9A9"/>
    <w:rsid w:val="EF57E054"/>
    <w:rsid w:val="EF777481"/>
    <w:rsid w:val="EF989A8C"/>
    <w:rsid w:val="EFBDFED5"/>
    <w:rsid w:val="EFEB77BA"/>
    <w:rsid w:val="F03DA228"/>
    <w:rsid w:val="F1BF0756"/>
    <w:rsid w:val="F3D4F8C3"/>
    <w:rsid w:val="F3FF7205"/>
    <w:rsid w:val="F5EECF2A"/>
    <w:rsid w:val="F65E16D3"/>
    <w:rsid w:val="F6D661F0"/>
    <w:rsid w:val="F6E3ADDA"/>
    <w:rsid w:val="F6F500BB"/>
    <w:rsid w:val="F7BFBC6E"/>
    <w:rsid w:val="F7EA90BE"/>
    <w:rsid w:val="F7FD34AE"/>
    <w:rsid w:val="F7FDCE85"/>
    <w:rsid w:val="F7FFD018"/>
    <w:rsid w:val="F869D5CE"/>
    <w:rsid w:val="F98F5837"/>
    <w:rsid w:val="FADF178F"/>
    <w:rsid w:val="FAFF4163"/>
    <w:rsid w:val="FB9AC2C3"/>
    <w:rsid w:val="FBD546C4"/>
    <w:rsid w:val="FBE961E4"/>
    <w:rsid w:val="FBFF986E"/>
    <w:rsid w:val="FD4D18BB"/>
    <w:rsid w:val="FD6708C8"/>
    <w:rsid w:val="FDEF6CA7"/>
    <w:rsid w:val="FDFCC894"/>
    <w:rsid w:val="FDFF057F"/>
    <w:rsid w:val="FE6FB6F8"/>
    <w:rsid w:val="FE7F99BF"/>
    <w:rsid w:val="FE8A8371"/>
    <w:rsid w:val="FEB44061"/>
    <w:rsid w:val="FED9C4B3"/>
    <w:rsid w:val="FEEF9C37"/>
    <w:rsid w:val="FEF6F150"/>
    <w:rsid w:val="FF7706C9"/>
    <w:rsid w:val="FFBBFD3C"/>
    <w:rsid w:val="FFCF0779"/>
    <w:rsid w:val="FFE3FA6B"/>
    <w:rsid w:val="FFE5E123"/>
    <w:rsid w:val="FFF9172D"/>
    <w:rsid w:val="FFFD4783"/>
    <w:rsid w:val="FFFE197F"/>
    <w:rsid w:val="FFFFBC7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3"/>
    <w:qFormat/>
    <w:uiPriority w:val="0"/>
    <w:pPr>
      <w:keepNext/>
      <w:pageBreakBefore/>
      <w:widowControl/>
      <w:numPr>
        <w:ilvl w:val="0"/>
        <w:numId w:val="1"/>
      </w:numPr>
      <w:topLinePunct/>
      <w:adjustRightInd w:val="0"/>
      <w:snapToGrid w:val="0"/>
      <w:spacing w:line="480" w:lineRule="auto"/>
      <w:jc w:val="left"/>
      <w:outlineLvl w:val="0"/>
    </w:pPr>
    <w:rPr>
      <w:rFonts w:hint="eastAsia" w:ascii="Book Antiqua" w:hAnsi="Book Antiqua" w:eastAsia="宋体" w:cs="Book Antiqua"/>
      <w:b/>
      <w:bCs/>
      <w:sz w:val="44"/>
      <w:szCs w:val="44"/>
    </w:rPr>
  </w:style>
  <w:style w:type="paragraph" w:styleId="3">
    <w:name w:val="heading 2"/>
    <w:basedOn w:val="1"/>
    <w:next w:val="4"/>
    <w:qFormat/>
    <w:uiPriority w:val="0"/>
    <w:pPr>
      <w:keepNext/>
      <w:keepLines/>
      <w:widowControl/>
      <w:numPr>
        <w:ilvl w:val="0"/>
        <w:numId w:val="2"/>
      </w:numPr>
      <w:tabs>
        <w:tab w:val="left" w:pos="840"/>
        <w:tab w:val="clear" w:pos="1260"/>
      </w:tabs>
      <w:topLinePunct/>
      <w:adjustRightInd w:val="0"/>
      <w:snapToGrid w:val="0"/>
      <w:spacing w:line="360" w:lineRule="auto"/>
      <w:jc w:val="left"/>
      <w:textAlignment w:val="center"/>
      <w:outlineLvl w:val="1"/>
    </w:pPr>
    <w:rPr>
      <w:rFonts w:ascii="Book Antiqua" w:hAnsi="Book Antiqua" w:eastAsia="宋体" w:cs="Times New Roman"/>
      <w:bCs/>
      <w:kern w:val="0"/>
      <w:sz w:val="36"/>
      <w:szCs w:val="36"/>
      <w:lang w:eastAsia="en-US"/>
    </w:rPr>
  </w:style>
  <w:style w:type="paragraph" w:styleId="4">
    <w:name w:val="heading 3"/>
    <w:basedOn w:val="1"/>
    <w:next w:val="1"/>
    <w:qFormat/>
    <w:uiPriority w:val="0"/>
    <w:pPr>
      <w:keepNext/>
      <w:keepLines/>
      <w:widowControl/>
      <w:numPr>
        <w:ilvl w:val="2"/>
        <w:numId w:val="3"/>
      </w:numPr>
      <w:topLinePunct/>
      <w:adjustRightInd w:val="0"/>
      <w:snapToGrid w:val="0"/>
      <w:spacing w:before="200" w:after="160" w:line="240" w:lineRule="atLeast"/>
      <w:jc w:val="left"/>
      <w:outlineLvl w:val="2"/>
    </w:pPr>
    <w:rPr>
      <w:rFonts w:ascii="Book Antiqua" w:hAnsi="Book Antiqua" w:eastAsia="宋体" w:cs="Times New Roman"/>
      <w:kern w:val="0"/>
      <w:sz w:val="32"/>
      <w:szCs w:val="32"/>
    </w:rPr>
  </w:style>
  <w:style w:type="paragraph" w:styleId="5">
    <w:name w:val="heading 4"/>
    <w:basedOn w:val="1"/>
    <w:next w:val="1"/>
    <w:qFormat/>
    <w:uiPriority w:val="0"/>
    <w:pPr>
      <w:keepNext/>
      <w:keepLines/>
      <w:widowControl/>
      <w:numPr>
        <w:ilvl w:val="3"/>
        <w:numId w:val="3"/>
      </w:numPr>
      <w:topLinePunct/>
      <w:adjustRightInd w:val="0"/>
      <w:snapToGrid w:val="0"/>
      <w:spacing w:before="160" w:after="160" w:line="240" w:lineRule="atLeast"/>
      <w:ind w:left="200" w:leftChars="200"/>
      <w:jc w:val="left"/>
      <w:outlineLvl w:val="3"/>
    </w:pPr>
    <w:rPr>
      <w:rFonts w:hint="eastAsia" w:ascii="Book Antiqua" w:hAnsi="Book Antiqua" w:eastAsia="黑体" w:cs="宋体"/>
      <w:kern w:val="0"/>
      <w:sz w:val="28"/>
      <w:szCs w:val="28"/>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19"/>
    <w:qFormat/>
    <w:uiPriority w:val="0"/>
    <w:pPr>
      <w:jc w:val="left"/>
    </w:pPr>
  </w:style>
  <w:style w:type="paragraph" w:styleId="7">
    <w:name w:val="Body Text"/>
    <w:basedOn w:val="1"/>
    <w:semiHidden/>
    <w:qFormat/>
    <w:uiPriority w:val="0"/>
    <w:pPr>
      <w:spacing w:after="120"/>
    </w:pPr>
  </w:style>
  <w:style w:type="paragraph" w:styleId="8">
    <w:name w:val="Balloon Text"/>
    <w:basedOn w:val="1"/>
    <w:link w:val="21"/>
    <w:qFormat/>
    <w:uiPriority w:val="0"/>
    <w:rPr>
      <w:sz w:val="18"/>
      <w:szCs w:val="18"/>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link w:val="18"/>
    <w:qFormat/>
    <w:uiPriority w:val="0"/>
    <w:pPr>
      <w:pBdr>
        <w:bottom w:val="single" w:color="auto" w:sz="6" w:space="1"/>
      </w:pBdr>
      <w:tabs>
        <w:tab w:val="center" w:pos="4153"/>
        <w:tab w:val="right" w:pos="8306"/>
      </w:tabs>
      <w:snapToGrid w:val="0"/>
      <w:jc w:val="center"/>
    </w:pPr>
    <w:rPr>
      <w:sz w:val="18"/>
      <w:szCs w:val="18"/>
    </w:rPr>
  </w:style>
  <w:style w:type="paragraph" w:styleId="11">
    <w:name w:val="annotation subject"/>
    <w:basedOn w:val="6"/>
    <w:next w:val="6"/>
    <w:link w:val="20"/>
    <w:qFormat/>
    <w:uiPriority w:val="0"/>
    <w:rPr>
      <w:b/>
      <w:bCs/>
    </w:rPr>
  </w:style>
  <w:style w:type="character" w:styleId="14">
    <w:name w:val="Strong"/>
    <w:basedOn w:val="13"/>
    <w:qFormat/>
    <w:uiPriority w:val="0"/>
    <w:rPr>
      <w:b/>
    </w:rPr>
  </w:style>
  <w:style w:type="character" w:styleId="15">
    <w:name w:val="Emphasis"/>
    <w:basedOn w:val="13"/>
    <w:qFormat/>
    <w:uiPriority w:val="0"/>
    <w:rPr>
      <w:i/>
    </w:rPr>
  </w:style>
  <w:style w:type="character" w:styleId="16">
    <w:name w:val="annotation reference"/>
    <w:basedOn w:val="13"/>
    <w:qFormat/>
    <w:uiPriority w:val="0"/>
    <w:rPr>
      <w:sz w:val="21"/>
      <w:szCs w:val="21"/>
    </w:rPr>
  </w:style>
  <w:style w:type="paragraph" w:styleId="17">
    <w:name w:val="List Paragraph"/>
    <w:basedOn w:val="1"/>
    <w:qFormat/>
    <w:uiPriority w:val="34"/>
    <w:pPr>
      <w:ind w:firstLine="420" w:firstLineChars="200"/>
    </w:pPr>
  </w:style>
  <w:style w:type="character" w:customStyle="1" w:styleId="18">
    <w:name w:val="页眉 Char"/>
    <w:basedOn w:val="13"/>
    <w:link w:val="10"/>
    <w:qFormat/>
    <w:uiPriority w:val="0"/>
    <w:rPr>
      <w:rFonts w:asciiTheme="minorHAnsi" w:hAnsiTheme="minorHAnsi" w:eastAsiaTheme="minorEastAsia" w:cstheme="minorBidi"/>
      <w:kern w:val="2"/>
      <w:sz w:val="18"/>
      <w:szCs w:val="18"/>
    </w:rPr>
  </w:style>
  <w:style w:type="character" w:customStyle="1" w:styleId="19">
    <w:name w:val="批注文字 Char"/>
    <w:basedOn w:val="13"/>
    <w:link w:val="6"/>
    <w:qFormat/>
    <w:uiPriority w:val="0"/>
    <w:rPr>
      <w:rFonts w:asciiTheme="minorHAnsi" w:hAnsiTheme="minorHAnsi" w:eastAsiaTheme="minorEastAsia" w:cstheme="minorBidi"/>
      <w:kern w:val="2"/>
      <w:sz w:val="21"/>
      <w:szCs w:val="24"/>
    </w:rPr>
  </w:style>
  <w:style w:type="character" w:customStyle="1" w:styleId="20">
    <w:name w:val="批注主题 Char"/>
    <w:basedOn w:val="19"/>
    <w:link w:val="11"/>
    <w:qFormat/>
    <w:uiPriority w:val="0"/>
    <w:rPr>
      <w:b/>
      <w:bCs/>
    </w:rPr>
  </w:style>
  <w:style w:type="character" w:customStyle="1" w:styleId="21">
    <w:name w:val="批注框文本 Char"/>
    <w:basedOn w:val="13"/>
    <w:link w:val="8"/>
    <w:qFormat/>
    <w:uiPriority w:val="0"/>
    <w:rPr>
      <w:rFonts w:asciiTheme="minorHAnsi" w:hAnsiTheme="minorHAnsi" w:eastAsiaTheme="minorEastAsia" w:cstheme="minorBidi"/>
      <w:kern w:val="2"/>
      <w:sz w:val="18"/>
      <w:szCs w:val="18"/>
    </w:rPr>
  </w:style>
  <w:style w:type="character" w:customStyle="1" w:styleId="22">
    <w:name w:val="font31"/>
    <w:basedOn w:val="13"/>
    <w:qFormat/>
    <w:uiPriority w:val="0"/>
    <w:rPr>
      <w:rFonts w:hint="eastAsia" w:ascii="仿宋_GB2312" w:eastAsia="仿宋_GB2312" w:cs="仿宋_GB2312"/>
      <w:color w:val="000000"/>
      <w:sz w:val="24"/>
      <w:szCs w:val="24"/>
      <w:u w:val="none"/>
    </w:rPr>
  </w:style>
  <w:style w:type="character" w:customStyle="1" w:styleId="23">
    <w:name w:val="font21"/>
    <w:basedOn w:val="13"/>
    <w:autoRedefine/>
    <w:qFormat/>
    <w:uiPriority w:val="0"/>
    <w:rPr>
      <w:rFonts w:hint="eastAsia" w:ascii="仿宋_GB2312" w:eastAsia="仿宋_GB2312" w:cs="仿宋_GB2312"/>
      <w:b/>
      <w:bCs/>
      <w:color w:val="000000"/>
      <w:sz w:val="24"/>
      <w:szCs w:val="24"/>
      <w:u w:val="none"/>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68</Pages>
  <Words>2047</Words>
  <Characters>2070</Characters>
  <Lines>3643</Lines>
  <Paragraphs>2434</Paragraphs>
  <TotalTime>1</TotalTime>
  <ScaleCrop>false</ScaleCrop>
  <LinksUpToDate>false</LinksUpToDate>
  <CharactersWithSpaces>2070</CharactersWithSpaces>
  <Application>WPS Office_12.8.2.1113_F1E327BC-269C-435d-A152-05C5408002CA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2023-03-08T20:01:00Z</dcterms:created>
  <dc:creator>administrator</dc:creator>
  <cp:lastModifiedBy>朱  晨</cp:lastModifiedBy>
  <dcterms:modified xsi:type="dcterms:W3CDTF">2026-03-25T10:29:28Z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2052-12.8.2.1113</vt:lpwstr>
  </property>
  <property fmtid="{D5CDD505-2E9C-101B-9397-08002B2CF9AE}" pid="3" name="ICV">
    <vt:lpwstr>E49EBAC5070D92E85EF8B2695942E584_43</vt:lpwstr>
  </property>
  <property fmtid="{D5CDD505-2E9C-101B-9397-08002B2CF9AE}" pid="4" name="KSOTemplateDocerSaveRecord">
    <vt:lpwstr>eyJoZGlkIjoiMTQxZmVlYTNkYzUzZTAzZDI0NGY3MDRiZGZhYjkwZWUiLCJ1c2VySWQiOiI5MDgzNDM0NjYifQ==</vt:lpwstr>
  </property>
</Properties>
</file>