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bookmarkStart w:id="94" w:name="_GoBack"/>
      <w:bookmarkEnd w:id="94"/>
    </w:p>
    <w:p>
      <w:pPr>
        <w:spacing w:line="276" w:lineRule="auto"/>
        <w:jc w:val="center"/>
        <w:rPr>
          <w:rFonts w:ascii="黑体" w:hAnsi="黑体" w:eastAsia="黑体"/>
          <w:sz w:val="48"/>
          <w:szCs w:val="48"/>
        </w:rPr>
      </w:pPr>
      <w:bookmarkStart w:id="0" w:name="_Toc34080388"/>
      <w:bookmarkStart w:id="1" w:name="_Toc34080571"/>
    </w:p>
    <w:p>
      <w:pPr>
        <w:spacing w:line="276" w:lineRule="auto"/>
        <w:rPr>
          <w:rFonts w:ascii="黑体" w:hAnsi="黑体" w:eastAsia="黑体"/>
          <w:sz w:val="48"/>
          <w:szCs w:val="48"/>
        </w:rPr>
      </w:pPr>
    </w:p>
    <w:p>
      <w:pPr>
        <w:spacing w:line="276" w:lineRule="auto"/>
        <w:jc w:val="center"/>
        <w:rPr>
          <w:rFonts w:ascii="黑体" w:hAnsi="黑体" w:eastAsia="黑体"/>
          <w:sz w:val="52"/>
          <w:szCs w:val="52"/>
        </w:rPr>
      </w:pPr>
      <w:r>
        <w:rPr>
          <w:rFonts w:ascii="黑体" w:hAnsi="黑体" w:eastAsia="黑体"/>
          <w:sz w:val="52"/>
          <w:szCs w:val="52"/>
        </w:rPr>
        <w:t>上海市政务云基础设施服务</w:t>
      </w:r>
    </w:p>
    <w:p>
      <w:pPr>
        <w:spacing w:line="276" w:lineRule="auto"/>
        <w:jc w:val="center"/>
        <w:rPr>
          <w:rFonts w:ascii="黑体" w:hAnsi="黑体" w:eastAsia="黑体"/>
          <w:sz w:val="52"/>
          <w:szCs w:val="52"/>
        </w:rPr>
      </w:pPr>
      <w:r>
        <w:rPr>
          <w:rFonts w:hint="eastAsia" w:ascii="黑体" w:hAnsi="黑体" w:eastAsia="黑体"/>
          <w:sz w:val="52"/>
          <w:szCs w:val="52"/>
        </w:rPr>
        <w:t>民生经济</w:t>
      </w:r>
      <w:r>
        <w:rPr>
          <w:rFonts w:ascii="黑体" w:hAnsi="黑体" w:eastAsia="黑体"/>
          <w:sz w:val="52"/>
          <w:szCs w:val="52"/>
        </w:rPr>
        <w:t>类</w:t>
      </w:r>
    </w:p>
    <w:p>
      <w:pPr>
        <w:spacing w:line="276" w:lineRule="auto"/>
        <w:jc w:val="center"/>
        <w:rPr>
          <w:rFonts w:ascii="黑体" w:hAnsi="黑体" w:eastAsia="黑体"/>
          <w:sz w:val="52"/>
          <w:szCs w:val="52"/>
        </w:rPr>
      </w:pPr>
    </w:p>
    <w:p>
      <w:pPr>
        <w:spacing w:line="276" w:lineRule="auto"/>
        <w:jc w:val="center"/>
        <w:rPr>
          <w:rFonts w:ascii="黑体" w:hAnsi="黑体" w:eastAsia="黑体"/>
          <w:sz w:val="52"/>
          <w:szCs w:val="52"/>
        </w:rPr>
      </w:pPr>
      <w:r>
        <w:rPr>
          <w:rFonts w:ascii="黑体" w:hAnsi="黑体" w:eastAsia="黑体"/>
          <w:sz w:val="52"/>
          <w:szCs w:val="52"/>
        </w:rPr>
        <w:t>招标技术需求书</w:t>
      </w: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spacing w:line="276" w:lineRule="auto"/>
        <w:ind w:left="420"/>
        <w:rPr>
          <w:rFonts w:ascii="宋体" w:hAnsi="宋体"/>
          <w:b/>
        </w:rPr>
      </w:pPr>
    </w:p>
    <w:p>
      <w:pPr>
        <w:pStyle w:val="3"/>
        <w:numPr>
          <w:ilvl w:val="0"/>
          <w:numId w:val="4"/>
        </w:numPr>
        <w:spacing w:line="276" w:lineRule="auto"/>
        <w:ind w:left="0" w:firstLine="0"/>
        <w:rPr>
          <w:rFonts w:hint="default" w:ascii="宋体" w:hAnsi="宋体"/>
        </w:rPr>
      </w:pPr>
      <w:r>
        <w:rPr>
          <w:rFonts w:ascii="宋体" w:hAnsi="宋体"/>
        </w:rPr>
        <w:t>项目总体要求</w:t>
      </w:r>
      <w:bookmarkEnd w:id="0"/>
      <w:bookmarkEnd w:id="1"/>
    </w:p>
    <w:p>
      <w:pPr>
        <w:spacing w:line="276" w:lineRule="auto"/>
        <w:ind w:left="420" w:firstLine="420"/>
      </w:pPr>
      <w:r>
        <w:t>充分运用云计算、大数据等先进理念和技术，按照“集约高效、共享开放、安全可靠、按需服务”的原则，以“云网合一、云数联动”为构架，建成市级电子政务云平台，实现市政府各部门基础设施共建共用、信息系统整体部署、数据资源汇聚共享、业务应用有效协同，开展政务大数据开发利用，为政府管理和公共服务提供有力支持，提高为民服务水平，提升政府现代治理能力。</w:t>
      </w:r>
    </w:p>
    <w:p>
      <w:pPr>
        <w:pStyle w:val="4"/>
        <w:numPr>
          <w:ilvl w:val="1"/>
          <w:numId w:val="5"/>
        </w:numPr>
        <w:tabs>
          <w:tab w:val="clear" w:pos="840"/>
        </w:tabs>
        <w:ind w:left="720" w:hanging="720" w:hangingChars="200"/>
        <w:rPr>
          <w:rFonts w:ascii="宋体" w:hAnsi="宋体"/>
          <w:lang w:eastAsia="zh-CN"/>
        </w:rPr>
      </w:pPr>
      <w:bookmarkStart w:id="2" w:name="_Toc34080572"/>
      <w:bookmarkStart w:id="3" w:name="_Toc34080389"/>
      <w:r>
        <w:rPr>
          <w:rFonts w:ascii="宋体" w:hAnsi="宋体"/>
          <w:lang w:eastAsia="zh-CN"/>
        </w:rPr>
        <w:t>项目总体服务要求</w:t>
      </w:r>
      <w:bookmarkEnd w:id="2"/>
      <w:bookmarkEnd w:id="3"/>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标人提供的政务云平台整体可用性应不低于99.99%，数据可靠性应不低于99.999%，对每一项云服务的可用性、可靠性等SLA指标进行明确描述。</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标人应构建有效的高可用云平台，除分别独立为用户提供私有政务云服务外，还需形成数据共享机制，可在最短时间内对用户的应用系统进行快速响应、处置和恢复。</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本项目中平台软件服务类别的服务范围（除生僻字</w:t>
      </w:r>
      <w:r>
        <w:rPr>
          <w:rFonts w:hint="eastAsia" w:ascii="宋体" w:hAnsi="宋体"/>
          <w:lang w:val="en-US" w:eastAsia="zh-CN"/>
        </w:rPr>
        <w:t>PC客户端</w:t>
      </w:r>
      <w:r>
        <w:rPr>
          <w:rFonts w:hint="eastAsia" w:ascii="宋体" w:hAnsi="宋体"/>
        </w:rPr>
        <w:t>服务）为上海市电子政务云基础设施服务城市服务类、民生经济类和创新能力类的服务范围，服务对象为市级政务云使用单位。生僻字服务的服务范围为本市财政支持的预算单位。</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标人应严格执行国家、地方、行业各项有关本项目业务管理和安全作业的法律、法规和制度，积极主动加强和服务业务及安全等有关的管理工作，并按规定承担相应的费用。</w:t>
      </w:r>
      <w:r>
        <w:rPr>
          <w:rFonts w:hint="eastAsia" w:ascii="宋体" w:hAnsi="宋体"/>
        </w:rPr>
        <w:t>中</w:t>
      </w:r>
      <w:r>
        <w:rPr>
          <w:rFonts w:ascii="宋体" w:hAnsi="宋体"/>
        </w:rPr>
        <w:t>标人因违反规定等原因造成的一切损失和责任由</w:t>
      </w:r>
      <w:r>
        <w:rPr>
          <w:rFonts w:hint="eastAsia" w:ascii="宋体" w:hAnsi="宋体"/>
        </w:rPr>
        <w:t>中</w:t>
      </w:r>
      <w:r>
        <w:rPr>
          <w:rFonts w:ascii="宋体" w:hAnsi="宋体"/>
        </w:rPr>
        <w:t>标人承担。</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标人用于项目的设备规格型号和数量，</w:t>
      </w:r>
      <w:r>
        <w:rPr>
          <w:rFonts w:hint="eastAsia" w:ascii="宋体" w:hAnsi="宋体"/>
        </w:rPr>
        <w:t>本招标周期内的变化</w:t>
      </w:r>
      <w:r>
        <w:rPr>
          <w:rFonts w:ascii="宋体" w:hAnsi="宋体"/>
        </w:rPr>
        <w:t>必须满足或优于招标文件要求，用于本项目的设备在入网前必须经过采购人组织开展的符合性审查。未经采购人书面批准不得上架、调换或更改，若自行上架、调换或更改，按照合同违约处理。</w:t>
      </w:r>
      <w:r>
        <w:rPr>
          <w:rFonts w:hint="eastAsia" w:ascii="宋体" w:hAnsi="宋体"/>
        </w:rPr>
        <w:t>存量设备应当满足采购人组织开展的技术审查</w:t>
      </w:r>
      <w:r>
        <w:rPr>
          <w:rFonts w:ascii="宋体" w:hAnsi="宋体"/>
        </w:rPr>
        <w:t>。</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w:t>
      </w:r>
      <w:r>
        <w:rPr>
          <w:rFonts w:ascii="宋体" w:hAnsi="宋体"/>
        </w:rPr>
        <w:t>在履行政务云服务的过程中，需遵守《市级政务云资源管理办法》《市级政务云PaaS服务管理规范》《市级政务云安全管理办法》和《市级政务云监管管理办法》</w:t>
      </w:r>
      <w:r>
        <w:rPr>
          <w:rFonts w:hint="eastAsia" w:ascii="宋体" w:hAnsi="宋体"/>
        </w:rPr>
        <w:t>及其他本市及国家政务云相关</w:t>
      </w:r>
      <w:r>
        <w:rPr>
          <w:rFonts w:ascii="宋体" w:hAnsi="宋体"/>
        </w:rPr>
        <w:t>管理要求，若违反文件相关规定，按照合同违约处理。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中标人因提供平台软件服务而需要采购第三方软件产品时应当直接向原厂商或原厂授权的代理商、经销商进行采购</w:t>
      </w:r>
      <w:r>
        <w:rPr>
          <w:rFonts w:hint="eastAsia" w:ascii="宋体" w:hAnsi="宋体"/>
          <w:lang w:eastAsia="zh-CN"/>
        </w:rPr>
        <w:t>。</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采购人已根据预估用量进行了封顶价测算</w:t>
      </w:r>
      <w:r>
        <w:rPr>
          <w:rFonts w:ascii="宋体" w:hAnsi="宋体"/>
        </w:rPr>
        <w:t>，</w:t>
      </w:r>
      <w:r>
        <w:rPr>
          <w:rFonts w:hint="eastAsia" w:ascii="宋体" w:hAnsi="宋体"/>
        </w:rPr>
        <w:t>中标人在履行服务的过程中，</w:t>
      </w:r>
      <w:r>
        <w:rPr>
          <w:rFonts w:ascii="宋体" w:hAnsi="宋体"/>
        </w:rPr>
        <w:t>采购人</w:t>
      </w:r>
      <w:r>
        <w:rPr>
          <w:rFonts w:hint="eastAsia" w:ascii="宋体" w:hAnsi="宋体"/>
        </w:rPr>
        <w:t>使用在服务目录中各项服务在</w:t>
      </w:r>
      <w:r>
        <w:rPr>
          <w:rFonts w:hint="eastAsia" w:ascii="宋体" w:hAnsi="宋体"/>
          <w:lang w:val="en-US" w:eastAsia="zh-CN"/>
        </w:rPr>
        <w:t>本年度</w:t>
      </w:r>
      <w:r>
        <w:rPr>
          <w:rFonts w:hint="eastAsia" w:ascii="宋体" w:hAnsi="宋体"/>
        </w:rPr>
        <w:t>服务周期内有可能超出服务周期封顶价时，中标人应免费提供超出部分的服务，投标人在报价时应综合考虑此因素</w:t>
      </w:r>
      <w:r>
        <w:rPr>
          <w:rFonts w:ascii="宋体" w:hAnsi="宋体"/>
        </w:rPr>
        <w:t>，采购人</w:t>
      </w:r>
      <w:r>
        <w:rPr>
          <w:rFonts w:hint="eastAsia" w:ascii="宋体" w:hAnsi="宋体"/>
        </w:rPr>
        <w:t>不再承担超出封顶价的其他费用。</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面向使用市级政务云资源的区级使用单位提供服务时，应当按照本次采购确定的服务目录、服务单价、服务标准等自行与区级政务云运行管理单位签订服务合同，相关费用由各区承担，签订服务合同过程中不得再次议价。本项目报价中的生僻字服务的封顶价格包含中标人提供的所有服务量，</w:t>
      </w:r>
      <w:r>
        <w:rPr>
          <w:rFonts w:ascii="宋体" w:hAnsi="宋体"/>
        </w:rPr>
        <w:t>采购人</w:t>
      </w:r>
      <w:r>
        <w:rPr>
          <w:rFonts w:hint="eastAsia" w:ascii="宋体" w:hAnsi="宋体"/>
        </w:rPr>
        <w:t>仅支付市级预算部门使用量产生的费用。</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标人在服务期内通过签署补充协议或备忘录政务云服务绩效目标、SLA服务要求、用户满意率目标以及服务目录细则予以确认和约定。</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标人确认的项目运维团队人员及数量，必须与投标文件承诺一致，未经采购人书面批准不得随意调换或撤离，若自行更换或撤离，按照合同违约处理。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标人承担政务云平台（主要包括物理资源、计算资源、存储资源、网络资源）</w:t>
      </w:r>
      <w:r>
        <w:rPr>
          <w:rFonts w:hint="eastAsia" w:ascii="宋体" w:hAnsi="宋体"/>
        </w:rPr>
        <w:t>自身的</w:t>
      </w:r>
      <w:r>
        <w:rPr>
          <w:rFonts w:ascii="宋体" w:hAnsi="宋体"/>
        </w:rPr>
        <w:t>数据防篡改、防丢失的安全责任</w:t>
      </w:r>
      <w:r>
        <w:rPr>
          <w:rFonts w:hint="eastAsia" w:ascii="宋体" w:hAnsi="宋体"/>
        </w:rPr>
        <w:t>以及上海市政务云基础设施与云上应用系统之间由中标人提供平台软件服务的范围</w:t>
      </w:r>
      <w:r>
        <w:rPr>
          <w:rFonts w:ascii="宋体" w:hAnsi="宋体"/>
        </w:rPr>
        <w:t>。</w:t>
      </w:r>
      <w:r>
        <w:rPr>
          <w:rFonts w:hint="eastAsia" w:ascii="宋体" w:hAnsi="宋体"/>
          <w:color w:val="222222"/>
          <w:shd w:val="clear" w:color="auto" w:fill="FFFFFF"/>
        </w:rPr>
        <w:t>中标人应当确保所提供的各项服务日志保存时长不低于</w:t>
      </w:r>
      <w:r>
        <w:rPr>
          <w:rFonts w:ascii="宋体" w:hAnsi="宋体"/>
          <w:color w:val="222222"/>
          <w:shd w:val="clear" w:color="auto" w:fill="FFFFFF"/>
        </w:rPr>
        <w:t>180</w:t>
      </w:r>
      <w:r>
        <w:rPr>
          <w:rFonts w:hint="eastAsia" w:ascii="宋体" w:hAnsi="宋体"/>
          <w:color w:val="222222"/>
          <w:shd w:val="clear" w:color="auto" w:fill="FFFFFF"/>
        </w:rPr>
        <w:t>天</w:t>
      </w:r>
      <w:r>
        <w:rPr>
          <w:rFonts w:ascii="宋体" w:hAnsi="宋体"/>
          <w:color w:val="222222"/>
          <w:shd w:val="clear" w:color="auto" w:fill="FFFFFF"/>
        </w:rPr>
        <w:t>。</w:t>
      </w:r>
      <w:r>
        <w:rPr>
          <w:rFonts w:hint="eastAsia" w:ascii="宋体" w:hAnsi="宋体"/>
          <w:color w:val="222222"/>
          <w:shd w:val="clear" w:color="auto" w:fill="FFFFFF"/>
        </w:rPr>
        <w:t>若合同终止，中标人应配合采购人将符合保存期限要求的日志数据完整迁移至新平台或指定存储介质，迁移完成前不得销毁。</w:t>
      </w:r>
    </w:p>
    <w:p>
      <w:pPr>
        <w:widowControl/>
        <w:numPr>
          <w:ilvl w:val="0"/>
          <w:numId w:val="6"/>
        </w:numPr>
        <w:topLinePunct/>
        <w:adjustRightInd w:val="0"/>
        <w:snapToGrid w:val="0"/>
        <w:spacing w:before="100" w:after="100" w:line="300" w:lineRule="exact"/>
        <w:ind w:left="420" w:hangingChars="200"/>
        <w:jc w:val="left"/>
        <w:rPr>
          <w:rFonts w:ascii="宋体" w:hAnsi="宋体"/>
          <w:color w:val="222222"/>
          <w:shd w:val="clear" w:color="auto" w:fill="FFFFFF"/>
        </w:rPr>
      </w:pPr>
      <w:r>
        <w:rPr>
          <w:rFonts w:hint="eastAsia" w:ascii="宋体" w:hAnsi="宋体"/>
        </w:rPr>
        <w:t>中</w:t>
      </w:r>
      <w:r>
        <w:rPr>
          <w:rFonts w:ascii="宋体" w:hAnsi="宋体"/>
        </w:rPr>
        <w:t>标人必须配合采购人及采购人指定的</w:t>
      </w:r>
      <w:r>
        <w:rPr>
          <w:rFonts w:hint="eastAsia" w:ascii="宋体" w:hAnsi="宋体"/>
          <w:lang w:val="en-US" w:eastAsia="zh-CN"/>
        </w:rPr>
        <w:t>政务云专业服务</w:t>
      </w:r>
      <w:r>
        <w:rPr>
          <w:rFonts w:ascii="宋体" w:hAnsi="宋体"/>
        </w:rPr>
        <w:t>团队的管理工作。</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中</w:t>
      </w:r>
      <w:r>
        <w:rPr>
          <w:rFonts w:ascii="宋体" w:hAnsi="宋体"/>
        </w:rPr>
        <w:t>标人需根据采购人要求提供云用户应用上云所需的测试资源，免费提供服务。</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hint="eastAsia" w:ascii="宋体" w:hAnsi="宋体"/>
        </w:rPr>
        <w:t>验收要求：中标人提供的政务云服务符合本次招标要求，应当根据本市和市大数据中心数字化项目验收要求提供相关材料并指派负责人协助验收。服务期限终止时，中标人应当以书面形式向采购人提交验收申请，经采购人审核同意后提供包括不限于项目实施方案、项目实施计划、项目运行维护手册、应急预案、合同履行情况自查表、项目过程性材料（会议纪要、测试报告、培训方案等）、服务涉及的软件产品相关文档以及本项目总结报告等。采购人在收到服务提供方提交材料后应尽快组织开展验收工作。中标人未能通过验收的应当在15个工作日内进行整改，并自行承担相关整改费用，再次接受采购人的验收，直至符合约定要求。</w:t>
      </w:r>
      <w:r>
        <w:rPr>
          <w:rFonts w:hint="eastAsia" w:ascii="宋体" w:hAnsi="宋体"/>
          <w:lang w:val="en-US" w:eastAsia="zh-CN"/>
        </w:rPr>
        <w:t>采购人有权</w:t>
      </w:r>
      <w:r>
        <w:rPr>
          <w:rFonts w:hint="eastAsia" w:ascii="宋体" w:hAnsi="宋体"/>
        </w:rPr>
        <w:t>委托第三方机构进行验收，对此服务提供方应当配合。如本项目连续3次验收未通过，采购人有权解除项目，并追究中标人的违约责任。</w:t>
      </w:r>
    </w:p>
    <w:p>
      <w:pPr>
        <w:widowControl/>
        <w:numPr>
          <w:ilvl w:val="0"/>
          <w:numId w:val="6"/>
        </w:numPr>
        <w:topLinePunct/>
        <w:adjustRightInd w:val="0"/>
        <w:snapToGrid w:val="0"/>
        <w:spacing w:before="100" w:after="100" w:line="300" w:lineRule="exact"/>
        <w:ind w:left="420" w:hangingChars="200"/>
        <w:jc w:val="left"/>
      </w:pPr>
      <w:r>
        <w:rPr>
          <w:rFonts w:hint="eastAsia" w:ascii="宋体" w:hAnsi="宋体"/>
        </w:rPr>
        <w:t>中标人须承诺在本项目合同服务期届满后、后续服务单位完成接管前，提供连续的服务保障，过渡期原则上不超过</w:t>
      </w:r>
      <w:r>
        <w:rPr>
          <w:rFonts w:hint="eastAsia" w:ascii="宋体" w:hAnsi="宋体"/>
          <w:lang w:val="en-US" w:eastAsia="zh-CN"/>
        </w:rPr>
        <w:t>1</w:t>
      </w:r>
      <w:r>
        <w:rPr>
          <w:rFonts w:hint="eastAsia" w:ascii="宋体" w:hAnsi="宋体"/>
        </w:rPr>
        <w:t>个月，中标人应配合完成数据迁移、权限移交等工作，不得以合同到期为由中断服务或设置障碍，过渡期间费用结算按原合同单价及政府采购有关规定执行，否则按本项目违约条款处理。</w:t>
      </w:r>
    </w:p>
    <w:p>
      <w:pPr>
        <w:widowControl/>
        <w:numPr>
          <w:ilvl w:val="0"/>
          <w:numId w:val="6"/>
        </w:numPr>
        <w:topLinePunct/>
        <w:adjustRightInd w:val="0"/>
        <w:snapToGrid w:val="0"/>
        <w:spacing w:before="100" w:after="100" w:line="300" w:lineRule="exact"/>
        <w:ind w:left="420" w:hangingChars="200"/>
        <w:jc w:val="left"/>
        <w:rPr>
          <w:rFonts w:ascii="宋体" w:hAnsi="宋体"/>
        </w:rPr>
      </w:pPr>
      <w:r>
        <w:rPr>
          <w:rFonts w:ascii="宋体" w:hAnsi="宋体"/>
        </w:rPr>
        <w:t>软件合法、合规授权，满足知识产权方面的有关规定和要求。</w:t>
      </w:r>
    </w:p>
    <w:p>
      <w:pPr>
        <w:pStyle w:val="4"/>
        <w:numPr>
          <w:ilvl w:val="1"/>
          <w:numId w:val="5"/>
        </w:numPr>
        <w:tabs>
          <w:tab w:val="clear" w:pos="840"/>
        </w:tabs>
        <w:ind w:left="720" w:hanging="720" w:hangingChars="200"/>
        <w:rPr>
          <w:lang w:eastAsia="zh-CN"/>
        </w:rPr>
      </w:pPr>
      <w:r>
        <w:rPr>
          <w:rFonts w:hint="eastAsia" w:ascii="宋体" w:hAnsi="宋体"/>
          <w:lang w:val="en-US" w:eastAsia="zh-CN"/>
        </w:rPr>
        <w:t>服务目录</w:t>
      </w:r>
    </w:p>
    <w:p>
      <w:pPr>
        <w:pStyle w:val="2"/>
        <w:rPr>
          <w:rFonts w:hint="eastAsia" w:ascii="Times New Roman"/>
          <w:color w:val="auto"/>
          <w:sz w:val="21"/>
          <w:szCs w:val="21"/>
          <w:highlight w:val="none"/>
          <w:lang w:eastAsia="zh-CN"/>
        </w:rPr>
      </w:pPr>
      <w:r>
        <w:rPr>
          <w:rFonts w:hint="eastAsia" w:ascii="Times New Roman"/>
          <w:color w:val="auto"/>
          <w:sz w:val="21"/>
          <w:szCs w:val="21"/>
          <w:highlight w:val="none"/>
        </w:rPr>
        <w:t>上海市政务云基础设施民生经济类最高限价参见下表</w:t>
      </w:r>
      <w:r>
        <w:rPr>
          <w:rFonts w:hint="eastAsia" w:ascii="Times New Roman"/>
          <w:color w:val="auto"/>
          <w:sz w:val="21"/>
          <w:szCs w:val="21"/>
          <w:highlight w:val="none"/>
          <w:lang w:eastAsia="zh-CN"/>
        </w:rPr>
        <w:t>：</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2"/>
        <w:gridCol w:w="541"/>
        <w:gridCol w:w="508"/>
        <w:gridCol w:w="923"/>
        <w:gridCol w:w="923"/>
        <w:gridCol w:w="1404"/>
        <w:gridCol w:w="662"/>
        <w:gridCol w:w="3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服务类别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服务子类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服务项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服务子项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服务内容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难度系数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基础设施服务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物理托管服务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机房机柜服务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整机柜租用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提供整机柜空间租赁服务，用于业务系统设备托管。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网络资源服务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互联网公有IP服务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互联网公有IP服务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提供互联网公有IP地址分配服务，支持业务系统接入互联网。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互联网带宽（骨干级-含DDoS防护）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互联网带宽（骨干级-含DDoS防护）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提供骨干级互联网带宽接入服务，含DDoS防护，保障互联网访问。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应用负载均衡服务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应用负载均衡服务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提供网络流量负载均衡服务，提升应用可用性和扩展性。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每IP/月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安全交换区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安全交换区（网闸）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提供基于网闸的安全数据交换服务，实现政务外网与互联网安全隔离互通。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每IP/月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计算资源服务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提供云服务器CPU计算资源服务。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核/月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内存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内存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提供云服务器内存资源服务。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工作的复杂度，取难度系数N(N=1.00～0.25)确定单价，其中难度系数评估与单台主机的内存容量相关联。单台服务器的内存资源费用采用分段累进计费方式，即不同内存容量区间适用不同的单价，仅对落入该区间的超出部分按对应单价计算，不对全部容量统一适用单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按照内存容量区间标准，单台主机中所使用内存容量小于等于 128 GB 的部分。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0.5</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按照内存容量区间标准，单台主机中所使用内存容量大于 128 GB 且小于等于 256 GB 的部分。</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0.25</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按照内存容量区间标准，单台主机所使用内存容量分级等级大于 256 GB 的部分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GPU</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提供多元加速计算资源服务，适用于AI计算（算法/训练/推理）、图形处理等场景。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按工作的复杂度，取难度系数N(N=1.0～4.0)确定单价。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按照资源类型标准，主要用于算法处理的GPU。</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2.00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按照资源类型标准，主要用于模型推理GPU。</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4.00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按照资源类型标准，主要用于模型训练GPU。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存储资源服务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存储空间服务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存储空间服务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提供云硬盘存储空间服务，用于数据存储。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TB/月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按工作的复杂度，取难度系数N(N=1.0～3.7)确定单价。</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1.00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按照存储服务类型标准，涉及应用存储空间服务、数据备份服务。</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1.90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按照存储服务类型标准，涉及高性能数据库存储服务。</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难度系数 3.70</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按照存储服务类型标准，涉及加密存储服务。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数据归档服务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数据归档服务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提供长期离线数据归档存储服务。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信息安全技术服务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网络访问控制服务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网络访问控制服务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提供网络边界访问策略控制与威胁检测服务。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入侵防御服务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入侵防御服务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提供网络入侵行为检测与防御服务。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用户安全服务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用户身份认证服务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用户身份认证服务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提供云平台用户身份认证与管理服务。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租户/月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安全隐患感知服务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安全隐患感知服务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提供蜜罐服务，主动诱捕和发现潜在安全威胁。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节点/月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安全接入服务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VPN接入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VPN接入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提供IPSec VPN服务，安全连接本地网络与政务云。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隧道数/月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安全管理服务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数据库审计服务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数据库审计服务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提供数据库操作行为审计服务。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实例/月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安全扫描服务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提供主机安全漏洞扫描服务，含主机漏洞扫描、基线检查。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次*VM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网站防护服务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在线防护WAF</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在线防护WAF</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提供Web应用防火墙(WAF)服务，防御网站常见攻击。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网页防篡服务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网页防篡服务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提供网页防篡改监控与恢复服务。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密码服务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安全认证网关服务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安全认证网关服务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提供符合商用密码算法的安全认证网关服务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时间戳服务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时间戳服务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提供符合商用密码算法的时间戳服务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签名验签服务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签名验签服务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提供符合商用密码算法的签名验签服务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可信密码服务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可信密码服务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提供符合商用密码算法的可信密码服务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软件支撑服务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其他服务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短信服务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短信服务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提供移动、电信、联通、广电四网短信发送服务。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CDN流量加速分发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CDN流量加速分发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提供境内互联网CDN内容分发加速服务。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TB</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生僻字服务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生僻字服务(服务端)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提供符合国家人口信息库标准的服务端生僻字支持服务。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应用/月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生僻字服务(客户端)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提供符合国家人口信息库标准的PC端生僻字支持服务。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套/月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21"/>
                <w:szCs w:val="21"/>
                <w:u w:val="none"/>
              </w:rPr>
            </w:pPr>
          </w:p>
        </w:tc>
      </w:tr>
    </w:tbl>
    <w:p>
      <w:pPr>
        <w:pStyle w:val="2"/>
      </w:pPr>
    </w:p>
    <w:p>
      <w:pPr>
        <w:pStyle w:val="4"/>
        <w:numPr>
          <w:ilvl w:val="1"/>
          <w:numId w:val="5"/>
        </w:numPr>
        <w:tabs>
          <w:tab w:val="clear" w:pos="840"/>
        </w:tabs>
        <w:ind w:left="720" w:hanging="720" w:hangingChars="200"/>
        <w:rPr>
          <w:rFonts w:ascii="宋体" w:hAnsi="宋体"/>
          <w:lang w:eastAsia="zh-CN"/>
        </w:rPr>
      </w:pPr>
      <w:bookmarkStart w:id="4" w:name="_Toc34080390"/>
      <w:bookmarkStart w:id="5" w:name="_Toc34080573"/>
      <w:r>
        <w:rPr>
          <w:rFonts w:ascii="宋体" w:hAnsi="宋体"/>
          <w:lang w:eastAsia="zh-CN"/>
        </w:rPr>
        <w:t>项目违约条款</w:t>
      </w:r>
      <w:bookmarkEnd w:id="4"/>
      <w:bookmarkEnd w:id="5"/>
    </w:p>
    <w:p>
      <w:pPr>
        <w:pStyle w:val="4"/>
        <w:numPr>
          <w:ilvl w:val="0"/>
          <w:numId w:val="0"/>
        </w:numPr>
        <w:spacing w:line="600" w:lineRule="exact"/>
        <w:rPr>
          <w:rFonts w:ascii="宋体" w:hAnsi="宋体"/>
          <w:lang w:eastAsia="zh-CN"/>
        </w:rPr>
      </w:pPr>
      <w:r>
        <w:rPr>
          <w:rFonts w:ascii="宋体" w:hAnsi="宋体" w:cs="Segoe UI Symbol"/>
          <w:lang w:eastAsia="zh-CN"/>
        </w:rPr>
        <w:t>★</w:t>
      </w:r>
      <w:r>
        <w:rPr>
          <w:rFonts w:hint="eastAsia" w:ascii="宋体" w:hAnsi="宋体" w:cs="Arial"/>
          <w:bCs w:val="0"/>
          <w:kern w:val="2"/>
          <w:sz w:val="21"/>
          <w:szCs w:val="21"/>
          <w:lang w:eastAsia="zh-CN"/>
        </w:rPr>
        <w:t>中标人应当对以下项目违约条款作出无条件响应承诺。</w:t>
      </w:r>
    </w:p>
    <w:p>
      <w:pPr>
        <w:widowControl/>
        <w:numPr>
          <w:ilvl w:val="0"/>
          <w:numId w:val="7"/>
        </w:numPr>
        <w:topLinePunct/>
        <w:adjustRightInd w:val="0"/>
        <w:snapToGrid w:val="0"/>
        <w:spacing w:before="100" w:after="100" w:line="300" w:lineRule="exact"/>
        <w:ind w:left="420" w:hangingChars="200"/>
        <w:jc w:val="left"/>
        <w:rPr>
          <w:rFonts w:hint="default" w:ascii="宋体" w:hAnsi="宋体"/>
        </w:rPr>
      </w:pPr>
      <w:r>
        <w:rPr>
          <w:rFonts w:hint="default" w:ascii="宋体" w:hAnsi="宋体"/>
        </w:rPr>
        <w:t>政务云服务运营采用闭环管理。中标人在投标文件和合同中承诺的服务内容（SLA）、性能指标、安全要求及管理规范，在实际运行过程中未能满足或出现问题的，均视为违约。采购人将根据违约事件的类型、性质、影响范围、持续时间、后果严重程度以及中标人采取的补救措施和响应速度，依据本条款进行相应的违约处理。违约处理方式包括但不限于发出书面警告、限期整改要求、按合同约定计收违约金、按比例扣减当期服务费用、终止合同、报请财政部门备案、追究法律责任等。</w:t>
      </w:r>
    </w:p>
    <w:p>
      <w:pPr>
        <w:widowControl/>
        <w:numPr>
          <w:ilvl w:val="0"/>
          <w:numId w:val="7"/>
        </w:numPr>
        <w:topLinePunct/>
        <w:adjustRightInd w:val="0"/>
        <w:snapToGrid w:val="0"/>
        <w:spacing w:before="100" w:after="100" w:line="300" w:lineRule="exact"/>
        <w:ind w:left="420" w:hangingChars="200"/>
        <w:jc w:val="left"/>
        <w:rPr>
          <w:rFonts w:hint="default" w:ascii="宋体" w:hAnsi="宋体"/>
        </w:rPr>
      </w:pPr>
      <w:r>
        <w:rPr>
          <w:rFonts w:hint="default" w:ascii="宋体" w:hAnsi="宋体"/>
        </w:rPr>
        <w:t>中标人须严格按照《上海市大数据中心市政务云服务商服务考核标准（试行）》接受采购人的定期考核评定。考核内容涵盖服务交付、人员管理、投诉处理、服务可用性、故障管理、变更管理、安全合规、制度执行有效性等关键领域。采购人将根据考评结果及考评过程中发现的具体问题，结合本违约责任条款，进行相应的违约处理。考评结果将作为服务费用结算、续约决策的重要依据。</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出现服务中断、性能下降、安全事件或其他违约情形时，由采购人委托的第三方专业服务单位负责界定责任边界、事件原因和严重程度等级。采购人将依据第三方的界定结论、事件的严重程度以及中标人的响应和整改情况，依据本条款对中标人实施相应的违约处理措施。对于中标人未按期完成整改或整改无效的，采购人有权加重处罚。</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若因中标人责任导致业务生产数据泄露，除按本条款第7项支付</w:t>
      </w:r>
      <w:r>
        <w:rPr>
          <w:rFonts w:hint="eastAsia" w:ascii="宋体" w:hAnsi="宋体"/>
          <w:lang w:eastAsia="zh-CN"/>
        </w:rPr>
        <w:t>1</w:t>
      </w:r>
      <w:r>
        <w:rPr>
          <w:rFonts w:hint="eastAsia" w:ascii="宋体" w:hAnsi="宋体"/>
          <w:lang w:val="en-US" w:eastAsia="zh-CN"/>
        </w:rPr>
        <w:t>00</w:t>
      </w:r>
      <w:r>
        <w:rPr>
          <w:rFonts w:hint="default" w:ascii="宋体" w:hAnsi="宋体"/>
        </w:rPr>
        <w:t>万元违约金外，采购人有权另行追究由此造成的直接经济损失，</w:t>
      </w:r>
    </w:p>
    <w:p>
      <w:pPr>
        <w:widowControl/>
        <w:numPr>
          <w:ilvl w:val="0"/>
          <w:numId w:val="7"/>
        </w:numPr>
        <w:topLinePunct/>
        <w:adjustRightInd w:val="0"/>
        <w:snapToGrid w:val="0"/>
        <w:spacing w:before="100" w:after="100" w:line="300" w:lineRule="exact"/>
        <w:ind w:left="420" w:hangingChars="200"/>
        <w:jc w:val="left"/>
        <w:rPr>
          <w:rFonts w:ascii="宋体" w:hAnsi="宋体"/>
        </w:rPr>
      </w:pPr>
      <w:r>
        <w:rPr>
          <w:rFonts w:hint="default" w:ascii="宋体" w:hAnsi="宋体"/>
        </w:rPr>
        <w:t>违约金标准</w:t>
      </w:r>
      <w:r>
        <w:rPr>
          <w:rFonts w:hint="eastAsia" w:ascii="宋体" w:hAnsi="宋体"/>
          <w:lang w:eastAsia="zh-CN"/>
        </w:rPr>
        <w:t>（运营考评标准见本需求附件）</w:t>
      </w:r>
      <w:r>
        <w:rPr>
          <w:rFonts w:hint="default" w:ascii="宋体" w:hAnsi="宋体"/>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853"/>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shd w:val="clear" w:color="auto" w:fill="D9D9D9"/>
          </w:tcPr>
          <w:p>
            <w:pPr>
              <w:jc w:val="center"/>
              <w:rPr>
                <w:rFonts w:ascii="宋体" w:hAnsi="宋体" w:cs="Times New Roman"/>
              </w:rPr>
            </w:pPr>
            <w:r>
              <w:rPr>
                <w:rFonts w:ascii="宋体" w:hAnsi="宋体" w:cs="Times New Roman"/>
              </w:rPr>
              <w:t>序号</w:t>
            </w:r>
          </w:p>
        </w:tc>
        <w:tc>
          <w:tcPr>
            <w:tcW w:w="4853" w:type="dxa"/>
            <w:shd w:val="clear" w:color="auto" w:fill="D9D9D9"/>
          </w:tcPr>
          <w:p>
            <w:pPr>
              <w:jc w:val="center"/>
              <w:rPr>
                <w:rFonts w:ascii="宋体" w:hAnsi="宋体" w:cs="Times New Roman"/>
              </w:rPr>
            </w:pPr>
            <w:r>
              <w:rPr>
                <w:rFonts w:ascii="宋体" w:hAnsi="宋体" w:cs="Times New Roman"/>
              </w:rPr>
              <w:t>违约条件</w:t>
            </w:r>
          </w:p>
        </w:tc>
        <w:tc>
          <w:tcPr>
            <w:tcW w:w="2841" w:type="dxa"/>
            <w:shd w:val="clear" w:color="auto" w:fill="D9D9D9"/>
          </w:tcPr>
          <w:p>
            <w:pPr>
              <w:jc w:val="center"/>
              <w:rPr>
                <w:rFonts w:ascii="宋体" w:hAnsi="宋体" w:cs="Times New Roman"/>
              </w:rPr>
            </w:pPr>
            <w:r>
              <w:rPr>
                <w:rFonts w:ascii="宋体" w:hAnsi="宋体" w:cs="Times New Roman"/>
              </w:rPr>
              <w:t>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ascii="宋体" w:hAnsi="宋体" w:cs="Times New Roman"/>
              </w:rPr>
            </w:pPr>
            <w:r>
              <w:rPr>
                <w:rFonts w:ascii="宋体" w:hAnsi="宋体" w:cs="Times New Roman"/>
              </w:rPr>
              <w:t>1</w:t>
            </w:r>
          </w:p>
        </w:tc>
        <w:tc>
          <w:tcPr>
            <w:tcW w:w="4853" w:type="dxa"/>
          </w:tcPr>
          <w:p>
            <w:pPr>
              <w:jc w:val="center"/>
              <w:rPr>
                <w:rFonts w:ascii="宋体" w:hAnsi="宋体" w:cs="Times New Roman"/>
              </w:rPr>
            </w:pPr>
            <w:r>
              <w:rPr>
                <w:rFonts w:ascii="宋体" w:hAnsi="宋体" w:cs="Times New Roman"/>
                <w:lang w:val="en-US" w:eastAsia="zh-CN"/>
              </w:rPr>
              <w:t>因中标人责任导致</w:t>
            </w:r>
            <w:r>
              <w:rPr>
                <w:rFonts w:hint="eastAsia" w:ascii="宋体" w:hAnsi="宋体" w:cs="Times New Roman"/>
                <w:lang w:val="en-US" w:eastAsia="zh-CN"/>
              </w:rPr>
              <w:t>主管部门、管理部门或者</w:t>
            </w:r>
            <w:r>
              <w:rPr>
                <w:rFonts w:ascii="宋体" w:hAnsi="宋体" w:cs="Times New Roman"/>
                <w:lang w:val="en-US" w:eastAsia="zh-CN"/>
              </w:rPr>
              <w:t>使用单位投诉云服务质量问题。</w:t>
            </w:r>
          </w:p>
        </w:tc>
        <w:tc>
          <w:tcPr>
            <w:tcW w:w="2841" w:type="dxa"/>
          </w:tcPr>
          <w:p>
            <w:pPr>
              <w:jc w:val="center"/>
              <w:rPr>
                <w:rFonts w:ascii="宋体" w:hAnsi="宋体" w:cs="Times New Roman"/>
              </w:rPr>
            </w:pPr>
            <w:r>
              <w:rPr>
                <w:rFonts w:hint="eastAsia" w:ascii="宋体" w:hAnsi="宋体" w:cs="Times New Roman"/>
                <w:lang w:val="en-US" w:eastAsia="zh-CN"/>
              </w:rPr>
              <w:t>5</w:t>
            </w:r>
            <w:r>
              <w:rPr>
                <w:rFonts w:ascii="宋体" w:hAnsi="宋体" w:cs="Times New Roma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val="en-US" w:eastAsia="zh-CN"/>
              </w:rPr>
            </w:pPr>
            <w:r>
              <w:rPr>
                <w:rFonts w:hint="eastAsia" w:ascii="宋体" w:hAnsi="宋体" w:cs="Times New Roman"/>
                <w:lang w:val="en-US" w:eastAsia="zh-CN"/>
              </w:rPr>
              <w:t>2</w:t>
            </w:r>
          </w:p>
        </w:tc>
        <w:tc>
          <w:tcPr>
            <w:tcW w:w="4853" w:type="dxa"/>
            <w:shd w:val="clear" w:color="auto" w:fill="auto"/>
            <w:vAlign w:val="top"/>
          </w:tcPr>
          <w:p>
            <w:pPr>
              <w:jc w:val="center"/>
              <w:rPr>
                <w:rFonts w:hint="default" w:ascii="宋体" w:hAnsi="宋体" w:cs="Times New Roman" w:eastAsiaTheme="minorEastAsia"/>
                <w:kern w:val="2"/>
                <w:sz w:val="21"/>
                <w:szCs w:val="24"/>
                <w:lang w:val="en-US" w:eastAsia="zh-CN" w:bidi="ar-SA"/>
              </w:rPr>
            </w:pPr>
            <w:r>
              <w:rPr>
                <w:rFonts w:ascii="宋体" w:hAnsi="宋体" w:cs="Times New Roman"/>
                <w:lang w:val="en-US" w:eastAsia="zh-CN"/>
              </w:rPr>
              <w:t>关键服务指标（SLA）未达标。</w:t>
            </w:r>
          </w:p>
        </w:tc>
        <w:tc>
          <w:tcPr>
            <w:tcW w:w="2841" w:type="dxa"/>
            <w:shd w:val="clear" w:color="auto" w:fill="auto"/>
            <w:vAlign w:val="top"/>
          </w:tcPr>
          <w:p>
            <w:pPr>
              <w:jc w:val="center"/>
              <w:rPr>
                <w:rFonts w:ascii="宋体" w:hAnsi="宋体" w:cs="Times New Roman" w:eastAsiaTheme="minorEastAsia"/>
                <w:kern w:val="2"/>
                <w:sz w:val="21"/>
                <w:szCs w:val="24"/>
                <w:lang w:val="en-US" w:eastAsia="zh-CN" w:bidi="ar-SA"/>
              </w:rPr>
            </w:pPr>
            <w:r>
              <w:rPr>
                <w:rFonts w:hint="eastAsia" w:ascii="宋体" w:hAnsi="宋体" w:cs="Times New Roman"/>
                <w:lang w:val="en-US" w:eastAsia="zh-CN"/>
              </w:rPr>
              <w:t>1</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3</w:t>
            </w:r>
          </w:p>
        </w:tc>
        <w:tc>
          <w:tcPr>
            <w:tcW w:w="4853" w:type="dxa"/>
          </w:tcPr>
          <w:p>
            <w:pPr>
              <w:jc w:val="center"/>
              <w:rPr>
                <w:rFonts w:ascii="宋体" w:hAnsi="宋体" w:cs="Times New Roman"/>
              </w:rPr>
            </w:pPr>
            <w:r>
              <w:rPr>
                <w:rFonts w:ascii="宋体" w:hAnsi="宋体" w:cs="Times New Roman"/>
              </w:rPr>
              <w:t>依据本招标要求未能履行的具体条款</w:t>
            </w:r>
          </w:p>
        </w:tc>
        <w:tc>
          <w:tcPr>
            <w:tcW w:w="2841" w:type="dxa"/>
          </w:tcPr>
          <w:p>
            <w:pPr>
              <w:jc w:val="center"/>
              <w:rPr>
                <w:rFonts w:ascii="宋体" w:hAnsi="宋体" w:cs="Times New Roman"/>
              </w:rPr>
            </w:pPr>
            <w:r>
              <w:rPr>
                <w:rFonts w:ascii="宋体" w:hAnsi="宋体" w:cs="Times New Roman"/>
              </w:rPr>
              <w:t>20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4</w:t>
            </w:r>
          </w:p>
        </w:tc>
        <w:tc>
          <w:tcPr>
            <w:tcW w:w="4853" w:type="dxa"/>
          </w:tcPr>
          <w:p>
            <w:pPr>
              <w:jc w:val="center"/>
              <w:rPr>
                <w:rFonts w:ascii="宋体" w:hAnsi="宋体" w:cs="Times New Roman"/>
              </w:rPr>
            </w:pPr>
            <w:r>
              <w:rPr>
                <w:rFonts w:ascii="宋体" w:hAnsi="宋体" w:cs="Times New Roman"/>
                <w:lang w:val="en-US" w:eastAsia="zh-CN"/>
              </w:rPr>
              <w:t>因中标人责任导致</w:t>
            </w:r>
            <w:r>
              <w:rPr>
                <w:rFonts w:ascii="宋体" w:hAnsi="宋体" w:cs="Times New Roman"/>
              </w:rPr>
              <w:t>的</w:t>
            </w:r>
            <w:r>
              <w:rPr>
                <w:rFonts w:hint="eastAsia" w:ascii="宋体" w:hAnsi="宋体" w:cs="Times New Roman"/>
                <w:lang w:val="en-US" w:eastAsia="zh-CN"/>
              </w:rPr>
              <w:t>部分</w:t>
            </w:r>
            <w:r>
              <w:rPr>
                <w:rFonts w:ascii="宋体" w:hAnsi="宋体" w:cs="Times New Roman"/>
              </w:rPr>
              <w:t>业务瘫痪未及时恢复</w:t>
            </w:r>
          </w:p>
        </w:tc>
        <w:tc>
          <w:tcPr>
            <w:tcW w:w="2841" w:type="dxa"/>
          </w:tcPr>
          <w:p>
            <w:pPr>
              <w:jc w:val="center"/>
              <w:rPr>
                <w:rFonts w:ascii="宋体" w:hAnsi="宋体" w:cs="Times New Roman"/>
              </w:rPr>
            </w:pPr>
            <w:r>
              <w:rPr>
                <w:rFonts w:hint="eastAsia" w:ascii="宋体" w:hAnsi="宋体" w:cs="Times New Roman"/>
                <w:lang w:val="en-US" w:eastAsia="zh-CN"/>
              </w:rPr>
              <w:t>2</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5</w:t>
            </w:r>
          </w:p>
        </w:tc>
        <w:tc>
          <w:tcPr>
            <w:tcW w:w="4853" w:type="dxa"/>
          </w:tcPr>
          <w:p>
            <w:pPr>
              <w:jc w:val="center"/>
              <w:rPr>
                <w:rFonts w:hint="default" w:ascii="宋体" w:hAnsi="宋体" w:cs="Times New Roman" w:eastAsiaTheme="minorEastAsia"/>
                <w:lang w:val="en-US" w:eastAsia="zh-CN"/>
              </w:rPr>
            </w:pPr>
            <w:r>
              <w:rPr>
                <w:rFonts w:ascii="宋体" w:hAnsi="宋体" w:cs="Times New Roman"/>
                <w:lang w:val="en-US" w:eastAsia="zh-CN"/>
              </w:rPr>
              <w:t>因中标人责任</w:t>
            </w:r>
            <w:r>
              <w:rPr>
                <w:rFonts w:ascii="宋体" w:hAnsi="宋体" w:cs="Times New Roman"/>
              </w:rPr>
              <w:t>导致的业务数据丢失</w:t>
            </w:r>
            <w:r>
              <w:rPr>
                <w:rFonts w:hint="eastAsia" w:ascii="宋体" w:hAnsi="宋体" w:cs="Times New Roman"/>
                <w:lang w:val="en-US" w:eastAsia="zh-CN"/>
              </w:rPr>
              <w:t>未能恢复</w:t>
            </w:r>
          </w:p>
        </w:tc>
        <w:tc>
          <w:tcPr>
            <w:tcW w:w="2841" w:type="dxa"/>
          </w:tcPr>
          <w:p>
            <w:pPr>
              <w:jc w:val="center"/>
              <w:rPr>
                <w:rFonts w:ascii="宋体" w:hAnsi="宋体" w:cs="Times New Roman"/>
              </w:rPr>
            </w:pPr>
            <w:r>
              <w:rPr>
                <w:rFonts w:hint="eastAsia" w:ascii="宋体" w:hAnsi="宋体" w:cs="Times New Roman"/>
                <w:lang w:val="en-US" w:eastAsia="zh-CN"/>
              </w:rPr>
              <w:t>3</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6</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导致的业务网页被篡改</w:t>
            </w:r>
          </w:p>
        </w:tc>
        <w:tc>
          <w:tcPr>
            <w:tcW w:w="2841" w:type="dxa"/>
          </w:tcPr>
          <w:p>
            <w:pPr>
              <w:jc w:val="center"/>
              <w:rPr>
                <w:rFonts w:ascii="宋体" w:hAnsi="宋体" w:cs="Times New Roman"/>
              </w:rPr>
            </w:pPr>
            <w:r>
              <w:rPr>
                <w:rFonts w:ascii="宋体" w:hAnsi="宋体" w:cs="Times New Roman"/>
              </w:rPr>
              <w:t>50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7</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导致的大面积业务瘫痪</w:t>
            </w:r>
          </w:p>
        </w:tc>
        <w:tc>
          <w:tcPr>
            <w:tcW w:w="2841" w:type="dxa"/>
          </w:tcPr>
          <w:p>
            <w:pPr>
              <w:jc w:val="center"/>
              <w:rPr>
                <w:rFonts w:ascii="宋体" w:hAnsi="宋体" w:cs="Times New Roman"/>
              </w:rPr>
            </w:pPr>
            <w:r>
              <w:rPr>
                <w:rFonts w:hint="eastAsia" w:ascii="宋体" w:hAnsi="宋体" w:cs="Times New Roman"/>
                <w:lang w:val="en-US" w:eastAsia="zh-CN"/>
              </w:rPr>
              <w:t>5</w:t>
            </w:r>
            <w:r>
              <w:rPr>
                <w:rFonts w:ascii="宋体" w:hAnsi="宋体" w:cs="Times New Roman"/>
              </w:rPr>
              <w:t>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8</w:t>
            </w:r>
          </w:p>
        </w:tc>
        <w:tc>
          <w:tcPr>
            <w:tcW w:w="4853" w:type="dxa"/>
          </w:tcPr>
          <w:p>
            <w:pPr>
              <w:jc w:val="center"/>
              <w:rPr>
                <w:rFonts w:ascii="宋体" w:hAnsi="宋体" w:cs="Times New Roman"/>
              </w:rPr>
            </w:pPr>
            <w:r>
              <w:rPr>
                <w:rFonts w:ascii="宋体" w:hAnsi="宋体" w:cs="Times New Roman"/>
                <w:lang w:val="en-US" w:eastAsia="zh-CN"/>
              </w:rPr>
              <w:t>因中标人责任</w:t>
            </w:r>
            <w:r>
              <w:rPr>
                <w:rFonts w:ascii="宋体" w:hAnsi="宋体" w:cs="Times New Roman"/>
              </w:rPr>
              <w:t>导致的业务生产数据泄露</w:t>
            </w:r>
          </w:p>
        </w:tc>
        <w:tc>
          <w:tcPr>
            <w:tcW w:w="2841" w:type="dxa"/>
          </w:tcPr>
          <w:p>
            <w:pPr>
              <w:jc w:val="center"/>
              <w:rPr>
                <w:rFonts w:hint="default" w:ascii="宋体" w:hAnsi="宋体" w:cs="Times New Roman" w:eastAsiaTheme="minorEastAsia"/>
                <w:lang w:val="en-US" w:eastAsia="zh-CN"/>
              </w:rPr>
            </w:pPr>
            <w:r>
              <w:rPr>
                <w:rFonts w:ascii="宋体" w:hAnsi="宋体" w:cs="Times New Roman"/>
              </w:rPr>
              <w:t>100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hint="eastAsia" w:ascii="宋体" w:hAnsi="宋体" w:cs="Times New Roman" w:eastAsiaTheme="minorEastAsia"/>
                <w:lang w:eastAsia="zh-CN"/>
              </w:rPr>
            </w:pPr>
            <w:r>
              <w:rPr>
                <w:rFonts w:hint="eastAsia" w:ascii="宋体" w:hAnsi="宋体" w:cs="Times New Roman"/>
                <w:lang w:val="en-US" w:eastAsia="zh-CN"/>
              </w:rPr>
              <w:t>9</w:t>
            </w:r>
          </w:p>
        </w:tc>
        <w:tc>
          <w:tcPr>
            <w:tcW w:w="4853" w:type="dxa"/>
          </w:tcPr>
          <w:p>
            <w:pPr>
              <w:jc w:val="center"/>
              <w:rPr>
                <w:rFonts w:ascii="宋体" w:hAnsi="宋体" w:cs="Times New Roman"/>
              </w:rPr>
            </w:pPr>
            <w:r>
              <w:rPr>
                <w:rFonts w:ascii="宋体" w:hAnsi="宋体" w:cs="Times New Roman"/>
              </w:rPr>
              <w:t>当年运营考评总体得分低于90分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1</w:t>
            </w:r>
            <w:r>
              <w:rPr>
                <w:rFonts w:ascii="宋体"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jc w:val="center"/>
              <w:rPr>
                <w:rFonts w:ascii="宋体" w:hAnsi="宋体" w:cs="Times New Roman"/>
              </w:rPr>
            </w:pPr>
            <w:r>
              <w:rPr>
                <w:rFonts w:hint="eastAsia" w:ascii="宋体" w:hAnsi="宋体" w:cs="Times New Roman"/>
                <w:lang w:val="en-US" w:eastAsia="zh-CN"/>
              </w:rPr>
              <w:t>10</w:t>
            </w:r>
          </w:p>
        </w:tc>
        <w:tc>
          <w:tcPr>
            <w:tcW w:w="4853" w:type="dxa"/>
          </w:tcPr>
          <w:p>
            <w:pPr>
              <w:jc w:val="center"/>
              <w:rPr>
                <w:rFonts w:ascii="宋体" w:hAnsi="宋体" w:cs="Times New Roman"/>
              </w:rPr>
            </w:pPr>
            <w:r>
              <w:rPr>
                <w:rFonts w:ascii="宋体" w:hAnsi="宋体" w:cs="Times New Roman"/>
              </w:rPr>
              <w:t>当年运营考评总体得分低于80分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3</w:t>
            </w:r>
            <w:r>
              <w:rPr>
                <w:rFonts w:ascii="宋体" w:hAnsi="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jc w:val="center"/>
              <w:rPr>
                <w:rFonts w:ascii="宋体" w:hAnsi="宋体" w:cs="Times New Roman"/>
              </w:rPr>
            </w:pPr>
            <w:r>
              <w:rPr>
                <w:rFonts w:ascii="宋体" w:hAnsi="宋体" w:cs="Times New Roman"/>
              </w:rPr>
              <w:t>1</w:t>
            </w:r>
            <w:r>
              <w:rPr>
                <w:rFonts w:hint="eastAsia" w:ascii="宋体" w:hAnsi="宋体" w:cs="Times New Roman"/>
                <w:lang w:val="en-US" w:eastAsia="zh-CN"/>
              </w:rPr>
              <w:t>1</w:t>
            </w:r>
          </w:p>
        </w:tc>
        <w:tc>
          <w:tcPr>
            <w:tcW w:w="4853" w:type="dxa"/>
          </w:tcPr>
          <w:p>
            <w:pPr>
              <w:jc w:val="center"/>
              <w:rPr>
                <w:rFonts w:ascii="宋体" w:hAnsi="宋体" w:cs="Times New Roman"/>
              </w:rPr>
            </w:pPr>
            <w:r>
              <w:rPr>
                <w:rFonts w:ascii="宋体" w:hAnsi="宋体" w:cs="Times New Roman"/>
              </w:rPr>
              <w:t>当年运营考评总体得分低于70分</w:t>
            </w:r>
          </w:p>
        </w:tc>
        <w:tc>
          <w:tcPr>
            <w:tcW w:w="2841" w:type="dxa"/>
          </w:tcPr>
          <w:p>
            <w:pPr>
              <w:jc w:val="center"/>
              <w:rPr>
                <w:rFonts w:ascii="宋体" w:hAnsi="宋体" w:cs="Times New Roman"/>
              </w:rPr>
            </w:pPr>
            <w:r>
              <w:rPr>
                <w:rFonts w:ascii="宋体" w:hAnsi="宋体" w:cs="Times New Roman"/>
              </w:rPr>
              <w:t>当年结算金额的</w:t>
            </w:r>
            <w:r>
              <w:rPr>
                <w:rFonts w:hint="eastAsia" w:ascii="宋体" w:hAnsi="宋体" w:cs="Times New Roman"/>
                <w:lang w:val="en-US" w:eastAsia="zh-CN"/>
              </w:rPr>
              <w:t>5</w:t>
            </w:r>
            <w:r>
              <w:rPr>
                <w:rFonts w:ascii="宋体" w:hAnsi="宋体" w:cs="Times New Roman"/>
              </w:rPr>
              <w:t>%</w:t>
            </w:r>
          </w:p>
        </w:tc>
      </w:tr>
    </w:tbl>
    <w:p>
      <w:pPr>
        <w:pStyle w:val="4"/>
        <w:numPr>
          <w:ilvl w:val="-1"/>
          <w:numId w:val="0"/>
        </w:numPr>
        <w:tabs>
          <w:tab w:val="clear" w:pos="840"/>
        </w:tabs>
        <w:ind w:left="-420" w:leftChars="-200" w:firstLine="0" w:firstLineChars="0"/>
        <w:rPr>
          <w:rFonts w:ascii="宋体" w:hAnsi="宋体"/>
          <w:lang w:eastAsia="zh-CN"/>
        </w:rPr>
      </w:pPr>
      <w:bookmarkStart w:id="6" w:name="_Toc34080574"/>
      <w:bookmarkStart w:id="7" w:name="_Toc34080391"/>
    </w:p>
    <w:p>
      <w:pPr>
        <w:pStyle w:val="4"/>
        <w:numPr>
          <w:ilvl w:val="1"/>
          <w:numId w:val="5"/>
        </w:numPr>
        <w:tabs>
          <w:tab w:val="clear" w:pos="840"/>
        </w:tabs>
        <w:ind w:left="720" w:hanging="720" w:hangingChars="200"/>
        <w:rPr>
          <w:rFonts w:ascii="宋体" w:hAnsi="宋体"/>
          <w:lang w:eastAsia="zh-CN"/>
        </w:rPr>
      </w:pPr>
      <w:r>
        <w:rPr>
          <w:rFonts w:hint="eastAsia" w:ascii="宋体" w:hAnsi="宋体"/>
          <w:lang w:eastAsia="zh-CN"/>
        </w:rPr>
        <w:t>项目保密要求</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因履行本项目而知悉的所有数据、信息和资料（包括但不限于账号信息、图表、文字、计算过程、电子文件、访谈记录、现场实测数据、采购方相关工作程序等）以及因履行本项目而形成的数据、信息和任何形式的工作成果，均是采购人要求保密的信息。未经采购人书面同意，投标人不得对外泄露采购人要求保密的信息，不得用于其他用途，否则投标人需承担由此引起的法律责任和经济责任，包括但不限于直接损失、间接损失、律师费、诉讼费/仲裁费、调查费、公证费等。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构建于政务云平台上的各部门业务系统、所有数据的拥有权及使用权均属于政府，</w:t>
      </w:r>
      <w:r>
        <w:rPr>
          <w:rFonts w:hint="eastAsia" w:ascii="宋体" w:hAnsi="宋体"/>
        </w:rPr>
        <w:t>中</w:t>
      </w:r>
      <w:r>
        <w:rPr>
          <w:rFonts w:ascii="宋体" w:hAnsi="宋体"/>
        </w:rPr>
        <w:t>标人无权对其进行支配，</w:t>
      </w:r>
      <w:r>
        <w:rPr>
          <w:rFonts w:hint="eastAsia" w:ascii="宋体" w:hAnsi="宋体"/>
        </w:rPr>
        <w:t>设备中的非易失性存储介质（包括但不限于机械硬盘、固态硬盘等），未经政务云管理单位同意，在维修全周期内严禁物理移出政务云机房</w:t>
      </w:r>
      <w:r>
        <w:rPr>
          <w:rFonts w:hint="eastAsia" w:ascii="宋体" w:hAnsi="宋体"/>
          <w:lang w:eastAsia="zh-CN"/>
        </w:rPr>
        <w:t>，设备报废时，存储介质必须经过严格的不可复原的数据销毁流程，且该过程需在政务云管理单位全程监管下进行</w:t>
      </w:r>
      <w:r>
        <w:rPr>
          <w:rFonts w:hint="eastAsia" w:ascii="宋体" w:hAnsi="宋体"/>
        </w:rPr>
        <w:t>。</w:t>
      </w:r>
      <w:r>
        <w:rPr>
          <w:rFonts w:ascii="宋体" w:hAnsi="宋体"/>
        </w:rPr>
        <w:t>所有设备的维修、报废等处理需经政务云管理单位同意，并在监管下进行。若发现</w:t>
      </w:r>
      <w:r>
        <w:rPr>
          <w:rFonts w:hint="eastAsia" w:ascii="宋体" w:hAnsi="宋体"/>
        </w:rPr>
        <w:t>中</w:t>
      </w:r>
      <w:r>
        <w:rPr>
          <w:rFonts w:ascii="宋体" w:hAnsi="宋体"/>
        </w:rPr>
        <w:t>标人未经许可对业务系统和数据进行支配，采购人将对</w:t>
      </w:r>
      <w:r>
        <w:rPr>
          <w:rFonts w:hint="eastAsia" w:ascii="宋体" w:hAnsi="宋体"/>
        </w:rPr>
        <w:t>中</w:t>
      </w:r>
      <w:r>
        <w:rPr>
          <w:rFonts w:ascii="宋体" w:hAnsi="宋体"/>
        </w:rPr>
        <w:t>标人采取违约处理并追究其法律责任。</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应采取必要的有效措施保证其参与本项目的人员（包括投标人聘用的人员、借调的人员、在投标人实习的人员）无论是在职或离职后，以及投标人的合作方无论是合作中或合作终止后，都能够履行本项目约定的保密义务。若投标人人员或投标人合作方违反本条规定，投标人应承担连带责任。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保密期限自投标人知悉保密信息起始至保密信息被合法公开之日止。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 xml:space="preserve">投标人（含投标人参与本项目的人员）未经采购人书面许可，不得以任何形式自行使用或以任何方式向第三方披露、转让、授权、出售与本项目有关的技术成果、计算机软件、源代码、策划文档、技术诀窍、秘密信息、技术资料和其他文件。 </w:t>
      </w:r>
    </w:p>
    <w:p>
      <w:pPr>
        <w:widowControl/>
        <w:numPr>
          <w:ilvl w:val="0"/>
          <w:numId w:val="8"/>
        </w:numPr>
        <w:topLinePunct/>
        <w:adjustRightInd w:val="0"/>
        <w:snapToGrid w:val="0"/>
        <w:spacing w:before="100" w:after="100" w:line="300" w:lineRule="exact"/>
        <w:ind w:left="420" w:hangingChars="200"/>
        <w:jc w:val="left"/>
        <w:rPr>
          <w:rFonts w:ascii="宋体" w:hAnsi="宋体"/>
        </w:rPr>
      </w:pPr>
      <w:r>
        <w:rPr>
          <w:rFonts w:ascii="宋体" w:hAnsi="宋体"/>
        </w:rPr>
        <w:t>在本项目终止或完成之后，项目各方在本项目中的保密义务并不随之终止，各方仍需依据本项目的保密规定履行保密义务。</w:t>
      </w:r>
    </w:p>
    <w:p>
      <w:pPr>
        <w:pStyle w:val="3"/>
        <w:numPr>
          <w:ilvl w:val="0"/>
          <w:numId w:val="4"/>
        </w:numPr>
        <w:spacing w:line="276" w:lineRule="auto"/>
        <w:rPr>
          <w:rFonts w:hint="default" w:ascii="宋体" w:hAnsi="宋体"/>
        </w:rPr>
      </w:pPr>
      <w:r>
        <w:rPr>
          <w:rFonts w:ascii="宋体" w:hAnsi="宋体"/>
        </w:rPr>
        <w:t>基础设施层技术要求</w:t>
      </w:r>
      <w:bookmarkEnd w:id="6"/>
      <w:bookmarkEnd w:id="7"/>
    </w:p>
    <w:p>
      <w:pPr>
        <w:pStyle w:val="12"/>
        <w:keepNext/>
        <w:keepLines/>
        <w:widowControl/>
        <w:numPr>
          <w:ilvl w:val="0"/>
          <w:numId w:val="5"/>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8" w:name="_Toc34080575"/>
      <w:bookmarkEnd w:id="8"/>
    </w:p>
    <w:p>
      <w:pPr>
        <w:pStyle w:val="4"/>
        <w:numPr>
          <w:ilvl w:val="1"/>
          <w:numId w:val="5"/>
        </w:numPr>
        <w:tabs>
          <w:tab w:val="clear" w:pos="840"/>
        </w:tabs>
        <w:ind w:left="720" w:hanging="720" w:hangingChars="200"/>
        <w:textAlignment w:val="auto"/>
        <w:rPr>
          <w:rFonts w:ascii="宋体" w:hAnsi="宋体"/>
          <w:lang w:eastAsia="zh-CN"/>
        </w:rPr>
      </w:pPr>
      <w:bookmarkStart w:id="9" w:name="_Toc34080392"/>
      <w:bookmarkStart w:id="10" w:name="_Toc34080576"/>
      <w:r>
        <w:rPr>
          <w:rFonts w:hint="eastAsia" w:ascii="宋体" w:hAnsi="宋体"/>
          <w:lang w:eastAsia="zh-CN"/>
        </w:rPr>
        <w:t>基础设施层整体要求</w:t>
      </w:r>
      <w:bookmarkEnd w:id="9"/>
      <w:bookmarkEnd w:id="10"/>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系统架构要求：满足电子政务云总体架构，</w:t>
      </w:r>
      <w:r>
        <w:rPr>
          <w:rFonts w:hint="eastAsia" w:ascii="宋体" w:hAnsi="宋体"/>
        </w:rPr>
        <w:t>中</w:t>
      </w:r>
      <w:r>
        <w:rPr>
          <w:rFonts w:ascii="宋体" w:hAnsi="宋体"/>
        </w:rPr>
        <w:t>标人提供的政务云平台与部分委办局分中心，构成市级政务云平台总体架构。以政府购买服务的方式，依托政务外网，统一为各部门提供服务。</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市级政务云平台结构：政务云平台的网络区域按电子政务网络安全要求划分为电子政务外网和互联网两个区域，政务云平台相应划分为两个部分，分别位于电子政务外网区域的政务外网云平台和位于互联网区域的互联网云平台，两区域间设置安全数据交换区实现不同区域间的数据安全交换，</w:t>
      </w:r>
      <w:r>
        <w:rPr>
          <w:rFonts w:hint="eastAsia" w:ascii="宋体" w:hAnsi="宋体"/>
        </w:rPr>
        <w:t>单个云平台内的核心系统组件（包括计算、存储、网络及虚拟化软件等）应具备高度的兼容性与协同工作能力</w:t>
      </w:r>
      <w:r>
        <w:rPr>
          <w:rFonts w:hint="eastAsia" w:ascii="宋体" w:hAnsi="宋体"/>
          <w:lang w:eastAsia="zh-CN"/>
        </w:rPr>
        <w:t>，以确保平台整体的稳定性、可靠性及故障排查的高效性。</w:t>
      </w:r>
      <w:r>
        <w:rPr>
          <w:rFonts w:ascii="宋体" w:hAnsi="宋体"/>
        </w:rPr>
        <w:t>在符合网络安全等级保护基本要求的前提下，两个云平台之间需使用安全隔离方法保证安全和数据传输。投标人提供的物理设备需要按独立的机房区域划分给云平台使用。</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硬件资源池：基线资源池规模满足至少物理</w:t>
      </w:r>
      <w:r>
        <w:rPr>
          <w:rFonts w:hint="eastAsia" w:ascii="宋体" w:hAnsi="宋体"/>
          <w:lang w:val="en-US" w:eastAsia="zh-CN"/>
        </w:rPr>
        <w:t>810000</w:t>
      </w:r>
      <w:r>
        <w:rPr>
          <w:rFonts w:ascii="宋体" w:hAnsi="宋体"/>
        </w:rPr>
        <w:t>CPU，内存</w:t>
      </w:r>
      <w:r>
        <w:rPr>
          <w:rFonts w:hint="eastAsia" w:ascii="宋体" w:hAnsi="宋体"/>
          <w:lang w:val="en-US" w:eastAsia="zh-CN"/>
        </w:rPr>
        <w:t>900</w:t>
      </w:r>
      <w:r>
        <w:rPr>
          <w:rFonts w:ascii="宋体" w:hAnsi="宋体"/>
        </w:rPr>
        <w:t>TB，存储规模达到</w:t>
      </w:r>
      <w:r>
        <w:rPr>
          <w:rFonts w:hint="eastAsia" w:ascii="宋体" w:hAnsi="宋体"/>
          <w:lang w:val="en-US" w:eastAsia="zh-CN"/>
        </w:rPr>
        <w:t>63</w:t>
      </w:r>
      <w:r>
        <w:rPr>
          <w:rFonts w:ascii="宋体" w:hAnsi="宋体"/>
        </w:rPr>
        <w:t>PB，应满足市级与区级的业务需求，在</w:t>
      </w:r>
      <w:r>
        <w:rPr>
          <w:rFonts w:hint="eastAsia" w:ascii="宋体" w:hAnsi="宋体"/>
        </w:rPr>
        <w:t>各项</w:t>
      </w:r>
      <w:r>
        <w:rPr>
          <w:rFonts w:ascii="宋体" w:hAnsi="宋体"/>
        </w:rPr>
        <w:t>资源发放水位高于70%时及时报告采购人</w:t>
      </w:r>
      <w:r>
        <w:rPr>
          <w:rFonts w:hint="eastAsia" w:ascii="宋体" w:hAnsi="宋体"/>
          <w:lang w:eastAsia="zh-CN"/>
        </w:rPr>
        <w:t>，</w:t>
      </w:r>
      <w:r>
        <w:rPr>
          <w:rFonts w:hint="eastAsia" w:ascii="宋体" w:hAnsi="宋体"/>
        </w:rPr>
        <w:t>中</w:t>
      </w:r>
      <w:r>
        <w:rPr>
          <w:rFonts w:ascii="宋体" w:hAnsi="宋体"/>
        </w:rPr>
        <w:t>标人应按照采购人的要求，根据实际需求进行扩容。</w:t>
      </w:r>
      <w:r>
        <w:rPr>
          <w:rFonts w:hint="eastAsia" w:ascii="宋体" w:hAnsi="宋体"/>
        </w:rPr>
        <w:t>资源池</w:t>
      </w:r>
      <w:r>
        <w:rPr>
          <w:rFonts w:hint="eastAsia" w:ascii="宋体" w:hAnsi="宋体"/>
          <w:lang w:eastAsia="zh-CN"/>
        </w:rPr>
        <w:t>为自有的优先考虑。</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云运维管理平台服务：云服务商应使用自主的、开放的、适应国际标准的商业化虚拟化软件，并搭建统一的个性化云运维管理平台提供服务。云运维管理平台能够基于OpenStack架构的虚拟化软件，提供云运营管理服务和云运维管理服务，能够对IT基础设施进行统一管理。云运维管理平台支持主流虚拟化软件。</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容灾备份：云服务商应提供完备的基于云的同城异地容灾备份体系，保障用户业务连续性和数据安全性。应具备对政务云平台本身的灾难恢复能力以及为用户业务系统提供的灾难恢复能力。云服务商的容灾备份体系必须提供</w:t>
      </w:r>
      <w:r>
        <w:rPr>
          <w:rFonts w:hint="eastAsia" w:ascii="宋体" w:hAnsi="宋体"/>
        </w:rPr>
        <w:t>满足同城灾备要求的本市范围内2个符合采购需求要求的A类同城异地IDC机房</w:t>
      </w:r>
      <w:r>
        <w:rPr>
          <w:rFonts w:hint="eastAsia" w:ascii="宋体" w:hAnsi="宋体"/>
          <w:lang w:eastAsia="zh-CN"/>
        </w:rPr>
        <w:t>，</w:t>
      </w:r>
      <w:r>
        <w:rPr>
          <w:rFonts w:hint="eastAsia" w:ascii="宋体" w:hAnsi="宋体"/>
        </w:rPr>
        <w:t>机房距上海市中心（人民大道200号）直线距离不超过20公里范围内</w:t>
      </w:r>
      <w:r>
        <w:rPr>
          <w:rFonts w:hint="eastAsia" w:ascii="宋体" w:hAnsi="宋体"/>
          <w:lang w:eastAsia="zh-CN"/>
        </w:rPr>
        <w:t>的优先考虑。</w:t>
      </w:r>
      <w:r>
        <w:rPr>
          <w:rFonts w:ascii="宋体" w:hAnsi="宋体"/>
        </w:rPr>
        <w:t>根据业务数据的特点和实时性需求，可进行数据同城灾备。云服务商提供的云平台应具备支撑业务应用系统双活部署的能力。</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安全服务：政务云平台需符合网络安全等级保护基本要求第三级安全通用要求和云计算安全扩展要求，满足《信息安全技术网络安全等级保护基本要求》（GB/T 22239-2019）第三级安全测评通用要求和云计算安全扩展要求、满足《信息安全技术云计算服务安全能力要求》（GB/T 31168-2014）增强级。</w:t>
      </w:r>
      <w:r>
        <w:rPr>
          <w:rFonts w:hint="eastAsia" w:ascii="宋体" w:hAnsi="宋体"/>
        </w:rPr>
        <w:t>中</w:t>
      </w:r>
      <w:r>
        <w:rPr>
          <w:rFonts w:ascii="宋体" w:hAnsi="宋体"/>
        </w:rPr>
        <w:t>标人所提供的服务及提供服务所需的软/硬件设备符合《网络安全审查办法》要求及国家网信办的相关要求，所提供的服务及提供服务所需的软/硬件设备符合《中华人民共和国密码法》及国家密码管理部门的相关要求。</w:t>
      </w:r>
    </w:p>
    <w:p>
      <w:pPr>
        <w:widowControl/>
        <w:numPr>
          <w:ilvl w:val="0"/>
          <w:numId w:val="9"/>
        </w:numPr>
        <w:topLinePunct/>
        <w:adjustRightInd w:val="0"/>
        <w:snapToGrid w:val="0"/>
        <w:spacing w:before="100" w:after="100" w:line="300" w:lineRule="exact"/>
        <w:ind w:left="420" w:hangingChars="200"/>
        <w:jc w:val="left"/>
        <w:rPr>
          <w:rFonts w:ascii="宋体" w:hAnsi="宋体"/>
        </w:rPr>
      </w:pPr>
      <w:r>
        <w:rPr>
          <w:rFonts w:ascii="宋体" w:hAnsi="宋体"/>
        </w:rPr>
        <w:t>出口性能：政务云机房的所有网络出口应具备流量监控能力，支持历史流量回放，各出口的监控能力不低于出口实际配置的上联物理带宽。</w:t>
      </w:r>
    </w:p>
    <w:p>
      <w:pPr>
        <w:pStyle w:val="4"/>
        <w:numPr>
          <w:ilvl w:val="1"/>
          <w:numId w:val="5"/>
        </w:numPr>
        <w:tabs>
          <w:tab w:val="clear" w:pos="840"/>
        </w:tabs>
        <w:ind w:left="720" w:hanging="720" w:hangingChars="200"/>
        <w:textAlignment w:val="auto"/>
        <w:rPr>
          <w:rFonts w:ascii="宋体" w:hAnsi="宋体"/>
          <w:lang w:eastAsia="zh-CN"/>
        </w:rPr>
      </w:pPr>
      <w:bookmarkStart w:id="11" w:name="_Toc34080393"/>
      <w:bookmarkStart w:id="12" w:name="_Toc34080577"/>
      <w:r>
        <w:rPr>
          <w:rFonts w:hint="eastAsia" w:ascii="宋体" w:hAnsi="宋体"/>
          <w:lang w:eastAsia="zh-CN"/>
        </w:rPr>
        <w:t>软件技术要求</w:t>
      </w:r>
      <w:bookmarkEnd w:id="11"/>
      <w:bookmarkEnd w:id="12"/>
    </w:p>
    <w:p>
      <w:pPr>
        <w:pStyle w:val="5"/>
        <w:numPr>
          <w:ilvl w:val="2"/>
          <w:numId w:val="5"/>
        </w:numPr>
        <w:spacing w:before="160" w:line="300" w:lineRule="exact"/>
        <w:ind w:left="420"/>
        <w:rPr>
          <w:rFonts w:ascii="宋体" w:hAnsi="宋体"/>
        </w:rPr>
      </w:pPr>
      <w:bookmarkStart w:id="13" w:name="_Toc34080578"/>
      <w:bookmarkStart w:id="14" w:name="_Toc34080394"/>
      <w:bookmarkStart w:id="15" w:name="_Hlk33037736"/>
      <w:r>
        <w:rPr>
          <w:rFonts w:ascii="宋体" w:hAnsi="宋体"/>
        </w:rPr>
        <w:t>云业务管理平台要求</w:t>
      </w:r>
      <w:bookmarkEnd w:id="13"/>
      <w:bookmarkEnd w:id="14"/>
    </w:p>
    <w:p>
      <w:pPr>
        <w:spacing w:line="276" w:lineRule="auto"/>
        <w:ind w:left="420" w:firstLine="420"/>
      </w:pPr>
      <w:r>
        <w:rPr>
          <w:rFonts w:hint="eastAsia" w:ascii="宋体" w:hAnsi="宋体"/>
        </w:rPr>
        <w:t>中</w:t>
      </w:r>
      <w:r>
        <w:t>标人须提供一套能够针对市级电子政务云上承载的业务进行综合管理的商业化云业务管理平台软件，提供云业务管理和业务云上资源监控等相关个性化服务，能够对云上业务进行有效管理。云业务管理平台软件需支持与</w:t>
      </w:r>
      <w:r>
        <w:rPr>
          <w:rFonts w:hint="eastAsia" w:ascii="宋体" w:hAnsi="宋体"/>
        </w:rPr>
        <w:t>中</w:t>
      </w:r>
      <w:r>
        <w:t>标人所提供的云运维监控平台对接的能力、以及在基础设施层各类服务器及其虚拟化环境中部署的能力。</w:t>
      </w:r>
    </w:p>
    <w:tbl>
      <w:tblPr>
        <w:tblStyle w:val="10"/>
        <w:tblW w:w="4729" w:type="pct"/>
        <w:jc w:val="center"/>
        <w:tblLayout w:type="autofit"/>
        <w:tblCellMar>
          <w:top w:w="0" w:type="dxa"/>
          <w:left w:w="108" w:type="dxa"/>
          <w:bottom w:w="0" w:type="dxa"/>
          <w:right w:w="108" w:type="dxa"/>
        </w:tblCellMar>
      </w:tblPr>
      <w:tblGrid>
        <w:gridCol w:w="1361"/>
        <w:gridCol w:w="6699"/>
      </w:tblGrid>
      <w:tr>
        <w:tblPrEx>
          <w:tblCellMar>
            <w:top w:w="0" w:type="dxa"/>
            <w:left w:w="108" w:type="dxa"/>
            <w:bottom w:w="0" w:type="dxa"/>
            <w:right w:w="108" w:type="dxa"/>
          </w:tblCellMar>
        </w:tblPrEx>
        <w:trPr>
          <w:trHeight w:val="270" w:hRule="atLeast"/>
          <w:jc w:val="center"/>
        </w:trPr>
        <w:tc>
          <w:tcPr>
            <w:tcW w:w="844" w:type="pct"/>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156" w:type="pct"/>
            <w:tcBorders>
              <w:top w:val="single" w:color="auto" w:sz="4" w:space="0"/>
              <w:left w:val="nil"/>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服务接入管理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提供对各项云服务的接入验证审查管理能力，将各项云服务纳入统一的监管体系，包括云资源服务、云软件服务、云安全服务等。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服务申请管理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支持各项云服务申请的统一管理，包括上云、下云、优化、扩容等申请。</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服务交付管理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支持各项云服务交付的统一管理，包括服务工单发放、服务交付跟踪、服务交付验证等。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服务监控管理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支持对各类云服务的监控及分级告警管理。</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服务响应管理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支持统一的云服务响应管理，包括登记、分发、跟踪、验证、回访等。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服务故障管理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支持各类云服务故障的全流程管理，涵盖故障的发现、定位、诊断、修复、核实等环节。</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服务计量管理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支持针对各类云服务的计量管理，并以数据、日志、报告等形式提供相应的计量依据。</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服务计费管理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支持各类云服务的计费管理，并以使用单位、云服务商的维度生成月度、季度、年度账单。</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服务评估管理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支持各项云服务的周期性评估，包括云服务质量、满意度、安全、用量、使用情况等。</w:t>
            </w:r>
          </w:p>
        </w:tc>
      </w:tr>
      <w:tr>
        <w:tblPrEx>
          <w:tblCellMar>
            <w:top w:w="0" w:type="dxa"/>
            <w:left w:w="108" w:type="dxa"/>
            <w:bottom w:w="0" w:type="dxa"/>
            <w:right w:w="108" w:type="dxa"/>
          </w:tblCellMar>
        </w:tblPrEx>
        <w:trPr>
          <w:trHeight w:val="540" w:hRule="atLeast"/>
          <w:jc w:val="center"/>
        </w:trPr>
        <w:tc>
          <w:tcPr>
            <w:tcW w:w="844"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服务结算管理</w:t>
            </w:r>
          </w:p>
        </w:tc>
        <w:tc>
          <w:tcPr>
            <w:tcW w:w="4156" w:type="pct"/>
            <w:tcBorders>
              <w:top w:val="nil"/>
              <w:left w:val="nil"/>
              <w:bottom w:val="single" w:color="auto" w:sz="4" w:space="0"/>
              <w:right w:val="single" w:color="auto" w:sz="4" w:space="0"/>
            </w:tcBorders>
            <w:vAlign w:val="center"/>
          </w:tcPr>
          <w:p>
            <w:pPr>
              <w:rPr>
                <w:rFonts w:ascii="宋体" w:hAnsi="宋体" w:cs="宋体"/>
                <w:color w:val="000000"/>
                <w:kern w:val="0"/>
                <w:sz w:val="22"/>
                <w:szCs w:val="22"/>
              </w:rPr>
            </w:pPr>
            <w:r>
              <w:rPr>
                <w:rFonts w:ascii="宋体" w:hAnsi="宋体" w:cs="宋体"/>
                <w:color w:val="000000"/>
                <w:kern w:val="0"/>
                <w:sz w:val="22"/>
                <w:szCs w:val="22"/>
              </w:rPr>
              <w:t>支持服务周期内的结算管理，基于平台数据，为服务结算提供依据和参考。</w:t>
            </w:r>
          </w:p>
        </w:tc>
      </w:tr>
      <w:bookmarkEnd w:id="15"/>
    </w:tbl>
    <w:p>
      <w:pPr>
        <w:pStyle w:val="5"/>
        <w:numPr>
          <w:ilvl w:val="2"/>
          <w:numId w:val="5"/>
        </w:numPr>
        <w:spacing w:before="160" w:line="300" w:lineRule="exact"/>
        <w:ind w:left="420"/>
        <w:rPr>
          <w:rFonts w:ascii="宋体" w:hAnsi="宋体"/>
        </w:rPr>
      </w:pPr>
      <w:bookmarkStart w:id="16" w:name="_Toc34080579"/>
      <w:bookmarkStart w:id="17" w:name="_Toc34080395"/>
      <w:bookmarkStart w:id="18" w:name="_Toc342038020"/>
      <w:bookmarkStart w:id="19" w:name="_Toc469493474"/>
      <w:bookmarkStart w:id="20" w:name="_Toc469556930"/>
      <w:r>
        <w:rPr>
          <w:rFonts w:ascii="宋体" w:hAnsi="宋体"/>
        </w:rPr>
        <w:t>云运维管理平台要求</w:t>
      </w:r>
      <w:bookmarkEnd w:id="16"/>
      <w:bookmarkEnd w:id="17"/>
    </w:p>
    <w:p>
      <w:pPr>
        <w:spacing w:line="276" w:lineRule="auto"/>
        <w:ind w:left="420" w:firstLine="420"/>
      </w:pPr>
      <w:r>
        <w:rPr>
          <w:rFonts w:hint="eastAsia" w:ascii="宋体" w:hAnsi="宋体"/>
        </w:rPr>
        <w:t>中</w:t>
      </w:r>
      <w:r>
        <w:t>标人须提供统一云运维管理系统，提供高效的运维管理手段，提升问题处理效率，缩减问题处理时间，在问题发生时可快速自动通知到维护人员，提供分析工具，方便研判故障。提供健康分析功能，能够实时监控并分析数据中心的资源使用状态，评估健康度和风险，协助客户主动运维。提供日常的运维报表，后台运维支持，用户发现问题后应快速分级响应。</w:t>
      </w:r>
    </w:p>
    <w:tbl>
      <w:tblPr>
        <w:tblStyle w:val="10"/>
        <w:tblW w:w="4728" w:type="pct"/>
        <w:jc w:val="center"/>
        <w:tblLayout w:type="fixed"/>
        <w:tblCellMar>
          <w:top w:w="0" w:type="dxa"/>
          <w:left w:w="108" w:type="dxa"/>
          <w:bottom w:w="0" w:type="dxa"/>
          <w:right w:w="108" w:type="dxa"/>
        </w:tblCellMar>
      </w:tblPr>
      <w:tblGrid>
        <w:gridCol w:w="613"/>
        <w:gridCol w:w="7445"/>
      </w:tblGrid>
      <w:tr>
        <w:tblPrEx>
          <w:tblCellMar>
            <w:top w:w="0" w:type="dxa"/>
            <w:left w:w="108" w:type="dxa"/>
            <w:bottom w:w="0" w:type="dxa"/>
            <w:right w:w="108" w:type="dxa"/>
          </w:tblCellMar>
        </w:tblPrEx>
        <w:trPr>
          <w:trHeight w:val="270" w:hRule="atLeast"/>
          <w:jc w:val="center"/>
        </w:trPr>
        <w:tc>
          <w:tcPr>
            <w:tcW w:w="380" w:type="pct"/>
            <w:tcBorders>
              <w:top w:val="single" w:color="auto" w:sz="4" w:space="0"/>
              <w:left w:val="single" w:color="auto" w:sz="4" w:space="0"/>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619" w:type="pct"/>
            <w:tcBorders>
              <w:top w:val="single" w:color="auto" w:sz="4" w:space="0"/>
              <w:left w:val="nil"/>
              <w:bottom w:val="single" w:color="auto" w:sz="4" w:space="0"/>
              <w:right w:val="single" w:color="auto" w:sz="4" w:space="0"/>
            </w:tcBorders>
            <w:shd w:val="clear" w:color="000000"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108" w:type="dxa"/>
            <w:bottom w:w="0" w:type="dxa"/>
            <w:right w:w="108" w:type="dxa"/>
          </w:tblCellMar>
        </w:tblPrEx>
        <w:trPr>
          <w:trHeight w:val="510" w:hRule="atLeast"/>
          <w:jc w:val="center"/>
        </w:trPr>
        <w:tc>
          <w:tcPr>
            <w:tcW w:w="380"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r>
              <w:rPr>
                <w:rFonts w:ascii="宋体" w:hAnsi="宋体" w:cs="宋体"/>
                <w:b/>
                <w:bCs/>
                <w:color w:val="000000"/>
                <w:kern w:val="0"/>
              </w:rPr>
              <w:t>告警及性能管理</w:t>
            </w: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支持多维度告警/事件展现。提供按监控对象、按物理位置、按虚拟逻辑、按来源系统、按服务分组、按VDC等维度查看告警，保证云场景下告警管理的灵活性；</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提供告警导出，按指定字段模糊查询告警，按指定字段排序告警以及配置告警列表展示字段的能力；</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告警处理功能，包括确认、清除等，对选择的告警进行处理。支持用户进行告警确认、取消确认、清除告警、标识误告警、更新告警级别、编辑告警备注、编辑告警经验、查看告警关联帮助，协助管理员更好的处理告警事件；</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提供重复告警的归并功能，即多条同源告警合并成一条告警呈现，提供告警的首次发生时间、最后发生时间、发生次数等信息；</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告警通知功能。通过设置通知规则，当收到符合条件的告警时，自动通过邮件、短信通知用户。支持按设置的规则，当收到符合规则告警后，通过邮件、短信方式，通知用户，支持逾期升级通知。支持告警声音，不同级别可设置不同的声音；</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告警自定义筛选。支持按多个维度的条件组合进行筛选，包括但是不限于按告警名称、状态、级别、来源、告警对象位置（如数据中心、机房、集群）、告警对象条件（比如VDC、用户）等筛选条件，并支持告警导出功能；</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支持设置告警级别、以及告警阈值能力，支持设置告警规则，有符合规则的告警，自动按照预置的告警级别进行告警；</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支持告警统计报表，可以对已经发生的告警进行分类统计，并输出报表，便于整体的分析数据中心告警事件；</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提供数据中心所有虚拟机利用率分布概览图查看，支持搜索查看单个虚拟机信息，支持数据中心、虚拟化平台、集群三个不同粒度查看虚拟机概况，支持按照资源使用率过滤显示。</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支持把用户查看的性能指标、设备参数保存成视图，后续查看直接选择视图即可，不需要重新选择参数，提升操作效率。</w:t>
            </w:r>
          </w:p>
        </w:tc>
      </w:tr>
      <w:tr>
        <w:tblPrEx>
          <w:tblCellMar>
            <w:top w:w="0" w:type="dxa"/>
            <w:left w:w="108" w:type="dxa"/>
            <w:bottom w:w="0" w:type="dxa"/>
            <w:right w:w="108" w:type="dxa"/>
          </w:tblCellMar>
        </w:tblPrEx>
        <w:trPr>
          <w:trHeight w:val="270" w:hRule="atLeast"/>
          <w:jc w:val="center"/>
        </w:trPr>
        <w:tc>
          <w:tcPr>
            <w:tcW w:w="380"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r>
              <w:rPr>
                <w:rFonts w:ascii="宋体" w:hAnsi="宋体" w:cs="宋体"/>
                <w:b/>
                <w:bCs/>
                <w:color w:val="000000"/>
                <w:kern w:val="0"/>
              </w:rPr>
              <w:t>报表管理</w:t>
            </w: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支持周期性生成报表，立即生成报表，周期类型包括：天、周、月、季度。只需要设置一次报表参数，即可周期提供报表数据。提供界面截图；</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支持自动将报表发送到指定的Email地址。</w:t>
            </w:r>
          </w:p>
        </w:tc>
      </w:tr>
      <w:tr>
        <w:tblPrEx>
          <w:tblCellMar>
            <w:top w:w="0" w:type="dxa"/>
            <w:left w:w="108" w:type="dxa"/>
            <w:bottom w:w="0" w:type="dxa"/>
            <w:right w:w="108" w:type="dxa"/>
          </w:tblCellMar>
        </w:tblPrEx>
        <w:trPr>
          <w:trHeight w:val="270" w:hRule="atLeast"/>
          <w:jc w:val="center"/>
        </w:trPr>
        <w:tc>
          <w:tcPr>
            <w:tcW w:w="38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宋体" w:hAnsi="宋体" w:cs="宋体" w:eastAsiaTheme="minorEastAsia"/>
                <w:b/>
                <w:bCs/>
                <w:color w:val="000000"/>
                <w:kern w:val="0"/>
                <w:sz w:val="21"/>
                <w:szCs w:val="24"/>
                <w:lang w:val="en-US" w:eastAsia="zh-CN" w:bidi="ar-SA"/>
              </w:rPr>
            </w:pPr>
            <w:r>
              <w:rPr>
                <w:rFonts w:hint="eastAsia" w:ascii="宋体" w:hAnsi="宋体" w:cs="宋体"/>
                <w:b/>
                <w:bCs/>
                <w:color w:val="000000"/>
                <w:kern w:val="0"/>
                <w:lang w:val="en-US" w:eastAsia="zh-CN"/>
              </w:rPr>
              <w:t>项目管理</w:t>
            </w:r>
          </w:p>
        </w:tc>
        <w:tc>
          <w:tcPr>
            <w:tcW w:w="4619" w:type="pct"/>
            <w:tcBorders>
              <w:top w:val="nil"/>
              <w:left w:val="nil"/>
              <w:bottom w:val="single" w:color="auto" w:sz="4" w:space="0"/>
              <w:right w:val="single" w:color="auto" w:sz="4" w:space="0"/>
            </w:tcBorders>
            <w:shd w:val="clear" w:color="auto" w:fill="auto"/>
            <w:vAlign w:val="center"/>
          </w:tcPr>
          <w:p>
            <w:pPr>
              <w:rPr>
                <w:rFonts w:hint="default" w:ascii="宋体" w:hAnsi="宋体" w:cs="宋体" w:eastAsiaTheme="minorEastAsia"/>
                <w:color w:val="000000"/>
                <w:kern w:val="0"/>
                <w:sz w:val="21"/>
                <w:szCs w:val="24"/>
                <w:lang w:val="en-US" w:eastAsia="zh-CN" w:bidi="ar-SA"/>
              </w:rPr>
            </w:pPr>
            <w:r>
              <w:rPr>
                <w:rFonts w:hint="eastAsia" w:ascii="宋体" w:hAnsi="宋体" w:cs="宋体"/>
                <w:color w:val="000000"/>
                <w:kern w:val="0"/>
                <w:lang w:val="en-US" w:eastAsia="zh-CN"/>
              </w:rPr>
              <w:t>支持项目管理，实现支持基于资源组的细粒度授权</w:t>
            </w:r>
          </w:p>
        </w:tc>
      </w:tr>
      <w:tr>
        <w:tblPrEx>
          <w:tblCellMar>
            <w:top w:w="0" w:type="dxa"/>
            <w:left w:w="108" w:type="dxa"/>
            <w:bottom w:w="0" w:type="dxa"/>
            <w:right w:w="108" w:type="dxa"/>
          </w:tblCellMar>
        </w:tblPrEx>
        <w:trPr>
          <w:trHeight w:val="270" w:hRule="atLeast"/>
          <w:jc w:val="center"/>
        </w:trPr>
        <w:tc>
          <w:tcPr>
            <w:tcW w:w="38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宋体" w:hAnsi="宋体" w:cs="宋体" w:eastAsiaTheme="minorEastAsia"/>
                <w:b/>
                <w:bCs/>
                <w:color w:val="000000"/>
                <w:kern w:val="0"/>
                <w:sz w:val="21"/>
                <w:szCs w:val="24"/>
                <w:lang w:val="en-US" w:eastAsia="zh-CN" w:bidi="ar-SA"/>
              </w:rPr>
            </w:pPr>
            <w:r>
              <w:rPr>
                <w:rFonts w:hint="eastAsia" w:ascii="宋体" w:hAnsi="宋体" w:cs="宋体"/>
                <w:b/>
                <w:bCs/>
                <w:color w:val="000000"/>
                <w:kern w:val="0"/>
                <w:lang w:val="en-US" w:eastAsia="zh-CN"/>
              </w:rPr>
              <w:t>权限管理</w:t>
            </w:r>
          </w:p>
        </w:tc>
        <w:tc>
          <w:tcPr>
            <w:tcW w:w="4619" w:type="pct"/>
            <w:tcBorders>
              <w:top w:val="nil"/>
              <w:left w:val="nil"/>
              <w:bottom w:val="single" w:color="auto" w:sz="4" w:space="0"/>
              <w:right w:val="single" w:color="auto" w:sz="4" w:space="0"/>
            </w:tcBorders>
            <w:shd w:val="clear" w:color="auto" w:fill="auto"/>
            <w:vAlign w:val="center"/>
          </w:tcPr>
          <w:p>
            <w:pPr>
              <w:rPr>
                <w:rFonts w:hint="default" w:ascii="宋体" w:hAnsi="宋体" w:cs="宋体" w:eastAsiaTheme="minorEastAsia"/>
                <w:color w:val="000000"/>
                <w:kern w:val="0"/>
                <w:sz w:val="21"/>
                <w:szCs w:val="24"/>
                <w:lang w:val="en-US" w:eastAsia="zh-CN" w:bidi="ar-SA"/>
              </w:rPr>
            </w:pPr>
            <w:r>
              <w:rPr>
                <w:rFonts w:hint="eastAsia" w:ascii="宋体" w:hAnsi="宋体" w:cs="宋体"/>
                <w:color w:val="000000"/>
                <w:kern w:val="0"/>
                <w:lang w:val="en-US" w:eastAsia="zh-CN"/>
              </w:rPr>
              <w:t>ECS计算服务支持细粒度授，可根据用户的角色不同对用户授予不通的操作权限，达到精细控制的目的</w:t>
            </w:r>
          </w:p>
        </w:tc>
      </w:tr>
      <w:tr>
        <w:tblPrEx>
          <w:tblCellMar>
            <w:top w:w="0" w:type="dxa"/>
            <w:left w:w="108" w:type="dxa"/>
            <w:bottom w:w="0" w:type="dxa"/>
            <w:right w:w="108" w:type="dxa"/>
          </w:tblCellMar>
        </w:tblPrEx>
        <w:trPr>
          <w:trHeight w:val="270" w:hRule="atLeast"/>
          <w:jc w:val="center"/>
        </w:trPr>
        <w:tc>
          <w:tcPr>
            <w:tcW w:w="380"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kern w:val="0"/>
              </w:rPr>
            </w:pPr>
            <w:r>
              <w:rPr>
                <w:rFonts w:ascii="宋体" w:hAnsi="宋体" w:cs="宋体"/>
                <w:b/>
                <w:bCs/>
                <w:color w:val="000000"/>
                <w:kern w:val="0"/>
              </w:rPr>
              <w:t>设备管理</w:t>
            </w: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一、统一设备管理：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1、提供统一设备管理能力，统一管理包括数据中心存储、服务器、应用、网络设备（路由器、交换机、防火墙），提供全网资源信息的Dashboard（分类总数、资源利用情况、关键指标Top，如CPU、内存等）；</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2、支持管理主机设备、网络设备、存储设备等第三方主流厂商设备的管理；</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3、设备规模应满足政务云未来设备增长的要求。</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4、设备分组：提供设备分组能力，支持将多台设备划入一个分组，以简化后续对这些设备的批量操作。分组在拓扑中不显示。</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二、服务器管理：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1、基本信息管理：通过机架图等可视化方式，提供服务器以及各部件基本信息、健康状态的展示功能，并可通过远程KVM和虚拟媒体远程操作服务器；</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2、性能分析：提供网口性能、服务器功耗、CPU占用率/内存占用率、创建分析任务和时间段性能等多个指标分析；</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3、无状态计算：通过抽象服务器硬件配置文件，使服务器的配置灵活的变更，以提高服务器故障更换和服务器扩容的效率；</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4、配置部署：提供对服务器设备的批量配置及部署，包括服务器BIOS配置、网络配置、RAID卡配置、OS部署等功能。</w:t>
            </w:r>
          </w:p>
        </w:tc>
      </w:tr>
      <w:tr>
        <w:tblPrEx>
          <w:tblCellMar>
            <w:top w:w="0" w:type="dxa"/>
            <w:left w:w="108" w:type="dxa"/>
            <w:bottom w:w="0" w:type="dxa"/>
            <w:right w:w="108" w:type="dxa"/>
          </w:tblCellMar>
        </w:tblPrEx>
        <w:trPr>
          <w:trHeight w:val="312"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三、存储管理</w:t>
            </w:r>
          </w:p>
        </w:tc>
      </w:tr>
      <w:tr>
        <w:tblPrEx>
          <w:tblCellMar>
            <w:top w:w="0" w:type="dxa"/>
            <w:left w:w="108" w:type="dxa"/>
            <w:bottom w:w="0" w:type="dxa"/>
            <w:right w:w="108" w:type="dxa"/>
          </w:tblCellMar>
        </w:tblPrEx>
        <w:trPr>
          <w:trHeight w:val="312"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提供存储容量利用率预测能力，支持查看和统计存储空间使用情况，包括磁盘空间分配、存储池利用率；支持主机实际存储、虚拟机存储空间使用率查看；提供容量预测的功能，可作为扩容的依据，比如从主机角度预测硬盘容量、文件系统容量等；</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2、提供系统内部物理和逻辑组件间的关联关系可视化展示，以便故障发生时能够精确定位。</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四、安全管理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1、用户管理：提供用户创建、删除、查看、修改等功能，缺省提供admin用户作为超级用户。其中，用户密码使用不可逆算法PBKDF2加密存储保障安全性；</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2、角色管理：提供角色创建、修改、删除及查看等功能；</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3、鉴权管理：提供多种种鉴权方式。包括不限于</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4、本地认证：提供用户管理、登录鉴权、安全策略等功能；</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5、RADIUS认证：由RADIUS服务器对登录请求进行认证，根据用户在RADIUS服务器上的所属用户组，映射到管理系统中所属角色为用户授权；</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6、LDAP认证：由LDAP服务器对登录请求进行认证；并根据LDAP服务器上用户所属用户组，映射到管理系统中所属角色来为用户授权。</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五、网络管理：</w:t>
            </w:r>
          </w:p>
        </w:tc>
      </w:tr>
      <w:tr>
        <w:tblPrEx>
          <w:tblCellMar>
            <w:top w:w="0" w:type="dxa"/>
            <w:left w:w="108" w:type="dxa"/>
            <w:bottom w:w="0" w:type="dxa"/>
            <w:right w:w="108" w:type="dxa"/>
          </w:tblCellMar>
        </w:tblPrEx>
        <w:trPr>
          <w:trHeight w:val="51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1、支持通过流量分析了解流量的构成和分布。根据接收到的Flow报文自动添加设备， 并且自动分析设备接口流量，提供各种纬度的报表展现；用户也可以灵活调整哪些设备接口监控、哪些不监控；</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2、支持可订制的dashboard操控板、图形化界面能反馈全网流量状况，并且面板流量数据支持实时动态局部刷新；</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 xml:space="preserve">3、提供接口、应用、来源主机、目的主机、DSCP、会话、接口组、应用组等多个维度的流量数据； </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4、支持下钻式的数据获取方式；</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5、支持原始流量数据的流量审计；</w:t>
            </w:r>
          </w:p>
        </w:tc>
      </w:tr>
      <w:tr>
        <w:tblPrEx>
          <w:tblCellMar>
            <w:top w:w="0" w:type="dxa"/>
            <w:left w:w="108" w:type="dxa"/>
            <w:bottom w:w="0" w:type="dxa"/>
            <w:right w:w="108" w:type="dxa"/>
          </w:tblCellMar>
        </w:tblPrEx>
        <w:trPr>
          <w:trHeight w:val="270" w:hRule="atLeast"/>
          <w:jc w:val="center"/>
        </w:trPr>
        <w:tc>
          <w:tcPr>
            <w:tcW w:w="380" w:type="pct"/>
            <w:vMerge w:val="continue"/>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六、安全性要求：前后台采用https协议，数据传输加密，涉及密码等敏感信息采用加密存储方式，防止泄露。</w:t>
            </w:r>
          </w:p>
        </w:tc>
      </w:tr>
      <w:tr>
        <w:tblPrEx>
          <w:tblCellMar>
            <w:top w:w="0" w:type="dxa"/>
            <w:left w:w="108" w:type="dxa"/>
            <w:bottom w:w="0" w:type="dxa"/>
            <w:right w:w="108" w:type="dxa"/>
          </w:tblCellMar>
        </w:tblPrEx>
        <w:trPr>
          <w:trHeight w:val="270" w:hRule="atLeast"/>
          <w:jc w:val="center"/>
        </w:trPr>
        <w:tc>
          <w:tcPr>
            <w:tcW w:w="380" w:type="pct"/>
            <w:tcBorders>
              <w:top w:val="nil"/>
              <w:left w:val="single" w:color="auto" w:sz="4" w:space="0"/>
              <w:bottom w:val="single" w:color="auto" w:sz="4" w:space="0"/>
              <w:right w:val="single" w:color="auto" w:sz="4" w:space="0"/>
            </w:tcBorders>
            <w:vAlign w:val="center"/>
          </w:tcPr>
          <w:p>
            <w:pPr>
              <w:rPr>
                <w:rFonts w:ascii="宋体" w:hAnsi="宋体" w:cs="宋体"/>
                <w:b/>
                <w:bCs/>
                <w:color w:val="000000"/>
                <w:kern w:val="0"/>
              </w:rPr>
            </w:pPr>
            <w:r>
              <w:rPr>
                <w:rFonts w:ascii="宋体" w:hAnsi="宋体" w:cs="宋体"/>
                <w:b/>
                <w:bCs/>
                <w:color w:val="000000"/>
                <w:kern w:val="0"/>
              </w:rPr>
              <w:t>流程管理</w:t>
            </w:r>
          </w:p>
        </w:tc>
        <w:tc>
          <w:tcPr>
            <w:tcW w:w="4619"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包括：服务台、事件管理、问题管理、变更管理、配置管理、发布管理等。</w:t>
            </w:r>
          </w:p>
        </w:tc>
      </w:tr>
    </w:tbl>
    <w:p>
      <w:pPr>
        <w:spacing w:line="276" w:lineRule="auto"/>
      </w:pPr>
    </w:p>
    <w:p>
      <w:pPr>
        <w:pStyle w:val="5"/>
        <w:numPr>
          <w:ilvl w:val="2"/>
          <w:numId w:val="5"/>
        </w:numPr>
        <w:spacing w:before="160" w:line="300" w:lineRule="exact"/>
        <w:ind w:left="420"/>
        <w:rPr>
          <w:rFonts w:ascii="宋体" w:hAnsi="宋体"/>
        </w:rPr>
      </w:pPr>
      <w:bookmarkStart w:id="21" w:name="_Toc34080580"/>
      <w:bookmarkStart w:id="22" w:name="_Toc34080396"/>
      <w:r>
        <w:rPr>
          <w:rFonts w:ascii="宋体" w:hAnsi="宋体"/>
        </w:rPr>
        <w:t>云虚拟化平台要求</w:t>
      </w:r>
      <w:bookmarkEnd w:id="21"/>
      <w:bookmarkEnd w:id="22"/>
    </w:p>
    <w:tbl>
      <w:tblPr>
        <w:tblStyle w:val="10"/>
        <w:tblW w:w="47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6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74" w:type="pct"/>
            <w:shd w:val="clear" w:color="auto" w:fill="D9D9D9"/>
            <w:vAlign w:val="center"/>
          </w:tcPr>
          <w:p>
            <w:pPr>
              <w:spacing w:line="276" w:lineRule="auto"/>
              <w:jc w:val="center"/>
              <w:rPr>
                <w:rFonts w:ascii="宋体" w:hAnsi="宋体" w:cs="Times New Roman"/>
                <w:b/>
              </w:rPr>
            </w:pPr>
            <w:r>
              <w:rPr>
                <w:rFonts w:ascii="宋体" w:hAnsi="宋体" w:cs="Times New Roman"/>
                <w:b/>
              </w:rPr>
              <w:t>规格</w:t>
            </w:r>
          </w:p>
        </w:tc>
        <w:tc>
          <w:tcPr>
            <w:tcW w:w="4325" w:type="pct"/>
            <w:shd w:val="clear" w:color="auto" w:fill="D9D9D9"/>
            <w:vAlign w:val="center"/>
          </w:tcPr>
          <w:p>
            <w:pPr>
              <w:spacing w:line="276" w:lineRule="auto"/>
              <w:jc w:val="center"/>
              <w:rPr>
                <w:rFonts w:ascii="宋体" w:hAnsi="宋体" w:cs="Times New Roman"/>
                <w:b/>
              </w:rPr>
            </w:pPr>
            <w:r>
              <w:rPr>
                <w:rFonts w:ascii="等线" w:hAnsi="等线" w:eastAsia="等线" w:cs="微软雅黑"/>
                <w:b/>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674" w:type="pct"/>
            <w:vAlign w:val="center"/>
          </w:tcPr>
          <w:p>
            <w:pPr>
              <w:spacing w:line="276" w:lineRule="auto"/>
              <w:rPr>
                <w:rFonts w:ascii="宋体" w:hAnsi="宋体" w:cs="Times New Roman"/>
              </w:rPr>
            </w:pPr>
            <w:r>
              <w:rPr>
                <w:rFonts w:ascii="宋体" w:hAnsi="宋体" w:cs="Times New Roman"/>
              </w:rPr>
              <w:t>基础要求</w:t>
            </w:r>
          </w:p>
        </w:tc>
        <w:tc>
          <w:tcPr>
            <w:tcW w:w="4325" w:type="pct"/>
            <w:vAlign w:val="center"/>
          </w:tcPr>
          <w:p>
            <w:pPr>
              <w:spacing w:line="276" w:lineRule="auto"/>
              <w:rPr>
                <w:rFonts w:ascii="宋体" w:hAnsi="宋体" w:cs="Times New Roman"/>
              </w:rPr>
            </w:pPr>
            <w:r>
              <w:rPr>
                <w:rFonts w:ascii="宋体" w:hAnsi="宋体" w:cs="微软雅黑"/>
              </w:rPr>
              <w:t>为了保证云平台的开放性及先进性，虚拟化管理平台基于业界主流OpenStack架构。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Openstack增强</w:t>
            </w:r>
          </w:p>
        </w:tc>
        <w:tc>
          <w:tcPr>
            <w:tcW w:w="4325" w:type="pct"/>
            <w:vAlign w:val="center"/>
          </w:tcPr>
          <w:p>
            <w:pPr>
              <w:spacing w:line="276" w:lineRule="auto"/>
              <w:rPr>
                <w:rFonts w:ascii="宋体" w:hAnsi="宋体" w:cs="Times New Roman"/>
              </w:rPr>
            </w:pPr>
            <w:r>
              <w:rPr>
                <w:rFonts w:ascii="宋体" w:hAnsi="宋体" w:cs="Times New Roman"/>
              </w:rPr>
              <w:t>支持物理裸机统一管理。基于OpenStack Ironic开放框架，支持对标准X86服务器、ARM服务器</w:t>
            </w:r>
            <w:r>
              <w:rPr>
                <w:rFonts w:hint="eastAsia" w:ascii="宋体" w:hAnsi="宋体" w:cs="Times New Roman"/>
                <w:lang w:eastAsia="zh-CN"/>
              </w:rPr>
              <w:t>、</w:t>
            </w:r>
            <w:r>
              <w:rPr>
                <w:rFonts w:hint="eastAsia" w:ascii="宋体" w:hAnsi="宋体" w:cs="Times New Roman"/>
                <w:lang w:val="en-US" w:eastAsia="zh-CN"/>
              </w:rPr>
              <w:t>C86服务器</w:t>
            </w:r>
            <w:r>
              <w:rPr>
                <w:rFonts w:ascii="宋体" w:hAnsi="宋体" w:cs="Times New Roman"/>
              </w:rPr>
              <w:t>、GPU服务器的接入和自动化管理。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支持物理裸机资源管理和业务发放，可以基于管理系统在物理裸机上自动加载业务部署所需的主流操作系统。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支持物理裸机资源CPU、内存、磁盘、网络IO等各项资源使用情况的监控。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支持物理服务器网络自动化配置。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提供租户专属物理机集群功能，提供专属云服务，将若干台物理服务器组成的集群单独指定给某一特定租户，只允许该租户的虚拟机创建在该集群中。以此实现租户独占物理资源的能力。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支持基于WebUI的向导式系统升级工具，支持将OpenStack的手动、复杂升级过程简化为自动化、高可靠性的升级，提升升级效率、降低升级风险。降低对运维人员的技能要求。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相比社区OpenStack，提供可靠性功能增强，包括但不限于：提供黑匣子功能，Guest OS故障能自动保存内核黑匣子信息。针对系统关键进程，支持CPU、内存等资源占用阀值检测及告警上报关键进程资源风险，及时预防、规避系统潜在风险。虚拟机热迁移异常检测，支持热迁移超时取消，避免虚拟机迁移永久卡死，如对迁移时间给出限制。镜像下载支持MD5校验，保证镜像下载完整性。支持管理数据一致性审计，支持一致性审计功能，避免管理系统与计算节点数据不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674" w:type="pct"/>
            <w:vMerge w:val="restart"/>
            <w:shd w:val="clear" w:color="auto" w:fill="auto"/>
            <w:vAlign w:val="center"/>
          </w:tcPr>
          <w:p>
            <w:pPr>
              <w:spacing w:line="276" w:lineRule="auto"/>
              <w:rPr>
                <w:rFonts w:ascii="宋体" w:hAnsi="宋体" w:cs="Times New Roman"/>
              </w:rPr>
            </w:pPr>
            <w:r>
              <w:rPr>
                <w:rFonts w:ascii="宋体" w:hAnsi="宋体" w:cs="Times New Roman"/>
              </w:rPr>
              <w:t>计算虚拟化</w:t>
            </w: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虚拟化软件架构须采用裸金属架构，支持标准X86服务器、ARM服务器</w:t>
            </w:r>
            <w:r>
              <w:rPr>
                <w:rFonts w:hint="eastAsia" w:ascii="宋体" w:hAnsi="宋体" w:cs="Times New Roman"/>
                <w:lang w:eastAsia="zh-CN"/>
              </w:rPr>
              <w:t>、</w:t>
            </w:r>
            <w:r>
              <w:rPr>
                <w:rFonts w:hint="eastAsia" w:ascii="宋体" w:hAnsi="宋体" w:cs="Times New Roman"/>
                <w:lang w:val="en-US" w:eastAsia="zh-CN"/>
              </w:rPr>
              <w:t>C86服务器</w:t>
            </w:r>
            <w:r>
              <w:rPr>
                <w:rFonts w:ascii="宋体" w:hAnsi="宋体" w:cs="Times New Roman"/>
              </w:rPr>
              <w:t>，充分利用Intel VT和AMD-V的硬件虚拟化技术，支持Intel扩展页表技术。支持GPU虚拟化。虚拟化软件必须能直接安装在服务器硬件设备上，不能采用在服务器上先安装操作系统的方式，虚拟化软件要能直接管理硬件资源。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hint="eastAsia" w:ascii="宋体" w:hAnsi="宋体" w:cs="Times New Roman"/>
                <w:lang w:val="en-US" w:eastAsia="zh-CN"/>
              </w:rPr>
              <w:t>ECS支持PCIE插卡式算力卡直通虚拟机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支持虚拟机基本的生命周期管理动作，包括创建、删除、启动、关闭、重启等。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支持容器基本的生命周期管理动作，包括创建、删除、启动、关闭、重启等。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支持虚拟机迁移，使用同一共享存储的主机之间将处于运行态的虚拟机由当前所在的主机迁移到另一台主机上，在迁移的过程中不影响用户对虚拟机的使用。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支持虚拟机HA(High Available)机制，提升虚拟机的可用度，允许虚拟机出现故障后能够重新在资源池中自动启动虚拟机。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支持高精度虚拟机，以满足虚拟机任务处理时，对性能和延迟抖动有严格要求的场景。虚拟机独占分配的VCPU、内存、I/O物理资源，其它虚拟机无法占用。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支持对虚拟机镜像的生命周期管理，支持镜像的创建、上传、删除、下载、查询等操作。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74" w:type="pct"/>
            <w:vMerge w:val="continue"/>
            <w:shd w:val="clear" w:color="auto" w:fill="auto"/>
            <w:vAlign w:val="center"/>
          </w:tcPr>
          <w:p>
            <w:pPr>
              <w:spacing w:line="276" w:lineRule="auto"/>
              <w:rPr>
                <w:rFonts w:ascii="宋体" w:hAnsi="宋体" w:cs="Times New Roman"/>
              </w:rPr>
            </w:pPr>
          </w:p>
        </w:tc>
        <w:tc>
          <w:tcPr>
            <w:tcW w:w="4325" w:type="pct"/>
            <w:shd w:val="clear" w:color="000000" w:fill="FFFFFF"/>
            <w:vAlign w:val="center"/>
          </w:tcPr>
          <w:p>
            <w:pPr>
              <w:spacing w:line="276" w:lineRule="auto"/>
              <w:rPr>
                <w:rFonts w:ascii="宋体" w:hAnsi="宋体" w:cs="Times New Roman"/>
              </w:rPr>
            </w:pPr>
            <w:r>
              <w:rPr>
                <w:rFonts w:ascii="宋体" w:hAnsi="宋体" w:cs="Times New Roman"/>
              </w:rPr>
              <w:t>支持虚拟机NUMA亲和性调度，减少VM内存访问时延，提升VM性能。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支持虚拟机之间亲和性部署规则。虚拟机聚合规则，即多个虚拟机必须运行于同一主机。虚拟机互斥规则，即多个虚拟机必须运行于不同主机，不能同时运行同一主机。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网络虚拟化</w:t>
            </w:r>
          </w:p>
        </w:tc>
        <w:tc>
          <w:tcPr>
            <w:tcW w:w="4325" w:type="pct"/>
            <w:vAlign w:val="center"/>
          </w:tcPr>
          <w:p>
            <w:pPr>
              <w:spacing w:line="276" w:lineRule="auto"/>
              <w:rPr>
                <w:rFonts w:ascii="宋体" w:hAnsi="宋体" w:cs="Times New Roman"/>
              </w:rPr>
            </w:pPr>
            <w:r>
              <w:rPr>
                <w:rFonts w:ascii="宋体" w:hAnsi="宋体" w:cs="Times New Roman"/>
              </w:rPr>
              <w:t>支持SDN功能，提供自动化网络部署功能。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hint="eastAsia" w:ascii="宋体" w:hAnsi="宋体" w:cs="Times New Roman"/>
                <w:lang w:val="en-US" w:eastAsia="zh-CN"/>
              </w:rPr>
              <w:t>VPC支持源子网路由引流功能，支持主机东西向引流至其他虚拟机（VPC间）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支持通过基于OpenStack的云管理平台实现计算、网络资源统一自动化发放。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支持物理机、虚拟机统一自动化发放功能，包括物理服务器网络自动化配置。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提供灵活的SNAT和VPC多子网能力</w:t>
            </w:r>
            <w:r>
              <w:rPr>
                <w:rFonts w:hint="eastAsia" w:ascii="宋体" w:hAnsi="宋体" w:cs="Times New Roman"/>
                <w:lang w:eastAsia="zh-CN"/>
              </w:rPr>
              <w:t>，</w:t>
            </w:r>
            <w:r>
              <w:rPr>
                <w:rFonts w:hint="eastAsia" w:ascii="宋体" w:hAnsi="宋体" w:cs="Times New Roman"/>
                <w:lang w:val="en-US" w:eastAsia="zh-CN"/>
              </w:rPr>
              <w:t>支持SNAT绑定多个EIP</w:t>
            </w:r>
            <w:r>
              <w:rPr>
                <w:rFonts w:ascii="宋体" w:hAnsi="宋体" w:cs="Times New Roman"/>
              </w:rPr>
              <w:t>，提供灵活的基于Subnet使能SNAT访问外网的能力，提供单个IPsec连接保护多个本地子网的能力。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hint="eastAsia" w:ascii="宋体" w:hAnsi="宋体" w:cs="Times New Roman"/>
                <w:lang w:val="en-US" w:eastAsia="zh-CN"/>
              </w:rPr>
              <w:t>支持批量申请弹性IP地址，可以自行选择弹性IP地址所属的地址池、分配方式（包括但不限于自动分配和手动分配）等策略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存储虚拟化</w:t>
            </w:r>
          </w:p>
        </w:tc>
        <w:tc>
          <w:tcPr>
            <w:tcW w:w="4325" w:type="pct"/>
            <w:vAlign w:val="center"/>
          </w:tcPr>
          <w:p>
            <w:pPr>
              <w:spacing w:line="276" w:lineRule="auto"/>
              <w:rPr>
                <w:rFonts w:ascii="宋体" w:hAnsi="宋体" w:cs="Times New Roman"/>
              </w:rPr>
            </w:pPr>
            <w:r>
              <w:rPr>
                <w:rFonts w:ascii="宋体" w:hAnsi="宋体" w:cs="Times New Roman"/>
              </w:rPr>
              <w:t>支持存储多路径功能，通过自动优选路径和IO负载均衡选路算法优化，提升存储链路的可靠性和性能。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支持虚拟机运行时快照功能，虚拟机快照内容包括：虚拟机的电源状态(打开、关闭、挂机)、内存、硬盘、网卡以及CPU寄存器。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可靠性要求</w:t>
            </w:r>
          </w:p>
        </w:tc>
        <w:tc>
          <w:tcPr>
            <w:tcW w:w="4325" w:type="pct"/>
            <w:vAlign w:val="center"/>
          </w:tcPr>
          <w:p>
            <w:pPr>
              <w:spacing w:line="276" w:lineRule="auto"/>
              <w:rPr>
                <w:rFonts w:ascii="宋体" w:hAnsi="宋体" w:cs="Times New Roman"/>
              </w:rPr>
            </w:pPr>
            <w:r>
              <w:rPr>
                <w:rFonts w:ascii="宋体" w:hAnsi="宋体" w:cs="Times New Roman"/>
              </w:rPr>
              <w:t>管理节点配置负荷分担部署模式，在保障系统运行的可靠性的情况下，可以平滑扩容管理节点，以便管理更大规模的集群。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系统支持对OpenStack的管理节点的数据备份与恢复操作。支持每日备份、立即备份。备份介质支持第三方FTP或对象存储。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通过心跳检测机制，实时监控管理进程，及时检测管理进程进程故障或僵死，并支持自动重启状态异常的进程。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74" w:type="pct"/>
            <w:vMerge w:val="restart"/>
            <w:vAlign w:val="center"/>
          </w:tcPr>
          <w:p>
            <w:pPr>
              <w:spacing w:line="276" w:lineRule="auto"/>
              <w:rPr>
                <w:rFonts w:ascii="宋体" w:hAnsi="宋体" w:cs="Times New Roman"/>
              </w:rPr>
            </w:pPr>
            <w:r>
              <w:rPr>
                <w:rFonts w:ascii="宋体" w:hAnsi="宋体" w:cs="Times New Roman"/>
              </w:rPr>
              <w:t>备份要求</w:t>
            </w:r>
          </w:p>
        </w:tc>
        <w:tc>
          <w:tcPr>
            <w:tcW w:w="4325" w:type="pct"/>
            <w:vAlign w:val="center"/>
          </w:tcPr>
          <w:p>
            <w:pPr>
              <w:spacing w:line="276" w:lineRule="auto"/>
              <w:rPr>
                <w:rFonts w:ascii="宋体" w:hAnsi="宋体" w:cs="Times New Roman"/>
              </w:rPr>
            </w:pPr>
            <w:r>
              <w:rPr>
                <w:rFonts w:ascii="宋体" w:hAnsi="宋体" w:cs="Times New Roman"/>
              </w:rPr>
              <w:t>支持无代理备份，不需要在虚拟机内安装备份代理软件。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支持LAN-free备份与恢复，减少对生产服务器的性能影响。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支持在线备份，在虚拟机是开机和关机状态下都可进行备份。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支持增量备份，每次只需备份变化数据块，减少备份数据量，降低备份成本。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74" w:type="pct"/>
            <w:vMerge w:val="continue"/>
            <w:vAlign w:val="center"/>
          </w:tcPr>
          <w:p>
            <w:pPr>
              <w:spacing w:line="276" w:lineRule="auto"/>
              <w:rPr>
                <w:rFonts w:ascii="宋体" w:hAnsi="宋体" w:cs="Times New Roman"/>
              </w:rPr>
            </w:pPr>
          </w:p>
        </w:tc>
        <w:tc>
          <w:tcPr>
            <w:tcW w:w="4325" w:type="pct"/>
            <w:vAlign w:val="center"/>
          </w:tcPr>
          <w:p>
            <w:pPr>
              <w:spacing w:line="276" w:lineRule="auto"/>
              <w:rPr>
                <w:rFonts w:ascii="宋体" w:hAnsi="宋体" w:cs="Times New Roman"/>
              </w:rPr>
            </w:pPr>
            <w:r>
              <w:rPr>
                <w:rFonts w:ascii="宋体" w:hAnsi="宋体" w:cs="Times New Roman"/>
              </w:rPr>
              <w:t>支持虚拟机系统卷数据（如安装的软件）的恢复。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674" w:type="pct"/>
            <w:vAlign w:val="center"/>
          </w:tcPr>
          <w:p>
            <w:pPr>
              <w:spacing w:line="276" w:lineRule="auto"/>
              <w:rPr>
                <w:rFonts w:ascii="宋体" w:hAnsi="宋体" w:cs="Times New Roman"/>
              </w:rPr>
            </w:pPr>
            <w:r>
              <w:rPr>
                <w:rFonts w:ascii="宋体" w:hAnsi="宋体" w:cs="Times New Roman"/>
              </w:rPr>
              <w:t>配置要求</w:t>
            </w:r>
          </w:p>
        </w:tc>
        <w:tc>
          <w:tcPr>
            <w:tcW w:w="4325" w:type="pct"/>
            <w:vAlign w:val="center"/>
          </w:tcPr>
          <w:p>
            <w:pPr>
              <w:spacing w:line="276" w:lineRule="auto"/>
              <w:rPr>
                <w:rFonts w:ascii="宋体" w:hAnsi="宋体" w:cs="Times New Roman"/>
              </w:rPr>
            </w:pPr>
            <w:r>
              <w:rPr>
                <w:rFonts w:ascii="宋体" w:hAnsi="宋体" w:cs="Times New Roman"/>
              </w:rPr>
              <w:t>配置提供本期项目实际所需的足够的授权</w:t>
            </w:r>
          </w:p>
        </w:tc>
      </w:tr>
    </w:tbl>
    <w:p>
      <w:pPr>
        <w:spacing w:line="276" w:lineRule="auto"/>
      </w:pPr>
    </w:p>
    <w:bookmarkEnd w:id="18"/>
    <w:bookmarkEnd w:id="19"/>
    <w:bookmarkEnd w:id="20"/>
    <w:p>
      <w:pPr>
        <w:pStyle w:val="5"/>
        <w:numPr>
          <w:ilvl w:val="2"/>
          <w:numId w:val="5"/>
        </w:numPr>
        <w:spacing w:before="160" w:line="300" w:lineRule="exact"/>
        <w:ind w:left="420"/>
        <w:rPr>
          <w:rFonts w:ascii="宋体" w:hAnsi="宋体"/>
        </w:rPr>
      </w:pPr>
      <w:bookmarkStart w:id="23" w:name="_Toc34080397"/>
      <w:bookmarkStart w:id="24" w:name="_Toc34080581"/>
      <w:r>
        <w:rPr>
          <w:rFonts w:ascii="宋体" w:hAnsi="宋体"/>
        </w:rPr>
        <w:t>备份软件要求</w:t>
      </w:r>
      <w:bookmarkEnd w:id="23"/>
      <w:bookmarkEnd w:id="24"/>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600"/>
        <w:gridCol w:w="7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30" w:type="pct"/>
            <w:gridSpan w:val="2"/>
            <w:shd w:val="clear" w:color="auto" w:fill="D9D9D9"/>
            <w:vAlign w:val="center"/>
          </w:tcPr>
          <w:p>
            <w:pPr>
              <w:jc w:val="center"/>
              <w:rPr>
                <w:rFonts w:ascii="宋体" w:hAnsi="宋体" w:cs="宋体"/>
                <w:color w:val="000000"/>
                <w:kern w:val="0"/>
              </w:rPr>
            </w:pPr>
            <w:r>
              <w:rPr>
                <w:rFonts w:ascii="宋体" w:hAnsi="宋体" w:cs="Times New Roman"/>
                <w:b/>
              </w:rPr>
              <w:t>规格</w:t>
            </w:r>
          </w:p>
        </w:tc>
        <w:tc>
          <w:tcPr>
            <w:tcW w:w="4370" w:type="pct"/>
            <w:shd w:val="clear" w:color="auto" w:fill="D9D9D9"/>
            <w:vAlign w:val="center"/>
          </w:tcPr>
          <w:p>
            <w:pPr>
              <w:jc w:val="center"/>
              <w:rPr>
                <w:rFonts w:ascii="宋体" w:hAnsi="宋体" w:cs="宋体"/>
                <w:color w:val="000000"/>
                <w:kern w:val="0"/>
              </w:rPr>
            </w:pPr>
            <w:r>
              <w:rPr>
                <w:rFonts w:ascii="宋体" w:hAnsi="宋体" w:cs="微软雅黑"/>
                <w:b/>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79" w:type="pct"/>
            <w:vMerge w:val="restart"/>
            <w:vAlign w:val="center"/>
          </w:tcPr>
          <w:p>
            <w:pPr>
              <w:rPr>
                <w:rFonts w:ascii="宋体" w:hAnsi="宋体" w:cs="宋体"/>
                <w:color w:val="000000"/>
                <w:kern w:val="0"/>
              </w:rPr>
            </w:pPr>
            <w:r>
              <w:rPr>
                <w:rFonts w:ascii="宋体" w:hAnsi="宋体" w:cs="宋体"/>
                <w:color w:val="000000"/>
                <w:kern w:val="0"/>
              </w:rPr>
              <w:t>数据备份</w:t>
            </w:r>
          </w:p>
        </w:tc>
        <w:tc>
          <w:tcPr>
            <w:tcW w:w="352" w:type="pct"/>
            <w:vMerge w:val="restart"/>
            <w:vAlign w:val="center"/>
          </w:tcPr>
          <w:p>
            <w:pPr>
              <w:rPr>
                <w:rFonts w:ascii="宋体" w:hAnsi="宋体" w:cs="宋体"/>
                <w:color w:val="000000"/>
                <w:kern w:val="0"/>
              </w:rPr>
            </w:pPr>
            <w:r>
              <w:rPr>
                <w:rFonts w:ascii="宋体" w:hAnsi="宋体" w:cs="宋体"/>
                <w:color w:val="000000"/>
                <w:kern w:val="0"/>
              </w:rPr>
              <w:t>数据库及应用保护</w:t>
            </w:r>
          </w:p>
        </w:tc>
        <w:tc>
          <w:tcPr>
            <w:tcW w:w="4370" w:type="pct"/>
            <w:vAlign w:val="center"/>
          </w:tcPr>
          <w:p>
            <w:pPr>
              <w:rPr>
                <w:rFonts w:ascii="宋体" w:hAnsi="宋体" w:cs="宋体"/>
                <w:color w:val="000000"/>
                <w:kern w:val="0"/>
              </w:rPr>
            </w:pPr>
            <w:r>
              <w:rPr>
                <w:rFonts w:ascii="宋体" w:hAnsi="宋体" w:cs="宋体"/>
                <w:color w:val="000000"/>
                <w:kern w:val="0"/>
              </w:rPr>
              <w:t>支持对SQL Server、Oracle/RAC、DB2、GBase、MySQL等主流数据库进行在线备份保护，备份任务配置过程全部图形化向导指引完成，无需编写脚本。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支持对达梦数据库、人大金仓、神舟通用等数据库在线数据备份保护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支持对GaussDB、SAP HANA等数据库进行有效在线数据备份保护，并提供相关厂商产品兼容性互认证证书或可查询官网链接认证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Oracle数据库备份支持10g、11g、12c和18c，支持自定义脚本，支持支持RMAN备份参数的图形化配置。支持Oracle RAC恢复到单机环境，支持SCN级别的恢复。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支持对Hadoop文件系统进行在线备份保护，支持文件、目录、格式和日期过滤，支持永久增量备份。支持备份数据恢复至原环境和其他Hadoop集群，支持恢复至其他文件系统。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国产化支持</w:t>
            </w:r>
          </w:p>
        </w:tc>
        <w:tc>
          <w:tcPr>
            <w:tcW w:w="4370" w:type="pct"/>
            <w:vAlign w:val="center"/>
          </w:tcPr>
          <w:p>
            <w:pPr>
              <w:rPr>
                <w:rFonts w:ascii="宋体" w:hAnsi="宋体" w:cs="宋体"/>
                <w:color w:val="000000"/>
                <w:kern w:val="0"/>
              </w:rPr>
            </w:pPr>
            <w:r>
              <w:rPr>
                <w:rFonts w:ascii="宋体" w:hAnsi="宋体" w:cs="宋体"/>
                <w:color w:val="000000"/>
                <w:kern w:val="0"/>
              </w:rPr>
              <w:t>支持鲲鹏、龙芯、飞腾平台下的软件安装部署和数据保护。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卷级备份</w:t>
            </w:r>
          </w:p>
        </w:tc>
        <w:tc>
          <w:tcPr>
            <w:tcW w:w="4370" w:type="pct"/>
            <w:vAlign w:val="center"/>
          </w:tcPr>
          <w:p>
            <w:pPr>
              <w:rPr>
                <w:rFonts w:ascii="宋体" w:hAnsi="宋体" w:cs="宋体"/>
                <w:color w:val="000000"/>
                <w:kern w:val="0"/>
              </w:rPr>
            </w:pPr>
            <w:r>
              <w:rPr>
                <w:rFonts w:ascii="宋体" w:hAnsi="宋体" w:cs="宋体"/>
                <w:color w:val="000000"/>
                <w:kern w:val="0"/>
              </w:rPr>
              <w:t>支持文件系统的卷级备份功能，以整卷为单位进行数据备份，提升海量小文件环境下的备份效率。支持整卷恢复和单文件目录级别的细粒度恢复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虚拟化及云平台备份</w:t>
            </w:r>
          </w:p>
        </w:tc>
        <w:tc>
          <w:tcPr>
            <w:tcW w:w="4370" w:type="pct"/>
            <w:vAlign w:val="center"/>
          </w:tcPr>
          <w:p>
            <w:pPr>
              <w:rPr>
                <w:rFonts w:ascii="宋体" w:hAnsi="宋体" w:cs="宋体"/>
                <w:color w:val="000000"/>
                <w:kern w:val="0"/>
              </w:rPr>
            </w:pPr>
            <w:r>
              <w:rPr>
                <w:rFonts w:ascii="宋体" w:hAnsi="宋体" w:cs="宋体"/>
                <w:color w:val="000000"/>
                <w:kern w:val="0"/>
              </w:rPr>
              <w:t>支持对FusionComputer、FusionCloud、CAS、VMware vSphere、XenServer、Hyper-V和OpenStack等主流虚拟化应用的备份，支持单机和集群部署环境。以上虚拟化应用均支持以虚拟机、资源池和整个集群为单位进行备份保护保护，无需在虚拟机内部安装任何代理软件。支持针对FusionCloud的永久增量备份以及基于租户化对接及管理，备份数据流不会占用FusionCloud管理网络导致拥塞，需提供相关于FusionCloud备份对接的互认证兼容性证书及官网查询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虚拟机恢复时支持选择目标集群、资源池和存储资源，支持原位置恢复和恢复为新虚拟机，能够设置恢复后虚拟机的CPU、内存和网络配置。支持保留源虚拟机MAC地址恢复，支持恢复后自动打开虚拟机。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支持虚拟机分流备份功能，一个任务包含来自多个宿主主机的虚拟机时，会对虚拟机按宿主机进行归类，优先抽取不同宿主机上的虚拟机进行备份，提升备份速度和效率。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支持虚拟机并发备份和恢复功能，支持在WEB页面中设置单个备份和恢复任务中的虚拟机并发备份和恢复数量，可大幅提高备份恢复效率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源端重复数据删除技术</w:t>
            </w:r>
          </w:p>
        </w:tc>
        <w:tc>
          <w:tcPr>
            <w:tcW w:w="4370" w:type="pct"/>
            <w:vAlign w:val="center"/>
          </w:tcPr>
          <w:p>
            <w:pPr>
              <w:rPr>
                <w:rFonts w:ascii="宋体" w:hAnsi="宋体" w:cs="宋体"/>
                <w:color w:val="000000"/>
                <w:kern w:val="0"/>
              </w:rPr>
            </w:pPr>
            <w:r>
              <w:rPr>
                <w:rFonts w:ascii="宋体" w:hAnsi="宋体" w:cs="宋体"/>
                <w:color w:val="000000"/>
                <w:kern w:val="0"/>
              </w:rPr>
              <w:t>支持基于源端的可变长度切片的重复数据删除技术，多个备份任务可以共享同一个重复数据删除指纹池，也可以根据数据的不同单独设置专属指纹池，最大限度的提升重复数据删除效率，减轻带宽压力，降低传输数据量和备份数据存储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支持并行重复数据删除，通过在多个不同的节点上构建指纹池，并将指纹并行分布于多个节点，有效解决单点性能和存储空间压力问题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采用内存级指纹池进行重删，所有指纹读写全部保存于内存中，从而提升指纹查询和处理效率，并且减少了因磁盘中指纹池增大所导致的随机IO压力。当指纹池不再需要进行备份时，将指纹同步到磁盘当中。指纹池构建在不同重删节点上，而生产数据可以基于多个不同的指纹池，执行并行重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采用内存进行重复数据删除加速，重复数据删除的计算和对比均在内存中进行。重删指纹池实现按需加载到内存，不使用时写入普通机械磁盘中，无须高性能的SSD。大幅提高重复数据删除速度和效率，降低投资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数据安全性</w:t>
            </w:r>
          </w:p>
        </w:tc>
        <w:tc>
          <w:tcPr>
            <w:tcW w:w="4370" w:type="pct"/>
            <w:vAlign w:val="center"/>
          </w:tcPr>
          <w:p>
            <w:pPr>
              <w:rPr>
                <w:rFonts w:ascii="宋体" w:hAnsi="宋体" w:cs="宋体"/>
                <w:color w:val="000000"/>
                <w:kern w:val="0"/>
              </w:rPr>
            </w:pPr>
            <w:r>
              <w:rPr>
                <w:rFonts w:ascii="宋体" w:hAnsi="宋体" w:cs="宋体"/>
                <w:color w:val="000000"/>
                <w:kern w:val="0"/>
              </w:rPr>
              <w:t>支持对备份数据进行加密传输和存储，支持AES256和SM4两种加密算法，提升传输过程以及存储的安全性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restart"/>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备份数据存储</w:t>
            </w:r>
          </w:p>
        </w:tc>
        <w:tc>
          <w:tcPr>
            <w:tcW w:w="4370" w:type="pct"/>
            <w:vAlign w:val="center"/>
          </w:tcPr>
          <w:p>
            <w:pPr>
              <w:rPr>
                <w:rFonts w:ascii="宋体" w:hAnsi="宋体" w:cs="宋体"/>
                <w:color w:val="000000"/>
                <w:kern w:val="0"/>
              </w:rPr>
            </w:pPr>
            <w:r>
              <w:rPr>
                <w:rFonts w:ascii="宋体" w:hAnsi="宋体" w:cs="宋体"/>
                <w:color w:val="000000"/>
                <w:kern w:val="0"/>
              </w:rPr>
              <w:t>所有的定时备份任务，其备份数据存储在一个统一的存储介质管理系统中，无需针对不同类型的任务单独配置单独隔离无法空间共享的存储池，提高空间利用率的同事简化管理维护。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支持备份存储介质管理系统支持在线扩容，所有备份节点均可在线增加磁盘，新增磁盘空间自动添加进存储介质管理系统中，且即时可用，现有备份任务无需任何调整，备份数据可自动写入新增加的空间内。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永久增量备份</w:t>
            </w:r>
          </w:p>
        </w:tc>
        <w:tc>
          <w:tcPr>
            <w:tcW w:w="4370" w:type="pct"/>
            <w:vAlign w:val="center"/>
          </w:tcPr>
          <w:p>
            <w:pPr>
              <w:rPr>
                <w:rFonts w:ascii="宋体" w:hAnsi="宋体" w:cs="宋体"/>
                <w:color w:val="000000"/>
                <w:kern w:val="0"/>
              </w:rPr>
            </w:pPr>
            <w:r>
              <w:rPr>
                <w:rFonts w:ascii="宋体" w:hAnsi="宋体" w:cs="宋体"/>
                <w:color w:val="000000"/>
                <w:kern w:val="0"/>
              </w:rPr>
              <w:t>支持永久增量备份技术，初次备份对所有数据进行完全备份，之后只对新增加或改动过的数据做增量备份。每个增量备份的数据副本将自动合成为完全副本，但数据存储空间只占用一份完全副本大小及增量数据大小，能够大幅度减少备份时间的同时节省相比传统定期完全备份数据所需的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Align w:val="center"/>
          </w:tcPr>
          <w:p>
            <w:pPr>
              <w:rPr>
                <w:rFonts w:ascii="宋体" w:hAnsi="宋体" w:cs="宋体"/>
                <w:color w:val="000000"/>
                <w:kern w:val="0"/>
              </w:rPr>
            </w:pPr>
            <w:r>
              <w:rPr>
                <w:rFonts w:ascii="宋体" w:hAnsi="宋体" w:cs="宋体"/>
                <w:color w:val="000000"/>
                <w:kern w:val="0"/>
              </w:rPr>
              <w:t>数据保留</w:t>
            </w:r>
          </w:p>
        </w:tc>
        <w:tc>
          <w:tcPr>
            <w:tcW w:w="4370" w:type="pct"/>
            <w:vAlign w:val="center"/>
          </w:tcPr>
          <w:p>
            <w:pPr>
              <w:rPr>
                <w:rFonts w:ascii="宋体" w:hAnsi="宋体" w:cs="宋体"/>
                <w:color w:val="000000"/>
                <w:kern w:val="0"/>
              </w:rPr>
            </w:pPr>
            <w:r>
              <w:rPr>
                <w:rFonts w:ascii="宋体" w:hAnsi="宋体" w:cs="宋体"/>
                <w:color w:val="000000"/>
                <w:kern w:val="0"/>
              </w:rPr>
              <w:t>以单个备份任务为单位设定备份数据的保留周期，支持基于时间范围和完全备份副本数量两种方式控制备份数据的保留周期，同时支持将备份数据直接从客户端D2C备份到对象存储中做长期保留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restart"/>
            <w:vAlign w:val="center"/>
          </w:tcPr>
          <w:p>
            <w:pPr>
              <w:rPr>
                <w:rFonts w:ascii="宋体" w:hAnsi="宋体" w:cs="宋体"/>
                <w:color w:val="000000"/>
                <w:kern w:val="0"/>
              </w:rPr>
            </w:pPr>
            <w:r>
              <w:rPr>
                <w:rFonts w:ascii="宋体" w:hAnsi="宋体" w:cs="宋体"/>
                <w:color w:val="000000"/>
                <w:kern w:val="0"/>
              </w:rPr>
              <w:t>持续数据保护</w:t>
            </w:r>
          </w:p>
        </w:tc>
        <w:tc>
          <w:tcPr>
            <w:tcW w:w="352" w:type="pct"/>
            <w:vMerge w:val="restart"/>
            <w:vAlign w:val="center"/>
          </w:tcPr>
          <w:p>
            <w:pPr>
              <w:rPr>
                <w:rFonts w:ascii="宋体" w:hAnsi="宋体" w:cs="宋体"/>
                <w:color w:val="000000"/>
                <w:kern w:val="0"/>
              </w:rPr>
            </w:pPr>
            <w:r>
              <w:rPr>
                <w:rFonts w:ascii="宋体" w:hAnsi="宋体" w:cs="宋体"/>
                <w:color w:val="000000"/>
                <w:kern w:val="0"/>
              </w:rPr>
              <w:t>数据库复制</w:t>
            </w:r>
          </w:p>
        </w:tc>
        <w:tc>
          <w:tcPr>
            <w:tcW w:w="4370" w:type="pct"/>
            <w:vAlign w:val="center"/>
          </w:tcPr>
          <w:p>
            <w:pPr>
              <w:rPr>
                <w:rFonts w:ascii="宋体" w:hAnsi="宋体" w:cs="宋体"/>
                <w:color w:val="000000"/>
                <w:kern w:val="0"/>
              </w:rPr>
            </w:pPr>
            <w:r>
              <w:rPr>
                <w:rFonts w:ascii="宋体" w:hAnsi="宋体" w:cs="宋体"/>
                <w:color w:val="000000"/>
                <w:kern w:val="0"/>
              </w:rPr>
              <w:t>支持Oracle的逻辑复制，基于生产端日志解析方式的数据库同步，可将生产数据库的日志实时解析为SQL语句并实时传输至备用数据库，并重做SQL操作，使备用数据库与生产数据库数据保持实时同步，备用数据库在复制阶段处于open状态，可提供业务查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Oracle的物理复制，实时捕获生产数据库的所有操作引起的数据块变化，并实时传输至备用数据库中进行应用，保持备用数据库在物理结构上与生产数据库保持实时同步，备用数据库在复制阶段处于mount状态，生产库发生故障后可open并对外提供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数据卷复制</w:t>
            </w:r>
          </w:p>
        </w:tc>
        <w:tc>
          <w:tcPr>
            <w:tcW w:w="4370" w:type="pct"/>
            <w:vAlign w:val="center"/>
          </w:tcPr>
          <w:p>
            <w:pPr>
              <w:rPr>
                <w:rFonts w:ascii="宋体" w:hAnsi="宋体" w:cs="宋体"/>
                <w:color w:val="000000"/>
                <w:kern w:val="0"/>
              </w:rPr>
            </w:pPr>
            <w:r>
              <w:rPr>
                <w:rFonts w:ascii="宋体" w:hAnsi="宋体" w:cs="宋体"/>
                <w:color w:val="000000"/>
                <w:kern w:val="0"/>
              </w:rPr>
              <w:t>支持对Windows和Linux服务器的整机（所有磁盘分区，包括操作系统分区）和数据卷进行卷级别的实时复制功能，可将生产服务器上数据卷的数据变化实时复制到目标服务器上指定的数据卷上，保持生产服务器和目标服务器之间的指定数据卷的数据同步。采用整机复制策略时，目标服务器为未安装操作系统的裸机环境，生产服务器故障后直接启用目标服务器接管生产业务，无需重新安装配置操作系统和应用软件。支持备份客户端的内存占用控制，也可以按照自定义的频率间隔复制数据变化以降低对生产系统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支持差异数据智能识别功能，可自动识别生产服务器和目标服务器上的数据差异性，仅同步差异数据，提升复制效率。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restart"/>
            <w:vAlign w:val="center"/>
          </w:tcPr>
          <w:p>
            <w:pPr>
              <w:rPr>
                <w:rFonts w:ascii="宋体" w:hAnsi="宋体" w:cs="宋体"/>
                <w:color w:val="000000"/>
                <w:kern w:val="0"/>
              </w:rPr>
            </w:pPr>
            <w:r>
              <w:rPr>
                <w:rFonts w:ascii="宋体" w:hAnsi="宋体" w:cs="宋体"/>
                <w:color w:val="000000"/>
                <w:kern w:val="0"/>
              </w:rPr>
              <w:t>实时备份</w:t>
            </w:r>
          </w:p>
        </w:tc>
        <w:tc>
          <w:tcPr>
            <w:tcW w:w="4370" w:type="pct"/>
            <w:vAlign w:val="center"/>
          </w:tcPr>
          <w:p>
            <w:pPr>
              <w:rPr>
                <w:rFonts w:ascii="宋体" w:hAnsi="宋体" w:cs="宋体"/>
                <w:color w:val="000000"/>
                <w:kern w:val="0"/>
              </w:rPr>
            </w:pPr>
            <w:r>
              <w:rPr>
                <w:rFonts w:ascii="宋体" w:hAnsi="宋体" w:cs="宋体"/>
                <w:color w:val="000000"/>
                <w:kern w:val="0"/>
              </w:rPr>
              <w:t>支持对Windows和Linux服务器的整机（所有磁盘分区，包括操作系统分区）和数据卷进行卷级别的实时备份，将生产服务器的数据变化实时备份到备份设备内部保存为日志数据，并同时将变化数据实时写入到备份设备内部与生产服务器一一对应的虚拟磁盘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实时备份数据的应急接管和容灾演练功能，基于虚拟磁盘快照和实时备份的日志数据，通过图形化界面快速生成生产服务器在历史某一时间完整状态的完整虚拟磁盘，时间选择精度为微秒（0.000001）级（提供该功能界面截图）。在时间精度选择时，系统界面提供对应时间状态的生产服务器的磁盘IO负载波形图，以辅助选择合适的IO状态。同时，通过图形化界面为该虚拟机磁盘配置相关的存储、计算和网络资源后形成一个完整的虚拟机，可使用备份设备内置的企业级虚拟化软件启动该虚拟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在应急接管模式下，管理界面提示对应生成服务器的MAC地址并默认为生成的虚拟机使用该MAC地址，以确保虚拟机启动后无需配置IP地址即可提供业务应急，且应急接管和容灾演练的虚拟机，均可通过备份设备的WEB页面直接进行图形化的管理，无需安装任何插件，包括开机、断电、重启、远程控制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支持在应容灾演模式下，生成的虚拟机默认与生产服务器网络隔离，避免虚拟机启动后与生产业务冲突。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79" w:type="pct"/>
            <w:vMerge w:val="continue"/>
            <w:vAlign w:val="center"/>
          </w:tcPr>
          <w:p>
            <w:pPr>
              <w:rPr>
                <w:rFonts w:ascii="宋体" w:hAnsi="宋体" w:cs="宋体"/>
                <w:color w:val="000000"/>
                <w:kern w:val="0"/>
              </w:rPr>
            </w:pPr>
          </w:p>
        </w:tc>
        <w:tc>
          <w:tcPr>
            <w:tcW w:w="352" w:type="pct"/>
            <w:vMerge w:val="continue"/>
            <w:vAlign w:val="center"/>
          </w:tcPr>
          <w:p>
            <w:pPr>
              <w:rPr>
                <w:rFonts w:ascii="宋体" w:hAnsi="宋体" w:cs="宋体"/>
                <w:color w:val="000000"/>
                <w:kern w:val="0"/>
              </w:rPr>
            </w:pPr>
          </w:p>
        </w:tc>
        <w:tc>
          <w:tcPr>
            <w:tcW w:w="4370" w:type="pct"/>
            <w:vAlign w:val="center"/>
          </w:tcPr>
          <w:p>
            <w:pPr>
              <w:rPr>
                <w:rFonts w:ascii="宋体" w:hAnsi="宋体" w:cs="宋体"/>
                <w:color w:val="000000"/>
                <w:kern w:val="0"/>
              </w:rPr>
            </w:pPr>
            <w:r>
              <w:rPr>
                <w:rFonts w:ascii="宋体" w:hAnsi="宋体" w:cs="宋体"/>
                <w:color w:val="000000"/>
                <w:kern w:val="0"/>
              </w:rPr>
              <w:t>支持应急接管虚拟机的在线回迁功能，在应急虚拟机持续提供业务访问的同时，实时实现操作系统、应用软件和业务数据回迁到目标裸机服务器环境中，回迁完毕后即可由目标服务器提供业务。</w:t>
            </w:r>
          </w:p>
        </w:tc>
      </w:tr>
    </w:tbl>
    <w:p>
      <w:pPr>
        <w:spacing w:line="276" w:lineRule="auto"/>
        <w:rPr>
          <w:color w:val="FF0000"/>
        </w:rPr>
      </w:pPr>
      <w:bookmarkStart w:id="25" w:name="_Toc34080582"/>
      <w:bookmarkStart w:id="26" w:name="_Toc34080398"/>
    </w:p>
    <w:p>
      <w:pPr>
        <w:pStyle w:val="4"/>
        <w:numPr>
          <w:ilvl w:val="1"/>
          <w:numId w:val="5"/>
        </w:numPr>
        <w:tabs>
          <w:tab w:val="clear" w:pos="840"/>
        </w:tabs>
        <w:ind w:left="720" w:hanging="720" w:hangingChars="200"/>
        <w:textAlignment w:val="auto"/>
        <w:rPr>
          <w:rFonts w:ascii="宋体" w:hAnsi="宋体"/>
          <w:lang w:eastAsia="zh-CN"/>
        </w:rPr>
      </w:pPr>
      <w:r>
        <w:rPr>
          <w:rFonts w:hint="eastAsia" w:ascii="宋体" w:hAnsi="宋体"/>
          <w:lang w:eastAsia="zh-CN"/>
        </w:rPr>
        <w:t>硬件技术要求</w:t>
      </w:r>
      <w:bookmarkEnd w:id="25"/>
      <w:bookmarkEnd w:id="26"/>
    </w:p>
    <w:p>
      <w:pPr>
        <w:pStyle w:val="5"/>
        <w:numPr>
          <w:ilvl w:val="2"/>
          <w:numId w:val="5"/>
        </w:numPr>
        <w:spacing w:before="160" w:line="300" w:lineRule="exact"/>
        <w:ind w:left="420"/>
        <w:rPr>
          <w:rFonts w:ascii="宋体" w:hAnsi="宋体"/>
        </w:rPr>
      </w:pPr>
      <w:bookmarkStart w:id="27" w:name="_Toc34080586"/>
      <w:bookmarkStart w:id="28" w:name="_Toc34080402"/>
      <w:r>
        <w:rPr>
          <w:rFonts w:ascii="宋体" w:hAnsi="宋体"/>
        </w:rPr>
        <w:t>服务器设备</w:t>
      </w:r>
    </w:p>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用途：虚拟化计算资源服务器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2.0GHz；≥ 2路*20核；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bl>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用途：虚拟化ARM计算资源服务器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2.6GHz；≥ 2路*32核；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支持国产化操作系统； </w:t>
            </w:r>
          </w:p>
        </w:tc>
      </w:tr>
    </w:tbl>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用途：2路物理服务器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w:t>
            </w:r>
            <w:r>
              <w:rPr>
                <w:rFonts w:hint="eastAsia" w:ascii="宋体" w:hAnsi="宋体" w:cs="Times New Roman"/>
                <w:kern w:val="0"/>
                <w:lang w:val="en-US" w:eastAsia="zh-CN"/>
              </w:rPr>
              <w:t>0</w:t>
            </w:r>
            <w:r>
              <w:rPr>
                <w:rFonts w:ascii="宋体" w:hAnsi="宋体" w:cs="Times New Roman"/>
                <w:kern w:val="0"/>
              </w:rPr>
              <w:t>GHz；≥ 2路*20核；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HBA卡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配置2块16GB HBA卡；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bl>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用途：4路物理服务器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2.1GHz；≥ 4路*10核；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512GB；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HBA卡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配置2块16GB HBA卡；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 xml:space="preserve">支持32/64位Windows、Linux等操作系统；； </w:t>
            </w:r>
          </w:p>
        </w:tc>
      </w:tr>
    </w:tbl>
    <w:p>
      <w:pPr>
        <w:spacing w:line="276" w:lineRule="auto"/>
      </w:pPr>
    </w:p>
    <w:tbl>
      <w:tblPr>
        <w:tblStyle w:val="10"/>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用途：GPU虚拟化服务器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6"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CPU</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≥2.0GHz；≥2路*20核；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内存配置数量</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≥256GB；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硬盘</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≥2*480GB；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GPU卡</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≥4块* GPU显卡</w:t>
            </w:r>
          </w:p>
          <w:p>
            <w:pPr>
              <w:spacing w:line="276" w:lineRule="auto"/>
              <w:textAlignment w:val="baseline"/>
              <w:rPr>
                <w:rFonts w:ascii="宋体" w:hAnsi="宋体" w:cs="Times New Roman"/>
                <w:kern w:val="0"/>
              </w:rPr>
            </w:pPr>
            <w:r>
              <w:rPr>
                <w:rFonts w:ascii="宋体" w:hAnsi="宋体" w:cs="Times New Roman"/>
                <w:kern w:val="0"/>
              </w:rPr>
              <w:t>单显卡INT8≥120 TOPS；FP16≥64 TFLOPS；</w:t>
            </w:r>
          </w:p>
          <w:p>
            <w:pPr>
              <w:spacing w:line="276" w:lineRule="auto"/>
              <w:textAlignment w:val="baseline"/>
              <w:rPr>
                <w:rFonts w:ascii="宋体" w:hAnsi="宋体" w:cs="Times New Roman"/>
                <w:kern w:val="0"/>
              </w:rPr>
            </w:pPr>
            <w:r>
              <w:rPr>
                <w:rFonts w:ascii="宋体" w:hAnsi="宋体" w:cs="Times New Roman"/>
                <w:kern w:val="0"/>
              </w:rPr>
              <w:t>单显卡内存规格要求：容量≥16GB，支持ECC；</w:t>
            </w:r>
          </w:p>
          <w:p>
            <w:pPr>
              <w:spacing w:line="276" w:lineRule="auto"/>
              <w:textAlignment w:val="baseline"/>
              <w:rPr>
                <w:rFonts w:ascii="宋体" w:hAnsi="宋体" w:cs="Times New Roman"/>
                <w:kern w:val="0"/>
              </w:rPr>
            </w:pPr>
            <w:r>
              <w:rPr>
                <w:rFonts w:ascii="宋体" w:hAnsi="宋体" w:cs="Times New Roman"/>
                <w:kern w:val="0"/>
              </w:rPr>
              <w:t>要求支持GPU直通模式，能够按单张GPU卡提供给租户使用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RAID卡</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支持RAID0/RAID1；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≥2个千兆以太网口，≥4个万兆以太网口；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电源和风扇</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配置冗余电源和风扇；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6"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支持32/64位Windows、Linux等操作系统；</w:t>
            </w:r>
          </w:p>
        </w:tc>
      </w:tr>
    </w:tbl>
    <w:p>
      <w:pPr>
        <w:spacing w:line="276" w:lineRule="auto"/>
      </w:pPr>
    </w:p>
    <w:p>
      <w:pPr>
        <w:pStyle w:val="5"/>
        <w:numPr>
          <w:ilvl w:val="2"/>
          <w:numId w:val="5"/>
        </w:numPr>
        <w:spacing w:before="160" w:line="300" w:lineRule="exact"/>
        <w:ind w:left="420"/>
        <w:rPr>
          <w:rFonts w:ascii="宋体" w:hAnsi="宋体"/>
        </w:rPr>
      </w:pPr>
      <w:r>
        <w:rPr>
          <w:rFonts w:ascii="宋体" w:hAnsi="宋体"/>
        </w:rPr>
        <w:t>存储设备</w:t>
      </w: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用途：IP-SAN存储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至少提供32个万兆网络主机接口；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控制器</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至少4个存储控制器，多控制器具备高可靠性；</w:t>
            </w:r>
          </w:p>
          <w:p>
            <w:pPr>
              <w:spacing w:line="276" w:lineRule="auto"/>
              <w:textAlignment w:val="baseline"/>
              <w:rPr>
                <w:rFonts w:ascii="宋体" w:hAnsi="宋体" w:cs="Times New Roman"/>
                <w:kern w:val="0"/>
              </w:rPr>
            </w:pPr>
            <w:r>
              <w:rPr>
                <w:rFonts w:ascii="宋体" w:hAnsi="宋体" w:cs="Times New Roman"/>
                <w:kern w:val="0"/>
              </w:rPr>
              <w:t>控制器可热插拔；</w:t>
            </w:r>
          </w:p>
          <w:p>
            <w:pPr>
              <w:spacing w:line="276" w:lineRule="auto"/>
              <w:textAlignment w:val="baseline"/>
              <w:rPr>
                <w:rFonts w:ascii="宋体" w:hAnsi="宋体" w:cs="Times New Roman"/>
                <w:kern w:val="0"/>
              </w:rPr>
            </w:pPr>
            <w:r>
              <w:rPr>
                <w:rFonts w:ascii="宋体" w:hAnsi="宋体" w:cs="Times New Roman"/>
                <w:kern w:val="0"/>
              </w:rPr>
              <w:t>控制器Active-Active工作方式，支持透明的Fail-Over；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缓存</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每控制器缓存容量不小于256GB；外部供电中断后，高速缓存Cache的数据不会丢失；支持缓存镜像；具有Cache写镜像保护技术；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存储模式、容量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支持企业级SSD硬盘、SAS、NL SAS异构混插；系统最大支持磁盘数量≥2000块；</w:t>
            </w:r>
            <w:r>
              <w:rPr>
                <w:rFonts w:hint="eastAsia" w:ascii="宋体" w:hAnsi="宋体" w:cs="Times New Roman"/>
                <w:kern w:val="0"/>
              </w:rPr>
              <w:t>单套存储磁盘数量</w:t>
            </w:r>
            <w:r>
              <w:rPr>
                <w:rFonts w:ascii="宋体" w:hAnsi="宋体" w:cs="Times New Roman"/>
                <w:kern w:val="0"/>
              </w:rPr>
              <w:t>≥75</w:t>
            </w:r>
            <w:r>
              <w:rPr>
                <w:rFonts w:hint="eastAsia" w:ascii="宋体" w:hAnsi="宋体" w:cs="Times New Roman"/>
                <w:kern w:val="0"/>
              </w:rPr>
              <w:t>块</w:t>
            </w:r>
            <w:r>
              <w:rPr>
                <w:rFonts w:ascii="宋体" w:hAnsi="宋体" w:cs="Times New Roman"/>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p>
            <w:pPr>
              <w:spacing w:line="276" w:lineRule="auto"/>
              <w:textAlignment w:val="baseline"/>
              <w:rPr>
                <w:rFonts w:ascii="宋体" w:hAnsi="宋体" w:cs="Times New Roman"/>
                <w:kern w:val="0"/>
              </w:rPr>
            </w:pPr>
            <w:r>
              <w:rPr>
                <w:rFonts w:ascii="宋体" w:hAnsi="宋体" w:cs="Times New Roman"/>
                <w:kern w:val="0"/>
              </w:rPr>
              <w:t>支持条带方式和级连方式；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支持AIX、HP-UX、Solaris、32/64位Windows Server、32/64位Linux操作系统；支持OpenStack存储接口；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其他功能</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支持自动监控和发现磁盘系统内热点数据，自动迁移热点数据至SSD固态盘中，包括热点发生变化后的自动回迁，自动优化提升磁盘系统I/O性能；</w:t>
            </w:r>
          </w:p>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bl>
    <w:p>
      <w:pPr>
        <w:spacing w:line="276" w:lineRule="auto"/>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6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59"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用途：FC-SAN存储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1"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6128"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接口</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至少提供32个16GB光纤接口，可扩展不少于128个主机接口；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控制器</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至少4个SAN控制器，多控制器具备高可靠性；</w:t>
            </w:r>
          </w:p>
          <w:p>
            <w:pPr>
              <w:spacing w:line="276" w:lineRule="auto"/>
              <w:textAlignment w:val="baseline"/>
              <w:rPr>
                <w:rFonts w:ascii="宋体" w:hAnsi="宋体" w:cs="Times New Roman"/>
                <w:kern w:val="0"/>
              </w:rPr>
            </w:pPr>
            <w:r>
              <w:rPr>
                <w:rFonts w:ascii="宋体" w:hAnsi="宋体" w:cs="Times New Roman"/>
                <w:kern w:val="0"/>
              </w:rPr>
              <w:t>控制器可热插拔；</w:t>
            </w:r>
          </w:p>
          <w:p>
            <w:pPr>
              <w:spacing w:line="276" w:lineRule="auto"/>
              <w:textAlignment w:val="baseline"/>
              <w:rPr>
                <w:rFonts w:ascii="宋体" w:hAnsi="宋体" w:cs="Times New Roman"/>
                <w:kern w:val="0"/>
              </w:rPr>
            </w:pPr>
            <w:r>
              <w:rPr>
                <w:rFonts w:ascii="宋体" w:hAnsi="宋体" w:cs="Times New Roman"/>
                <w:kern w:val="0"/>
              </w:rPr>
              <w:t>控制器Active-Active工作方式，支持透明的Fail-Over；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缓存</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每控制器缓存容量不小于256GB；外部供电中断后，高速缓存Cache的数据不会丢失；支持缓存镜像；具有Cache写镜像保护技术；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存储模式、容量</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支持企业级SSD硬盘、SAS、NL SAS异构混插；系统最大支持磁盘数量≥2000块；</w:t>
            </w:r>
            <w:r>
              <w:rPr>
                <w:rFonts w:hint="eastAsia" w:ascii="宋体" w:hAnsi="宋体" w:cs="Times New Roman"/>
                <w:kern w:val="0"/>
              </w:rPr>
              <w:t>单套存储磁盘数量</w:t>
            </w:r>
            <w:r>
              <w:rPr>
                <w:rFonts w:ascii="宋体" w:hAnsi="宋体" w:cs="Times New Roman"/>
                <w:kern w:val="0"/>
              </w:rPr>
              <w:t>≥75</w:t>
            </w:r>
            <w:r>
              <w:rPr>
                <w:rFonts w:hint="eastAsia" w:ascii="宋体" w:hAnsi="宋体" w:cs="Times New Roman"/>
                <w:kern w:val="0"/>
              </w:rPr>
              <w:t>块</w:t>
            </w:r>
            <w:r>
              <w:rPr>
                <w:rFonts w:ascii="宋体" w:hAnsi="宋体" w:cs="Times New Roman"/>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p>
            <w:pPr>
              <w:spacing w:line="276" w:lineRule="auto"/>
              <w:textAlignment w:val="baseline"/>
              <w:rPr>
                <w:rFonts w:ascii="宋体" w:hAnsi="宋体" w:cs="Times New Roman"/>
                <w:kern w:val="0"/>
              </w:rPr>
            </w:pPr>
            <w:r>
              <w:rPr>
                <w:rFonts w:ascii="宋体" w:hAnsi="宋体" w:cs="Times New Roman"/>
                <w:kern w:val="0"/>
              </w:rPr>
              <w:t>支持条带方式和级连方式；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支持AIX、HP-UX、Solaris、32/64位Windows Server、32/64位Linux等操作系统；支持OpenStack存储接口；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31"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其他功能</w:t>
            </w:r>
          </w:p>
        </w:tc>
        <w:tc>
          <w:tcPr>
            <w:tcW w:w="6128"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支持自动监控和发现磁盘系统内热点数据，自动迁移热点数据至SSD固态盘中，包括热点发生变化后的自动回迁，自动优化提升磁盘系统I/O性能；</w:t>
            </w:r>
          </w:p>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bl>
    <w:p>
      <w:pPr>
        <w:pStyle w:val="2"/>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000" w:type="pct"/>
            <w:gridSpan w:val="2"/>
            <w:vAlign w:val="center"/>
          </w:tcPr>
          <w:p>
            <w:pPr>
              <w:spacing w:line="276" w:lineRule="auto"/>
              <w:textAlignment w:val="baseline"/>
              <w:rPr>
                <w:rFonts w:ascii="宋体" w:hAnsi="宋体" w:cs="Times New Roman"/>
                <w:b/>
                <w:bCs/>
                <w:kern w:val="0"/>
              </w:rPr>
            </w:pPr>
            <w:r>
              <w:rPr>
                <w:rFonts w:ascii="宋体" w:hAnsi="宋体" w:cs="Times New Roman"/>
                <w:b/>
                <w:bCs/>
                <w:kern w:val="0"/>
              </w:rPr>
              <w:t>用途：分布式混合块存储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shd w:val="clear" w:color="000000" w:fill="D9D9D9"/>
            <w:vAlign w:val="center"/>
          </w:tcPr>
          <w:p>
            <w:pPr>
              <w:spacing w:line="276" w:lineRule="auto"/>
              <w:textAlignment w:val="baseline"/>
              <w:rPr>
                <w:rFonts w:ascii="宋体" w:hAnsi="宋体" w:cs="Times New Roman"/>
                <w:b/>
                <w:bCs/>
                <w:kern w:val="0"/>
              </w:rPr>
            </w:pPr>
            <w:r>
              <w:rPr>
                <w:rFonts w:ascii="宋体" w:hAnsi="宋体" w:cs="Times New Roman"/>
                <w:b/>
                <w:bCs/>
                <w:kern w:val="0"/>
              </w:rPr>
              <w:t>指标项</w:t>
            </w:r>
          </w:p>
        </w:tc>
        <w:tc>
          <w:tcPr>
            <w:tcW w:w="3907" w:type="pct"/>
            <w:shd w:val="clear" w:color="000000" w:fill="D9D9D9"/>
            <w:vAlign w:val="center"/>
          </w:tcPr>
          <w:p>
            <w:pPr>
              <w:spacing w:line="276" w:lineRule="auto"/>
              <w:textAlignment w:val="baseline"/>
              <w:rPr>
                <w:rFonts w:ascii="宋体" w:hAnsi="宋体" w:cs="Times New Roman"/>
                <w:b/>
                <w:bCs/>
                <w:kern w:val="0"/>
              </w:rPr>
            </w:pPr>
            <w:r>
              <w:rPr>
                <w:rFonts w:ascii="宋体" w:hAnsi="宋体" w:cs="Times New Roman"/>
                <w:b/>
                <w:bCs/>
                <w:kern w:val="0"/>
              </w:rPr>
              <w:t>指标要求（除特别说明外，以下为单台设备的配置要求</w:t>
            </w:r>
            <w:r>
              <w:rPr>
                <w:rFonts w:ascii="宋体" w:hAnsi="宋体" w:cs="Times New Roman"/>
                <w:b/>
                <w:kern w:val="0"/>
              </w:rPr>
              <w:t>，</w:t>
            </w:r>
            <w:r>
              <w:rPr>
                <w:rFonts w:hint="eastAsia" w:ascii="宋体" w:hAnsi="宋体" w:cs="Times New Roman"/>
                <w:b/>
                <w:kern w:val="0"/>
              </w:rPr>
              <w:t>含存量设备</w:t>
            </w:r>
            <w:r>
              <w:rPr>
                <w:rFonts w:ascii="宋体" w:hAnsi="宋体" w:cs="Times New Roman"/>
                <w:b/>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服务器</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支持通用X86及国产ARM服务器；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2" w:type="pct"/>
            <w:vMerge w:val="restar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存储类型</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支持分布式块存储、分布式文件存储、分布式对象存储、分布式大数据存储；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业务主机可以以iSCSI、SCSI、NFS、CIFS、S3/Swift、HDFS等访问分布式存储；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restar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基本功能要求</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支持多副本或EC纠删码冗余机制，系统最高支持4节点故障，提供界面配置截图证明；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支持配备与存储节点硬件为同一厂商的SSD盘；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eastAsia="Times New Roman"/>
              </w:rPr>
            </w:pPr>
            <w:r>
              <w:rPr>
                <w:rFonts w:ascii="宋体" w:hAnsi="宋体" w:cs="Times New Roman"/>
                <w:kern w:val="0"/>
              </w:rPr>
              <w:t>要求单集群节点规模≥10节点</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要求分布式块存储的SSD容量占比不低于10%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支持大规模横向扩展能力，单集群最大可扩展至≥64节点；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支持EC缩列，当节点故障时，自动调整EC配比，确保数据可靠性不降级，性能不下降；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支持SSD磨损寿命识别，提前告警并隔离处理；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支持存储软件DIF，解决字节跳变、读偏、写偏等静默错误场景；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restar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资源池管理</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支持通过单集群按照服务器维度划分多个存储资源池，每个存储资源池即为一个故障域；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支持用户自定义性能图表并指定对象，对CPU利用率、内存利用率、带宽、IOPS、时延、磁盘利用率、存储池利用率等进行统计。提供界面截图证明；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支持磁盘亚健康管理功能：支持定期检测磁盘SMART信息，判断磁盘亚健康情况(硬盘扇区重映射数超过门限、读错误率统计超标)，慢盘(波动时长不超过5秒)，并在磁盘损坏前进行隔离并告警；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支持网络亚健康管理功能：支持针对存储节点的网络出现丢包、错包、延时大、速率不匹配等故障现象可提供故障告警并自动尝试修复；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支持存储节点亚健康功能：如果存储节点服务时延持续增高至2秒/4秒/6秒或出现内存泄漏，发出告警并提供处理方案；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vMerge w:val="continue"/>
            <w:shd w:val="clear" w:color="auto" w:fill="auto"/>
            <w:vAlign w:val="center"/>
          </w:tcPr>
          <w:p>
            <w:pPr>
              <w:spacing w:line="276" w:lineRule="auto"/>
              <w:textAlignment w:val="baseline"/>
              <w:rPr>
                <w:rFonts w:ascii="宋体" w:hAnsi="宋体" w:cs="Times New Roman"/>
                <w:kern w:val="0"/>
              </w:rPr>
            </w:pP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支持磁盘漫游功能，同一存储节点内属于同一个存储池的任意个存储磁盘槽位可以交换位置，以防止维护时的误操作；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092" w:type="pct"/>
            <w:shd w:val="clear" w:color="auto" w:fill="auto"/>
            <w:vAlign w:val="center"/>
          </w:tcPr>
          <w:p>
            <w:pPr>
              <w:spacing w:line="276" w:lineRule="auto"/>
              <w:textAlignment w:val="baseline"/>
              <w:rPr>
                <w:rFonts w:ascii="宋体" w:hAnsi="宋体" w:cs="Times New Roman"/>
                <w:kern w:val="0"/>
              </w:rPr>
            </w:pPr>
            <w:r>
              <w:rPr>
                <w:rFonts w:ascii="宋体" w:hAnsi="宋体" w:cs="Times New Roman"/>
                <w:kern w:val="0"/>
              </w:rPr>
              <w:t>网络要求</w:t>
            </w:r>
          </w:p>
        </w:tc>
        <w:tc>
          <w:tcPr>
            <w:tcW w:w="3907" w:type="pct"/>
            <w:shd w:val="clear" w:color="000000" w:fill="FFFFFF"/>
            <w:vAlign w:val="center"/>
          </w:tcPr>
          <w:p>
            <w:pPr>
              <w:spacing w:line="276" w:lineRule="auto"/>
              <w:textAlignment w:val="baseline"/>
              <w:rPr>
                <w:rFonts w:ascii="宋体" w:hAnsi="宋体" w:cs="Times New Roman"/>
                <w:kern w:val="0"/>
              </w:rPr>
            </w:pPr>
            <w:r>
              <w:rPr>
                <w:rFonts w:ascii="宋体" w:hAnsi="宋体" w:cs="Times New Roman"/>
                <w:kern w:val="0"/>
              </w:rPr>
              <w:t>支持10GE、25GE、56Gb/s IB、100Gb/s IB组网，组网冗余全部部件，无单点故障；</w:t>
            </w:r>
          </w:p>
        </w:tc>
      </w:tr>
    </w:tbl>
    <w:p>
      <w:pPr>
        <w:spacing w:line="276" w:lineRule="auto"/>
      </w:pPr>
    </w:p>
    <w:p>
      <w:pPr>
        <w:pStyle w:val="2"/>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6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42"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用途：高性能SSD存储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6305" w:type="dxa"/>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r>
              <w:rPr>
                <w:rFonts w:hint="eastAsia" w:ascii="宋体" w:hAnsi="宋体" w:cs="Times New Roman"/>
                <w:b/>
                <w:kern w:val="0"/>
              </w:rPr>
              <w:t>含存量设备</w:t>
            </w:r>
            <w:r>
              <w:rPr>
                <w:rFonts w:ascii="宋体" w:hAnsi="宋体" w:cs="Times New Roman"/>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架构</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要求全闪存存储，采用分布式架构或集中式架构；</w:t>
            </w:r>
          </w:p>
          <w:p>
            <w:pPr>
              <w:spacing w:line="276" w:lineRule="auto"/>
              <w:textAlignment w:val="baseline"/>
              <w:rPr>
                <w:rFonts w:ascii="宋体" w:hAnsi="宋体" w:cs="Times New Roman"/>
                <w:kern w:val="0"/>
              </w:rPr>
            </w:pPr>
            <w:r>
              <w:rPr>
                <w:rFonts w:ascii="宋体" w:hAnsi="宋体" w:cs="Times New Roman"/>
                <w:kern w:val="0"/>
              </w:rPr>
              <w:t>提供分布式架构时，单集群节点规模≥5节点；</w:t>
            </w:r>
          </w:p>
          <w:p>
            <w:pPr>
              <w:spacing w:line="276" w:lineRule="auto"/>
              <w:textAlignment w:val="baseline"/>
              <w:rPr>
                <w:rFonts w:ascii="宋体" w:hAnsi="宋体" w:cs="Times New Roman"/>
                <w:kern w:val="0"/>
              </w:rPr>
            </w:pPr>
            <w:r>
              <w:rPr>
                <w:rFonts w:ascii="宋体" w:hAnsi="宋体" w:cs="Times New Roman"/>
                <w:kern w:val="0"/>
              </w:rPr>
              <w:t>提供集中式架构时，控制器数量≥2个；控制器总缓存≥512G；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对外接口</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hint="eastAsia" w:ascii="宋体" w:hAnsi="宋体" w:cs="Times New Roman"/>
                <w:kern w:val="0"/>
              </w:rPr>
              <w:t>集中式存储至少提供8个10GB光纤接口，可扩展不少于40个主机接口</w:t>
            </w:r>
          </w:p>
          <w:p>
            <w:pPr>
              <w:spacing w:line="276" w:lineRule="auto"/>
              <w:textAlignment w:val="baseline"/>
            </w:pPr>
            <w:r>
              <w:rPr>
                <w:rFonts w:hint="eastAsia" w:ascii="宋体" w:hAnsi="宋体" w:cs="Times New Roman"/>
                <w:kern w:val="0"/>
              </w:rPr>
              <w:t>分布式存储单节点至少提供4个10GB光纤接口；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数据保护</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hint="default"/>
                <w:lang w:val="en-US" w:eastAsia="zh-CN"/>
              </w:rPr>
            </w:pPr>
            <w:r>
              <w:rPr>
                <w:rFonts w:ascii="宋体" w:hAnsi="宋体" w:cs="Times New Roman"/>
                <w:kern w:val="0"/>
              </w:rPr>
              <w:t>存储具备冗余架构，能够通过raid、多副本或纠删码进行数据保护，</w:t>
            </w:r>
            <w:r>
              <w:rPr>
                <w:rFonts w:hint="eastAsia" w:ascii="宋体" w:hAnsi="宋体" w:cs="Times New Roman"/>
                <w:kern w:val="0"/>
                <w:lang w:val="en-US" w:eastAsia="zh-CN"/>
              </w:rPr>
              <w:t>同一个RAID组内任意3盘同时失效</w:t>
            </w:r>
            <w:r>
              <w:rPr>
                <w:rFonts w:ascii="宋体" w:hAnsi="宋体" w:cs="Times New Roman"/>
                <w:kern w:val="0"/>
              </w:rPr>
              <w:t>硬盘或</w:t>
            </w:r>
            <w:r>
              <w:rPr>
                <w:rFonts w:hint="eastAsia" w:ascii="宋体" w:hAnsi="宋体" w:cs="Times New Roman"/>
                <w:kern w:val="0"/>
                <w:lang w:val="en-US" w:eastAsia="zh-CN"/>
              </w:rPr>
              <w:t>任意</w:t>
            </w:r>
            <w:r>
              <w:rPr>
                <w:rFonts w:ascii="宋体" w:hAnsi="宋体" w:cs="Times New Roman"/>
                <w:kern w:val="0"/>
              </w:rPr>
              <w:t>控制节点故障时，业务能够持续运行</w:t>
            </w:r>
            <w:r>
              <w:rPr>
                <w:rFonts w:hint="eastAsia" w:ascii="宋体" w:hAnsi="宋体" w:cs="Times New Roman"/>
                <w:kern w:val="0"/>
                <w:lang w:val="en-US" w:eastAsia="zh-CN"/>
              </w:rPr>
              <w:t>，数据不丢失。</w:t>
            </w:r>
          </w:p>
          <w:p>
            <w:pPr>
              <w:spacing w:line="276" w:lineRule="auto"/>
              <w:textAlignment w:val="baseline"/>
              <w:rPr>
                <w:rFonts w:ascii="宋体" w:hAnsi="宋体" w:cs="Times New Roman"/>
                <w:kern w:val="0"/>
              </w:rPr>
            </w:pPr>
            <w:r>
              <w:rPr>
                <w:rFonts w:hint="eastAsia" w:ascii="宋体" w:hAnsi="宋体" w:cs="Times New Roman"/>
                <w:kern w:val="0"/>
                <w:lang w:val="en-US" w:eastAsia="zh-CN"/>
              </w:rPr>
              <w:t>支持配置国密 NVMe SSD硬盘，符合数据安全技术要求，支持国密算法。需提供商用密码产品检测认证证书。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硬盘配置</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hint="eastAsia" w:ascii="宋体" w:hAnsi="宋体" w:cs="Times New Roman"/>
                <w:kern w:val="0"/>
              </w:rPr>
              <w:t>单套</w:t>
            </w:r>
            <w:r>
              <w:rPr>
                <w:rFonts w:ascii="宋体" w:hAnsi="宋体" w:cs="Times New Roman"/>
                <w:kern w:val="0"/>
              </w:rPr>
              <w:t>实际可用SSD容量≥100T；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在线扩容方式</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支持在线扩容；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操作系统</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支持32/64位Windows Server、32/64位Linux等操作系统；支持OpenStack存储接口；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restart"/>
            <w:tcBorders>
              <w:top w:val="single" w:color="auto" w:sz="4" w:space="0"/>
              <w:left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其他要求</w:t>
            </w: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支持磁盘空间“自动精简配置”，仅在使用时自动分配实际容量，并可实现自动回收存储空间；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hint="eastAsia" w:ascii="宋体" w:hAnsi="宋体" w:cs="Times New Roman"/>
                <w:kern w:val="0"/>
                <w:lang w:val="en-US" w:eastAsia="zh-CN"/>
              </w:rPr>
              <w:t>支持主机单链路连接任意控制器在线升级，升级过程中控制器无重启，主机无感知，链路不中断。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7" w:type="dxa"/>
            <w:vMerge w:val="continue"/>
            <w:tcBorders>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p>
        </w:tc>
        <w:tc>
          <w:tcPr>
            <w:tcW w:w="6305" w:type="dxa"/>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eastAsia="Times New Roman" w:cs="Times New Roman"/>
                <w:kern w:val="0"/>
              </w:rPr>
            </w:pPr>
            <w:r>
              <w:rPr>
                <w:rFonts w:ascii="宋体" w:hAnsi="宋体" w:cs="Times New Roman"/>
                <w:kern w:val="0"/>
              </w:rPr>
              <w:t>每个可用区至少配置一套高性能SSD存储</w:t>
            </w:r>
          </w:p>
        </w:tc>
      </w:tr>
    </w:tbl>
    <w:p>
      <w:pPr>
        <w:spacing w:line="276" w:lineRule="auto"/>
      </w:pPr>
    </w:p>
    <w:p>
      <w:pPr>
        <w:pStyle w:val="5"/>
        <w:numPr>
          <w:ilvl w:val="2"/>
          <w:numId w:val="5"/>
        </w:numPr>
        <w:spacing w:before="160" w:line="300" w:lineRule="exact"/>
        <w:ind w:left="420"/>
        <w:rPr>
          <w:rFonts w:ascii="宋体" w:hAnsi="宋体"/>
        </w:rPr>
      </w:pPr>
      <w:r>
        <w:rPr>
          <w:rFonts w:ascii="宋体" w:hAnsi="宋体"/>
        </w:rPr>
        <w:t>网络设备</w:t>
      </w:r>
    </w:p>
    <w:p>
      <w:pPr>
        <w:ind w:left="420" w:firstLine="420" w:firstLineChars="200"/>
        <w:textAlignment w:val="baseline"/>
        <w:rPr>
          <w:rFonts w:ascii="宋体" w:hAnsi="宋体" w:cs="Times New Roman"/>
          <w:kern w:val="0"/>
        </w:rPr>
      </w:pPr>
      <w:r>
        <w:t>政务云平台本身所使用的网络按照功能划分为政务外网和互联网，为了保护不同网络之间数据的传输安全，需要按照国家网络安全等级保护标准将这两个网络进行逻辑隔离。中标人使用软件定义网络的，单个区域的网络集群节点数量不低于8台，并根据实际性能要求进行扩容，性能使用率水位不高于70%。</w:t>
      </w:r>
      <w:r>
        <w:rPr>
          <w:rFonts w:ascii="宋体" w:hAnsi="宋体" w:cs="Times New Roman"/>
          <w:kern w:val="0"/>
        </w:rPr>
        <w:t>以下是政务云平台内部所需要使用的交换机，用于搭建政务云平台。</w:t>
      </w:r>
    </w:p>
    <w:p>
      <w:pPr>
        <w:pStyle w:val="2"/>
      </w:pPr>
    </w:p>
    <w:tbl>
      <w:tblPr>
        <w:tblStyle w:val="10"/>
        <w:tblW w:w="45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6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用途：网络边界接入交换机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61"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38"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6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交换容量</w:t>
            </w:r>
          </w:p>
        </w:tc>
        <w:tc>
          <w:tcPr>
            <w:tcW w:w="3938"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≥2.56Tbps；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6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包转发率</w:t>
            </w:r>
          </w:p>
        </w:tc>
        <w:tc>
          <w:tcPr>
            <w:tcW w:w="3938"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≥1080Mpps；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6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38"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≥48个万兆光口；≥4个40GE光口；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blHeader/>
          <w:jc w:val="center"/>
        </w:trPr>
        <w:tc>
          <w:tcPr>
            <w:tcW w:w="1061"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协议</w:t>
            </w:r>
          </w:p>
        </w:tc>
        <w:tc>
          <w:tcPr>
            <w:tcW w:w="3938"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支持Access、Trunk和Hybrid三种模式；</w:t>
            </w:r>
          </w:p>
          <w:p>
            <w:pPr>
              <w:spacing w:line="276" w:lineRule="auto"/>
              <w:textAlignment w:val="baseline"/>
              <w:rPr>
                <w:rFonts w:ascii="宋体" w:hAnsi="宋体" w:cs="Times New Roman"/>
                <w:kern w:val="0"/>
              </w:rPr>
            </w:pPr>
            <w:r>
              <w:rPr>
                <w:rFonts w:ascii="宋体" w:hAnsi="宋体" w:cs="Times New Roman"/>
                <w:kern w:val="0"/>
              </w:rPr>
              <w:t>支持QinQ；</w:t>
            </w:r>
          </w:p>
          <w:p>
            <w:pPr>
              <w:spacing w:line="276" w:lineRule="auto"/>
              <w:textAlignment w:val="baseline"/>
              <w:rPr>
                <w:rFonts w:ascii="宋体" w:hAnsi="宋体" w:cs="Times New Roman"/>
                <w:kern w:val="0"/>
              </w:rPr>
            </w:pPr>
            <w:r>
              <w:rPr>
                <w:rFonts w:ascii="宋体" w:hAnsi="宋体" w:cs="Times New Roman"/>
                <w:kern w:val="0"/>
              </w:rPr>
              <w:t>支持M-LAG或vPC等类似技术；</w:t>
            </w:r>
          </w:p>
          <w:p>
            <w:pPr>
              <w:spacing w:line="276" w:lineRule="auto"/>
              <w:textAlignment w:val="baseline"/>
              <w:rPr>
                <w:rFonts w:ascii="宋体" w:hAnsi="宋体" w:cs="Times New Roman"/>
                <w:kern w:val="0"/>
              </w:rPr>
            </w:pPr>
            <w:r>
              <w:rPr>
                <w:rFonts w:ascii="宋体" w:hAnsi="宋体" w:cs="Times New Roman"/>
                <w:kern w:val="0"/>
              </w:rPr>
              <w:t>支持DLDP；</w:t>
            </w:r>
          </w:p>
          <w:p>
            <w:pPr>
              <w:spacing w:line="276" w:lineRule="auto"/>
              <w:textAlignment w:val="baseline"/>
              <w:rPr>
                <w:rFonts w:ascii="宋体" w:hAnsi="宋体" w:cs="Times New Roman"/>
                <w:kern w:val="0"/>
              </w:rPr>
            </w:pPr>
            <w:r>
              <w:rPr>
                <w:rFonts w:ascii="宋体" w:hAnsi="宋体" w:cs="Times New Roman"/>
                <w:kern w:val="0"/>
              </w:rPr>
              <w:t>支持ERPS以太环保护协议（G.8032）；</w:t>
            </w:r>
          </w:p>
          <w:p>
            <w:pPr>
              <w:spacing w:line="276" w:lineRule="auto"/>
              <w:textAlignment w:val="baseline"/>
              <w:rPr>
                <w:rFonts w:ascii="宋体" w:hAnsi="宋体" w:cs="Times New Roman"/>
                <w:kern w:val="0"/>
              </w:rPr>
            </w:pPr>
            <w:r>
              <w:rPr>
                <w:rFonts w:ascii="宋体" w:hAnsi="宋体" w:cs="Times New Roman"/>
                <w:kern w:val="0"/>
              </w:rPr>
              <w:t>支持动态MAC、静态MAC和黑洞MAC表项；</w:t>
            </w:r>
          </w:p>
          <w:p>
            <w:pPr>
              <w:spacing w:line="276" w:lineRule="auto"/>
              <w:textAlignment w:val="baseline"/>
              <w:rPr>
                <w:rFonts w:ascii="宋体" w:hAnsi="宋体" w:cs="Times New Roman"/>
                <w:kern w:val="0"/>
              </w:rPr>
            </w:pPr>
            <w:r>
              <w:rPr>
                <w:rFonts w:ascii="宋体" w:hAnsi="宋体" w:cs="Times New Roman"/>
                <w:kern w:val="0"/>
              </w:rPr>
              <w:t>支持RIP、OSPF、ISIS、BGP等IPv4动态路由协议；</w:t>
            </w:r>
          </w:p>
          <w:p>
            <w:pPr>
              <w:spacing w:line="276" w:lineRule="auto"/>
              <w:textAlignment w:val="baseline"/>
              <w:rPr>
                <w:rFonts w:ascii="宋体" w:hAnsi="宋体" w:cs="Times New Roman"/>
                <w:kern w:val="0"/>
              </w:rPr>
            </w:pPr>
            <w:r>
              <w:rPr>
                <w:rFonts w:ascii="宋体" w:hAnsi="宋体" w:cs="Times New Roman"/>
                <w:kern w:val="0"/>
              </w:rPr>
              <w:t>支持RIPng、OSPFv3、ISISv6、BGP4+等IPv6动态路由协议；</w:t>
            </w:r>
          </w:p>
          <w:p>
            <w:pPr>
              <w:spacing w:line="276" w:lineRule="auto"/>
              <w:textAlignment w:val="baseline"/>
              <w:rPr>
                <w:rFonts w:ascii="宋体" w:hAnsi="宋体" w:cs="Times New Roman"/>
                <w:kern w:val="0"/>
              </w:rPr>
            </w:pPr>
            <w:r>
              <w:rPr>
                <w:rFonts w:ascii="宋体" w:hAnsi="宋体" w:cs="Times New Roman"/>
                <w:kern w:val="0"/>
              </w:rPr>
              <w:t>支持BFD for OSPF，BGP，IS-IS，Static Route；</w:t>
            </w:r>
          </w:p>
          <w:p>
            <w:pPr>
              <w:spacing w:line="276" w:lineRule="auto"/>
              <w:textAlignment w:val="baseline"/>
              <w:rPr>
                <w:rFonts w:ascii="宋体" w:hAnsi="宋体" w:cs="Times New Roman"/>
                <w:kern w:val="0"/>
              </w:rPr>
            </w:pPr>
            <w:r>
              <w:rPr>
                <w:rFonts w:ascii="宋体" w:hAnsi="宋体" w:cs="Times New Roman"/>
                <w:kern w:val="0"/>
              </w:rPr>
              <w:t>支持IPv6 VXLAN over IPv4；</w:t>
            </w:r>
          </w:p>
          <w:p>
            <w:pPr>
              <w:spacing w:line="276" w:lineRule="auto"/>
              <w:textAlignment w:val="baseline"/>
              <w:rPr>
                <w:rFonts w:ascii="宋体" w:hAnsi="宋体" w:cs="Times New Roman"/>
                <w:kern w:val="0"/>
              </w:rPr>
            </w:pPr>
            <w:r>
              <w:rPr>
                <w:rFonts w:ascii="宋体" w:hAnsi="宋体" w:cs="Times New Roman"/>
                <w:kern w:val="0"/>
              </w:rPr>
              <w:t>支持IPv6 ND、PMTU发现；</w:t>
            </w:r>
          </w:p>
          <w:p>
            <w:pPr>
              <w:spacing w:line="276" w:lineRule="auto"/>
              <w:textAlignment w:val="baseline"/>
              <w:rPr>
                <w:rFonts w:ascii="宋体" w:hAnsi="宋体" w:cs="Times New Roman"/>
                <w:kern w:val="0"/>
              </w:rPr>
            </w:pPr>
            <w:r>
              <w:rPr>
                <w:rFonts w:ascii="宋体" w:hAnsi="宋体" w:cs="Times New Roman"/>
                <w:kern w:val="0"/>
              </w:rPr>
              <w:t>支持MPLS；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61"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安全特性</w:t>
            </w:r>
          </w:p>
        </w:tc>
        <w:tc>
          <w:tcPr>
            <w:tcW w:w="3938"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支持ARP攻击和ICMP攻击防护；</w:t>
            </w:r>
          </w:p>
          <w:p>
            <w:pPr>
              <w:spacing w:line="276" w:lineRule="auto"/>
              <w:textAlignment w:val="baseline"/>
              <w:rPr>
                <w:rFonts w:ascii="宋体" w:hAnsi="宋体" w:cs="Times New Roman"/>
                <w:kern w:val="0"/>
              </w:rPr>
            </w:pPr>
            <w:r>
              <w:rPr>
                <w:rFonts w:ascii="宋体" w:hAnsi="宋体" w:cs="Times New Roman"/>
                <w:kern w:val="0"/>
              </w:rPr>
              <w:t>支持IP、MAC、端口和VLAN的组合绑定；</w:t>
            </w:r>
          </w:p>
          <w:p>
            <w:pPr>
              <w:spacing w:line="276" w:lineRule="auto"/>
              <w:textAlignment w:val="baseline"/>
              <w:rPr>
                <w:rFonts w:ascii="宋体" w:hAnsi="宋体" w:cs="Times New Roman"/>
                <w:kern w:val="0"/>
              </w:rPr>
            </w:pPr>
            <w:r>
              <w:rPr>
                <w:rFonts w:ascii="宋体" w:hAnsi="宋体" w:cs="Times New Roman"/>
                <w:kern w:val="0"/>
              </w:rPr>
              <w:t>支持802.1X认证；</w:t>
            </w:r>
          </w:p>
          <w:p>
            <w:pPr>
              <w:spacing w:line="276" w:lineRule="auto"/>
              <w:textAlignment w:val="baseline"/>
              <w:rPr>
                <w:rFonts w:ascii="宋体" w:hAnsi="宋体" w:cs="Times New Roman"/>
                <w:kern w:val="0"/>
              </w:rPr>
            </w:pPr>
            <w:r>
              <w:rPr>
                <w:rFonts w:ascii="宋体" w:hAnsi="宋体" w:cs="Times New Roman"/>
                <w:kern w:val="0"/>
              </w:rPr>
              <w:t>支持端口隔离；</w:t>
            </w:r>
          </w:p>
          <w:p>
            <w:pPr>
              <w:spacing w:line="276" w:lineRule="auto"/>
              <w:textAlignment w:val="baseline"/>
              <w:rPr>
                <w:rFonts w:ascii="宋体" w:hAnsi="宋体" w:cs="Times New Roman"/>
                <w:kern w:val="0"/>
              </w:rPr>
            </w:pPr>
            <w:r>
              <w:rPr>
                <w:rFonts w:ascii="宋体" w:hAnsi="宋体" w:cs="Times New Roman"/>
                <w:kern w:val="0"/>
              </w:rPr>
              <w:t>支持AAA、Radius和TACACS认证；</w:t>
            </w:r>
          </w:p>
          <w:p>
            <w:pPr>
              <w:spacing w:line="276" w:lineRule="auto"/>
              <w:textAlignment w:val="baseline"/>
              <w:rPr>
                <w:rFonts w:ascii="宋体" w:hAnsi="宋体" w:cs="Times New Roman"/>
                <w:kern w:val="0"/>
              </w:rPr>
            </w:pPr>
            <w:r>
              <w:rPr>
                <w:rFonts w:ascii="宋体" w:hAnsi="宋体" w:cs="Times New Roman"/>
                <w:kern w:val="0"/>
              </w:rPr>
              <w:t>支持RMON；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61"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可靠特性</w:t>
            </w:r>
          </w:p>
        </w:tc>
        <w:tc>
          <w:tcPr>
            <w:tcW w:w="3938"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支持VRRP、VRRP负载分担、BFD for VRRP ；</w:t>
            </w:r>
          </w:p>
          <w:p>
            <w:pPr>
              <w:spacing w:line="276" w:lineRule="auto"/>
              <w:textAlignment w:val="baseline"/>
              <w:rPr>
                <w:rFonts w:ascii="宋体" w:hAnsi="宋体" w:cs="Times New Roman"/>
                <w:kern w:val="0"/>
              </w:rPr>
            </w:pPr>
            <w:r>
              <w:rPr>
                <w:rFonts w:ascii="宋体" w:hAnsi="宋体" w:cs="Times New Roman"/>
                <w:kern w:val="0"/>
              </w:rPr>
              <w:t>支持纵向虚拟化技术；</w:t>
            </w:r>
          </w:p>
          <w:p>
            <w:pPr>
              <w:spacing w:line="276" w:lineRule="auto"/>
              <w:textAlignment w:val="baseline"/>
              <w:rPr>
                <w:rFonts w:ascii="宋体" w:hAnsi="宋体" w:cs="Times New Roman"/>
                <w:kern w:val="0"/>
              </w:rPr>
            </w:pPr>
            <w:r>
              <w:rPr>
                <w:rFonts w:ascii="宋体" w:hAnsi="宋体" w:cs="Times New Roman"/>
                <w:kern w:val="0"/>
              </w:rPr>
              <w:t>支持集群或堆叠多虚一技术，实现单一界面管理多台设备；</w:t>
            </w:r>
          </w:p>
          <w:p>
            <w:pPr>
              <w:spacing w:line="276" w:lineRule="auto"/>
              <w:textAlignment w:val="baseline"/>
              <w:rPr>
                <w:rFonts w:ascii="宋体" w:hAnsi="宋体" w:cs="Times New Roman"/>
                <w:kern w:val="0"/>
              </w:rPr>
            </w:pPr>
            <w:r>
              <w:rPr>
                <w:rFonts w:ascii="宋体" w:hAnsi="宋体" w:cs="Times New Roman"/>
                <w:kern w:val="0"/>
              </w:rPr>
              <w:t>支持PQ, WRR, DRR, PQ+WRR, PQ+DRR调度方式；</w:t>
            </w:r>
          </w:p>
          <w:p>
            <w:pPr>
              <w:spacing w:line="276" w:lineRule="auto"/>
              <w:textAlignment w:val="baseline"/>
              <w:rPr>
                <w:rFonts w:ascii="宋体" w:hAnsi="宋体" w:cs="Times New Roman"/>
                <w:kern w:val="0"/>
              </w:rPr>
            </w:pPr>
            <w:r>
              <w:rPr>
                <w:rFonts w:ascii="宋体" w:hAnsi="宋体" w:cs="Times New Roman"/>
                <w:kern w:val="0"/>
              </w:rPr>
              <w:t>支持L2协议头、L3协议和L4协议等的组合流分类；</w:t>
            </w:r>
          </w:p>
          <w:p>
            <w:pPr>
              <w:spacing w:line="276" w:lineRule="auto"/>
              <w:textAlignment w:val="baseline"/>
              <w:rPr>
                <w:rFonts w:ascii="宋体" w:hAnsi="宋体" w:cs="Times New Roman"/>
                <w:kern w:val="0"/>
              </w:rPr>
            </w:pPr>
            <w:r>
              <w:rPr>
                <w:rFonts w:ascii="宋体" w:hAnsi="宋体" w:cs="Times New Roman"/>
                <w:kern w:val="0"/>
              </w:rPr>
              <w:t>支持双向端口限速；</w:t>
            </w:r>
          </w:p>
          <w:p>
            <w:pPr>
              <w:spacing w:line="276" w:lineRule="auto"/>
              <w:textAlignment w:val="baseline"/>
              <w:rPr>
                <w:rFonts w:ascii="宋体" w:hAnsi="宋体" w:cs="Times New Roman"/>
                <w:kern w:val="0"/>
              </w:rPr>
            </w:pPr>
            <w:r>
              <w:rPr>
                <w:rFonts w:ascii="宋体" w:hAnsi="宋体" w:cs="Times New Roman"/>
                <w:kern w:val="0"/>
              </w:rPr>
              <w:t>提供广播风暴抑制功能；</w:t>
            </w:r>
          </w:p>
          <w:p>
            <w:pPr>
              <w:spacing w:line="276" w:lineRule="auto"/>
              <w:textAlignment w:val="baseline"/>
              <w:rPr>
                <w:rFonts w:ascii="宋体" w:hAnsi="宋体" w:cs="Times New Roman"/>
                <w:kern w:val="0"/>
              </w:rPr>
            </w:pPr>
            <w:r>
              <w:rPr>
                <w:rFonts w:ascii="宋体" w:hAnsi="宋体" w:cs="Times New Roman"/>
                <w:kern w:val="0"/>
              </w:rPr>
              <w:t>支持流量整形；</w:t>
            </w:r>
          </w:p>
        </w:tc>
      </w:tr>
    </w:tbl>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用途：业务核心交换机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交换容量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≥80Tbps；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包转发率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≥40000Mpps；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扩展模块</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主控槽位≥2，业务槽位数≥8，主控槽和业务槽之外的独立交换网板插槽数≥4；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≥1块24口40G光口插卡，支持MPLS VPN和IPv6分布式线速转发；</w:t>
            </w:r>
          </w:p>
          <w:p>
            <w:pPr>
              <w:spacing w:line="276" w:lineRule="auto"/>
              <w:textAlignment w:val="baseline"/>
              <w:rPr>
                <w:rFonts w:ascii="宋体" w:hAnsi="宋体" w:cs="Times New Roman"/>
                <w:kern w:val="0"/>
              </w:rPr>
            </w:pPr>
            <w:r>
              <w:rPr>
                <w:rFonts w:ascii="宋体" w:hAnsi="宋体" w:cs="Times New Roman"/>
                <w:kern w:val="0"/>
              </w:rPr>
              <w:t>≥1块24口10G光口插卡，支持MPLS VPN和IPv6分布式线速转发；</w:t>
            </w:r>
          </w:p>
          <w:p>
            <w:pPr>
              <w:spacing w:line="276" w:lineRule="auto"/>
              <w:textAlignment w:val="baseline"/>
              <w:rPr>
                <w:rFonts w:ascii="宋体" w:hAnsi="宋体" w:cs="Times New Roman"/>
                <w:kern w:val="0"/>
              </w:rPr>
            </w:pPr>
            <w:r>
              <w:rPr>
                <w:rFonts w:ascii="宋体" w:hAnsi="宋体" w:cs="Times New Roman"/>
                <w:kern w:val="0"/>
              </w:rPr>
              <w:t>≥1块48口千兆光口插卡；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协议</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支持IEEE 802.1x和IEEE 802.1x SERVER；</w:t>
            </w:r>
          </w:p>
          <w:p>
            <w:pPr>
              <w:spacing w:line="276" w:lineRule="auto"/>
              <w:textAlignment w:val="baseline"/>
              <w:rPr>
                <w:rFonts w:ascii="宋体" w:hAnsi="宋体" w:cs="Times New Roman"/>
                <w:kern w:val="0"/>
              </w:rPr>
            </w:pPr>
            <w:r>
              <w:rPr>
                <w:rFonts w:ascii="宋体" w:hAnsi="宋体" w:cs="Times New Roman"/>
                <w:kern w:val="0"/>
              </w:rPr>
              <w:t>支持STP/RSTP/MSTP协议，符合IEEE802.1D、IEEE802.1W、IEEE802.1S标准；</w:t>
            </w:r>
          </w:p>
          <w:p>
            <w:pPr>
              <w:spacing w:line="276" w:lineRule="auto"/>
              <w:textAlignment w:val="baseline"/>
              <w:rPr>
                <w:rFonts w:ascii="宋体" w:hAnsi="宋体" w:cs="Times New Roman"/>
                <w:kern w:val="0"/>
              </w:rPr>
            </w:pPr>
            <w:r>
              <w:rPr>
                <w:rFonts w:ascii="宋体" w:hAnsi="宋体" w:cs="Times New Roman"/>
                <w:kern w:val="0"/>
              </w:rPr>
              <w:t>支持PIM-DM、PIM-SM、PIM-SSM、MSDP、MBGP 、Any-RP、IGMPv1/v2/v3等协议；</w:t>
            </w:r>
          </w:p>
          <w:p>
            <w:pPr>
              <w:spacing w:line="276" w:lineRule="auto"/>
              <w:textAlignment w:val="baseline"/>
              <w:rPr>
                <w:rFonts w:ascii="宋体" w:hAnsi="宋体" w:cs="Times New Roman"/>
                <w:kern w:val="0"/>
              </w:rPr>
            </w:pPr>
            <w:r>
              <w:rPr>
                <w:rFonts w:ascii="宋体" w:hAnsi="宋体" w:cs="Times New Roman"/>
                <w:kern w:val="0"/>
              </w:rPr>
              <w:t>支持PIM6-DM、PIM6-SM、MLDv1等协议；</w:t>
            </w:r>
          </w:p>
          <w:p>
            <w:pPr>
              <w:spacing w:line="276" w:lineRule="auto"/>
              <w:textAlignment w:val="baseline"/>
              <w:rPr>
                <w:rFonts w:ascii="宋体" w:hAnsi="宋体" w:cs="Times New Roman"/>
                <w:kern w:val="0"/>
              </w:rPr>
            </w:pPr>
            <w:r>
              <w:rPr>
                <w:rFonts w:ascii="宋体" w:hAnsi="宋体" w:cs="Times New Roman"/>
                <w:kern w:val="0"/>
              </w:rPr>
              <w:t>支持静态路由、RIP V1/V2、OSPF、BGP，支持策略路由和VRRP；</w:t>
            </w:r>
          </w:p>
          <w:p>
            <w:pPr>
              <w:spacing w:line="276" w:lineRule="auto"/>
              <w:textAlignment w:val="baseline"/>
              <w:rPr>
                <w:rFonts w:ascii="宋体" w:hAnsi="宋体" w:cs="Times New Roman"/>
                <w:kern w:val="0"/>
              </w:rPr>
            </w:pPr>
            <w:r>
              <w:rPr>
                <w:rFonts w:ascii="宋体" w:hAnsi="宋体" w:cs="Times New Roman"/>
                <w:kern w:val="0"/>
              </w:rPr>
              <w:t>支持IPv4和IPv6双协议栈；</w:t>
            </w:r>
          </w:p>
          <w:p>
            <w:pPr>
              <w:spacing w:line="276" w:lineRule="auto"/>
              <w:textAlignment w:val="baseline"/>
              <w:rPr>
                <w:rFonts w:ascii="宋体" w:hAnsi="宋体" w:cs="Times New Roman"/>
                <w:kern w:val="0"/>
              </w:rPr>
            </w:pPr>
            <w:r>
              <w:rPr>
                <w:rFonts w:ascii="宋体" w:hAnsi="宋体" w:cs="Times New Roman"/>
                <w:kern w:val="0"/>
              </w:rPr>
              <w:t>支持IPv6静态路由、RIPng、OSPFv3、IS-ISv6、BGP4+；</w:t>
            </w:r>
          </w:p>
          <w:p>
            <w:pPr>
              <w:spacing w:line="276" w:lineRule="auto"/>
              <w:textAlignment w:val="baseline"/>
              <w:rPr>
                <w:rFonts w:ascii="宋体" w:hAnsi="宋体" w:cs="Times New Roman"/>
                <w:kern w:val="0"/>
              </w:rPr>
            </w:pPr>
            <w:r>
              <w:rPr>
                <w:rFonts w:ascii="宋体" w:hAnsi="宋体" w:cs="Times New Roman"/>
                <w:kern w:val="0"/>
              </w:rPr>
              <w:t>支持IPv4向IPv6的过渡技术，包括：IPv6手工隧道、6to4隧道、ISATAP隧道、GRE隧道、IPv4兼容自动配置隧道等；</w:t>
            </w:r>
          </w:p>
          <w:p>
            <w:pPr>
              <w:spacing w:line="276" w:lineRule="auto"/>
              <w:textAlignment w:val="baseline"/>
              <w:rPr>
                <w:rFonts w:ascii="宋体" w:hAnsi="宋体" w:cs="Times New Roman"/>
                <w:kern w:val="0"/>
              </w:rPr>
            </w:pPr>
            <w:r>
              <w:rPr>
                <w:rFonts w:ascii="宋体" w:hAnsi="宋体" w:cs="Times New Roman"/>
                <w:kern w:val="0"/>
              </w:rPr>
              <w:t>实配板卡支持VXLAN及VXLAN的L2/L3 Gateway，且所有端口vxlan gateway线速转发；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安全特性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支持基于标准、扩展、VLAN 的ACL报文过滤；</w:t>
            </w:r>
          </w:p>
          <w:p>
            <w:pPr>
              <w:spacing w:line="276" w:lineRule="auto"/>
              <w:textAlignment w:val="baseline"/>
              <w:rPr>
                <w:rFonts w:ascii="宋体" w:hAnsi="宋体" w:cs="Times New Roman"/>
                <w:kern w:val="0"/>
              </w:rPr>
            </w:pPr>
            <w:r>
              <w:rPr>
                <w:rFonts w:ascii="宋体" w:hAnsi="宋体" w:cs="Times New Roman"/>
                <w:kern w:val="0"/>
              </w:rPr>
              <w:t>支持OSPF、RIPv2 及BGPv4 报文的明文及MD5密文认证；</w:t>
            </w:r>
          </w:p>
          <w:p>
            <w:pPr>
              <w:spacing w:line="276" w:lineRule="auto"/>
              <w:textAlignment w:val="baseline"/>
              <w:rPr>
                <w:rFonts w:ascii="宋体" w:hAnsi="宋体" w:cs="Times New Roman"/>
                <w:kern w:val="0"/>
              </w:rPr>
            </w:pPr>
            <w:r>
              <w:rPr>
                <w:rFonts w:ascii="宋体" w:hAnsi="宋体" w:cs="Times New Roman"/>
                <w:kern w:val="0"/>
              </w:rPr>
              <w:t>支持IP地址、VLAN ID、MAC地址和端口等多种组合绑定；</w:t>
            </w:r>
          </w:p>
          <w:p>
            <w:pPr>
              <w:spacing w:line="276" w:lineRule="auto"/>
              <w:textAlignment w:val="baseline"/>
              <w:rPr>
                <w:rFonts w:ascii="宋体" w:hAnsi="宋体" w:cs="Times New Roman"/>
                <w:kern w:val="0"/>
              </w:rPr>
            </w:pPr>
            <w:r>
              <w:rPr>
                <w:rFonts w:ascii="宋体" w:hAnsi="宋体" w:cs="Times New Roman"/>
                <w:kern w:val="0"/>
              </w:rPr>
              <w:t>支持广播风暴抑制，支持主备数据备份机制；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可靠特性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支持多级交换架构，交换网板与主控路由引擎硬件槽位分离；</w:t>
            </w:r>
          </w:p>
          <w:p>
            <w:pPr>
              <w:spacing w:line="276" w:lineRule="auto"/>
              <w:textAlignment w:val="baseline"/>
              <w:rPr>
                <w:rFonts w:ascii="宋体" w:hAnsi="宋体" w:cs="Times New Roman"/>
                <w:kern w:val="0"/>
              </w:rPr>
            </w:pPr>
            <w:r>
              <w:rPr>
                <w:rFonts w:ascii="宋体" w:hAnsi="宋体" w:cs="Times New Roman"/>
                <w:kern w:val="0"/>
              </w:rPr>
              <w:t>支持将两台以上物理设备虚拟化为一台逻辑设备，实现一致的转发表项和统一的管理，并支持跨物理设备的链路聚合；</w:t>
            </w:r>
          </w:p>
          <w:p>
            <w:pPr>
              <w:spacing w:line="276" w:lineRule="auto"/>
              <w:textAlignment w:val="baseline"/>
              <w:rPr>
                <w:rFonts w:ascii="宋体" w:hAnsi="宋体" w:cs="Times New Roman"/>
                <w:kern w:val="0"/>
              </w:rPr>
            </w:pPr>
            <w:r>
              <w:rPr>
                <w:rFonts w:ascii="宋体" w:hAnsi="宋体" w:cs="Times New Roman"/>
                <w:kern w:val="0"/>
              </w:rPr>
              <w:t>支持GR for OSPF/IS-IS/BGP/BGP4+；</w:t>
            </w:r>
          </w:p>
          <w:p>
            <w:pPr>
              <w:spacing w:line="276" w:lineRule="auto"/>
              <w:textAlignment w:val="baseline"/>
              <w:rPr>
                <w:rFonts w:ascii="宋体" w:hAnsi="宋体" w:cs="Times New Roman"/>
                <w:kern w:val="0"/>
              </w:rPr>
            </w:pPr>
            <w:r>
              <w:rPr>
                <w:rFonts w:ascii="宋体" w:hAnsi="宋体" w:cs="Times New Roman"/>
                <w:kern w:val="0"/>
              </w:rPr>
              <w:t>支持双引擎快速倒换，实现50ms的引擎故障主备切换时间，支持热补丁功能，可在线进行补丁升级；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MPLS VPN</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支持二、三层MPLS VPN；</w:t>
            </w:r>
          </w:p>
          <w:p>
            <w:pPr>
              <w:spacing w:line="276" w:lineRule="auto"/>
              <w:textAlignment w:val="baseline"/>
              <w:rPr>
                <w:rFonts w:ascii="宋体" w:hAnsi="宋体" w:cs="Times New Roman"/>
                <w:kern w:val="0"/>
              </w:rPr>
            </w:pPr>
            <w:r>
              <w:rPr>
                <w:rFonts w:ascii="宋体" w:hAnsi="宋体" w:cs="Times New Roman"/>
                <w:kern w:val="0"/>
              </w:rPr>
              <w:t>支持分布式 MPLS VPN处理；</w:t>
            </w:r>
          </w:p>
          <w:p>
            <w:pPr>
              <w:spacing w:line="276" w:lineRule="auto"/>
              <w:textAlignment w:val="baseline"/>
              <w:rPr>
                <w:rFonts w:ascii="宋体" w:hAnsi="宋体" w:cs="Times New Roman"/>
                <w:kern w:val="0"/>
              </w:rPr>
            </w:pPr>
            <w:r>
              <w:rPr>
                <w:rFonts w:ascii="宋体" w:hAnsi="宋体" w:cs="Times New Roman"/>
                <w:kern w:val="0"/>
              </w:rPr>
              <w:t>支持嵌套MPLS VPN；</w:t>
            </w:r>
          </w:p>
          <w:p>
            <w:pPr>
              <w:spacing w:line="276" w:lineRule="auto"/>
              <w:textAlignment w:val="baseline"/>
              <w:rPr>
                <w:rFonts w:ascii="宋体" w:hAnsi="宋体" w:cs="Times New Roman"/>
                <w:kern w:val="0"/>
              </w:rPr>
            </w:pPr>
            <w:r>
              <w:rPr>
                <w:rFonts w:ascii="宋体" w:hAnsi="宋体" w:cs="Times New Roman"/>
                <w:kern w:val="0"/>
              </w:rPr>
              <w:t>支持多角色主机；</w:t>
            </w:r>
          </w:p>
          <w:p>
            <w:pPr>
              <w:spacing w:line="276" w:lineRule="auto"/>
              <w:textAlignment w:val="baseline"/>
              <w:rPr>
                <w:rFonts w:ascii="宋体" w:hAnsi="宋体" w:cs="Times New Roman"/>
                <w:kern w:val="0"/>
              </w:rPr>
            </w:pPr>
            <w:r>
              <w:rPr>
                <w:rFonts w:ascii="宋体" w:hAnsi="宋体" w:cs="Times New Roman"/>
                <w:kern w:val="0"/>
              </w:rPr>
              <w:t>支持MCE；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虚拟化</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支持并配置软件定义网络SDN；</w:t>
            </w:r>
          </w:p>
          <w:p>
            <w:pPr>
              <w:spacing w:line="276" w:lineRule="auto"/>
              <w:textAlignment w:val="baseline"/>
              <w:rPr>
                <w:rFonts w:ascii="宋体" w:hAnsi="宋体" w:cs="Times New Roman"/>
                <w:kern w:val="0"/>
              </w:rPr>
            </w:pPr>
            <w:r>
              <w:rPr>
                <w:rFonts w:ascii="宋体" w:hAnsi="宋体" w:cs="Times New Roman"/>
                <w:kern w:val="0"/>
              </w:rPr>
              <w:t>支持虚拟化一虚多功能；支持将一台物理交换机虚拟化成N台逻辑交换机，交换机间硬件独立且相互隔离；</w:t>
            </w:r>
          </w:p>
        </w:tc>
      </w:tr>
    </w:tbl>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用途：政务云平台接入交换机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交换容量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≥2.56Tbps；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包转发率</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≥1080Mpps；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网络接口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≥48个万兆光口，≥4个40GE光口；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协议</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支持Access、Trunk和Hybrid三种模式；</w:t>
            </w:r>
          </w:p>
          <w:p>
            <w:pPr>
              <w:spacing w:line="276" w:lineRule="auto"/>
              <w:textAlignment w:val="baseline"/>
              <w:rPr>
                <w:rFonts w:ascii="宋体" w:hAnsi="宋体" w:cs="Times New Roman"/>
                <w:kern w:val="0"/>
              </w:rPr>
            </w:pPr>
            <w:r>
              <w:rPr>
                <w:rFonts w:ascii="宋体" w:hAnsi="宋体" w:cs="Times New Roman"/>
                <w:kern w:val="0"/>
              </w:rPr>
              <w:t>支持QinQ；</w:t>
            </w:r>
          </w:p>
          <w:p>
            <w:pPr>
              <w:spacing w:line="276" w:lineRule="auto"/>
              <w:textAlignment w:val="baseline"/>
              <w:rPr>
                <w:rFonts w:ascii="宋体" w:hAnsi="宋体" w:cs="Times New Roman"/>
                <w:kern w:val="0"/>
              </w:rPr>
            </w:pPr>
            <w:r>
              <w:rPr>
                <w:rFonts w:ascii="宋体" w:hAnsi="宋体" w:cs="Times New Roman"/>
                <w:kern w:val="0"/>
              </w:rPr>
              <w:t>支持M-LAG或vPC等类似技术；</w:t>
            </w:r>
          </w:p>
          <w:p>
            <w:pPr>
              <w:spacing w:line="276" w:lineRule="auto"/>
              <w:textAlignment w:val="baseline"/>
              <w:rPr>
                <w:rFonts w:ascii="宋体" w:hAnsi="宋体" w:cs="Times New Roman"/>
                <w:kern w:val="0"/>
              </w:rPr>
            </w:pPr>
            <w:r>
              <w:rPr>
                <w:rFonts w:ascii="宋体" w:hAnsi="宋体" w:cs="Times New Roman"/>
                <w:kern w:val="0"/>
              </w:rPr>
              <w:t>支持DLDP；</w:t>
            </w:r>
          </w:p>
          <w:p>
            <w:pPr>
              <w:spacing w:line="276" w:lineRule="auto"/>
              <w:textAlignment w:val="baseline"/>
              <w:rPr>
                <w:rFonts w:ascii="宋体" w:hAnsi="宋体" w:cs="Times New Roman"/>
                <w:kern w:val="0"/>
              </w:rPr>
            </w:pPr>
            <w:r>
              <w:rPr>
                <w:rFonts w:ascii="宋体" w:hAnsi="宋体" w:cs="Times New Roman"/>
                <w:kern w:val="0"/>
              </w:rPr>
              <w:t>支持ERPS以太环保护协议（G.8032）；</w:t>
            </w:r>
          </w:p>
          <w:p>
            <w:pPr>
              <w:spacing w:line="276" w:lineRule="auto"/>
              <w:textAlignment w:val="baseline"/>
              <w:rPr>
                <w:rFonts w:ascii="宋体" w:hAnsi="宋体" w:cs="Times New Roman"/>
                <w:kern w:val="0"/>
              </w:rPr>
            </w:pPr>
            <w:r>
              <w:rPr>
                <w:rFonts w:ascii="宋体" w:hAnsi="宋体" w:cs="Times New Roman"/>
                <w:kern w:val="0"/>
              </w:rPr>
              <w:t>支持动态MAC、静态MAC和黑洞MAC表项；</w:t>
            </w:r>
          </w:p>
          <w:p>
            <w:pPr>
              <w:spacing w:line="276" w:lineRule="auto"/>
              <w:textAlignment w:val="baseline"/>
              <w:rPr>
                <w:rFonts w:ascii="宋体" w:hAnsi="宋体" w:cs="Times New Roman"/>
                <w:kern w:val="0"/>
              </w:rPr>
            </w:pPr>
            <w:r>
              <w:rPr>
                <w:rFonts w:ascii="宋体" w:hAnsi="宋体" w:cs="Times New Roman"/>
                <w:kern w:val="0"/>
              </w:rPr>
              <w:t>支持RIP、OSPF、ISIS、BGP等IPv4动态路由协议；</w:t>
            </w:r>
          </w:p>
          <w:p>
            <w:pPr>
              <w:spacing w:line="276" w:lineRule="auto"/>
              <w:textAlignment w:val="baseline"/>
              <w:rPr>
                <w:rFonts w:ascii="宋体" w:hAnsi="宋体" w:cs="Times New Roman"/>
                <w:kern w:val="0"/>
              </w:rPr>
            </w:pPr>
            <w:r>
              <w:rPr>
                <w:rFonts w:ascii="宋体" w:hAnsi="宋体" w:cs="Times New Roman"/>
                <w:kern w:val="0"/>
              </w:rPr>
              <w:t>支持RIPng、OSPFv3、ISISv6、BGP4+等IPv6动态路由协议；</w:t>
            </w:r>
          </w:p>
          <w:p>
            <w:pPr>
              <w:spacing w:line="276" w:lineRule="auto"/>
              <w:textAlignment w:val="baseline"/>
              <w:rPr>
                <w:rFonts w:ascii="宋体" w:hAnsi="宋体" w:cs="Times New Roman"/>
                <w:kern w:val="0"/>
              </w:rPr>
            </w:pPr>
            <w:r>
              <w:rPr>
                <w:rFonts w:ascii="宋体" w:hAnsi="宋体" w:cs="Times New Roman"/>
                <w:kern w:val="0"/>
              </w:rPr>
              <w:t>支持BFD for OSPF，BGP，IS-IS，Static Route；</w:t>
            </w:r>
          </w:p>
          <w:p>
            <w:pPr>
              <w:spacing w:line="276" w:lineRule="auto"/>
              <w:textAlignment w:val="baseline"/>
              <w:rPr>
                <w:rFonts w:ascii="宋体" w:hAnsi="宋体" w:cs="Times New Roman"/>
                <w:kern w:val="0"/>
              </w:rPr>
            </w:pPr>
            <w:r>
              <w:rPr>
                <w:rFonts w:ascii="宋体" w:hAnsi="宋体" w:cs="Times New Roman"/>
                <w:kern w:val="0"/>
              </w:rPr>
              <w:t>支持IPv6 VXLAN over IPv4；</w:t>
            </w:r>
          </w:p>
          <w:p>
            <w:pPr>
              <w:spacing w:line="276" w:lineRule="auto"/>
              <w:textAlignment w:val="baseline"/>
              <w:rPr>
                <w:rFonts w:ascii="宋体" w:hAnsi="宋体" w:cs="Times New Roman"/>
                <w:kern w:val="0"/>
              </w:rPr>
            </w:pPr>
            <w:r>
              <w:rPr>
                <w:rFonts w:ascii="宋体" w:hAnsi="宋体" w:cs="Times New Roman"/>
                <w:kern w:val="0"/>
              </w:rPr>
              <w:t>支持IPv6 ND、PMTU发现；</w:t>
            </w:r>
          </w:p>
          <w:p>
            <w:pPr>
              <w:spacing w:line="276" w:lineRule="auto"/>
              <w:textAlignment w:val="baseline"/>
              <w:rPr>
                <w:rFonts w:ascii="宋体" w:hAnsi="宋体" w:cs="Times New Roman"/>
                <w:kern w:val="0"/>
              </w:rPr>
            </w:pPr>
            <w:r>
              <w:rPr>
                <w:rFonts w:ascii="宋体" w:hAnsi="宋体" w:cs="Times New Roman"/>
                <w:kern w:val="0"/>
              </w:rPr>
              <w:t>支持MPLS；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安全特性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支持ARP攻击和ICMP攻击防护；</w:t>
            </w:r>
          </w:p>
          <w:p>
            <w:pPr>
              <w:spacing w:line="276" w:lineRule="auto"/>
              <w:textAlignment w:val="baseline"/>
              <w:rPr>
                <w:rFonts w:ascii="宋体" w:hAnsi="宋体" w:cs="Times New Roman"/>
                <w:kern w:val="0"/>
              </w:rPr>
            </w:pPr>
            <w:r>
              <w:rPr>
                <w:rFonts w:ascii="宋体" w:hAnsi="宋体" w:cs="Times New Roman"/>
                <w:kern w:val="0"/>
              </w:rPr>
              <w:t>支持IP、MAC、端口和VLAN的组合绑定；</w:t>
            </w:r>
          </w:p>
          <w:p>
            <w:pPr>
              <w:spacing w:line="276" w:lineRule="auto"/>
              <w:textAlignment w:val="baseline"/>
              <w:rPr>
                <w:rFonts w:ascii="宋体" w:hAnsi="宋体" w:cs="Times New Roman"/>
                <w:kern w:val="0"/>
              </w:rPr>
            </w:pPr>
            <w:r>
              <w:rPr>
                <w:rFonts w:ascii="宋体" w:hAnsi="宋体" w:cs="Times New Roman"/>
                <w:kern w:val="0"/>
              </w:rPr>
              <w:t>支持802.1X认证；</w:t>
            </w:r>
          </w:p>
          <w:p>
            <w:pPr>
              <w:spacing w:line="276" w:lineRule="auto"/>
              <w:textAlignment w:val="baseline"/>
              <w:rPr>
                <w:rFonts w:ascii="宋体" w:hAnsi="宋体" w:cs="Times New Roman"/>
                <w:kern w:val="0"/>
              </w:rPr>
            </w:pPr>
            <w:r>
              <w:rPr>
                <w:rFonts w:ascii="宋体" w:hAnsi="宋体" w:cs="Times New Roman"/>
                <w:kern w:val="0"/>
              </w:rPr>
              <w:t>支持端口隔离；</w:t>
            </w:r>
          </w:p>
          <w:p>
            <w:pPr>
              <w:spacing w:line="276" w:lineRule="auto"/>
              <w:textAlignment w:val="baseline"/>
              <w:rPr>
                <w:rFonts w:ascii="宋体" w:hAnsi="宋体" w:cs="Times New Roman"/>
                <w:kern w:val="0"/>
              </w:rPr>
            </w:pPr>
            <w:r>
              <w:rPr>
                <w:rFonts w:ascii="宋体" w:hAnsi="宋体" w:cs="Times New Roman"/>
                <w:kern w:val="0"/>
              </w:rPr>
              <w:t>支持AAA、Radius和TACACS认证；</w:t>
            </w:r>
          </w:p>
          <w:p>
            <w:pPr>
              <w:spacing w:line="276" w:lineRule="auto"/>
              <w:textAlignment w:val="baseline"/>
              <w:rPr>
                <w:rFonts w:ascii="宋体" w:hAnsi="宋体" w:cs="Times New Roman"/>
                <w:kern w:val="0"/>
              </w:rPr>
            </w:pPr>
            <w:r>
              <w:rPr>
                <w:rFonts w:ascii="宋体" w:hAnsi="宋体" w:cs="Times New Roman"/>
                <w:kern w:val="0"/>
              </w:rPr>
              <w:t>支持RMON；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可靠特性</w:t>
            </w:r>
          </w:p>
        </w:tc>
        <w:tc>
          <w:tcPr>
            <w:tcW w:w="3907" w:type="pct"/>
            <w:tcBorders>
              <w:top w:val="single" w:color="auto" w:sz="4" w:space="0"/>
              <w:left w:val="single" w:color="auto" w:sz="4" w:space="0"/>
              <w:bottom w:val="single" w:color="auto" w:sz="4" w:space="0"/>
              <w:right w:val="single" w:color="auto" w:sz="4" w:space="0"/>
            </w:tcBorders>
          </w:tcPr>
          <w:p>
            <w:pPr>
              <w:spacing w:line="276" w:lineRule="auto"/>
              <w:textAlignment w:val="baseline"/>
              <w:rPr>
                <w:rFonts w:ascii="宋体" w:hAnsi="宋体" w:cs="Times New Roman"/>
                <w:kern w:val="0"/>
              </w:rPr>
            </w:pPr>
            <w:r>
              <w:rPr>
                <w:rFonts w:ascii="宋体" w:hAnsi="宋体" w:cs="Times New Roman"/>
                <w:kern w:val="0"/>
              </w:rPr>
              <w:t>支持VRRP、VRRP负载分担、BFD for VRRP；</w:t>
            </w:r>
          </w:p>
          <w:p>
            <w:pPr>
              <w:spacing w:line="276" w:lineRule="auto"/>
              <w:textAlignment w:val="baseline"/>
              <w:rPr>
                <w:rFonts w:ascii="宋体" w:hAnsi="宋体" w:cs="Times New Roman"/>
                <w:kern w:val="0"/>
              </w:rPr>
            </w:pPr>
            <w:r>
              <w:rPr>
                <w:rFonts w:ascii="宋体" w:hAnsi="宋体" w:cs="Times New Roman"/>
                <w:kern w:val="0"/>
              </w:rPr>
              <w:t>支持纵向虚拟化技术；</w:t>
            </w:r>
          </w:p>
          <w:p>
            <w:pPr>
              <w:spacing w:line="276" w:lineRule="auto"/>
              <w:textAlignment w:val="baseline"/>
              <w:rPr>
                <w:rFonts w:ascii="宋体" w:hAnsi="宋体" w:cs="Times New Roman"/>
                <w:kern w:val="0"/>
              </w:rPr>
            </w:pPr>
            <w:r>
              <w:rPr>
                <w:rFonts w:ascii="宋体" w:hAnsi="宋体" w:cs="Times New Roman"/>
                <w:kern w:val="0"/>
              </w:rPr>
              <w:t>支持集群或堆叠多虚一技术，实现单一界面管理多台设备；</w:t>
            </w:r>
          </w:p>
          <w:p>
            <w:pPr>
              <w:spacing w:line="276" w:lineRule="auto"/>
              <w:textAlignment w:val="baseline"/>
              <w:rPr>
                <w:rFonts w:ascii="宋体" w:hAnsi="宋体" w:cs="Times New Roman"/>
                <w:kern w:val="0"/>
              </w:rPr>
            </w:pPr>
            <w:r>
              <w:rPr>
                <w:rFonts w:ascii="宋体" w:hAnsi="宋体" w:cs="Times New Roman"/>
                <w:kern w:val="0"/>
              </w:rPr>
              <w:t>支持PQ, WRR, DRR, PQ+WRR, PQ+DRR调度方式；</w:t>
            </w:r>
          </w:p>
          <w:p>
            <w:pPr>
              <w:spacing w:line="276" w:lineRule="auto"/>
              <w:textAlignment w:val="baseline"/>
              <w:rPr>
                <w:rFonts w:ascii="宋体" w:hAnsi="宋体" w:cs="Times New Roman"/>
                <w:kern w:val="0"/>
              </w:rPr>
            </w:pPr>
            <w:r>
              <w:rPr>
                <w:rFonts w:ascii="宋体" w:hAnsi="宋体" w:cs="Times New Roman"/>
                <w:kern w:val="0"/>
              </w:rPr>
              <w:t>支持L2协议头、L3协议和L4协议等的组合流分类；</w:t>
            </w:r>
          </w:p>
          <w:p>
            <w:pPr>
              <w:spacing w:line="276" w:lineRule="auto"/>
              <w:textAlignment w:val="baseline"/>
              <w:rPr>
                <w:rFonts w:ascii="宋体" w:hAnsi="宋体" w:cs="Times New Roman"/>
                <w:kern w:val="0"/>
              </w:rPr>
            </w:pPr>
            <w:r>
              <w:rPr>
                <w:rFonts w:ascii="宋体" w:hAnsi="宋体" w:cs="Times New Roman"/>
                <w:kern w:val="0"/>
              </w:rPr>
              <w:t>支持双向端口限速；</w:t>
            </w:r>
          </w:p>
          <w:p>
            <w:pPr>
              <w:spacing w:line="276" w:lineRule="auto"/>
              <w:textAlignment w:val="baseline"/>
              <w:rPr>
                <w:rFonts w:ascii="宋体" w:hAnsi="宋体" w:cs="Times New Roman"/>
                <w:kern w:val="0"/>
              </w:rPr>
            </w:pPr>
            <w:r>
              <w:rPr>
                <w:rFonts w:ascii="宋体" w:hAnsi="宋体" w:cs="Times New Roman"/>
                <w:kern w:val="0"/>
              </w:rPr>
              <w:t>提供广播风暴抑制功能；</w:t>
            </w:r>
          </w:p>
          <w:p>
            <w:pPr>
              <w:spacing w:line="276" w:lineRule="auto"/>
              <w:textAlignment w:val="baseline"/>
              <w:rPr>
                <w:rFonts w:ascii="宋体" w:hAnsi="宋体" w:cs="Times New Roman"/>
                <w:kern w:val="0"/>
              </w:rPr>
            </w:pPr>
            <w:r>
              <w:rPr>
                <w:rFonts w:ascii="宋体" w:hAnsi="宋体" w:cs="Times New Roman"/>
                <w:kern w:val="0"/>
              </w:rPr>
              <w:t>支持流量整形；</w:t>
            </w:r>
          </w:p>
        </w:tc>
      </w:tr>
    </w:tbl>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用途：负载均衡器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390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接口</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至少16个 10/100/1000电口；</w:t>
            </w:r>
          </w:p>
          <w:p>
            <w:pPr>
              <w:spacing w:line="276" w:lineRule="auto"/>
              <w:textAlignment w:val="baseline"/>
              <w:rPr>
                <w:rFonts w:ascii="宋体" w:hAnsi="宋体" w:cs="Times New Roman"/>
                <w:kern w:val="0"/>
              </w:rPr>
            </w:pPr>
            <w:r>
              <w:rPr>
                <w:rFonts w:ascii="宋体" w:hAnsi="宋体" w:cs="Times New Roman"/>
                <w:kern w:val="0"/>
              </w:rPr>
              <w:t>至少4个万兆光口；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并发连接数</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新建连接数</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4层每秒新建连接数(CPS) 100万以上；</w:t>
            </w:r>
          </w:p>
          <w:p>
            <w:pPr>
              <w:spacing w:line="276" w:lineRule="auto"/>
              <w:textAlignment w:val="baseline"/>
              <w:rPr>
                <w:rFonts w:ascii="宋体" w:hAnsi="宋体" w:cs="Times New Roman"/>
                <w:kern w:val="0"/>
              </w:rPr>
            </w:pPr>
            <w:r>
              <w:rPr>
                <w:rFonts w:ascii="宋体" w:hAnsi="宋体" w:cs="Times New Roman"/>
                <w:kern w:val="0"/>
              </w:rPr>
              <w:t>7层每秒新建连接数（CPS）250万以上；</w:t>
            </w:r>
          </w:p>
          <w:p>
            <w:pPr>
              <w:spacing w:line="276" w:lineRule="auto"/>
              <w:textAlignment w:val="baseline"/>
              <w:rPr>
                <w:rFonts w:ascii="宋体" w:hAnsi="宋体" w:cs="Times New Roman"/>
                <w:kern w:val="0"/>
              </w:rPr>
            </w:pPr>
            <w:r>
              <w:rPr>
                <w:rFonts w:ascii="宋体" w:hAnsi="宋体" w:cs="Times New Roman"/>
                <w:kern w:val="0"/>
              </w:rPr>
              <w:t>SSL每秒新建连接数（CPS）3万以上；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电源</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配备冗余电源；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应用吞吐量</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应用吞吐量在≥10G；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9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功能</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至少支持服务器负载均衡，防火墙负载均衡；</w:t>
            </w:r>
          </w:p>
          <w:p>
            <w:pPr>
              <w:spacing w:line="276" w:lineRule="auto"/>
              <w:textAlignment w:val="baseline"/>
              <w:rPr>
                <w:rFonts w:ascii="宋体" w:hAnsi="宋体" w:cs="Times New Roman"/>
                <w:kern w:val="0"/>
              </w:rPr>
            </w:pPr>
            <w:r>
              <w:rPr>
                <w:rFonts w:ascii="宋体" w:hAnsi="宋体" w:cs="Times New Roman"/>
                <w:kern w:val="0"/>
              </w:rPr>
              <w:t>支持SSL加速；</w:t>
            </w:r>
          </w:p>
          <w:p>
            <w:pPr>
              <w:spacing w:line="276" w:lineRule="auto"/>
              <w:textAlignment w:val="baseline"/>
              <w:rPr>
                <w:rFonts w:ascii="宋体" w:hAnsi="宋体" w:cs="Times New Roman"/>
                <w:kern w:val="0"/>
              </w:rPr>
            </w:pPr>
            <w:r>
              <w:rPr>
                <w:rFonts w:ascii="宋体" w:hAnsi="宋体" w:cs="Times New Roman"/>
                <w:kern w:val="0"/>
              </w:rPr>
              <w:t>支持HTTP压缩；</w:t>
            </w:r>
          </w:p>
          <w:p>
            <w:pPr>
              <w:spacing w:line="276" w:lineRule="auto"/>
              <w:textAlignment w:val="baseline"/>
              <w:rPr>
                <w:rFonts w:ascii="宋体" w:hAnsi="宋体" w:cs="Times New Roman"/>
                <w:kern w:val="0"/>
              </w:rPr>
            </w:pPr>
            <w:r>
              <w:rPr>
                <w:rFonts w:ascii="宋体" w:hAnsi="宋体" w:cs="Times New Roman"/>
                <w:kern w:val="0"/>
              </w:rPr>
              <w:t>支持内容缓存；</w:t>
            </w:r>
          </w:p>
          <w:p>
            <w:pPr>
              <w:spacing w:line="276" w:lineRule="auto"/>
              <w:textAlignment w:val="baseline"/>
              <w:rPr>
                <w:rFonts w:ascii="宋体" w:hAnsi="宋体" w:cs="Times New Roman"/>
                <w:kern w:val="0"/>
              </w:rPr>
            </w:pPr>
            <w:r>
              <w:rPr>
                <w:rFonts w:ascii="宋体" w:hAnsi="宋体" w:cs="Times New Roman"/>
                <w:kern w:val="0"/>
              </w:rPr>
              <w:t>负载均衡设备虚拟化；</w:t>
            </w:r>
          </w:p>
          <w:p>
            <w:pPr>
              <w:spacing w:line="276" w:lineRule="auto"/>
              <w:textAlignment w:val="baseline"/>
              <w:rPr>
                <w:rFonts w:ascii="宋体" w:hAnsi="宋体" w:cs="Times New Roman"/>
                <w:kern w:val="0"/>
              </w:rPr>
            </w:pPr>
            <w:r>
              <w:rPr>
                <w:rFonts w:ascii="宋体" w:hAnsi="宋体" w:cs="Times New Roman"/>
                <w:kern w:val="0"/>
              </w:rPr>
              <w:t>支持高级健康检查；</w:t>
            </w:r>
          </w:p>
          <w:p>
            <w:pPr>
              <w:spacing w:line="276" w:lineRule="auto"/>
              <w:textAlignment w:val="baseline"/>
              <w:rPr>
                <w:rFonts w:ascii="宋体" w:hAnsi="宋体" w:cs="Times New Roman"/>
                <w:kern w:val="0"/>
              </w:rPr>
            </w:pPr>
            <w:r>
              <w:rPr>
                <w:rFonts w:ascii="宋体" w:hAnsi="宋体" w:cs="Times New Roman"/>
                <w:kern w:val="0"/>
              </w:rPr>
              <w:t>支持源地址和Cookie会话保持；</w:t>
            </w:r>
          </w:p>
          <w:p>
            <w:pPr>
              <w:spacing w:line="276" w:lineRule="auto"/>
              <w:textAlignment w:val="baseline"/>
              <w:rPr>
                <w:rFonts w:ascii="宋体" w:hAnsi="宋体" w:cs="Times New Roman"/>
                <w:kern w:val="0"/>
              </w:rPr>
            </w:pPr>
            <w:r>
              <w:rPr>
                <w:rFonts w:ascii="宋体" w:hAnsi="宋体" w:cs="Times New Roman"/>
                <w:kern w:val="0"/>
              </w:rPr>
              <w:t>支持IPV4/IPV6 Dual-Stack和NAT-PT功能；</w:t>
            </w:r>
          </w:p>
          <w:p>
            <w:pPr>
              <w:spacing w:line="276" w:lineRule="auto"/>
              <w:textAlignment w:val="baseline"/>
              <w:rPr>
                <w:rFonts w:ascii="宋体" w:hAnsi="宋体" w:cs="Times New Roman"/>
                <w:kern w:val="0"/>
              </w:rPr>
            </w:pPr>
            <w:r>
              <w:rPr>
                <w:rFonts w:ascii="宋体" w:hAnsi="宋体" w:cs="Times New Roman"/>
                <w:kern w:val="0"/>
              </w:rPr>
              <w:t>HA支持Active-Standby，Active-Active和N+1 Active等功能；</w:t>
            </w:r>
          </w:p>
          <w:p>
            <w:pPr>
              <w:spacing w:line="276" w:lineRule="auto"/>
              <w:textAlignment w:val="baseline"/>
              <w:rPr>
                <w:rFonts w:ascii="宋体" w:hAnsi="宋体" w:cs="Times New Roman"/>
                <w:kern w:val="0"/>
              </w:rPr>
            </w:pPr>
            <w:r>
              <w:rPr>
                <w:rFonts w:ascii="宋体" w:hAnsi="宋体" w:cs="Times New Roman"/>
                <w:kern w:val="0"/>
              </w:rPr>
              <w:t>工作模式支持透明模式和路由模式；</w:t>
            </w:r>
          </w:p>
          <w:p>
            <w:pPr>
              <w:spacing w:line="276" w:lineRule="auto"/>
              <w:textAlignment w:val="baseline"/>
              <w:rPr>
                <w:rFonts w:ascii="宋体" w:hAnsi="宋体" w:cs="Times New Roman"/>
                <w:kern w:val="0"/>
              </w:rPr>
            </w:pPr>
            <w:r>
              <w:rPr>
                <w:rFonts w:ascii="宋体" w:hAnsi="宋体" w:cs="Times New Roman"/>
                <w:kern w:val="0"/>
              </w:rPr>
              <w:t>HTTP压缩能力3Gbps以上；</w:t>
            </w:r>
          </w:p>
          <w:p>
            <w:pPr>
              <w:spacing w:line="276" w:lineRule="auto"/>
              <w:textAlignment w:val="baseline"/>
              <w:rPr>
                <w:rFonts w:ascii="宋体" w:hAnsi="宋体" w:cs="Times New Roman"/>
                <w:kern w:val="0"/>
              </w:rPr>
            </w:pPr>
            <w:r>
              <w:rPr>
                <w:rFonts w:ascii="宋体" w:hAnsi="宋体" w:cs="Times New Roman"/>
                <w:kern w:val="0"/>
              </w:rPr>
              <w:t>支持控制台，SSH，Telnet，HTTP/s；</w:t>
            </w:r>
          </w:p>
          <w:p>
            <w:pPr>
              <w:spacing w:line="276" w:lineRule="auto"/>
              <w:textAlignment w:val="baseline"/>
              <w:rPr>
                <w:rFonts w:ascii="宋体" w:hAnsi="宋体" w:cs="Times New Roman"/>
                <w:kern w:val="0"/>
              </w:rPr>
            </w:pPr>
            <w:r>
              <w:rPr>
                <w:rFonts w:ascii="宋体" w:hAnsi="宋体" w:cs="Times New Roman"/>
                <w:kern w:val="0"/>
              </w:rPr>
              <w:t>SNMP，Syslog，告警；</w:t>
            </w:r>
          </w:p>
          <w:p>
            <w:pPr>
              <w:spacing w:line="276" w:lineRule="auto"/>
              <w:textAlignment w:val="baseline"/>
              <w:rPr>
                <w:rFonts w:ascii="宋体" w:hAnsi="宋体" w:cs="Times New Roman"/>
                <w:kern w:val="0"/>
              </w:rPr>
            </w:pPr>
            <w:r>
              <w:rPr>
                <w:rFonts w:ascii="宋体" w:hAnsi="宋体" w:cs="Times New Roman"/>
                <w:kern w:val="0"/>
              </w:rPr>
              <w:t>中文用户图形界面（GUI）；</w:t>
            </w:r>
          </w:p>
          <w:p>
            <w:pPr>
              <w:spacing w:line="276" w:lineRule="auto"/>
              <w:textAlignment w:val="baseline"/>
              <w:rPr>
                <w:rFonts w:ascii="宋体" w:hAnsi="宋体" w:cs="Times New Roman"/>
                <w:kern w:val="0"/>
              </w:rPr>
            </w:pPr>
            <w:r>
              <w:rPr>
                <w:rFonts w:ascii="宋体" w:hAnsi="宋体" w:cs="Times New Roman"/>
                <w:kern w:val="0"/>
              </w:rPr>
              <w:t>端口镜像；</w:t>
            </w:r>
          </w:p>
          <w:p>
            <w:pPr>
              <w:spacing w:line="276" w:lineRule="auto"/>
              <w:textAlignment w:val="baseline"/>
              <w:rPr>
                <w:rFonts w:ascii="宋体" w:hAnsi="宋体" w:cs="Times New Roman"/>
                <w:kern w:val="0"/>
              </w:rPr>
            </w:pPr>
            <w:r>
              <w:rPr>
                <w:rFonts w:ascii="宋体" w:hAnsi="宋体" w:cs="Times New Roman"/>
                <w:kern w:val="0"/>
              </w:rPr>
              <w:t>支持CLI命令行；</w:t>
            </w:r>
          </w:p>
        </w:tc>
      </w:tr>
    </w:tbl>
    <w:p>
      <w:pPr>
        <w:rPr>
          <w:rFonts w:ascii="宋体" w:hAnsi="宋体"/>
        </w:rPr>
      </w:pPr>
    </w:p>
    <w:p>
      <w:pPr>
        <w:pStyle w:val="4"/>
        <w:numPr>
          <w:ilvl w:val="1"/>
          <w:numId w:val="5"/>
        </w:numPr>
        <w:tabs>
          <w:tab w:val="clear" w:pos="840"/>
        </w:tabs>
        <w:ind w:left="720" w:hanging="720" w:hangingChars="200"/>
        <w:textAlignment w:val="auto"/>
        <w:rPr>
          <w:rFonts w:ascii="宋体" w:hAnsi="宋体"/>
          <w:lang w:eastAsia="zh-CN"/>
        </w:rPr>
      </w:pPr>
      <w:r>
        <w:rPr>
          <w:rFonts w:hint="eastAsia" w:ascii="宋体" w:hAnsi="宋体"/>
          <w:lang w:eastAsia="zh-CN"/>
        </w:rPr>
        <w:t>安全要求</w:t>
      </w:r>
      <w:bookmarkEnd w:id="27"/>
      <w:bookmarkEnd w:id="28"/>
    </w:p>
    <w:p>
      <w:pPr>
        <w:pStyle w:val="5"/>
        <w:numPr>
          <w:ilvl w:val="2"/>
          <w:numId w:val="5"/>
        </w:numPr>
        <w:spacing w:before="160" w:line="300" w:lineRule="exact"/>
        <w:ind w:left="420"/>
        <w:rPr>
          <w:rFonts w:ascii="宋体" w:hAnsi="宋体"/>
        </w:rPr>
      </w:pPr>
      <w:bookmarkStart w:id="29" w:name="_Toc34080403"/>
      <w:bookmarkStart w:id="30" w:name="_Toc34080587"/>
      <w:r>
        <w:rPr>
          <w:rFonts w:ascii="宋体" w:hAnsi="宋体"/>
        </w:rPr>
        <w:t>基本要求</w:t>
      </w:r>
      <w:bookmarkEnd w:id="29"/>
      <w:bookmarkEnd w:id="30"/>
    </w:p>
    <w:p>
      <w:pPr>
        <w:spacing w:line="276" w:lineRule="auto"/>
        <w:ind w:left="420" w:firstLine="420"/>
      </w:pPr>
      <w:r>
        <w:t>政务云平台应按网络安全等级保护基本要求第三级建设，满足《信息安全技术网络安全等级保护基本要求》（GB/T 22239-2019）第三级安全测评通用要求和云计算安全扩展要求、《信息安全技术 云计算服务安全能力要求》（GB/T 31168-2014）增强级。</w:t>
      </w:r>
    </w:p>
    <w:p>
      <w:pPr>
        <w:pStyle w:val="5"/>
        <w:numPr>
          <w:ilvl w:val="2"/>
          <w:numId w:val="5"/>
        </w:numPr>
        <w:spacing w:before="160" w:line="300" w:lineRule="exact"/>
        <w:ind w:left="420"/>
        <w:rPr>
          <w:rFonts w:ascii="宋体" w:hAnsi="宋体"/>
        </w:rPr>
      </w:pPr>
      <w:bookmarkStart w:id="31" w:name="_Toc34080404"/>
      <w:bookmarkStart w:id="32" w:name="_Toc34080588"/>
      <w:r>
        <w:rPr>
          <w:rFonts w:ascii="宋体" w:hAnsi="宋体"/>
        </w:rPr>
        <w:t>平台安全要求</w:t>
      </w:r>
      <w:bookmarkEnd w:id="31"/>
      <w:bookmarkEnd w:id="32"/>
    </w:p>
    <w:p>
      <w:pPr>
        <w:spacing w:line="276" w:lineRule="auto"/>
        <w:ind w:left="420" w:firstLine="420"/>
      </w:pPr>
      <w:r>
        <w:rPr>
          <w:rFonts w:hint="eastAsia"/>
        </w:rPr>
        <w:t>中</w:t>
      </w:r>
      <w:r>
        <w:t>标人建设的政务云平台需满足包括但不限于如下安全要求：物理安全、网络安全、主机安全、云管理平台安全等。</w:t>
      </w:r>
    </w:p>
    <w:p>
      <w:pPr>
        <w:spacing w:line="276" w:lineRule="auto"/>
        <w:ind w:left="420" w:firstLine="420"/>
      </w:pPr>
      <w:r>
        <w:rPr>
          <w:rFonts w:hint="eastAsia"/>
        </w:rPr>
        <w:t>中</w:t>
      </w:r>
      <w:r>
        <w:t>标人提供的安全设备，在每个机房中的政务外网区和互联网区，都需要同等配置安装。</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物理安全：</w:t>
      </w:r>
      <w:r>
        <w:rPr>
          <w:rFonts w:hint="eastAsia" w:ascii="宋体" w:hAnsi="宋体"/>
        </w:rPr>
        <w:t>中</w:t>
      </w:r>
      <w:r>
        <w:rPr>
          <w:rFonts w:ascii="宋体" w:hAnsi="宋体"/>
        </w:rPr>
        <w:t>标人用于建设电子政务云服务中心的机房需满足国家A级（GB50174-2008）的安全要求，具备防盗窃和防破坏、防雷击、防火、防水和防潮、防静电、温湿度控制、电力供应等能力。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网络安全：</w:t>
      </w:r>
      <w:r>
        <w:rPr>
          <w:rFonts w:hint="eastAsia" w:ascii="宋体" w:hAnsi="宋体"/>
        </w:rPr>
        <w:t>中</w:t>
      </w:r>
      <w:r>
        <w:rPr>
          <w:rFonts w:ascii="宋体" w:hAnsi="宋体"/>
        </w:rPr>
        <w:t>标人需针对政务云平台按照国家网络安全等级保护基本要求要求建立一套网络安全防护体系，对网络边界处提供访问控制、</w:t>
      </w:r>
      <w:r>
        <w:rPr>
          <w:rFonts w:hint="eastAsia" w:ascii="宋体" w:hAnsi="宋体"/>
          <w:lang w:val="en-US" w:eastAsia="zh-CN"/>
        </w:rPr>
        <w:t>DDoS防护、</w:t>
      </w:r>
      <w:r>
        <w:rPr>
          <w:rFonts w:ascii="宋体" w:hAnsi="宋体"/>
        </w:rPr>
        <w:t>病毒过滤、防攻击、防入侵、防篡改、内外网数据安全隔离交换等立体安全防护，保护平台内部网络通信安全。</w:t>
      </w:r>
    </w:p>
    <w:p>
      <w:pPr>
        <w:widowControl/>
        <w:numPr>
          <w:ilvl w:val="0"/>
          <w:numId w:val="11"/>
        </w:numPr>
        <w:topLinePunct/>
        <w:adjustRightInd w:val="0"/>
        <w:snapToGrid w:val="0"/>
        <w:spacing w:before="160" w:after="160" w:line="276" w:lineRule="auto"/>
        <w:ind w:left="1124" w:leftChars="400" w:hanging="284"/>
        <w:jc w:val="left"/>
      </w:pPr>
      <w:r>
        <w:t>访问控制：政务云平台在各网络边界处均应部署安全访问控制设备，包括防火墙、IPS、VPN网关、安全网关等，能根据会话状态信息为数据流提供明确的允许/拒绝访问的能力，控制粒度为端口级。支持按用户和系统之间的允许访问规则，允许或拒绝用户对受控系统进行资源访。控制粒度为单个用户，同时应通过VPN网关及软件系统应用功能实现对远程拨号访问权限的用户数量进行限制。支持云服务客户自行对网络访问控制规则进行配置。</w:t>
      </w:r>
    </w:p>
    <w:p>
      <w:pPr>
        <w:widowControl/>
        <w:numPr>
          <w:ilvl w:val="0"/>
          <w:numId w:val="11"/>
        </w:numPr>
        <w:topLinePunct/>
        <w:adjustRightInd w:val="0"/>
        <w:snapToGrid w:val="0"/>
        <w:spacing w:before="160" w:after="160" w:line="276" w:lineRule="auto"/>
        <w:ind w:left="1124" w:leftChars="400" w:hanging="284"/>
        <w:jc w:val="left"/>
      </w:pPr>
      <w:r>
        <w:rPr>
          <w:rFonts w:hint="eastAsia"/>
          <w:lang w:val="en-US" w:eastAsia="zh-CN"/>
        </w:rPr>
        <w:t>DDoS防护：中标人需在各互联网边界处部署云平台DDoS防护设备，根据流量情况结合骨干网抗DDOS防护确保云平台运行连续性。</w:t>
      </w:r>
    </w:p>
    <w:p>
      <w:pPr>
        <w:widowControl/>
        <w:numPr>
          <w:ilvl w:val="0"/>
          <w:numId w:val="11"/>
        </w:numPr>
        <w:topLinePunct/>
        <w:adjustRightInd w:val="0"/>
        <w:snapToGrid w:val="0"/>
        <w:spacing w:before="160" w:after="160" w:line="276" w:lineRule="auto"/>
        <w:ind w:left="1124" w:leftChars="400" w:hanging="284"/>
        <w:jc w:val="left"/>
      </w:pPr>
      <w:r>
        <w:t>安全审计：</w:t>
      </w:r>
      <w:r>
        <w:rPr>
          <w:rFonts w:hint="eastAsia"/>
        </w:rPr>
        <w:t>中</w:t>
      </w:r>
      <w:r>
        <w:t>标人需对政务云平台使用网络设备运行状况、网络流量、用户行为、特权命令等进行日志记录，能够根据记录数据进行分析并生成审计报表，同时对系统审计的记录进行有效安全保护，避免受到未预期的删除、修改或覆盖等不安全操作。</w:t>
      </w:r>
    </w:p>
    <w:p>
      <w:pPr>
        <w:widowControl/>
        <w:numPr>
          <w:ilvl w:val="0"/>
          <w:numId w:val="11"/>
        </w:numPr>
        <w:topLinePunct/>
        <w:adjustRightInd w:val="0"/>
        <w:snapToGrid w:val="0"/>
        <w:spacing w:before="160" w:after="160" w:line="276" w:lineRule="auto"/>
        <w:ind w:left="1124" w:leftChars="400" w:hanging="284"/>
        <w:jc w:val="left"/>
      </w:pPr>
      <w:r>
        <w:t>边界完整性检查：</w:t>
      </w:r>
      <w:r>
        <w:rPr>
          <w:rFonts w:hint="eastAsia"/>
        </w:rPr>
        <w:t>中</w:t>
      </w:r>
      <w:r>
        <w:t>标人通过部署网络行为管理系统、安全审计系统应能够对非授权设备私自连到内部网络的行为及内部网络用户私自连到外部网络的行为进行检查，能根据用户信息、主机信息、IP信息等准确定出非法互联位置，并对其进行有效的网络阻断控制。</w:t>
      </w:r>
    </w:p>
    <w:p>
      <w:pPr>
        <w:widowControl/>
        <w:numPr>
          <w:ilvl w:val="0"/>
          <w:numId w:val="11"/>
        </w:numPr>
        <w:topLinePunct/>
        <w:adjustRightInd w:val="0"/>
        <w:snapToGrid w:val="0"/>
        <w:spacing w:before="160" w:after="160" w:line="276" w:lineRule="auto"/>
        <w:ind w:left="1124" w:leftChars="400" w:hanging="284"/>
        <w:jc w:val="left"/>
      </w:pPr>
      <w:r>
        <w:t>入侵防范：配备有IDS或IPS入侵防范、检测系统或安全网关系统，实现的实时防范功能应包括：端口扫描、强力攻击、木马后门攻击、拒绝服务攻击、缓冲区溢出攻击、IP碎片攻击和网络蠕虫攻击等非法网络攻击行为，当检测到攻击行为时，系统将详细记录相关信息，同时在发生严重入侵事件时具备报警、记录功能。</w:t>
      </w:r>
    </w:p>
    <w:p>
      <w:pPr>
        <w:widowControl/>
        <w:numPr>
          <w:ilvl w:val="0"/>
          <w:numId w:val="11"/>
        </w:numPr>
        <w:topLinePunct/>
        <w:adjustRightInd w:val="0"/>
        <w:snapToGrid w:val="0"/>
        <w:spacing w:before="160" w:after="160" w:line="276" w:lineRule="auto"/>
        <w:ind w:left="1124" w:leftChars="400" w:hanging="284"/>
        <w:jc w:val="left"/>
      </w:pPr>
      <w:r>
        <w:t>恶意代码防范：</w:t>
      </w:r>
      <w:r>
        <w:rPr>
          <w:rFonts w:hint="eastAsia"/>
        </w:rPr>
        <w:t>中</w:t>
      </w:r>
      <w:r>
        <w:t>标人在网络的边界处对各种恶意代码进行检测和清除功能，系统应支持自动及手工方式对恶意代码库的升级和检测系统的更新功能。</w:t>
      </w:r>
    </w:p>
    <w:p>
      <w:pPr>
        <w:widowControl/>
        <w:numPr>
          <w:ilvl w:val="0"/>
          <w:numId w:val="11"/>
        </w:numPr>
        <w:topLinePunct/>
        <w:adjustRightInd w:val="0"/>
        <w:snapToGrid w:val="0"/>
        <w:spacing w:before="160" w:after="160" w:line="276" w:lineRule="auto"/>
        <w:ind w:left="1124" w:leftChars="400" w:hanging="284"/>
        <w:jc w:val="left"/>
      </w:pPr>
      <w:r>
        <w:t>网络设备防护：</w:t>
      </w:r>
      <w:r>
        <w:rPr>
          <w:rFonts w:hint="eastAsia"/>
        </w:rPr>
        <w:t>中</w:t>
      </w:r>
      <w:r>
        <w:t>标人所使用的网络设备均应支持对登录用户的身份鉴别功能，支持采用加密用户口令鉴、RADIUS身份认证等方式，可通过命令行、Web、中文图形化配置软件等方式进行配置和管理，并可通过ACL访问控制列表的方式实现对网络设备的管理员登录地址进行限制，所有网络设备用户均应具备唯一标识。</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主机安全：对主机的物理安全摆放位置，主机访问控制方面进行保护。</w:t>
      </w:r>
    </w:p>
    <w:p>
      <w:pPr>
        <w:widowControl/>
        <w:numPr>
          <w:ilvl w:val="0"/>
          <w:numId w:val="12"/>
        </w:numPr>
        <w:topLinePunct/>
        <w:adjustRightInd w:val="0"/>
        <w:snapToGrid w:val="0"/>
        <w:spacing w:before="160" w:after="160" w:line="276" w:lineRule="auto"/>
        <w:ind w:left="1124" w:leftChars="400" w:hanging="284"/>
        <w:jc w:val="left"/>
      </w:pPr>
      <w:r>
        <w:t>主机访问控制：主机系统应启用主机系统的访问控制功能，依据安全策略控制用户对资源的访问权限，通过系统的技术维护措施严格限制默认账户的访问权限，对重要信息资源设置敏感标记，并依据安全策略严格控制用户对有敏感标记重要信息资源的操作。</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资产管理：支持展示主机中的账号、开放端口、进程、软件、自启动项等信息。</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漏洞处理：支持漏洞检测、漏洞检测结果现实、漏洞具体信息展示和漏洞处置，漏洞信息显示包含漏洞名称、风险程度、漏洞描述、修复建议和漏洞详情，漏洞处置包括忽略、取消忽略、批量主机一键修复和验证。</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基线检查：口令复杂度策略检测支持口令复杂度策略检测和结果显示，给出修改建议，帮助用户提升口令安全性。支持检测系统账号口令是否属于常见的弱口令，防止账户口令被轻易猜解。支持检测常见应用不安全配置项的检测。</w:t>
      </w:r>
    </w:p>
    <w:p>
      <w:pPr>
        <w:widowControl/>
        <w:numPr>
          <w:ilvl w:val="0"/>
          <w:numId w:val="12"/>
        </w:numPr>
        <w:topLinePunct/>
        <w:adjustRightInd w:val="0"/>
        <w:snapToGrid w:val="0"/>
        <w:spacing w:before="160" w:after="160" w:line="276" w:lineRule="auto"/>
        <w:ind w:left="1124" w:leftChars="400" w:hanging="284"/>
        <w:jc w:val="left"/>
      </w:pPr>
      <w:r>
        <w:rPr>
          <w:rFonts w:hint="eastAsia"/>
          <w:lang w:val="en-US" w:eastAsia="zh-CN"/>
        </w:rPr>
        <w:t>入侵检测：支持高危命令执行检测，支持恶意程序检测、WebShell、反弹Shell检测、进程异常、暴力破解等检测能力。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云管理平台安全：包括虚拟化及云运维管理平台的安全保护，支持物理资源与虚拟资源统一管理。</w:t>
      </w:r>
    </w:p>
    <w:p>
      <w:pPr>
        <w:widowControl/>
        <w:numPr>
          <w:ilvl w:val="0"/>
          <w:numId w:val="13"/>
        </w:numPr>
        <w:topLinePunct/>
        <w:adjustRightInd w:val="0"/>
        <w:snapToGrid w:val="0"/>
        <w:spacing w:before="160" w:after="160" w:line="276" w:lineRule="auto"/>
        <w:ind w:left="1124" w:leftChars="400" w:hanging="284"/>
        <w:jc w:val="left"/>
      </w:pPr>
      <w:r>
        <w:t>虚拟化安全：支持有代理或者无代理安全方式进行虚拟环境的整体防护；整体的虚拟化安全措施应避免“病毒风暴”。</w:t>
      </w:r>
    </w:p>
    <w:p>
      <w:pPr>
        <w:widowControl/>
        <w:numPr>
          <w:ilvl w:val="0"/>
          <w:numId w:val="13"/>
        </w:numPr>
        <w:topLinePunct/>
        <w:adjustRightInd w:val="0"/>
        <w:snapToGrid w:val="0"/>
        <w:spacing w:before="160" w:after="160" w:line="276" w:lineRule="auto"/>
        <w:ind w:left="1124" w:leftChars="400" w:hanging="284"/>
        <w:jc w:val="left"/>
      </w:pPr>
      <w:r>
        <w:t>政务云平台安全：如果云运维管理平台需要数据库的支持，应保护好云</w:t>
      </w:r>
      <w:r>
        <w:rPr>
          <w:rFonts w:ascii="宋体" w:hAnsi="宋体"/>
        </w:rPr>
        <w:t>运维</w:t>
      </w:r>
      <w:r>
        <w:t>管理平台的数据库安全，设置强壮复杂的密码策略、备份数据库和配置相关的网络安全服务；云</w:t>
      </w:r>
      <w:r>
        <w:rPr>
          <w:rFonts w:ascii="宋体" w:hAnsi="宋体"/>
        </w:rPr>
        <w:t>运维</w:t>
      </w:r>
      <w:r>
        <w:t>管理平台的访问许可应加强管理，删除不需要的用户账号；安装云</w:t>
      </w:r>
      <w:r>
        <w:rPr>
          <w:rFonts w:ascii="宋体" w:hAnsi="宋体"/>
        </w:rPr>
        <w:t>运维</w:t>
      </w:r>
      <w:r>
        <w:t>管理平台软件的操作系统需设置安全策略。</w:t>
      </w:r>
    </w:p>
    <w:p>
      <w:pPr>
        <w:widowControl/>
        <w:numPr>
          <w:ilvl w:val="0"/>
          <w:numId w:val="13"/>
        </w:numPr>
        <w:topLinePunct/>
        <w:adjustRightInd w:val="0"/>
        <w:snapToGrid w:val="0"/>
        <w:spacing w:before="160" w:after="160" w:line="276" w:lineRule="auto"/>
        <w:ind w:left="1124" w:leftChars="400" w:hanging="284"/>
        <w:jc w:val="left"/>
      </w:pPr>
      <w:r>
        <w:t>政务云平台访问控制安全：用户在访问政务云平台资源过程中支持使用数字证书进行身份认证，包括但不限于中标人维护人员、委办局操作人员、政务云管理单位监管人员，且数字证书的介质购买和服务费由中标人提供。</w:t>
      </w:r>
    </w:p>
    <w:p>
      <w:pPr>
        <w:widowControl/>
        <w:numPr>
          <w:ilvl w:val="0"/>
          <w:numId w:val="10"/>
        </w:numPr>
        <w:topLinePunct/>
        <w:adjustRightInd w:val="0"/>
        <w:snapToGrid w:val="0"/>
        <w:spacing w:before="160" w:after="160" w:line="276" w:lineRule="auto"/>
        <w:jc w:val="left"/>
        <w:rPr>
          <w:rFonts w:ascii="宋体" w:hAnsi="宋体"/>
        </w:rPr>
      </w:pPr>
      <w:r>
        <w:rPr>
          <w:rFonts w:ascii="宋体" w:hAnsi="宋体"/>
        </w:rPr>
        <w:t>委办局单位部署在政务云平台中的应用系统在执行国家及本市有关电子政务信息安全管理办法的过程中，若发现重大安全事故或者安全隐患时，中标人需要配合进行安全整改。</w:t>
      </w:r>
    </w:p>
    <w:p>
      <w:pPr>
        <w:spacing w:line="276" w:lineRule="auto"/>
      </w:pPr>
    </w:p>
    <w:p>
      <w:pPr>
        <w:pStyle w:val="5"/>
        <w:numPr>
          <w:ilvl w:val="2"/>
          <w:numId w:val="5"/>
        </w:numPr>
        <w:spacing w:before="160" w:line="300" w:lineRule="exact"/>
        <w:ind w:left="420"/>
        <w:rPr>
          <w:rFonts w:ascii="宋体" w:hAnsi="宋体"/>
        </w:rPr>
      </w:pPr>
      <w:bookmarkStart w:id="33" w:name="_Toc34080589"/>
      <w:bookmarkStart w:id="34" w:name="_Toc34080405"/>
      <w:bookmarkStart w:id="35" w:name="_Toc32419947"/>
      <w:r>
        <w:rPr>
          <w:rFonts w:ascii="宋体" w:hAnsi="宋体"/>
        </w:rPr>
        <w:t>安全设备要求</w:t>
      </w:r>
      <w:bookmarkEnd w:id="33"/>
      <w:bookmarkEnd w:id="34"/>
    </w:p>
    <w:p>
      <w:pPr>
        <w:spacing w:line="276" w:lineRule="auto"/>
        <w:ind w:firstLine="420"/>
      </w:pPr>
      <w:r>
        <w:t>政务云平台使用的安全服务设备配置和性能不得低于以下参考标准，可以由同一台和多台设备实现。</w:t>
      </w:r>
    </w:p>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0"/>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spacing w:line="276" w:lineRule="auto"/>
              <w:rPr>
                <w:rFonts w:ascii="宋体" w:hAnsi="宋体"/>
                <w:b/>
              </w:rPr>
            </w:pPr>
            <w:r>
              <w:rPr>
                <w:rFonts w:ascii="宋体" w:hAnsi="宋体"/>
                <w:b/>
              </w:rPr>
              <w:t>用途：边界防火墙</w:t>
            </w:r>
            <w:r>
              <w:rPr>
                <w:rFonts w:ascii="Calibri"/>
              </w:rPr>
              <w:t xml:space="preserve"> </w:t>
            </w:r>
            <w:r>
              <w:rPr>
                <w:rFonts w:ascii="宋体" w:hAnsi="宋体"/>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5" w:type="pct"/>
            <w:gridSpan w:val="2"/>
            <w:shd w:val="clear" w:color="auto" w:fill="BFBFBF"/>
            <w:vAlign w:val="center"/>
          </w:tcPr>
          <w:p>
            <w:pPr>
              <w:spacing w:line="276" w:lineRule="auto"/>
              <w:rPr>
                <w:rFonts w:ascii="宋体" w:hAnsi="宋体"/>
                <w:b/>
              </w:rPr>
            </w:pPr>
            <w:r>
              <w:rPr>
                <w:rFonts w:ascii="宋体" w:hAnsi="宋体"/>
                <w:b/>
              </w:rPr>
              <w:t>指标项</w:t>
            </w:r>
          </w:p>
        </w:tc>
        <w:tc>
          <w:tcPr>
            <w:tcW w:w="4065" w:type="pct"/>
            <w:shd w:val="clear" w:color="auto" w:fill="BFBFBF"/>
            <w:vAlign w:val="center"/>
          </w:tcPr>
          <w:p>
            <w:pPr>
              <w:spacing w:line="276" w:lineRule="auto"/>
              <w:rPr>
                <w:rFonts w:ascii="宋体" w:hAnsi="宋体"/>
                <w:b/>
              </w:rPr>
            </w:pPr>
            <w:r>
              <w:rPr>
                <w:rFonts w:ascii="宋体" w:hAnsi="宋体"/>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≥16个10GE+4个40GE/100GE；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扩展接口</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可通过扩展插槽网络接口；整机槽位数≥4；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IPv4≥480Gbps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并发数</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≥3</w:t>
            </w:r>
            <w:r>
              <w:rPr>
                <w:rFonts w:hint="eastAsia" w:ascii="宋体" w:hAnsi="宋体" w:cs="Times New Roman"/>
              </w:rPr>
              <w:t>.</w:t>
            </w:r>
            <w:r>
              <w:rPr>
                <w:rFonts w:ascii="宋体" w:hAnsi="宋体" w:cs="Times New Roman"/>
              </w:rPr>
              <w:t xml:space="preserve">2 </w:t>
            </w:r>
            <w:r>
              <w:rPr>
                <w:rFonts w:hint="eastAsia" w:ascii="宋体" w:hAnsi="宋体" w:cs="Times New Roman"/>
              </w:rPr>
              <w:t>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新建连接数</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≥800万/秒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虚拟化</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配置可以与核心网络设备兼容的虚拟防火墙；支持不低于1000个虚拟系统。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攻击防范</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提供ARP欺骗攻击、TCP报文标志位不合法攻击、Large ICMP报文攻击、地址扫描攻击和端口扫描攻击等多种恶意攻击，同时支持黑名单、MAC绑定、内容过滤等功能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lang w:val="en-GB"/>
              </w:rPr>
              <w:t>增强状态安全过滤</w:t>
            </w:r>
          </w:p>
        </w:tc>
        <w:tc>
          <w:tcPr>
            <w:tcW w:w="4078"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实现</w:t>
            </w:r>
            <w:r>
              <w:rPr>
                <w:rFonts w:ascii="宋体" w:hAnsi="宋体" w:cs="Times New Roman"/>
                <w:lang w:val="en-GB"/>
              </w:rPr>
              <w:t>基础、扩展和基于接口的状态检测包过滤技术；支持对每一个连接状态信息的维护监测并动态地过滤数据包，支持对应用层协议的状态监控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5" w:type="pct"/>
            <w:gridSpan w:val="2"/>
            <w:vAlign w:val="center"/>
          </w:tcPr>
          <w:p>
            <w:pPr>
              <w:spacing w:line="276" w:lineRule="auto"/>
              <w:rPr>
                <w:rFonts w:ascii="宋体" w:hAnsi="宋体"/>
                <w:bCs/>
              </w:rPr>
            </w:pPr>
            <w:r>
              <w:rPr>
                <w:rFonts w:ascii="宋体" w:hAnsi="宋体" w:cs="Times New Roman"/>
              </w:rPr>
              <w:t>硬件要求</w:t>
            </w:r>
          </w:p>
        </w:tc>
        <w:tc>
          <w:tcPr>
            <w:tcW w:w="4065" w:type="pct"/>
            <w:vAlign w:val="center"/>
          </w:tcPr>
          <w:p>
            <w:pPr>
              <w:rPr>
                <w:rFonts w:ascii="宋体" w:hAnsi="宋体" w:cs="Times New Roman"/>
              </w:rPr>
            </w:pPr>
            <w:r>
              <w:rPr>
                <w:rFonts w:ascii="宋体" w:hAnsi="宋体" w:cs="Times New Roman"/>
              </w:rPr>
              <w:t>实配双主控，双电源，保障设备可靠性；风扇和风扇框都需要采用冗余设计；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jc w:val="center"/>
        </w:trPr>
        <w:tc>
          <w:tcPr>
            <w:tcW w:w="935" w:type="pct"/>
            <w:gridSpan w:val="2"/>
            <w:vAlign w:val="center"/>
          </w:tcPr>
          <w:p>
            <w:pPr>
              <w:spacing w:line="276" w:lineRule="auto"/>
              <w:rPr>
                <w:rFonts w:ascii="宋体" w:hAnsi="宋体"/>
                <w:bCs/>
              </w:rPr>
            </w:pPr>
            <w:r>
              <w:rPr>
                <w:rFonts w:ascii="宋体" w:hAnsi="宋体" w:cs="Times New Roman"/>
              </w:rPr>
              <w:t>可靠性</w:t>
            </w:r>
          </w:p>
        </w:tc>
        <w:tc>
          <w:tcPr>
            <w:tcW w:w="4065" w:type="pct"/>
            <w:vAlign w:val="center"/>
          </w:tcPr>
          <w:p>
            <w:pPr>
              <w:spacing w:line="276" w:lineRule="auto"/>
              <w:rPr>
                <w:rFonts w:ascii="宋体" w:hAnsi="宋体"/>
                <w:bCs/>
              </w:rPr>
            </w:pPr>
            <w:r>
              <w:rPr>
                <w:rFonts w:ascii="宋体" w:hAnsi="宋体" w:cs="Times New Roman"/>
              </w:rPr>
              <w:t>支持BFD链路检测，支持BFD与VRRP联动实现双机快速切换，支持BFD与OSPF联动实现双机快速切换；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935" w:type="pct"/>
            <w:gridSpan w:val="2"/>
            <w:vAlign w:val="center"/>
          </w:tcPr>
          <w:p>
            <w:pPr>
              <w:spacing w:line="276" w:lineRule="auto"/>
              <w:rPr>
                <w:rFonts w:ascii="宋体" w:hAnsi="宋体"/>
                <w:bCs/>
              </w:rPr>
            </w:pPr>
            <w:r>
              <w:rPr>
                <w:rFonts w:ascii="宋体" w:hAnsi="宋体" w:cs="Times New Roman"/>
              </w:rPr>
              <w:t>IPV6</w:t>
            </w:r>
          </w:p>
        </w:tc>
        <w:tc>
          <w:tcPr>
            <w:tcW w:w="4065" w:type="pct"/>
            <w:vAlign w:val="center"/>
          </w:tcPr>
          <w:p>
            <w:pPr>
              <w:spacing w:line="276" w:lineRule="auto"/>
              <w:rPr>
                <w:rFonts w:ascii="宋体" w:hAnsi="宋体"/>
                <w:bCs/>
              </w:rPr>
            </w:pPr>
            <w:r>
              <w:rPr>
                <w:rFonts w:ascii="宋体" w:hAnsi="宋体" w:cs="Times New Roman"/>
              </w:rPr>
              <w:t>支持IPv6协议栈、IPV6穿越技术、IPV6路由协议；支持IPv6 over IPv4 隧道，6RD隧道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935" w:type="pct"/>
            <w:gridSpan w:val="2"/>
            <w:vAlign w:val="center"/>
          </w:tcPr>
          <w:p>
            <w:pPr>
              <w:spacing w:line="276" w:lineRule="auto"/>
              <w:rPr>
                <w:rFonts w:ascii="宋体" w:hAnsi="宋体"/>
                <w:bCs/>
              </w:rPr>
            </w:pPr>
            <w:r>
              <w:rPr>
                <w:rFonts w:ascii="宋体" w:hAnsi="宋体" w:cs="Times New Roman"/>
              </w:rPr>
              <w:t>NAT</w:t>
            </w:r>
          </w:p>
        </w:tc>
        <w:tc>
          <w:tcPr>
            <w:tcW w:w="4065" w:type="pct"/>
            <w:vAlign w:val="center"/>
          </w:tcPr>
          <w:p>
            <w:pPr>
              <w:spacing w:line="276" w:lineRule="auto"/>
              <w:rPr>
                <w:rFonts w:ascii="宋体" w:hAnsi="宋体"/>
                <w:bCs/>
              </w:rPr>
            </w:pPr>
            <w:r>
              <w:rPr>
                <w:rFonts w:ascii="宋体" w:hAnsi="宋体" w:cs="Times New Roman"/>
              </w:rPr>
              <w:t>支持全面NAT功能，对多种应用层协议支持ALG功能；支持NAT66，NAT64</w:t>
            </w:r>
          </w:p>
        </w:tc>
      </w:tr>
    </w:tbl>
    <w:p>
      <w:pPr>
        <w:spacing w:line="276" w:lineRule="auto"/>
        <w:rPr>
          <w:rFonts w:ascii="宋体" w:hAnsi="宋体"/>
          <w:bCs/>
        </w:rPr>
      </w:pPr>
    </w:p>
    <w:tbl>
      <w:tblPr>
        <w:tblStyle w:val="10"/>
        <w:tblW w:w="4603" w:type="pct"/>
        <w:jc w:val="center"/>
        <w:tblLayout w:type="autofit"/>
        <w:tblCellMar>
          <w:top w:w="0" w:type="dxa"/>
          <w:left w:w="108" w:type="dxa"/>
          <w:bottom w:w="0" w:type="dxa"/>
          <w:right w:w="108" w:type="dxa"/>
        </w:tblCellMar>
      </w:tblPr>
      <w:tblGrid>
        <w:gridCol w:w="1713"/>
        <w:gridCol w:w="6132"/>
      </w:tblGrid>
      <w:tr>
        <w:tblPrEx>
          <w:tblCellMar>
            <w:top w:w="0" w:type="dxa"/>
            <w:left w:w="108" w:type="dxa"/>
            <w:bottom w:w="0" w:type="dxa"/>
            <w:right w:w="108" w:type="dxa"/>
          </w:tblCellMar>
        </w:tblPrEx>
        <w:trPr>
          <w:trHeight w:val="454"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pPr>
            <w:r>
              <w:rPr>
                <w:rFonts w:ascii="宋体" w:hAnsi="宋体"/>
                <w:b/>
              </w:rPr>
              <w:t>用途：专线防火墙</w:t>
            </w:r>
            <w:r>
              <w:rPr>
                <w:rFonts w:ascii="Calibri"/>
              </w:rPr>
              <w:t xml:space="preserve"> </w:t>
            </w:r>
          </w:p>
        </w:tc>
      </w:tr>
      <w:tr>
        <w:tblPrEx>
          <w:tblCellMar>
            <w:top w:w="0" w:type="dxa"/>
            <w:left w:w="108" w:type="dxa"/>
            <w:bottom w:w="0" w:type="dxa"/>
            <w:right w:w="108" w:type="dxa"/>
          </w:tblCellMar>
        </w:tblPrEx>
        <w:trPr>
          <w:trHeight w:val="285" w:hRule="atLeast"/>
          <w:jc w:val="center"/>
        </w:trPr>
        <w:tc>
          <w:tcPr>
            <w:tcW w:w="1092" w:type="pct"/>
            <w:tcBorders>
              <w:top w:val="single" w:color="auto" w:sz="4" w:space="0"/>
              <w:left w:val="single" w:color="auto" w:sz="4" w:space="0"/>
              <w:bottom w:val="single" w:color="auto" w:sz="4" w:space="0"/>
              <w:right w:val="single" w:color="auto" w:sz="4" w:space="0"/>
            </w:tcBorders>
            <w:shd w:val="clear" w:color="auto" w:fill="BFBFBF"/>
            <w:vAlign w:val="center"/>
          </w:tcPr>
          <w:p>
            <w:pPr>
              <w:spacing w:line="276" w:lineRule="auto"/>
              <w:rPr>
                <w:rFonts w:ascii="宋体" w:hAnsi="宋体"/>
                <w:b/>
              </w:rPr>
            </w:pPr>
            <w:r>
              <w:rPr>
                <w:rFonts w:ascii="宋体" w:hAnsi="宋体"/>
                <w:b/>
              </w:rPr>
              <w:t>指标项</w:t>
            </w:r>
          </w:p>
        </w:tc>
        <w:tc>
          <w:tcPr>
            <w:tcW w:w="3907" w:type="pct"/>
            <w:tcBorders>
              <w:top w:val="single" w:color="auto" w:sz="4" w:space="0"/>
              <w:left w:val="nil"/>
              <w:bottom w:val="single" w:color="auto" w:sz="4" w:space="0"/>
              <w:right w:val="single" w:color="auto" w:sz="4" w:space="0"/>
            </w:tcBorders>
            <w:shd w:val="clear" w:color="auto" w:fill="BFBFBF"/>
            <w:vAlign w:val="center"/>
          </w:tcPr>
          <w:p>
            <w:pPr>
              <w:spacing w:line="276" w:lineRule="auto"/>
              <w:rPr>
                <w:rFonts w:ascii="宋体" w:hAnsi="宋体"/>
                <w:b/>
              </w:rPr>
            </w:pPr>
            <w:r>
              <w:rPr>
                <w:rFonts w:ascii="宋体" w:hAnsi="宋体"/>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≥2*10GE+4*GE电+4*GE光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highlight w:val="yellow"/>
              </w:rPr>
            </w:pPr>
            <w:r>
              <w:rPr>
                <w:rFonts w:ascii="宋体" w:hAnsi="宋体" w:cs="Times New Roman"/>
              </w:rPr>
              <w:t>IPv4≥50Gbps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并发数</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新建连接数</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≥50万/秒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虚拟化</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配置可以与核心网络设备兼容的虚拟防火墙；支持不低于1000个虚拟系统。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攻击防范</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提供ARP欺骗攻击、TCP报文标志位不合法攻击、Large ICMP报文攻击、地址扫描攻击和端口扫描攻击等多种恶意攻击，同时支持黑名单、MAC绑定、内容过滤等功能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92"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增强状态安全过滤</w:t>
            </w:r>
          </w:p>
        </w:tc>
        <w:tc>
          <w:tcPr>
            <w:tcW w:w="390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实现</w:t>
            </w:r>
            <w:r>
              <w:rPr>
                <w:rFonts w:hAnsi="宋体"/>
                <w:lang w:val="en-GB"/>
              </w:rPr>
              <w:t>基础、扩展和基于接口的状态检测包过滤技术；支持对每一个连接状态信息的维护监测并动态地过滤数据包，支持对应用层协议的状态监控</w:t>
            </w:r>
          </w:p>
        </w:tc>
      </w:tr>
      <w:tr>
        <w:tblPrEx>
          <w:tblCellMar>
            <w:top w:w="0" w:type="dxa"/>
            <w:left w:w="108" w:type="dxa"/>
            <w:bottom w:w="0" w:type="dxa"/>
            <w:right w:w="108" w:type="dxa"/>
          </w:tblCellMar>
        </w:tblPrEx>
        <w:trPr>
          <w:trHeight w:val="70" w:hRule="atLeast"/>
          <w:jc w:val="center"/>
        </w:trPr>
        <w:tc>
          <w:tcPr>
            <w:tcW w:w="1092"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入侵防御</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支持入侵防御功能。系统预定义IPS签名数量≥12000，支持用户自定义签名规则，支持正则表达式，支持对常见应用服务（HTTP、FTP、SSH、SMTP、IMAP）和数据库软件（MySQL、Oracle、MSSQL）的口令暴力破解防护功能；支持恶意域名过滤，实现对C&amp;C进行阻断</w:t>
            </w:r>
          </w:p>
        </w:tc>
      </w:tr>
      <w:tr>
        <w:tblPrEx>
          <w:tblCellMar>
            <w:top w:w="0" w:type="dxa"/>
            <w:left w:w="108" w:type="dxa"/>
            <w:bottom w:w="0" w:type="dxa"/>
            <w:right w:w="108" w:type="dxa"/>
          </w:tblCellMar>
        </w:tblPrEx>
        <w:trPr>
          <w:trHeight w:val="255" w:hRule="atLeast"/>
          <w:jc w:val="center"/>
        </w:trPr>
        <w:tc>
          <w:tcPr>
            <w:tcW w:w="1092" w:type="pct"/>
            <w:tcBorders>
              <w:top w:val="nil"/>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病毒防护</w:t>
            </w:r>
          </w:p>
        </w:tc>
        <w:tc>
          <w:tcPr>
            <w:tcW w:w="3907"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bCs/>
              </w:rPr>
              <w:t>支持病毒防护功能。病毒库数量≥500w，可以支持HTTP、FTP、SMTP、POP3、IMAP、NFS等协议的病毒防护</w:t>
            </w:r>
          </w:p>
        </w:tc>
      </w:tr>
      <w:tr>
        <w:tblPrEx>
          <w:tblCellMar>
            <w:top w:w="0" w:type="dxa"/>
            <w:left w:w="108" w:type="dxa"/>
            <w:bottom w:w="0" w:type="dxa"/>
            <w:right w:w="108" w:type="dxa"/>
          </w:tblCellMar>
        </w:tblPrEx>
        <w:trPr>
          <w:trHeight w:val="257" w:hRule="atLeast"/>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可靠性</w:t>
            </w:r>
          </w:p>
        </w:tc>
        <w:tc>
          <w:tcPr>
            <w:tcW w:w="3907" w:type="pct"/>
            <w:tcBorders>
              <w:top w:val="single" w:color="auto" w:sz="4" w:space="0"/>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支持BFD链路检测，支持BFD与VRRP联动实现双机快速切换，支持BFD与OSPF联动实现双机快速切换；</w:t>
            </w:r>
          </w:p>
        </w:tc>
      </w:tr>
      <w:tr>
        <w:tblPrEx>
          <w:tblCellMar>
            <w:top w:w="0" w:type="dxa"/>
            <w:left w:w="108" w:type="dxa"/>
            <w:bottom w:w="0" w:type="dxa"/>
            <w:right w:w="108" w:type="dxa"/>
          </w:tblCellMar>
        </w:tblPrEx>
        <w:trPr>
          <w:trHeight w:val="355" w:hRule="atLeast"/>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IPV6</w:t>
            </w:r>
          </w:p>
        </w:tc>
        <w:tc>
          <w:tcPr>
            <w:tcW w:w="3907" w:type="pct"/>
            <w:tcBorders>
              <w:top w:val="single" w:color="auto" w:sz="4" w:space="0"/>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支持IPv6协议栈、IPV6穿越技术、IPV6路由协议；支持IPv6 over IPv4 隧道，6RD隧道</w:t>
            </w:r>
          </w:p>
        </w:tc>
      </w:tr>
      <w:tr>
        <w:tblPrEx>
          <w:tblCellMar>
            <w:top w:w="0" w:type="dxa"/>
            <w:left w:w="108" w:type="dxa"/>
            <w:bottom w:w="0" w:type="dxa"/>
            <w:right w:w="108" w:type="dxa"/>
          </w:tblCellMar>
        </w:tblPrEx>
        <w:trPr>
          <w:trHeight w:val="539" w:hRule="atLeast"/>
          <w:jc w:val="center"/>
        </w:trPr>
        <w:tc>
          <w:tcPr>
            <w:tcW w:w="1092" w:type="pct"/>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NAT</w:t>
            </w:r>
          </w:p>
        </w:tc>
        <w:tc>
          <w:tcPr>
            <w:tcW w:w="3907" w:type="pct"/>
            <w:tcBorders>
              <w:top w:val="nil"/>
              <w:left w:val="nil"/>
              <w:bottom w:val="single" w:color="auto" w:sz="4" w:space="0"/>
              <w:right w:val="single" w:color="auto" w:sz="4" w:space="0"/>
            </w:tcBorders>
            <w:vAlign w:val="center"/>
          </w:tcPr>
          <w:p>
            <w:pPr>
              <w:spacing w:line="276" w:lineRule="auto"/>
              <w:rPr>
                <w:rFonts w:ascii="宋体" w:hAnsi="宋体"/>
                <w:bCs/>
              </w:rPr>
            </w:pPr>
            <w:r>
              <w:rPr>
                <w:rFonts w:ascii="宋体" w:hAnsi="宋体" w:cs="Times New Roman"/>
              </w:rPr>
              <w:t>支持全面NAT功能，对多种应用层协议支持ALG功能；支持NAT66，NAT64</w:t>
            </w:r>
          </w:p>
        </w:tc>
      </w:tr>
    </w:tbl>
    <w:p>
      <w:pPr>
        <w:spacing w:line="276" w:lineRule="auto"/>
      </w:pPr>
    </w:p>
    <w:tbl>
      <w:tblPr>
        <w:tblStyle w:val="10"/>
        <w:tblW w:w="4575" w:type="pct"/>
        <w:tblInd w:w="390" w:type="dxa"/>
        <w:tblLayout w:type="fixed"/>
        <w:tblCellMar>
          <w:top w:w="0" w:type="dxa"/>
          <w:left w:w="108" w:type="dxa"/>
          <w:bottom w:w="0" w:type="dxa"/>
          <w:right w:w="108" w:type="dxa"/>
        </w:tblCellMar>
      </w:tblPr>
      <w:tblGrid>
        <w:gridCol w:w="1416"/>
        <w:gridCol w:w="6382"/>
      </w:tblGrid>
      <w:tr>
        <w:tblPrEx>
          <w:tblCellMar>
            <w:top w:w="0" w:type="dxa"/>
            <w:left w:w="108" w:type="dxa"/>
            <w:bottom w:w="0" w:type="dxa"/>
            <w:right w:w="108" w:type="dxa"/>
          </w:tblCellMar>
        </w:tblPrEx>
        <w:trPr>
          <w:trHeight w:val="330" w:hRule="atLeast"/>
        </w:trPr>
        <w:tc>
          <w:tcPr>
            <w:tcW w:w="77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eastAsiaTheme="minorEastAsia"/>
                <w:b/>
                <w:lang w:val="en-US" w:eastAsia="zh-CN"/>
              </w:rPr>
            </w:pPr>
            <w:r>
              <w:rPr>
                <w:rFonts w:hint="eastAsia" w:ascii="宋体" w:hAnsi="宋体"/>
                <w:b/>
                <w:lang w:eastAsia="zh-CN"/>
              </w:rPr>
              <w:t>云平台</w:t>
            </w:r>
            <w:r>
              <w:rPr>
                <w:rFonts w:hint="eastAsia" w:ascii="宋体" w:hAnsi="宋体"/>
                <w:b/>
              </w:rPr>
              <w:t>D</w:t>
            </w:r>
            <w:r>
              <w:rPr>
                <w:rFonts w:ascii="宋体" w:hAnsi="宋体"/>
                <w:b/>
              </w:rPr>
              <w:t>D</w:t>
            </w:r>
            <w:r>
              <w:rPr>
                <w:rFonts w:hint="eastAsia" w:ascii="宋体" w:hAnsi="宋体"/>
                <w:b/>
              </w:rPr>
              <w:t>o</w:t>
            </w:r>
            <w:r>
              <w:rPr>
                <w:rFonts w:ascii="宋体" w:hAnsi="宋体"/>
                <w:b/>
              </w:rPr>
              <w:t>S</w:t>
            </w:r>
            <w:r>
              <w:rPr>
                <w:rFonts w:hint="eastAsia" w:ascii="宋体" w:hAnsi="宋体"/>
                <w:b/>
                <w:lang w:val="en-US" w:eastAsia="zh-CN"/>
              </w:rPr>
              <w:t>防护</w:t>
            </w:r>
          </w:p>
        </w:tc>
      </w:tr>
      <w:tr>
        <w:tblPrEx>
          <w:tblCellMar>
            <w:top w:w="0" w:type="dxa"/>
            <w:left w:w="108" w:type="dxa"/>
            <w:bottom w:w="0" w:type="dxa"/>
            <w:right w:w="108" w:type="dxa"/>
          </w:tblCellMar>
        </w:tblPrEx>
        <w:trPr>
          <w:trHeight w:val="330" w:hRule="atLeast"/>
        </w:trPr>
        <w:tc>
          <w:tcPr>
            <w:tcW w:w="1416" w:type="dxa"/>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pPr>
              <w:spacing w:line="276" w:lineRule="auto"/>
              <w:rPr>
                <w:rFonts w:ascii="宋体" w:hAnsi="宋体"/>
                <w:b/>
              </w:rPr>
            </w:pPr>
            <w:r>
              <w:rPr>
                <w:rFonts w:ascii="宋体" w:hAnsi="宋体"/>
                <w:b/>
              </w:rPr>
              <w:t>指标项</w:t>
            </w:r>
          </w:p>
        </w:tc>
        <w:tc>
          <w:tcPr>
            <w:tcW w:w="6382" w:type="dxa"/>
            <w:tcBorders>
              <w:top w:val="single" w:color="auto" w:sz="4" w:space="0"/>
              <w:left w:val="nil"/>
              <w:bottom w:val="single" w:color="auto" w:sz="4" w:space="0"/>
              <w:right w:val="single" w:color="auto" w:sz="4" w:space="0"/>
            </w:tcBorders>
            <w:shd w:val="clear" w:color="auto" w:fill="A5A5A5" w:themeFill="background1" w:themeFillShade="A6"/>
            <w:vAlign w:val="center"/>
          </w:tcPr>
          <w:p>
            <w:pPr>
              <w:spacing w:line="276" w:lineRule="auto"/>
              <w:rPr>
                <w:rFonts w:hint="eastAsia" w:ascii="宋体" w:hAnsi="宋体"/>
                <w:b/>
              </w:rPr>
            </w:pPr>
            <w:r>
              <w:rPr>
                <w:rFonts w:ascii="宋体" w:hAnsi="宋体"/>
                <w:b/>
              </w:rPr>
              <w:t>指标要求</w:t>
            </w:r>
          </w:p>
        </w:tc>
      </w:tr>
      <w:tr>
        <w:tblPrEx>
          <w:tblCellMar>
            <w:top w:w="0" w:type="dxa"/>
            <w:left w:w="108" w:type="dxa"/>
            <w:bottom w:w="0" w:type="dxa"/>
            <w:right w:w="108" w:type="dxa"/>
          </w:tblCellMar>
        </w:tblPrEx>
        <w:trPr>
          <w:trHeight w:val="66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防御性能</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清洗设备最大防御能力≥200Gbps；</w:t>
            </w:r>
          </w:p>
          <w:p>
            <w:pPr>
              <w:spacing w:line="276" w:lineRule="auto"/>
              <w:rPr>
                <w:rFonts w:hint="eastAsia" w:ascii="宋体" w:hAnsi="宋体" w:cs="Times New Roman"/>
              </w:rPr>
            </w:pPr>
            <w:r>
              <w:rPr>
                <w:rFonts w:hint="eastAsia" w:ascii="宋体" w:hAnsi="宋体" w:cs="Times New Roman"/>
              </w:rPr>
              <w:t>检测设备性能≥160,000Flow/秒处理能力</w:t>
            </w:r>
          </w:p>
        </w:tc>
      </w:tr>
      <w:tr>
        <w:trPr>
          <w:trHeight w:val="660" w:hRule="atLeast"/>
        </w:trPr>
        <w:tc>
          <w:tcPr>
            <w:tcW w:w="1416" w:type="dxa"/>
            <w:tcBorders>
              <w:top w:val="single" w:color="auto" w:sz="4" w:space="0"/>
              <w:left w:val="single" w:color="auto" w:sz="4" w:space="0"/>
              <w:bottom w:val="nil"/>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部署模式</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支持检测设备、清洗设备旁路部署，逐包检测动态引流，支持BGP动态引流，支持PBR回注(策略路由)、二层回注；</w:t>
            </w:r>
          </w:p>
        </w:tc>
      </w:tr>
      <w:tr>
        <w:tblPrEx>
          <w:tblCellMar>
            <w:top w:w="0" w:type="dxa"/>
            <w:left w:w="108" w:type="dxa"/>
            <w:bottom w:w="0" w:type="dxa"/>
            <w:right w:w="108" w:type="dxa"/>
          </w:tblCellMar>
        </w:tblPrEx>
        <w:trPr>
          <w:trHeight w:val="330" w:hRule="atLeast"/>
        </w:trPr>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 xml:space="preserve">IPv4/IPv6 </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支持IPV4/IPV6共栈防御。</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HTTP CC攻击防御</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支持基于行为分析防御针对WEB、APP的HTTP CC/大资源高频请求攻击。</w:t>
            </w:r>
          </w:p>
        </w:tc>
      </w:tr>
      <w:tr>
        <w:tblPrEx>
          <w:tblCellMar>
            <w:top w:w="0" w:type="dxa"/>
            <w:left w:w="108" w:type="dxa"/>
            <w:bottom w:w="0" w:type="dxa"/>
            <w:right w:w="108" w:type="dxa"/>
          </w:tblCellMar>
        </w:tblPrEx>
        <w:trPr>
          <w:trHeight w:val="66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高频HTTPS加密攻击</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支持基于行为分析不解密防御针对WEB网站、APP的HTTPS应用层攻击。</w:t>
            </w:r>
          </w:p>
        </w:tc>
      </w:tr>
      <w:tr>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网络层泛洪攻击防御能力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支持基于源SYN报文比例异常检测防御真实源SYN攻击。</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DNS应用攻击防御能力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支持基于源IP Query限速，防御真实源DNS Flood。</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SIP应用攻击防御能力</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支持基于源挑战认证防御虚假源SIP Flood；支持基于源限速防御真实源SIP Flood。</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黑洞</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支持自动和手动黑洞，支持路由黑洞和本机黑洞2种黑洞模式。</w:t>
            </w:r>
          </w:p>
        </w:tc>
      </w:tr>
      <w:tr>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黑白名单</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支持静态黑白名单。</w:t>
            </w:r>
          </w:p>
        </w:tc>
      </w:tr>
      <w:tr>
        <w:tblPrEx>
          <w:tblCellMar>
            <w:top w:w="0" w:type="dxa"/>
            <w:left w:w="108" w:type="dxa"/>
            <w:bottom w:w="0" w:type="dxa"/>
            <w:right w:w="108" w:type="dxa"/>
          </w:tblCellMar>
        </w:tblPrEx>
        <w:trPr>
          <w:trHeight w:val="330"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防御策略</w:t>
            </w:r>
          </w:p>
        </w:tc>
        <w:tc>
          <w:tcPr>
            <w:tcW w:w="6382" w:type="dxa"/>
            <w:tcBorders>
              <w:top w:val="nil"/>
              <w:left w:val="nil"/>
              <w:bottom w:val="single" w:color="auto" w:sz="4" w:space="0"/>
              <w:right w:val="single" w:color="auto" w:sz="4" w:space="0"/>
            </w:tcBorders>
            <w:shd w:val="clear" w:color="auto" w:fill="auto"/>
            <w:vAlign w:val="center"/>
          </w:tcPr>
          <w:p>
            <w:pPr>
              <w:spacing w:line="276" w:lineRule="auto"/>
              <w:rPr>
                <w:rFonts w:hint="eastAsia" w:ascii="宋体" w:hAnsi="宋体" w:cs="Times New Roman"/>
              </w:rPr>
            </w:pPr>
            <w:r>
              <w:rPr>
                <w:rFonts w:hint="eastAsia" w:ascii="宋体" w:hAnsi="宋体" w:cs="Times New Roman"/>
              </w:rPr>
              <w:t>支持引流模式、防御模式、黑洞模式配置。</w:t>
            </w:r>
          </w:p>
        </w:tc>
      </w:tr>
    </w:tbl>
    <w:tbl>
      <w:tblPr>
        <w:tblStyle w:val="10"/>
        <w:tblpPr w:leftFromText="180" w:rightFromText="180" w:vertAnchor="text" w:horzAnchor="page" w:tblpX="2136" w:tblpY="731"/>
        <w:tblOverlap w:val="never"/>
        <w:tblW w:w="7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50"/>
        <w:gridCol w:w="6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cstheme="minorEastAsia"/>
                <w:b/>
                <w:sz w:val="21"/>
                <w:szCs w:val="21"/>
                <w:lang w:val="en-US" w:eastAsia="zh-CN"/>
              </w:rPr>
              <w:t>骨干网</w:t>
            </w:r>
            <w:r>
              <w:rPr>
                <w:rFonts w:hint="eastAsia" w:asciiTheme="minorEastAsia" w:hAnsiTheme="minorEastAsia" w:eastAsiaTheme="minorEastAsia" w:cstheme="minorEastAsia"/>
                <w:b/>
                <w:sz w:val="21"/>
                <w:szCs w:val="21"/>
                <w:lang w:val="en-US" w:eastAsia="zh-CN"/>
              </w:rPr>
              <w:t>抗</w:t>
            </w:r>
            <w:r>
              <w:rPr>
                <w:rFonts w:hint="eastAsia" w:asciiTheme="minorEastAsia" w:hAnsiTheme="minorEastAsia" w:cstheme="minorEastAsia"/>
                <w:b/>
                <w:sz w:val="21"/>
                <w:szCs w:val="21"/>
                <w:lang w:val="en-US" w:eastAsia="zh-CN"/>
              </w:rPr>
              <w:t>DDOS</w:t>
            </w:r>
            <w:r>
              <w:rPr>
                <w:rFonts w:hint="eastAsia" w:asciiTheme="minorEastAsia" w:hAnsiTheme="minorEastAsia" w:eastAsiaTheme="minorEastAsia" w:cstheme="minorEastAsia"/>
                <w:b/>
                <w:sz w:val="21"/>
                <w:szCs w:val="21"/>
                <w:lang w:val="en-US" w:eastAsia="zh-CN"/>
              </w:rPr>
              <w:t>近源防护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pacing w:line="276" w:lineRule="auto"/>
              <w:rPr>
                <w:rFonts w:hint="eastAsia" w:ascii="宋体" w:hAnsi="宋体"/>
                <w:b/>
              </w:rPr>
            </w:pPr>
            <w:r>
              <w:rPr>
                <w:rFonts w:hint="eastAsia" w:ascii="宋体" w:hAnsi="宋体"/>
                <w:b/>
                <w:lang w:val="en-US" w:eastAsia="zh-CN"/>
              </w:rPr>
              <w:t>指标项</w:t>
            </w:r>
          </w:p>
        </w:tc>
        <w:tc>
          <w:tcPr>
            <w:tcW w:w="601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spacing w:line="276" w:lineRule="auto"/>
              <w:rPr>
                <w:rFonts w:hint="eastAsia" w:ascii="宋体" w:hAnsi="宋体"/>
                <w:b/>
              </w:rPr>
            </w:pPr>
            <w:r>
              <w:rPr>
                <w:rFonts w:hint="eastAsia" w:ascii="宋体" w:hAnsi="宋体"/>
                <w:b/>
                <w:lang w:val="en-US" w:eastAsia="zh-CN"/>
              </w:rPr>
              <w:t>指标要求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能力要求</w:t>
            </w: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DDoS防护类型：在国内骨干网支持TCP、UDP、HTTP、HTTPS等协议的攻击防护，支持的攻击防护类型包括：SYNFlood、SYN-ACKFloodACKFlood、FIN/RSTFlood、TCP连接耗尽攻击、TCP分片攻击、TCP异常报文、UDPFlood、UDP分片、ICMPFlood。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rPr>
            </w:pP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DDoS攻击检测：可以实现基于统计攻击特征行为的识别和阻断功能,以及正常流量处理、攻击特征库维护、安全管理及日志审计等功能。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rPr>
            </w:pP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清洗能力：在国内骨干网上提供近源清洗的防DDoS攻击能力。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cstheme="minorEastAsia"/>
                <w:i w:val="0"/>
                <w:iCs w:val="0"/>
                <w:color w:val="000000"/>
                <w:sz w:val="21"/>
                <w:szCs w:val="21"/>
                <w:u w:val="none"/>
                <w:lang w:val="en-US" w:eastAsia="zh-CN"/>
              </w:rPr>
              <w:t>性能</w:t>
            </w:r>
          </w:p>
        </w:tc>
        <w:tc>
          <w:tcPr>
            <w:tcW w:w="6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在紧急情况下可以根据要求在骨干网实现国内跨省、跨网、跨境不同方向的流量过滤。</w:t>
            </w:r>
          </w:p>
        </w:tc>
      </w:tr>
    </w:tbl>
    <w:p>
      <w:pPr>
        <w:pStyle w:val="2"/>
      </w:pPr>
    </w:p>
    <w:p>
      <w:pPr>
        <w:spacing w:line="276" w:lineRule="auto"/>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b/>
              </w:rPr>
              <w:t>用途：流量分析检测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937" w:type="pct"/>
            <w:shd w:val="clear" w:color="auto" w:fill="D9D9D9"/>
          </w:tcPr>
          <w:p>
            <w:pPr>
              <w:spacing w:line="276" w:lineRule="auto"/>
              <w:jc w:val="center"/>
              <w:textAlignment w:val="baseline"/>
              <w:rPr>
                <w:rFonts w:ascii="宋体" w:hAnsi="宋体" w:cs="Times New Roman"/>
                <w:b/>
                <w:bCs/>
                <w:kern w:val="0"/>
              </w:rPr>
            </w:pPr>
            <w:r>
              <w:rPr>
                <w:rFonts w:ascii="宋体" w:hAnsi="宋体" w:cs="Times New Roman"/>
                <w:b/>
              </w:rPr>
              <w:t>指标项</w:t>
            </w:r>
          </w:p>
        </w:tc>
        <w:tc>
          <w:tcPr>
            <w:tcW w:w="4063" w:type="pct"/>
            <w:shd w:val="clear" w:color="auto" w:fill="D9D9D9"/>
          </w:tcPr>
          <w:p>
            <w:pPr>
              <w:spacing w:line="276" w:lineRule="auto"/>
              <w:textAlignment w:val="baseline"/>
              <w:rPr>
                <w:rFonts w:ascii="宋体" w:hAnsi="宋体" w:cs="Times New Roman"/>
                <w:b/>
                <w:bCs/>
                <w:kern w:val="0"/>
              </w:rPr>
            </w:pPr>
            <w:r>
              <w:rPr>
                <w:rFonts w:ascii="宋体" w:hAnsi="宋体" w:cs="Times New Roman"/>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37" w:type="pct"/>
          </w:tcPr>
          <w:p>
            <w:pPr>
              <w:spacing w:line="276" w:lineRule="auto"/>
              <w:textAlignment w:val="baseline"/>
              <w:rPr>
                <w:rFonts w:ascii="宋体" w:hAnsi="宋体" w:cs="Times New Roman"/>
                <w:kern w:val="0"/>
              </w:rPr>
            </w:pPr>
            <w:r>
              <w:rPr>
                <w:rFonts w:ascii="宋体" w:hAnsi="宋体" w:cs="Times New Roman"/>
                <w:kern w:val="0"/>
              </w:rPr>
              <w:t>性能</w:t>
            </w:r>
          </w:p>
        </w:tc>
        <w:tc>
          <w:tcPr>
            <w:tcW w:w="4063" w:type="pct"/>
          </w:tcPr>
          <w:p>
            <w:pPr>
              <w:spacing w:line="276" w:lineRule="auto"/>
              <w:textAlignment w:val="baseline"/>
              <w:rPr>
                <w:rFonts w:ascii="宋体" w:hAnsi="宋体" w:cs="Times New Roman"/>
                <w:kern w:val="0"/>
              </w:rPr>
            </w:pPr>
            <w:r>
              <w:rPr>
                <w:rFonts w:ascii="宋体" w:hAnsi="宋体" w:cs="Times New Roman"/>
                <w:kern w:val="0"/>
              </w:rPr>
              <w:t>探针规格及数量：1台，机架式，2U；采集端口：4个SFP千兆接口；存储空间 16TB裸空间；报文处理能力4Gbps，支持通过第三方外挂存储扩展存储空间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937" w:type="pct"/>
          </w:tcPr>
          <w:p>
            <w:pPr>
              <w:spacing w:line="276" w:lineRule="auto"/>
              <w:textAlignment w:val="baseline"/>
              <w:rPr>
                <w:rFonts w:ascii="宋体" w:hAnsi="宋体" w:cs="Times New Roman"/>
                <w:kern w:val="0"/>
              </w:rPr>
            </w:pPr>
            <w:r>
              <w:rPr>
                <w:rFonts w:ascii="宋体" w:hAnsi="宋体" w:cs="Times New Roman"/>
                <w:kern w:val="0"/>
              </w:rPr>
              <w:t>功能</w:t>
            </w:r>
          </w:p>
        </w:tc>
        <w:tc>
          <w:tcPr>
            <w:tcW w:w="4063" w:type="pct"/>
          </w:tcPr>
          <w:p>
            <w:pPr>
              <w:spacing w:line="276" w:lineRule="auto"/>
              <w:textAlignment w:val="baseline"/>
              <w:rPr>
                <w:rFonts w:ascii="宋体" w:hAnsi="宋体" w:cs="Times New Roman"/>
                <w:kern w:val="0"/>
              </w:rPr>
            </w:pPr>
            <w:r>
              <w:rPr>
                <w:rFonts w:ascii="宋体" w:hAnsi="宋体" w:cs="Times New Roman"/>
                <w:kern w:val="0"/>
              </w:rPr>
              <w:t>1、支持3层及以上的VLAN流量的识别，可以选择VLAN的不同层次进行识别和统计，并在KPI中加以区别显示；支持对交换机镜像（SPAN）或TAP汇聚产生的重复流量去除重复网络报文，支持任意多采集端口的流量汇聚分析，并可区分上下行；</w:t>
            </w:r>
          </w:p>
          <w:p>
            <w:pPr>
              <w:spacing w:line="276" w:lineRule="auto"/>
              <w:textAlignment w:val="baseline"/>
              <w:rPr>
                <w:rFonts w:ascii="宋体" w:hAnsi="宋体" w:cs="Times New Roman"/>
                <w:kern w:val="0"/>
              </w:rPr>
            </w:pPr>
            <w:r>
              <w:rPr>
                <w:rFonts w:ascii="宋体" w:hAnsi="宋体" w:cs="Times New Roman"/>
                <w:kern w:val="0"/>
              </w:rPr>
              <w:t>2、支持按URL自定义应用，自定义应用规则生效于每个捕获端口，支持通过HTTP的路径参数、请求体、返回体中的报文字段定义应用，可枚举HTTP的路径参数、请求体、返回体中的报文字段，自动生成分析维度；</w:t>
            </w:r>
          </w:p>
          <w:p>
            <w:pPr>
              <w:spacing w:line="276" w:lineRule="auto"/>
              <w:textAlignment w:val="baseline"/>
              <w:rPr>
                <w:rFonts w:ascii="宋体" w:hAnsi="宋体" w:cs="Times New Roman"/>
                <w:kern w:val="0"/>
              </w:rPr>
            </w:pPr>
            <w:r>
              <w:rPr>
                <w:rFonts w:ascii="宋体" w:hAnsi="宋体" w:cs="Times New Roman"/>
                <w:kern w:val="0"/>
              </w:rPr>
              <w:t>3、应用分析：支持pv、uv、访问ip的统计分析，支持实时分析HTTP协议的应用KPI：URL、请求方式、Error code、应用响应时间、总页面传输时间。并可提取单笔交互的网络数据报文。支持实时分析Oracle协议的应用KPI：Oracle 语句、Error code、应用响应时间、总语句响应时间。并可提取单笔交互的网络数据报文。支持通过导入SSL key解码https流量；</w:t>
            </w:r>
          </w:p>
          <w:p>
            <w:pPr>
              <w:spacing w:line="276" w:lineRule="auto"/>
              <w:textAlignment w:val="baseline"/>
              <w:rPr>
                <w:rFonts w:ascii="宋体" w:hAnsi="宋体" w:cs="Times New Roman"/>
                <w:kern w:val="0"/>
              </w:rPr>
            </w:pPr>
            <w:r>
              <w:rPr>
                <w:rFonts w:ascii="宋体" w:hAnsi="宋体" w:cs="Times New Roman"/>
                <w:kern w:val="0"/>
              </w:rPr>
              <w:t>4、业务量、业务平均响应时间、业务峰值响应时间、业务响应率、业务成功率，业务返回码，支持配置业务字段作为统计分析维度，统计KPI包含上述业务KPI；支持全量记录每笔业务的上述业务KPI，以及自定义维度字段。并可通过and、or条件组合多个过滤条件逻辑运算组合，检索关键字段输出过滤结果，支持提取单笔交易的原始网络报文，保存为pcap格式，进行数据取证。支持通过特定字段关联追踪单笔或多笔业务在各个节点的时间与状态。包含：延时、可用性、返回码、业务系统类型等状态。</w:t>
            </w:r>
          </w:p>
          <w:p>
            <w:pPr>
              <w:spacing w:line="276" w:lineRule="auto"/>
              <w:textAlignment w:val="baseline"/>
              <w:rPr>
                <w:rFonts w:ascii="宋体" w:hAnsi="宋体" w:cs="Times New Roman"/>
                <w:kern w:val="0"/>
              </w:rPr>
            </w:pPr>
            <w:r>
              <w:rPr>
                <w:rFonts w:ascii="宋体" w:hAnsi="宋体" w:cs="Times New Roman"/>
                <w:kern w:val="0"/>
              </w:rPr>
              <w:t>5、支持通过Restful读取每条规则、支持向Kafka接口输出每条规则、TCP会话的KPI详单表；支持通过URL直接调用每条规则、TCP会话的KPI时序图；</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b/>
              </w:rPr>
              <w:t>用途：政务外网入侵防御系统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安全策略，应用识别与管控，入侵防御，反病毒，DoS/DDoS 攻击防护/检测，SSL 加密流量检测，IPv6 报文检测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入侵防御</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准确检测并防御针对操作系统、应用、服务器等各种漏洞的攻击，支持 0 day 攻击防护。可防护各种针对web的攻击，包括SQL注入攻击和跨站脚本攻击等。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防病毒</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支持网络防病毒功能，病毒库定时更新，可检出病毒数量≥500万。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≥16GE电口和8个SFP+光口和4个10GE光口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应用层检测吞吐量≥72Gbps，最大并发连接数≥320M，新建会话速率≥1M个/秒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模块</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具备BYPASS功能模块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防御能力</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rPr>
              <w:t>具有流量模型自学习能力，当短时间内大规模爆发的病毒导致网络流量激增时，能自动发现并阻断攻击和异常流量，以保护路由器、交换机、VoIP系统、DNS服务器等网络基础设施免遭各种恶意攻击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eastAsia="Times New Roman" w:cs="Times New Roman"/>
              </w:rPr>
            </w:pPr>
            <w:r>
              <w:rPr>
                <w:rFonts w:ascii="宋体" w:hAnsi="宋体" w:cs="Times New Roman"/>
              </w:rPr>
              <w:t>攻击分析功能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hAnsi="宋体"/>
                <w:lang w:val="en-GB"/>
              </w:rPr>
              <w:t>应具备攻击快照功能，详细记录触发告警的数据特征，以便做进一步的事件分析</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highlight w:val="yellow"/>
              </w:rPr>
            </w:pPr>
            <w:r>
              <w:rPr>
                <w:rFonts w:ascii="宋体" w:hAnsi="宋体" w:cs="Times New Roman"/>
                <w:b/>
              </w:rPr>
              <w:t>用途：互联网入侵防御系统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安全策略，应用识别与管控，入侵防御，反病毒，DoS/DDoS 攻击防护/检测，SSL 加密流量检测，IPv6 报文检测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入侵防御</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准确检测并防御针对操作系统、应用、服务器等各种漏洞的攻击，支持 0 day 攻击防护。可防护各种针对web的攻击，包括SQL注入攻击和跨站脚本攻击等。系统预定义入侵防御签名库数量不得少于10000条且具备CVE和CNNVD编号的签名条目数不得少于8000，支持用户自定义签名规则，支持正则表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防病毒</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支持网络防病毒功能，病毒库定时更新，可检出病毒数量≥500万。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应用识别及控制</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模块应包括对P2P，IM，网络游戏，炒股软件，语音聊天工具，流媒体，常用邮件以及远程控制软件等的识别和控制，支持不少于6000种的应用识别能力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硬件要求</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整机业务扩展插槽≥4，支持双主控、双电源，风扇冗余设计；前后风道；主控板、接口板和业务板分离，电源、风扇、主控板、接口板、业务板支持热插拔；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≥24个10GE光口、≥2个100GE光口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应用层检测吞吐量≥120Gbps，最大并发连接数≥320M，新建会话速率≥4.5M/</w:t>
            </w:r>
            <w:r>
              <w:rPr>
                <w:rFonts w:hint="eastAsia" w:ascii="宋体" w:hAnsi="宋体"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路由</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支持静态路由、策略路由，OSFP、BGP、ISIS等路由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事件分级</w:t>
            </w:r>
          </w:p>
        </w:tc>
        <w:tc>
          <w:tcPr>
            <w:tcW w:w="4077"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Times New Roman"/>
              </w:rPr>
            </w:pPr>
            <w:r>
              <w:rPr>
                <w:rFonts w:ascii="宋体" w:hAnsi="宋体" w:cs="Times New Roman"/>
              </w:rPr>
              <w:t>系统支持除了基于攻击事件本身进行严重级别划分，还可以根据攻击与资产相关性关联进行风险级别定义，协助管理员关注实际环境中需要紧急处理的安全告警，提升安全事件响应效率</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rPr>
            </w:pPr>
            <w:r>
              <w:rPr>
                <w:rFonts w:ascii="宋体" w:hAnsi="宋体" w:cs="Times New Roman"/>
                <w:b/>
              </w:rPr>
              <w:t>用途：漏洞扫描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rPr>
            </w:pPr>
            <w:r>
              <w:rPr>
                <w:rFonts w:ascii="宋体" w:hAnsi="宋体" w:cs="Times New Roman"/>
                <w:b/>
              </w:rPr>
              <w:t>指标项</w:t>
            </w:r>
          </w:p>
        </w:tc>
        <w:tc>
          <w:tcPr>
            <w:tcW w:w="4077"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rPr>
            </w:pPr>
            <w:r>
              <w:rPr>
                <w:rFonts w:ascii="宋体" w:hAnsi="宋体" w:cs="Times New Roman"/>
                <w:b/>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具备功能：用户管理，用户审计，任务管理，策略管理，扫描功能，资产管理，报表快速查看，报表管理，报告导出，升级功能，检测工具，第三方接口，漏洞验证，无限用户数；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无限IP扫描能力，单任务可并发扫描≥90IP；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7"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≥1*RJ45串口，1*GE管理口，6电口，SFP插槽≥1个。</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b/>
                <w:kern w:val="0"/>
              </w:rPr>
              <w:t>用途：流量监控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7"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硬件参数</w:t>
            </w:r>
          </w:p>
        </w:tc>
        <w:tc>
          <w:tcPr>
            <w:tcW w:w="406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宋体"/>
                <w:kern w:val="0"/>
              </w:rPr>
            </w:pPr>
            <w:r>
              <w:rPr>
                <w:rFonts w:ascii="宋体" w:hAnsi="宋体" w:cs="Times New Roman"/>
                <w:kern w:val="0"/>
              </w:rPr>
              <w:t>接口：≥4个SFP+插槽，≥7个千兆电口；机械硬盘：≥48TB，固态硬盘：≥256G；</w:t>
            </w:r>
            <w:r>
              <w:rPr>
                <w:rFonts w:ascii="宋体" w:hAnsi="宋体" w:cs="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性能</w:t>
            </w:r>
          </w:p>
        </w:tc>
        <w:tc>
          <w:tcPr>
            <w:tcW w:w="406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吞吐量：≥10G，最大并发连接数：≥1200万；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7"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功能</w:t>
            </w:r>
          </w:p>
        </w:tc>
        <w:tc>
          <w:tcPr>
            <w:tcW w:w="4063"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宋体"/>
              </w:rPr>
            </w:pPr>
            <w:r>
              <w:rPr>
                <w:rFonts w:ascii="宋体" w:hAnsi="宋体" w:cs="宋体"/>
              </w:rPr>
              <w:t>支持动态图实时展示访问流量／流向数据；</w:t>
            </w:r>
          </w:p>
          <w:p>
            <w:pPr>
              <w:spacing w:line="276" w:lineRule="auto"/>
              <w:textAlignment w:val="baseline"/>
              <w:rPr>
                <w:rFonts w:ascii="宋体" w:hAnsi="宋体" w:cs="宋体"/>
              </w:rPr>
            </w:pPr>
            <w:r>
              <w:rPr>
                <w:rFonts w:ascii="宋体" w:hAnsi="宋体" w:cs="宋体"/>
              </w:rPr>
              <w:t>检测识别流量的大小、分布、</w:t>
            </w:r>
            <w:r>
              <w:t>TOPN</w:t>
            </w:r>
            <w:r>
              <w:rPr>
                <w:rFonts w:ascii="宋体" w:hAnsi="宋体" w:cs="宋体"/>
              </w:rPr>
              <w:t>排名；</w:t>
            </w:r>
          </w:p>
          <w:p>
            <w:pPr>
              <w:spacing w:line="276" w:lineRule="auto"/>
              <w:textAlignment w:val="baseline"/>
              <w:rPr>
                <w:rFonts w:ascii="宋体" w:hAnsi="宋体" w:cs="宋体"/>
              </w:rPr>
            </w:pPr>
            <w:r>
              <w:rPr>
                <w:rFonts w:ascii="宋体" w:hAnsi="宋体" w:cs="宋体"/>
              </w:rPr>
              <w:t>会话流量记录数据包含记录时间、源地址、源端口、目的地址、目的端口、源</w:t>
            </w:r>
            <w:r>
              <w:t>MAC</w:t>
            </w:r>
            <w:r>
              <w:rPr>
                <w:rFonts w:ascii="宋体" w:hAnsi="宋体" w:cs="宋体"/>
              </w:rPr>
              <w:t>地址、目的</w:t>
            </w:r>
            <w:r>
              <w:t>MAC</w:t>
            </w:r>
            <w:r>
              <w:rPr>
                <w:rFonts w:ascii="宋体" w:hAnsi="宋体" w:cs="宋体"/>
              </w:rPr>
              <w:t>地址、应用、开始时间、持续时间、总字节数、总包个数等关键指；</w:t>
            </w:r>
          </w:p>
          <w:p>
            <w:pPr>
              <w:spacing w:line="276" w:lineRule="auto"/>
              <w:textAlignment w:val="baseline"/>
              <w:rPr>
                <w:rFonts w:ascii="宋体" w:hAnsi="宋体" w:cs="宋体"/>
              </w:rPr>
            </w:pPr>
            <w:r>
              <w:rPr>
                <w:rFonts w:ascii="宋体" w:hAnsi="宋体" w:cs="宋体"/>
              </w:rPr>
              <w:t>支持对网络各层流量进行统计分析形成统计报表、趋势报表、综合报表、对比报表；</w:t>
            </w:r>
          </w:p>
          <w:p>
            <w:pPr>
              <w:spacing w:line="276" w:lineRule="auto"/>
              <w:textAlignment w:val="baseline"/>
              <w:rPr>
                <w:rFonts w:ascii="宋体" w:hAnsi="宋体"/>
              </w:rPr>
            </w:pPr>
            <w:r>
              <w:rPr>
                <w:rFonts w:ascii="宋体" w:hAnsi="宋体" w:cs="宋体"/>
              </w:rPr>
              <w:t>支持大屏展示安全态势感知，支持在地图上按攻击方与被攻击方角度查看安全事件轨迹、支持统计分析和实时动态展示，展示攻击类型、严重等级、严重地理区域、攻击趋势、攻击以及被攻击部门、机构、个人最严重</w:t>
            </w:r>
            <w:r>
              <w:t>TOP</w:t>
            </w:r>
            <w:r>
              <w:rPr>
                <w:rFonts w:ascii="宋体" w:hAnsi="宋体" w:cs="宋体"/>
              </w:rPr>
              <w:t>等信息</w:t>
            </w:r>
            <w:r>
              <w:rPr>
                <w:rFonts w:ascii="宋体" w:hAnsi="宋体"/>
              </w:rPr>
              <w:t>；</w:t>
            </w:r>
          </w:p>
          <w:p>
            <w:pPr>
              <w:spacing w:line="276" w:lineRule="auto"/>
              <w:textAlignment w:val="baseline"/>
              <w:rPr>
                <w:rFonts w:ascii="宋体" w:hAnsi="宋体" w:cs="Times New Roman"/>
                <w:kern w:val="0"/>
              </w:rPr>
            </w:pPr>
            <w:r>
              <w:rPr>
                <w:rFonts w:ascii="宋体" w:hAnsi="宋体" w:cs="宋体"/>
              </w:rPr>
              <w:t>支持高级报表功能，最多可以定制五个维度的业务系统报告和网络流量分析报告报表内容。支持日表、周表、月表、季表、年表等不同周期统计方式，报表提供的形式包括</w:t>
            </w:r>
            <w:r>
              <w:t>pdf</w:t>
            </w:r>
            <w:r>
              <w:rPr>
                <w:rFonts w:ascii="宋体" w:hAnsi="宋体" w:cs="宋体"/>
              </w:rPr>
              <w:t>等形式，支持邮件方式推送</w:t>
            </w:r>
            <w:r>
              <w:rPr>
                <w:rFonts w:ascii="宋体" w:hAnsi="宋体"/>
              </w:rPr>
              <w:t>；</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b/>
                <w:kern w:val="0"/>
              </w:rPr>
            </w:pPr>
            <w:r>
              <w:rPr>
                <w:rFonts w:ascii="宋体" w:hAnsi="宋体" w:cs="Times New Roman"/>
                <w:b/>
                <w:kern w:val="0"/>
              </w:rPr>
              <w:t>用途：日志审计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spacing w:line="276" w:lineRule="auto"/>
              <w:textAlignment w:val="baseline"/>
              <w:rPr>
                <w:rFonts w:ascii="宋体" w:hAnsi="宋体" w:cs="Times New Roman"/>
                <w:b/>
                <w:kern w:val="0"/>
              </w:rPr>
            </w:pPr>
            <w:r>
              <w:rPr>
                <w:rFonts w:ascii="宋体" w:hAnsi="宋体" w:cs="Times New Roman"/>
                <w:b/>
                <w:kern w:val="0"/>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spacing w:line="276" w:lineRule="auto"/>
              <w:textAlignment w:val="baseline"/>
              <w:rPr>
                <w:rFonts w:ascii="宋体" w:hAnsi="宋体" w:cs="Times New Roman"/>
                <w:kern w:val="0"/>
              </w:rPr>
            </w:pPr>
            <w:r>
              <w:rPr>
                <w:rFonts w:ascii="宋体" w:hAnsi="宋体" w:cs="Times New Roman"/>
                <w:kern w:val="0"/>
              </w:rPr>
              <w:t>功能</w:t>
            </w:r>
          </w:p>
        </w:tc>
        <w:tc>
          <w:tcPr>
            <w:tcW w:w="4063"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rPr>
                <w:rFonts w:ascii="宋体" w:hAnsi="宋体" w:eastAsia="宋体"/>
                <w:szCs w:val="21"/>
              </w:rPr>
            </w:pPr>
            <w:r>
              <w:rPr>
                <w:rFonts w:hint="eastAsia" w:ascii="宋体" w:hAnsi="宋体" w:eastAsia="宋体"/>
                <w:szCs w:val="21"/>
              </w:rPr>
              <w:t>产品应为国内知名</w:t>
            </w:r>
            <w:r>
              <w:rPr>
                <w:rFonts w:ascii="宋体" w:hAnsi="宋体" w:eastAsia="宋体"/>
                <w:szCs w:val="21"/>
              </w:rPr>
              <w:t>日志云管理软件</w:t>
            </w:r>
            <w:r>
              <w:rPr>
                <w:rFonts w:hint="eastAsia" w:ascii="宋体" w:hAnsi="宋体" w:eastAsia="宋体"/>
                <w:szCs w:val="21"/>
              </w:rPr>
              <w:t>品牌，非</w:t>
            </w:r>
            <w:r>
              <w:rPr>
                <w:rFonts w:ascii="宋体" w:hAnsi="宋体" w:eastAsia="宋体"/>
                <w:szCs w:val="21"/>
              </w:rPr>
              <w:t>OEM产品。</w:t>
            </w:r>
            <w:r>
              <w:rPr>
                <w:rFonts w:hint="eastAsia" w:ascii="宋体" w:hAnsi="宋体" w:eastAsia="宋体"/>
                <w:szCs w:val="21"/>
              </w:rPr>
              <w:t>支持部署在国产操作系统上。</w:t>
            </w:r>
          </w:p>
          <w:p>
            <w:pPr>
              <w:pStyle w:val="12"/>
              <w:ind w:firstLine="0" w:firstLineChars="0"/>
              <w:rPr>
                <w:rFonts w:ascii="宋体" w:hAnsi="宋体" w:eastAsia="宋体"/>
                <w:szCs w:val="21"/>
              </w:rPr>
            </w:pPr>
            <w:r>
              <w:rPr>
                <w:rFonts w:hint="eastAsia" w:ascii="宋体" w:hAnsi="宋体" w:eastAsia="宋体"/>
                <w:szCs w:val="21"/>
              </w:rPr>
              <w:t>采用不低于两个节点的多副本冗余</w:t>
            </w:r>
            <w:r>
              <w:rPr>
                <w:rFonts w:ascii="宋体" w:hAnsi="宋体" w:eastAsia="宋体"/>
                <w:szCs w:val="21"/>
              </w:rPr>
              <w:t>存储集群</w:t>
            </w:r>
            <w:r>
              <w:rPr>
                <w:rFonts w:hint="eastAsia" w:ascii="宋体" w:hAnsi="宋体" w:eastAsia="宋体"/>
                <w:szCs w:val="21"/>
              </w:rPr>
              <w:t>式</w:t>
            </w:r>
            <w:r>
              <w:rPr>
                <w:rFonts w:ascii="宋体" w:hAnsi="宋体" w:eastAsia="宋体"/>
                <w:szCs w:val="21"/>
              </w:rPr>
              <w:t>架构</w:t>
            </w:r>
            <w:r>
              <w:rPr>
                <w:rFonts w:hint="eastAsia" w:ascii="宋体" w:hAnsi="宋体" w:eastAsia="宋体"/>
                <w:szCs w:val="21"/>
              </w:rPr>
              <w:t>，支持副本数≥</w:t>
            </w:r>
            <w:r>
              <w:rPr>
                <w:rFonts w:ascii="宋体" w:hAnsi="宋体" w:eastAsia="宋体"/>
                <w:szCs w:val="21"/>
              </w:rPr>
              <w:t>3</w:t>
            </w:r>
            <w:r>
              <w:rPr>
                <w:rFonts w:hint="eastAsia" w:ascii="宋体" w:hAnsi="宋体" w:eastAsia="宋体"/>
                <w:szCs w:val="21"/>
              </w:rPr>
              <w:t>，</w:t>
            </w:r>
            <w:r>
              <w:rPr>
                <w:rFonts w:ascii="宋体" w:hAnsi="宋体" w:eastAsia="宋体"/>
                <w:szCs w:val="21"/>
              </w:rPr>
              <w:t>支持横向扩展方式，采用分布式数据</w:t>
            </w:r>
            <w:r>
              <w:rPr>
                <w:rFonts w:hint="eastAsia" w:ascii="宋体" w:hAnsi="宋体" w:eastAsia="宋体"/>
                <w:szCs w:val="21"/>
              </w:rPr>
              <w:t>采集与</w:t>
            </w:r>
            <w:r>
              <w:rPr>
                <w:rFonts w:ascii="宋体" w:hAnsi="宋体" w:eastAsia="宋体"/>
                <w:szCs w:val="21"/>
              </w:rPr>
              <w:t>处理机制，</w:t>
            </w:r>
            <w:r>
              <w:rPr>
                <w:rFonts w:hint="eastAsia" w:ascii="宋体" w:hAnsi="宋体" w:eastAsia="宋体"/>
                <w:szCs w:val="21"/>
              </w:rPr>
              <w:t>平台具备至少处理</w:t>
            </w:r>
            <w:r>
              <w:rPr>
                <w:rFonts w:ascii="宋体" w:hAnsi="宋体" w:eastAsia="宋体"/>
                <w:szCs w:val="21"/>
              </w:rPr>
              <w:t>80TB</w:t>
            </w:r>
            <w:r>
              <w:rPr>
                <w:rFonts w:hint="eastAsia" w:ascii="宋体" w:hAnsi="宋体" w:eastAsia="宋体"/>
                <w:szCs w:val="21"/>
              </w:rPr>
              <w:t>日志</w:t>
            </w:r>
            <w:r>
              <w:rPr>
                <w:rFonts w:ascii="宋体" w:hAnsi="宋体" w:eastAsia="宋体"/>
                <w:szCs w:val="21"/>
              </w:rPr>
              <w:t>数据</w:t>
            </w:r>
            <w:r>
              <w:rPr>
                <w:rFonts w:hint="eastAsia" w:ascii="宋体" w:hAnsi="宋体" w:eastAsia="宋体"/>
                <w:szCs w:val="21"/>
              </w:rPr>
              <w:t>量以及3</w:t>
            </w:r>
            <w:r>
              <w:rPr>
                <w:rFonts w:ascii="宋体" w:hAnsi="宋体" w:eastAsia="宋体"/>
                <w:szCs w:val="21"/>
              </w:rPr>
              <w:t>000 个以上的日志来源采集，采集范围包括但不限于网络安全设备、网络设备、数据库、中间件、操作系统、应用系统</w:t>
            </w:r>
            <w:r>
              <w:rPr>
                <w:rFonts w:hint="eastAsia" w:ascii="宋体" w:hAnsi="宋体" w:eastAsia="宋体"/>
                <w:szCs w:val="21"/>
              </w:rPr>
              <w:t>、云平台</w:t>
            </w:r>
            <w:r>
              <w:rPr>
                <w:rFonts w:ascii="宋体" w:hAnsi="宋体" w:eastAsia="宋体"/>
                <w:szCs w:val="21"/>
              </w:rPr>
              <w:t>等。</w:t>
            </w:r>
          </w:p>
          <w:p>
            <w:pPr>
              <w:pStyle w:val="12"/>
              <w:ind w:firstLine="0" w:firstLineChars="0"/>
              <w:rPr>
                <w:rFonts w:ascii="宋体" w:hAnsi="宋体" w:eastAsia="宋体"/>
                <w:szCs w:val="21"/>
              </w:rPr>
            </w:pPr>
            <w:r>
              <w:rPr>
                <w:rFonts w:hint="eastAsia" w:ascii="宋体" w:hAnsi="宋体" w:eastAsia="宋体"/>
                <w:szCs w:val="21"/>
              </w:rPr>
              <w:t>支持接收日志源端使用标准协议推送的日志数据，如</w:t>
            </w:r>
            <w:r>
              <w:rPr>
                <w:rFonts w:ascii="宋体" w:hAnsi="宋体" w:eastAsia="宋体"/>
                <w:szCs w:val="21"/>
              </w:rPr>
              <w:t>Syslog协议、RSyslog协议、SNMP Trap协议，允许使用TCP协议或UDP协议进行日志数据传输。</w:t>
            </w:r>
            <w:r>
              <w:rPr>
                <w:rFonts w:hint="eastAsia" w:ascii="宋体" w:hAnsi="宋体" w:eastAsia="宋体"/>
                <w:szCs w:val="21"/>
              </w:rPr>
              <w:t>支持部署代理客户端采集日志数据</w:t>
            </w:r>
            <w:r>
              <w:rPr>
                <w:rFonts w:ascii="宋体" w:hAnsi="宋体" w:eastAsia="宋体"/>
                <w:szCs w:val="21"/>
              </w:rPr>
              <w:t>。</w:t>
            </w:r>
            <w:r>
              <w:rPr>
                <w:rFonts w:hint="eastAsia" w:ascii="宋体" w:hAnsi="宋体" w:eastAsia="宋体"/>
                <w:szCs w:val="21"/>
              </w:rPr>
              <w:t>支持使用标准协议</w:t>
            </w:r>
            <w:r>
              <w:rPr>
                <w:rFonts w:ascii="宋体" w:hAnsi="宋体" w:eastAsia="宋体"/>
                <w:szCs w:val="21"/>
              </w:rPr>
              <w:t>ODBC协议采集Oracle、MySQL等数据库记录结构化数据，以及运行负载的数据（锁状态，连接状态，缓存状态）。</w:t>
            </w:r>
          </w:p>
          <w:p>
            <w:pPr>
              <w:pStyle w:val="12"/>
              <w:ind w:firstLine="0" w:firstLineChars="0"/>
              <w:rPr>
                <w:rFonts w:ascii="宋体" w:hAnsi="宋体" w:eastAsia="宋体"/>
                <w:szCs w:val="21"/>
              </w:rPr>
            </w:pPr>
            <w:r>
              <w:rPr>
                <w:rFonts w:hint="eastAsia" w:ascii="宋体" w:hAnsi="宋体" w:eastAsia="宋体"/>
                <w:szCs w:val="21"/>
              </w:rPr>
              <w:t>支持百亿级日志数据量存储，并且使用关键字模糊查询、</w:t>
            </w:r>
            <w:r>
              <w:rPr>
                <w:rFonts w:ascii="宋体" w:hAnsi="宋体" w:eastAsia="宋体"/>
                <w:szCs w:val="21"/>
              </w:rPr>
              <w:t>SPL 搜索过程语言对日志内容进行查询、筛选、新增，</w:t>
            </w:r>
            <w:r>
              <w:rPr>
                <w:rFonts w:hint="eastAsia" w:ascii="宋体" w:hAnsi="宋体" w:eastAsia="宋体"/>
                <w:szCs w:val="21"/>
              </w:rPr>
              <w:t>支持按来源、标签、关键字、等任意条件进行组合，能够实现秒级反馈查询结果，支持自定义按字段条件进行内容过滤，可包含多个字段条件过滤，过滤后全局生效和局部生效，支持日志追踪</w:t>
            </w:r>
            <w:r>
              <w:rPr>
                <w:rFonts w:ascii="宋体" w:hAnsi="宋体" w:eastAsia="宋体"/>
                <w:szCs w:val="21"/>
              </w:rPr>
              <w:t>trace命令，实现基于间接关系的日志数据的归集，支持trasaction、rename、parse等丰富的命令语句。</w:t>
            </w:r>
          </w:p>
          <w:p>
            <w:pPr>
              <w:pStyle w:val="12"/>
              <w:ind w:firstLine="0" w:firstLineChars="0"/>
              <w:rPr>
                <w:rFonts w:ascii="宋体" w:hAnsi="宋体" w:eastAsia="宋体"/>
                <w:szCs w:val="21"/>
              </w:rPr>
            </w:pPr>
            <w:r>
              <w:rPr>
                <w:rFonts w:hint="eastAsia" w:ascii="宋体" w:hAnsi="宋体" w:eastAsia="宋体"/>
                <w:szCs w:val="21"/>
              </w:rPr>
              <w:t>支持图谱可视化，可定位时间范围内日志数据中实体对象之间的关系行为与交互频率，将异常操作有关的操作用户、访问来源、前后操作动作用网状图形展示出来，能够轻松定位异常信息对应用户和涉及的威胁动作</w:t>
            </w:r>
          </w:p>
          <w:p>
            <w:pPr>
              <w:pStyle w:val="12"/>
              <w:ind w:firstLine="0" w:firstLineChars="0"/>
              <w:rPr>
                <w:rFonts w:ascii="宋体" w:hAnsi="宋体" w:eastAsia="宋体"/>
                <w:szCs w:val="21"/>
              </w:rPr>
            </w:pPr>
            <w:r>
              <w:rPr>
                <w:rFonts w:hint="eastAsia" w:ascii="宋体" w:hAnsi="宋体" w:eastAsia="宋体"/>
                <w:szCs w:val="21"/>
              </w:rPr>
              <w:t>具备机器学习功能，支持基于时间序列的异常检测，支持单维度异常检测。支持对指标进行历史异常值的检测，支持给出突变的数据、超出波动范围的数据、周期波动的数据等异常点的详细信息。具备及时发现业务请求数、拒绝数、响应时间、流水和订单等数据的异常波动的功能。</w:t>
            </w:r>
          </w:p>
          <w:p>
            <w:pPr>
              <w:pStyle w:val="12"/>
              <w:ind w:firstLine="0" w:firstLineChars="0"/>
              <w:rPr>
                <w:rFonts w:ascii="宋体" w:hAnsi="宋体" w:eastAsia="宋体"/>
                <w:szCs w:val="21"/>
              </w:rPr>
            </w:pPr>
            <w:r>
              <w:rPr>
                <w:rFonts w:hint="eastAsia" w:ascii="宋体" w:hAnsi="宋体" w:eastAsia="宋体"/>
                <w:szCs w:val="21"/>
              </w:rPr>
              <w:t>支持现有灾备云平台的执行日志采集，内置丰富的分析场景和可视化视图，展示备份任务的速度变化、增长情况，对比每日积压数据量情况，耗时、异常等各类情况分析。用图谱可视化分析灾备云的执行日志，展示出不同备份任务的执行顺序以及关联关系，同一主机的备份恢复逻辑线索和频率。</w:t>
            </w:r>
          </w:p>
          <w:p>
            <w:pPr>
              <w:pStyle w:val="12"/>
              <w:ind w:firstLine="0" w:firstLineChars="0"/>
              <w:rPr>
                <w:rFonts w:ascii="宋体" w:hAnsi="宋体" w:eastAsia="宋体"/>
                <w:szCs w:val="21"/>
              </w:rPr>
            </w:pPr>
            <w:r>
              <w:rPr>
                <w:rFonts w:hint="eastAsia" w:ascii="宋体" w:hAnsi="宋体" w:eastAsia="宋体"/>
                <w:szCs w:val="21"/>
              </w:rPr>
              <w:t>提供第三方系统整合，实现按条件策略触发应用系统行为动作，如监控告警的检测条件超出阈值，直接禁止指定用户账号</w:t>
            </w:r>
            <w:r>
              <w:rPr>
                <w:rFonts w:ascii="宋体" w:hAnsi="宋体" w:eastAsia="宋体"/>
                <w:szCs w:val="21"/>
              </w:rPr>
              <w:t>30分钟内无法正常使用。</w:t>
            </w:r>
            <w:r>
              <w:rPr>
                <w:rFonts w:hint="eastAsia" w:ascii="宋体" w:hAnsi="宋体" w:eastAsia="宋体"/>
                <w:szCs w:val="21"/>
              </w:rPr>
              <w:t>支持提供</w:t>
            </w:r>
            <w:r>
              <w:rPr>
                <w:rFonts w:ascii="宋体" w:hAnsi="宋体" w:eastAsia="宋体"/>
                <w:szCs w:val="21"/>
              </w:rPr>
              <w:t>iFrame方式对外提供给第三方平台使用数据，支持API接口的方式与第三方平台对接。</w:t>
            </w:r>
            <w:r>
              <w:rPr>
                <w:rFonts w:hint="eastAsia" w:ascii="宋体" w:hAnsi="宋体" w:eastAsia="宋体"/>
                <w:szCs w:val="21"/>
              </w:rPr>
              <w:t>支持通过kafka实现log</w:t>
            </w:r>
            <w:r>
              <w:rPr>
                <w:rFonts w:ascii="宋体" w:hAnsi="宋体" w:eastAsia="宋体"/>
                <w:szCs w:val="21"/>
              </w:rPr>
              <w:t xml:space="preserve"> </w:t>
            </w:r>
            <w:r>
              <w:rPr>
                <w:rFonts w:hint="eastAsia" w:ascii="宋体" w:hAnsi="宋体" w:eastAsia="宋体"/>
                <w:szCs w:val="21"/>
              </w:rPr>
              <w:t>switch，实现日志实时转发或定时转发。提供数据可视化展示效果的定制开发服务，根据实际需求来设计个性化大屏展示视图。</w:t>
            </w:r>
          </w:p>
        </w:tc>
      </w:tr>
    </w:tbl>
    <w:p>
      <w:pPr>
        <w:spacing w:line="276" w:lineRule="auto"/>
        <w:textAlignment w:val="baseline"/>
        <w:rPr>
          <w:rFonts w:ascii="宋体" w:hAnsi="宋体" w:cs="Times New Roman"/>
          <w:kern w:val="0"/>
        </w:rPr>
      </w:pPr>
    </w:p>
    <w:tbl>
      <w:tblPr>
        <w:tblStyle w:val="10"/>
        <w:tblW w:w="4603" w:type="pct"/>
        <w:jc w:val="center"/>
        <w:tblLayout w:type="autofit"/>
        <w:tblCellMar>
          <w:top w:w="0" w:type="dxa"/>
          <w:left w:w="108" w:type="dxa"/>
          <w:bottom w:w="0" w:type="dxa"/>
          <w:right w:w="108" w:type="dxa"/>
        </w:tblCellMar>
      </w:tblPr>
      <w:tblGrid>
        <w:gridCol w:w="1467"/>
        <w:gridCol w:w="6378"/>
      </w:tblGrid>
      <w:tr>
        <w:tblPrEx>
          <w:tblCellMar>
            <w:top w:w="0" w:type="dxa"/>
            <w:left w:w="108" w:type="dxa"/>
            <w:bottom w:w="0" w:type="dxa"/>
            <w:right w:w="108" w:type="dxa"/>
          </w:tblCellMar>
        </w:tblPrEx>
        <w:trPr>
          <w:trHeight w:val="315" w:hRule="atLeast"/>
          <w:jc w:val="center"/>
        </w:trPr>
        <w:tc>
          <w:tcPr>
            <w:tcW w:w="5000" w:type="pct"/>
            <w:gridSpan w:val="2"/>
            <w:tcBorders>
              <w:top w:val="single" w:color="auto" w:sz="4" w:space="0"/>
              <w:left w:val="single" w:color="auto" w:sz="4" w:space="0"/>
              <w:bottom w:val="single" w:color="auto" w:sz="4" w:space="0"/>
              <w:right w:val="single" w:color="000000" w:sz="4" w:space="0"/>
            </w:tcBorders>
            <w:vAlign w:val="bottom"/>
          </w:tcPr>
          <w:p>
            <w:pPr>
              <w:rPr>
                <w:rFonts w:ascii="宋体" w:hAnsi="宋体" w:cs="宋体"/>
                <w:b/>
                <w:bCs/>
                <w:color w:val="000000"/>
                <w:kern w:val="0"/>
              </w:rPr>
            </w:pPr>
            <w:r>
              <w:rPr>
                <w:rFonts w:ascii="宋体" w:hAnsi="宋体" w:cs="宋体"/>
                <w:b/>
                <w:bCs/>
                <w:color w:val="000000"/>
                <w:kern w:val="0"/>
              </w:rPr>
              <w:t>用途：数据库审计</w:t>
            </w:r>
          </w:p>
        </w:tc>
      </w:tr>
      <w:tr>
        <w:tblPrEx>
          <w:tblCellMar>
            <w:top w:w="0" w:type="dxa"/>
            <w:left w:w="108" w:type="dxa"/>
            <w:bottom w:w="0" w:type="dxa"/>
            <w:right w:w="108" w:type="dxa"/>
          </w:tblCellMar>
        </w:tblPrEx>
        <w:trPr>
          <w:trHeight w:val="305" w:hRule="atLeast"/>
          <w:jc w:val="center"/>
        </w:trPr>
        <w:tc>
          <w:tcPr>
            <w:tcW w:w="935" w:type="pct"/>
            <w:tcBorders>
              <w:top w:val="nil"/>
              <w:left w:val="single" w:color="auto" w:sz="4" w:space="0"/>
              <w:bottom w:val="single" w:color="auto" w:sz="4" w:space="0"/>
              <w:right w:val="single" w:color="auto" w:sz="4" w:space="0"/>
            </w:tcBorders>
            <w:shd w:val="clear" w:color="auto" w:fill="BFBFBF"/>
            <w:vAlign w:val="center"/>
          </w:tcPr>
          <w:p>
            <w:pPr>
              <w:jc w:val="center"/>
              <w:rPr>
                <w:rFonts w:ascii="宋体" w:hAnsi="宋体" w:cs="宋体"/>
                <w:b/>
                <w:color w:val="000000"/>
                <w:kern w:val="0"/>
              </w:rPr>
            </w:pPr>
            <w:r>
              <w:rPr>
                <w:rFonts w:ascii="宋体" w:hAnsi="宋体" w:cs="宋体"/>
                <w:b/>
                <w:color w:val="000000"/>
                <w:kern w:val="0"/>
              </w:rPr>
              <w:t>指标项</w:t>
            </w:r>
          </w:p>
        </w:tc>
        <w:tc>
          <w:tcPr>
            <w:tcW w:w="4064" w:type="pct"/>
            <w:tcBorders>
              <w:top w:val="nil"/>
              <w:left w:val="nil"/>
              <w:bottom w:val="single" w:color="auto" w:sz="4" w:space="0"/>
              <w:right w:val="single" w:color="auto" w:sz="4" w:space="0"/>
            </w:tcBorders>
            <w:shd w:val="clear" w:color="auto" w:fill="BFBFBF"/>
            <w:vAlign w:val="bottom"/>
          </w:tcPr>
          <w:p>
            <w:pPr>
              <w:rPr>
                <w:rFonts w:ascii="宋体" w:hAnsi="宋体" w:cs="宋体"/>
                <w:b/>
                <w:color w:val="000000"/>
                <w:kern w:val="0"/>
              </w:rPr>
            </w:pPr>
            <w:r>
              <w:rPr>
                <w:rFonts w:ascii="宋体" w:hAnsi="宋体" w:cs="宋体"/>
                <w:b/>
                <w:color w:val="000000"/>
                <w:kern w:val="0"/>
              </w:rPr>
              <w:t>指标要求（除特别说明外，以下为单台设备的配置要求）</w:t>
            </w:r>
          </w:p>
        </w:tc>
      </w:tr>
      <w:tr>
        <w:tblPrEx>
          <w:tblCellMar>
            <w:top w:w="0" w:type="dxa"/>
            <w:left w:w="108" w:type="dxa"/>
            <w:bottom w:w="0" w:type="dxa"/>
            <w:right w:w="108" w:type="dxa"/>
          </w:tblCellMar>
        </w:tblPrEx>
        <w:trPr>
          <w:trHeight w:val="305" w:hRule="atLeast"/>
          <w:jc w:val="center"/>
        </w:trPr>
        <w:tc>
          <w:tcPr>
            <w:tcW w:w="935" w:type="pct"/>
            <w:vMerge w:val="restart"/>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rPr>
            </w:pPr>
            <w:r>
              <w:rPr>
                <w:rFonts w:ascii="宋体" w:hAnsi="宋体" w:cs="宋体"/>
                <w:color w:val="000000"/>
                <w:kern w:val="0"/>
              </w:rPr>
              <w:t>处理能力</w:t>
            </w:r>
          </w:p>
        </w:tc>
        <w:tc>
          <w:tcPr>
            <w:tcW w:w="406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处理纯数据库流量：≥50M/s，日处理业务操作数：≥1亿条；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峰值处理能力：</w:t>
            </w:r>
            <w:r>
              <w:rPr>
                <w:rFonts w:ascii="宋体" w:hAnsi="宋体" w:cs="Times New Roman"/>
                <w:kern w:val="0"/>
              </w:rPr>
              <w:t>≥</w:t>
            </w:r>
            <w:r>
              <w:rPr>
                <w:rFonts w:ascii="宋体" w:hAnsi="宋体" w:cs="宋体"/>
                <w:color w:val="000000"/>
                <w:kern w:val="0"/>
              </w:rPr>
              <w:t>2000条/秒；</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审计日志检索能力：≥1500万条/秒；</w:t>
            </w:r>
          </w:p>
        </w:tc>
      </w:tr>
      <w:tr>
        <w:tblPrEx>
          <w:tblCellMar>
            <w:top w:w="0" w:type="dxa"/>
            <w:left w:w="108" w:type="dxa"/>
            <w:bottom w:w="0" w:type="dxa"/>
            <w:right w:w="108" w:type="dxa"/>
          </w:tblCellMar>
        </w:tblPrEx>
        <w:trPr>
          <w:trHeight w:val="25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管理中心和探测器直接的数据传输速率、时间、端口都可自定义；</w:t>
            </w:r>
          </w:p>
        </w:tc>
      </w:tr>
      <w:tr>
        <w:tblPrEx>
          <w:tblCellMar>
            <w:top w:w="0" w:type="dxa"/>
            <w:left w:w="108" w:type="dxa"/>
            <w:bottom w:w="0" w:type="dxa"/>
            <w:right w:w="108" w:type="dxa"/>
          </w:tblCellMar>
        </w:tblPrEx>
        <w:trPr>
          <w:trHeight w:val="305" w:hRule="atLeast"/>
          <w:jc w:val="center"/>
        </w:trPr>
        <w:tc>
          <w:tcPr>
            <w:tcW w:w="935" w:type="pct"/>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color w:val="000000"/>
                <w:kern w:val="0"/>
              </w:rPr>
            </w:pPr>
            <w:r>
              <w:rPr>
                <w:rFonts w:ascii="宋体" w:hAnsi="宋体" w:cs="宋体"/>
                <w:color w:val="000000"/>
                <w:kern w:val="0"/>
              </w:rPr>
              <w:t>协议支持</w:t>
            </w: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支持PostgreSQL、HANA、Teradata、Cache、人大金仓、达梦、南大通用数据库审计；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支持MongoDB、Hbase非关系型数据库审计；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支持主流业务协议 HTTP、Telnet、FTP；</w:t>
            </w:r>
          </w:p>
        </w:tc>
      </w:tr>
      <w:tr>
        <w:tblPrEx>
          <w:tblCellMar>
            <w:top w:w="0" w:type="dxa"/>
            <w:left w:w="108" w:type="dxa"/>
            <w:bottom w:w="0" w:type="dxa"/>
            <w:right w:w="108" w:type="dxa"/>
          </w:tblCellMar>
        </w:tblPrEx>
        <w:trPr>
          <w:trHeight w:val="533"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支持对SQL server（2005及以上版本）数据库采用加密协议通讯，可以通过导入证书的方式实现审计和防护；</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支持跨语句、跨多包的绑定变量名及绑定变量值的审计</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内置安全特征库不少于300条，如SQL注入、缓冲区溢出、弱口令等；</w:t>
            </w:r>
          </w:p>
        </w:tc>
      </w:tr>
      <w:tr>
        <w:tblPrEx>
          <w:tblCellMar>
            <w:top w:w="0" w:type="dxa"/>
            <w:left w:w="108" w:type="dxa"/>
            <w:bottom w:w="0" w:type="dxa"/>
            <w:right w:w="108" w:type="dxa"/>
          </w:tblCellMar>
        </w:tblPrEx>
        <w:trPr>
          <w:trHeight w:val="305" w:hRule="atLeast"/>
          <w:jc w:val="center"/>
        </w:trPr>
        <w:tc>
          <w:tcPr>
            <w:tcW w:w="935" w:type="pct"/>
            <w:vMerge w:val="continue"/>
            <w:tcBorders>
              <w:top w:val="nil"/>
              <w:left w:val="single" w:color="auto" w:sz="4" w:space="0"/>
              <w:bottom w:val="single" w:color="000000" w:sz="4" w:space="0"/>
              <w:right w:val="single" w:color="auto" w:sz="4" w:space="0"/>
            </w:tcBorders>
            <w:vAlign w:val="center"/>
          </w:tcPr>
          <w:p>
            <w:pPr>
              <w:rPr>
                <w:rFonts w:ascii="宋体" w:hAnsi="宋体" w:cs="宋体"/>
                <w:color w:val="000000"/>
                <w:kern w:val="0"/>
              </w:rPr>
            </w:pPr>
          </w:p>
        </w:tc>
        <w:tc>
          <w:tcPr>
            <w:tcW w:w="4064" w:type="pct"/>
            <w:tcBorders>
              <w:top w:val="nil"/>
              <w:left w:val="nil"/>
              <w:bottom w:val="single" w:color="auto" w:sz="4" w:space="0"/>
              <w:right w:val="single" w:color="auto" w:sz="4" w:space="0"/>
            </w:tcBorders>
            <w:vAlign w:val="bottom"/>
          </w:tcPr>
          <w:p>
            <w:pPr>
              <w:rPr>
                <w:rFonts w:ascii="宋体" w:hAnsi="宋体" w:cs="宋体"/>
                <w:color w:val="000000"/>
                <w:kern w:val="0"/>
              </w:rPr>
            </w:pPr>
            <w:r>
              <w:rPr>
                <w:rFonts w:ascii="宋体" w:hAnsi="宋体" w:cs="宋体"/>
                <w:color w:val="000000"/>
                <w:kern w:val="0"/>
              </w:rPr>
              <w:t>可自定义审计规则，审计规则至少支持18个条件；</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用途：网闸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8"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w:t>
            </w:r>
            <w:r>
              <w:rPr>
                <w:rFonts w:ascii="宋体" w:hAnsi="宋体" w:cs="Times New Roman"/>
                <w:kern w:val="0"/>
              </w:rPr>
              <w:t>≥</w:t>
            </w:r>
            <w:r>
              <w:rPr>
                <w:rFonts w:ascii="宋体" w:hAnsi="宋体" w:cs="Times New Roman"/>
              </w:rPr>
              <w:t>9000Mbps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内网接口</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kern w:val="0"/>
              </w:rPr>
              <w:t>≥</w:t>
            </w:r>
            <w:r>
              <w:rPr>
                <w:rFonts w:ascii="宋体" w:hAnsi="宋体" w:cs="Times New Roman"/>
              </w:rPr>
              <w:t>6个10/100/1000M电口，4个SFP插槽，4个SFP+插槽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外网接口</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kern w:val="0"/>
              </w:rPr>
              <w:t>≥</w:t>
            </w:r>
            <w:r>
              <w:rPr>
                <w:rFonts w:ascii="宋体" w:hAnsi="宋体" w:cs="Times New Roman"/>
              </w:rPr>
              <w:t>6个10/100/1000M电口，4个SFP插槽，4个SFP+插槽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最大在线连接数</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并发连接数</w:t>
            </w:r>
            <w:r>
              <w:rPr>
                <w:rFonts w:ascii="宋体" w:hAnsi="宋体" w:cs="Times New Roman"/>
                <w:kern w:val="0"/>
              </w:rPr>
              <w:t>≥</w:t>
            </w:r>
            <w:r>
              <w:rPr>
                <w:rFonts w:ascii="宋体" w:hAnsi="宋体" w:cs="Times New Roman"/>
              </w:rPr>
              <w:t>60万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延时</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小于1ms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产品资质</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产品需满足GB/T 20279-2015 网络隔离产品增强级要求。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系统架构</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采用“2+1”系统架构，即由两个主机系统和一个隔离交换专用硬件组成；隔离交换矩阵基于专用芯片实现，保证数据在搬移的时间内，内、外网隔离卡与内、外网系统为断开状态。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双机热备</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通过独立的热备接口实现双机热备；支持IP探测</w:t>
            </w:r>
          </w:p>
          <w:p>
            <w:pPr>
              <w:rPr>
                <w:rFonts w:ascii="宋体" w:hAnsi="宋体" w:cs="Times New Roman"/>
              </w:rPr>
            </w:pPr>
            <w:r>
              <w:rPr>
                <w:rFonts w:ascii="宋体" w:hAnsi="宋体" w:cs="Times New Roman"/>
              </w:rPr>
              <w:t>支持抢占模式；</w:t>
            </w:r>
          </w:p>
          <w:p>
            <w:pPr>
              <w:rPr>
                <w:rFonts w:ascii="宋体" w:hAnsi="宋体" w:cs="Times New Roman"/>
              </w:rPr>
            </w:pPr>
            <w:r>
              <w:rPr>
                <w:rFonts w:ascii="宋体" w:hAnsi="宋体" w:cs="Times New Roman"/>
              </w:rPr>
              <w:t>支持配置同步；</w:t>
            </w:r>
          </w:p>
          <w:p>
            <w:pPr>
              <w:rPr>
                <w:rFonts w:ascii="宋体" w:hAnsi="宋体" w:cs="Times New Roman"/>
              </w:rPr>
            </w:pPr>
            <w:r>
              <w:rPr>
                <w:rFonts w:ascii="宋体" w:hAnsi="宋体" w:cs="Times New Roman"/>
              </w:rPr>
              <w:t>支持主、备状态实时展示；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支持4对或以上链路同时隔离；为两个物理隔离的网络提供安全数据交换，以降低直接的网络连接导致可能的数据泄露和篡改风险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vMerge w:val="continue"/>
            <w:tcBorders>
              <w:left w:val="single" w:color="auto" w:sz="4" w:space="0"/>
              <w:right w:val="single" w:color="auto" w:sz="4" w:space="0"/>
            </w:tcBorders>
            <w:vAlign w:val="center"/>
          </w:tcPr>
          <w:p>
            <w:pPr>
              <w:rPr>
                <w:rFonts w:ascii="宋体" w:hAnsi="宋体" w:cs="Times New Roman"/>
              </w:rPr>
            </w:pP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支持IPV6/IPV4双栈接入；支持接口冗余模式设置包括：轮询、热备、链路聚合协议。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支持多种安全访问方式，比如普通访问模式、透明访问模式、同一个IP多个端口等访问模式；</w:t>
            </w:r>
          </w:p>
          <w:p>
            <w:pPr>
              <w:rPr>
                <w:rFonts w:ascii="宋体" w:hAnsi="宋体" w:cs="Times New Roman"/>
              </w:rPr>
            </w:pPr>
            <w:r>
              <w:rPr>
                <w:rFonts w:ascii="宋体" w:hAnsi="宋体" w:cs="Times New Roman"/>
              </w:rPr>
              <w:t>支持HTTP/HTTPS/FTP/SMTP/POP3等应用协议;</w:t>
            </w:r>
          </w:p>
          <w:p>
            <w:pPr>
              <w:rPr>
                <w:rFonts w:ascii="宋体" w:hAnsi="宋体" w:cs="Times New Roman"/>
              </w:rPr>
            </w:pPr>
            <w:r>
              <w:rPr>
                <w:rFonts w:ascii="宋体" w:hAnsi="宋体" w:cs="Times New Roman"/>
              </w:rPr>
              <w:t>支持H323/H323_GK等多媒体协议；</w:t>
            </w:r>
          </w:p>
          <w:p>
            <w:pPr>
              <w:rPr>
                <w:rFonts w:ascii="宋体" w:hAnsi="宋体" w:cs="Times New Roman"/>
              </w:rPr>
            </w:pPr>
            <w:r>
              <w:rPr>
                <w:rFonts w:ascii="宋体" w:hAnsi="宋体" w:cs="Times New Roman"/>
              </w:rPr>
              <w:t>支持TNS等Oracle数据库访问；</w:t>
            </w:r>
          </w:p>
          <w:p>
            <w:pPr>
              <w:rPr>
                <w:rFonts w:ascii="宋体" w:hAnsi="宋体" w:cs="Times New Roman"/>
              </w:rPr>
            </w:pPr>
            <w:r>
              <w:rPr>
                <w:rFonts w:ascii="宋体" w:hAnsi="宋体" w:cs="Times New Roman"/>
              </w:rPr>
              <w:t>支持SNMP/DNS等协议;</w:t>
            </w:r>
          </w:p>
          <w:p>
            <w:pPr>
              <w:rPr>
                <w:rFonts w:ascii="宋体" w:hAnsi="宋体" w:cs="Times New Roman"/>
              </w:rPr>
            </w:pPr>
            <w:r>
              <w:rPr>
                <w:rFonts w:ascii="宋体" w:hAnsi="宋体" w:cs="Times New Roman"/>
              </w:rPr>
              <w:t>支持ssl,ssh,tftp,同花顺等应用协议过滤；</w:t>
            </w:r>
          </w:p>
          <w:p>
            <w:pPr>
              <w:rPr>
                <w:rFonts w:ascii="宋体" w:hAnsi="宋体" w:cs="Times New Roman"/>
              </w:rPr>
            </w:pPr>
            <w:r>
              <w:rPr>
                <w:rFonts w:ascii="宋体" w:hAnsi="宋体" w:cs="Times New Roman"/>
              </w:rPr>
              <w:t>支持多种访问控制，比如IP地址和端口访问控制，连续端口范围控制等；</w:t>
            </w:r>
          </w:p>
          <w:p>
            <w:pPr>
              <w:rPr>
                <w:rFonts w:ascii="宋体" w:hAnsi="宋体" w:cs="Times New Roman"/>
              </w:rPr>
            </w:pPr>
            <w:r>
              <w:rPr>
                <w:rFonts w:ascii="宋体" w:hAnsi="宋体" w:cs="Times New Roman"/>
              </w:rPr>
              <w:t>支持时间策略访问控制；</w:t>
            </w:r>
          </w:p>
          <w:p>
            <w:pPr>
              <w:rPr>
                <w:rFonts w:ascii="宋体" w:hAnsi="宋体" w:cs="Times New Roman"/>
              </w:rPr>
            </w:pPr>
            <w:r>
              <w:rPr>
                <w:rFonts w:ascii="宋体" w:hAnsi="宋体" w:cs="Times New Roman"/>
              </w:rPr>
              <w:t>支持SYN、UDP FLOOD阈值设置；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管理功能</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支持HTTPS的Web方式管理，实现了远程管理信息加密传输；</w:t>
            </w:r>
          </w:p>
          <w:p>
            <w:pPr>
              <w:rPr>
                <w:rFonts w:ascii="宋体" w:hAnsi="宋体" w:cs="Times New Roman"/>
              </w:rPr>
            </w:pPr>
            <w:r>
              <w:rPr>
                <w:rFonts w:ascii="宋体" w:hAnsi="宋体" w:cs="Times New Roman"/>
              </w:rPr>
              <w:t>支持命令行方式管理；</w:t>
            </w:r>
          </w:p>
          <w:p>
            <w:pPr>
              <w:rPr>
                <w:rFonts w:ascii="宋体" w:hAnsi="宋体" w:cs="Times New Roman"/>
              </w:rPr>
            </w:pPr>
            <w:r>
              <w:rPr>
                <w:rFonts w:ascii="宋体" w:hAnsi="宋体" w:cs="Times New Roman"/>
              </w:rPr>
              <w:t>内/外网主机系统分别具有独立管理接口，而不是采用低安全的管理方式，如通过业务口管理或通过内网唯一管理接口完成全部管理等；</w:t>
            </w:r>
          </w:p>
          <w:p>
            <w:pPr>
              <w:rPr>
                <w:rFonts w:ascii="宋体" w:hAnsi="宋体" w:cs="Times New Roman"/>
              </w:rPr>
            </w:pPr>
            <w:r>
              <w:rPr>
                <w:rFonts w:ascii="宋体" w:hAnsi="宋体" w:cs="Times New Roman"/>
              </w:rPr>
              <w:t>管理员权限支持三权分立；</w:t>
            </w:r>
          </w:p>
          <w:p>
            <w:pPr>
              <w:rPr>
                <w:rFonts w:ascii="宋体" w:hAnsi="宋体" w:cs="Times New Roman"/>
              </w:rPr>
            </w:pPr>
            <w:r>
              <w:rPr>
                <w:rFonts w:ascii="宋体" w:hAnsi="宋体" w:cs="Times New Roman"/>
              </w:rPr>
              <w:t xml:space="preserve">支持配置文件以加密的方式导出； </w:t>
            </w:r>
          </w:p>
        </w:tc>
      </w:tr>
    </w:tbl>
    <w:p>
      <w:pPr>
        <w:spacing w:line="276" w:lineRule="auto"/>
        <w:textAlignment w:val="baseline"/>
        <w:rPr>
          <w:rFonts w:ascii="宋体" w:hAnsi="宋体" w:cs="Times New Roman"/>
          <w:kern w:val="0"/>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用途：上网行为管理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6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硬件参数</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接口：≥4个SFP+插槽，≥8个SFP插槽，≥2个千兆电口；硬盘≥2TB；内存≥64G；双电源；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吞吐量：≥10G最大并发连接数：≥1200万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8"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功能</w:t>
            </w:r>
          </w:p>
        </w:tc>
        <w:tc>
          <w:tcPr>
            <w:tcW w:w="406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支持路由模式，旁路模式、网桥模式、混合模式部署；</w:t>
            </w:r>
          </w:p>
          <w:p>
            <w:pPr>
              <w:rPr>
                <w:rFonts w:ascii="宋体" w:hAnsi="宋体" w:cs="Times New Roman"/>
              </w:rPr>
            </w:pPr>
            <w:r>
              <w:rPr>
                <w:rFonts w:ascii="宋体" w:hAnsi="宋体" w:cs="Times New Roman"/>
              </w:rPr>
              <w:t>能够实时展现每个接口接收发送流量、字节数、包个数以及错误、丢弃、帧冲突个数；</w:t>
            </w:r>
          </w:p>
          <w:p>
            <w:pPr>
              <w:rPr>
                <w:rFonts w:ascii="宋体" w:hAnsi="宋体" w:cs="Times New Roman"/>
              </w:rPr>
            </w:pPr>
            <w:r>
              <w:rPr>
                <w:rFonts w:ascii="宋体" w:hAnsi="宋体" w:cs="Times New Roman"/>
              </w:rPr>
              <w:t>支持所有访问的会话日志记录，包括: 源 IP、目的 IP、协议类型、七层应用名称、源端口、目的端口、是否进行 NAT 转换(可显示转换后的 IP 和端口)、会话产生的时间和会话持续时间；</w:t>
            </w:r>
          </w:p>
          <w:p>
            <w:pPr>
              <w:rPr>
                <w:rFonts w:ascii="宋体" w:hAnsi="宋体" w:cs="Times New Roman"/>
              </w:rPr>
            </w:pPr>
            <w:r>
              <w:rPr>
                <w:rFonts w:ascii="宋体" w:hAnsi="宋体" w:cs="Times New Roman"/>
              </w:rPr>
              <w:t>基于个人的所有行为监控报表，包括：网页标题记录、发贴记录、网页评论记录、搜索记录、网页文件上传记录、URL访问记录、邮件记录、FTP登录信息/上传记录/下载记录；</w:t>
            </w:r>
          </w:p>
          <w:p>
            <w:pPr>
              <w:rPr>
                <w:rFonts w:ascii="宋体" w:hAnsi="宋体" w:cs="Times New Roman"/>
              </w:rPr>
            </w:pPr>
            <w:r>
              <w:rPr>
                <w:rFonts w:ascii="宋体" w:hAnsi="宋体" w:cs="Times New Roman"/>
              </w:rPr>
              <w:t>能够提供流量适用排名，提供前50名用户流量适用情况，并支持趋势图、黑名单、显示活跃服务；</w:t>
            </w:r>
          </w:p>
          <w:p>
            <w:pPr>
              <w:rPr>
                <w:rFonts w:ascii="宋体" w:hAnsi="宋体" w:cs="Times New Roman"/>
              </w:rPr>
            </w:pPr>
            <w:r>
              <w:rPr>
                <w:rFonts w:ascii="宋体" w:hAnsi="宋体" w:cs="Times New Roman"/>
              </w:rPr>
              <w:t>支持管理者自定义新的URL地址和URL分类；</w:t>
            </w:r>
          </w:p>
          <w:p>
            <w:pPr>
              <w:rPr>
                <w:rFonts w:ascii="宋体" w:hAnsi="宋体" w:cs="Times New Roman"/>
              </w:rPr>
            </w:pPr>
            <w:r>
              <w:rPr>
                <w:rFonts w:ascii="宋体" w:hAnsi="宋体" w:cs="Times New Roman"/>
              </w:rPr>
              <w:t>支持ip白名单，添加到白名单的ip不受策略控制和审计；</w:t>
            </w:r>
          </w:p>
          <w:p>
            <w:pPr>
              <w:rPr>
                <w:rFonts w:ascii="宋体" w:hAnsi="宋体" w:cs="Times New Roman"/>
              </w:rPr>
            </w:pPr>
            <w:r>
              <w:rPr>
                <w:rFonts w:ascii="宋体" w:hAnsi="宋体" w:cs="Times New Roman"/>
              </w:rPr>
              <w:t>支持基于源ip、地址薄、用户及用户组的流控策略；</w:t>
            </w:r>
          </w:p>
          <w:p>
            <w:pPr>
              <w:rPr>
                <w:rFonts w:ascii="宋体" w:hAnsi="宋体" w:cs="Times New Roman"/>
              </w:rPr>
            </w:pPr>
            <w:r>
              <w:rPr>
                <w:rFonts w:ascii="宋体" w:hAnsi="宋体" w:cs="Times New Roman"/>
              </w:rPr>
              <w:t>支持基于用户的上网时长统计；</w:t>
            </w:r>
          </w:p>
          <w:p>
            <w:pPr>
              <w:rPr>
                <w:rFonts w:ascii="宋体" w:hAnsi="宋体" w:cs="Times New Roman"/>
              </w:rPr>
            </w:pPr>
            <w:r>
              <w:rPr>
                <w:rFonts w:ascii="宋体" w:hAnsi="宋体" w:cs="Times New Roman"/>
              </w:rPr>
              <w:t>支持Syslog等第三方日志服务器系统；</w:t>
            </w:r>
          </w:p>
        </w:tc>
      </w:tr>
    </w:tbl>
    <w:p>
      <w:pPr>
        <w:rPr>
          <w:rFonts w:ascii="宋体" w:hAnsi="宋体" w:cs="Times New Roman"/>
        </w:rPr>
      </w:pPr>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blHeade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b/>
                <w:bCs/>
              </w:rPr>
            </w:pPr>
            <w:r>
              <w:rPr>
                <w:rFonts w:ascii="宋体" w:hAnsi="宋体" w:cs="Times New Roman"/>
                <w:b/>
                <w:bCs/>
              </w:rPr>
              <w:t>用途：堡垒机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指标项</w:t>
            </w:r>
          </w:p>
        </w:tc>
        <w:tc>
          <w:tcPr>
            <w:tcW w:w="4076" w:type="pct"/>
            <w:tcBorders>
              <w:top w:val="single" w:color="auto" w:sz="4" w:space="0"/>
              <w:left w:val="single" w:color="auto" w:sz="4" w:space="0"/>
              <w:bottom w:val="single" w:color="auto" w:sz="4" w:space="0"/>
              <w:right w:val="single" w:color="auto" w:sz="4" w:space="0"/>
            </w:tcBorders>
            <w:shd w:val="clear" w:color="auto" w:fill="D9D9D9"/>
            <w:vAlign w:val="center"/>
          </w:tcPr>
          <w:p>
            <w:pPr>
              <w:rPr>
                <w:rFonts w:ascii="宋体" w:hAnsi="宋体" w:cs="Times New Roman"/>
                <w:b/>
                <w:bCs/>
              </w:rPr>
            </w:pPr>
            <w:r>
              <w:rPr>
                <w:rFonts w:ascii="宋体" w:hAnsi="宋体" w:cs="Times New Roman"/>
                <w:b/>
                <w:bCs/>
              </w:rPr>
              <w:t>指标要求（除特别说明外，以下为单台设备的配置要求）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接口</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kern w:val="0"/>
              </w:rPr>
              <w:t>≥</w:t>
            </w:r>
            <w:r>
              <w:rPr>
                <w:rFonts w:ascii="宋体" w:hAnsi="宋体" w:cs="Times New Roman"/>
              </w:rPr>
              <w:t>12个1000M口，</w:t>
            </w:r>
            <w:r>
              <w:rPr>
                <w:rFonts w:ascii="宋体" w:hAnsi="宋体" w:cs="Times New Roman"/>
                <w:kern w:val="0"/>
              </w:rPr>
              <w:t>≥</w:t>
            </w:r>
            <w:r>
              <w:rPr>
                <w:rFonts w:ascii="宋体" w:hAnsi="宋体" w:cs="Times New Roman"/>
              </w:rPr>
              <w:t>8电4光（总共</w:t>
            </w:r>
            <w:r>
              <w:rPr>
                <w:rFonts w:ascii="宋体" w:hAnsi="宋体" w:cs="Times New Roman"/>
                <w:kern w:val="0"/>
              </w:rPr>
              <w:t>≥</w:t>
            </w:r>
            <w:r>
              <w:rPr>
                <w:rFonts w:ascii="宋体" w:hAnsi="宋体" w:cs="Times New Roman"/>
              </w:rPr>
              <w:t>3个端口插槽，可灵活配置端口，端口万兆光口、千兆电口可选，最大不少于28个口）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最大在线连接数</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最大资产数</w:t>
            </w:r>
            <w:r>
              <w:rPr>
                <w:rFonts w:ascii="宋体" w:hAnsi="宋体" w:cs="Times New Roman"/>
                <w:kern w:val="0"/>
              </w:rPr>
              <w:t>≥</w:t>
            </w:r>
            <w:r>
              <w:rPr>
                <w:rFonts w:ascii="宋体" w:hAnsi="宋体" w:cs="Times New Roman"/>
              </w:rPr>
              <w:t>3000个,最大字符连接</w:t>
            </w:r>
            <w:r>
              <w:rPr>
                <w:rFonts w:ascii="宋体" w:hAnsi="宋体" w:cs="Times New Roman"/>
                <w:kern w:val="0"/>
              </w:rPr>
              <w:t>≥</w:t>
            </w:r>
            <w:r>
              <w:rPr>
                <w:rFonts w:ascii="宋体" w:hAnsi="宋体" w:cs="Times New Roman"/>
              </w:rPr>
              <w:t>3000个,最大图形连接</w:t>
            </w:r>
            <w:r>
              <w:rPr>
                <w:rFonts w:ascii="宋体" w:hAnsi="宋体" w:cs="Times New Roman"/>
                <w:kern w:val="0"/>
              </w:rPr>
              <w:t>≥</w:t>
            </w:r>
            <w:r>
              <w:rPr>
                <w:rFonts w:ascii="宋体" w:hAnsi="宋体" w:cs="Times New Roman"/>
              </w:rPr>
              <w:t>500个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针对内部网络设备和服务器进行保护，对此类资产的常用访问方式进行监控和审计，实现对用户行为的控制、追踪、判定，满足政务云对安全性的要求。单点登录、集中账号管理、身份认证、资源授权、访问控制、操作审计，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支持集群部署，具备平滑扩容能力。单个集群最大支持10个节点；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可以通过socks5/http/ssh等代理协议连接管理异地云资源区中私有网络的云主机（通过代理服务器实现不同网络，不同数据中心，以及多云环境的统一纳管。</w:t>
            </w:r>
          </w:p>
          <w:p>
            <w:pPr>
              <w:rPr>
                <w:rFonts w:ascii="宋体" w:hAnsi="宋体" w:cs="Times New Roman"/>
              </w:rPr>
            </w:pPr>
            <w:r>
              <w:rPr>
                <w:rFonts w:ascii="宋体" w:hAnsi="宋体" w:cs="Times New Roman"/>
              </w:rPr>
              <w:t>场景描述：堡垒机无法直接访问其他网络或者其他数据中心的主机，可以通过代理服务器做跳板实现对其他网络或者数据中心主机资源的纳管运维）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支持自动收集设备IP、运维协议、端口号、账号、密码、与用户的权限关系，可自动完成授权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支持使用本地的SecurCRT/Xshell/OpenSSH工具通过SSH网关代理方式直接登录字符设备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支持在mac终端使用navicat工具通过堡垒机登录mysql、oracle等数据库服务器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产品内置VPN模块，无需与其他VPN设备联动，实现运维入口安全接入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3" w:type="pct"/>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4076" w:type="pct"/>
            <w:tcBorders>
              <w:top w:val="single" w:color="auto" w:sz="4" w:space="0"/>
              <w:left w:val="single" w:color="auto" w:sz="4" w:space="0"/>
              <w:bottom w:val="single" w:color="auto" w:sz="4" w:space="0"/>
              <w:right w:val="single" w:color="auto" w:sz="4" w:space="0"/>
            </w:tcBorders>
          </w:tcPr>
          <w:p>
            <w:pPr>
              <w:rPr>
                <w:rFonts w:ascii="宋体" w:hAnsi="宋体" w:eastAsia="Times New Roman" w:cs="Times New Roman"/>
              </w:rPr>
            </w:pPr>
            <w:r>
              <w:rPr>
                <w:rFonts w:ascii="宋体" w:hAnsi="宋体" w:cs="Times New Roman"/>
              </w:rPr>
              <w:t>提供双因素认证（短信或数字令牌+密码），且支持国密要求</w:t>
            </w:r>
          </w:p>
        </w:tc>
      </w:tr>
    </w:tbl>
    <w:p>
      <w:pPr>
        <w:spacing w:line="276" w:lineRule="auto"/>
        <w:textAlignment w:val="baseline"/>
        <w:rPr>
          <w:rFonts w:ascii="宋体" w:hAnsi="宋体" w:cs="Times New Roman"/>
          <w:kern w:val="0"/>
        </w:rPr>
      </w:pPr>
    </w:p>
    <w:tbl>
      <w:tblPr>
        <w:tblStyle w:val="10"/>
        <w:tblW w:w="9072" w:type="dxa"/>
        <w:jc w:val="center"/>
        <w:tblLayout w:type="autofit"/>
        <w:tblCellMar>
          <w:top w:w="0" w:type="dxa"/>
          <w:left w:w="108" w:type="dxa"/>
          <w:bottom w:w="0" w:type="dxa"/>
          <w:right w:w="108" w:type="dxa"/>
        </w:tblCellMar>
      </w:tblPr>
      <w:tblGrid>
        <w:gridCol w:w="1701"/>
        <w:gridCol w:w="7371"/>
      </w:tblGrid>
      <w:tr>
        <w:tblPrEx>
          <w:tblCellMar>
            <w:top w:w="0" w:type="dxa"/>
            <w:left w:w="108" w:type="dxa"/>
            <w:bottom w:w="0" w:type="dxa"/>
            <w:right w:w="108" w:type="dxa"/>
          </w:tblCellMar>
        </w:tblPrEx>
        <w:trPr>
          <w:trHeight w:val="332" w:hRule="atLeast"/>
          <w:jc w:val="center"/>
        </w:trPr>
        <w:tc>
          <w:tcPr>
            <w:tcW w:w="9072" w:type="dxa"/>
            <w:gridSpan w:val="2"/>
            <w:tcBorders>
              <w:top w:val="single" w:color="auto" w:sz="4" w:space="0"/>
              <w:left w:val="single" w:color="auto" w:sz="4" w:space="0"/>
              <w:bottom w:val="single" w:color="auto" w:sz="4" w:space="0"/>
              <w:right w:val="single" w:color="000000" w:sz="4" w:space="0"/>
            </w:tcBorders>
            <w:vAlign w:val="bottom"/>
          </w:tcPr>
          <w:p>
            <w:pPr>
              <w:rPr>
                <w:rFonts w:ascii="宋体" w:hAnsi="宋体" w:cs="Times New Roman"/>
                <w:b/>
                <w:bCs/>
              </w:rPr>
            </w:pPr>
            <w:r>
              <w:rPr>
                <w:rFonts w:ascii="宋体" w:hAnsi="宋体" w:cs="Times New Roman"/>
                <w:b/>
                <w:bCs/>
              </w:rPr>
              <w:t>用途：网页防篡改 </w:t>
            </w:r>
          </w:p>
        </w:tc>
      </w:tr>
      <w:tr>
        <w:tblPrEx>
          <w:tblCellMar>
            <w:top w:w="0" w:type="dxa"/>
            <w:left w:w="108" w:type="dxa"/>
            <w:bottom w:w="0" w:type="dxa"/>
            <w:right w:w="108" w:type="dxa"/>
          </w:tblCellMar>
        </w:tblPrEx>
        <w:trPr>
          <w:trHeight w:val="305" w:hRule="atLeast"/>
          <w:jc w:val="center"/>
        </w:trPr>
        <w:tc>
          <w:tcPr>
            <w:tcW w:w="1701" w:type="dxa"/>
            <w:tcBorders>
              <w:top w:val="nil"/>
              <w:left w:val="single" w:color="auto" w:sz="4" w:space="0"/>
              <w:bottom w:val="single" w:color="auto" w:sz="4" w:space="0"/>
              <w:right w:val="single" w:color="auto" w:sz="4" w:space="0"/>
            </w:tcBorders>
            <w:shd w:val="clear" w:color="auto" w:fill="BFBFBF"/>
            <w:vAlign w:val="center"/>
          </w:tcPr>
          <w:p>
            <w:pPr>
              <w:rPr>
                <w:rFonts w:ascii="宋体" w:hAnsi="宋体" w:cs="Times New Roman"/>
                <w:b/>
                <w:bCs/>
              </w:rPr>
            </w:pPr>
            <w:r>
              <w:rPr>
                <w:rFonts w:ascii="宋体" w:hAnsi="宋体" w:cs="Times New Roman"/>
                <w:b/>
                <w:bCs/>
              </w:rPr>
              <w:t>指标项</w:t>
            </w:r>
          </w:p>
        </w:tc>
        <w:tc>
          <w:tcPr>
            <w:tcW w:w="7371" w:type="dxa"/>
            <w:tcBorders>
              <w:top w:val="nil"/>
              <w:left w:val="nil"/>
              <w:bottom w:val="single" w:color="auto" w:sz="4" w:space="0"/>
              <w:right w:val="single" w:color="auto" w:sz="4" w:space="0"/>
            </w:tcBorders>
            <w:shd w:val="clear" w:color="auto" w:fill="BFBFBF"/>
            <w:vAlign w:val="bottom"/>
          </w:tcPr>
          <w:p>
            <w:pPr>
              <w:rPr>
                <w:rFonts w:ascii="宋体" w:hAnsi="宋体" w:cs="Times New Roman"/>
                <w:b/>
                <w:bCs/>
              </w:rPr>
            </w:pPr>
            <w:r>
              <w:rPr>
                <w:rFonts w:ascii="宋体" w:hAnsi="宋体" w:cs="Times New Roman"/>
                <w:b/>
                <w:bCs/>
              </w:rPr>
              <w:t>指标要求（除特别说明外，以下为单台设备的配置要求）</w:t>
            </w:r>
          </w:p>
        </w:tc>
      </w:tr>
      <w:tr>
        <w:tblPrEx>
          <w:tblCellMar>
            <w:top w:w="0" w:type="dxa"/>
            <w:left w:w="108" w:type="dxa"/>
            <w:bottom w:w="0" w:type="dxa"/>
            <w:right w:w="108" w:type="dxa"/>
          </w:tblCellMar>
        </w:tblPrEx>
        <w:trPr>
          <w:trHeight w:val="322" w:hRule="atLeast"/>
          <w:jc w:val="center"/>
        </w:trPr>
        <w:tc>
          <w:tcPr>
            <w:tcW w:w="1701" w:type="dxa"/>
            <w:vMerge w:val="restart"/>
            <w:tcBorders>
              <w:top w:val="nil"/>
              <w:left w:val="single" w:color="auto" w:sz="4" w:space="0"/>
              <w:bottom w:val="single" w:color="000000" w:sz="4" w:space="0"/>
              <w:right w:val="single" w:color="auto" w:sz="4" w:space="0"/>
            </w:tcBorders>
            <w:vAlign w:val="center"/>
          </w:tcPr>
          <w:p>
            <w:pPr>
              <w:rPr>
                <w:rFonts w:ascii="宋体" w:hAnsi="宋体" w:cs="Times New Roman"/>
              </w:rPr>
            </w:pPr>
            <w:r>
              <w:rPr>
                <w:rFonts w:ascii="宋体" w:hAnsi="宋体" w:cs="Times New Roman"/>
              </w:rPr>
              <w:t>环境支持</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采用内核文件驱动技术防护</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支持操作系统：Windows 2003-2016 32/64位；Redhat、CentOS、SUSE、Ubuntu 32/64位、中标麒麟、银河麒麟、统信UOS等国产化系统</w:t>
            </w:r>
          </w:p>
        </w:tc>
      </w:tr>
      <w:tr>
        <w:tblPrEx>
          <w:tblCellMar>
            <w:top w:w="0" w:type="dxa"/>
            <w:left w:w="108" w:type="dxa"/>
            <w:bottom w:w="0" w:type="dxa"/>
            <w:right w:w="108" w:type="dxa"/>
          </w:tblCellMar>
        </w:tblPrEx>
        <w:trPr>
          <w:trHeight w:val="67"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支持web服务器：Apache 2.2-2.4、IIS6、IIS7、IIS8、IIS10、Java系列(JBoss、Tomcat、Weblogic、Websphere)等</w:t>
            </w:r>
          </w:p>
        </w:tc>
      </w:tr>
      <w:tr>
        <w:tblPrEx>
          <w:tblCellMar>
            <w:top w:w="0" w:type="dxa"/>
            <w:left w:w="108" w:type="dxa"/>
            <w:bottom w:w="0" w:type="dxa"/>
            <w:right w:w="108" w:type="dxa"/>
          </w:tblCellMar>
        </w:tblPrEx>
        <w:trPr>
          <w:trHeight w:val="322" w:hRule="atLeast"/>
          <w:jc w:val="center"/>
        </w:trPr>
        <w:tc>
          <w:tcPr>
            <w:tcW w:w="1701" w:type="dxa"/>
            <w:tcBorders>
              <w:top w:val="nil"/>
              <w:left w:val="single" w:color="auto" w:sz="4" w:space="0"/>
              <w:bottom w:val="single" w:color="000000" w:sz="4" w:space="0"/>
              <w:right w:val="single" w:color="auto" w:sz="4" w:space="0"/>
            </w:tcBorders>
            <w:vAlign w:val="center"/>
          </w:tcPr>
          <w:p>
            <w:pPr>
              <w:rPr>
                <w:rFonts w:ascii="宋体" w:hAnsi="宋体" w:cs="Times New Roman"/>
              </w:rPr>
            </w:pPr>
            <w:r>
              <w:rPr>
                <w:rFonts w:ascii="宋体" w:hAnsi="宋体" w:cs="Times New Roman"/>
              </w:rPr>
              <w:t>部署模式</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支持软件化部署，一个管理中心支持同时管理多个Windows和Linux的监控端；</w:t>
            </w:r>
          </w:p>
          <w:p>
            <w:pPr>
              <w:rPr>
                <w:rFonts w:ascii="宋体" w:hAnsi="宋体" w:cs="Times New Roman"/>
              </w:rPr>
            </w:pPr>
            <w:r>
              <w:rPr>
                <w:rFonts w:ascii="宋体" w:hAnsi="宋体" w:cs="Times New Roman"/>
              </w:rPr>
              <w:t>同步端一对多模式部署，支持一个同步端对多个负载的网站进行同步。</w:t>
            </w:r>
          </w:p>
        </w:tc>
      </w:tr>
      <w:tr>
        <w:tblPrEx>
          <w:tblCellMar>
            <w:top w:w="0" w:type="dxa"/>
            <w:left w:w="108" w:type="dxa"/>
            <w:bottom w:w="0" w:type="dxa"/>
            <w:right w:w="108" w:type="dxa"/>
          </w:tblCellMar>
        </w:tblPrEx>
        <w:trPr>
          <w:trHeight w:val="322" w:hRule="atLeast"/>
          <w:jc w:val="center"/>
        </w:trPr>
        <w:tc>
          <w:tcPr>
            <w:tcW w:w="1701" w:type="dxa"/>
            <w:vMerge w:val="restart"/>
            <w:tcBorders>
              <w:top w:val="nil"/>
              <w:left w:val="single" w:color="auto" w:sz="4" w:space="0"/>
              <w:bottom w:val="single" w:color="000000" w:sz="4" w:space="0"/>
              <w:right w:val="single" w:color="auto" w:sz="4" w:space="0"/>
            </w:tcBorders>
            <w:vAlign w:val="center"/>
          </w:tcPr>
          <w:p>
            <w:pPr>
              <w:rPr>
                <w:rFonts w:ascii="宋体" w:hAnsi="宋体" w:cs="Times New Roman"/>
              </w:rPr>
            </w:pPr>
            <w:r>
              <w:rPr>
                <w:rFonts w:ascii="宋体" w:hAnsi="宋体" w:cs="Times New Roman"/>
              </w:rPr>
              <w:t>防篡改功能</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文件保护：支持各类网页文件的保护，包括静态和动态网页以及各类文件</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目录保护：支持对指定文件夹以及子文件夹的保护，避免上传非法文件及木马等恶意文件或插入恶意代码</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篡改规则：支持基于目录、进程、IP、操作系统用户等进行设置篡改规则</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自我保护：防篡改程序具有自我保护机制</w:t>
            </w:r>
          </w:p>
        </w:tc>
      </w:tr>
      <w:tr>
        <w:tblPrEx>
          <w:tblCellMar>
            <w:top w:w="0" w:type="dxa"/>
            <w:left w:w="108" w:type="dxa"/>
            <w:bottom w:w="0" w:type="dxa"/>
            <w:right w:w="108" w:type="dxa"/>
          </w:tblCellMar>
        </w:tblPrEx>
        <w:trPr>
          <w:trHeight w:val="322" w:hRule="atLeast"/>
          <w:jc w:val="center"/>
        </w:trPr>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Times New Roman"/>
              </w:rPr>
            </w:pP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断线检测与防护：在组件间网络断开的情况下仍能防止文件被篡改、在防护端进程被结束的情况下仍能防止文件被篡改</w:t>
            </w:r>
          </w:p>
        </w:tc>
      </w:tr>
      <w:tr>
        <w:tblPrEx>
          <w:tblCellMar>
            <w:top w:w="0" w:type="dxa"/>
            <w:left w:w="108" w:type="dxa"/>
            <w:bottom w:w="0" w:type="dxa"/>
            <w:right w:w="108" w:type="dxa"/>
          </w:tblCellMar>
        </w:tblPrEx>
        <w:trPr>
          <w:trHeight w:val="322" w:hRule="atLeast"/>
          <w:jc w:val="center"/>
        </w:trPr>
        <w:tc>
          <w:tcPr>
            <w:tcW w:w="1701" w:type="dxa"/>
            <w:tcBorders>
              <w:top w:val="nil"/>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性能指标</w:t>
            </w:r>
          </w:p>
        </w:tc>
        <w:tc>
          <w:tcPr>
            <w:tcW w:w="737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最大保护对象不限、最大保护深度不限；CPU，内存占用资源小于3%</w:t>
            </w:r>
          </w:p>
        </w:tc>
      </w:tr>
    </w:tbl>
    <w:p>
      <w:pPr>
        <w:rPr>
          <w:rFonts w:ascii="宋体" w:hAnsi="宋体" w:cs="Times New Roman"/>
          <w:b/>
        </w:rPr>
      </w:pPr>
    </w:p>
    <w:tbl>
      <w:tblPr>
        <w:tblStyle w:val="10"/>
        <w:tblW w:w="9072" w:type="dxa"/>
        <w:jc w:val="center"/>
        <w:tblLayout w:type="autofit"/>
        <w:tblCellMar>
          <w:top w:w="0" w:type="dxa"/>
          <w:left w:w="108" w:type="dxa"/>
          <w:bottom w:w="0" w:type="dxa"/>
          <w:right w:w="108" w:type="dxa"/>
        </w:tblCellMar>
      </w:tblPr>
      <w:tblGrid>
        <w:gridCol w:w="1681"/>
        <w:gridCol w:w="7391"/>
      </w:tblGrid>
      <w:tr>
        <w:tblPrEx>
          <w:tblCellMar>
            <w:top w:w="0" w:type="dxa"/>
            <w:left w:w="108" w:type="dxa"/>
            <w:bottom w:w="0" w:type="dxa"/>
            <w:right w:w="108" w:type="dxa"/>
          </w:tblCellMar>
        </w:tblPrEx>
        <w:trPr>
          <w:trHeight w:val="361" w:hRule="atLeast"/>
          <w:jc w:val="center"/>
        </w:trPr>
        <w:tc>
          <w:tcPr>
            <w:tcW w:w="9072" w:type="dxa"/>
            <w:gridSpan w:val="2"/>
            <w:tcBorders>
              <w:top w:val="single" w:color="auto" w:sz="4" w:space="0"/>
              <w:left w:val="single" w:color="auto" w:sz="4" w:space="0"/>
              <w:bottom w:val="single" w:color="auto" w:sz="4" w:space="0"/>
              <w:right w:val="single" w:color="000000" w:sz="4" w:space="0"/>
            </w:tcBorders>
            <w:vAlign w:val="bottom"/>
          </w:tcPr>
          <w:p>
            <w:pPr>
              <w:rPr>
                <w:rFonts w:ascii="宋体" w:hAnsi="宋体" w:cs="Times New Roman"/>
                <w:b/>
                <w:bCs/>
              </w:rPr>
            </w:pPr>
            <w:r>
              <w:rPr>
                <w:rFonts w:ascii="宋体" w:hAnsi="宋体" w:cs="Times New Roman"/>
                <w:b/>
                <w:bCs/>
              </w:rPr>
              <w:t>用途：WAF</w:t>
            </w:r>
          </w:p>
        </w:tc>
      </w:tr>
      <w:tr>
        <w:tblPrEx>
          <w:tblCellMar>
            <w:top w:w="0" w:type="dxa"/>
            <w:left w:w="108" w:type="dxa"/>
            <w:bottom w:w="0" w:type="dxa"/>
            <w:right w:w="108" w:type="dxa"/>
          </w:tblCellMar>
        </w:tblPrEx>
        <w:trPr>
          <w:trHeight w:val="305" w:hRule="atLeast"/>
          <w:jc w:val="center"/>
        </w:trPr>
        <w:tc>
          <w:tcPr>
            <w:tcW w:w="1681" w:type="dxa"/>
            <w:tcBorders>
              <w:top w:val="nil"/>
              <w:left w:val="single" w:color="auto" w:sz="4" w:space="0"/>
              <w:bottom w:val="single" w:color="auto" w:sz="4" w:space="0"/>
              <w:right w:val="single" w:color="auto" w:sz="4" w:space="0"/>
            </w:tcBorders>
            <w:shd w:val="clear" w:color="auto" w:fill="BFBFBF"/>
            <w:vAlign w:val="center"/>
          </w:tcPr>
          <w:p>
            <w:pPr>
              <w:rPr>
                <w:rFonts w:ascii="宋体" w:hAnsi="宋体" w:cs="Times New Roman"/>
                <w:b/>
                <w:bCs/>
              </w:rPr>
            </w:pPr>
            <w:r>
              <w:rPr>
                <w:rFonts w:ascii="宋体" w:hAnsi="宋体" w:cs="Times New Roman"/>
                <w:b/>
                <w:bCs/>
              </w:rPr>
              <w:t>指标项</w:t>
            </w:r>
          </w:p>
        </w:tc>
        <w:tc>
          <w:tcPr>
            <w:tcW w:w="7391" w:type="dxa"/>
            <w:tcBorders>
              <w:top w:val="nil"/>
              <w:left w:val="nil"/>
              <w:bottom w:val="single" w:color="auto" w:sz="4" w:space="0"/>
              <w:right w:val="single" w:color="auto" w:sz="4" w:space="0"/>
            </w:tcBorders>
            <w:shd w:val="clear" w:color="auto" w:fill="BFBFBF"/>
            <w:vAlign w:val="bottom"/>
          </w:tcPr>
          <w:p>
            <w:pPr>
              <w:rPr>
                <w:rFonts w:ascii="宋体" w:hAnsi="宋体" w:cs="Times New Roman"/>
                <w:b/>
                <w:bCs/>
              </w:rPr>
            </w:pPr>
            <w:r>
              <w:rPr>
                <w:rFonts w:ascii="宋体" w:hAnsi="宋体" w:cs="Times New Roman"/>
                <w:b/>
                <w:bCs/>
              </w:rPr>
              <w:t>指标要求（除特别说明外，以下为单台设备的配置要求）</w:t>
            </w:r>
          </w:p>
        </w:tc>
      </w:tr>
      <w:tr>
        <w:tblPrEx>
          <w:tblCellMar>
            <w:top w:w="0" w:type="dxa"/>
            <w:left w:w="108" w:type="dxa"/>
            <w:bottom w:w="0" w:type="dxa"/>
            <w:right w:w="108" w:type="dxa"/>
          </w:tblCellMar>
        </w:tblPrEx>
        <w:trPr>
          <w:trHeight w:val="306" w:hRule="atLeast"/>
          <w:jc w:val="center"/>
        </w:trPr>
        <w:tc>
          <w:tcPr>
            <w:tcW w:w="1681" w:type="dxa"/>
            <w:vMerge w:val="restart"/>
            <w:tcBorders>
              <w:top w:val="nil"/>
              <w:left w:val="single" w:color="auto" w:sz="4" w:space="0"/>
              <w:right w:val="single" w:color="auto" w:sz="4" w:space="0"/>
            </w:tcBorders>
            <w:vAlign w:val="center"/>
          </w:tcPr>
          <w:p>
            <w:pPr>
              <w:rPr>
                <w:rFonts w:ascii="宋体" w:hAnsi="宋体" w:cs="Times New Roman"/>
              </w:rPr>
            </w:pPr>
            <w:r>
              <w:rPr>
                <w:rFonts w:ascii="宋体" w:hAnsi="宋体" w:cs="Times New Roman"/>
              </w:rPr>
              <w:t>性能要求</w:t>
            </w: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集群吞吐量≥20Gbps</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集群新建连接数≥10万</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集群并发连接数≥200万</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nil"/>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必须能支持集群部署，支持线路冗余、引擎负载均衡等高可用机制，确保平台不间断运行。</w:t>
            </w:r>
          </w:p>
        </w:tc>
      </w:tr>
      <w:tr>
        <w:tblPrEx>
          <w:tblCellMar>
            <w:top w:w="0" w:type="dxa"/>
            <w:left w:w="108" w:type="dxa"/>
            <w:bottom w:w="0" w:type="dxa"/>
            <w:right w:w="108" w:type="dxa"/>
          </w:tblCellMar>
        </w:tblPrEx>
        <w:trPr>
          <w:trHeight w:val="67" w:hRule="atLeast"/>
          <w:jc w:val="center"/>
        </w:trPr>
        <w:tc>
          <w:tcPr>
            <w:tcW w:w="1681" w:type="dxa"/>
            <w:vMerge w:val="restart"/>
            <w:tcBorders>
              <w:top w:val="single" w:color="auto" w:sz="4" w:space="0"/>
              <w:left w:val="single" w:color="auto" w:sz="4" w:space="0"/>
              <w:right w:val="single" w:color="auto" w:sz="4" w:space="0"/>
            </w:tcBorders>
            <w:vAlign w:val="center"/>
          </w:tcPr>
          <w:p>
            <w:pPr>
              <w:rPr>
                <w:rFonts w:ascii="宋体" w:hAnsi="宋体" w:cs="Times New Roman"/>
              </w:rPr>
            </w:pPr>
            <w:r>
              <w:rPr>
                <w:rFonts w:ascii="宋体" w:hAnsi="宋体" w:cs="Times New Roman"/>
              </w:rPr>
              <w:t>功能要求</w:t>
            </w: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hint="eastAsia" w:ascii="宋体" w:hAnsi="宋体" w:cs="Times New Roman"/>
                <w:lang w:val="en-US" w:eastAsia="zh-CN"/>
              </w:rPr>
              <w:t>支持透明串接、反向代理、旁路镜像、路由牵引、嵌入式部署等多种部署模式部署。支持链路聚合。</w:t>
            </w:r>
          </w:p>
        </w:tc>
      </w:tr>
      <w:tr>
        <w:tblPrEx>
          <w:tblCellMar>
            <w:top w:w="0" w:type="dxa"/>
            <w:left w:w="108" w:type="dxa"/>
            <w:bottom w:w="0" w:type="dxa"/>
            <w:right w:w="108" w:type="dxa"/>
          </w:tblCellMar>
        </w:tblPrEx>
        <w:trPr>
          <w:trHeight w:val="67"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具备BYPASS功能模块，能够在5分钟内实现切换</w:t>
            </w:r>
          </w:p>
        </w:tc>
      </w:tr>
      <w:tr>
        <w:tblPrEx>
          <w:tblCellMar>
            <w:top w:w="0" w:type="dxa"/>
            <w:left w:w="108" w:type="dxa"/>
            <w:bottom w:w="0" w:type="dxa"/>
            <w:right w:w="108" w:type="dxa"/>
          </w:tblCellMar>
        </w:tblPrEx>
        <w:trPr>
          <w:trHeight w:val="67"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right w:val="single" w:color="auto" w:sz="4" w:space="0"/>
            </w:tcBorders>
            <w:vAlign w:val="bottom"/>
          </w:tcPr>
          <w:p>
            <w:pPr>
              <w:rPr>
                <w:rFonts w:ascii="宋体" w:hAnsi="宋体" w:cs="Times New Roman"/>
              </w:rPr>
            </w:pPr>
            <w:r>
              <w:rPr>
                <w:rFonts w:ascii="宋体" w:hAnsi="宋体" w:cs="Times New Roman"/>
              </w:rPr>
              <w:t>支持识别服务端响应内容导致的缺陷：协议违规、协议版本限制、缺失报头、畸形请求、文件限制、恶意user-agents、服务器信息泄露、数据库信息泄露、源代码泄露。</w:t>
            </w:r>
          </w:p>
        </w:tc>
      </w:tr>
      <w:tr>
        <w:tblPrEx>
          <w:tblCellMar>
            <w:top w:w="0" w:type="dxa"/>
            <w:left w:w="108" w:type="dxa"/>
            <w:bottom w:w="0" w:type="dxa"/>
            <w:right w:w="108" w:type="dxa"/>
          </w:tblCellMar>
        </w:tblPrEx>
        <w:trPr>
          <w:trHeight w:val="306" w:hRule="atLeast"/>
          <w:jc w:val="center"/>
        </w:trPr>
        <w:tc>
          <w:tcPr>
            <w:tcW w:w="1681" w:type="dxa"/>
            <w:vMerge w:val="continue"/>
            <w:tcBorders>
              <w:left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支持能够以区域进行访问控制，限制国外用户或者国内以市为最低行政单位的区域进行访问控制。</w:t>
            </w:r>
          </w:p>
        </w:tc>
      </w:tr>
      <w:tr>
        <w:tblPrEx>
          <w:tblCellMar>
            <w:top w:w="0" w:type="dxa"/>
            <w:left w:w="108" w:type="dxa"/>
            <w:bottom w:w="0" w:type="dxa"/>
            <w:right w:w="108" w:type="dxa"/>
          </w:tblCellMar>
        </w:tblPrEx>
        <w:trPr>
          <w:trHeight w:val="504" w:hRule="atLeast"/>
          <w:jc w:val="center"/>
        </w:trPr>
        <w:tc>
          <w:tcPr>
            <w:tcW w:w="1681" w:type="dxa"/>
            <w:vMerge w:val="continue"/>
            <w:tcBorders>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支持一键关停功能，当网站出现紧急安全事件时，可在一分钟内通过</w:t>
            </w:r>
            <w:r>
              <w:rPr>
                <w:rFonts w:hint="eastAsia" w:ascii="宋体" w:hAnsi="宋体" w:cs="Times New Roman"/>
                <w:lang w:val="en-US" w:eastAsia="zh-CN"/>
              </w:rPr>
              <w:t>管理平台</w:t>
            </w:r>
            <w:r>
              <w:rPr>
                <w:rFonts w:ascii="宋体" w:hAnsi="宋体" w:cs="Times New Roman"/>
              </w:rPr>
              <w:t>一键完成关停，防止产生恶劣影响。</w:t>
            </w:r>
          </w:p>
        </w:tc>
      </w:tr>
      <w:tr>
        <w:tblPrEx>
          <w:tblCellMar>
            <w:top w:w="0" w:type="dxa"/>
            <w:left w:w="108" w:type="dxa"/>
            <w:bottom w:w="0" w:type="dxa"/>
            <w:right w:w="108" w:type="dxa"/>
          </w:tblCellMar>
        </w:tblPrEx>
        <w:trPr>
          <w:trHeight w:val="535" w:hRule="atLeast"/>
          <w:jc w:val="center"/>
        </w:trPr>
        <w:tc>
          <w:tcPr>
            <w:tcW w:w="1681" w:type="dxa"/>
            <w:vMerge w:val="restart"/>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r>
              <w:rPr>
                <w:rFonts w:ascii="宋体" w:hAnsi="宋体" w:cs="Times New Roman"/>
              </w:rPr>
              <w:t>管理支撑功能</w:t>
            </w: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支持SAAS服务模式，能为每个网站和系统单独创建用户账号，用于查看所属网站和系统的安全状况。租户账号可以根据需要可以在租户管理界面上进行自服务配置，大屏监控以及访问和防护报表的导出等。管理员账号可关注、查看下属机构的网站和系统的整体情况，形成整体区域监控。</w:t>
            </w:r>
          </w:p>
        </w:tc>
      </w:tr>
      <w:tr>
        <w:tblPrEx>
          <w:tblCellMar>
            <w:top w:w="0" w:type="dxa"/>
            <w:left w:w="108" w:type="dxa"/>
            <w:bottom w:w="0" w:type="dxa"/>
            <w:right w:w="108" w:type="dxa"/>
          </w:tblCellMar>
        </w:tblPrEx>
        <w:trPr>
          <w:trHeight w:val="535" w:hRule="atLeast"/>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为同时满足不同用户群体、不同场景的管理需求，产品同时支持手机APP、微信公众号、WEB三种方式查看网站整体防护态势，包含受攻击域名排行、攻击类型排行、攻击IP排行、攻击区域分布等状态信息。</w:t>
            </w:r>
          </w:p>
        </w:tc>
      </w:tr>
      <w:tr>
        <w:tblPrEx>
          <w:tblCellMar>
            <w:top w:w="0" w:type="dxa"/>
            <w:left w:w="108" w:type="dxa"/>
            <w:bottom w:w="0" w:type="dxa"/>
            <w:right w:w="108" w:type="dxa"/>
          </w:tblCellMar>
        </w:tblPrEx>
        <w:trPr>
          <w:trHeight w:val="67" w:hRule="atLeast"/>
          <w:jc w:val="center"/>
        </w:trPr>
        <w:tc>
          <w:tcPr>
            <w:tcW w:w="16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Times New Roman"/>
              </w:rPr>
            </w:pPr>
          </w:p>
        </w:tc>
        <w:tc>
          <w:tcPr>
            <w:tcW w:w="7391" w:type="dxa"/>
            <w:tcBorders>
              <w:top w:val="single" w:color="auto" w:sz="4" w:space="0"/>
              <w:left w:val="nil"/>
              <w:bottom w:val="single" w:color="auto" w:sz="4" w:space="0"/>
              <w:right w:val="single" w:color="auto" w:sz="4" w:space="0"/>
            </w:tcBorders>
            <w:vAlign w:val="bottom"/>
          </w:tcPr>
          <w:p>
            <w:pPr>
              <w:rPr>
                <w:rFonts w:ascii="宋体" w:hAnsi="宋体" w:cs="Times New Roman"/>
              </w:rPr>
            </w:pPr>
            <w:r>
              <w:rPr>
                <w:rFonts w:ascii="宋体" w:hAnsi="宋体" w:cs="Times New Roman"/>
              </w:rPr>
              <w:t>同时支持单个站点和整体网站群攻击态势可视化分析，包括访问与攻击流量趋势、访问与攻击源实时分、析CC攻击趋势、受攻击网站趋势、访问源及攻击IP排行、攻击类型、攻击时段、网站访问排行等、攻击区域热点展示与挖掘等。</w:t>
            </w:r>
          </w:p>
        </w:tc>
      </w:tr>
    </w:tbl>
    <w:p>
      <w:bookmarkStart w:id="36" w:name="_Hlk32784404"/>
      <w:bookmarkStart w:id="37" w:name="_Hlk32827629"/>
    </w:p>
    <w:tbl>
      <w:tblPr>
        <w:tblStyle w:val="10"/>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rPr>
                <w:rFonts w:ascii="宋体" w:hAnsi="宋体" w:cs="宋体"/>
                <w:b/>
                <w:color w:val="000000"/>
                <w:kern w:val="0"/>
              </w:rPr>
            </w:pPr>
            <w:r>
              <w:rPr>
                <w:rFonts w:ascii="宋体" w:hAnsi="宋体"/>
                <w:b/>
                <w:bCs/>
                <w:color w:val="000000"/>
                <w:kern w:val="0"/>
              </w:rPr>
              <w:t>用途：蜜罐系统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shd w:val="clear" w:color="auto" w:fill="BFBFBF"/>
            <w:vAlign w:val="center"/>
          </w:tcPr>
          <w:p>
            <w:pPr>
              <w:jc w:val="center"/>
              <w:rPr>
                <w:rFonts w:ascii="宋体" w:hAnsi="宋体" w:cs="宋体"/>
                <w:b/>
                <w:color w:val="000000"/>
                <w:kern w:val="0"/>
              </w:rPr>
            </w:pPr>
            <w:r>
              <w:rPr>
                <w:rFonts w:ascii="宋体" w:hAnsi="宋体" w:cs="宋体"/>
                <w:b/>
                <w:color w:val="000000"/>
                <w:kern w:val="0"/>
              </w:rPr>
              <w:t>规格</w:t>
            </w:r>
          </w:p>
        </w:tc>
        <w:tc>
          <w:tcPr>
            <w:tcW w:w="4063" w:type="pct"/>
            <w:tcBorders>
              <w:top w:val="single" w:color="auto" w:sz="4" w:space="0"/>
              <w:left w:val="single" w:color="auto" w:sz="4" w:space="0"/>
              <w:bottom w:val="single" w:color="auto" w:sz="4" w:space="0"/>
              <w:right w:val="single" w:color="auto" w:sz="4" w:space="0"/>
            </w:tcBorders>
            <w:shd w:val="clear" w:color="auto" w:fill="BFBFBF"/>
            <w:vAlign w:val="bottom"/>
          </w:tcPr>
          <w:p>
            <w:pPr>
              <w:jc w:val="center"/>
              <w:rPr>
                <w:rFonts w:ascii="宋体" w:hAnsi="宋体" w:cs="宋体"/>
                <w:b/>
                <w:color w:val="000000"/>
                <w:kern w:val="0"/>
              </w:rPr>
            </w:pPr>
            <w:r>
              <w:rPr>
                <w:rFonts w:ascii="宋体" w:hAnsi="宋体" w:cs="宋体"/>
                <w:b/>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蜜罐创建能力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宋体"/>
                <w:color w:val="000000"/>
                <w:kern w:val="0"/>
              </w:rPr>
              <w:t>支持主机类蜜罐、服务类蜜罐、数据库类蜜罐、web蜜罐等创建，以上各类蜜罐都要具有高交互能力，并可以组成蜜网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诱饵创建能力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支持创建撒放在Windows和Linux主机上的诱饵，包括但不限于文件类诱饵、连接类诱饵、网络共享类诱饵以及浏览器类诱饵，达到诱捕攻击者攻击诱捕节点的目的。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诱捕伪装能力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支持在网络中部署轻量级的诱捕节点，考虑到经济性和真实性，一台诱捕主机应支持产生多个具有不同IP和MAC地址的诱捕节点，并且每个诱捕节点可以动态配置不同诱捕服务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攻击检测能力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支持对诱捕节点触碰和蜜罐入侵两类事件的检测，并支持对攻击源的画像，以图表和时间轴的方式展示其相关信息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攻击取证能力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支持对流经蜜罐的流量包进行捕获、保存以及从流量包中进行文件还原的能力，便于后续取证分析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统计分析能力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支持统计分析功能，展示一段时间内系统所捕获的安全事件的汇总统计信息和趋势，呈现内网威胁信息的概览，并支持下钻到具体事件信息。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事件告警能力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支持多种告警方式，包括但不限于邮件、SYSLOG等。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统计报表能力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支持统计报表功能，支持根据用户需求定期生成周报及自定义的报表，报表需包括周期内的所有安全事件、事件类型分布以及具体事件详情。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分级管控能力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单套系统支持分级管理功能，下级用户仅能配置自己的蜜罐及诱捕节点，并且仅能查看自己的报警事件，上级用户可以对所有下级的蜜罐和诱捕节点进行配置，并查看所有下级的报警事件。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系统管理能力</w:t>
            </w:r>
          </w:p>
        </w:tc>
        <w:tc>
          <w:tcPr>
            <w:tcW w:w="4063" w:type="pct"/>
            <w:tcBorders>
              <w:top w:val="single" w:color="auto" w:sz="4" w:space="0"/>
              <w:left w:val="single" w:color="auto" w:sz="4" w:space="0"/>
              <w:bottom w:val="single" w:color="auto" w:sz="4" w:space="0"/>
              <w:right w:val="single" w:color="auto" w:sz="4" w:space="0"/>
            </w:tcBorders>
          </w:tcPr>
          <w:p>
            <w:pPr>
              <w:rPr>
                <w:rFonts w:ascii="宋体" w:hAnsi="宋体" w:cs="Times New Roman"/>
              </w:rPr>
            </w:pPr>
            <w:r>
              <w:rPr>
                <w:rFonts w:ascii="宋体" w:hAnsi="宋体" w:cs="Times New Roman"/>
              </w:rPr>
              <w:t>支持用户管理、蜜罐管理、诱捕节点管理、白名单、事件等级配置、一键启停诱捕节点等管理功能</w:t>
            </w:r>
          </w:p>
        </w:tc>
      </w:tr>
    </w:tbl>
    <w:p/>
    <w:p>
      <w:pPr>
        <w:pStyle w:val="5"/>
        <w:numPr>
          <w:ilvl w:val="2"/>
          <w:numId w:val="5"/>
        </w:numPr>
        <w:spacing w:before="160" w:line="300" w:lineRule="exact"/>
        <w:ind w:left="420"/>
        <w:rPr>
          <w:rFonts w:ascii="宋体" w:hAnsi="宋体"/>
        </w:rPr>
      </w:pPr>
      <w:bookmarkStart w:id="38" w:name="_Toc34080406"/>
      <w:bookmarkStart w:id="39" w:name="_Toc34080590"/>
      <w:r>
        <w:rPr>
          <w:rFonts w:ascii="宋体" w:hAnsi="宋体"/>
        </w:rPr>
        <w:t>国密技术要求</w:t>
      </w:r>
      <w:bookmarkEnd w:id="35"/>
      <w:bookmarkEnd w:id="38"/>
      <w:bookmarkEnd w:id="39"/>
    </w:p>
    <w:p>
      <w:pPr>
        <w:pStyle w:val="6"/>
        <w:numPr>
          <w:ilvl w:val="3"/>
          <w:numId w:val="14"/>
        </w:numPr>
        <w:spacing w:line="276" w:lineRule="auto"/>
        <w:ind w:left="840"/>
        <w:rPr>
          <w:rFonts w:hint="default"/>
        </w:rPr>
      </w:pPr>
      <w:bookmarkStart w:id="40" w:name="_Toc34080407"/>
      <w:r>
        <w:t>国密服务要求</w:t>
      </w:r>
      <w:bookmarkEnd w:id="40"/>
    </w:p>
    <w:p>
      <w:pPr>
        <w:spacing w:line="276" w:lineRule="auto"/>
        <w:ind w:left="420" w:firstLine="420"/>
      </w:pPr>
      <w:r>
        <w:rPr>
          <w:rFonts w:hint="eastAsia" w:ascii="宋体" w:hAnsi="宋体"/>
        </w:rPr>
        <w:t>中</w:t>
      </w:r>
      <w:r>
        <w:rPr>
          <w:rFonts w:ascii="宋体" w:hAnsi="宋体"/>
        </w:rPr>
        <w:t>标人需提供密码应用、物理和环境安全、网络和通信安全、设备和计算安全、密钥管理及密码安全管理体系制度等方面的建设和咨询服务。</w:t>
      </w:r>
    </w:p>
    <w:p>
      <w:pPr>
        <w:pStyle w:val="6"/>
        <w:numPr>
          <w:ilvl w:val="3"/>
          <w:numId w:val="14"/>
        </w:numPr>
        <w:spacing w:line="276" w:lineRule="auto"/>
        <w:ind w:left="840"/>
        <w:rPr>
          <w:rFonts w:hint="default"/>
        </w:rPr>
      </w:pPr>
      <w:bookmarkStart w:id="41" w:name="_Toc34080408"/>
      <w:r>
        <w:t>国密硬件要求</w:t>
      </w:r>
      <w:bookmarkEnd w:id="41"/>
    </w:p>
    <w:tbl>
      <w:tblPr>
        <w:tblStyle w:val="10"/>
        <w:tblW w:w="7828" w:type="dxa"/>
        <w:jc w:val="center"/>
        <w:tblLayout w:type="fixed"/>
        <w:tblCellMar>
          <w:top w:w="0" w:type="dxa"/>
          <w:left w:w="0" w:type="dxa"/>
          <w:bottom w:w="0" w:type="dxa"/>
          <w:right w:w="0" w:type="dxa"/>
        </w:tblCellMar>
      </w:tblPr>
      <w:tblGrid>
        <w:gridCol w:w="1590"/>
        <w:gridCol w:w="6238"/>
      </w:tblGrid>
      <w:tr>
        <w:tblPrEx>
          <w:tblCellMar>
            <w:top w:w="0" w:type="dxa"/>
            <w:left w:w="0" w:type="dxa"/>
            <w:bottom w:w="0" w:type="dxa"/>
            <w:right w:w="0" w:type="dxa"/>
          </w:tblCellMar>
        </w:tblPrEx>
        <w:trPr>
          <w:trHeight w:val="270" w:hRule="atLeast"/>
          <w:jc w:val="center"/>
        </w:trPr>
        <w:tc>
          <w:tcPr>
            <w:tcW w:w="782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用途：云密码机</w:t>
            </w:r>
          </w:p>
        </w:tc>
      </w:tr>
      <w:tr>
        <w:tblPrEx>
          <w:tblCellMar>
            <w:top w:w="0" w:type="dxa"/>
            <w:left w:w="0" w:type="dxa"/>
            <w:bottom w:w="0" w:type="dxa"/>
            <w:right w:w="0" w:type="dxa"/>
          </w:tblCellMar>
        </w:tblPrEx>
        <w:trPr>
          <w:trHeight w:val="270" w:hRule="atLeast"/>
          <w:jc w:val="center"/>
        </w:trPr>
        <w:tc>
          <w:tcPr>
            <w:tcW w:w="159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ind w:firstLine="422" w:firstLineChars="200"/>
              <w:textAlignment w:val="center"/>
              <w:rPr>
                <w:rFonts w:ascii="宋体" w:hAnsi="宋体" w:cs="宋体"/>
                <w:b/>
                <w:bCs/>
                <w:color w:val="000000"/>
              </w:rPr>
            </w:pPr>
            <w:r>
              <w:rPr>
                <w:rFonts w:ascii="宋体" w:hAnsi="宋体" w:cs="宋体"/>
                <w:b/>
                <w:bCs/>
                <w:color w:val="000000"/>
                <w:kern w:val="0"/>
              </w:rPr>
              <w:t>要求</w:t>
            </w:r>
          </w:p>
        </w:tc>
        <w:tc>
          <w:tcPr>
            <w:tcW w:w="623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ind w:firstLine="422" w:firstLineChars="200"/>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590"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具有国家密码局颁发的《商用密码产品型号证书》；</w:t>
            </w:r>
          </w:p>
        </w:tc>
      </w:tr>
      <w:tr>
        <w:tblPrEx>
          <w:tblCellMar>
            <w:top w:w="0" w:type="dxa"/>
            <w:left w:w="0" w:type="dxa"/>
            <w:bottom w:w="0" w:type="dxa"/>
            <w:right w:w="0" w:type="dxa"/>
          </w:tblCellMar>
        </w:tblPrEx>
        <w:trPr>
          <w:trHeight w:val="35" w:hRule="atLeast"/>
          <w:jc w:val="center"/>
        </w:trPr>
        <w:tc>
          <w:tcPr>
            <w:tcW w:w="1590"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密码算法和协议要求</w:t>
            </w: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支持签名和验签名、基于密钥的完整性保护、数据加解密及安全密钥存储等功能，且所有密码运算都基于国家商用密码算法；</w:t>
            </w:r>
          </w:p>
        </w:tc>
      </w:tr>
      <w:tr>
        <w:tblPrEx>
          <w:tblCellMar>
            <w:top w:w="0" w:type="dxa"/>
            <w:left w:w="0" w:type="dxa"/>
            <w:bottom w:w="0" w:type="dxa"/>
            <w:right w:w="0" w:type="dxa"/>
          </w:tblCellMar>
        </w:tblPrEx>
        <w:trPr>
          <w:trHeight w:val="35" w:hRule="atLeast"/>
          <w:jc w:val="center"/>
        </w:trPr>
        <w:tc>
          <w:tcPr>
            <w:tcW w:w="15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技术参数</w:t>
            </w: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支持SM2非对称密钥生成、获取公钥，256位SM2密钥对生成≥26000次/秒；</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支持SM2非对称密钥私钥签名、验签功能，256位SM2签名≥26000次/秒，256位SM2验签≥24000次/秒；</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支持SM2非对称密钥公钥加密、解密，256位SM2加密≥16000次/秒，256位SM2解密</w:t>
            </w:r>
            <w:r>
              <w:rPr>
                <w:rFonts w:ascii="宋体" w:hAnsi="宋体"/>
                <w:color w:val="000000"/>
              </w:rPr>
              <w:t xml:space="preserve"> </w:t>
            </w:r>
            <w:r>
              <w:rPr>
                <w:rFonts w:ascii="宋体" w:hAnsi="宋体" w:cs="楷体"/>
                <w:color w:val="000000"/>
              </w:rPr>
              <w:t>≥30000次/秒；</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支持SM4对称密钥生成，且支持ECB和CBC模式加解密，SM4计算效率≥3000Mbps；</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支持SM3算法数据摘要运算,支持MAC和HMAC，SM3计算效率≥3000Mbps</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支持海量密钥存储，存储量大于100万条</w:t>
            </w:r>
          </w:p>
        </w:tc>
      </w:tr>
      <w:tr>
        <w:tblPrEx>
          <w:tblCellMar>
            <w:top w:w="0" w:type="dxa"/>
            <w:left w:w="0" w:type="dxa"/>
            <w:bottom w:w="0" w:type="dxa"/>
            <w:right w:w="0" w:type="dxa"/>
          </w:tblCellMar>
        </w:tblPrEx>
        <w:trPr>
          <w:trHeight w:val="228" w:hRule="atLeast"/>
          <w:jc w:val="center"/>
        </w:trPr>
        <w:tc>
          <w:tcPr>
            <w:tcW w:w="15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支持基于虚拟化技术的自动化部署，虚拟的密码机以文件镜象加密存储；云平台管理端可调用云密码管理服务平台的接口实现远程创建虚拟加密机镜象，远程调用不同的虚拟密码机镜象，实现虚拟密码机的自动化部署、启用、卸载、销毁等；</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安全存储服务器密码机核心程序：服务器密码机使用带有逻辑加密功能的芯片对核心程序进行存储，防止非法读出；</w:t>
            </w:r>
          </w:p>
        </w:tc>
      </w:tr>
      <w:tr>
        <w:tblPrEx>
          <w:tblCellMar>
            <w:top w:w="0" w:type="dxa"/>
            <w:left w:w="0" w:type="dxa"/>
            <w:bottom w:w="0" w:type="dxa"/>
            <w:right w:w="0" w:type="dxa"/>
          </w:tblCellMar>
        </w:tblPrEx>
        <w:trPr>
          <w:trHeight w:val="35" w:hRule="atLeast"/>
          <w:jc w:val="center"/>
        </w:trPr>
        <w:tc>
          <w:tcPr>
            <w:tcW w:w="15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管理软件能够针对云密码机和虚拟密码机进行运行状态监控，包括服务正常运行情况、业务连接数、CPU、内存占用率、磁盘使用率等业务状态,支持三权分立角色管理和国密强身份认证；</w:t>
            </w:r>
          </w:p>
        </w:tc>
      </w:tr>
      <w:tr>
        <w:tblPrEx>
          <w:tblCellMar>
            <w:top w:w="0" w:type="dxa"/>
            <w:left w:w="0" w:type="dxa"/>
            <w:bottom w:w="0" w:type="dxa"/>
            <w:right w:w="0" w:type="dxa"/>
          </w:tblCellMar>
        </w:tblPrEx>
        <w:trPr>
          <w:trHeight w:val="35" w:hRule="atLeast"/>
          <w:jc w:val="center"/>
        </w:trPr>
        <w:tc>
          <w:tcPr>
            <w:tcW w:w="15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kern w:val="0"/>
              </w:rPr>
            </w:pPr>
            <w:r>
              <w:rPr>
                <w:rFonts w:ascii="宋体" w:hAnsi="宋体" w:cs="楷体"/>
                <w:color w:val="000000"/>
                <w:kern w:val="0"/>
              </w:rPr>
              <w:t>支持对云密码机日志信息和访问控制信息进行基于商用密码算法的完整性保护；</w:t>
            </w:r>
          </w:p>
        </w:tc>
      </w:tr>
    </w:tbl>
    <w:p/>
    <w:tbl>
      <w:tblPr>
        <w:tblStyle w:val="10"/>
        <w:tblW w:w="7847" w:type="dxa"/>
        <w:jc w:val="center"/>
        <w:tblLayout w:type="fixed"/>
        <w:tblCellMar>
          <w:top w:w="0" w:type="dxa"/>
          <w:left w:w="0" w:type="dxa"/>
          <w:bottom w:w="0" w:type="dxa"/>
          <w:right w:w="0" w:type="dxa"/>
        </w:tblCellMar>
      </w:tblPr>
      <w:tblGrid>
        <w:gridCol w:w="1600"/>
        <w:gridCol w:w="6247"/>
      </w:tblGrid>
      <w:tr>
        <w:tblPrEx>
          <w:tblCellMar>
            <w:top w:w="0" w:type="dxa"/>
            <w:left w:w="0" w:type="dxa"/>
            <w:bottom w:w="0" w:type="dxa"/>
            <w:right w:w="0" w:type="dxa"/>
          </w:tblCellMar>
        </w:tblPrEx>
        <w:trPr>
          <w:trHeight w:val="270" w:hRule="atLeast"/>
          <w:jc w:val="center"/>
        </w:trPr>
        <w:tc>
          <w:tcPr>
            <w:tcW w:w="784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00" w:firstLineChars="95"/>
              <w:textAlignment w:val="center"/>
              <w:rPr>
                <w:rFonts w:ascii="宋体" w:hAnsi="宋体" w:cs="宋体"/>
                <w:b/>
                <w:bCs/>
                <w:color w:val="000000"/>
                <w:kern w:val="0"/>
              </w:rPr>
            </w:pPr>
            <w:r>
              <w:rPr>
                <w:rFonts w:ascii="宋体" w:hAnsi="宋体" w:cs="宋体"/>
                <w:b/>
                <w:bCs/>
                <w:color w:val="000000"/>
                <w:kern w:val="0"/>
              </w:rPr>
              <w:t>用途：国密SSL VPN</w:t>
            </w:r>
          </w:p>
        </w:tc>
      </w:tr>
      <w:tr>
        <w:tblPrEx>
          <w:tblCellMar>
            <w:top w:w="0" w:type="dxa"/>
            <w:left w:w="0" w:type="dxa"/>
            <w:bottom w:w="0" w:type="dxa"/>
            <w:right w:w="0" w:type="dxa"/>
          </w:tblCellMar>
        </w:tblPrEx>
        <w:trPr>
          <w:trHeight w:val="270" w:hRule="atLeast"/>
          <w:jc w:val="center"/>
        </w:trPr>
        <w:tc>
          <w:tcPr>
            <w:tcW w:w="160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47"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60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国密SSL VPN具有国家密码局颁发的商用密码产品型号证书；</w:t>
            </w:r>
          </w:p>
        </w:tc>
      </w:tr>
      <w:tr>
        <w:tblPrEx>
          <w:tblCellMar>
            <w:top w:w="0" w:type="dxa"/>
            <w:left w:w="0" w:type="dxa"/>
            <w:bottom w:w="0" w:type="dxa"/>
            <w:right w:w="0" w:type="dxa"/>
          </w:tblCellMar>
        </w:tblPrEx>
        <w:trPr>
          <w:trHeight w:val="35" w:hRule="atLeast"/>
          <w:jc w:val="center"/>
        </w:trPr>
        <w:tc>
          <w:tcPr>
            <w:tcW w:w="1600" w:type="dxa"/>
            <w:vMerge w:val="continue"/>
            <w:tcBorders>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支持ESP、AH封装协议，支持SM2_SM4_SM3_ESP隧道模式</w:t>
            </w:r>
          </w:p>
        </w:tc>
      </w:tr>
      <w:tr>
        <w:tblPrEx>
          <w:tblCellMar>
            <w:top w:w="0" w:type="dxa"/>
            <w:left w:w="0" w:type="dxa"/>
            <w:bottom w:w="0" w:type="dxa"/>
            <w:right w:w="0" w:type="dxa"/>
          </w:tblCellMar>
        </w:tblPrEx>
        <w:trPr>
          <w:trHeight w:val="300" w:hRule="atLeast"/>
          <w:jc w:val="center"/>
        </w:trPr>
        <w:tc>
          <w:tcPr>
            <w:tcW w:w="1600" w:type="dxa"/>
            <w:vMerge w:val="continue"/>
            <w:tcBorders>
              <w:left w:val="single" w:color="000000" w:sz="4" w:space="0"/>
              <w:bottom w:val="single" w:color="auto"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支持国密标准SSL/TLS协议</w:t>
            </w:r>
          </w:p>
        </w:tc>
      </w:tr>
      <w:tr>
        <w:tblPrEx>
          <w:tblCellMar>
            <w:top w:w="0" w:type="dxa"/>
            <w:left w:w="0" w:type="dxa"/>
            <w:bottom w:w="0" w:type="dxa"/>
            <w:right w:w="0" w:type="dxa"/>
          </w:tblCellMar>
        </w:tblPrEx>
        <w:trPr>
          <w:trHeight w:val="90" w:hRule="atLeast"/>
          <w:jc w:val="center"/>
        </w:trPr>
        <w:tc>
          <w:tcPr>
            <w:tcW w:w="1600" w:type="dxa"/>
            <w:vMerge w:val="restart"/>
            <w:tcBorders>
              <w:top w:val="single" w:color="auto"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性能要求</w:t>
            </w: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每秒新建并发用户数≥1000</w:t>
            </w:r>
          </w:p>
        </w:tc>
      </w:tr>
      <w:tr>
        <w:tblPrEx>
          <w:tblCellMar>
            <w:top w:w="0" w:type="dxa"/>
            <w:left w:w="0" w:type="dxa"/>
            <w:bottom w:w="0" w:type="dxa"/>
            <w:right w:w="0" w:type="dxa"/>
          </w:tblCellMar>
        </w:tblPrEx>
        <w:trPr>
          <w:trHeight w:val="90" w:hRule="atLeast"/>
          <w:jc w:val="center"/>
        </w:trPr>
        <w:tc>
          <w:tcPr>
            <w:tcW w:w="160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https最大并发连接数 ≥5W</w:t>
            </w:r>
          </w:p>
        </w:tc>
      </w:tr>
      <w:tr>
        <w:tblPrEx>
          <w:tblCellMar>
            <w:top w:w="0" w:type="dxa"/>
            <w:left w:w="0" w:type="dxa"/>
            <w:bottom w:w="0" w:type="dxa"/>
            <w:right w:w="0" w:type="dxa"/>
          </w:tblCellMar>
        </w:tblPrEx>
        <w:trPr>
          <w:trHeight w:val="300" w:hRule="atLeast"/>
          <w:jc w:val="center"/>
        </w:trPr>
        <w:tc>
          <w:tcPr>
            <w:tcW w:w="160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密文吞吐率 ≥1</w:t>
            </w:r>
            <w:r>
              <w:rPr>
                <w:rFonts w:hint="eastAsia" w:ascii="宋体" w:hAnsi="宋体" w:cs="楷体"/>
                <w:kern w:val="0"/>
              </w:rPr>
              <w:t>.</w:t>
            </w:r>
            <w:r>
              <w:rPr>
                <w:rFonts w:ascii="宋体" w:hAnsi="宋体" w:cs="楷体"/>
                <w:kern w:val="0"/>
              </w:rPr>
              <w:t xml:space="preserve">5 </w:t>
            </w:r>
            <w:r>
              <w:rPr>
                <w:rFonts w:hint="eastAsia" w:ascii="宋体" w:hAnsi="宋体" w:cs="楷体"/>
                <w:kern w:val="0"/>
              </w:rPr>
              <w:t>G</w:t>
            </w:r>
            <w:r>
              <w:rPr>
                <w:rFonts w:ascii="宋体" w:hAnsi="宋体" w:cs="楷体"/>
                <w:kern w:val="0"/>
              </w:rPr>
              <w:t>bps</w:t>
            </w:r>
          </w:p>
        </w:tc>
      </w:tr>
      <w:tr>
        <w:tblPrEx>
          <w:tblCellMar>
            <w:top w:w="0" w:type="dxa"/>
            <w:left w:w="0" w:type="dxa"/>
            <w:bottom w:w="0" w:type="dxa"/>
            <w:right w:w="0" w:type="dxa"/>
          </w:tblCellMar>
        </w:tblPrEx>
        <w:trPr>
          <w:trHeight w:val="300" w:hRule="atLeast"/>
          <w:jc w:val="center"/>
        </w:trPr>
        <w:tc>
          <w:tcPr>
            <w:tcW w:w="160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rPr>
            </w:pPr>
            <w:r>
              <w:rPr>
                <w:rFonts w:ascii="宋体" w:hAnsi="宋体" w:cs="楷体"/>
                <w:kern w:val="0"/>
              </w:rPr>
              <w:t>整机吞吐率≥10 Gbps</w:t>
            </w:r>
          </w:p>
        </w:tc>
      </w:tr>
      <w:tr>
        <w:tblPrEx>
          <w:tblCellMar>
            <w:top w:w="0" w:type="dxa"/>
            <w:left w:w="0" w:type="dxa"/>
            <w:bottom w:w="0" w:type="dxa"/>
            <w:right w:w="0" w:type="dxa"/>
          </w:tblCellMar>
        </w:tblPrEx>
        <w:trPr>
          <w:trHeight w:val="300" w:hRule="atLeast"/>
          <w:jc w:val="center"/>
        </w:trPr>
        <w:tc>
          <w:tcPr>
            <w:tcW w:w="1600" w:type="dxa"/>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w:t>
            </w: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支持多机集群部署。支持双主机热备部署，支持主备机自动切换，多机负载均衡，支持负载动态分配。</w:t>
            </w:r>
          </w:p>
        </w:tc>
      </w:tr>
      <w:tr>
        <w:tblPrEx>
          <w:tblCellMar>
            <w:top w:w="0" w:type="dxa"/>
            <w:left w:w="0" w:type="dxa"/>
            <w:bottom w:w="0" w:type="dxa"/>
            <w:right w:w="0" w:type="dxa"/>
          </w:tblCellMar>
        </w:tblPrEx>
        <w:trPr>
          <w:trHeight w:val="35" w:hRule="atLeast"/>
          <w:jc w:val="center"/>
        </w:trPr>
        <w:tc>
          <w:tcPr>
            <w:tcW w:w="160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支持SM2国密证书+口令的“双因子”认证，</w:t>
            </w:r>
            <w:r>
              <w:rPr>
                <w:rFonts w:hint="eastAsia" w:ascii="宋体" w:hAnsi="宋体" w:cs="楷体"/>
                <w:color w:val="000000"/>
                <w:kern w:val="0"/>
              </w:rPr>
              <w:t>支持集中认证</w:t>
            </w:r>
            <w:r>
              <w:rPr>
                <w:rFonts w:ascii="宋体" w:hAnsi="宋体" w:cs="楷体"/>
                <w:color w:val="000000"/>
                <w:kern w:val="0"/>
              </w:rPr>
              <w:t>。</w:t>
            </w:r>
          </w:p>
        </w:tc>
      </w:tr>
      <w:tr>
        <w:tblPrEx>
          <w:tblCellMar>
            <w:top w:w="0" w:type="dxa"/>
            <w:left w:w="0" w:type="dxa"/>
            <w:bottom w:w="0" w:type="dxa"/>
            <w:right w:w="0" w:type="dxa"/>
          </w:tblCellMar>
        </w:tblPrEx>
        <w:trPr>
          <w:trHeight w:val="35" w:hRule="atLeast"/>
          <w:jc w:val="center"/>
        </w:trPr>
        <w:tc>
          <w:tcPr>
            <w:tcW w:w="160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支持SM2证书签发与验证，支持第三方CA证书、CRL导入。</w:t>
            </w:r>
          </w:p>
        </w:tc>
      </w:tr>
      <w:tr>
        <w:tblPrEx>
          <w:tblCellMar>
            <w:top w:w="0" w:type="dxa"/>
            <w:left w:w="0" w:type="dxa"/>
            <w:bottom w:w="0" w:type="dxa"/>
            <w:right w:w="0" w:type="dxa"/>
          </w:tblCellMar>
        </w:tblPrEx>
        <w:trPr>
          <w:trHeight w:val="35" w:hRule="atLeast"/>
          <w:jc w:val="center"/>
        </w:trPr>
        <w:tc>
          <w:tcPr>
            <w:tcW w:w="160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支持安全管理员、系统管理员、审计管理员分权管理，管理员身份凭证信息安全存储在智能密码钥匙中。</w:t>
            </w:r>
          </w:p>
        </w:tc>
      </w:tr>
      <w:tr>
        <w:tblPrEx>
          <w:tblCellMar>
            <w:top w:w="0" w:type="dxa"/>
            <w:left w:w="0" w:type="dxa"/>
            <w:bottom w:w="0" w:type="dxa"/>
            <w:right w:w="0" w:type="dxa"/>
          </w:tblCellMar>
        </w:tblPrEx>
        <w:trPr>
          <w:trHeight w:val="35" w:hRule="atLeast"/>
          <w:jc w:val="center"/>
        </w:trPr>
        <w:tc>
          <w:tcPr>
            <w:tcW w:w="160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管理员登录支持数字证书（SM2）+口令的“双因子”认证方式。</w:t>
            </w:r>
          </w:p>
        </w:tc>
      </w:tr>
      <w:tr>
        <w:tblPrEx>
          <w:tblCellMar>
            <w:top w:w="0" w:type="dxa"/>
            <w:left w:w="0" w:type="dxa"/>
            <w:bottom w:w="0" w:type="dxa"/>
            <w:right w:w="0" w:type="dxa"/>
          </w:tblCellMar>
        </w:tblPrEx>
        <w:trPr>
          <w:trHeight w:val="35" w:hRule="atLeast"/>
          <w:jc w:val="center"/>
        </w:trPr>
        <w:tc>
          <w:tcPr>
            <w:tcW w:w="1600"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支持对国密SSL VPN日志信息和访问控制信息进行基于商用密码算法的完整性保护。</w:t>
            </w:r>
          </w:p>
        </w:tc>
      </w:tr>
      <w:tr>
        <w:tblPrEx>
          <w:tblCellMar>
            <w:top w:w="0" w:type="dxa"/>
            <w:left w:w="0" w:type="dxa"/>
            <w:bottom w:w="0" w:type="dxa"/>
            <w:right w:w="0" w:type="dxa"/>
          </w:tblCellMar>
        </w:tblPrEx>
        <w:trPr>
          <w:trHeight w:val="35" w:hRule="atLeast"/>
          <w:jc w:val="center"/>
        </w:trPr>
        <w:tc>
          <w:tcPr>
            <w:tcW w:w="160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kern w:val="0"/>
              </w:rPr>
            </w:pPr>
            <w:r>
              <w:rPr>
                <w:rFonts w:hint="eastAsia" w:ascii="宋体" w:hAnsi="宋体" w:cs="楷体"/>
                <w:color w:val="000000"/>
                <w:kern w:val="0"/>
              </w:rPr>
              <w:t>支持密码复杂度设置</w:t>
            </w:r>
            <w:r>
              <w:rPr>
                <w:rFonts w:ascii="宋体" w:hAnsi="宋体" w:cs="楷体"/>
                <w:color w:val="000000"/>
                <w:kern w:val="0"/>
              </w:rPr>
              <w:t>。</w:t>
            </w:r>
          </w:p>
        </w:tc>
      </w:tr>
    </w:tbl>
    <w:p/>
    <w:p>
      <w:pPr>
        <w:pStyle w:val="6"/>
        <w:numPr>
          <w:ilvl w:val="3"/>
          <w:numId w:val="14"/>
        </w:numPr>
        <w:spacing w:line="276" w:lineRule="auto"/>
        <w:ind w:left="840"/>
        <w:rPr>
          <w:rFonts w:hint="default"/>
        </w:rPr>
      </w:pPr>
      <w:bookmarkStart w:id="42" w:name="_Toc34080409"/>
      <w:r>
        <w:t>国密软件要求</w:t>
      </w:r>
      <w:bookmarkEnd w:id="42"/>
    </w:p>
    <w:tbl>
      <w:tblPr>
        <w:tblStyle w:val="10"/>
        <w:tblW w:w="4691" w:type="pct"/>
        <w:jc w:val="center"/>
        <w:tblLayout w:type="fixed"/>
        <w:tblCellMar>
          <w:top w:w="0" w:type="dxa"/>
          <w:left w:w="0" w:type="dxa"/>
          <w:bottom w:w="0" w:type="dxa"/>
          <w:right w:w="0" w:type="dxa"/>
        </w:tblCellMar>
      </w:tblPr>
      <w:tblGrid>
        <w:gridCol w:w="1588"/>
        <w:gridCol w:w="6233"/>
      </w:tblGrid>
      <w:tr>
        <w:tblPrEx>
          <w:tblCellMar>
            <w:top w:w="0" w:type="dxa"/>
            <w:left w:w="0" w:type="dxa"/>
            <w:bottom w:w="0" w:type="dxa"/>
            <w:right w:w="0" w:type="dxa"/>
          </w:tblCellMar>
        </w:tblPrEx>
        <w:trPr>
          <w:trHeight w:val="270" w:hRule="atLeast"/>
          <w:jc w:val="center"/>
        </w:trPr>
        <w:tc>
          <w:tcPr>
            <w:tcW w:w="5000"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用途：签名验签服务系统</w:t>
            </w:r>
          </w:p>
        </w:tc>
      </w:tr>
      <w:tr>
        <w:tblPrEx>
          <w:tblCellMar>
            <w:top w:w="0" w:type="dxa"/>
            <w:left w:w="0" w:type="dxa"/>
            <w:bottom w:w="0" w:type="dxa"/>
            <w:right w:w="0" w:type="dxa"/>
          </w:tblCellMar>
        </w:tblPrEx>
        <w:trPr>
          <w:trHeight w:val="270" w:hRule="atLeast"/>
          <w:jc w:val="center"/>
        </w:trPr>
        <w:tc>
          <w:tcPr>
            <w:tcW w:w="1015" w:type="pc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3985" w:type="pc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01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签名验签服务能够部署在云端虚拟机中，并且能与CA、云密码机进行联动，与CA配合完成证书的验证，与云密码机配合完成签名和验签功能；</w:t>
            </w:r>
          </w:p>
        </w:tc>
      </w:tr>
      <w:tr>
        <w:tblPrEx>
          <w:tblCellMar>
            <w:top w:w="0" w:type="dxa"/>
            <w:left w:w="0" w:type="dxa"/>
            <w:bottom w:w="0" w:type="dxa"/>
            <w:right w:w="0" w:type="dxa"/>
          </w:tblCellMar>
        </w:tblPrEx>
        <w:trPr>
          <w:trHeight w:val="35" w:hRule="atLeast"/>
          <w:jc w:val="center"/>
        </w:trPr>
        <w:tc>
          <w:tcPr>
            <w:tcW w:w="10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支持配置信任多个CA根证书，可验证不同CA机构签发的符合SM2证书标准的签名结果。</w:t>
            </w:r>
          </w:p>
        </w:tc>
      </w:tr>
      <w:tr>
        <w:tblPrEx>
          <w:tblCellMar>
            <w:top w:w="0" w:type="dxa"/>
            <w:left w:w="0" w:type="dxa"/>
            <w:bottom w:w="0" w:type="dxa"/>
            <w:right w:w="0" w:type="dxa"/>
          </w:tblCellMar>
        </w:tblPrEx>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支持制作数字签名，支持对数据原文制作数字签名，签名结构符合SM2证书国家标准。</w:t>
            </w:r>
          </w:p>
        </w:tc>
      </w:tr>
      <w:tr>
        <w:tblPrEx>
          <w:tblCellMar>
            <w:top w:w="0" w:type="dxa"/>
            <w:left w:w="0" w:type="dxa"/>
            <w:bottom w:w="0" w:type="dxa"/>
            <w:right w:w="0" w:type="dxa"/>
          </w:tblCellMar>
        </w:tblPrEx>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支持配置记录日志的类型，如业务日志、管理员日志、Debug日志、错误日志，并可根据需求开启或关闭，支持错误和故障日志完整保留，并可进行下载。</w:t>
            </w:r>
          </w:p>
        </w:tc>
      </w:tr>
      <w:tr>
        <w:tblPrEx>
          <w:tblCellMar>
            <w:top w:w="0" w:type="dxa"/>
            <w:left w:w="0" w:type="dxa"/>
            <w:bottom w:w="0" w:type="dxa"/>
            <w:right w:w="0" w:type="dxa"/>
          </w:tblCellMar>
        </w:tblPrEx>
        <w:trPr>
          <w:trHeight w:val="35" w:hRule="atLeast"/>
          <w:jc w:val="center"/>
        </w:trPr>
        <w:tc>
          <w:tcPr>
            <w:tcW w:w="10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支持签名验签服务运行状态监控，包括服务正常运行情况、业务连接数、CPU、内存占用率、磁盘使用率等业务状态，提供信息提取接口便于第三方网络管理软件进行信息提取；</w:t>
            </w:r>
          </w:p>
        </w:tc>
      </w:tr>
      <w:tr>
        <w:tblPrEx>
          <w:tblCellMar>
            <w:top w:w="0" w:type="dxa"/>
            <w:left w:w="0" w:type="dxa"/>
            <w:bottom w:w="0" w:type="dxa"/>
            <w:right w:w="0" w:type="dxa"/>
          </w:tblCellMar>
        </w:tblPrEx>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支持故障定位功能，错误签名或验签信息必须有详细的日志，譬如验签的原文、验签的时间等。</w:t>
            </w:r>
          </w:p>
        </w:tc>
      </w:tr>
      <w:tr>
        <w:tblPrEx>
          <w:tblCellMar>
            <w:top w:w="0" w:type="dxa"/>
            <w:left w:w="0" w:type="dxa"/>
            <w:bottom w:w="0" w:type="dxa"/>
            <w:right w:w="0" w:type="dxa"/>
          </w:tblCellMar>
        </w:tblPrEx>
        <w:trPr>
          <w:trHeight w:val="35" w:hRule="atLeast"/>
          <w:jc w:val="center"/>
        </w:trPr>
        <w:tc>
          <w:tcPr>
            <w:tcW w:w="1015"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密评要求</w:t>
            </w: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签名验签服务应用程序与服务申请应用、云密码机之间的数据传输应采用基于商用密码算法的机密性和完整性保护；</w:t>
            </w:r>
          </w:p>
        </w:tc>
      </w:tr>
      <w:tr>
        <w:tblPrEx>
          <w:tblCellMar>
            <w:top w:w="0" w:type="dxa"/>
            <w:left w:w="0" w:type="dxa"/>
            <w:bottom w:w="0" w:type="dxa"/>
            <w:right w:w="0" w:type="dxa"/>
          </w:tblCellMar>
        </w:tblPrEx>
        <w:trPr>
          <w:trHeight w:val="35" w:hRule="atLeast"/>
          <w:jc w:val="center"/>
        </w:trPr>
        <w:tc>
          <w:tcPr>
            <w:tcW w:w="1015"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98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签名验签服务的访问控制信息、日志信息能够自主进行基于商用密码算法的完整性保护。</w:t>
            </w:r>
          </w:p>
        </w:tc>
      </w:tr>
    </w:tbl>
    <w:p/>
    <w:tbl>
      <w:tblPr>
        <w:tblStyle w:val="10"/>
        <w:tblW w:w="7860" w:type="dxa"/>
        <w:jc w:val="center"/>
        <w:tblLayout w:type="fixed"/>
        <w:tblCellMar>
          <w:top w:w="0" w:type="dxa"/>
          <w:left w:w="0" w:type="dxa"/>
          <w:bottom w:w="0" w:type="dxa"/>
          <w:right w:w="0" w:type="dxa"/>
        </w:tblCellMar>
      </w:tblPr>
      <w:tblGrid>
        <w:gridCol w:w="1588"/>
        <w:gridCol w:w="6272"/>
      </w:tblGrid>
      <w:tr>
        <w:tblPrEx>
          <w:tblCellMar>
            <w:top w:w="0" w:type="dxa"/>
            <w:left w:w="0" w:type="dxa"/>
            <w:bottom w:w="0" w:type="dxa"/>
            <w:right w:w="0" w:type="dxa"/>
          </w:tblCellMar>
        </w:tblPrEx>
        <w:trPr>
          <w:trHeight w:val="270" w:hRule="atLeast"/>
          <w:jc w:val="center"/>
        </w:trPr>
        <w:tc>
          <w:tcPr>
            <w:tcW w:w="786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用途：时间戳服系统</w:t>
            </w:r>
          </w:p>
        </w:tc>
      </w:tr>
      <w:tr>
        <w:tblPrEx>
          <w:tblCellMar>
            <w:top w:w="0" w:type="dxa"/>
            <w:left w:w="0" w:type="dxa"/>
            <w:bottom w:w="0" w:type="dxa"/>
            <w:right w:w="0" w:type="dxa"/>
          </w:tblCellMar>
        </w:tblPrEx>
        <w:trPr>
          <w:trHeight w:val="270" w:hRule="atLeast"/>
          <w:jc w:val="center"/>
        </w:trPr>
        <w:tc>
          <w:tcPr>
            <w:tcW w:w="158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7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时间戳服务能够部署在云端虚拟机中，并且能与CA/RA系统、签名和验证签系统、云密码机进行联动，与签名和验签系统、CA/RA系统配合完成证书的验证与签名功能；</w:t>
            </w:r>
          </w:p>
        </w:tc>
      </w:tr>
      <w:tr>
        <w:tblPrEx>
          <w:tblCellMar>
            <w:top w:w="0" w:type="dxa"/>
            <w:left w:w="0" w:type="dxa"/>
            <w:bottom w:w="0" w:type="dxa"/>
            <w:right w:w="0" w:type="dxa"/>
          </w:tblCellMar>
        </w:tblPrEx>
        <w:trPr>
          <w:trHeight w:val="35" w:hRule="atLeast"/>
          <w:jc w:val="center"/>
        </w:trPr>
        <w:tc>
          <w:tcPr>
            <w:tcW w:w="1588" w:type="dxa"/>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功能要求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能够与第三方授时中心、卫星授权时间源进行时间同步，确保所签发时间戳时所获取的时间的有效性；</w:t>
            </w:r>
          </w:p>
        </w:tc>
      </w:tr>
      <w:tr>
        <w:tblPrEx>
          <w:tblCellMar>
            <w:top w:w="0" w:type="dxa"/>
            <w:left w:w="0" w:type="dxa"/>
            <w:bottom w:w="0" w:type="dxa"/>
            <w:right w:w="0" w:type="dxa"/>
          </w:tblCellMar>
        </w:tblPrEx>
        <w:trPr>
          <w:trHeight w:val="35"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支持签名验签服务运行状态监控，包括服务正常运行情况、业务连接数、CPU、内存占用率、磁盘使用率等业务状态，提供信息提取接口便于第三方网络管理软件进行信息提取；</w:t>
            </w:r>
          </w:p>
        </w:tc>
      </w:tr>
      <w:tr>
        <w:tblPrEx>
          <w:tblCellMar>
            <w:top w:w="0" w:type="dxa"/>
            <w:left w:w="0" w:type="dxa"/>
            <w:bottom w:w="0" w:type="dxa"/>
            <w:right w:w="0" w:type="dxa"/>
          </w:tblCellMar>
        </w:tblPrEx>
        <w:trPr>
          <w:trHeight w:val="665"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安全要求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时间戳服务可采用分级权限管理，支持初始化管理员和操作员，负责管理员、操作员权限的判断。</w:t>
            </w:r>
          </w:p>
        </w:tc>
      </w:tr>
      <w:tr>
        <w:tblPrEx>
          <w:tblCellMar>
            <w:top w:w="0" w:type="dxa"/>
            <w:left w:w="0" w:type="dxa"/>
            <w:bottom w:w="0" w:type="dxa"/>
            <w:right w:w="0" w:type="dxa"/>
          </w:tblCellMar>
        </w:tblPrEx>
        <w:trPr>
          <w:trHeight w:val="424" w:hRule="atLeast"/>
          <w:jc w:val="center"/>
        </w:trPr>
        <w:tc>
          <w:tcPr>
            <w:tcW w:w="15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部署后可保证在当一台物理机器出现问题时，时间戳服务能够漂移至其他物理机，不影响业务系统的正常运行。</w:t>
            </w:r>
          </w:p>
        </w:tc>
      </w:tr>
      <w:tr>
        <w:tblPrEx>
          <w:tblCellMar>
            <w:top w:w="0" w:type="dxa"/>
            <w:left w:w="0" w:type="dxa"/>
            <w:bottom w:w="0" w:type="dxa"/>
            <w:right w:w="0" w:type="dxa"/>
          </w:tblCellMar>
        </w:tblPrEx>
        <w:trPr>
          <w:trHeight w:val="35" w:hRule="atLeast"/>
          <w:jc w:val="center"/>
        </w:trPr>
        <w:tc>
          <w:tcPr>
            <w:tcW w:w="158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密评要求</w:t>
            </w: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承载时间戳服务的虚拟机，其运维管理支持集中的安全管理通道，身份认证基于商密证书的强身份认证或支持基于商用密码算法的信任链；</w:t>
            </w:r>
          </w:p>
        </w:tc>
      </w:tr>
      <w:tr>
        <w:tblPrEx>
          <w:tblCellMar>
            <w:top w:w="0" w:type="dxa"/>
            <w:left w:w="0" w:type="dxa"/>
            <w:bottom w:w="0" w:type="dxa"/>
            <w:right w:w="0" w:type="dxa"/>
          </w:tblCellMar>
        </w:tblPrEx>
        <w:trPr>
          <w:trHeight w:val="35" w:hRule="atLeast"/>
          <w:jc w:val="center"/>
        </w:trPr>
        <w:tc>
          <w:tcPr>
            <w:tcW w:w="1588" w:type="dxa"/>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时间戳服务的访问控制信息、日志信息能够进行基于商用密码算法的完整性保护。</w:t>
            </w:r>
          </w:p>
        </w:tc>
      </w:tr>
      <w:tr>
        <w:tblPrEx>
          <w:tblCellMar>
            <w:top w:w="0" w:type="dxa"/>
            <w:left w:w="0" w:type="dxa"/>
            <w:bottom w:w="0" w:type="dxa"/>
            <w:right w:w="0" w:type="dxa"/>
          </w:tblCellMar>
        </w:tblPrEx>
        <w:trPr>
          <w:trHeight w:val="35" w:hRule="atLeast"/>
          <w:jc w:val="center"/>
        </w:trPr>
        <w:tc>
          <w:tcPr>
            <w:tcW w:w="158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时间戳服务应用程序与服务申请应用、云密码机之间的数据传输应采用基于商用密码算法的机密性和完整性保护；</w:t>
            </w:r>
          </w:p>
        </w:tc>
      </w:tr>
    </w:tbl>
    <w:p/>
    <w:tbl>
      <w:tblPr>
        <w:tblStyle w:val="10"/>
        <w:tblW w:w="7886" w:type="dxa"/>
        <w:jc w:val="center"/>
        <w:tblLayout w:type="fixed"/>
        <w:tblCellMar>
          <w:top w:w="0" w:type="dxa"/>
          <w:left w:w="0" w:type="dxa"/>
          <w:bottom w:w="0" w:type="dxa"/>
          <w:right w:w="0" w:type="dxa"/>
        </w:tblCellMar>
      </w:tblPr>
      <w:tblGrid>
        <w:gridCol w:w="1608"/>
        <w:gridCol w:w="6278"/>
      </w:tblGrid>
      <w:tr>
        <w:tblPrEx>
          <w:tblCellMar>
            <w:top w:w="0" w:type="dxa"/>
            <w:left w:w="0" w:type="dxa"/>
            <w:bottom w:w="0" w:type="dxa"/>
            <w:right w:w="0" w:type="dxa"/>
          </w:tblCellMar>
        </w:tblPrEx>
        <w:trPr>
          <w:trHeight w:val="270" w:hRule="atLeast"/>
          <w:jc w:val="center"/>
        </w:trPr>
        <w:tc>
          <w:tcPr>
            <w:tcW w:w="78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用途：电子签章系统</w:t>
            </w:r>
          </w:p>
        </w:tc>
      </w:tr>
      <w:tr>
        <w:tblPrEx>
          <w:tblCellMar>
            <w:top w:w="0" w:type="dxa"/>
            <w:left w:w="0" w:type="dxa"/>
            <w:bottom w:w="0" w:type="dxa"/>
            <w:right w:w="0" w:type="dxa"/>
          </w:tblCellMar>
        </w:tblPrEx>
        <w:trPr>
          <w:trHeight w:val="270" w:hRule="atLeast"/>
          <w:jc w:val="center"/>
        </w:trPr>
        <w:tc>
          <w:tcPr>
            <w:tcW w:w="160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7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199" w:hRule="atLeast"/>
          <w:jc w:val="center"/>
        </w:trPr>
        <w:tc>
          <w:tcPr>
            <w:tcW w:w="16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电子签章服务能够部署在云端虚拟机中，并且能与CA/RA系统、时间戳服务、云密码机进行联动；与CA/RA配合完成证书的验证；与时间戳服务配合获取可信时间；与签验签系统和云密码机配合完成签名和验签功能；</w:t>
            </w:r>
          </w:p>
        </w:tc>
      </w:tr>
      <w:tr>
        <w:tblPrEx>
          <w:tblCellMar>
            <w:top w:w="0" w:type="dxa"/>
            <w:left w:w="0" w:type="dxa"/>
            <w:bottom w:w="0" w:type="dxa"/>
            <w:right w:w="0" w:type="dxa"/>
          </w:tblCellMar>
        </w:tblPrEx>
        <w:trPr>
          <w:trHeight w:val="300" w:hRule="atLeast"/>
          <w:jc w:val="center"/>
        </w:trPr>
        <w:tc>
          <w:tcPr>
            <w:tcW w:w="160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功能要求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支持电子签章用章审计；</w:t>
            </w:r>
            <w:r>
              <w:rPr>
                <w:rFonts w:ascii="宋体" w:hAnsi="宋体" w:cs="Wingdings"/>
                <w:color w:val="000000"/>
              </w:rPr>
              <w:t></w:t>
            </w:r>
          </w:p>
        </w:tc>
      </w:tr>
      <w:tr>
        <w:tblPrEx>
          <w:tblCellMar>
            <w:top w:w="0" w:type="dxa"/>
            <w:left w:w="0" w:type="dxa"/>
            <w:bottom w:w="0" w:type="dxa"/>
            <w:right w:w="0" w:type="dxa"/>
          </w:tblCellMar>
        </w:tblPrEx>
        <w:trPr>
          <w:trHeight w:val="35" w:hRule="atLeast"/>
          <w:jc w:val="center"/>
        </w:trPr>
        <w:tc>
          <w:tcPr>
            <w:tcW w:w="16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通过证书/证书链导入CA信息，支持多CA证书验证。</w:t>
            </w:r>
          </w:p>
        </w:tc>
      </w:tr>
      <w:tr>
        <w:tblPrEx>
          <w:tblCellMar>
            <w:top w:w="0" w:type="dxa"/>
            <w:left w:w="0" w:type="dxa"/>
            <w:bottom w:w="0" w:type="dxa"/>
            <w:right w:w="0" w:type="dxa"/>
          </w:tblCellMar>
        </w:tblPrEx>
        <w:trPr>
          <w:trHeight w:val="870" w:hRule="atLeast"/>
          <w:jc w:val="center"/>
        </w:trPr>
        <w:tc>
          <w:tcPr>
            <w:tcW w:w="16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通过设置不同的服务端口来添加多个电子签章服务，为不同的应用系统同时提供电子签章等服务。</w:t>
            </w:r>
          </w:p>
        </w:tc>
      </w:tr>
      <w:tr>
        <w:tblPrEx>
          <w:tblCellMar>
            <w:top w:w="0" w:type="dxa"/>
            <w:left w:w="0" w:type="dxa"/>
            <w:bottom w:w="0" w:type="dxa"/>
            <w:right w:w="0" w:type="dxa"/>
          </w:tblCellMar>
        </w:tblPrEx>
        <w:trPr>
          <w:trHeight w:val="132" w:hRule="atLeast"/>
          <w:jc w:val="center"/>
        </w:trPr>
        <w:tc>
          <w:tcPr>
            <w:tcW w:w="16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支持电子签章服务运行状态监控，包括服务正常运行情况、业务连接数、签章使用率等状态，提供信息提取接口便于第三方网络管理软件进行信息提取；</w:t>
            </w:r>
          </w:p>
        </w:tc>
      </w:tr>
      <w:tr>
        <w:tblPrEx>
          <w:tblCellMar>
            <w:top w:w="0" w:type="dxa"/>
            <w:left w:w="0" w:type="dxa"/>
            <w:bottom w:w="0" w:type="dxa"/>
            <w:right w:w="0" w:type="dxa"/>
          </w:tblCellMar>
        </w:tblPrEx>
        <w:trPr>
          <w:trHeight w:val="35" w:hRule="atLeast"/>
          <w:jc w:val="center"/>
        </w:trPr>
        <w:tc>
          <w:tcPr>
            <w:tcW w:w="16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电子签章系统部署后能够漂移至其他物理机，不影响业务系统的正常运行。</w:t>
            </w:r>
          </w:p>
        </w:tc>
      </w:tr>
      <w:tr>
        <w:tblPrEx>
          <w:tblCellMar>
            <w:top w:w="0" w:type="dxa"/>
            <w:left w:w="0" w:type="dxa"/>
            <w:bottom w:w="0" w:type="dxa"/>
            <w:right w:w="0" w:type="dxa"/>
          </w:tblCellMar>
        </w:tblPrEx>
        <w:trPr>
          <w:trHeight w:val="35" w:hRule="atLeast"/>
          <w:jc w:val="center"/>
        </w:trPr>
        <w:tc>
          <w:tcPr>
            <w:tcW w:w="160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密评要求</w:t>
            </w: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电子签章系统的访问控制信息、日志信息能够进行基于商用密码算法的完整性保护。</w:t>
            </w:r>
          </w:p>
        </w:tc>
      </w:tr>
      <w:tr>
        <w:tblPrEx>
          <w:tblCellMar>
            <w:top w:w="0" w:type="dxa"/>
            <w:left w:w="0" w:type="dxa"/>
            <w:bottom w:w="0" w:type="dxa"/>
            <w:right w:w="0" w:type="dxa"/>
          </w:tblCellMar>
        </w:tblPrEx>
        <w:trPr>
          <w:trHeight w:val="35" w:hRule="atLeast"/>
          <w:jc w:val="center"/>
        </w:trPr>
        <w:tc>
          <w:tcPr>
            <w:tcW w:w="16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电子签章服务应用程序与服务申请应用、云密码机之间的数据传输应采用商用密码算法进行机密性和完整性保护；</w:t>
            </w:r>
          </w:p>
        </w:tc>
      </w:tr>
    </w:tbl>
    <w:p/>
    <w:tbl>
      <w:tblPr>
        <w:tblStyle w:val="10"/>
        <w:tblW w:w="7908" w:type="dxa"/>
        <w:jc w:val="center"/>
        <w:tblLayout w:type="fixed"/>
        <w:tblCellMar>
          <w:top w:w="0" w:type="dxa"/>
          <w:left w:w="0" w:type="dxa"/>
          <w:bottom w:w="0" w:type="dxa"/>
          <w:right w:w="0" w:type="dxa"/>
        </w:tblCellMar>
      </w:tblPr>
      <w:tblGrid>
        <w:gridCol w:w="1619"/>
        <w:gridCol w:w="6289"/>
      </w:tblGrid>
      <w:tr>
        <w:tblPrEx>
          <w:tblCellMar>
            <w:top w:w="0" w:type="dxa"/>
            <w:left w:w="0" w:type="dxa"/>
            <w:bottom w:w="0" w:type="dxa"/>
            <w:right w:w="0" w:type="dxa"/>
          </w:tblCellMar>
        </w:tblPrEx>
        <w:trPr>
          <w:trHeight w:val="270" w:hRule="atLeast"/>
          <w:jc w:val="center"/>
        </w:trPr>
        <w:tc>
          <w:tcPr>
            <w:tcW w:w="790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200" w:firstLineChars="95"/>
              <w:textAlignment w:val="center"/>
              <w:rPr>
                <w:rFonts w:ascii="宋体" w:hAnsi="宋体" w:cs="宋体"/>
                <w:b/>
                <w:bCs/>
                <w:color w:val="000000"/>
                <w:kern w:val="0"/>
              </w:rPr>
            </w:pPr>
            <w:r>
              <w:rPr>
                <w:rFonts w:ascii="宋体" w:hAnsi="宋体" w:cs="宋体"/>
                <w:b/>
                <w:bCs/>
                <w:color w:val="000000"/>
                <w:kern w:val="0"/>
              </w:rPr>
              <w:t>用途：</w:t>
            </w:r>
            <w:r>
              <w:rPr>
                <w:rFonts w:ascii="宋体" w:hAnsi="宋体" w:cs="宋体"/>
                <w:b/>
                <w:bCs/>
                <w:color w:val="000000"/>
              </w:rPr>
              <w:t>RA/CA系统</w:t>
            </w:r>
          </w:p>
        </w:tc>
      </w:tr>
      <w:tr>
        <w:tblPrEx>
          <w:tblCellMar>
            <w:top w:w="0" w:type="dxa"/>
            <w:left w:w="0" w:type="dxa"/>
            <w:bottom w:w="0" w:type="dxa"/>
            <w:right w:w="0" w:type="dxa"/>
          </w:tblCellMar>
        </w:tblPrEx>
        <w:trPr>
          <w:trHeight w:val="270" w:hRule="atLeast"/>
          <w:jc w:val="center"/>
        </w:trPr>
        <w:tc>
          <w:tcPr>
            <w:tcW w:w="161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28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CellMar>
            <w:top w:w="0" w:type="dxa"/>
            <w:left w:w="0" w:type="dxa"/>
            <w:bottom w:w="0" w:type="dxa"/>
            <w:right w:w="0" w:type="dxa"/>
          </w:tblCellMar>
        </w:tblPrEx>
        <w:trPr>
          <w:trHeight w:val="35" w:hRule="atLeast"/>
          <w:jc w:val="center"/>
        </w:trPr>
        <w:tc>
          <w:tcPr>
            <w:tcW w:w="1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RA/CA系统能够部署在云端虚拟机中，并且能与应用系统配合完成基于证书的身份认证及相应证书管理功能；</w:t>
            </w:r>
          </w:p>
        </w:tc>
      </w:tr>
      <w:tr>
        <w:tblPrEx>
          <w:tblCellMar>
            <w:top w:w="0" w:type="dxa"/>
            <w:left w:w="0" w:type="dxa"/>
            <w:bottom w:w="0" w:type="dxa"/>
            <w:right w:w="0" w:type="dxa"/>
          </w:tblCellMar>
        </w:tblPrEx>
        <w:trPr>
          <w:trHeight w:val="35" w:hRule="atLeast"/>
          <w:jc w:val="center"/>
        </w:trPr>
        <w:tc>
          <w:tcPr>
            <w:tcW w:w="161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功能要求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访问控制：实现基于身份的访问控制，阻止对信息资源的非授权使用。</w:t>
            </w:r>
          </w:p>
        </w:tc>
      </w:tr>
      <w:tr>
        <w:tblPrEx>
          <w:tblCellMar>
            <w:top w:w="0" w:type="dxa"/>
            <w:left w:w="0" w:type="dxa"/>
            <w:bottom w:w="0" w:type="dxa"/>
            <w:right w:w="0" w:type="dxa"/>
          </w:tblCellMar>
        </w:tblPrEx>
        <w:trPr>
          <w:trHeight w:val="35" w:hRule="atLeast"/>
          <w:jc w:val="center"/>
        </w:trPr>
        <w:tc>
          <w:tcPr>
            <w:tcW w:w="16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身份生命周期管理：包括对用户身份的赋予、变更、冻结、注销等全生命周期进行管理。</w:t>
            </w:r>
          </w:p>
        </w:tc>
      </w:tr>
      <w:tr>
        <w:tblPrEx>
          <w:tblCellMar>
            <w:top w:w="0" w:type="dxa"/>
            <w:left w:w="0" w:type="dxa"/>
            <w:bottom w:w="0" w:type="dxa"/>
            <w:right w:w="0" w:type="dxa"/>
          </w:tblCellMar>
        </w:tblPrEx>
        <w:trPr>
          <w:trHeight w:val="35" w:hRule="atLeast"/>
          <w:jc w:val="center"/>
        </w:trPr>
        <w:tc>
          <w:tcPr>
            <w:tcW w:w="16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信息保密性功能：对身份数据和访问控制信息进行保护,非授权用户无法得到用户身份信息。</w:t>
            </w:r>
          </w:p>
        </w:tc>
      </w:tr>
      <w:tr>
        <w:tblPrEx>
          <w:tblCellMar>
            <w:top w:w="0" w:type="dxa"/>
            <w:left w:w="0" w:type="dxa"/>
            <w:bottom w:w="0" w:type="dxa"/>
            <w:right w:w="0" w:type="dxa"/>
          </w:tblCellMar>
        </w:tblPrEx>
        <w:trPr>
          <w:trHeight w:val="35" w:hRule="atLeast"/>
          <w:jc w:val="center"/>
        </w:trPr>
        <w:tc>
          <w:tcPr>
            <w:tcW w:w="16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提供基于数字签名的日志记录和审计功能。</w:t>
            </w:r>
          </w:p>
        </w:tc>
      </w:tr>
      <w:tr>
        <w:tblPrEx>
          <w:tblCellMar>
            <w:top w:w="0" w:type="dxa"/>
            <w:left w:w="0" w:type="dxa"/>
            <w:bottom w:w="0" w:type="dxa"/>
            <w:right w:w="0" w:type="dxa"/>
          </w:tblCellMar>
        </w:tblPrEx>
        <w:trPr>
          <w:trHeight w:val="35" w:hRule="atLeast"/>
          <w:jc w:val="center"/>
        </w:trPr>
        <w:tc>
          <w:tcPr>
            <w:tcW w:w="1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支持RA/CA系统运行状态监控，包括服务正常运行情况、业务连接数、签章使用率等状态，提供信息提取接口便于第三方网络管理软件进行信息提取；</w:t>
            </w:r>
          </w:p>
        </w:tc>
      </w:tr>
      <w:tr>
        <w:tblPrEx>
          <w:tblCellMar>
            <w:top w:w="0" w:type="dxa"/>
            <w:left w:w="0" w:type="dxa"/>
            <w:bottom w:w="0" w:type="dxa"/>
            <w:right w:w="0" w:type="dxa"/>
          </w:tblCellMar>
        </w:tblPrEx>
        <w:trPr>
          <w:trHeight w:val="35" w:hRule="atLeast"/>
          <w:jc w:val="center"/>
        </w:trPr>
        <w:tc>
          <w:tcPr>
            <w:tcW w:w="1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具备完善的多机并行能力及容错能力，支持负载均衡，可以保证在一台物理机器出现问题时，RA/CA服务能够漂移至其他物理机，不影响业务系统的正常运行。</w:t>
            </w:r>
          </w:p>
        </w:tc>
      </w:tr>
      <w:tr>
        <w:tblPrEx>
          <w:tblCellMar>
            <w:top w:w="0" w:type="dxa"/>
            <w:left w:w="0" w:type="dxa"/>
            <w:bottom w:w="0" w:type="dxa"/>
            <w:right w:w="0" w:type="dxa"/>
          </w:tblCellMar>
        </w:tblPrEx>
        <w:trPr>
          <w:trHeight w:val="35" w:hRule="atLeast"/>
          <w:jc w:val="center"/>
        </w:trPr>
        <w:tc>
          <w:tcPr>
            <w:tcW w:w="161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密评要求</w:t>
            </w: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RA/CA系统的访问控制信息、日志信息能够进行基于商用密码算法的完整性保护。</w:t>
            </w:r>
          </w:p>
        </w:tc>
      </w:tr>
      <w:tr>
        <w:tblPrEx>
          <w:tblCellMar>
            <w:top w:w="0" w:type="dxa"/>
            <w:left w:w="0" w:type="dxa"/>
            <w:bottom w:w="0" w:type="dxa"/>
            <w:right w:w="0" w:type="dxa"/>
          </w:tblCellMar>
        </w:tblPrEx>
        <w:trPr>
          <w:trHeight w:val="35" w:hRule="atLeast"/>
          <w:jc w:val="center"/>
        </w:trPr>
        <w:tc>
          <w:tcPr>
            <w:tcW w:w="161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jc w:val="center"/>
              <w:rPr>
                <w:rFonts w:ascii="宋体" w:hAnsi="宋体" w:cs="宋体"/>
                <w:color w:val="000000"/>
              </w:rPr>
            </w:pPr>
          </w:p>
        </w:tc>
        <w:tc>
          <w:tcPr>
            <w:tcW w:w="62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RA/CA与其他应用程序之间的重要数据传输应采用商用密码算法进行机密性和完整性保护；</w:t>
            </w:r>
          </w:p>
        </w:tc>
      </w:tr>
    </w:tbl>
    <w:p/>
    <w:tbl>
      <w:tblPr>
        <w:tblStyle w:val="10"/>
        <w:tblW w:w="7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10"/>
        <w:gridCol w:w="6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7911" w:type="dxa"/>
            <w:gridSpan w:val="2"/>
            <w:tcMar>
              <w:top w:w="15" w:type="dxa"/>
              <w:left w:w="15" w:type="dxa"/>
              <w:right w:w="15" w:type="dxa"/>
            </w:tcMar>
            <w:vAlign w:val="center"/>
          </w:tcPr>
          <w:p>
            <w:pPr>
              <w:ind w:firstLine="211" w:firstLineChars="100"/>
              <w:textAlignment w:val="center"/>
              <w:rPr>
                <w:rFonts w:ascii="宋体" w:hAnsi="宋体" w:cs="宋体"/>
                <w:b/>
                <w:bCs/>
                <w:color w:val="000000"/>
                <w:kern w:val="0"/>
              </w:rPr>
            </w:pPr>
            <w:r>
              <w:rPr>
                <w:rFonts w:ascii="宋体" w:hAnsi="宋体" w:cs="宋体"/>
                <w:b/>
                <w:bCs/>
                <w:color w:val="000000"/>
                <w:kern w:val="0"/>
              </w:rPr>
              <w:t>用途：密码服务管理平台系统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1610" w:type="dxa"/>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要求</w:t>
            </w:r>
          </w:p>
        </w:tc>
        <w:tc>
          <w:tcPr>
            <w:tcW w:w="6301" w:type="dxa"/>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kern w:val="0"/>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资质要求</w:t>
            </w:r>
          </w:p>
        </w:tc>
        <w:tc>
          <w:tcPr>
            <w:tcW w:w="6301" w:type="dxa"/>
            <w:tcMar>
              <w:top w:w="15" w:type="dxa"/>
              <w:left w:w="15" w:type="dxa"/>
              <w:right w:w="15" w:type="dxa"/>
            </w:tcMar>
            <w:vAlign w:val="center"/>
          </w:tcPr>
          <w:p>
            <w:pPr>
              <w:textAlignment w:val="center"/>
              <w:rPr>
                <w:rFonts w:ascii="宋体" w:hAnsi="宋体" w:cs="楷体"/>
                <w:color w:val="000000"/>
              </w:rPr>
            </w:pPr>
            <w:r>
              <w:rPr>
                <w:rFonts w:ascii="宋体" w:hAnsi="宋体" w:cs="楷体"/>
                <w:color w:val="000000"/>
                <w:kern w:val="0"/>
              </w:rPr>
              <w:t>产品具有国家密码管理局颁发的《商用密码产品型号证书》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部署要求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支持云环境部署，可集中部署和分布式部署；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restart"/>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支持虚拟密码机、签名验签服务、时间戳服务、电子签章服务的动态添加删除功能；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支持加解密服务、认证服务和完整性保护等密码运算，并支持这些运算的统计功能，且能根据管理需求添加并显示相应统计功能；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提供虚拟密码设备、密码资源配置、密码资源分组等进行统一管理。支持设备注册、注销、隔离、恢复。设备信息包含IP、端口、部署数据中心、厂商、设备型号、设备序列号、所属系统等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为业务系统提供底层的密码运算服务支撑，包括密钥访问处理、密码运算等。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提供密码设备监控功能，包括设备状态、CPU利用率、内存使用情况、磁盘空间、设备服务链接数等。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restart"/>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密钥管理要求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为业务系统及模块提供以密钥生命周期为主线的密钥管理功能，包含密钥的生成、存储、分发、备份、更新、撤销、归档和恢复等信息进行采集、存储、查询及分析等；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持密钥同步服务功能，多个密钥管理系统之间具有密钥同步功能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所有密钥需按照国家采购人认可的密钥生成方法产生，不使用软件、人工等伪随机数方法产生；密钥生成装置需为硬件设备；能生成高质量随机数、对称密钥和非对称密钥；必须以加密方式导出密钥生成装置的密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楷体"/>
                <w:color w:val="000000"/>
                <w:kern w:val="0"/>
              </w:rPr>
            </w:pPr>
            <w:r>
              <w:rPr>
                <w:rFonts w:ascii="宋体" w:hAnsi="宋体" w:cs="楷体"/>
                <w:color w:val="000000"/>
                <w:kern w:val="0"/>
              </w:rPr>
              <w:t>支持密钥同步服务功能，多个密钥管理系统之间具有密钥同步功能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监管要求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支持云密码机集群管理，支持虚拟密码机、签名验签服务、时间戳服务、电子签章服务资源池管理和监控；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可靠性要求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支持将密码服务协议转换处理完成后得到的服务请求分发到负载均衡模块，支持加密设备之间的业务负载功能，业务请求采用轮转调度算法实现负载均衡。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restart"/>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密评要求</w:t>
            </w: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承载密码管理服务平台的虚拟机，其运维管理支持集中的安全管理通道，其身份认证基于商密证书的强身份认证或支持基于商用密码算法的信任链；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密码管理服务平台的访问控制信息、日志信息能够进行基于商用密码算法的完整性保护。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 w:hRule="atLeast"/>
          <w:jc w:val="center"/>
        </w:trPr>
        <w:tc>
          <w:tcPr>
            <w:tcW w:w="1610" w:type="dxa"/>
            <w:vMerge w:val="continue"/>
            <w:tcMar>
              <w:top w:w="15" w:type="dxa"/>
              <w:left w:w="15" w:type="dxa"/>
              <w:right w:w="15" w:type="dxa"/>
            </w:tcMar>
            <w:vAlign w:val="center"/>
          </w:tcPr>
          <w:p>
            <w:pPr>
              <w:ind w:firstLine="420" w:firstLineChars="200"/>
              <w:rPr>
                <w:rFonts w:ascii="宋体" w:hAnsi="宋体" w:cs="宋体"/>
                <w:color w:val="000000"/>
              </w:rPr>
            </w:pPr>
          </w:p>
        </w:tc>
        <w:tc>
          <w:tcPr>
            <w:tcW w:w="6301" w:type="dxa"/>
            <w:tcMar>
              <w:top w:w="15" w:type="dxa"/>
              <w:left w:w="15" w:type="dxa"/>
              <w:right w:w="15" w:type="dxa"/>
            </w:tcMar>
            <w:vAlign w:val="center"/>
          </w:tcPr>
          <w:p>
            <w:pPr>
              <w:textAlignment w:val="center"/>
              <w:rPr>
                <w:rFonts w:ascii="宋体" w:hAnsi="宋体" w:cs="Wingdings"/>
                <w:color w:val="000000"/>
              </w:rPr>
            </w:pPr>
            <w:r>
              <w:rPr>
                <w:rFonts w:ascii="宋体" w:hAnsi="宋体" w:cs="楷体"/>
                <w:color w:val="000000"/>
                <w:kern w:val="0"/>
              </w:rPr>
              <w:t>密码管理服务平台应用程序与服务申请应用、云密码机之间的数据传输应采用商用密码算法进行机密性和完整性保护；</w:t>
            </w:r>
          </w:p>
        </w:tc>
      </w:tr>
      <w:bookmarkEnd w:id="36"/>
    </w:tbl>
    <w:p/>
    <w:tbl>
      <w:tblPr>
        <w:tblStyle w:val="10"/>
        <w:tblW w:w="4691" w:type="pct"/>
        <w:jc w:val="center"/>
        <w:tblLayout w:type="fixed"/>
        <w:tblCellMar>
          <w:top w:w="0" w:type="dxa"/>
          <w:left w:w="0" w:type="dxa"/>
          <w:bottom w:w="0" w:type="dxa"/>
          <w:right w:w="0" w:type="dxa"/>
        </w:tblCellMar>
      </w:tblPr>
      <w:tblGrid>
        <w:gridCol w:w="1099"/>
        <w:gridCol w:w="978"/>
        <w:gridCol w:w="5744"/>
      </w:tblGrid>
      <w:tr>
        <w:tblPrEx>
          <w:tblCellMar>
            <w:top w:w="0" w:type="dxa"/>
            <w:left w:w="0" w:type="dxa"/>
            <w:bottom w:w="0" w:type="dxa"/>
            <w:right w:w="0" w:type="dxa"/>
          </w:tblCellMar>
        </w:tblPrEx>
        <w:trPr>
          <w:trHeight w:val="27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firstLine="422" w:firstLineChars="200"/>
              <w:textAlignment w:val="center"/>
              <w:rPr>
                <w:rFonts w:ascii="宋体" w:hAnsi="宋体" w:cs="宋体 ( 正文 )"/>
                <w:b/>
                <w:bCs/>
                <w:color w:val="000000"/>
                <w:kern w:val="0"/>
              </w:rPr>
            </w:pPr>
            <w:r>
              <w:rPr>
                <w:rFonts w:ascii="宋体" w:hAnsi="宋体" w:cs="宋体 ( 正文 )"/>
                <w:b/>
                <w:bCs/>
                <w:color w:val="000000"/>
                <w:kern w:val="0"/>
              </w:rPr>
              <w:t>用途：密码评估系统</w:t>
            </w:r>
          </w:p>
        </w:tc>
      </w:tr>
      <w:tr>
        <w:tblPrEx>
          <w:tblCellMar>
            <w:top w:w="0" w:type="dxa"/>
            <w:left w:w="0" w:type="dxa"/>
            <w:bottom w:w="0" w:type="dxa"/>
            <w:right w:w="0" w:type="dxa"/>
          </w:tblCellMar>
        </w:tblPrEx>
        <w:trPr>
          <w:trHeight w:val="270" w:hRule="atLeast"/>
          <w:jc w:val="center"/>
        </w:trPr>
        <w:tc>
          <w:tcPr>
            <w:tcW w:w="703" w:type="pc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rPr>
            </w:pPr>
            <w:r>
              <w:rPr>
                <w:rFonts w:ascii="宋体" w:hAnsi="宋体" w:cs="宋体"/>
                <w:b/>
                <w:bCs/>
                <w:color w:val="000000"/>
              </w:rPr>
              <w:t>规格</w:t>
            </w:r>
          </w:p>
        </w:tc>
        <w:tc>
          <w:tcPr>
            <w:tcW w:w="4297" w:type="pct"/>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textAlignment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270" w:hRule="atLeast"/>
          <w:jc w:val="center"/>
        </w:trPr>
        <w:tc>
          <w:tcPr>
            <w:tcW w:w="703"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r>
              <w:rPr>
                <w:rFonts w:ascii="宋体" w:hAnsi="宋体" w:cs="宋体"/>
                <w:color w:val="000000"/>
                <w:kern w:val="0"/>
              </w:rPr>
              <w:t>根据密评要求和相关解答定义出对应的密码风险符合度报告，用户可自行进行密评符合度评估</w:t>
            </w:r>
          </w:p>
        </w:tc>
        <w:tc>
          <w:tcPr>
            <w:tcW w:w="62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kern w:val="0"/>
              </w:rPr>
            </w:pPr>
            <w:r>
              <w:rPr>
                <w:rFonts w:ascii="宋体" w:hAnsi="宋体" w:cs="宋体"/>
                <w:color w:val="000000"/>
                <w:kern w:val="0"/>
              </w:rPr>
              <w:t>总体要求评估功能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总体要求评估模块：对密码算法，密码技术，密码产品，密码服务进行安全符合度评估</w:t>
            </w:r>
          </w:p>
        </w:tc>
      </w:tr>
      <w:tr>
        <w:tblPrEx>
          <w:tblCellMar>
            <w:top w:w="0" w:type="dxa"/>
            <w:left w:w="0" w:type="dxa"/>
            <w:bottom w:w="0" w:type="dxa"/>
            <w:right w:w="0" w:type="dxa"/>
          </w:tblCellMar>
        </w:tblPrEx>
        <w:trPr>
          <w:trHeight w:val="27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textAlignment w:val="center"/>
              <w:rPr>
                <w:rFonts w:ascii="宋体" w:hAnsi="宋体" w:cs="宋体"/>
                <w:color w:val="000000"/>
                <w:kern w:val="0"/>
              </w:rPr>
            </w:pPr>
          </w:p>
        </w:tc>
        <w:tc>
          <w:tcPr>
            <w:tcW w:w="625"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kern w:val="0"/>
              </w:rPr>
            </w:pPr>
            <w:r>
              <w:rPr>
                <w:rFonts w:ascii="宋体" w:hAnsi="宋体" w:cs="宋体"/>
                <w:color w:val="000000"/>
                <w:kern w:val="0"/>
              </w:rPr>
              <w:t>密码功能要求评估</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密码功能评估模块：能够对密码功能的机密性，完整性，真实性，不可否认性进行符合度评估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rPr>
            </w:pPr>
          </w:p>
        </w:tc>
        <w:tc>
          <w:tcPr>
            <w:tcW w:w="625"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textAlignment w:val="center"/>
              <w:rPr>
                <w:rFonts w:ascii="宋体" w:hAnsi="宋体" w:cs="宋体"/>
                <w:color w:val="000000"/>
                <w:kern w:val="0"/>
              </w:rPr>
            </w:pPr>
            <w:r>
              <w:rPr>
                <w:rFonts w:ascii="宋体" w:hAnsi="宋体" w:cs="宋体"/>
                <w:color w:val="000000"/>
                <w:kern w:val="0"/>
              </w:rPr>
              <w:t>安全管理评估功能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1.制度评测模块：根据信息系统密码应用基本要求规定，对等级保护二级和三级的标准制定制度管理符合度评测功能</w:t>
            </w:r>
          </w:p>
        </w:tc>
      </w:tr>
      <w:tr>
        <w:tblPrEx>
          <w:tblCellMar>
            <w:top w:w="0" w:type="dxa"/>
            <w:left w:w="0" w:type="dxa"/>
            <w:bottom w:w="0" w:type="dxa"/>
            <w:right w:w="0" w:type="dxa"/>
          </w:tblCellMar>
        </w:tblPrEx>
        <w:trPr>
          <w:trHeight w:val="81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2.人员评测模块：根据信息系统密码应用基本要求规定，对等级保护二级和三级的标准制定人员管理评测功能</w:t>
            </w:r>
          </w:p>
        </w:tc>
      </w:tr>
      <w:tr>
        <w:tblPrEx>
          <w:tblCellMar>
            <w:top w:w="0" w:type="dxa"/>
            <w:left w:w="0" w:type="dxa"/>
            <w:bottom w:w="0" w:type="dxa"/>
            <w:right w:w="0" w:type="dxa"/>
          </w:tblCellMar>
        </w:tblPrEx>
        <w:trPr>
          <w:trHeight w:val="81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3.实施评测：根据信息系统密码应用基本要求规定，实现实施管理评测功能模块，涵盖规划，建设，运营三部分</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rPr>
            </w:pPr>
            <w:r>
              <w:rPr>
                <w:rFonts w:ascii="宋体" w:hAnsi="宋体" w:cs="宋体 ( 正文 )"/>
                <w:color w:val="000000"/>
                <w:kern w:val="0"/>
              </w:rPr>
              <w:t>4.应急评测：根据信息系统密码应用基本要求规定，对等级保护二级和三级的标准制定应急管理符合度评测功能</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安全技术评测功能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1.物理和环境安全评估模块：根据信息系统密码应用基本要求规定，对等级保护二级和三级的标准进行物理和环境安全评估</w:t>
            </w:r>
          </w:p>
        </w:tc>
      </w:tr>
      <w:tr>
        <w:tblPrEx>
          <w:tblCellMar>
            <w:top w:w="0" w:type="dxa"/>
            <w:left w:w="0" w:type="dxa"/>
            <w:bottom w:w="0" w:type="dxa"/>
            <w:right w:w="0" w:type="dxa"/>
          </w:tblCellMar>
        </w:tblPrEx>
        <w:trPr>
          <w:trHeight w:val="68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2.网络和通信评估模块：根据信息系统密码应用基本要求规定，对等级保护二级和三级的标准进行网络和通信安全评估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3.设备和计算安全评估模块：根据信息系统密码应用基本要求规定，对等级保护二级和三级的标准进行设备和计算安全评估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4.应用和数据安全评估模块：根据信息系统密码应用基本要求规定，对等级保护二级和三级的标准进行应用和数据安全评估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5.密钥管理评估模块：根据信息系统密码应用基本要求规定，对等级保护二级和三级的标准进行密钥管理安全评估</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r>
              <w:rPr>
                <w:rFonts w:ascii="宋体" w:hAnsi="宋体" w:cs="宋体"/>
                <w:color w:val="000000"/>
              </w:rPr>
              <w:t>分析功能</w:t>
            </w: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1.综合评分功能：能够对各个模块的评测结果进行打分和分析</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2.建议功能：根据评测结果自动出具建议报告</w:t>
            </w:r>
          </w:p>
        </w:tc>
      </w:tr>
      <w:tr>
        <w:tblPrEx>
          <w:tblCellMar>
            <w:top w:w="0" w:type="dxa"/>
            <w:left w:w="0" w:type="dxa"/>
            <w:bottom w:w="0" w:type="dxa"/>
            <w:right w:w="0" w:type="dxa"/>
          </w:tblCellMar>
        </w:tblPrEx>
        <w:trPr>
          <w:trHeight w:val="540" w:hRule="atLeast"/>
          <w:jc w:val="center"/>
        </w:trPr>
        <w:tc>
          <w:tcPr>
            <w:tcW w:w="703"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ind w:firstLine="420" w:firstLineChars="200"/>
              <w:rPr>
                <w:rFonts w:ascii="宋体" w:hAnsi="宋体" w:cs="宋体"/>
                <w:color w:val="000000"/>
              </w:rPr>
            </w:pPr>
          </w:p>
        </w:tc>
        <w:tc>
          <w:tcPr>
            <w:tcW w:w="625"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rPr>
            </w:pPr>
          </w:p>
        </w:tc>
        <w:tc>
          <w:tcPr>
            <w:tcW w:w="367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 正文 )"/>
                <w:color w:val="000000"/>
                <w:kern w:val="0"/>
              </w:rPr>
            </w:pPr>
            <w:r>
              <w:rPr>
                <w:rFonts w:ascii="宋体" w:hAnsi="宋体" w:cs="宋体 ( 正文 )"/>
                <w:color w:val="000000"/>
                <w:kern w:val="0"/>
              </w:rPr>
              <w:t>3.能力矩阵图：根据系统各个模块收集到的信息制作能力矩阵分析图，能够清晰分析出系统的薄弱点和优势点</w:t>
            </w:r>
          </w:p>
        </w:tc>
      </w:tr>
    </w:tbl>
    <w:p/>
    <w:bookmarkEnd w:id="37"/>
    <w:p>
      <w:pPr>
        <w:pStyle w:val="3"/>
        <w:numPr>
          <w:ilvl w:val="0"/>
          <w:numId w:val="4"/>
        </w:numPr>
        <w:spacing w:line="276" w:lineRule="auto"/>
        <w:rPr>
          <w:rFonts w:hint="default" w:ascii="宋体" w:hAnsi="宋体"/>
        </w:rPr>
      </w:pPr>
      <w:bookmarkStart w:id="43" w:name="_Toc34080591"/>
      <w:bookmarkStart w:id="44" w:name="_Toc34080410"/>
      <w:r>
        <w:rPr>
          <w:rFonts w:ascii="宋体" w:hAnsi="宋体"/>
        </w:rPr>
        <w:t>平台软件层技术要求</w:t>
      </w:r>
      <w:bookmarkEnd w:id="43"/>
      <w:bookmarkEnd w:id="44"/>
    </w:p>
    <w:p>
      <w:pPr>
        <w:pStyle w:val="12"/>
        <w:keepNext/>
        <w:keepLines/>
        <w:widowControl/>
        <w:numPr>
          <w:ilvl w:val="0"/>
          <w:numId w:val="14"/>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45" w:name="_Toc34080592"/>
      <w:bookmarkEnd w:id="45"/>
    </w:p>
    <w:p>
      <w:pPr>
        <w:pStyle w:val="4"/>
        <w:numPr>
          <w:ilvl w:val="1"/>
          <w:numId w:val="5"/>
        </w:numPr>
        <w:tabs>
          <w:tab w:val="clear" w:pos="840"/>
        </w:tabs>
        <w:ind w:left="720" w:hanging="720" w:hangingChars="200"/>
        <w:textAlignment w:val="auto"/>
        <w:rPr>
          <w:rFonts w:ascii="宋体" w:hAnsi="宋体"/>
          <w:lang w:eastAsia="zh-CN"/>
        </w:rPr>
      </w:pPr>
      <w:bookmarkStart w:id="46" w:name="_Toc34080413"/>
      <w:bookmarkStart w:id="47" w:name="_Toc29407439"/>
      <w:bookmarkStart w:id="48" w:name="_Toc34080595"/>
      <w:r>
        <w:rPr>
          <w:rFonts w:hint="eastAsia" w:ascii="宋体" w:hAnsi="宋体"/>
          <w:lang w:eastAsia="zh-CN"/>
        </w:rPr>
        <w:t>平台软件层整体要求</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系统部署要求：中标人提供的平台软件层服务中涉及基础资源使用的（包括但不限于计算、存储、备份）应当使用市级政务云基础设施服务资源。本项目中平台软件层服务费用中不包含市级政务云基础设施服务资源费用</w:t>
      </w:r>
      <w:r>
        <w:rPr>
          <w:rFonts w:ascii="宋体" w:hAnsi="宋体"/>
        </w:rPr>
        <w:t>，</w:t>
      </w:r>
      <w:r>
        <w:rPr>
          <w:rFonts w:hint="eastAsia" w:ascii="宋体" w:hAnsi="宋体"/>
        </w:rPr>
        <w:t>由采购人按服务单价另行支付</w:t>
      </w:r>
      <w:r>
        <w:rPr>
          <w:rFonts w:ascii="宋体" w:hAnsi="宋体"/>
        </w:rPr>
        <w:t>。</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接口服务要求：中标人应当提供包括但不限于API发布、管理、流量控制、熔断、用户管理功能的API网关，</w:t>
      </w:r>
      <w:r>
        <w:rPr>
          <w:rFonts w:hint="eastAsia" w:ascii="宋体" w:hAnsi="宋体"/>
          <w:lang w:val="en-US" w:eastAsia="zh-CN"/>
        </w:rPr>
        <w:t>中标人</w:t>
      </w:r>
      <w:r>
        <w:rPr>
          <w:rFonts w:hint="eastAsia" w:ascii="宋体" w:hAnsi="宋体"/>
        </w:rPr>
        <w:t>提供的平台软件层能力中涉及API方式提供的应当具备通过API网关服务的能力。</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安全隔离要求：中标人提供的服务涉及集中部署的应该符合网络安全等级保护三级的要求，开展安全加固工作，每个服务期开展不少于4次服务的安全策略配置、安全扫描和系统漏洞的加固，配合使用单位完成应用的等级保护工作。提供软件介质部署在使用单位资源上的，应当提供安全漏洞修复补丁并提供技术支持，配合使用单位完成应用的等级保护工作。中标人应当通过技术方式确保不同安全责任主体之间的隔离。</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密码服务要求：中标人提供的密码服务中包含冗余部署的的云密码机，云密码机可以根据国家、地方、行业的相关规定供同一使用单位申请的不同密码服务使用，投标人应当确保所提供的云密码机计算能力符合密码服务的性能需求。</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服务交付要求：中标人提供的政务云平台软件层服务，应当面向使用单位提供每个服务项的服务接入方式，包括但不限于界面、API接口、文件等。</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管理能力要求：中标人应当具备与政务云基础设施监管服务平台（以下简称“云管平台”）进行数据对接和业务协调联动，包括但不限于实时接收使用单位在云管平台中发起的PaaS服务申请工单信息，并向云管平台反馈工单实时处理信息。</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监控能力要求：中标人应当对所提供的各项平台软件层能力提供实时动态的监控服务，并将监控数据同步到“云管平台”中，同步内容包括但不限于服务的使用情况统计、计量计费数据、告警数据、资源数据、运行性能数据、故障处置信息、安全相关信息以及其他日志数据。</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协同工作要求</w:t>
      </w:r>
      <w:r>
        <w:rPr>
          <w:rFonts w:ascii="宋体" w:hAnsi="宋体"/>
        </w:rPr>
        <w:t>：</w:t>
      </w:r>
      <w:r>
        <w:rPr>
          <w:rFonts w:hint="eastAsia" w:ascii="宋体" w:hAnsi="宋体"/>
        </w:rPr>
        <w:t>中标人应当按照</w:t>
      </w:r>
      <w:r>
        <w:rPr>
          <w:rFonts w:ascii="宋体" w:hAnsi="宋体"/>
        </w:rPr>
        <w:t>采购人</w:t>
      </w:r>
      <w:r>
        <w:rPr>
          <w:rFonts w:hint="eastAsia" w:ascii="宋体" w:hAnsi="宋体"/>
        </w:rPr>
        <w:t>的要求</w:t>
      </w:r>
      <w:r>
        <w:rPr>
          <w:rFonts w:ascii="宋体" w:hAnsi="宋体"/>
        </w:rPr>
        <w:t>，</w:t>
      </w:r>
      <w:r>
        <w:rPr>
          <w:rFonts w:hint="eastAsia" w:ascii="宋体" w:hAnsi="宋体"/>
        </w:rPr>
        <w:t>配合本项目其他包件中标人开展平台软件层建设工作</w:t>
      </w:r>
      <w:r>
        <w:rPr>
          <w:rFonts w:ascii="宋体" w:hAnsi="宋体"/>
        </w:rPr>
        <w:t>。</w:t>
      </w:r>
    </w:p>
    <w:p>
      <w:pPr>
        <w:widowControl/>
        <w:numPr>
          <w:ilvl w:val="0"/>
          <w:numId w:val="15"/>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中标人应当配合</w:t>
      </w:r>
      <w:r>
        <w:rPr>
          <w:rFonts w:ascii="宋体" w:hAnsi="宋体"/>
        </w:rPr>
        <w:t>采购人</w:t>
      </w:r>
      <w:r>
        <w:rPr>
          <w:rFonts w:hint="eastAsia" w:ascii="宋体" w:hAnsi="宋体"/>
        </w:rPr>
        <w:t>完成服务考核评估工作，并负责对已经出现的服务问题进行整改。</w:t>
      </w:r>
    </w:p>
    <w:p>
      <w:pPr>
        <w:pStyle w:val="4"/>
        <w:numPr>
          <w:ilvl w:val="1"/>
          <w:numId w:val="5"/>
        </w:numPr>
        <w:tabs>
          <w:tab w:val="clear" w:pos="840"/>
        </w:tabs>
        <w:ind w:left="720" w:hanging="720" w:hangingChars="200"/>
        <w:textAlignment w:val="auto"/>
        <w:rPr>
          <w:rFonts w:ascii="宋体" w:hAnsi="宋体"/>
          <w:lang w:eastAsia="zh-CN"/>
        </w:rPr>
      </w:pPr>
      <w:r>
        <w:rPr>
          <w:rFonts w:hint="eastAsia" w:ascii="宋体" w:hAnsi="宋体"/>
          <w:lang w:eastAsia="zh-CN"/>
        </w:rPr>
        <w:t>软件</w:t>
      </w:r>
      <w:r>
        <w:rPr>
          <w:rFonts w:hint="eastAsia" w:ascii="宋体" w:hAnsi="宋体"/>
        </w:rPr>
        <w:t>技术</w:t>
      </w:r>
      <w:r>
        <w:rPr>
          <w:rFonts w:hint="eastAsia" w:ascii="宋体" w:hAnsi="宋体"/>
          <w:lang w:eastAsia="zh-CN"/>
        </w:rPr>
        <w:t>要求</w:t>
      </w:r>
    </w:p>
    <w:p>
      <w:pPr>
        <w:pStyle w:val="5"/>
        <w:numPr>
          <w:ilvl w:val="2"/>
          <w:numId w:val="5"/>
        </w:numPr>
        <w:spacing w:before="160" w:line="300" w:lineRule="exact"/>
        <w:ind w:left="420"/>
        <w:rPr>
          <w:rFonts w:ascii="宋体" w:hAnsi="宋体"/>
        </w:rPr>
      </w:pPr>
      <w:r>
        <w:rPr>
          <w:rFonts w:ascii="宋体" w:hAnsi="宋体"/>
        </w:rPr>
        <w:t>管理平台</w:t>
      </w:r>
    </w:p>
    <w:tbl>
      <w:tblPr>
        <w:tblStyle w:val="10"/>
        <w:tblW w:w="48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6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970" w:type="pct"/>
            <w:shd w:val="clear" w:color="auto" w:fill="D9D9D9"/>
            <w:vAlign w:val="center"/>
          </w:tcPr>
          <w:p>
            <w:pPr>
              <w:jc w:val="center"/>
              <w:rPr>
                <w:rFonts w:ascii="宋体" w:hAnsi="宋体" w:cs="宋体"/>
                <w:b/>
                <w:bCs/>
                <w:color w:val="000000"/>
                <w:kern w:val="0"/>
              </w:rPr>
            </w:pPr>
            <w:r>
              <w:rPr>
                <w:rFonts w:ascii="宋体" w:hAnsi="宋体" w:cs="宋体"/>
                <w:b/>
                <w:bCs/>
                <w:color w:val="000000"/>
                <w:kern w:val="0"/>
              </w:rPr>
              <w:t>规格</w:t>
            </w:r>
          </w:p>
        </w:tc>
        <w:tc>
          <w:tcPr>
            <w:tcW w:w="4030" w:type="pct"/>
            <w:shd w:val="clear" w:color="auto" w:fill="D9D9D9"/>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70" w:type="pct"/>
            <w:vMerge w:val="restart"/>
            <w:vAlign w:val="center"/>
          </w:tcPr>
          <w:p>
            <w:pPr>
              <w:rPr>
                <w:rFonts w:ascii="宋体" w:hAnsi="宋体" w:cs="宋体"/>
                <w:b/>
                <w:bCs/>
                <w:color w:val="000000"/>
                <w:kern w:val="0"/>
              </w:rPr>
            </w:pPr>
            <w:r>
              <w:rPr>
                <w:rFonts w:ascii="宋体" w:hAnsi="宋体" w:cs="宋体"/>
                <w:color w:val="000000"/>
                <w:kern w:val="0"/>
              </w:rPr>
              <w:t>功能要求</w:t>
            </w:r>
          </w:p>
        </w:tc>
        <w:tc>
          <w:tcPr>
            <w:tcW w:w="4030" w:type="pct"/>
            <w:vAlign w:val="bottom"/>
          </w:tcPr>
          <w:p>
            <w:pPr>
              <w:rPr>
                <w:rFonts w:ascii="宋体" w:hAnsi="宋体" w:cs="宋体"/>
                <w:color w:val="000000"/>
                <w:kern w:val="0"/>
              </w:rPr>
            </w:pPr>
            <w:r>
              <w:rPr>
                <w:rFonts w:ascii="宋体" w:hAnsi="宋体" w:cs="宋体"/>
                <w:color w:val="000000"/>
                <w:kern w:val="0"/>
              </w:rPr>
              <w:t>支持对部署在</w:t>
            </w:r>
            <w:r>
              <w:rPr>
                <w:rFonts w:ascii="宋体" w:hAnsi="宋体" w:cs="Times New Roman"/>
                <w:color w:val="000000"/>
                <w:kern w:val="0"/>
              </w:rPr>
              <w:t>PaaS</w:t>
            </w:r>
            <w:r>
              <w:rPr>
                <w:rFonts w:ascii="宋体" w:hAnsi="宋体" w:cs="宋体"/>
                <w:color w:val="000000"/>
                <w:kern w:val="0"/>
              </w:rPr>
              <w:t>软件运行环境中的应用程序进行版本更新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提供开放的软件支撑应用程序查询、创建、更新、删除接口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提供PaaS应用程序版本更新主要内容说明的服务或接口；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提供控制PaaS应用程序运行状态的接口或工具；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提供获取PaaS应用程序当前运行状态的接口或工具；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提供管理PaaS应用程序发布的接口或服务，支持PaaS应用程序的发布和撤回；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提供PaaS应用程序发布的审核机制，支持将审核结果及意见反馈给用户，支持PaaS用户在线查询应用程序的审核状态；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提供PaaS应用程序版本另生成规则及说明文档；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提供图形化的PaaS应用程序版本管理界面；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提供多版本PaaS应用程序的发布、同步及访问控制；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提供批量控制PaaS应用程序运行状态的功能；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提供管理PaaS应用程序运行状态的图形化界面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提供PaaS应用程序发布接人规范，并提供发布示例：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提供图形化的申请PaaS应用程序发布和撤回的界面。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支持获取租户范围内PaaS软件运行环境的监控信息。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支持定义租户范围内PaaS应用程序的资源分配、安全性和可用性等方面的策略；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支持PaaS应用程序的多个副本分散在不同的PaaS软件运行环境中进行部署，避免单一PaaS软件运行环境实例故障带来的可用性问题;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70" w:type="pct"/>
            <w:vMerge w:val="continue"/>
            <w:vAlign w:val="center"/>
          </w:tcPr>
          <w:p>
            <w:pPr>
              <w:rPr>
                <w:rFonts w:ascii="宋体" w:hAnsi="宋体" w:cs="宋体"/>
                <w:b/>
                <w:bCs/>
                <w:color w:val="000000"/>
                <w:kern w:val="0"/>
              </w:rPr>
            </w:pPr>
          </w:p>
        </w:tc>
        <w:tc>
          <w:tcPr>
            <w:tcW w:w="4030" w:type="pct"/>
            <w:vAlign w:val="bottom"/>
          </w:tcPr>
          <w:p>
            <w:pPr>
              <w:rPr>
                <w:rFonts w:ascii="宋体" w:hAnsi="宋体" w:cs="宋体"/>
                <w:color w:val="000000"/>
                <w:kern w:val="0"/>
              </w:rPr>
            </w:pPr>
            <w:r>
              <w:rPr>
                <w:rFonts w:ascii="宋体" w:hAnsi="宋体" w:cs="宋体"/>
                <w:color w:val="000000"/>
                <w:kern w:val="0"/>
              </w:rPr>
              <w:t>支持将PaaS应用程序的或组件分布的部署在多个PaaS软件运行环境中，将应用程序的访问负载分散到不同的 PaaS软件运行 环境实例中，以提升 PaaS 应用程序的访问件能。</w:t>
            </w:r>
          </w:p>
        </w:tc>
      </w:tr>
    </w:tbl>
    <w:p>
      <w:pPr>
        <w:pStyle w:val="5"/>
        <w:numPr>
          <w:ilvl w:val="2"/>
          <w:numId w:val="5"/>
        </w:numPr>
        <w:spacing w:before="160" w:line="300" w:lineRule="exact"/>
        <w:ind w:left="420"/>
        <w:rPr>
          <w:rFonts w:ascii="宋体" w:hAnsi="宋体"/>
        </w:rPr>
      </w:pPr>
      <w:bookmarkStart w:id="49" w:name="_Toc785"/>
      <w:bookmarkStart w:id="50" w:name="_Toc3107"/>
      <w:r>
        <w:rPr>
          <w:rFonts w:ascii="宋体" w:hAnsi="宋体"/>
        </w:rPr>
        <w:t>安全认证网关服务</w:t>
      </w:r>
      <w:bookmarkEnd w:id="49"/>
      <w:bookmarkEnd w:id="50"/>
    </w:p>
    <w:tbl>
      <w:tblPr>
        <w:tblStyle w:val="10"/>
        <w:tblW w:w="8278" w:type="dxa"/>
        <w:tblInd w:w="0" w:type="dxa"/>
        <w:tblLayout w:type="fixed"/>
        <w:tblCellMar>
          <w:top w:w="0" w:type="dxa"/>
          <w:left w:w="0" w:type="dxa"/>
          <w:bottom w:w="0" w:type="dxa"/>
          <w:right w:w="0" w:type="dxa"/>
        </w:tblCellMar>
      </w:tblPr>
      <w:tblGrid>
        <w:gridCol w:w="1405"/>
        <w:gridCol w:w="6873"/>
      </w:tblGrid>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873"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服务描述</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围绕通信网络安全、安全区域边界级应用安全支撑等方面实现基于数字证书的身份认证与访问控制。在业务应用方面，作为应用代理，联动业务系统，验证终端用户数字证书的有效性、合法性，并进行鉴权与访问控制，保证用户资源身份可信、业务可控、行为不可否认。</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部署模式</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支持单点模式部署，支持集群模式部署</w:t>
            </w:r>
          </w:p>
        </w:tc>
      </w:tr>
      <w:tr>
        <w:tblPrEx>
          <w:tblCellMar>
            <w:top w:w="0" w:type="dxa"/>
            <w:left w:w="0" w:type="dxa"/>
            <w:bottom w:w="0" w:type="dxa"/>
            <w:right w:w="0" w:type="dxa"/>
          </w:tblCellMar>
        </w:tblPrEx>
        <w:trPr>
          <w:trHeight w:val="1234"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功能要求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1、错误重定向：系统对于认证错误可以重定向到用户指定页面，增强友好性。</w:t>
            </w:r>
            <w:r>
              <w:rPr>
                <w:rFonts w:ascii="宋体" w:hAnsi="宋体" w:cs="宋体"/>
                <w:color w:val="000000"/>
                <w:kern w:val="0"/>
              </w:rPr>
              <w:br w:type="textWrapping"/>
            </w:r>
            <w:r>
              <w:rPr>
                <w:rFonts w:ascii="宋体" w:hAnsi="宋体" w:cs="宋体"/>
                <w:color w:val="000000"/>
                <w:kern w:val="0"/>
              </w:rPr>
              <w:t>2、访问控制：实现URL级别的访问控制，对于不同用户、不同角色实现不同的控制；系统备单双向认证选择功能:系统可以设置是否需要用户提交用户证书；系统可以自动更新黑名单、动态更新，不需要重新启动服务。</w:t>
            </w:r>
            <w:r>
              <w:rPr>
                <w:rFonts w:ascii="宋体" w:hAnsi="宋体" w:cs="宋体"/>
                <w:color w:val="000000"/>
                <w:kern w:val="0"/>
              </w:rPr>
              <w:br w:type="textWrapping"/>
            </w:r>
            <w:r>
              <w:rPr>
                <w:rFonts w:ascii="宋体" w:hAnsi="宋体" w:cs="宋体"/>
                <w:color w:val="000000"/>
                <w:kern w:val="0"/>
              </w:rPr>
              <w:t>3、更新方式：支持LDAP、HTTP等多种方式更新。</w:t>
            </w:r>
            <w:r>
              <w:rPr>
                <w:rFonts w:ascii="宋体" w:hAnsi="宋体" w:cs="宋体"/>
                <w:color w:val="000000"/>
                <w:kern w:val="0"/>
              </w:rPr>
              <w:br w:type="textWrapping"/>
            </w:r>
            <w:r>
              <w:rPr>
                <w:rFonts w:ascii="宋体" w:hAnsi="宋体" w:cs="宋体"/>
                <w:color w:val="000000"/>
                <w:kern w:val="0"/>
              </w:rPr>
              <w:t>4、格式支持：支持B64、DER等多种格式。</w:t>
            </w:r>
            <w:r>
              <w:rPr>
                <w:rFonts w:ascii="宋体" w:hAnsi="宋体" w:cs="宋体"/>
                <w:color w:val="000000"/>
                <w:kern w:val="0"/>
              </w:rPr>
              <w:br w:type="textWrapping"/>
            </w:r>
            <w:r>
              <w:rPr>
                <w:rFonts w:ascii="宋体" w:hAnsi="宋体" w:cs="宋体"/>
                <w:color w:val="000000"/>
                <w:kern w:val="0"/>
              </w:rPr>
              <w:t>5、多站点证书功能：系统可以拥有多个站点证书，不同的服务可以拥有不同的站点证书。</w:t>
            </w:r>
            <w:r>
              <w:rPr>
                <w:rFonts w:ascii="宋体" w:hAnsi="宋体" w:cs="宋体"/>
                <w:color w:val="000000"/>
                <w:kern w:val="0"/>
              </w:rPr>
              <w:br w:type="textWrapping"/>
            </w:r>
            <w:r>
              <w:rPr>
                <w:rFonts w:ascii="宋体" w:hAnsi="宋体" w:cs="宋体"/>
                <w:color w:val="000000"/>
                <w:kern w:val="0"/>
              </w:rPr>
              <w:t>6、多证书链功能：—个SSL服务中可同时配置多条证书链，验证不同的用户证书。</w:t>
            </w:r>
            <w:r>
              <w:rPr>
                <w:rFonts w:ascii="宋体" w:hAnsi="宋体" w:cs="宋体"/>
                <w:color w:val="000000"/>
                <w:kern w:val="0"/>
              </w:rPr>
              <w:br w:type="textWrapping"/>
            </w:r>
            <w:r>
              <w:rPr>
                <w:rFonts w:ascii="宋体" w:hAnsi="宋体" w:cs="宋体"/>
                <w:color w:val="000000"/>
                <w:kern w:val="0"/>
              </w:rPr>
              <w:t>7、应用支持：支持B/S应用；支持C/S应用，支持FTP、telnet、远程桌面以及通用的C/S应用：支持基于IP的所有应用；应符合GM/T 0025-20</w:t>
            </w:r>
            <w:r>
              <w:rPr>
                <w:rFonts w:hint="eastAsia" w:ascii="宋体" w:hAnsi="宋体" w:cs="宋体"/>
                <w:color w:val="000000"/>
                <w:kern w:val="0"/>
                <w:lang w:val="en-US" w:eastAsia="zh-CN"/>
              </w:rPr>
              <w:t>23</w:t>
            </w:r>
            <w:r>
              <w:rPr>
                <w:rFonts w:ascii="宋体" w:hAnsi="宋体" w:cs="宋体"/>
                <w:color w:val="000000"/>
                <w:kern w:val="0"/>
              </w:rPr>
              <w:t>《SSL VPN网关产品规范》。</w:t>
            </w:r>
            <w:r>
              <w:rPr>
                <w:rFonts w:ascii="宋体" w:hAnsi="宋体" w:cs="宋体"/>
                <w:color w:val="000000"/>
                <w:kern w:val="0"/>
              </w:rPr>
              <w:br w:type="textWrapping"/>
            </w:r>
            <w:r>
              <w:rPr>
                <w:rFonts w:ascii="宋体" w:hAnsi="宋体" w:cs="宋体"/>
                <w:color w:val="000000"/>
                <w:kern w:val="0"/>
              </w:rPr>
              <w:t>8、多服务功能：系统可以创建多个SSL服务，通过服务端口的不同，区分用户认证通过后SSL代理访问的后台应用资源；</w:t>
            </w:r>
            <w:r>
              <w:rPr>
                <w:rFonts w:ascii="宋体" w:hAnsi="宋体" w:cs="宋体"/>
                <w:color w:val="000000"/>
                <w:kern w:val="0"/>
              </w:rPr>
              <w:br w:type="textWrapping"/>
            </w:r>
            <w:r>
              <w:rPr>
                <w:rFonts w:ascii="宋体" w:hAnsi="宋体" w:cs="宋体"/>
                <w:color w:val="000000"/>
                <w:kern w:val="0"/>
              </w:rPr>
              <w:t>9、地址隐藏功能：系统将真正应用服务的地址隐藏，用户仅知道网关地址。</w:t>
            </w:r>
            <w:r>
              <w:rPr>
                <w:rFonts w:ascii="宋体" w:hAnsi="宋体" w:cs="宋体"/>
                <w:color w:val="000000"/>
                <w:kern w:val="0"/>
              </w:rPr>
              <w:br w:type="textWrapping"/>
            </w:r>
            <w:r>
              <w:rPr>
                <w:rFonts w:ascii="宋体" w:hAnsi="宋体" w:cs="宋体"/>
                <w:color w:val="000000"/>
                <w:kern w:val="0"/>
              </w:rPr>
              <w:t>10、支持应用重定向功能：在有防火墙NAT映射的情况下正常访问有重定向的网站。</w:t>
            </w:r>
            <w:r>
              <w:rPr>
                <w:rFonts w:ascii="宋体" w:hAnsi="宋体" w:cs="宋体"/>
                <w:color w:val="000000"/>
                <w:kern w:val="0"/>
              </w:rPr>
              <w:br w:type="textWrapping"/>
            </w:r>
            <w:r>
              <w:rPr>
                <w:rFonts w:ascii="宋体" w:hAnsi="宋体" w:cs="宋体"/>
                <w:color w:val="000000"/>
                <w:kern w:val="0"/>
              </w:rPr>
              <w:t>11、认证一致性：系统支持cookie技术和HTTP Header技术将用户的证书信息传送给后台应用。</w:t>
            </w:r>
            <w:r>
              <w:rPr>
                <w:rFonts w:ascii="宋体" w:hAnsi="宋体" w:cs="宋体"/>
                <w:color w:val="000000"/>
                <w:kern w:val="0"/>
              </w:rPr>
              <w:br w:type="textWrapping"/>
            </w:r>
            <w:r>
              <w:rPr>
                <w:rFonts w:ascii="宋体" w:hAnsi="宋体" w:cs="宋体"/>
                <w:color w:val="000000"/>
                <w:kern w:val="0"/>
              </w:rPr>
              <w:t>12、策略统一下发：系统实现客户端策略的统一下发，用户无需对客户端进行任何配置。</w:t>
            </w:r>
            <w:r>
              <w:rPr>
                <w:rFonts w:ascii="宋体" w:hAnsi="宋体" w:cs="宋体"/>
                <w:color w:val="000000"/>
                <w:kern w:val="0"/>
              </w:rPr>
              <w:br w:type="textWrapping"/>
            </w:r>
            <w:r>
              <w:rPr>
                <w:rFonts w:ascii="宋体" w:hAnsi="宋体" w:cs="宋体"/>
                <w:color w:val="000000"/>
                <w:kern w:val="0"/>
              </w:rPr>
              <w:t>13、信息统计：系统能够对用户连接数、应用访问情况，系统资源占用等信息进行详细统计，为更好了解应用及调节资源提供基础；</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性能要求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1、在8核CPU，16G内存的云平台虚拟机环境下，最多并发连接数</w:t>
            </w:r>
            <w:r>
              <w:rPr>
                <w:rFonts w:hint="eastAsia" w:ascii="宋体" w:hAnsi="宋体" w:cs="宋体"/>
                <w:color w:val="000000"/>
                <w:kern w:val="0"/>
              </w:rPr>
              <w:t>不低于</w:t>
            </w:r>
            <w:r>
              <w:rPr>
                <w:rFonts w:ascii="宋体" w:hAnsi="宋体" w:cs="宋体"/>
                <w:color w:val="000000"/>
                <w:kern w:val="0"/>
              </w:rPr>
              <w:t>5万次连接；</w:t>
            </w:r>
            <w:r>
              <w:rPr>
                <w:rFonts w:ascii="宋体" w:hAnsi="宋体" w:cs="宋体"/>
                <w:color w:val="000000"/>
                <w:kern w:val="0"/>
              </w:rPr>
              <w:br w:type="textWrapping"/>
            </w:r>
            <w:r>
              <w:rPr>
                <w:rFonts w:ascii="宋体" w:hAnsi="宋体" w:cs="宋体"/>
                <w:color w:val="000000"/>
                <w:kern w:val="0"/>
              </w:rPr>
              <w:t>2、在8核CPU，16G内存的云平台虚拟机环境下，吞吐率</w:t>
            </w:r>
            <w:r>
              <w:rPr>
                <w:rFonts w:hint="eastAsia" w:ascii="宋体" w:hAnsi="宋体" w:cs="宋体"/>
                <w:color w:val="000000"/>
                <w:kern w:val="0"/>
              </w:rPr>
              <w:t>不低于</w:t>
            </w:r>
            <w:r>
              <w:rPr>
                <w:rFonts w:ascii="宋体" w:hAnsi="宋体" w:cs="宋体"/>
                <w:color w:val="000000"/>
                <w:kern w:val="0"/>
              </w:rPr>
              <w:t>400 MB/秒；</w:t>
            </w:r>
            <w:r>
              <w:rPr>
                <w:rFonts w:ascii="宋体" w:hAnsi="宋体" w:cs="宋体"/>
                <w:color w:val="000000"/>
                <w:kern w:val="0"/>
              </w:rPr>
              <w:br w:type="textWrapping"/>
            </w:r>
            <w:r>
              <w:rPr>
                <w:rFonts w:ascii="宋体" w:hAnsi="宋体" w:cs="宋体"/>
                <w:color w:val="000000"/>
                <w:kern w:val="0"/>
              </w:rPr>
              <w:t>3、在8核CPU，16G内存的云平台虚拟机环境下，新建连接数</w:t>
            </w:r>
            <w:r>
              <w:rPr>
                <w:rFonts w:hint="eastAsia" w:ascii="宋体" w:hAnsi="宋体" w:cs="宋体"/>
                <w:color w:val="000000"/>
                <w:kern w:val="0"/>
              </w:rPr>
              <w:t>不低于</w:t>
            </w:r>
            <w:r>
              <w:rPr>
                <w:rFonts w:ascii="宋体" w:hAnsi="宋体" w:cs="宋体"/>
                <w:color w:val="000000"/>
                <w:kern w:val="0"/>
              </w:rPr>
              <w:t>300次连接/秒。</w:t>
            </w:r>
          </w:p>
        </w:tc>
      </w:tr>
      <w:tr>
        <w:tblPrEx>
          <w:tblCellMar>
            <w:top w:w="0" w:type="dxa"/>
            <w:left w:w="0" w:type="dxa"/>
            <w:bottom w:w="0" w:type="dxa"/>
            <w:right w:w="0" w:type="dxa"/>
          </w:tblCellMar>
        </w:tblPrEx>
        <w:trPr>
          <w:trHeight w:val="9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兼容性要求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1.支持B/S、C/S架构应用，支持软证书、硬证书、用户名密码等多种登录认证方式；</w:t>
            </w:r>
            <w:r>
              <w:rPr>
                <w:rFonts w:ascii="宋体" w:hAnsi="宋体" w:cs="宋体"/>
                <w:color w:val="000000"/>
                <w:kern w:val="0"/>
              </w:rPr>
              <w:br w:type="textWrapping"/>
            </w:r>
            <w:r>
              <w:rPr>
                <w:rFonts w:ascii="宋体" w:hAnsi="宋体" w:cs="宋体"/>
                <w:color w:val="000000"/>
                <w:kern w:val="0"/>
              </w:rPr>
              <w:t>2.客户端兼容Windows、Linux移动端Android、IOS等多系统平台；</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安全性要求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通过国家密码管理局商密检测中心检测认证的商用密码产品。</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服务要求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服务产品以云平台镜像形式部署，以开通虚拟服务器形式为云平台用户提供服务，同时提供服务使用配置和应用系统对接的技术服务支持；在此基础上，提供包括不限于产品版本升级、适配改造、安全问题修复、应急保障、产品文档、培训咨询、巡检服务、性能调优、重要活动和重大节假日现场值守保障等保障服务。</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管理要求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实时监控，能够对新建连接数、成功连接数、失败连接数等用户访问情况，进行实时的图形监控；支持一键系统自检功能，包括产品使用情况、计量基础数据、运行监控数据、事件告警等内容；支持将以上内容通过API接口形式同步到相关管理系统中。</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验收考核要求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1、提供PaaS服务对应软件产品的使用详情，以及提供按套接入的详情。</w:t>
            </w:r>
          </w:p>
          <w:p>
            <w:pPr>
              <w:textAlignment w:val="center"/>
              <w:rPr>
                <w:rFonts w:ascii="宋体" w:hAnsi="宋体" w:cs="宋体"/>
                <w:color w:val="000000"/>
                <w:kern w:val="0"/>
              </w:rPr>
            </w:pPr>
            <w:r>
              <w:rPr>
                <w:rFonts w:ascii="宋体" w:hAnsi="宋体" w:cs="宋体"/>
                <w:color w:val="000000"/>
                <w:kern w:val="0"/>
              </w:rPr>
              <w:t>2、服务结算按照使用单位接入后实际使用的套数结算，使用单位接入服务成功后在服务期内未使用的，不在结算范围内。</w:t>
            </w:r>
          </w:p>
        </w:tc>
      </w:tr>
    </w:tbl>
    <w:p>
      <w:pPr>
        <w:pStyle w:val="2"/>
      </w:pPr>
    </w:p>
    <w:p>
      <w:pPr>
        <w:pStyle w:val="5"/>
        <w:numPr>
          <w:ilvl w:val="2"/>
          <w:numId w:val="5"/>
        </w:numPr>
        <w:spacing w:before="160" w:line="300" w:lineRule="exact"/>
        <w:ind w:left="420"/>
        <w:rPr>
          <w:rFonts w:ascii="宋体" w:hAnsi="宋体"/>
        </w:rPr>
      </w:pPr>
      <w:bookmarkStart w:id="51" w:name="_Toc6881"/>
      <w:bookmarkStart w:id="52" w:name="_Toc8797"/>
      <w:r>
        <w:rPr>
          <w:rFonts w:ascii="宋体" w:hAnsi="宋体"/>
        </w:rPr>
        <w:t>时间戳服务</w:t>
      </w:r>
      <w:bookmarkEnd w:id="51"/>
      <w:bookmarkEnd w:id="52"/>
    </w:p>
    <w:tbl>
      <w:tblPr>
        <w:tblStyle w:val="10"/>
        <w:tblW w:w="8274" w:type="dxa"/>
        <w:tblInd w:w="0" w:type="dxa"/>
        <w:tblLayout w:type="fixed"/>
        <w:tblCellMar>
          <w:top w:w="0" w:type="dxa"/>
          <w:left w:w="0" w:type="dxa"/>
          <w:bottom w:w="0" w:type="dxa"/>
          <w:right w:w="0" w:type="dxa"/>
        </w:tblCellMar>
      </w:tblPr>
      <w:tblGrid>
        <w:gridCol w:w="1405"/>
        <w:gridCol w:w="6869"/>
      </w:tblGrid>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86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基于密码设备资源池配合密码服务系统为用户提供时间戳签发、时间戳响应、时间戳解析、时间戳和有效性等多种安全功能，对接业务系统实现时间节点的真实性验证功能。</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CellMar>
            <w:top w:w="0" w:type="dxa"/>
            <w:left w:w="0" w:type="dxa"/>
            <w:bottom w:w="0" w:type="dxa"/>
            <w:right w:w="0" w:type="dxa"/>
          </w:tblCellMar>
        </w:tblPrEx>
        <w:trPr>
          <w:trHeight w:val="751"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1、支持对外基准时间的同步和获取服务功能；</w:t>
            </w:r>
            <w:r>
              <w:rPr>
                <w:rFonts w:ascii="宋体" w:hAnsi="宋体" w:cs="宋体"/>
                <w:color w:val="000000"/>
                <w:kern w:val="0"/>
              </w:rPr>
              <w:br w:type="textWrapping"/>
            </w:r>
            <w:r>
              <w:rPr>
                <w:rFonts w:ascii="宋体" w:hAnsi="宋体" w:cs="宋体"/>
                <w:color w:val="000000"/>
                <w:kern w:val="0"/>
              </w:rPr>
              <w:t>2、支持从可信时间源或其他同类设备中获取基准时间功能，支持普通时间同步服务和安全时间同步服务；</w:t>
            </w:r>
            <w:r>
              <w:rPr>
                <w:rFonts w:ascii="宋体" w:hAnsi="宋体" w:cs="宋体"/>
                <w:color w:val="000000"/>
                <w:kern w:val="0"/>
              </w:rPr>
              <w:br w:type="textWrapping"/>
            </w:r>
            <w:r>
              <w:rPr>
                <w:rFonts w:ascii="宋体" w:hAnsi="宋体" w:cs="宋体"/>
                <w:color w:val="000000"/>
                <w:kern w:val="0"/>
              </w:rPr>
              <w:t>3、支持对于基于可信时间基础上的时间戳申请及颁发；</w:t>
            </w:r>
            <w:r>
              <w:rPr>
                <w:rFonts w:ascii="宋体" w:hAnsi="宋体" w:cs="宋体"/>
                <w:color w:val="000000"/>
                <w:kern w:val="0"/>
              </w:rPr>
              <w:br w:type="textWrapping"/>
            </w:r>
            <w:r>
              <w:rPr>
                <w:rFonts w:ascii="宋体" w:hAnsi="宋体" w:cs="宋体"/>
                <w:color w:val="000000"/>
                <w:kern w:val="0"/>
              </w:rPr>
              <w:t>4、在电子认证基础设施的配合下，支持对于时间戳有效性、真实性进行验证，验证内容不仅限于服务证书，证书链、证书有效期、证书有效性等；</w:t>
            </w:r>
            <w:r>
              <w:rPr>
                <w:rFonts w:ascii="宋体" w:hAnsi="宋体" w:cs="宋体"/>
                <w:color w:val="000000"/>
                <w:kern w:val="0"/>
              </w:rPr>
              <w:br w:type="textWrapping"/>
            </w:r>
            <w:r>
              <w:rPr>
                <w:rFonts w:ascii="宋体" w:hAnsi="宋体" w:cs="宋体"/>
                <w:color w:val="000000"/>
                <w:kern w:val="0"/>
              </w:rPr>
              <w:t>5、支持向时间戳服务系统发送时间戳验证申请完成时间戳的验证方式；</w:t>
            </w:r>
            <w:r>
              <w:rPr>
                <w:rFonts w:ascii="宋体" w:hAnsi="宋体" w:cs="宋体"/>
                <w:color w:val="000000"/>
                <w:kern w:val="0"/>
              </w:rPr>
              <w:br w:type="textWrapping"/>
            </w:r>
            <w:r>
              <w:rPr>
                <w:rFonts w:ascii="宋体" w:hAnsi="宋体" w:cs="宋体"/>
                <w:color w:val="000000"/>
                <w:kern w:val="0"/>
              </w:rPr>
              <w:t>6、支持对所产生的时间戳进行生命周期管理工作，不仅限于生成、查询、销毁等；</w:t>
            </w:r>
            <w:r>
              <w:rPr>
                <w:rFonts w:ascii="宋体" w:hAnsi="宋体" w:cs="宋体"/>
                <w:color w:val="000000"/>
                <w:kern w:val="0"/>
              </w:rPr>
              <w:br w:type="textWrapping"/>
            </w:r>
            <w:r>
              <w:rPr>
                <w:rFonts w:ascii="宋体" w:hAnsi="宋体" w:cs="宋体"/>
                <w:color w:val="000000"/>
                <w:kern w:val="0"/>
              </w:rPr>
              <w:t>7、时间戳服务应符合GM/T0033</w:t>
            </w:r>
            <w:r>
              <w:rPr>
                <w:rFonts w:hint="eastAsia" w:ascii="宋体" w:hAnsi="宋体" w:cs="宋体"/>
                <w:color w:val="000000"/>
                <w:kern w:val="0"/>
                <w:lang w:val="en-US" w:eastAsia="zh-CN"/>
              </w:rPr>
              <w:t>-2023</w:t>
            </w:r>
            <w:r>
              <w:rPr>
                <w:rFonts w:ascii="宋体" w:hAnsi="宋体" w:cs="宋体"/>
                <w:color w:val="000000"/>
                <w:kern w:val="0"/>
              </w:rPr>
              <w:t>《时间戳接口规范》。</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性能要求</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1、在8核CPU，8G内存的云平台虚拟机环境下，时间戳生成速率不低于240次/秒，</w:t>
            </w:r>
            <w:r>
              <w:rPr>
                <w:rFonts w:ascii="宋体" w:hAnsi="宋体" w:cs="宋体"/>
                <w:color w:val="000000" w:themeColor="text1"/>
                <w:kern w:val="0"/>
                <w14:textFill>
                  <w14:solidFill>
                    <w14:schemeClr w14:val="tx1"/>
                  </w14:solidFill>
                </w14:textFill>
              </w:rPr>
              <w:br w:type="textWrapping"/>
            </w:r>
            <w:r>
              <w:rPr>
                <w:rFonts w:ascii="宋体" w:hAnsi="宋体" w:cs="宋体"/>
                <w:color w:val="000000" w:themeColor="text1"/>
                <w:kern w:val="0"/>
                <w14:textFill>
                  <w14:solidFill>
                    <w14:schemeClr w14:val="tx1"/>
                  </w14:solidFill>
                </w14:textFill>
              </w:rPr>
              <w:t>2、在8核CPU，8G内存的云平台虚拟机环境下，验证速率不低于为110次/秒；</w:t>
            </w:r>
            <w:r>
              <w:rPr>
                <w:rFonts w:ascii="宋体" w:hAnsi="宋体" w:cs="宋体"/>
                <w:color w:val="000000" w:themeColor="text1"/>
                <w:kern w:val="0"/>
                <w14:textFill>
                  <w14:solidFill>
                    <w14:schemeClr w14:val="tx1"/>
                  </w14:solidFill>
                </w14:textFill>
              </w:rPr>
              <w:br w:type="textWrapping"/>
            </w:r>
            <w:r>
              <w:rPr>
                <w:rFonts w:ascii="宋体" w:hAnsi="宋体" w:cs="宋体"/>
                <w:color w:val="000000" w:themeColor="text1"/>
                <w14:textFill>
                  <w14:solidFill>
                    <w14:schemeClr w14:val="tx1"/>
                  </w14:solidFill>
                </w14:textFill>
              </w:rPr>
              <w:t>3、时间准确性：时间同步间隔时间不大于30分钟；</w:t>
            </w:r>
            <w:r>
              <w:rPr>
                <w:rFonts w:ascii="宋体" w:hAnsi="宋体" w:cs="宋体"/>
                <w:color w:val="000000" w:themeColor="text1"/>
                <w14:textFill>
                  <w14:solidFill>
                    <w14:schemeClr w14:val="tx1"/>
                  </w14:solidFill>
                </w14:textFill>
              </w:rPr>
              <w:br w:type="textWrapping"/>
            </w:r>
            <w:r>
              <w:rPr>
                <w:rFonts w:ascii="宋体" w:hAnsi="宋体" w:cs="宋体"/>
                <w:color w:val="000000" w:themeColor="text1"/>
                <w14:textFill>
                  <w14:solidFill>
                    <w14:schemeClr w14:val="tx1"/>
                  </w14:solidFill>
                </w14:textFill>
              </w:rPr>
              <w:t>4、签发时延：时间误差不大于100毫秒。</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兼容多种硬件体系，可运行于X86、鲲鹏、海光、兆芯等多种不同CPU架构的服务器设备；兼容Linux发行分支Debian操作系统，以及中标麒麟V7、银河麒麟V10、统信UOSV20国产操作系统。</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通过国家密码管理局商密检测中心检测认证的商用密码产品。</w:t>
            </w:r>
          </w:p>
        </w:tc>
      </w:tr>
      <w:tr>
        <w:tblPrEx>
          <w:tblCellMar>
            <w:top w:w="0" w:type="dxa"/>
            <w:left w:w="0" w:type="dxa"/>
            <w:bottom w:w="0" w:type="dxa"/>
            <w:right w:w="0" w:type="dxa"/>
          </w:tblCellMar>
        </w:tblPrEx>
        <w:trPr>
          <w:trHeight w:val="78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服务产品以云平台镜像形式部署，以开通虚拟服务器形式为云平台用户提供服务，同时提供服务使用配置和应用系统对接的技术服务支持；在此基础上，提供包括不限于产品版本升级、适配改造、安全问题修复、应急保障、产品文档、培训咨询、巡检服务、性能调优、重要活动和重大节假日现场值守保障等保障服务。</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8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提供PaaS服务对应软件产品的使用详情，以及提供按套接入详情。</w:t>
            </w:r>
          </w:p>
          <w:p>
            <w:pPr>
              <w:textAlignment w:val="center"/>
              <w:rPr>
                <w:rFonts w:ascii="宋体" w:hAnsi="宋体" w:cs="宋体"/>
                <w:color w:val="000000"/>
                <w:kern w:val="0"/>
              </w:rPr>
            </w:pPr>
            <w:r>
              <w:rPr>
                <w:rFonts w:ascii="宋体" w:hAnsi="宋体" w:cs="宋体"/>
                <w:color w:val="000000"/>
                <w:kern w:val="0"/>
              </w:rPr>
              <w:t>2、服务结算按照使用单位</w:t>
            </w:r>
            <w:r>
              <w:rPr>
                <w:rFonts w:ascii="宋体" w:hAnsi="宋体" w:cs="宋体"/>
              </w:rPr>
              <w:t>接入后实际使用的套数结算，使用单位接入服务成功后在服务期内未使用的，不在结算范围内。</w:t>
            </w:r>
          </w:p>
        </w:tc>
      </w:tr>
    </w:tbl>
    <w:p>
      <w:pPr>
        <w:pStyle w:val="5"/>
        <w:numPr>
          <w:ilvl w:val="2"/>
          <w:numId w:val="5"/>
        </w:numPr>
        <w:spacing w:before="160" w:line="300" w:lineRule="exact"/>
        <w:ind w:left="420"/>
        <w:rPr>
          <w:rFonts w:ascii="宋体" w:hAnsi="宋体"/>
        </w:rPr>
      </w:pPr>
      <w:bookmarkStart w:id="53" w:name="_Toc32222"/>
      <w:bookmarkStart w:id="54" w:name="_Toc17419"/>
      <w:r>
        <w:rPr>
          <w:rFonts w:ascii="宋体" w:hAnsi="宋体"/>
        </w:rPr>
        <w:t>签名验签服务</w:t>
      </w:r>
      <w:bookmarkEnd w:id="53"/>
      <w:bookmarkEnd w:id="54"/>
    </w:p>
    <w:tbl>
      <w:tblPr>
        <w:tblStyle w:val="10"/>
        <w:tblW w:w="8278" w:type="dxa"/>
        <w:tblInd w:w="0" w:type="dxa"/>
        <w:tblLayout w:type="fixed"/>
        <w:tblCellMar>
          <w:top w:w="0" w:type="dxa"/>
          <w:left w:w="0" w:type="dxa"/>
          <w:bottom w:w="0" w:type="dxa"/>
          <w:right w:w="0" w:type="dxa"/>
        </w:tblCellMar>
      </w:tblPr>
      <w:tblGrid>
        <w:gridCol w:w="1405"/>
        <w:gridCol w:w="6873"/>
      </w:tblGrid>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873"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提供实现基于数字证书实现信息系统中数字签名及验证功能，用以保障行为过程中数据不可篡改，实现相关行为过程的不可抵赖。</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1、支持SM2、RSA双算法；</w:t>
            </w:r>
            <w:r>
              <w:rPr>
                <w:rFonts w:ascii="宋体" w:hAnsi="宋体" w:cs="宋体"/>
                <w:color w:val="000000"/>
                <w:kern w:val="0"/>
              </w:rPr>
              <w:br w:type="textWrapping"/>
            </w:r>
            <w:r>
              <w:rPr>
                <w:rFonts w:ascii="宋体" w:hAnsi="宋体" w:cs="宋体"/>
                <w:color w:val="000000"/>
                <w:kern w:val="0"/>
              </w:rPr>
              <w:t>2、支持普通格式/P7attach/P7detach等多种格式的数字签名、验签功能；</w:t>
            </w:r>
            <w:r>
              <w:rPr>
                <w:rFonts w:ascii="宋体" w:hAnsi="宋体" w:cs="宋体"/>
                <w:color w:val="000000"/>
                <w:kern w:val="0"/>
              </w:rPr>
              <w:br w:type="textWrapping"/>
            </w:r>
            <w:r>
              <w:rPr>
                <w:rFonts w:ascii="宋体" w:hAnsi="宋体" w:cs="宋体"/>
                <w:color w:val="000000"/>
                <w:kern w:val="0"/>
              </w:rPr>
              <w:t>3、支持对文件提供数字签名、验证功能；</w:t>
            </w:r>
            <w:r>
              <w:rPr>
                <w:rFonts w:ascii="宋体" w:hAnsi="宋体" w:cs="宋体"/>
                <w:color w:val="000000"/>
                <w:kern w:val="0"/>
              </w:rPr>
              <w:br w:type="textWrapping"/>
            </w:r>
            <w:r>
              <w:rPr>
                <w:rFonts w:ascii="宋体" w:hAnsi="宋体" w:cs="宋体"/>
                <w:color w:val="000000"/>
                <w:kern w:val="0"/>
              </w:rPr>
              <w:t>4、系统可同时配置多条证书链，验证不同的用户证书；</w:t>
            </w:r>
            <w:r>
              <w:rPr>
                <w:rFonts w:ascii="宋体" w:hAnsi="宋体" w:cs="宋体"/>
                <w:color w:val="000000"/>
                <w:kern w:val="0"/>
              </w:rPr>
              <w:br w:type="textWrapping"/>
            </w:r>
            <w:r>
              <w:rPr>
                <w:rFonts w:ascii="宋体" w:hAnsi="宋体" w:cs="宋体"/>
                <w:color w:val="000000"/>
                <w:kern w:val="0"/>
              </w:rPr>
              <w:t>5、支持黑名单/0CSP等多种方式的证书有效性验证；</w:t>
            </w:r>
            <w:r>
              <w:rPr>
                <w:rFonts w:ascii="宋体" w:hAnsi="宋体" w:cs="宋体"/>
                <w:color w:val="000000"/>
                <w:kern w:val="0"/>
              </w:rPr>
              <w:br w:type="textWrapping"/>
            </w:r>
            <w:r>
              <w:rPr>
                <w:rFonts w:ascii="宋体" w:hAnsi="宋体" w:cs="宋体"/>
                <w:color w:val="000000"/>
                <w:kern w:val="0"/>
              </w:rPr>
              <w:t>6、支持第三方数字证书；</w:t>
            </w:r>
            <w:r>
              <w:rPr>
                <w:rFonts w:ascii="宋体" w:hAnsi="宋体" w:cs="宋体"/>
                <w:color w:val="000000"/>
                <w:kern w:val="0"/>
              </w:rPr>
              <w:br w:type="textWrapping"/>
            </w:r>
            <w:r>
              <w:rPr>
                <w:rFonts w:ascii="宋体" w:hAnsi="宋体" w:cs="宋体"/>
                <w:color w:val="000000"/>
                <w:kern w:val="0"/>
              </w:rPr>
              <w:t>7、支持对备份当前所有配置，保证系统瘫痪时的快速恢复；</w:t>
            </w:r>
            <w:r>
              <w:rPr>
                <w:rFonts w:ascii="宋体" w:hAnsi="宋体" w:cs="宋体"/>
                <w:color w:val="000000"/>
                <w:kern w:val="0"/>
              </w:rPr>
              <w:br w:type="textWrapping"/>
            </w:r>
            <w:r>
              <w:rPr>
                <w:rFonts w:ascii="宋体" w:hAnsi="宋体" w:cs="宋体"/>
                <w:color w:val="000000"/>
                <w:kern w:val="0"/>
              </w:rPr>
              <w:t>8、提供证书解析功能，获取证书中的任意主题信息以及扩展项信息；</w:t>
            </w:r>
            <w:r>
              <w:rPr>
                <w:rFonts w:ascii="宋体" w:hAnsi="宋体" w:cs="宋体"/>
                <w:color w:val="000000"/>
                <w:kern w:val="0"/>
              </w:rPr>
              <w:br w:type="textWrapping"/>
            </w:r>
            <w:r>
              <w:rPr>
                <w:rFonts w:ascii="宋体" w:hAnsi="宋体" w:cs="宋体"/>
                <w:color w:val="000000"/>
                <w:kern w:val="0"/>
              </w:rPr>
              <w:t>9、提供API接入接口；</w:t>
            </w:r>
            <w:r>
              <w:rPr>
                <w:rFonts w:ascii="宋体" w:hAnsi="宋体" w:cs="宋体"/>
                <w:color w:val="000000"/>
                <w:kern w:val="0"/>
              </w:rPr>
              <w:br w:type="textWrapping"/>
            </w:r>
            <w:r>
              <w:rPr>
                <w:rFonts w:ascii="宋体" w:hAnsi="宋体" w:cs="宋体"/>
                <w:color w:val="000000"/>
                <w:kern w:val="0"/>
              </w:rPr>
              <w:t>10、签名验签服务应符合GM/T0029</w:t>
            </w:r>
            <w:r>
              <w:rPr>
                <w:rFonts w:hint="eastAsia" w:ascii="宋体" w:hAnsi="宋体" w:cs="宋体"/>
                <w:color w:val="000000"/>
                <w:kern w:val="0"/>
                <w:lang w:val="en-US" w:eastAsia="zh-CN"/>
              </w:rPr>
              <w:t>-2014</w:t>
            </w:r>
            <w:r>
              <w:rPr>
                <w:rFonts w:ascii="宋体" w:hAnsi="宋体" w:cs="宋体"/>
                <w:color w:val="000000"/>
                <w:kern w:val="0"/>
              </w:rPr>
              <w:t>《签名验签服务器技术规范》；</w:t>
            </w:r>
            <w:r>
              <w:rPr>
                <w:rFonts w:ascii="宋体" w:hAnsi="宋体" w:cs="宋体"/>
                <w:color w:val="000000"/>
                <w:kern w:val="0"/>
              </w:rPr>
              <w:br w:type="textWrapping"/>
            </w:r>
            <w:r>
              <w:rPr>
                <w:rFonts w:ascii="宋体" w:hAnsi="宋体" w:cs="宋体"/>
                <w:color w:val="000000"/>
                <w:kern w:val="0"/>
              </w:rPr>
              <w:t>11、支持将日志文件按照要求同步到相应服务器；</w:t>
            </w:r>
            <w:r>
              <w:rPr>
                <w:rFonts w:ascii="宋体" w:hAnsi="宋体" w:cs="宋体"/>
                <w:color w:val="000000"/>
                <w:kern w:val="0"/>
              </w:rPr>
              <w:br w:type="textWrapping"/>
            </w:r>
            <w:r>
              <w:rPr>
                <w:rFonts w:ascii="宋体" w:hAnsi="宋体" w:cs="宋体"/>
                <w:color w:val="000000"/>
                <w:kern w:val="0"/>
              </w:rPr>
              <w:t>12、系统可以自动更新黑名单、动态更新，不需要重新启动服务。</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性能要求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在8核CPU，8G内存的云平台虚拟机环境下，系统签名效率不低于1000次/秒，验签效率不低于2000次/秒；</w:t>
            </w:r>
            <w:r>
              <w:rPr>
                <w:rFonts w:ascii="宋体" w:hAnsi="宋体" w:cs="宋体"/>
                <w:color w:val="000000"/>
                <w:kern w:val="0"/>
              </w:rPr>
              <w:br w:type="textWrapping"/>
            </w:r>
            <w:r>
              <w:rPr>
                <w:rFonts w:ascii="宋体" w:hAnsi="宋体" w:cs="宋体"/>
                <w:color w:val="000000"/>
                <w:kern w:val="0"/>
              </w:rPr>
              <w:t>在8核CPU，8G内存的云平台虚拟机环境下，SM2算法签名效率不低于24</w:t>
            </w:r>
            <w:r>
              <w:rPr>
                <w:rFonts w:hint="eastAsia" w:ascii="宋体" w:hAnsi="宋体" w:cs="宋体"/>
                <w:color w:val="000000"/>
                <w:kern w:val="0"/>
                <w:lang w:val="en-US" w:eastAsia="zh-CN"/>
              </w:rPr>
              <w:t>00</w:t>
            </w:r>
            <w:r>
              <w:rPr>
                <w:rFonts w:ascii="宋体" w:hAnsi="宋体" w:cs="宋体"/>
                <w:color w:val="000000"/>
                <w:kern w:val="0"/>
              </w:rPr>
              <w:t>次/秒，验签效率不低于32</w:t>
            </w:r>
            <w:r>
              <w:rPr>
                <w:rFonts w:hint="eastAsia" w:ascii="宋体" w:hAnsi="宋体" w:cs="宋体"/>
                <w:color w:val="000000"/>
                <w:kern w:val="0"/>
                <w:lang w:val="en-US" w:eastAsia="zh-CN"/>
              </w:rPr>
              <w:t>00</w:t>
            </w:r>
            <w:r>
              <w:rPr>
                <w:rFonts w:ascii="宋体" w:hAnsi="宋体" w:cs="宋体"/>
                <w:color w:val="000000"/>
                <w:kern w:val="0"/>
              </w:rPr>
              <w:t>次/秒；</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兼容多种硬件体系，可运行于X86、鲲鹏、海光、兆芯等多种不同CPU架构的服务器设备；兼容Linux发行分支Debian操作系统，以及中标麒麟V7、银河麒麟V10、统信UOSV20国产操作系统。</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通过国家密码管理局商密检测中心检测认证的商用密码产品。</w:t>
            </w:r>
          </w:p>
        </w:tc>
      </w:tr>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服务产品以云平台镜像形式部署，以开通虚拟服务器形式为云平台用户提供服务，同时提供服务使用配置和应用系统对接的技术服务支持；在此基础上，提供产品版本升级、适配改造、安全问题修复、应急保障、产品文档、培训咨询、巡检服务、性能调优、重要活动和重大节假日现场值守保障等保障服务。</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87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、提供PaaS服务对应软件产品的使用详情，以及提供按套接入详情。</w:t>
            </w:r>
          </w:p>
          <w:p>
            <w:pPr>
              <w:textAlignment w:val="center"/>
              <w:rPr>
                <w:rFonts w:ascii="宋体" w:hAnsi="宋体" w:cs="宋体"/>
                <w:color w:val="000000"/>
                <w:kern w:val="0"/>
              </w:rPr>
            </w:pPr>
            <w:r>
              <w:rPr>
                <w:rFonts w:ascii="宋体" w:hAnsi="宋体" w:cs="宋体"/>
                <w:color w:val="000000"/>
                <w:kern w:val="0"/>
              </w:rPr>
              <w:t>2、服务结算按照使用单位接入后实际使用的套数结算，使用单位接入服务成功后在服务期内未使用的，不在结算范围内。</w:t>
            </w:r>
          </w:p>
        </w:tc>
      </w:tr>
    </w:tbl>
    <w:p/>
    <w:p>
      <w:pPr>
        <w:pStyle w:val="5"/>
        <w:numPr>
          <w:ilvl w:val="2"/>
          <w:numId w:val="5"/>
        </w:numPr>
        <w:spacing w:before="160" w:line="300" w:lineRule="exact"/>
        <w:ind w:left="420"/>
        <w:rPr>
          <w:rFonts w:ascii="宋体" w:hAnsi="宋体"/>
        </w:rPr>
      </w:pPr>
      <w:bookmarkStart w:id="55" w:name="_Toc22898"/>
      <w:bookmarkStart w:id="56" w:name="_Toc4607"/>
      <w:r>
        <w:rPr>
          <w:rFonts w:ascii="宋体" w:hAnsi="宋体"/>
        </w:rPr>
        <w:t>可信密码服务</w:t>
      </w:r>
      <w:bookmarkEnd w:id="55"/>
      <w:bookmarkEnd w:id="56"/>
    </w:p>
    <w:tbl>
      <w:tblPr>
        <w:tblStyle w:val="10"/>
        <w:tblW w:w="8280" w:type="dxa"/>
        <w:tblInd w:w="0" w:type="dxa"/>
        <w:tblLayout w:type="fixed"/>
        <w:tblCellMar>
          <w:top w:w="0" w:type="dxa"/>
          <w:left w:w="0" w:type="dxa"/>
          <w:bottom w:w="0" w:type="dxa"/>
          <w:right w:w="0" w:type="dxa"/>
        </w:tblCellMar>
      </w:tblPr>
      <w:tblGrid>
        <w:gridCol w:w="1405"/>
        <w:gridCol w:w="6875"/>
      </w:tblGrid>
      <w:tr>
        <w:tblPrEx>
          <w:tblCellMar>
            <w:top w:w="0" w:type="dxa"/>
            <w:left w:w="0" w:type="dxa"/>
            <w:bottom w:w="0" w:type="dxa"/>
            <w:right w:w="0" w:type="dxa"/>
          </w:tblCellMar>
        </w:tblPrEx>
        <w:trPr>
          <w:trHeight w:val="9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规格</w:t>
            </w:r>
          </w:p>
        </w:tc>
        <w:tc>
          <w:tcPr>
            <w:tcW w:w="687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b/>
                <w:bCs/>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基于密码机、服务器密码机为应用系统提供数据加解密服务，满足密评工作中对“数据机密性的密码技术”的保护要求。提供可信的身份认证服务，支持通过USBKEY的方式进行登录用户的身份认证，实现用户认证、应用单点登录、访问控制、集中安全行为审计的服务能力。</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CellMar>
            <w:top w:w="0" w:type="dxa"/>
            <w:left w:w="0" w:type="dxa"/>
            <w:bottom w:w="0" w:type="dxa"/>
            <w:right w:w="0" w:type="dxa"/>
          </w:tblCellMar>
        </w:tblPrEx>
        <w:trPr>
          <w:trHeight w:val="20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功能要求</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(1)提供兼容国密和国际算法的加解密算法服务，包括不限于国产SM1/SM4和国际DES/3DES/AES算法；</w:t>
            </w:r>
          </w:p>
          <w:p>
            <w:pPr>
              <w:textAlignment w:val="center"/>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(2)提供裸签名及裸签名的验证服务；</w:t>
            </w:r>
          </w:p>
          <w:p>
            <w:pPr>
              <w:textAlignment w:val="center"/>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(3)提供数字信封服务</w:t>
            </w:r>
          </w:p>
          <w:p>
            <w:pPr>
              <w:textAlignment w:val="center"/>
              <w:rPr>
                <w:rFonts w:ascii="宋体" w:hAnsi="宋体" w:cs="宋体"/>
                <w:color w:val="000000" w:themeColor="text1"/>
                <w:kern w:val="0"/>
                <w14:textFill>
                  <w14:solidFill>
                    <w14:schemeClr w14:val="tx1"/>
                  </w14:solidFill>
                </w14:textFill>
              </w:rPr>
            </w:pPr>
            <w:r>
              <w:rPr>
                <w:rFonts w:ascii="宋体" w:hAnsi="宋体" w:cs="宋体"/>
                <w:color w:val="000000" w:themeColor="text1"/>
                <w:kern w:val="0"/>
                <w14:textFill>
                  <w14:solidFill>
                    <w14:schemeClr w14:val="tx1"/>
                  </w14:solidFill>
                </w14:textFill>
              </w:rPr>
              <w:t>(4)提供基于数据库加密技术，对数据库进行数据安全加固，实现对数据库数据的加密存储</w:t>
            </w:r>
          </w:p>
          <w:p>
            <w:pPr>
              <w:textAlignment w:val="center"/>
              <w:rPr>
                <w:rFonts w:ascii="宋体" w:hAnsi="宋体" w:cs="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(5)支持日志审计功能，日志记录保留时间不少于1年。</w:t>
            </w:r>
          </w:p>
        </w:tc>
      </w:tr>
      <w:tr>
        <w:tblPrEx>
          <w:tblCellMar>
            <w:top w:w="0" w:type="dxa"/>
            <w:left w:w="0" w:type="dxa"/>
            <w:bottom w:w="0" w:type="dxa"/>
            <w:right w:w="0" w:type="dxa"/>
          </w:tblCellMar>
        </w:tblPrEx>
        <w:trPr>
          <w:trHeight w:val="130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性能要求</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themeColor="text1"/>
                <w14:textFill>
                  <w14:solidFill>
                    <w14:schemeClr w14:val="tx1"/>
                  </w14:solidFill>
                </w14:textFill>
              </w:rPr>
            </w:pPr>
            <w:r>
              <w:rPr>
                <w:rFonts w:ascii="宋体" w:hAnsi="宋体" w:cs="宋体"/>
                <w:color w:val="000000" w:themeColor="text1"/>
                <w:kern w:val="0"/>
                <w14:textFill>
                  <w14:solidFill>
                    <w14:schemeClr w14:val="tx1"/>
                  </w14:solidFill>
                </w14:textFill>
              </w:rPr>
              <w:t xml:space="preserve">(1)在8核CPU，16G内存的云平台虚拟机环境下，并发数≥128个会话连接  </w:t>
            </w:r>
            <w:r>
              <w:rPr>
                <w:rFonts w:ascii="宋体" w:hAnsi="宋体" w:cs="宋体"/>
                <w:color w:val="000000" w:themeColor="text1"/>
                <w:kern w:val="0"/>
                <w14:textFill>
                  <w14:solidFill>
                    <w14:schemeClr w14:val="tx1"/>
                  </w14:solidFill>
                </w14:textFill>
              </w:rPr>
              <w:br w:type="textWrapping"/>
            </w:r>
            <w:r>
              <w:rPr>
                <w:rFonts w:ascii="宋体" w:hAnsi="宋体" w:cs="宋体"/>
                <w:color w:val="000000" w:themeColor="text1"/>
                <w:kern w:val="0"/>
                <w14:textFill>
                  <w14:solidFill>
                    <w14:schemeClr w14:val="tx1"/>
                  </w14:solidFill>
                </w14:textFill>
              </w:rPr>
              <w:t>(2)在8核CPU，16G内存的云平台虚拟机环境下，SM1计算速度≥10Mbps</w:t>
            </w:r>
            <w:r>
              <w:rPr>
                <w:rFonts w:ascii="宋体" w:hAnsi="宋体" w:cs="宋体"/>
                <w:color w:val="000000" w:themeColor="text1"/>
                <w:kern w:val="0"/>
                <w14:textFill>
                  <w14:solidFill>
                    <w14:schemeClr w14:val="tx1"/>
                  </w14:solidFill>
                </w14:textFill>
              </w:rPr>
              <w:br w:type="textWrapping"/>
            </w:r>
            <w:r>
              <w:rPr>
                <w:rFonts w:ascii="宋体" w:hAnsi="宋体" w:cs="宋体"/>
                <w:color w:val="000000" w:themeColor="text1"/>
                <w:kern w:val="0"/>
                <w14:textFill>
                  <w14:solidFill>
                    <w14:schemeClr w14:val="tx1"/>
                  </w14:solidFill>
                </w14:textFill>
              </w:rPr>
              <w:t>(3)在8核CPU，16G内存的云平台虚拟机环境下，SM4加解密速度≥60Mbps</w:t>
            </w:r>
            <w:r>
              <w:rPr>
                <w:rFonts w:ascii="宋体" w:hAnsi="宋体" w:cs="宋体"/>
                <w:color w:val="000000" w:themeColor="text1"/>
                <w:kern w:val="0"/>
                <w14:textFill>
                  <w14:solidFill>
                    <w14:schemeClr w14:val="tx1"/>
                  </w14:solidFill>
                </w14:textFill>
              </w:rPr>
              <w:br w:type="textWrapping"/>
            </w:r>
            <w:r>
              <w:rPr>
                <w:rFonts w:ascii="宋体" w:hAnsi="宋体" w:cs="宋体"/>
                <w:color w:val="000000" w:themeColor="text1"/>
                <w:kern w:val="0"/>
                <w14:textFill>
                  <w14:solidFill>
                    <w14:schemeClr w14:val="tx1"/>
                  </w14:solidFill>
                </w14:textFill>
              </w:rPr>
              <w:t>(4)数据库加解密速率≥60Mbps</w:t>
            </w:r>
            <w:r>
              <w:rPr>
                <w:rFonts w:ascii="宋体" w:hAnsi="宋体" w:cs="宋体"/>
                <w:color w:val="000000" w:themeColor="text1"/>
                <w:kern w:val="0"/>
                <w14:textFill>
                  <w14:solidFill>
                    <w14:schemeClr w14:val="tx1"/>
                  </w14:solidFill>
                </w14:textFill>
              </w:rPr>
              <w:br w:type="textWrapping"/>
            </w:r>
            <w:r>
              <w:rPr>
                <w:rFonts w:ascii="宋体" w:hAnsi="宋体" w:cs="宋体"/>
                <w:color w:val="000000" w:themeColor="text1"/>
                <w:kern w:val="0"/>
                <w14:textFill>
                  <w14:solidFill>
                    <w14:schemeClr w14:val="tx1"/>
                  </w14:solidFill>
                </w14:textFill>
              </w:rPr>
              <w:t>(5)数据库操作性能损耗≤20%</w:t>
            </w:r>
          </w:p>
        </w:tc>
      </w:tr>
      <w:tr>
        <w:tblPrEx>
          <w:tblCellMar>
            <w:top w:w="0" w:type="dxa"/>
            <w:left w:w="0" w:type="dxa"/>
            <w:bottom w:w="0" w:type="dxa"/>
            <w:right w:w="0" w:type="dxa"/>
          </w:tblCellMar>
        </w:tblPrEx>
        <w:trPr>
          <w:trHeight w:val="52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兼容多种硬件体系，可运行于X86、鲲鹏、海光、兆芯等多种不同CPU架构的服务器设备；兼容主流Linux发行分支RedHat、CentOS操作系统，以及中标麒麟V7、银河麒麟V10、统信UOSV20国产操作系统。</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通过国家密码管理局商密检测中心检测认证的商用密码产品。</w:t>
            </w:r>
          </w:p>
        </w:tc>
      </w:tr>
      <w:tr>
        <w:tblPrEx>
          <w:tblCellMar>
            <w:top w:w="0" w:type="dxa"/>
            <w:left w:w="0" w:type="dxa"/>
            <w:bottom w:w="0" w:type="dxa"/>
            <w:right w:w="0" w:type="dxa"/>
          </w:tblCellMar>
        </w:tblPrEx>
        <w:trPr>
          <w:trHeight w:val="78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服务产品以云平台镜像形式部署，以开通虚拟服务器形式为云平台用户提供服务，同时提供服务使用配置和应用系统对接的技术服务支持；在此基础上，提供产品版本升级、适配改造、安全</w:t>
            </w:r>
            <w:r>
              <w:rPr>
                <w:rFonts w:ascii="宋体" w:hAnsi="宋体" w:cs="宋体"/>
              </w:rPr>
              <w:t>问题修</w:t>
            </w:r>
            <w:r>
              <w:rPr>
                <w:rFonts w:ascii="宋体" w:hAnsi="宋体" w:cs="宋体"/>
                <w:color w:val="000000"/>
                <w:kern w:val="0"/>
              </w:rPr>
              <w:t>复、应急保障、产品文档、培训咨询、巡检服务、性能调优、重要活动和重大节假日现场值守保障等保障服务。</w:t>
            </w:r>
          </w:p>
        </w:tc>
      </w:tr>
      <w:tr>
        <w:tblPrEx>
          <w:tblCellMar>
            <w:top w:w="0" w:type="dxa"/>
            <w:left w:w="0" w:type="dxa"/>
            <w:bottom w:w="0" w:type="dxa"/>
            <w:right w:w="0" w:type="dxa"/>
          </w:tblCellMar>
        </w:tblPrEx>
        <w:trPr>
          <w:trHeight w:val="260" w:hRule="atLeast"/>
        </w:trPr>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8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rPr>
            </w:pPr>
            <w:r>
              <w:rPr>
                <w:rFonts w:ascii="宋体" w:hAnsi="宋体" w:cs="宋体"/>
              </w:rPr>
              <w:t>1、提供PaaS服务对应软件产品的使用详情，以及提供按照应用系统接入的详情。</w:t>
            </w:r>
          </w:p>
          <w:p>
            <w:pPr>
              <w:textAlignment w:val="center"/>
              <w:rPr>
                <w:rFonts w:ascii="宋体" w:hAnsi="宋体" w:cs="宋体"/>
                <w:color w:val="000000"/>
                <w:kern w:val="0"/>
              </w:rPr>
            </w:pPr>
            <w:r>
              <w:rPr>
                <w:rFonts w:ascii="宋体" w:hAnsi="宋体" w:cs="宋体"/>
              </w:rPr>
              <w:t>2、服务结算按照使用单位应用系统实际使用的接入数量结算，应用系统接入后，在服务期内未实际使用的，不在结算范围内。</w:t>
            </w:r>
          </w:p>
        </w:tc>
      </w:tr>
    </w:tbl>
    <w:p/>
    <w:p>
      <w:pPr>
        <w:pStyle w:val="5"/>
        <w:numPr>
          <w:ilvl w:val="2"/>
          <w:numId w:val="5"/>
        </w:numPr>
        <w:spacing w:before="160" w:line="300" w:lineRule="exact"/>
        <w:ind w:left="420"/>
        <w:rPr>
          <w:rFonts w:ascii="宋体" w:hAnsi="宋体"/>
        </w:rPr>
      </w:pPr>
      <w:bookmarkStart w:id="57" w:name="_Toc31051"/>
      <w:bookmarkStart w:id="58" w:name="_Toc30132"/>
      <w:r>
        <w:rPr>
          <w:rFonts w:ascii="宋体" w:hAnsi="宋体"/>
        </w:rPr>
        <w:t>短信服务</w:t>
      </w:r>
      <w:bookmarkEnd w:id="57"/>
      <w:bookmarkEnd w:id="58"/>
    </w:p>
    <w:tbl>
      <w:tblPr>
        <w:tblStyle w:val="10"/>
        <w:tblW w:w="8311" w:type="dxa"/>
        <w:tblInd w:w="0" w:type="dxa"/>
        <w:tblLayout w:type="fixed"/>
        <w:tblCellMar>
          <w:top w:w="0" w:type="dxa"/>
          <w:left w:w="0" w:type="dxa"/>
          <w:bottom w:w="0" w:type="dxa"/>
          <w:right w:w="0" w:type="dxa"/>
        </w:tblCellMar>
      </w:tblPr>
      <w:tblGrid>
        <w:gridCol w:w="1637"/>
        <w:gridCol w:w="6674"/>
      </w:tblGrid>
      <w:tr>
        <w:tblPrEx>
          <w:tblCellMar>
            <w:top w:w="0" w:type="dxa"/>
            <w:left w:w="0" w:type="dxa"/>
            <w:bottom w:w="0" w:type="dxa"/>
            <w:right w:w="0" w:type="dxa"/>
          </w:tblCellMar>
        </w:tblPrEx>
        <w:trPr>
          <w:trHeight w:val="26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规格</w:t>
            </w:r>
          </w:p>
        </w:tc>
        <w:tc>
          <w:tcPr>
            <w:tcW w:w="6674"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26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hint="eastAsia" w:ascii="宋体" w:hAnsi="宋体" w:cs="宋体"/>
                <w:color w:val="000000"/>
                <w:kern w:val="0"/>
              </w:rPr>
              <w:t>为政务云基础设施服务各区域</w:t>
            </w:r>
            <w:r>
              <w:rPr>
                <w:rFonts w:ascii="宋体" w:hAnsi="宋体" w:cs="宋体"/>
                <w:color w:val="000000"/>
                <w:kern w:val="0"/>
              </w:rPr>
              <w:t>（</w:t>
            </w:r>
            <w:r>
              <w:rPr>
                <w:rFonts w:hint="eastAsia" w:ascii="宋体" w:hAnsi="宋体" w:cs="宋体"/>
                <w:color w:val="000000"/>
                <w:kern w:val="0"/>
              </w:rPr>
              <w:t>包括政务外网区</w:t>
            </w:r>
            <w:r>
              <w:rPr>
                <w:rFonts w:ascii="宋体" w:hAnsi="宋体" w:cs="宋体"/>
                <w:color w:val="000000"/>
                <w:kern w:val="0"/>
              </w:rPr>
              <w:t>、</w:t>
            </w:r>
            <w:r>
              <w:rPr>
                <w:rFonts w:hint="eastAsia" w:ascii="宋体" w:hAnsi="宋体" w:cs="宋体"/>
                <w:color w:val="000000"/>
                <w:kern w:val="0"/>
              </w:rPr>
              <w:t>互联网区</w:t>
            </w:r>
            <w:r>
              <w:rPr>
                <w:rFonts w:ascii="宋体" w:hAnsi="宋体" w:cs="宋体"/>
                <w:color w:val="000000"/>
                <w:kern w:val="0"/>
              </w:rPr>
              <w:t>）提供四网（移动、电信、联通、广电）短信发送能力（不含短信回复能力）。</w:t>
            </w:r>
          </w:p>
        </w:tc>
      </w:tr>
      <w:tr>
        <w:tblPrEx>
          <w:tblCellMar>
            <w:top w:w="0" w:type="dxa"/>
            <w:left w:w="0" w:type="dxa"/>
            <w:bottom w:w="0" w:type="dxa"/>
            <w:right w:w="0" w:type="dxa"/>
          </w:tblCellMar>
        </w:tblPrEx>
        <w:trPr>
          <w:trHeight w:val="26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CellMar>
            <w:top w:w="0" w:type="dxa"/>
            <w:left w:w="0" w:type="dxa"/>
            <w:bottom w:w="0" w:type="dxa"/>
            <w:right w:w="0" w:type="dxa"/>
          </w:tblCellMar>
        </w:tblPrEx>
        <w:trPr>
          <w:trHeight w:val="442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color w:val="000000"/>
                <w:kern w:val="0"/>
              </w:rPr>
              <w:t>1、支持四网（移动、电信、联通、广电）短信发送，支持单条、群发短信给目标用户。</w:t>
            </w:r>
            <w:r>
              <w:rPr>
                <w:rFonts w:ascii="宋体" w:hAnsi="宋体" w:cs="宋体"/>
                <w:color w:val="000000"/>
                <w:kern w:val="0"/>
              </w:rPr>
              <w:br w:type="textWrapping"/>
            </w:r>
            <w:r>
              <w:rPr>
                <w:rFonts w:ascii="宋体" w:hAnsi="宋体" w:cs="宋体"/>
                <w:color w:val="000000"/>
                <w:kern w:val="0"/>
              </w:rPr>
              <w:t>2、提供所有已发送的短信信息列表（短信发送历史记录）</w:t>
            </w:r>
            <w:r>
              <w:rPr>
                <w:rFonts w:ascii="宋体" w:hAnsi="宋体" w:cs="宋体"/>
                <w:color w:val="000000"/>
                <w:kern w:val="0"/>
              </w:rPr>
              <w:br w:type="textWrapping"/>
            </w:r>
            <w:r>
              <w:rPr>
                <w:rFonts w:ascii="宋体" w:hAnsi="宋体" w:cs="宋体"/>
                <w:color w:val="000000"/>
                <w:kern w:val="0"/>
              </w:rPr>
              <w:t>3、提供业务系统接入使用短信服务的管理。</w:t>
            </w:r>
            <w:r>
              <w:rPr>
                <w:rFonts w:ascii="宋体" w:hAnsi="宋体" w:cs="宋体"/>
                <w:color w:val="000000"/>
                <w:kern w:val="0"/>
              </w:rPr>
              <w:br w:type="textWrapping"/>
            </w:r>
            <w:r>
              <w:rPr>
                <w:rFonts w:ascii="宋体" w:hAnsi="宋体" w:cs="宋体"/>
                <w:color w:val="000000"/>
                <w:kern w:val="0"/>
              </w:rPr>
              <w:t>4、提供配置与运营商短信接入网关/平台的相关信息</w:t>
            </w:r>
            <w:r>
              <w:rPr>
                <w:rFonts w:ascii="宋体" w:hAnsi="宋体" w:cs="宋体"/>
                <w:color w:val="000000"/>
                <w:kern w:val="0"/>
              </w:rPr>
              <w:br w:type="textWrapping"/>
            </w:r>
            <w:r>
              <w:rPr>
                <w:rFonts w:ascii="宋体" w:hAnsi="宋体" w:cs="宋体"/>
                <w:color w:val="000000"/>
                <w:kern w:val="0"/>
              </w:rPr>
              <w:t>5、提供启停对应的信息驱动</w:t>
            </w:r>
            <w:r>
              <w:rPr>
                <w:rFonts w:ascii="宋体" w:hAnsi="宋体" w:cs="宋体"/>
                <w:color w:val="000000"/>
                <w:kern w:val="0"/>
              </w:rPr>
              <w:br w:type="textWrapping"/>
            </w:r>
            <w:r>
              <w:rPr>
                <w:rFonts w:ascii="宋体" w:hAnsi="宋体" w:cs="宋体"/>
                <w:color w:val="000000"/>
                <w:kern w:val="0"/>
              </w:rPr>
              <w:t>6、支持按照用户账号统计短信发送记录</w:t>
            </w:r>
            <w:r>
              <w:rPr>
                <w:rFonts w:ascii="宋体" w:hAnsi="宋体" w:cs="宋体"/>
                <w:color w:val="000000"/>
                <w:kern w:val="0"/>
              </w:rPr>
              <w:br w:type="textWrapping"/>
            </w:r>
            <w:r>
              <w:rPr>
                <w:rFonts w:ascii="宋体" w:hAnsi="宋体" w:cs="宋体"/>
                <w:color w:val="000000"/>
                <w:kern w:val="0"/>
              </w:rPr>
              <w:t>7、支持按照短信通道统计短信发送记录</w:t>
            </w:r>
            <w:r>
              <w:rPr>
                <w:rFonts w:ascii="宋体" w:hAnsi="宋体" w:cs="宋体"/>
                <w:color w:val="000000"/>
                <w:kern w:val="0"/>
              </w:rPr>
              <w:br w:type="textWrapping"/>
            </w:r>
            <w:r>
              <w:rPr>
                <w:rFonts w:ascii="宋体" w:hAnsi="宋体" w:cs="宋体"/>
                <w:color w:val="000000"/>
                <w:kern w:val="0"/>
              </w:rPr>
              <w:t>8、支持对全平台短信数据进行统计</w:t>
            </w:r>
            <w:r>
              <w:rPr>
                <w:rFonts w:ascii="宋体" w:hAnsi="宋体" w:cs="宋体"/>
                <w:color w:val="000000"/>
                <w:kern w:val="0"/>
              </w:rPr>
              <w:br w:type="textWrapping"/>
            </w:r>
            <w:r>
              <w:rPr>
                <w:rFonts w:ascii="宋体" w:hAnsi="宋体" w:cs="宋体"/>
                <w:color w:val="000000"/>
                <w:kern w:val="0"/>
              </w:rPr>
              <w:t>9、提供短信运营监控的能力，可见通信通道运行参数和运行状态</w:t>
            </w:r>
            <w:r>
              <w:rPr>
                <w:rFonts w:ascii="宋体" w:hAnsi="宋体" w:cs="宋体"/>
                <w:color w:val="000000"/>
                <w:kern w:val="0"/>
              </w:rPr>
              <w:br w:type="textWrapping"/>
            </w:r>
            <w:r>
              <w:rPr>
                <w:rFonts w:ascii="宋体" w:hAnsi="宋体" w:cs="宋体"/>
                <w:color w:val="000000"/>
                <w:kern w:val="0"/>
              </w:rPr>
              <w:t>10、使用用户管理：支持设置短信额度、支持设置短信签名、支持分支机构账户。</w:t>
            </w:r>
            <w:r>
              <w:rPr>
                <w:rFonts w:ascii="宋体" w:hAnsi="宋体" w:cs="宋体"/>
                <w:color w:val="000000"/>
                <w:kern w:val="0"/>
              </w:rPr>
              <w:br w:type="textWrapping"/>
            </w:r>
            <w:r>
              <w:rPr>
                <w:rFonts w:ascii="宋体" w:hAnsi="宋体" w:cs="宋体"/>
                <w:color w:val="000000"/>
                <w:kern w:val="0"/>
              </w:rPr>
              <w:t>11、支持短信权限管理、数据备份、系统日志管理</w:t>
            </w:r>
            <w:r>
              <w:rPr>
                <w:rFonts w:ascii="宋体" w:hAnsi="宋体" w:cs="宋体"/>
                <w:color w:val="000000"/>
                <w:kern w:val="0"/>
              </w:rPr>
              <w:br w:type="textWrapping"/>
            </w:r>
            <w:r>
              <w:rPr>
                <w:rFonts w:ascii="宋体" w:hAnsi="宋体" w:cs="宋体"/>
                <w:color w:val="000000"/>
                <w:kern w:val="0"/>
              </w:rPr>
              <w:t>12、支持CMPP/SMGP/SGIP等各类通信协议</w:t>
            </w:r>
            <w:r>
              <w:rPr>
                <w:rFonts w:ascii="宋体" w:hAnsi="宋体" w:cs="宋体"/>
                <w:color w:val="000000"/>
                <w:kern w:val="0"/>
              </w:rPr>
              <w:br w:type="textWrapping"/>
            </w:r>
            <w:r>
              <w:rPr>
                <w:rFonts w:ascii="宋体" w:hAnsi="宋体" w:cs="宋体"/>
                <w:color w:val="000000"/>
                <w:kern w:val="0"/>
              </w:rPr>
              <w:t>13、支持短信上下行、状态报告接口</w:t>
            </w:r>
            <w:r>
              <w:rPr>
                <w:rFonts w:ascii="宋体" w:hAnsi="宋体" w:cs="宋体"/>
                <w:color w:val="000000"/>
                <w:kern w:val="0"/>
              </w:rPr>
              <w:br w:type="textWrapping"/>
            </w:r>
            <w:r>
              <w:rPr>
                <w:rFonts w:ascii="宋体" w:hAnsi="宋体" w:cs="宋体"/>
                <w:color w:val="000000"/>
                <w:kern w:val="0"/>
              </w:rPr>
              <w:t>14、支持短信高性能处理能力，短信优先级分级处理、内容过滤；短信签名识别与添加，接入号扩展码识别与管理等。</w:t>
            </w:r>
            <w:r>
              <w:rPr>
                <w:rFonts w:ascii="宋体" w:hAnsi="宋体" w:cs="宋体"/>
                <w:color w:val="000000"/>
                <w:kern w:val="0"/>
              </w:rPr>
              <w:br w:type="textWrapping"/>
            </w:r>
            <w:r>
              <w:rPr>
                <w:rFonts w:ascii="宋体" w:hAnsi="宋体" w:cs="宋体"/>
                <w:color w:val="000000"/>
                <w:kern w:val="0"/>
              </w:rPr>
              <w:t>15、支持多种短信网关接口和协议，包括不限于HTTP、CMPP、sdk、webservice等。</w:t>
            </w:r>
          </w:p>
          <w:p>
            <w:pPr>
              <w:pStyle w:val="2"/>
              <w:rPr>
                <w:rFonts w:hint="default" w:eastAsiaTheme="minorEastAsia"/>
                <w:lang w:val="en-US" w:eastAsia="zh-CN"/>
              </w:rPr>
            </w:pPr>
            <w:r>
              <w:rPr>
                <w:rFonts w:hint="default" w:ascii="宋体" w:hAnsi="宋体" w:cs="宋体"/>
                <w:color w:val="000000"/>
                <w:kern w:val="0"/>
                <w:lang w:val="en-US" w:eastAsia="zh-CN"/>
              </w:rPr>
              <w:t>16、</w:t>
            </w:r>
            <w:r>
              <w:rPr>
                <w:rFonts w:hint="eastAsia" w:ascii="宋体" w:hAnsi="宋体" w:cs="宋体"/>
                <w:color w:val="000000"/>
                <w:kern w:val="0"/>
                <w:lang w:val="en-US" w:eastAsia="zh-CN"/>
              </w:rPr>
              <w:t>支持短信模板管理，包括模板类型管理、模板与账号绑定功能、满足高性能模板拦截管理要求等。</w:t>
            </w:r>
          </w:p>
        </w:tc>
      </w:tr>
      <w:tr>
        <w:tblPrEx>
          <w:tblCellMar>
            <w:top w:w="0" w:type="dxa"/>
            <w:left w:w="0" w:type="dxa"/>
            <w:bottom w:w="0" w:type="dxa"/>
            <w:right w:w="0" w:type="dxa"/>
          </w:tblCellMar>
        </w:tblPrEx>
        <w:trPr>
          <w:trHeight w:val="78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性能要求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1.支持覆盖全国手机号码的短信发送能力；</w:t>
            </w:r>
            <w:r>
              <w:rPr>
                <w:rFonts w:ascii="宋体" w:hAnsi="宋体" w:cs="宋体"/>
                <w:color w:val="000000"/>
                <w:kern w:val="0"/>
              </w:rPr>
              <w:br w:type="textWrapping"/>
            </w:r>
            <w:r>
              <w:rPr>
                <w:rFonts w:ascii="宋体" w:hAnsi="宋体" w:cs="宋体"/>
                <w:color w:val="000000"/>
                <w:kern w:val="0"/>
              </w:rPr>
              <w:t>2.支持单用户短信发送：发送速率达50条/秒；</w:t>
            </w:r>
            <w:r>
              <w:rPr>
                <w:rFonts w:ascii="宋体" w:hAnsi="宋体" w:cs="宋体"/>
                <w:color w:val="000000"/>
                <w:kern w:val="0"/>
              </w:rPr>
              <w:br w:type="textWrapping"/>
            </w:r>
            <w:r>
              <w:rPr>
                <w:rFonts w:ascii="宋体" w:hAnsi="宋体" w:cs="宋体"/>
                <w:color w:val="000000"/>
                <w:kern w:val="0"/>
              </w:rPr>
              <w:t>3.支持高速群发：发送速率2000条/秒。</w:t>
            </w:r>
          </w:p>
        </w:tc>
      </w:tr>
      <w:tr>
        <w:tblPrEx>
          <w:tblCellMar>
            <w:top w:w="0" w:type="dxa"/>
            <w:left w:w="0" w:type="dxa"/>
            <w:bottom w:w="0" w:type="dxa"/>
            <w:right w:w="0" w:type="dxa"/>
          </w:tblCellMar>
        </w:tblPrEx>
        <w:trPr>
          <w:trHeight w:val="26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短信API接口支持java、php、C#等主流编程语言，以及小程序、H5、支付宝、微信等各类移动端接入使用。</w:t>
            </w:r>
          </w:p>
        </w:tc>
      </w:tr>
      <w:tr>
        <w:tblPrEx>
          <w:tblCellMar>
            <w:top w:w="0" w:type="dxa"/>
            <w:left w:w="0" w:type="dxa"/>
            <w:bottom w:w="0" w:type="dxa"/>
            <w:right w:w="0" w:type="dxa"/>
          </w:tblCellMar>
        </w:tblPrEx>
        <w:trPr>
          <w:trHeight w:val="130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1、平台账户安全，账户绑定IP白名单。</w:t>
            </w:r>
            <w:r>
              <w:rPr>
                <w:rFonts w:ascii="宋体" w:hAnsi="宋体" w:cs="宋体"/>
                <w:color w:val="000000"/>
                <w:kern w:val="0"/>
              </w:rPr>
              <w:br w:type="textWrapping"/>
            </w:r>
            <w:r>
              <w:rPr>
                <w:rFonts w:ascii="宋体" w:hAnsi="宋体" w:cs="宋体"/>
                <w:color w:val="000000"/>
                <w:kern w:val="0"/>
              </w:rPr>
              <w:t>2、接口发送安全，针对每个单位不同的业务配置不同信息发送能力。</w:t>
            </w:r>
            <w:r>
              <w:rPr>
                <w:rFonts w:ascii="宋体" w:hAnsi="宋体" w:cs="宋体"/>
                <w:color w:val="000000"/>
                <w:kern w:val="0"/>
              </w:rPr>
              <w:br w:type="textWrapping"/>
            </w:r>
            <w:r>
              <w:rPr>
                <w:rFonts w:ascii="宋体" w:hAnsi="宋体" w:cs="宋体"/>
                <w:color w:val="000000"/>
                <w:kern w:val="0"/>
              </w:rPr>
              <w:t>3、通道安全管理，对信息通道进行智能监管，严格监控通道的信息投诉信息、使用率、拥塞信息等信息。</w:t>
            </w:r>
            <w:r>
              <w:rPr>
                <w:rFonts w:ascii="宋体" w:hAnsi="宋体" w:cs="宋体"/>
                <w:color w:val="000000"/>
                <w:kern w:val="0"/>
              </w:rPr>
              <w:br w:type="textWrapping"/>
            </w:r>
            <w:r>
              <w:rPr>
                <w:rFonts w:ascii="宋体" w:hAnsi="宋体" w:cs="宋体"/>
                <w:color w:val="000000"/>
                <w:kern w:val="0"/>
              </w:rPr>
              <w:t>4、系统部署安全，内外网隔离，安装系统防攻击软件等。</w:t>
            </w:r>
          </w:p>
        </w:tc>
      </w:tr>
      <w:tr>
        <w:tblPrEx>
          <w:tblCellMar>
            <w:top w:w="0" w:type="dxa"/>
            <w:left w:w="0" w:type="dxa"/>
            <w:bottom w:w="0" w:type="dxa"/>
            <w:right w:w="0" w:type="dxa"/>
          </w:tblCellMar>
        </w:tblPrEx>
        <w:trPr>
          <w:trHeight w:val="52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blPrEx>
          <w:tblCellMar>
            <w:top w:w="0" w:type="dxa"/>
            <w:left w:w="0" w:type="dxa"/>
            <w:bottom w:w="0" w:type="dxa"/>
            <w:right w:w="0" w:type="dxa"/>
          </w:tblCellMar>
        </w:tblPrEx>
        <w:trPr>
          <w:trHeight w:val="260"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提供PaaS服务对应软件产品的使用详情，包括不限于按照服务使用条数统计的详情。</w:t>
            </w:r>
          </w:p>
          <w:p>
            <w:pPr>
              <w:textAlignment w:val="center"/>
              <w:rPr>
                <w:rFonts w:ascii="宋体" w:hAnsi="宋体" w:cs="宋体"/>
                <w:color w:val="000000"/>
                <w:kern w:val="0"/>
              </w:rPr>
            </w:pPr>
            <w:r>
              <w:rPr>
                <w:rFonts w:ascii="宋体" w:hAnsi="宋体" w:cs="宋体"/>
                <w:color w:val="000000"/>
                <w:kern w:val="0"/>
              </w:rPr>
              <w:t>2、服务结算按照使</w:t>
            </w:r>
            <w:r>
              <w:rPr>
                <w:rFonts w:ascii="宋体" w:hAnsi="宋体" w:cs="宋体"/>
              </w:rPr>
              <w:t>用单位实际使用条数进行结算。</w:t>
            </w:r>
          </w:p>
        </w:tc>
      </w:tr>
    </w:tbl>
    <w:p/>
    <w:p>
      <w:pPr>
        <w:pStyle w:val="2"/>
      </w:pPr>
    </w:p>
    <w:p>
      <w:pPr>
        <w:pStyle w:val="2"/>
      </w:pPr>
    </w:p>
    <w:p>
      <w:pPr>
        <w:pStyle w:val="5"/>
        <w:numPr>
          <w:ilvl w:val="2"/>
          <w:numId w:val="5"/>
        </w:numPr>
        <w:spacing w:before="160" w:line="300" w:lineRule="exact"/>
        <w:ind w:left="420"/>
        <w:rPr>
          <w:rFonts w:ascii="宋体" w:hAnsi="宋体"/>
        </w:rPr>
      </w:pPr>
      <w:bookmarkStart w:id="59" w:name="_Toc10189"/>
      <w:bookmarkStart w:id="60" w:name="_Toc3364"/>
      <w:r>
        <w:rPr>
          <w:rFonts w:ascii="宋体" w:hAnsi="宋体"/>
        </w:rPr>
        <w:t>CDN流量加速分发服务</w:t>
      </w:r>
      <w:bookmarkEnd w:id="59"/>
      <w:bookmarkEnd w:id="60"/>
    </w:p>
    <w:tbl>
      <w:tblPr>
        <w:tblStyle w:val="10"/>
        <w:tblW w:w="8304" w:type="dxa"/>
        <w:tblInd w:w="0" w:type="dxa"/>
        <w:tblLayout w:type="fixed"/>
        <w:tblCellMar>
          <w:top w:w="0" w:type="dxa"/>
          <w:left w:w="0" w:type="dxa"/>
          <w:bottom w:w="0" w:type="dxa"/>
          <w:right w:w="0" w:type="dxa"/>
        </w:tblCellMar>
      </w:tblPr>
      <w:tblGrid>
        <w:gridCol w:w="1629"/>
        <w:gridCol w:w="6675"/>
      </w:tblGrid>
      <w:tr>
        <w:tblPrEx>
          <w:tblCellMar>
            <w:top w:w="0" w:type="dxa"/>
            <w:left w:w="0" w:type="dxa"/>
            <w:bottom w:w="0" w:type="dxa"/>
            <w:right w:w="0" w:type="dxa"/>
          </w:tblCellMar>
        </w:tblPrEx>
        <w:trPr>
          <w:trHeight w:val="90" w:hRule="atLeast"/>
        </w:trPr>
        <w:tc>
          <w:tcPr>
            <w:tcW w:w="162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规格</w:t>
            </w:r>
          </w:p>
        </w:tc>
        <w:tc>
          <w:tcPr>
            <w:tcW w:w="667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指标要求</w:t>
            </w:r>
          </w:p>
        </w:tc>
      </w:tr>
      <w:tr>
        <w:tblPrEx>
          <w:tblCellMar>
            <w:top w:w="0" w:type="dxa"/>
            <w:left w:w="0" w:type="dxa"/>
            <w:bottom w:w="0" w:type="dxa"/>
            <w:right w:w="0" w:type="dxa"/>
          </w:tblCellMar>
        </w:tblPrEx>
        <w:trPr>
          <w:trHeight w:val="780" w:hRule="atLeast"/>
        </w:trPr>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提供面向中国境内互联网访问可达范围的三网流量加速服务，专注解决跨运营商访问、跨地域访问以及服务器带宽性能带来的访问延迟问题，进一步提升访问响应速度和成功率。</w:t>
            </w:r>
          </w:p>
        </w:tc>
      </w:tr>
      <w:tr>
        <w:tblPrEx>
          <w:tblCellMar>
            <w:top w:w="0" w:type="dxa"/>
            <w:left w:w="0" w:type="dxa"/>
            <w:bottom w:w="0" w:type="dxa"/>
            <w:right w:w="0" w:type="dxa"/>
          </w:tblCellMar>
        </w:tblPrEx>
        <w:trPr>
          <w:trHeight w:val="1308" w:hRule="atLeast"/>
        </w:trPr>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1、支持自主填加、修改域名及源站信息；</w:t>
            </w:r>
            <w:r>
              <w:rPr>
                <w:rFonts w:ascii="宋体" w:hAnsi="宋体" w:cs="宋体"/>
                <w:color w:val="000000"/>
                <w:kern w:val="0"/>
              </w:rPr>
              <w:br w:type="textWrapping"/>
            </w:r>
            <w:r>
              <w:rPr>
                <w:rFonts w:ascii="宋体" w:hAnsi="宋体" w:cs="宋体"/>
                <w:color w:val="000000"/>
                <w:kern w:val="0"/>
              </w:rPr>
              <w:t>2、支持自主启用/停用域名；</w:t>
            </w:r>
            <w:r>
              <w:rPr>
                <w:rFonts w:ascii="宋体" w:hAnsi="宋体" w:cs="宋体"/>
                <w:color w:val="000000"/>
                <w:kern w:val="0"/>
              </w:rPr>
              <w:br w:type="textWrapping"/>
            </w:r>
            <w:r>
              <w:rPr>
                <w:rFonts w:ascii="宋体" w:hAnsi="宋体" w:cs="宋体"/>
                <w:color w:val="000000"/>
                <w:kern w:val="0"/>
              </w:rPr>
              <w:t>3、支持域名配置复制功能；</w:t>
            </w:r>
            <w:r>
              <w:rPr>
                <w:rFonts w:ascii="宋体" w:hAnsi="宋体" w:cs="宋体"/>
                <w:color w:val="000000"/>
                <w:kern w:val="0"/>
              </w:rPr>
              <w:br w:type="textWrapping"/>
            </w:r>
            <w:r>
              <w:rPr>
                <w:rFonts w:ascii="宋体" w:hAnsi="宋体" w:cs="宋体"/>
                <w:color w:val="000000"/>
                <w:kern w:val="0"/>
              </w:rPr>
              <w:t>4、支持自主刷新CDN节点文件和目录、支持数据预热；</w:t>
            </w:r>
            <w:r>
              <w:rPr>
                <w:rFonts w:ascii="宋体" w:hAnsi="宋体" w:cs="宋体"/>
                <w:color w:val="000000"/>
                <w:kern w:val="0"/>
              </w:rPr>
              <w:br w:type="textWrapping"/>
            </w:r>
            <w:r>
              <w:rPr>
                <w:rFonts w:ascii="宋体" w:hAnsi="宋体" w:cs="宋体"/>
                <w:color w:val="000000"/>
                <w:kern w:val="0"/>
              </w:rPr>
              <w:t>5、支持自主设置文件在CDN的缓存时间；</w:t>
            </w:r>
            <w:r>
              <w:rPr>
                <w:rFonts w:ascii="宋体" w:hAnsi="宋体" w:cs="宋体"/>
                <w:color w:val="000000"/>
                <w:kern w:val="0"/>
              </w:rPr>
              <w:br w:type="textWrapping"/>
            </w:r>
            <w:r>
              <w:rPr>
                <w:rFonts w:ascii="宋体" w:hAnsi="宋体" w:cs="宋体"/>
                <w:color w:val="000000"/>
                <w:kern w:val="0"/>
              </w:rPr>
              <w:t>6、支持屏蔽和解封特定url页面服务；</w:t>
            </w:r>
            <w:r>
              <w:rPr>
                <w:rFonts w:ascii="宋体" w:hAnsi="宋体" w:cs="宋体"/>
                <w:color w:val="000000"/>
                <w:kern w:val="0"/>
              </w:rPr>
              <w:br w:type="textWrapping"/>
            </w:r>
            <w:r>
              <w:rPr>
                <w:rFonts w:ascii="宋体" w:hAnsi="宋体" w:cs="宋体"/>
                <w:color w:val="000000"/>
                <w:kern w:val="0"/>
              </w:rPr>
              <w:t>7、支持按域名、时段、运营商等不同维度统计带宽数据及流量数据，并且按计费标准生成的带宽数据；</w:t>
            </w:r>
            <w:r>
              <w:rPr>
                <w:rFonts w:ascii="宋体" w:hAnsi="宋体" w:cs="宋体"/>
                <w:color w:val="000000"/>
                <w:kern w:val="0"/>
              </w:rPr>
              <w:br w:type="textWrapping"/>
            </w:r>
            <w:r>
              <w:rPr>
                <w:rFonts w:ascii="宋体" w:hAnsi="宋体" w:cs="宋体"/>
                <w:color w:val="000000"/>
                <w:kern w:val="0"/>
              </w:rPr>
              <w:t>8、支持按域名、时段、运营商等不同维度统计回源数据，请求数以及命中率、状态码；</w:t>
            </w:r>
            <w:r>
              <w:rPr>
                <w:rFonts w:ascii="宋体" w:hAnsi="宋体" w:cs="宋体"/>
                <w:color w:val="000000"/>
                <w:kern w:val="0"/>
              </w:rPr>
              <w:br w:type="textWrapping"/>
            </w:r>
            <w:r>
              <w:rPr>
                <w:rFonts w:ascii="宋体" w:hAnsi="宋体" w:cs="宋体"/>
                <w:color w:val="000000"/>
                <w:kern w:val="0"/>
              </w:rPr>
              <w:t>9、支持按域名加时段维度查询实时请求数，回源请求数，带宽，回源带宽，状态码，回源状态码；</w:t>
            </w:r>
            <w:r>
              <w:rPr>
                <w:rFonts w:ascii="宋体" w:hAnsi="宋体" w:cs="宋体"/>
                <w:color w:val="000000"/>
                <w:kern w:val="0"/>
              </w:rPr>
              <w:br w:type="textWrapping"/>
            </w:r>
            <w:r>
              <w:rPr>
                <w:rFonts w:ascii="宋体" w:hAnsi="宋体" w:cs="宋体"/>
                <w:color w:val="000000"/>
                <w:kern w:val="0"/>
              </w:rPr>
              <w:t>10、支持按域名加时段维度下载服务运行日志；</w:t>
            </w:r>
            <w:r>
              <w:rPr>
                <w:rFonts w:ascii="宋体" w:hAnsi="宋体" w:cs="宋体"/>
                <w:color w:val="000000"/>
                <w:kern w:val="0"/>
              </w:rPr>
              <w:br w:type="textWrapping"/>
            </w:r>
            <w:r>
              <w:rPr>
                <w:rFonts w:ascii="宋体" w:hAnsi="宋体" w:cs="宋体"/>
                <w:color w:val="000000"/>
                <w:kern w:val="0"/>
              </w:rPr>
              <w:t>11、能够获取访问量数据、热门URL、热门URL（回源）、TOP客户端等数据，通过CDN后台流量数据，能够查看精确到省、直辖市以及主要运营商的相关信息；</w:t>
            </w:r>
            <w:r>
              <w:rPr>
                <w:rFonts w:ascii="宋体" w:hAnsi="宋体" w:cs="宋体"/>
                <w:color w:val="000000"/>
                <w:kern w:val="0"/>
              </w:rPr>
              <w:br w:type="textWrapping"/>
            </w:r>
            <w:r>
              <w:rPr>
                <w:rFonts w:ascii="宋体" w:hAnsi="宋体" w:cs="宋体"/>
                <w:color w:val="000000"/>
                <w:kern w:val="0"/>
              </w:rPr>
              <w:t>12服务功能包括不限于：</w:t>
            </w:r>
            <w:r>
              <w:rPr>
                <w:rFonts w:ascii="宋体" w:hAnsi="宋体" w:cs="宋体"/>
                <w:color w:val="000000"/>
                <w:kern w:val="0"/>
              </w:rPr>
              <w:br w:type="textWrapping"/>
            </w:r>
            <w:r>
              <w:rPr>
                <w:rFonts w:ascii="宋体" w:hAnsi="宋体" w:cs="宋体"/>
                <w:color w:val="000000"/>
                <w:kern w:val="0"/>
              </w:rPr>
              <w:t xml:space="preserve">  1）静态页面加速：全站加速支持静态页面加速和动态内容加速，支持http和https协议、支持 html5 技术协议。静态加速可对网站网页等内容进行缓存式加速。可缓存的文件的扩展名主要有:*.html,*.shtml等静态页面类；*.jpg,*.gif,*.swf等图片或flash，*.css,*.js等样式类。</w:t>
            </w:r>
            <w:r>
              <w:rPr>
                <w:rFonts w:ascii="宋体" w:hAnsi="宋体" w:cs="宋体"/>
                <w:color w:val="000000"/>
                <w:kern w:val="0"/>
              </w:rPr>
              <w:br w:type="textWrapping"/>
            </w:r>
            <w:r>
              <w:rPr>
                <w:rFonts w:ascii="宋体" w:hAnsi="宋体" w:cs="宋体"/>
                <w:color w:val="000000"/>
                <w:kern w:val="0"/>
              </w:rPr>
              <w:t xml:space="preserve">  2）点播加速：在CDN服务中对流媒体加速服务，CDN将需要加速的点播文件缓存到CDN节点中。当最终用户访问该内容时，可以从离用户最近的CDN节点获取资源，以大幅提高用户访问速度。当最终用户访问该内容时，可以从离用户最近的CDN节点获取资源，并在各个边缘节点对视频流进行流的协议转换，使之同时能在PC端(RTMP流)和移动终端(RTMP流+HLS流)进行视频播放，大幅提高访问播放速度，支持多种流媒体平台服务、支持html5技术协议。</w:t>
            </w:r>
            <w:r>
              <w:rPr>
                <w:rFonts w:ascii="宋体" w:hAnsi="宋体" w:cs="宋体"/>
                <w:color w:val="000000"/>
                <w:kern w:val="0"/>
              </w:rPr>
              <w:br w:type="textWrapping"/>
            </w:r>
            <w:r>
              <w:rPr>
                <w:rFonts w:ascii="宋体" w:hAnsi="宋体" w:cs="宋体"/>
                <w:color w:val="000000"/>
                <w:kern w:val="0"/>
              </w:rPr>
              <w:t xml:space="preserve">  3）下载加速：要特征在于文件内容大、带宽消耗大、多进程下载以及断点续传等需求，同时存在单链接限速、防盗链、文件预加载等需求；主要应用于软件程序下载、音视频下载、游戏安装更新包下载、文档资料下载等下载业务；常见于视频提供商、软件分发应用、云盘业务等。</w:t>
            </w:r>
            <w:r>
              <w:rPr>
                <w:rFonts w:ascii="宋体" w:hAnsi="宋体" w:cs="宋体"/>
                <w:color w:val="000000"/>
                <w:kern w:val="0"/>
              </w:rPr>
              <w:br w:type="textWrapping"/>
            </w:r>
            <w:r>
              <w:rPr>
                <w:rFonts w:ascii="宋体" w:hAnsi="宋体" w:cs="宋体"/>
                <w:color w:val="000000"/>
                <w:kern w:val="0"/>
              </w:rPr>
              <w:t xml:space="preserve">  4）流媒体直播加速：即摄像头一方作为流媒体源，经过音视频采样－编码－封装推送到服务器，再由服务器进行转码等操作，用户请求获取到直播流内容并在客户端对内容解封－解码－同步处理播放的过程。</w:t>
            </w:r>
          </w:p>
        </w:tc>
      </w:tr>
      <w:tr>
        <w:tblPrEx>
          <w:tblCellMar>
            <w:top w:w="0" w:type="dxa"/>
            <w:left w:w="0" w:type="dxa"/>
            <w:bottom w:w="0" w:type="dxa"/>
            <w:right w:w="0" w:type="dxa"/>
          </w:tblCellMar>
        </w:tblPrEx>
        <w:trPr>
          <w:trHeight w:val="780" w:hRule="atLeast"/>
        </w:trPr>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性能要求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1.全国CDN节点数量大于1000个及以上。</w:t>
            </w:r>
            <w:r>
              <w:rPr>
                <w:rFonts w:ascii="宋体" w:hAnsi="宋体" w:cs="宋体"/>
                <w:color w:val="000000"/>
                <w:kern w:val="0"/>
              </w:rPr>
              <w:br w:type="textWrapping"/>
            </w:r>
            <w:r>
              <w:rPr>
                <w:rFonts w:ascii="宋体" w:hAnsi="宋体" w:cs="宋体"/>
                <w:color w:val="000000"/>
                <w:kern w:val="0"/>
              </w:rPr>
              <w:t>2.带宽资源储备量不低于100个TB。</w:t>
            </w:r>
            <w:r>
              <w:rPr>
                <w:rFonts w:ascii="宋体" w:hAnsi="宋体" w:cs="宋体"/>
                <w:color w:val="000000"/>
                <w:kern w:val="0"/>
              </w:rPr>
              <w:br w:type="textWrapping"/>
            </w:r>
            <w:r>
              <w:rPr>
                <w:rFonts w:ascii="宋体" w:hAnsi="宋体" w:cs="宋体"/>
                <w:color w:val="000000"/>
                <w:kern w:val="0"/>
              </w:rPr>
              <w:t>3.支持提供非80端口的加速服务；支持http、https的加速需求。</w:t>
            </w:r>
          </w:p>
        </w:tc>
      </w:tr>
      <w:tr>
        <w:tblPrEx>
          <w:tblCellMar>
            <w:top w:w="0" w:type="dxa"/>
            <w:left w:w="0" w:type="dxa"/>
            <w:bottom w:w="0" w:type="dxa"/>
            <w:right w:w="0" w:type="dxa"/>
          </w:tblCellMar>
        </w:tblPrEx>
        <w:trPr>
          <w:trHeight w:val="1040" w:hRule="atLeast"/>
        </w:trPr>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1.流媒体直播业务加速支持HLS，FLV等多种等格式；</w:t>
            </w:r>
            <w:r>
              <w:rPr>
                <w:rFonts w:ascii="宋体" w:hAnsi="宋体" w:cs="宋体"/>
                <w:color w:val="000000"/>
                <w:kern w:val="0"/>
              </w:rPr>
              <w:br w:type="textWrapping"/>
            </w:r>
            <w:r>
              <w:rPr>
                <w:rFonts w:ascii="宋体" w:hAnsi="宋体" w:cs="宋体"/>
                <w:color w:val="000000"/>
                <w:kern w:val="0"/>
              </w:rPr>
              <w:t>2.流媒体点播业务加速支持mp4，HLS等多种格式；</w:t>
            </w:r>
            <w:r>
              <w:rPr>
                <w:rFonts w:ascii="宋体" w:hAnsi="宋体" w:cs="宋体"/>
                <w:color w:val="000000"/>
                <w:kern w:val="0"/>
              </w:rPr>
              <w:br w:type="textWrapping"/>
            </w:r>
            <w:r>
              <w:rPr>
                <w:rFonts w:ascii="宋体" w:hAnsi="宋体" w:cs="宋体"/>
                <w:color w:val="000000"/>
                <w:kern w:val="0"/>
              </w:rPr>
              <w:t>3.安卓安装包支持.apk .play .jar .zip等多种格式；</w:t>
            </w:r>
            <w:r>
              <w:rPr>
                <w:rFonts w:ascii="宋体" w:hAnsi="宋体" w:cs="宋体"/>
                <w:color w:val="000000"/>
                <w:kern w:val="0"/>
              </w:rPr>
              <w:br w:type="textWrapping"/>
            </w:r>
            <w:r>
              <w:rPr>
                <w:rFonts w:ascii="宋体" w:hAnsi="宋体" w:cs="宋体"/>
                <w:color w:val="000000"/>
                <w:kern w:val="0"/>
              </w:rPr>
              <w:t>4.动态网页加速支持jsp、php、perl、cgi、asp等多种格式。</w:t>
            </w:r>
          </w:p>
        </w:tc>
      </w:tr>
      <w:tr>
        <w:tblPrEx>
          <w:tblCellMar>
            <w:top w:w="0" w:type="dxa"/>
            <w:left w:w="0" w:type="dxa"/>
            <w:bottom w:w="0" w:type="dxa"/>
            <w:right w:w="0" w:type="dxa"/>
          </w:tblCellMar>
        </w:tblPrEx>
        <w:trPr>
          <w:trHeight w:val="1500" w:hRule="atLeast"/>
        </w:trPr>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CDN节点安全保障：</w:t>
            </w:r>
            <w:r>
              <w:rPr>
                <w:rFonts w:ascii="宋体" w:hAnsi="宋体" w:cs="宋体"/>
                <w:color w:val="000000"/>
                <w:kern w:val="0"/>
              </w:rPr>
              <w:br w:type="textWrapping"/>
            </w:r>
            <w:r>
              <w:rPr>
                <w:rFonts w:ascii="宋体" w:hAnsi="宋体" w:cs="宋体"/>
                <w:color w:val="000000"/>
                <w:kern w:val="0"/>
              </w:rPr>
              <w:t>1、内网交换机实施子网隔离，防止内网攻击；</w:t>
            </w:r>
            <w:r>
              <w:rPr>
                <w:rFonts w:ascii="宋体" w:hAnsi="宋体" w:cs="宋体"/>
                <w:color w:val="000000"/>
                <w:kern w:val="0"/>
              </w:rPr>
              <w:br w:type="textWrapping"/>
            </w:r>
            <w:r>
              <w:rPr>
                <w:rFonts w:ascii="宋体" w:hAnsi="宋体" w:cs="宋体"/>
                <w:color w:val="000000"/>
                <w:kern w:val="0"/>
              </w:rPr>
              <w:t>2、节点文件均采用缓存碎片化HASH处理，避免非法用户获取真实内容；</w:t>
            </w:r>
            <w:r>
              <w:rPr>
                <w:rFonts w:ascii="宋体" w:hAnsi="宋体" w:cs="宋体"/>
                <w:color w:val="000000"/>
                <w:kern w:val="0"/>
              </w:rPr>
              <w:br w:type="textWrapping"/>
            </w:r>
            <w:r>
              <w:rPr>
                <w:rFonts w:ascii="宋体" w:hAnsi="宋体" w:cs="宋体"/>
                <w:color w:val="000000"/>
                <w:kern w:val="0"/>
              </w:rPr>
              <w:t>3、节点间采用私有协议，对传输的文件均由校验，一旦文件被篡改，会直接丢弃该文件；</w:t>
            </w:r>
            <w:r>
              <w:rPr>
                <w:rFonts w:ascii="宋体" w:hAnsi="宋体" w:cs="宋体"/>
                <w:color w:val="000000"/>
                <w:kern w:val="0"/>
              </w:rPr>
              <w:br w:type="textWrapping"/>
            </w:r>
            <w:r>
              <w:rPr>
                <w:rFonts w:ascii="宋体" w:hAnsi="宋体" w:cs="宋体"/>
                <w:color w:val="000000"/>
                <w:kern w:val="0"/>
              </w:rPr>
              <w:t>4、SSH登陆端口为定义特殊端口,确认SSH服务登陆限制并确保服务日志开启;</w:t>
            </w:r>
          </w:p>
        </w:tc>
      </w:tr>
      <w:tr>
        <w:tblPrEx>
          <w:tblCellMar>
            <w:top w:w="0" w:type="dxa"/>
            <w:left w:w="0" w:type="dxa"/>
            <w:bottom w:w="0" w:type="dxa"/>
            <w:right w:w="0" w:type="dxa"/>
          </w:tblCellMar>
        </w:tblPrEx>
        <w:trPr>
          <w:trHeight w:val="260" w:hRule="atLeast"/>
        </w:trPr>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6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、提供PaaS服务对应软件产品的使用详情，包括不限于按照TB容量统计的详情。</w:t>
            </w:r>
          </w:p>
          <w:p>
            <w:pPr>
              <w:textAlignment w:val="center"/>
              <w:rPr>
                <w:rFonts w:ascii="宋体" w:hAnsi="宋体" w:cs="宋体"/>
                <w:color w:val="000000"/>
                <w:kern w:val="0"/>
              </w:rPr>
            </w:pPr>
            <w:r>
              <w:rPr>
                <w:rFonts w:ascii="宋体" w:hAnsi="宋体" w:cs="宋体"/>
                <w:color w:val="000000"/>
                <w:kern w:val="0"/>
              </w:rPr>
              <w:t>2、服务结算按照使用单位实际使用的TB容量进行结算。</w:t>
            </w:r>
          </w:p>
        </w:tc>
      </w:tr>
    </w:tbl>
    <w:p/>
    <w:p>
      <w:pPr>
        <w:pStyle w:val="5"/>
        <w:numPr>
          <w:ilvl w:val="2"/>
          <w:numId w:val="5"/>
        </w:numPr>
        <w:spacing w:before="160" w:line="300" w:lineRule="exact"/>
        <w:ind w:left="420"/>
        <w:rPr>
          <w:rFonts w:ascii="宋体" w:hAnsi="宋体"/>
        </w:rPr>
      </w:pPr>
      <w:bookmarkStart w:id="61" w:name="_Toc30174"/>
      <w:bookmarkStart w:id="62" w:name="_Toc21920"/>
      <w:r>
        <w:rPr>
          <w:rFonts w:ascii="宋体" w:hAnsi="宋体"/>
        </w:rPr>
        <w:t>生僻字服务</w:t>
      </w:r>
      <w:bookmarkEnd w:id="61"/>
      <w:bookmarkEnd w:id="62"/>
      <w:r>
        <w:rPr>
          <w:rFonts w:ascii="宋体" w:hAnsi="宋体"/>
        </w:rPr>
        <w:t>（服务端）</w:t>
      </w:r>
    </w:p>
    <w:tbl>
      <w:tblPr>
        <w:tblStyle w:val="10"/>
        <w:tblW w:w="83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2"/>
        <w:gridCol w:w="6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622" w:type="dxa"/>
            <w:tcBorders>
              <w:tl2br w:val="nil"/>
              <w:tr2bl w:val="nil"/>
            </w:tcBorders>
            <w:shd w:val="clear" w:color="auto" w:fill="auto"/>
            <w:noWrap/>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规格</w:t>
            </w:r>
          </w:p>
        </w:tc>
        <w:tc>
          <w:tcPr>
            <w:tcW w:w="6685" w:type="dxa"/>
            <w:tcBorders>
              <w:tl2br w:val="nil"/>
              <w:tr2bl w:val="nil"/>
            </w:tcBorders>
            <w:shd w:val="clear" w:color="auto" w:fill="auto"/>
            <w:tcMar>
              <w:top w:w="10" w:type="dxa"/>
              <w:left w:w="10" w:type="dxa"/>
              <w:right w:w="10" w:type="dxa"/>
            </w:tcMar>
            <w:vAlign w:val="center"/>
          </w:tcPr>
          <w:p>
            <w:pPr>
              <w:jc w:val="center"/>
              <w:rPr>
                <w:rFonts w:ascii="宋体" w:hAnsi="宋体" w:cs="宋体"/>
                <w:color w:val="000000"/>
                <w:kern w:val="0"/>
              </w:rPr>
            </w:pPr>
            <w:r>
              <w:rPr>
                <w:rFonts w:ascii="宋体" w:hAnsi="宋体" w:cs="宋体"/>
                <w:b/>
                <w:bCs/>
                <w:color w:val="000000"/>
                <w:kern w:val="0"/>
              </w:rPr>
              <w:t>指标要求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提供特制的人口信息字库，与国家人口信息库字库保持编码、更新一致的生僻字字库，包含了公民信息中所有生僻字。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支持单机和集群部署模式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1、支持包含国家标准GB13000-2010和国家标准GB18030-2005中的收录的所有汉字、人口信息专用生僻字、通用规范汉字表所有字符及CJK统一增加汉字。</w:t>
            </w:r>
            <w:r>
              <w:rPr>
                <w:rFonts w:ascii="宋体" w:hAnsi="宋体" w:cs="宋体"/>
                <w:color w:val="000000"/>
                <w:kern w:val="0"/>
              </w:rPr>
              <w:br w:type="textWrapping"/>
            </w:r>
            <w:r>
              <w:rPr>
                <w:rFonts w:ascii="宋体" w:hAnsi="宋体" w:cs="宋体"/>
                <w:color w:val="000000"/>
                <w:kern w:val="0"/>
              </w:rPr>
              <w:t>2、字库采用Unicode统一编码方式，并且符合TrueType标准格式。</w:t>
            </w:r>
            <w:r>
              <w:rPr>
                <w:rFonts w:ascii="宋体" w:hAnsi="宋体" w:cs="宋体"/>
                <w:color w:val="000000"/>
                <w:kern w:val="0"/>
              </w:rPr>
              <w:br w:type="textWrapping"/>
            </w:r>
            <w:r>
              <w:rPr>
                <w:rFonts w:ascii="宋体" w:hAnsi="宋体" w:cs="宋体"/>
                <w:color w:val="000000"/>
                <w:kern w:val="0"/>
              </w:rPr>
              <w:t>3、在输入生僻字场景中，提供输入法功能，支持部首检字、笔顺检字、拼音检字</w:t>
            </w:r>
            <w:r>
              <w:rPr>
                <w:rFonts w:hint="eastAsia" w:ascii="宋体" w:hAnsi="宋体" w:cs="宋体"/>
                <w:color w:val="000000"/>
                <w:kern w:val="0"/>
                <w:lang w:eastAsia="zh-CN"/>
              </w:rPr>
              <w:t>、</w:t>
            </w:r>
            <w:r>
              <w:rPr>
                <w:rFonts w:hint="eastAsia" w:ascii="宋体" w:hAnsi="宋体" w:cs="宋体"/>
                <w:color w:val="000000"/>
                <w:kern w:val="0"/>
                <w:lang w:val="en-US" w:eastAsia="zh-CN"/>
              </w:rPr>
              <w:t>拼音拆字检字和手写检字</w:t>
            </w:r>
            <w:r>
              <w:rPr>
                <w:rFonts w:ascii="宋体" w:hAnsi="宋体" w:cs="宋体"/>
                <w:color w:val="000000"/>
                <w:kern w:val="0"/>
              </w:rPr>
              <w:t>。</w:t>
            </w:r>
            <w:r>
              <w:rPr>
                <w:rFonts w:ascii="宋体" w:hAnsi="宋体" w:cs="宋体"/>
                <w:color w:val="000000"/>
                <w:kern w:val="0"/>
              </w:rPr>
              <w:br w:type="textWrapping"/>
            </w:r>
            <w:r>
              <w:rPr>
                <w:rFonts w:ascii="宋体" w:hAnsi="宋体" w:cs="宋体"/>
                <w:color w:val="000000"/>
                <w:kern w:val="0"/>
              </w:rPr>
              <w:t>4、提供适用于IOS、Android</w:t>
            </w:r>
            <w:r>
              <w:rPr>
                <w:rFonts w:hint="eastAsia" w:ascii="宋体" w:hAnsi="宋体" w:cs="宋体"/>
                <w:color w:val="000000"/>
                <w:kern w:val="0"/>
                <w:lang w:val="en-US" w:eastAsia="zh-CN"/>
              </w:rPr>
              <w:t>和鸿蒙</w:t>
            </w:r>
            <w:r>
              <w:rPr>
                <w:rFonts w:ascii="宋体" w:hAnsi="宋体" w:cs="宋体"/>
                <w:color w:val="000000"/>
                <w:kern w:val="0"/>
              </w:rPr>
              <w:t>系统SDK文件，在手机APP软件中实现生僻字的输入、展示服务；</w:t>
            </w:r>
            <w:r>
              <w:rPr>
                <w:rFonts w:ascii="宋体" w:hAnsi="宋体" w:cs="宋体"/>
                <w:color w:val="000000"/>
                <w:kern w:val="0"/>
              </w:rPr>
              <w:br w:type="textWrapping"/>
            </w:r>
            <w:r>
              <w:rPr>
                <w:rFonts w:ascii="宋体" w:hAnsi="宋体" w:cs="宋体"/>
                <w:color w:val="000000"/>
                <w:kern w:val="0"/>
              </w:rPr>
              <w:t>5、提供在手机微信小程序中接入生僻字输入场景， 在实现生僻字的输入、展示服务。</w:t>
            </w:r>
            <w:r>
              <w:rPr>
                <w:rFonts w:ascii="宋体" w:hAnsi="宋体" w:cs="宋体"/>
                <w:color w:val="000000"/>
                <w:kern w:val="0"/>
              </w:rPr>
              <w:br w:type="textWrapping"/>
            </w:r>
            <w:r>
              <w:rPr>
                <w:rFonts w:ascii="宋体" w:hAnsi="宋体" w:cs="宋体"/>
                <w:color w:val="000000"/>
                <w:kern w:val="0"/>
              </w:rPr>
              <w:t>6、支持带有生僻字的文件打印；</w:t>
            </w:r>
            <w:r>
              <w:rPr>
                <w:rFonts w:ascii="宋体" w:hAnsi="宋体" w:cs="宋体"/>
                <w:color w:val="000000"/>
                <w:kern w:val="0"/>
              </w:rPr>
              <w:br w:type="textWrapping"/>
            </w:r>
            <w:r>
              <w:rPr>
                <w:rFonts w:ascii="宋体" w:hAnsi="宋体" w:cs="宋体"/>
                <w:color w:val="000000"/>
                <w:kern w:val="0"/>
              </w:rPr>
              <w:t>7、支持动态无感知扩容。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性能要求</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1.接口响应速度小于3秒</w:t>
            </w:r>
            <w:r>
              <w:rPr>
                <w:rFonts w:ascii="宋体" w:hAnsi="宋体" w:cs="宋体"/>
                <w:color w:val="000000"/>
                <w:kern w:val="0"/>
              </w:rPr>
              <w:br w:type="textWrapping"/>
            </w:r>
            <w:r>
              <w:rPr>
                <w:rFonts w:ascii="宋体" w:hAnsi="宋体" w:cs="宋体"/>
                <w:color w:val="000000"/>
                <w:kern w:val="0"/>
              </w:rPr>
              <w:t>2.能够支撑每秒2000及以上用户并发数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兼容一字两码字符显示，字库中保留一字两码（GBK兼容汉字和标准收录的人口信息专用PUA）同时保留字形。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提供的软件产品通过第三方安全检测。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szCs w:val="21"/>
              </w:rPr>
              <w:t>提供包括不限于该服务的安装使用材料、产品使用介质、版本升级介质、产品API、适配改造、</w:t>
            </w:r>
            <w:r>
              <w:rPr>
                <w:rFonts w:hint="eastAsia" w:ascii="宋体" w:hAnsi="宋体" w:cs="宋体"/>
                <w:color w:val="000000"/>
                <w:kern w:val="0"/>
                <w:szCs w:val="21"/>
              </w:rPr>
              <w:t>管理端</w:t>
            </w:r>
            <w:r>
              <w:rPr>
                <w:rFonts w:ascii="宋体" w:hAnsi="宋体" w:cs="宋体"/>
                <w:color w:val="000000"/>
                <w:kern w:val="0"/>
                <w:szCs w:val="21"/>
              </w:rPr>
              <w:t>安全问题修复、</w:t>
            </w:r>
            <w:r>
              <w:rPr>
                <w:rFonts w:hint="eastAsia" w:ascii="宋体" w:hAnsi="宋体" w:cs="宋体"/>
                <w:color w:val="000000"/>
                <w:kern w:val="0"/>
                <w:szCs w:val="21"/>
              </w:rPr>
              <w:t>管理端</w:t>
            </w:r>
            <w:r>
              <w:rPr>
                <w:rFonts w:ascii="宋体" w:hAnsi="宋体" w:cs="宋体"/>
                <w:color w:val="000000"/>
                <w:kern w:val="0"/>
                <w:szCs w:val="21"/>
              </w:rPr>
              <w:t>应急保障、产品文档、培训咨询、巡检服务、</w:t>
            </w:r>
            <w:r>
              <w:rPr>
                <w:rFonts w:hint="eastAsia" w:ascii="宋体" w:hAnsi="宋体" w:cs="宋体"/>
                <w:color w:val="000000"/>
                <w:kern w:val="0"/>
                <w:szCs w:val="21"/>
              </w:rPr>
              <w:t>管理端</w:t>
            </w:r>
            <w:r>
              <w:rPr>
                <w:rFonts w:ascii="宋体" w:hAnsi="宋体" w:cs="宋体"/>
                <w:color w:val="000000"/>
                <w:kern w:val="0"/>
                <w:szCs w:val="21"/>
              </w:rPr>
              <w:t>性能调优、重要活动和重大节假日</w:t>
            </w:r>
            <w:r>
              <w:rPr>
                <w:rFonts w:hint="eastAsia" w:ascii="宋体" w:hAnsi="宋体" w:cs="宋体"/>
                <w:color w:val="000000"/>
                <w:kern w:val="0"/>
                <w:szCs w:val="21"/>
              </w:rPr>
              <w:t>管理端</w:t>
            </w:r>
            <w:r>
              <w:rPr>
                <w:rFonts w:ascii="宋体" w:hAnsi="宋体" w:cs="宋体"/>
                <w:color w:val="000000"/>
                <w:kern w:val="0"/>
                <w:szCs w:val="21"/>
              </w:rPr>
              <w:t>保障等保障服务。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622" w:type="dxa"/>
            <w:tcBorders>
              <w:tl2br w:val="nil"/>
              <w:tr2bl w:val="nil"/>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685" w:type="dxa"/>
            <w:tcBorders>
              <w:tl2br w:val="nil"/>
              <w:tr2bl w:val="nil"/>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提供PaaS服务对应软件产品的使用详情，以及提供按应用系统接入个数的使用详情。</w:t>
            </w:r>
          </w:p>
          <w:p>
            <w:pPr>
              <w:textAlignment w:val="center"/>
              <w:rPr>
                <w:rFonts w:ascii="宋体" w:hAnsi="宋体" w:cs="宋体"/>
                <w:color w:val="000000"/>
                <w:kern w:val="0"/>
              </w:rPr>
            </w:pPr>
            <w:r>
              <w:rPr>
                <w:rFonts w:ascii="宋体" w:hAnsi="宋体" w:cs="宋体"/>
                <w:color w:val="000000"/>
                <w:kern w:val="0"/>
              </w:rPr>
              <w:t>2、服务结算按照使用单位应用系统接入的个数进行结算。</w:t>
            </w:r>
          </w:p>
        </w:tc>
      </w:tr>
    </w:tbl>
    <w:p>
      <w:pPr>
        <w:pStyle w:val="5"/>
        <w:numPr>
          <w:ilvl w:val="2"/>
          <w:numId w:val="5"/>
        </w:numPr>
        <w:spacing w:before="160" w:line="300" w:lineRule="exact"/>
        <w:ind w:left="420"/>
        <w:rPr>
          <w:rFonts w:ascii="宋体" w:hAnsi="宋体"/>
        </w:rPr>
      </w:pPr>
      <w:r>
        <w:rPr>
          <w:rFonts w:ascii="宋体" w:hAnsi="宋体"/>
        </w:rPr>
        <w:t>生僻字服务（PC客户端）</w:t>
      </w:r>
    </w:p>
    <w:tbl>
      <w:tblPr>
        <w:tblStyle w:val="10"/>
        <w:tblW w:w="8312" w:type="dxa"/>
        <w:tblInd w:w="0" w:type="dxa"/>
        <w:tblLayout w:type="fixed"/>
        <w:tblCellMar>
          <w:top w:w="0" w:type="dxa"/>
          <w:left w:w="0" w:type="dxa"/>
          <w:bottom w:w="0" w:type="dxa"/>
          <w:right w:w="0" w:type="dxa"/>
        </w:tblCellMar>
      </w:tblPr>
      <w:tblGrid>
        <w:gridCol w:w="1626"/>
        <w:gridCol w:w="6686"/>
      </w:tblGrid>
      <w:tr>
        <w:tblPrEx>
          <w:tblCellMar>
            <w:top w:w="0" w:type="dxa"/>
            <w:left w:w="0" w:type="dxa"/>
            <w:bottom w:w="0" w:type="dxa"/>
            <w:right w:w="0" w:type="dxa"/>
          </w:tblCellMar>
        </w:tblPrEx>
        <w:trPr>
          <w:trHeight w:val="26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服务描述</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提供特制的人口信息字库，与国家人口信息库字库保持编码、更新一致的生僻字字库，包含了公民信息中所有生僻字。</w:t>
            </w:r>
          </w:p>
        </w:tc>
      </w:tr>
      <w:tr>
        <w:tblPrEx>
          <w:tblCellMar>
            <w:top w:w="0" w:type="dxa"/>
            <w:left w:w="0" w:type="dxa"/>
            <w:bottom w:w="0" w:type="dxa"/>
            <w:right w:w="0" w:type="dxa"/>
          </w:tblCellMar>
        </w:tblPrEx>
        <w:trPr>
          <w:trHeight w:val="26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部署模式</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支持单机模式</w:t>
            </w:r>
          </w:p>
        </w:tc>
      </w:tr>
      <w:tr>
        <w:tblPrEx>
          <w:tblCellMar>
            <w:top w:w="0" w:type="dxa"/>
            <w:left w:w="0" w:type="dxa"/>
            <w:bottom w:w="0" w:type="dxa"/>
            <w:right w:w="0" w:type="dxa"/>
          </w:tblCellMar>
        </w:tblPrEx>
        <w:trPr>
          <w:trHeight w:val="130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功能要求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1、支持包含国家标准GB13000-2010和国家标准GB18030-2005中的收录的所有汉字、人口信息专用生僻字、通用规范汉字表所有字符及CJK统一增加汉字。</w:t>
            </w:r>
            <w:r>
              <w:rPr>
                <w:rFonts w:ascii="宋体" w:hAnsi="宋体" w:cs="宋体"/>
                <w:color w:val="000000"/>
                <w:kern w:val="0"/>
              </w:rPr>
              <w:br w:type="textWrapping"/>
            </w:r>
            <w:r>
              <w:rPr>
                <w:rFonts w:ascii="宋体" w:hAnsi="宋体" w:cs="宋体"/>
                <w:color w:val="000000"/>
                <w:kern w:val="0"/>
              </w:rPr>
              <w:t>2、字库采用Unicode统一编码方式，并且符合TrueType标准格式。</w:t>
            </w:r>
            <w:r>
              <w:rPr>
                <w:rFonts w:ascii="宋体" w:hAnsi="宋体" w:cs="宋体"/>
                <w:color w:val="000000"/>
                <w:kern w:val="0"/>
              </w:rPr>
              <w:br w:type="textWrapping"/>
            </w:r>
            <w:r>
              <w:rPr>
                <w:rFonts w:ascii="宋体" w:hAnsi="宋体" w:cs="宋体"/>
                <w:color w:val="000000"/>
                <w:kern w:val="0"/>
              </w:rPr>
              <w:t>3、在输入生僻字场景中，提供输入法功能，支持部首检字、笔顺检字、拼音检字</w:t>
            </w:r>
            <w:r>
              <w:rPr>
                <w:rFonts w:hint="eastAsia" w:ascii="宋体" w:hAnsi="宋体" w:cs="宋体"/>
                <w:color w:val="000000"/>
                <w:kern w:val="0"/>
                <w:lang w:eastAsia="zh-CN"/>
              </w:rPr>
              <w:t>、</w:t>
            </w:r>
            <w:r>
              <w:rPr>
                <w:rFonts w:hint="eastAsia" w:ascii="宋体" w:hAnsi="宋体" w:cs="宋体"/>
                <w:color w:val="000000"/>
                <w:kern w:val="0"/>
                <w:lang w:val="en-US" w:eastAsia="zh-CN"/>
              </w:rPr>
              <w:t>编码检字和手写检字</w:t>
            </w:r>
            <w:r>
              <w:rPr>
                <w:rFonts w:ascii="宋体" w:hAnsi="宋体" w:cs="宋体"/>
                <w:color w:val="000000"/>
                <w:kern w:val="0"/>
              </w:rPr>
              <w:t>。</w:t>
            </w:r>
            <w:r>
              <w:rPr>
                <w:rFonts w:ascii="宋体" w:hAnsi="宋体" w:cs="宋体"/>
                <w:color w:val="000000"/>
                <w:kern w:val="0"/>
              </w:rPr>
              <w:br w:type="textWrapping"/>
            </w:r>
            <w:r>
              <w:rPr>
                <w:rFonts w:ascii="宋体" w:hAnsi="宋体" w:cs="宋体"/>
                <w:color w:val="000000"/>
                <w:kern w:val="0"/>
              </w:rPr>
              <w:t>4、支持带有生僻字的文件打印功能；</w:t>
            </w:r>
          </w:p>
        </w:tc>
      </w:tr>
      <w:tr>
        <w:tblPrEx>
          <w:tblCellMar>
            <w:top w:w="0" w:type="dxa"/>
            <w:left w:w="0" w:type="dxa"/>
            <w:bottom w:w="0" w:type="dxa"/>
            <w:right w:w="0" w:type="dxa"/>
          </w:tblCellMar>
        </w:tblPrEx>
        <w:trPr>
          <w:trHeight w:val="26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兼容性要求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支持中标麒麟、统信UOS等多种主流国产操作系统，同时支持Windows等国外主流操作系统。</w:t>
            </w:r>
          </w:p>
        </w:tc>
      </w:tr>
      <w:tr>
        <w:tblPrEx>
          <w:tblCellMar>
            <w:top w:w="0" w:type="dxa"/>
            <w:left w:w="0" w:type="dxa"/>
            <w:bottom w:w="0" w:type="dxa"/>
            <w:right w:w="0" w:type="dxa"/>
          </w:tblCellMar>
        </w:tblPrEx>
        <w:trPr>
          <w:trHeight w:val="26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安全性要求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提供的软件产品通过PC客户端安全软件的检测。</w:t>
            </w:r>
          </w:p>
        </w:tc>
      </w:tr>
      <w:tr>
        <w:tblPrEx>
          <w:tblCellMar>
            <w:top w:w="0" w:type="dxa"/>
            <w:left w:w="0" w:type="dxa"/>
            <w:bottom w:w="0" w:type="dxa"/>
            <w:right w:w="0" w:type="dxa"/>
          </w:tblCellMar>
        </w:tblPrEx>
        <w:trPr>
          <w:trHeight w:val="52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服务要求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提供包括不限于该服务的安装介质、版本升级介质、</w:t>
            </w:r>
            <w:r>
              <w:rPr>
                <w:rFonts w:hint="eastAsia" w:ascii="宋体" w:hAnsi="宋体" w:cs="宋体"/>
                <w:color w:val="000000"/>
                <w:kern w:val="0"/>
              </w:rPr>
              <w:t>软件</w:t>
            </w:r>
            <w:r>
              <w:rPr>
                <w:rFonts w:ascii="宋体" w:hAnsi="宋体" w:cs="宋体"/>
                <w:color w:val="000000"/>
                <w:kern w:val="0"/>
              </w:rPr>
              <w:t>安全</w:t>
            </w:r>
            <w:r>
              <w:rPr>
                <w:rFonts w:hint="eastAsia" w:ascii="宋体" w:hAnsi="宋体" w:cs="宋体"/>
                <w:color w:val="000000"/>
                <w:kern w:val="0"/>
              </w:rPr>
              <w:t>风险补丁</w:t>
            </w:r>
            <w:r>
              <w:rPr>
                <w:rFonts w:ascii="宋体" w:hAnsi="宋体" w:cs="宋体"/>
                <w:color w:val="000000"/>
                <w:kern w:val="0"/>
              </w:rPr>
              <w:t>、产品文档、培训咨询、</w:t>
            </w:r>
            <w:r>
              <w:rPr>
                <w:rFonts w:hint="eastAsia" w:ascii="宋体" w:hAnsi="宋体" w:cs="宋体"/>
                <w:color w:val="000000"/>
                <w:kern w:val="0"/>
              </w:rPr>
              <w:t>管理端</w:t>
            </w:r>
            <w:r>
              <w:rPr>
                <w:rFonts w:ascii="宋体" w:hAnsi="宋体" w:cs="宋体"/>
                <w:color w:val="000000"/>
                <w:kern w:val="0"/>
              </w:rPr>
              <w:t>巡检服务、</w:t>
            </w:r>
            <w:r>
              <w:rPr>
                <w:rFonts w:hint="eastAsia" w:ascii="宋体" w:hAnsi="宋体" w:cs="宋体"/>
                <w:color w:val="000000"/>
                <w:kern w:val="0"/>
              </w:rPr>
              <w:t>管理端</w:t>
            </w:r>
            <w:r>
              <w:rPr>
                <w:rFonts w:ascii="宋体" w:hAnsi="宋体" w:cs="宋体"/>
                <w:color w:val="000000"/>
                <w:kern w:val="0"/>
              </w:rPr>
              <w:t>性能调优、重要活动和重大节假日</w:t>
            </w:r>
            <w:r>
              <w:rPr>
                <w:rFonts w:hint="eastAsia" w:ascii="宋体" w:hAnsi="宋体" w:cs="宋体"/>
                <w:color w:val="000000"/>
                <w:kern w:val="0"/>
              </w:rPr>
              <w:t>管理端</w:t>
            </w:r>
            <w:r>
              <w:rPr>
                <w:rFonts w:ascii="宋体" w:hAnsi="宋体" w:cs="宋体"/>
                <w:color w:val="000000"/>
                <w:kern w:val="0"/>
              </w:rPr>
              <w:t>保障等保障服务。</w:t>
            </w:r>
          </w:p>
        </w:tc>
      </w:tr>
      <w:tr>
        <w:tblPrEx>
          <w:tblCellMar>
            <w:top w:w="0" w:type="dxa"/>
            <w:left w:w="0" w:type="dxa"/>
            <w:bottom w:w="0" w:type="dxa"/>
            <w:right w:w="0" w:type="dxa"/>
          </w:tblCellMar>
        </w:tblPrEx>
        <w:trPr>
          <w:trHeight w:val="26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rPr>
            </w:pPr>
            <w:r>
              <w:rPr>
                <w:rFonts w:ascii="宋体" w:hAnsi="宋体" w:cs="宋体"/>
                <w:color w:val="000000"/>
                <w:kern w:val="0"/>
              </w:rPr>
              <w:t>管理要求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rPr>
            </w:pPr>
            <w:r>
              <w:rPr>
                <w:rFonts w:ascii="宋体" w:hAnsi="宋体" w:cs="宋体"/>
                <w:color w:val="000000"/>
                <w:kern w:val="0"/>
              </w:rPr>
              <w:t>提供服务产品使用情况、计量基础数据等内容。</w:t>
            </w:r>
          </w:p>
        </w:tc>
      </w:tr>
      <w:tr>
        <w:tblPrEx>
          <w:tblCellMar>
            <w:top w:w="0" w:type="dxa"/>
            <w:left w:w="0" w:type="dxa"/>
            <w:bottom w:w="0" w:type="dxa"/>
            <w:right w:w="0" w:type="dxa"/>
          </w:tblCellMar>
        </w:tblPrEx>
        <w:trPr>
          <w:trHeight w:val="260" w:hRule="atLeast"/>
        </w:trPr>
        <w:tc>
          <w:tcPr>
            <w:tcW w:w="16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color w:val="000000"/>
                <w:kern w:val="0"/>
              </w:rPr>
            </w:pPr>
            <w:r>
              <w:rPr>
                <w:rFonts w:ascii="宋体" w:hAnsi="宋体" w:cs="宋体"/>
                <w:color w:val="000000"/>
                <w:kern w:val="0"/>
              </w:rPr>
              <w:t>验收考核要求</w:t>
            </w:r>
          </w:p>
        </w:tc>
        <w:tc>
          <w:tcPr>
            <w:tcW w:w="66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color w:val="000000"/>
                <w:kern w:val="0"/>
              </w:rPr>
            </w:pPr>
            <w:r>
              <w:rPr>
                <w:rFonts w:ascii="宋体" w:hAnsi="宋体" w:cs="宋体"/>
              </w:rPr>
              <w:t>1、</w:t>
            </w:r>
            <w:r>
              <w:rPr>
                <w:rFonts w:ascii="宋体" w:hAnsi="宋体" w:cs="宋体"/>
                <w:color w:val="000000"/>
                <w:kern w:val="0"/>
              </w:rPr>
              <w:t>提供PaaS服务对应软件产品的使用详情，以及提供按照套数授权的使用详情。</w:t>
            </w:r>
          </w:p>
          <w:p>
            <w:pPr>
              <w:textAlignment w:val="center"/>
              <w:rPr>
                <w:rFonts w:ascii="宋体" w:hAnsi="宋体" w:cs="宋体"/>
                <w:color w:val="000000"/>
                <w:kern w:val="0"/>
              </w:rPr>
            </w:pPr>
            <w:r>
              <w:rPr>
                <w:rFonts w:ascii="宋体" w:hAnsi="宋体" w:cs="宋体"/>
                <w:color w:val="000000"/>
                <w:kern w:val="0"/>
              </w:rPr>
              <w:t>2、服务结算按照已开通授权的客户端套数进行结算</w:t>
            </w:r>
            <w:r>
              <w:rPr>
                <w:rFonts w:ascii="宋体" w:hAnsi="宋体" w:cs="宋体"/>
              </w:rPr>
              <w:t>。</w:t>
            </w:r>
          </w:p>
        </w:tc>
      </w:tr>
    </w:tbl>
    <w:p>
      <w:pPr>
        <w:pStyle w:val="2"/>
      </w:pPr>
    </w:p>
    <w:p>
      <w:pPr>
        <w:pStyle w:val="3"/>
        <w:numPr>
          <w:ilvl w:val="0"/>
          <w:numId w:val="4"/>
        </w:numPr>
        <w:spacing w:line="276" w:lineRule="auto"/>
        <w:rPr>
          <w:rFonts w:hint="default" w:ascii="宋体" w:hAnsi="宋体"/>
        </w:rPr>
      </w:pPr>
      <w:r>
        <w:rPr>
          <w:rFonts w:ascii="宋体" w:hAnsi="宋体"/>
        </w:rPr>
        <w:t>运维服务支撑要求</w:t>
      </w:r>
      <w:bookmarkEnd w:id="46"/>
      <w:bookmarkEnd w:id="47"/>
      <w:bookmarkEnd w:id="48"/>
    </w:p>
    <w:p>
      <w:pPr>
        <w:spacing w:line="276" w:lineRule="auto"/>
        <w:ind w:left="420" w:firstLine="420"/>
      </w:pPr>
      <w:r>
        <w:rPr>
          <w:rFonts w:hint="eastAsia"/>
        </w:rPr>
        <w:t>中</w:t>
      </w:r>
      <w:r>
        <w:t>标人向采购人提供采购需求文件中采购的所有内容的培训和维护服务的全部内容，提供上海市电子政务云资源租赁服务，并负责包含但不限于政务云平台的硬件安装、软件集成、运维管理工作。中标人按照服务质量保证的服务标准要求提供各种售后服务，负责对其提供的服务进行维护或升级。</w:t>
      </w:r>
    </w:p>
    <w:p>
      <w:pPr>
        <w:pStyle w:val="12"/>
        <w:keepNext/>
        <w:keepLines/>
        <w:widowControl/>
        <w:numPr>
          <w:ilvl w:val="0"/>
          <w:numId w:val="14"/>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63" w:name="_Toc34080596"/>
      <w:bookmarkEnd w:id="63"/>
      <w:bookmarkStart w:id="64" w:name="_Toc29407440"/>
    </w:p>
    <w:p>
      <w:pPr>
        <w:pStyle w:val="4"/>
        <w:numPr>
          <w:ilvl w:val="1"/>
          <w:numId w:val="5"/>
        </w:numPr>
        <w:tabs>
          <w:tab w:val="clear" w:pos="840"/>
        </w:tabs>
        <w:ind w:left="720" w:hanging="720" w:hangingChars="200"/>
        <w:textAlignment w:val="auto"/>
        <w:rPr>
          <w:rFonts w:ascii="宋体" w:hAnsi="宋体"/>
          <w:lang w:eastAsia="zh-CN"/>
        </w:rPr>
      </w:pPr>
      <w:bookmarkStart w:id="65" w:name="_Toc34080414"/>
      <w:bookmarkStart w:id="66" w:name="_Toc34080597"/>
      <w:r>
        <w:rPr>
          <w:rFonts w:hint="eastAsia" w:ascii="宋体" w:hAnsi="宋体"/>
          <w:lang w:eastAsia="zh-CN"/>
        </w:rPr>
        <w:t>运维团队要求</w:t>
      </w:r>
      <w:bookmarkEnd w:id="64"/>
      <w:bookmarkEnd w:id="65"/>
      <w:bookmarkEnd w:id="66"/>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ascii="宋体" w:hAnsi="宋体"/>
        </w:rPr>
        <w:t>中标人提供热线电话、电子邮件和在线网站等技术支持方式，提供 7*24 小时电话响应服务。中标人提供7*24小时的现场运维服务，重大节点强化保障，确保政务云平台整体可用性不低于99.99%。</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ascii="宋体" w:hAnsi="宋体"/>
        </w:rPr>
        <w:t>日常监控、巡检：对政务云平台进行日常监控、巡检，包括监控告警的处理，巡检异常的处理等；中标人需制定维护管理规定，并按照规定中的维护项目、周期和要求，制定详细的作业计划并执行。</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ascii="宋体" w:hAnsi="宋体"/>
        </w:rPr>
        <w:t>系统扩容：中标人应承诺，在日常运维过程中，当政务云平台资源使用率超出限定额度或平台资源数量、功能、性能等方面不满足最终用户使用要求时，中标人需对现有平台进行扩容。在采购人发起扩容需求后，中标人需在1个工作日内响应，在5个工作日内完成扩容任务，同时向采购人提交扩容后平台的资源情况报告。</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服务升级：中标人应当承诺，在日常运维过程中提供的平台软件层服务功能、性能等方面需要升级更新时，中标人应当在2工作日内作出响应，经</w:t>
      </w:r>
      <w:r>
        <w:rPr>
          <w:rFonts w:ascii="宋体" w:hAnsi="宋体"/>
        </w:rPr>
        <w:t>采购人</w:t>
      </w:r>
      <w:r>
        <w:rPr>
          <w:rFonts w:hint="eastAsia" w:ascii="宋体" w:hAnsi="宋体"/>
        </w:rPr>
        <w:t>确认升级方案后，按照计划完成升级任务。</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ascii="宋体" w:hAnsi="宋体"/>
        </w:rPr>
        <w:t>政务云平台故障处理：处理政务云平台发生的各类软硬件、通信线路等故障，确保上层业务系统能够正常稳定运行；其中故障处理流程需要电子化并规定处理时限及当前处理环节的责任部门和责任人。</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ascii="宋体" w:hAnsi="宋体"/>
        </w:rPr>
        <w:t>迁移及升级割接：开展业务系统迁移割接和政务云平台软硬件升级割接；中标人在升级前制定完善的操作实施方案，在方案中尽量降低对上层业务系统的影响；对于可能影响上层业务系统的各类操作，应全面评估操作影响，并提前通知采购人具体操作计划安排，在采购人的相关业务部门同意后方可执行操作。根据采购人要求提供业务开通报告及验收测试报告。</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ascii="宋体" w:hAnsi="宋体"/>
        </w:rPr>
        <w:t>系统中断：</w:t>
      </w:r>
      <w:r>
        <w:rPr>
          <w:rFonts w:hint="eastAsia" w:ascii="宋体" w:hAnsi="宋体"/>
        </w:rPr>
        <w:t>中</w:t>
      </w:r>
      <w:r>
        <w:rPr>
          <w:rFonts w:ascii="宋体" w:hAnsi="宋体"/>
        </w:rPr>
        <w:t>标人由于维护原因，需中断系统进行平台升级操作时，提前至少72小时（重大自然灾害除外）通知采购人做好相关准备工作，征得采购人同意方可实</w:t>
      </w:r>
      <w:r>
        <w:rPr>
          <w:rFonts w:hint="eastAsia" w:ascii="宋体" w:hAnsi="宋体"/>
        </w:rPr>
        <w:t>施。</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中标人提供的平台软件层服务应当包含相应的软件安装介质、软件更新介质、软件使用技术支持、软件安装手册、业务场景接入技术支持以及服务使用培训等服务。</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应急演练与应急响应：根据政务云平台高可用设计特性和各组件的重要性进行针对性演练，制订应急预案，每年组织至少2次应急演练。当发生重大应急事件时，中标人需在采购人的牵头下实施应急响应操作，并在事后制定重大事件报告。</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安全加固：对政务云平台各个基础组件进行安全策略配置、安全扫描和系统漏洞的加固；</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配置实施及管理：进行政务云平台各软硬件设备的基础配置、IP配置、角色用途、账号密码等的统一配置实施及配置管理；</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故障处理和响应：中标人需对合同服务出现的故障响应做出相关保证。中标人应建</w:t>
      </w:r>
      <w:r>
        <w:rPr>
          <w:rFonts w:ascii="宋体" w:hAnsi="宋体"/>
        </w:rPr>
        <w:t>立完善的政务云故障管理体系，管理体系涵盖故障处理的故障等级、职责分工和处理界面，每个处理流程留有电子化记录并在每个处理环节中落实到中标人的部门和相应的处理接口人。按照故障等级不同，需要有不同的处理时长和故障恢复时限。要求故障处理流程符合《市级电子政务云及政务外网故障上报机制（试行）》。</w:t>
      </w:r>
    </w:p>
    <w:p>
      <w:pPr>
        <w:widowControl/>
        <w:numPr>
          <w:ilvl w:val="0"/>
          <w:numId w:val="16"/>
        </w:numPr>
        <w:topLinePunct/>
        <w:adjustRightInd w:val="0"/>
        <w:snapToGrid w:val="0"/>
        <w:spacing w:before="100" w:after="100" w:line="300" w:lineRule="exact"/>
        <w:ind w:left="420" w:hangingChars="200"/>
        <w:jc w:val="left"/>
        <w:rPr>
          <w:rFonts w:ascii="宋体" w:hAnsi="宋体"/>
        </w:rPr>
      </w:pPr>
      <w:r>
        <w:rPr>
          <w:rFonts w:hint="eastAsia" w:ascii="宋体" w:hAnsi="宋体"/>
        </w:rPr>
        <w:t>节假日保障：重大节假日期间进行政务云平台运行和信息安全的重点保障；</w:t>
      </w:r>
    </w:p>
    <w:p>
      <w:pPr>
        <w:pStyle w:val="4"/>
        <w:numPr>
          <w:ilvl w:val="1"/>
          <w:numId w:val="5"/>
        </w:numPr>
        <w:tabs>
          <w:tab w:val="clear" w:pos="840"/>
        </w:tabs>
        <w:ind w:left="720" w:hanging="720" w:hangingChars="200"/>
        <w:textAlignment w:val="auto"/>
        <w:rPr>
          <w:rFonts w:ascii="宋体" w:hAnsi="宋体"/>
          <w:lang w:eastAsia="zh-CN"/>
        </w:rPr>
      </w:pPr>
      <w:bookmarkStart w:id="67" w:name="_Toc34080415"/>
      <w:bookmarkStart w:id="68" w:name="_Toc29407441"/>
      <w:bookmarkStart w:id="69" w:name="_Toc34080598"/>
      <w:r>
        <w:rPr>
          <w:rFonts w:hint="eastAsia" w:ascii="宋体" w:hAnsi="宋体"/>
          <w:lang w:eastAsia="zh-CN"/>
        </w:rPr>
        <w:t>驻场服务要求</w:t>
      </w:r>
      <w:bookmarkEnd w:id="67"/>
      <w:bookmarkEnd w:id="68"/>
      <w:bookmarkEnd w:id="69"/>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中标人应为上海市电子政务云单独建立管理组织，配置相应团队。</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 xml:space="preserve">运维团队不少于 </w:t>
      </w:r>
      <w:r>
        <w:rPr>
          <w:rFonts w:ascii="宋体" w:hAnsi="宋体"/>
        </w:rPr>
        <w:t>40</w:t>
      </w:r>
      <w:r>
        <w:rPr>
          <w:rFonts w:hint="eastAsia" w:ascii="宋体" w:hAnsi="宋体"/>
        </w:rPr>
        <w:t xml:space="preserve"> 人，其中云计算平台应保证核心服务人员不少于 10 人，客户响应及运营人员不少于1</w:t>
      </w:r>
      <w:r>
        <w:rPr>
          <w:rFonts w:ascii="宋体" w:hAnsi="宋体"/>
        </w:rPr>
        <w:t>0</w:t>
      </w:r>
      <w:r>
        <w:rPr>
          <w:rFonts w:hint="eastAsia" w:ascii="宋体" w:hAnsi="宋体"/>
        </w:rPr>
        <w:t>人，云业务管理平台、云虚拟化平台驻场服务人员不少于4人，平台软件层驻场服务人员不少于10人</w:t>
      </w:r>
      <w:r>
        <w:rPr>
          <w:rFonts w:hint="eastAsia" w:ascii="宋体" w:hAnsi="宋体"/>
          <w:lang w:eastAsia="zh-CN"/>
        </w:rPr>
        <w:t>，</w:t>
      </w:r>
      <w:r>
        <w:rPr>
          <w:rFonts w:hint="eastAsia" w:ascii="宋体" w:hAnsi="宋体"/>
        </w:rPr>
        <w:t>其他现场驻场人员不少于6人。（提供</w:t>
      </w:r>
      <w:r>
        <w:rPr>
          <w:rFonts w:hint="eastAsia" w:ascii="宋体" w:hAnsi="宋体"/>
          <w:szCs w:val="21"/>
          <w:lang w:eastAsia="zh-CN"/>
        </w:rPr>
        <w:t>开标前三个月中</w:t>
      </w:r>
      <w:r>
        <w:rPr>
          <w:rFonts w:hint="eastAsia" w:ascii="宋体" w:hAnsi="宋体"/>
          <w:color w:val="000000"/>
          <w:szCs w:val="21"/>
        </w:rPr>
        <w:t>任意一个月</w:t>
      </w:r>
      <w:r>
        <w:rPr>
          <w:rFonts w:hint="eastAsia" w:ascii="宋体" w:hAnsi="宋体"/>
        </w:rPr>
        <w:t>依法缴纳社保费的证明，原件彩色扫描件）。</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中标人应在项目服务期内配合各业务部门做好应用上云及迁移工作，确保平稳过渡、顺利迁移。</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配合需求单位对上云及迁移业务系统进行调查摸底</w:t>
      </w:r>
      <w:r>
        <w:rPr>
          <w:rFonts w:hint="eastAsia" w:ascii="宋体" w:hAnsi="宋体"/>
          <w:lang w:val="en-US" w:eastAsia="zh-CN"/>
        </w:rPr>
        <w:t>并</w:t>
      </w:r>
      <w:r>
        <w:rPr>
          <w:rFonts w:hint="eastAsia" w:ascii="宋体" w:hAnsi="宋体"/>
        </w:rPr>
        <w:t>制定上云及迁移方案，提供架构设计咨询，在系统上云迁移前期提供迁移咨询服务。提供服务方案，应配合各需求部门做好上云及整体迁移工作。</w:t>
      </w:r>
    </w:p>
    <w:p>
      <w:pPr>
        <w:widowControl/>
        <w:numPr>
          <w:ilvl w:val="0"/>
          <w:numId w:val="17"/>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中标人应制定政务云平台使用规范、政务云安全防护管理办法等规范标准，协助各级部门进行相关业务应用系统的部署、运行和安全保障。</w:t>
      </w:r>
    </w:p>
    <w:p>
      <w:pPr>
        <w:pStyle w:val="4"/>
        <w:numPr>
          <w:ilvl w:val="1"/>
          <w:numId w:val="5"/>
        </w:numPr>
        <w:tabs>
          <w:tab w:val="clear" w:pos="840"/>
        </w:tabs>
        <w:ind w:left="720" w:hanging="720" w:hangingChars="200"/>
        <w:textAlignment w:val="auto"/>
        <w:rPr>
          <w:rFonts w:ascii="宋体" w:hAnsi="宋体"/>
          <w:lang w:eastAsia="zh-CN"/>
        </w:rPr>
      </w:pPr>
      <w:bookmarkStart w:id="70" w:name="_Toc29407442"/>
      <w:bookmarkStart w:id="71" w:name="_Toc34080599"/>
      <w:bookmarkStart w:id="72" w:name="_Toc34080416"/>
      <w:r>
        <w:rPr>
          <w:rFonts w:hint="eastAsia" w:ascii="宋体" w:hAnsi="宋体"/>
          <w:lang w:eastAsia="zh-CN"/>
        </w:rPr>
        <w:t>能力中心建设要求</w:t>
      </w:r>
      <w:bookmarkEnd w:id="70"/>
      <w:bookmarkEnd w:id="71"/>
      <w:bookmarkEnd w:id="72"/>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需根据本项目的特点建立能力中心，包含但不限于政务云平台使用和管理能力培训、软件支撑层操作系统使用和管理能力培训、软件支撑层中间件使用和管理能力培训、软件支撑层数据库使用和管理能力培训，中标人负责安排专业培训讲师授课，并提供全套培训教材和培训课程计划表。</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hint="eastAsia" w:ascii="宋体" w:hAnsi="宋体"/>
        </w:rPr>
        <w:t>投标人需将所有培训费用（含培训教材费）及各项支出计入各服务项费用中，不单独报价。</w:t>
      </w:r>
    </w:p>
    <w:p>
      <w:pPr>
        <w:widowControl/>
        <w:numPr>
          <w:ilvl w:val="0"/>
          <w:numId w:val="18"/>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中标人需提供可供能力中心人员使用的办公场所，提供工位不低于50个。</w:t>
      </w:r>
    </w:p>
    <w:p>
      <w:pPr>
        <w:pStyle w:val="4"/>
        <w:numPr>
          <w:ilvl w:val="1"/>
          <w:numId w:val="5"/>
        </w:numPr>
        <w:tabs>
          <w:tab w:val="clear" w:pos="840"/>
        </w:tabs>
        <w:ind w:left="720" w:hanging="720" w:hangingChars="200"/>
        <w:textAlignment w:val="auto"/>
        <w:rPr>
          <w:rFonts w:ascii="宋体" w:hAnsi="宋体"/>
          <w:lang w:eastAsia="zh-CN"/>
        </w:rPr>
      </w:pPr>
      <w:bookmarkStart w:id="73" w:name="_Toc29407443"/>
      <w:bookmarkStart w:id="74" w:name="_Toc34080600"/>
      <w:bookmarkStart w:id="75" w:name="_Toc34080417"/>
      <w:r>
        <w:rPr>
          <w:rFonts w:hint="eastAsia" w:ascii="宋体" w:hAnsi="宋体"/>
          <w:lang w:eastAsia="zh-CN"/>
        </w:rPr>
        <w:t>运维制度要求</w:t>
      </w:r>
      <w:bookmarkEnd w:id="73"/>
      <w:bookmarkEnd w:id="74"/>
      <w:bookmarkEnd w:id="75"/>
    </w:p>
    <w:p>
      <w:pPr>
        <w:spacing w:line="276" w:lineRule="auto"/>
        <w:ind w:left="420"/>
      </w:pPr>
      <w:r>
        <w:t>中标人应建立完善的信息系统运维和安全管理制度，建立的制度包括但不限于：</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hint="eastAsia" w:ascii="宋体" w:hAnsi="宋体"/>
        </w:rPr>
        <w:t>信息系统日常运行维护管理。例如：故障处理、配置变更、安全策略优化、运行监控等。</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hint="eastAsia" w:ascii="宋体" w:hAnsi="宋体"/>
        </w:rPr>
        <w:t>信息系统常规安全保障和监控预警工作。例如：操作系统防病毒管理、渗透测试、漏洞扫描、安全巡检、应急响应等，安全运维保障制度符合等保2.0标准。</w:t>
      </w:r>
    </w:p>
    <w:p>
      <w:pPr>
        <w:widowControl/>
        <w:numPr>
          <w:ilvl w:val="0"/>
          <w:numId w:val="19"/>
        </w:numPr>
        <w:topLinePunct/>
        <w:adjustRightInd w:val="0"/>
        <w:snapToGrid w:val="0"/>
        <w:spacing w:before="100" w:after="100" w:line="300" w:lineRule="exact"/>
        <w:ind w:left="420" w:hangingChars="200"/>
        <w:jc w:val="left"/>
        <w:rPr>
          <w:rFonts w:ascii="宋体" w:hAnsi="宋体"/>
        </w:rPr>
      </w:pPr>
      <w:r>
        <w:rPr>
          <w:rFonts w:hint="eastAsia" w:ascii="宋体" w:hAnsi="宋体"/>
        </w:rPr>
        <w:t>运维人员管理制度。例如：运维团队人员服务管理、机房进出人员管理、工作环境管理办法等。</w:t>
      </w:r>
    </w:p>
    <w:p>
      <w:pPr>
        <w:pStyle w:val="3"/>
        <w:numPr>
          <w:ilvl w:val="0"/>
          <w:numId w:val="4"/>
        </w:numPr>
        <w:spacing w:line="276" w:lineRule="auto"/>
        <w:rPr>
          <w:rFonts w:hint="default" w:ascii="宋体" w:hAnsi="宋体"/>
        </w:rPr>
      </w:pPr>
      <w:bookmarkStart w:id="76" w:name="_Toc34080418"/>
      <w:bookmarkStart w:id="77" w:name="_Toc29407444"/>
      <w:bookmarkStart w:id="78" w:name="_Toc34080601"/>
      <w:r>
        <w:rPr>
          <w:rFonts w:ascii="宋体" w:hAnsi="宋体"/>
        </w:rPr>
        <w:t>机房技术要求</w:t>
      </w:r>
      <w:bookmarkEnd w:id="76"/>
      <w:bookmarkEnd w:id="77"/>
      <w:bookmarkEnd w:id="78"/>
    </w:p>
    <w:p>
      <w:pPr>
        <w:pStyle w:val="12"/>
        <w:keepNext/>
        <w:keepLines/>
        <w:widowControl/>
        <w:numPr>
          <w:ilvl w:val="0"/>
          <w:numId w:val="14"/>
        </w:numPr>
        <w:topLinePunct/>
        <w:adjustRightInd w:val="0"/>
        <w:snapToGrid w:val="0"/>
        <w:spacing w:line="360" w:lineRule="auto"/>
        <w:ind w:firstLineChars="0"/>
        <w:jc w:val="left"/>
        <w:outlineLvl w:val="1"/>
        <w:rPr>
          <w:rFonts w:ascii="Book Antiqua" w:hAnsi="Book Antiqua" w:eastAsia="宋体"/>
          <w:bCs/>
          <w:vanish/>
          <w:kern w:val="0"/>
          <w:sz w:val="36"/>
          <w:szCs w:val="36"/>
        </w:rPr>
      </w:pPr>
      <w:bookmarkStart w:id="79" w:name="_Toc34080602"/>
      <w:bookmarkEnd w:id="79"/>
      <w:bookmarkStart w:id="80" w:name="_Toc29407445"/>
    </w:p>
    <w:p>
      <w:pPr>
        <w:pStyle w:val="4"/>
        <w:numPr>
          <w:ilvl w:val="1"/>
          <w:numId w:val="5"/>
        </w:numPr>
        <w:tabs>
          <w:tab w:val="clear" w:pos="840"/>
        </w:tabs>
        <w:ind w:left="720" w:hanging="720" w:hangingChars="200"/>
        <w:textAlignment w:val="auto"/>
        <w:rPr>
          <w:rFonts w:ascii="宋体" w:hAnsi="宋体"/>
          <w:lang w:eastAsia="zh-CN"/>
        </w:rPr>
      </w:pPr>
      <w:bookmarkStart w:id="81" w:name="_Toc34080603"/>
      <w:bookmarkStart w:id="82" w:name="_Toc34080419"/>
      <w:r>
        <w:rPr>
          <w:rFonts w:hint="eastAsia" w:ascii="宋体" w:hAnsi="宋体"/>
          <w:lang w:eastAsia="zh-CN"/>
        </w:rPr>
        <w:t>机房环境要求</w:t>
      </w:r>
      <w:bookmarkEnd w:id="80"/>
      <w:bookmarkEnd w:id="81"/>
      <w:bookmarkEnd w:id="82"/>
    </w:p>
    <w:p>
      <w:pPr>
        <w:spacing w:line="276" w:lineRule="auto"/>
        <w:ind w:left="420"/>
      </w:pPr>
      <w:r>
        <w:t>运行环境达到《电子信息系统机房设计规范》GB50174-2008规定的A类机房标准要求:</w:t>
      </w:r>
    </w:p>
    <w:tbl>
      <w:tblPr>
        <w:tblStyle w:val="10"/>
        <w:tblW w:w="4746" w:type="pct"/>
        <w:jc w:val="center"/>
        <w:tblLayout w:type="autofit"/>
        <w:tblCellMar>
          <w:top w:w="0" w:type="dxa"/>
          <w:left w:w="108" w:type="dxa"/>
          <w:bottom w:w="0" w:type="dxa"/>
          <w:right w:w="108" w:type="dxa"/>
        </w:tblCellMar>
      </w:tblPr>
      <w:tblGrid>
        <w:gridCol w:w="980"/>
        <w:gridCol w:w="7109"/>
      </w:tblGrid>
      <w:tr>
        <w:tblPrEx>
          <w:tblCellMar>
            <w:top w:w="0" w:type="dxa"/>
            <w:left w:w="108" w:type="dxa"/>
            <w:bottom w:w="0" w:type="dxa"/>
            <w:right w:w="108" w:type="dxa"/>
          </w:tblCellMar>
        </w:tblPrEx>
        <w:trPr>
          <w:trHeight w:val="270" w:hRule="atLeast"/>
          <w:jc w:val="center"/>
        </w:trPr>
        <w:tc>
          <w:tcPr>
            <w:tcW w:w="606" w:type="pct"/>
            <w:tcBorders>
              <w:top w:val="single" w:color="auto" w:sz="4" w:space="0"/>
              <w:left w:val="single" w:color="auto" w:sz="4" w:space="0"/>
              <w:bottom w:val="single" w:color="auto" w:sz="4" w:space="0"/>
              <w:right w:val="single" w:color="auto" w:sz="4" w:space="0"/>
            </w:tcBorders>
            <w:shd w:val="clear" w:color="000000" w:fill="D9D9D9"/>
            <w:vAlign w:val="center"/>
          </w:tcPr>
          <w:p>
            <w:pPr>
              <w:rPr>
                <w:rFonts w:ascii="宋体" w:hAnsi="宋体" w:cs="宋体"/>
                <w:b/>
                <w:bCs/>
                <w:color w:val="000000"/>
                <w:kern w:val="0"/>
              </w:rPr>
            </w:pPr>
            <w:r>
              <w:rPr>
                <w:rFonts w:ascii="宋体" w:hAnsi="宋体" w:cs="宋体"/>
                <w:b/>
                <w:bCs/>
                <w:color w:val="000000"/>
                <w:kern w:val="0"/>
              </w:rPr>
              <w:t>项目</w:t>
            </w:r>
          </w:p>
        </w:tc>
        <w:tc>
          <w:tcPr>
            <w:tcW w:w="4394" w:type="pct"/>
            <w:tcBorders>
              <w:top w:val="single" w:color="auto" w:sz="4" w:space="0"/>
              <w:left w:val="nil"/>
              <w:bottom w:val="single" w:color="auto" w:sz="4" w:space="0"/>
              <w:right w:val="single" w:color="auto" w:sz="4" w:space="0"/>
            </w:tcBorders>
            <w:shd w:val="clear" w:color="000000" w:fill="D9D9D9"/>
            <w:vAlign w:val="center"/>
          </w:tcPr>
          <w:p>
            <w:pPr>
              <w:rPr>
                <w:rFonts w:ascii="宋体" w:hAnsi="宋体" w:cs="宋体"/>
                <w:b/>
                <w:bCs/>
                <w:color w:val="000000"/>
                <w:kern w:val="0"/>
              </w:rPr>
            </w:pPr>
            <w:r>
              <w:rPr>
                <w:rFonts w:ascii="宋体" w:hAnsi="宋体" w:cs="宋体"/>
                <w:b/>
                <w:bCs/>
                <w:color w:val="000000"/>
                <w:kern w:val="0"/>
              </w:rPr>
              <w:t>设计指标</w:t>
            </w:r>
          </w:p>
        </w:tc>
      </w:tr>
      <w:tr>
        <w:tblPrEx>
          <w:tblCellMar>
            <w:top w:w="0" w:type="dxa"/>
            <w:left w:w="108" w:type="dxa"/>
            <w:bottom w:w="0" w:type="dxa"/>
            <w:right w:w="108" w:type="dxa"/>
          </w:tblCellMar>
        </w:tblPrEx>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环境要求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温度：开机时</w:t>
            </w:r>
            <w:r>
              <w:rPr>
                <w:rFonts w:cs="Times New Roman"/>
                <w:color w:val="000000"/>
                <w:kern w:val="0"/>
              </w:rPr>
              <w:t>23</w:t>
            </w:r>
            <w:r>
              <w:rPr>
                <w:rFonts w:ascii="Symbol" w:hAnsi="Symbol" w:cs="宋体"/>
                <w:color w:val="000000"/>
                <w:kern w:val="0"/>
              </w:rPr>
              <w:t></w:t>
            </w:r>
            <w:r>
              <w:rPr>
                <w:rFonts w:cs="Times New Roman"/>
                <w:color w:val="000000"/>
                <w:kern w:val="0"/>
              </w:rPr>
              <w:t xml:space="preserve">C </w:t>
            </w:r>
            <w:r>
              <w:rPr>
                <w:rFonts w:ascii="Symbol" w:hAnsi="Symbol" w:cs="宋体"/>
                <w:color w:val="000000"/>
                <w:kern w:val="0"/>
              </w:rPr>
              <w:t></w:t>
            </w:r>
            <w:r>
              <w:rPr>
                <w:rFonts w:cs="Times New Roman"/>
                <w:color w:val="000000"/>
                <w:kern w:val="0"/>
              </w:rPr>
              <w:t>1</w:t>
            </w:r>
            <w:r>
              <w:rPr>
                <w:rFonts w:ascii="Symbol" w:hAnsi="Symbol" w:cs="宋体"/>
                <w:color w:val="000000"/>
                <w:kern w:val="0"/>
              </w:rPr>
              <w:t></w:t>
            </w:r>
            <w:r>
              <w:rPr>
                <w:rFonts w:cs="Times New Roman"/>
                <w:color w:val="000000"/>
                <w:kern w:val="0"/>
              </w:rPr>
              <w:t>C</w:t>
            </w:r>
            <w:r>
              <w:rPr>
                <w:rFonts w:ascii="宋体" w:hAnsi="宋体" w:cs="宋体"/>
                <w:color w:val="000000"/>
                <w:kern w:val="0"/>
              </w:rPr>
              <w:t>，停机时</w:t>
            </w:r>
            <w:r>
              <w:rPr>
                <w:rFonts w:cs="Times New Roman"/>
                <w:color w:val="000000"/>
                <w:kern w:val="0"/>
              </w:rPr>
              <w:t>5</w:t>
            </w:r>
            <w:r>
              <w:rPr>
                <w:rFonts w:ascii="Symbol" w:hAnsi="Symbol" w:cs="宋体"/>
                <w:color w:val="000000"/>
                <w:kern w:val="0"/>
              </w:rPr>
              <w:t></w:t>
            </w:r>
            <w:r>
              <w:rPr>
                <w:rFonts w:cs="Times New Roman"/>
                <w:color w:val="000000"/>
                <w:kern w:val="0"/>
              </w:rPr>
              <w:t xml:space="preserve">C </w:t>
            </w:r>
            <w:r>
              <w:rPr>
                <w:rFonts w:ascii="宋体" w:hAnsi="宋体" w:cs="宋体"/>
                <w:color w:val="000000"/>
                <w:kern w:val="0"/>
              </w:rPr>
              <w:t>～</w:t>
            </w:r>
            <w:r>
              <w:rPr>
                <w:rFonts w:cs="Times New Roman"/>
                <w:color w:val="000000"/>
                <w:kern w:val="0"/>
              </w:rPr>
              <w:t>35</w:t>
            </w:r>
            <w:r>
              <w:rPr>
                <w:rFonts w:ascii="Symbol" w:hAnsi="Symbol" w:cs="宋体"/>
                <w:color w:val="000000"/>
                <w:kern w:val="0"/>
              </w:rPr>
              <w:t></w:t>
            </w:r>
            <w:r>
              <w:rPr>
                <w:rFonts w:cs="Times New Roman"/>
                <w:color w:val="000000"/>
                <w:kern w:val="0"/>
              </w:rPr>
              <w:t>C</w:t>
            </w:r>
            <w:r>
              <w:rPr>
                <w:rFonts w:ascii="宋体" w:hAnsi="宋体" w:cs="宋体"/>
                <w:color w:val="000000"/>
                <w:kern w:val="0"/>
              </w:rPr>
              <w:t>；相对湿度：开机时</w:t>
            </w:r>
            <w:r>
              <w:rPr>
                <w:rFonts w:cs="Times New Roman"/>
                <w:color w:val="000000"/>
                <w:kern w:val="0"/>
              </w:rPr>
              <w:t xml:space="preserve">40% </w:t>
            </w:r>
            <w:r>
              <w:rPr>
                <w:rFonts w:ascii="宋体" w:hAnsi="宋体" w:cs="宋体"/>
                <w:color w:val="000000"/>
                <w:kern w:val="0"/>
              </w:rPr>
              <w:t>～</w:t>
            </w:r>
            <w:r>
              <w:rPr>
                <w:rFonts w:cs="Times New Roman"/>
                <w:color w:val="000000"/>
                <w:kern w:val="0"/>
              </w:rPr>
              <w:t>55%</w:t>
            </w:r>
            <w:r>
              <w:rPr>
                <w:rFonts w:ascii="宋体" w:hAnsi="宋体" w:cs="宋体"/>
                <w:color w:val="000000"/>
                <w:kern w:val="0"/>
              </w:rPr>
              <w:t>，停机时</w:t>
            </w:r>
            <w:r>
              <w:rPr>
                <w:rFonts w:cs="Times New Roman"/>
                <w:color w:val="000000"/>
                <w:kern w:val="0"/>
              </w:rPr>
              <w:t xml:space="preserve">40% </w:t>
            </w:r>
            <w:r>
              <w:rPr>
                <w:rFonts w:ascii="宋体" w:hAnsi="宋体" w:cs="宋体"/>
                <w:color w:val="000000"/>
                <w:kern w:val="0"/>
              </w:rPr>
              <w:t>～</w:t>
            </w:r>
            <w:r>
              <w:rPr>
                <w:rFonts w:cs="Times New Roman"/>
                <w:color w:val="000000"/>
                <w:kern w:val="0"/>
              </w:rPr>
              <w:t>70%</w:t>
            </w:r>
            <w:r>
              <w:rPr>
                <w:rFonts w:ascii="宋体" w:hAnsi="宋体" w:cs="宋体"/>
                <w:color w:val="000000"/>
                <w:kern w:val="0"/>
              </w:rPr>
              <w:t>；温度变化率＜</w:t>
            </w:r>
            <w:r>
              <w:rPr>
                <w:rFonts w:cs="Times New Roman"/>
                <w:color w:val="000000"/>
                <w:kern w:val="0"/>
              </w:rPr>
              <w:t xml:space="preserve"> 5</w:t>
            </w:r>
            <w:r>
              <w:rPr>
                <w:rFonts w:ascii="Symbol" w:hAnsi="Symbol" w:cs="宋体"/>
                <w:color w:val="000000"/>
                <w:kern w:val="0"/>
              </w:rPr>
              <w:t></w:t>
            </w:r>
            <w:r>
              <w:rPr>
                <w:rFonts w:cs="Times New Roman"/>
                <w:color w:val="000000"/>
                <w:kern w:val="0"/>
              </w:rPr>
              <w:t>C/h</w:t>
            </w:r>
            <w:r>
              <w:rPr>
                <w:rFonts w:ascii="宋体" w:hAnsi="宋体" w:cs="宋体"/>
                <w:color w:val="000000"/>
                <w:kern w:val="0"/>
              </w:rPr>
              <w:t>，不得结露。</w:t>
            </w:r>
          </w:p>
        </w:tc>
      </w:tr>
      <w:tr>
        <w:tblPrEx>
          <w:tblCellMar>
            <w:top w:w="0" w:type="dxa"/>
            <w:left w:w="108" w:type="dxa"/>
            <w:bottom w:w="0" w:type="dxa"/>
            <w:right w:w="108" w:type="dxa"/>
          </w:tblCellMar>
        </w:tblPrEx>
        <w:trPr>
          <w:trHeight w:val="585"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结构</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抗震：乙级以上，抗震烈度</w:t>
            </w:r>
            <w:r>
              <w:rPr>
                <w:rFonts w:cs="Times New Roman"/>
                <w:color w:val="000000"/>
                <w:kern w:val="0"/>
              </w:rPr>
              <w:t>8</w:t>
            </w:r>
            <w:r>
              <w:rPr>
                <w:rFonts w:ascii="宋体" w:hAnsi="宋体" w:cs="宋体"/>
                <w:color w:val="000000"/>
                <w:kern w:val="0"/>
              </w:rPr>
              <w:t>度及以上，机房活荷载标准值≥</w:t>
            </w:r>
            <w:r>
              <w:rPr>
                <w:rFonts w:cs="Times New Roman"/>
                <w:color w:val="000000"/>
                <w:kern w:val="0"/>
              </w:rPr>
              <w:t>8kN/m</w:t>
            </w:r>
            <w:r>
              <w:rPr>
                <w:rFonts w:cs="Times New Roman"/>
                <w:color w:val="000000"/>
                <w:kern w:val="0"/>
                <w:vertAlign w:val="superscript"/>
              </w:rPr>
              <w:t>2</w:t>
            </w:r>
            <w:r>
              <w:rPr>
                <w:rFonts w:ascii="宋体" w:hAnsi="宋体" w:cs="宋体"/>
                <w:color w:val="000000"/>
                <w:kern w:val="0"/>
              </w:rPr>
              <w:t>，电池室≥</w:t>
            </w:r>
            <w:r>
              <w:rPr>
                <w:rFonts w:cs="Times New Roman"/>
                <w:color w:val="000000"/>
                <w:kern w:val="0"/>
              </w:rPr>
              <w:t>16kN/m</w:t>
            </w:r>
            <w:r>
              <w:rPr>
                <w:rFonts w:cs="Times New Roman"/>
                <w:color w:val="000000"/>
                <w:kern w:val="0"/>
                <w:vertAlign w:val="superscript"/>
              </w:rPr>
              <w:t>2</w:t>
            </w:r>
            <w:r>
              <w:rPr>
                <w:rFonts w:ascii="宋体" w:hAnsi="宋体" w:cs="宋体"/>
                <w:color w:val="000000"/>
                <w:kern w:val="0"/>
              </w:rPr>
              <w:t>，机房外墙不宜设采光窗，耐火等级：一级。</w:t>
            </w:r>
          </w:p>
        </w:tc>
      </w:tr>
      <w:tr>
        <w:tblPrEx>
          <w:tblCellMar>
            <w:top w:w="0" w:type="dxa"/>
            <w:left w:w="108" w:type="dxa"/>
            <w:bottom w:w="0" w:type="dxa"/>
            <w:right w:w="108" w:type="dxa"/>
          </w:tblCellMar>
        </w:tblPrEx>
        <w:trPr>
          <w:trHeight w:val="585" w:hRule="atLeast"/>
          <w:jc w:val="center"/>
        </w:trPr>
        <w:tc>
          <w:tcPr>
            <w:tcW w:w="606"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空气调节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机房专用空调</w:t>
            </w:r>
            <w:r>
              <w:rPr>
                <w:rFonts w:cs="Times New Roman"/>
                <w:color w:val="000000"/>
                <w:kern w:val="0"/>
              </w:rPr>
              <w:t>N+1</w:t>
            </w:r>
            <w:r>
              <w:rPr>
                <w:rFonts w:ascii="宋体" w:hAnsi="宋体" w:cs="宋体"/>
                <w:color w:val="000000"/>
                <w:kern w:val="0"/>
              </w:rPr>
              <w:t>冗余，制冷量按</w:t>
            </w:r>
            <w:r>
              <w:rPr>
                <w:rFonts w:cs="Times New Roman"/>
                <w:color w:val="000000"/>
                <w:kern w:val="0"/>
              </w:rPr>
              <w:t>300W/m</w:t>
            </w:r>
            <w:r>
              <w:rPr>
                <w:rFonts w:cs="Times New Roman"/>
                <w:color w:val="000000"/>
                <w:kern w:val="0"/>
                <w:vertAlign w:val="superscript"/>
              </w:rPr>
              <w:t>2</w:t>
            </w:r>
            <w:r>
              <w:rPr>
                <w:rFonts w:ascii="宋体" w:hAnsi="宋体" w:cs="宋体"/>
                <w:color w:val="000000"/>
                <w:kern w:val="0"/>
              </w:rPr>
              <w:t>估算，总冷量负偏差不大于</w:t>
            </w:r>
            <w:r>
              <w:rPr>
                <w:rFonts w:cs="Times New Roman"/>
                <w:color w:val="000000"/>
                <w:kern w:val="0"/>
              </w:rPr>
              <w:t>5%</w:t>
            </w:r>
            <w:r>
              <w:rPr>
                <w:rFonts w:ascii="宋体" w:hAnsi="宋体" w:cs="宋体"/>
                <w:color w:val="000000"/>
                <w:kern w:val="0"/>
              </w:rPr>
              <w:t>；空调系统供电应采取双路市电自动切换线路供电，每台空调应采用独立回路供电；</w:t>
            </w:r>
          </w:p>
        </w:tc>
      </w:tr>
      <w:tr>
        <w:tblPrEx>
          <w:tblCellMar>
            <w:top w:w="0" w:type="dxa"/>
            <w:left w:w="108" w:type="dxa"/>
            <w:bottom w:w="0" w:type="dxa"/>
            <w:right w:w="108" w:type="dxa"/>
          </w:tblCellMar>
        </w:tblPrEx>
        <w:trPr>
          <w:trHeight w:val="525"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机房和辅助区应设置空气调节系统，机房应保持正压，主机房与其它房间、走廊间的压差不应小于</w:t>
            </w:r>
            <w:r>
              <w:rPr>
                <w:rFonts w:cs="Times New Roman"/>
                <w:color w:val="000000"/>
                <w:kern w:val="0"/>
              </w:rPr>
              <w:t>4.9Pa</w:t>
            </w:r>
            <w:r>
              <w:rPr>
                <w:rFonts w:ascii="宋体" w:hAnsi="宋体" w:cs="宋体"/>
                <w:color w:val="000000"/>
                <w:kern w:val="0"/>
              </w:rPr>
              <w:t>，与室外静压差不应小于</w:t>
            </w:r>
            <w:r>
              <w:rPr>
                <w:rFonts w:cs="Times New Roman"/>
                <w:color w:val="000000"/>
                <w:kern w:val="0"/>
              </w:rPr>
              <w:t>9.8Pa</w:t>
            </w:r>
            <w:r>
              <w:rPr>
                <w:rFonts w:ascii="宋体" w:hAnsi="宋体" w:cs="宋体"/>
                <w:color w:val="000000"/>
                <w:kern w:val="0"/>
              </w:rPr>
              <w:t>；</w:t>
            </w:r>
          </w:p>
        </w:tc>
      </w:tr>
      <w:tr>
        <w:tblPrEx>
          <w:tblCellMar>
            <w:top w:w="0" w:type="dxa"/>
            <w:left w:w="108" w:type="dxa"/>
            <w:bottom w:w="0" w:type="dxa"/>
            <w:right w:w="108" w:type="dxa"/>
          </w:tblCellMar>
        </w:tblPrEx>
        <w:trPr>
          <w:trHeight w:val="540"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主机房内的空气含尘浓度，在表态条件下测试，每升空气中大于或等于</w:t>
            </w:r>
            <w:r>
              <w:rPr>
                <w:rFonts w:cs="Times New Roman"/>
                <w:color w:val="000000"/>
                <w:kern w:val="0"/>
              </w:rPr>
              <w:t>0.5</w:t>
            </w:r>
            <w:r>
              <w:rPr>
                <w:rFonts w:ascii="宋体" w:hAnsi="宋体" w:cs="宋体"/>
                <w:color w:val="000000"/>
                <w:kern w:val="0"/>
              </w:rPr>
              <w:t>μ</w:t>
            </w:r>
            <w:r>
              <w:rPr>
                <w:rFonts w:cs="Times New Roman"/>
                <w:color w:val="000000"/>
                <w:kern w:val="0"/>
              </w:rPr>
              <w:t>m</w:t>
            </w:r>
            <w:r>
              <w:rPr>
                <w:rFonts w:ascii="宋体" w:hAnsi="宋体" w:cs="宋体"/>
                <w:color w:val="000000"/>
                <w:kern w:val="0"/>
              </w:rPr>
              <w:t>的尘粒数，应少于</w:t>
            </w:r>
            <w:r>
              <w:rPr>
                <w:rFonts w:cs="Times New Roman"/>
                <w:color w:val="000000"/>
                <w:kern w:val="0"/>
              </w:rPr>
              <w:t>18,000</w:t>
            </w:r>
            <w:r>
              <w:rPr>
                <w:rFonts w:ascii="宋体" w:hAnsi="宋体" w:cs="宋体"/>
                <w:color w:val="000000"/>
                <w:kern w:val="0"/>
              </w:rPr>
              <w:t>颗。</w:t>
            </w:r>
          </w:p>
        </w:tc>
      </w:tr>
      <w:tr>
        <w:tblPrEx>
          <w:tblCellMar>
            <w:top w:w="0" w:type="dxa"/>
            <w:left w:w="108" w:type="dxa"/>
            <w:bottom w:w="0" w:type="dxa"/>
            <w:right w:w="108" w:type="dxa"/>
          </w:tblCellMar>
        </w:tblPrEx>
        <w:trPr>
          <w:trHeight w:val="8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供电电源</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主机房由</w:t>
            </w:r>
            <w:r>
              <w:rPr>
                <w:rFonts w:cs="Times New Roman"/>
                <w:color w:val="000000"/>
                <w:kern w:val="0"/>
              </w:rPr>
              <w:t>2</w:t>
            </w:r>
            <w:r>
              <w:rPr>
                <w:rFonts w:ascii="宋体" w:hAnsi="宋体" w:cs="宋体"/>
                <w:color w:val="000000"/>
                <w:kern w:val="0"/>
              </w:rPr>
              <w:t>个供电局向、</w:t>
            </w:r>
            <w:r>
              <w:rPr>
                <w:rFonts w:cs="Times New Roman"/>
                <w:color w:val="000000"/>
                <w:kern w:val="0"/>
              </w:rPr>
              <w:t>2</w:t>
            </w:r>
            <w:r>
              <w:rPr>
                <w:rFonts w:ascii="宋体" w:hAnsi="宋体" w:cs="宋体"/>
                <w:color w:val="000000"/>
                <w:kern w:val="0"/>
              </w:rPr>
              <w:t>个不同路由同时供电，保证电源不同时受到损坏，配备电源自动切换系统，切换时间小于</w:t>
            </w:r>
            <w:r>
              <w:rPr>
                <w:rFonts w:cs="Times New Roman"/>
                <w:color w:val="000000"/>
                <w:kern w:val="0"/>
              </w:rPr>
              <w:t>4</w:t>
            </w:r>
            <w:r>
              <w:rPr>
                <w:rFonts w:ascii="宋体" w:hAnsi="宋体" w:cs="宋体"/>
                <w:color w:val="000000"/>
                <w:kern w:val="0"/>
              </w:rPr>
              <w:t>毫秒，供电系统可用性（由市电至机柜计算）≥</w:t>
            </w:r>
            <w:r>
              <w:rPr>
                <w:rFonts w:cs="Times New Roman"/>
                <w:color w:val="000000"/>
                <w:kern w:val="0"/>
              </w:rPr>
              <w:t xml:space="preserve">99.99% </w:t>
            </w:r>
            <w:r>
              <w:rPr>
                <w:rFonts w:ascii="宋体" w:hAnsi="宋体" w:cs="宋体"/>
                <w:color w:val="000000"/>
                <w:kern w:val="0"/>
              </w:rPr>
              <w:t>，单相负荷应均匀地分配在三相线路上，并应使三相负荷不平衡度小于</w:t>
            </w:r>
            <w:r>
              <w:rPr>
                <w:rFonts w:cs="Times New Roman"/>
                <w:color w:val="000000"/>
                <w:kern w:val="0"/>
              </w:rPr>
              <w:t>20%</w:t>
            </w:r>
            <w:r>
              <w:rPr>
                <w:rFonts w:ascii="宋体" w:hAnsi="宋体" w:cs="宋体"/>
                <w:color w:val="000000"/>
                <w:kern w:val="0"/>
              </w:rPr>
              <w:t>。</w:t>
            </w:r>
          </w:p>
        </w:tc>
      </w:tr>
      <w:tr>
        <w:tblPrEx>
          <w:tblCellMar>
            <w:top w:w="0" w:type="dxa"/>
            <w:left w:w="108" w:type="dxa"/>
            <w:bottom w:w="0" w:type="dxa"/>
            <w:right w:w="108" w:type="dxa"/>
          </w:tblCellMar>
        </w:tblPrEx>
        <w:trPr>
          <w:trHeight w:val="540" w:hRule="atLeast"/>
          <w:jc w:val="center"/>
        </w:trPr>
        <w:tc>
          <w:tcPr>
            <w:tcW w:w="606" w:type="pct"/>
            <w:vMerge w:val="restar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后备用电</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配备不间断电源系统，</w:t>
            </w:r>
            <w:r>
              <w:rPr>
                <w:rFonts w:cs="Times New Roman"/>
                <w:color w:val="000000"/>
                <w:kern w:val="0"/>
              </w:rPr>
              <w:t>N+1</w:t>
            </w:r>
            <w:r>
              <w:rPr>
                <w:rFonts w:ascii="宋体" w:hAnsi="宋体" w:cs="宋体"/>
                <w:color w:val="000000"/>
                <w:kern w:val="0"/>
              </w:rPr>
              <w:t>的冗余备份</w:t>
            </w:r>
            <w:r>
              <w:rPr>
                <w:rFonts w:cs="Times New Roman"/>
                <w:color w:val="000000"/>
                <w:kern w:val="0"/>
              </w:rPr>
              <w:t>UPS</w:t>
            </w:r>
            <w:r>
              <w:rPr>
                <w:rFonts w:ascii="宋体" w:hAnsi="宋体" w:cs="宋体"/>
                <w:color w:val="000000"/>
                <w:kern w:val="0"/>
              </w:rPr>
              <w:t>系统数量大于一套，所有设备机架供电应由两套不同</w:t>
            </w:r>
            <w:r>
              <w:rPr>
                <w:rFonts w:cs="Times New Roman"/>
                <w:color w:val="000000"/>
                <w:kern w:val="0"/>
              </w:rPr>
              <w:t>UPS</w:t>
            </w:r>
            <w:r>
              <w:rPr>
                <w:rFonts w:ascii="宋体" w:hAnsi="宋体" w:cs="宋体"/>
                <w:color w:val="000000"/>
                <w:kern w:val="0"/>
              </w:rPr>
              <w:t>提供，电池满负荷放电时间不少于</w:t>
            </w:r>
            <w:r>
              <w:rPr>
                <w:rFonts w:cs="Times New Roman"/>
                <w:color w:val="000000"/>
                <w:kern w:val="0"/>
              </w:rPr>
              <w:t>30</w:t>
            </w:r>
            <w:r>
              <w:rPr>
                <w:rFonts w:ascii="宋体" w:hAnsi="宋体" w:cs="宋体"/>
                <w:color w:val="000000"/>
                <w:kern w:val="0"/>
              </w:rPr>
              <w:t>分钟；</w:t>
            </w:r>
          </w:p>
        </w:tc>
      </w:tr>
      <w:tr>
        <w:tblPrEx>
          <w:tblCellMar>
            <w:top w:w="0" w:type="dxa"/>
            <w:left w:w="108" w:type="dxa"/>
            <w:bottom w:w="0" w:type="dxa"/>
            <w:right w:w="108" w:type="dxa"/>
          </w:tblCellMar>
        </w:tblPrEx>
        <w:trPr>
          <w:trHeight w:val="270" w:hRule="atLeast"/>
          <w:jc w:val="center"/>
        </w:trPr>
        <w:tc>
          <w:tcPr>
            <w:tcW w:w="606" w:type="pct"/>
            <w:vMerge w:val="continue"/>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配备柴油发电机组，保障本系统满负荷情况下可靠供电运行</w:t>
            </w:r>
            <w:r>
              <w:rPr>
                <w:rFonts w:cs="Times New Roman"/>
                <w:color w:val="000000"/>
                <w:kern w:val="0"/>
              </w:rPr>
              <w:t>72</w:t>
            </w:r>
            <w:r>
              <w:rPr>
                <w:rFonts w:ascii="宋体" w:hAnsi="宋体" w:cs="宋体"/>
                <w:color w:val="000000"/>
                <w:kern w:val="0"/>
              </w:rPr>
              <w:t>小时。</w:t>
            </w:r>
          </w:p>
        </w:tc>
      </w:tr>
      <w:tr>
        <w:tblPrEx>
          <w:tblCellMar>
            <w:top w:w="0" w:type="dxa"/>
            <w:left w:w="108" w:type="dxa"/>
            <w:bottom w:w="0" w:type="dxa"/>
            <w:right w:w="108" w:type="dxa"/>
          </w:tblCellMar>
        </w:tblPrEx>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电源质量</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稳态电压偏移范围</w:t>
            </w:r>
            <w:r>
              <w:rPr>
                <w:rFonts w:ascii="Symbol" w:hAnsi="Symbol" w:cs="宋体"/>
                <w:color w:val="000000"/>
                <w:kern w:val="0"/>
              </w:rPr>
              <w:t></w:t>
            </w:r>
            <w:r>
              <w:rPr>
                <w:rFonts w:cs="Times New Roman"/>
                <w:color w:val="000000"/>
                <w:kern w:val="0"/>
              </w:rPr>
              <w:t>3%</w:t>
            </w:r>
            <w:r>
              <w:rPr>
                <w:rFonts w:ascii="宋体" w:hAnsi="宋体" w:cs="宋体"/>
                <w:color w:val="000000"/>
                <w:kern w:val="0"/>
              </w:rPr>
              <w:t>，稳态频率偏移范围</w:t>
            </w:r>
            <w:r>
              <w:rPr>
                <w:rFonts w:cs="Times New Roman"/>
                <w:color w:val="000000"/>
                <w:kern w:val="0"/>
              </w:rPr>
              <w:t xml:space="preserve"> </w:t>
            </w:r>
            <w:r>
              <w:rPr>
                <w:rFonts w:ascii="Symbol" w:hAnsi="Symbol" w:cs="宋体"/>
                <w:color w:val="000000"/>
                <w:kern w:val="0"/>
              </w:rPr>
              <w:t></w:t>
            </w:r>
            <w:r>
              <w:rPr>
                <w:rFonts w:cs="Times New Roman"/>
                <w:color w:val="000000"/>
                <w:kern w:val="0"/>
              </w:rPr>
              <w:t>0.5Hz</w:t>
            </w:r>
            <w:r>
              <w:rPr>
                <w:rFonts w:ascii="宋体" w:hAnsi="宋体" w:cs="宋体"/>
                <w:color w:val="000000"/>
                <w:kern w:val="0"/>
              </w:rPr>
              <w:t>，输出电压波形失真度≤</w:t>
            </w:r>
            <w:r>
              <w:rPr>
                <w:rFonts w:cs="Times New Roman"/>
                <w:color w:val="000000"/>
                <w:kern w:val="0"/>
              </w:rPr>
              <w:t>5%</w:t>
            </w:r>
            <w:r>
              <w:rPr>
                <w:rFonts w:ascii="宋体" w:hAnsi="宋体" w:cs="宋体"/>
                <w:color w:val="000000"/>
                <w:kern w:val="0"/>
              </w:rPr>
              <w:t>，允许断电持续时间</w:t>
            </w:r>
            <w:r>
              <w:rPr>
                <w:rFonts w:cs="Times New Roman"/>
                <w:color w:val="000000"/>
                <w:kern w:val="0"/>
              </w:rPr>
              <w:t>0</w:t>
            </w:r>
            <w:r>
              <w:rPr>
                <w:rFonts w:ascii="宋体" w:hAnsi="宋体" w:cs="宋体"/>
                <w:color w:val="000000"/>
                <w:kern w:val="0"/>
              </w:rPr>
              <w:t>～</w:t>
            </w:r>
            <w:r>
              <w:rPr>
                <w:rFonts w:cs="Times New Roman"/>
                <w:color w:val="000000"/>
                <w:kern w:val="0"/>
              </w:rPr>
              <w:t>4ms</w:t>
            </w:r>
            <w:r>
              <w:rPr>
                <w:rFonts w:ascii="宋体" w:hAnsi="宋体" w:cs="宋体"/>
                <w:color w:val="000000"/>
                <w:kern w:val="0"/>
              </w:rPr>
              <w:t>；防雷、防浪涌：保护级别（</w:t>
            </w:r>
            <w:r>
              <w:rPr>
                <w:rFonts w:cs="Times New Roman"/>
                <w:color w:val="000000"/>
                <w:kern w:val="0"/>
              </w:rPr>
              <w:t>IEC/VDE</w:t>
            </w:r>
            <w:r>
              <w:rPr>
                <w:rFonts w:ascii="宋体" w:hAnsi="宋体" w:cs="宋体"/>
                <w:color w:val="000000"/>
                <w:kern w:val="0"/>
              </w:rPr>
              <w:t>标准）达到</w:t>
            </w:r>
            <w:r>
              <w:rPr>
                <w:rFonts w:cs="Times New Roman"/>
                <w:color w:val="000000"/>
                <w:kern w:val="0"/>
              </w:rPr>
              <w:t>I</w:t>
            </w:r>
            <w:r>
              <w:rPr>
                <w:rFonts w:ascii="宋体" w:hAnsi="宋体" w:cs="宋体"/>
                <w:color w:val="000000"/>
                <w:kern w:val="0"/>
              </w:rPr>
              <w:t>级</w:t>
            </w:r>
            <w:r>
              <w:rPr>
                <w:rFonts w:cs="Times New Roman"/>
                <w:color w:val="000000"/>
                <w:kern w:val="0"/>
              </w:rPr>
              <w:t>B</w:t>
            </w:r>
            <w:r>
              <w:rPr>
                <w:rFonts w:ascii="宋体" w:hAnsi="宋体" w:cs="宋体"/>
                <w:color w:val="000000"/>
                <w:kern w:val="0"/>
              </w:rPr>
              <w:t>类标准。</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接地</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接地电阻≤</w:t>
            </w:r>
            <w:r>
              <w:rPr>
                <w:rFonts w:cs="Times New Roman"/>
                <w:color w:val="000000"/>
                <w:kern w:val="0"/>
              </w:rPr>
              <w:t xml:space="preserve"> 1</w:t>
            </w:r>
            <w:r>
              <w:rPr>
                <w:rFonts w:ascii="Symbol" w:hAnsi="Symbol" w:cs="宋体"/>
                <w:color w:val="000000"/>
                <w:kern w:val="0"/>
              </w:rPr>
              <w:t></w:t>
            </w:r>
            <w:r>
              <w:rPr>
                <w:rFonts w:ascii="宋体" w:hAnsi="宋体" w:cs="宋体"/>
                <w:color w:val="000000"/>
                <w:kern w:val="0"/>
              </w:rPr>
              <w:t>，接地电位差</w:t>
            </w:r>
            <w:r>
              <w:rPr>
                <w:rFonts w:ascii="Symbol" w:hAnsi="Symbol" w:cs="宋体"/>
                <w:color w:val="000000"/>
                <w:kern w:val="0"/>
              </w:rPr>
              <w:t></w:t>
            </w:r>
            <w:r>
              <w:rPr>
                <w:rFonts w:cs="Times New Roman"/>
                <w:color w:val="000000"/>
                <w:kern w:val="0"/>
              </w:rPr>
              <w:t>1V</w:t>
            </w:r>
            <w:r>
              <w:rPr>
                <w:rFonts w:ascii="宋体" w:hAnsi="宋体" w:cs="宋体"/>
                <w:color w:val="000000"/>
                <w:kern w:val="0"/>
              </w:rPr>
              <w:t>。</w:t>
            </w:r>
          </w:p>
        </w:tc>
      </w:tr>
      <w:tr>
        <w:tblPrEx>
          <w:tblCellMar>
            <w:top w:w="0" w:type="dxa"/>
            <w:left w:w="108" w:type="dxa"/>
            <w:bottom w:w="0" w:type="dxa"/>
            <w:right w:w="108" w:type="dxa"/>
          </w:tblCellMar>
        </w:tblPrEx>
        <w:trPr>
          <w:trHeight w:val="5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无线电干扰场强</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在频率为</w:t>
            </w:r>
            <w:r>
              <w:rPr>
                <w:rFonts w:cs="Times New Roman"/>
                <w:color w:val="000000"/>
                <w:kern w:val="0"/>
              </w:rPr>
              <w:t>0.15</w:t>
            </w:r>
            <w:r>
              <w:rPr>
                <w:rFonts w:ascii="宋体" w:hAnsi="宋体" w:cs="宋体"/>
                <w:color w:val="000000"/>
                <w:kern w:val="0"/>
              </w:rPr>
              <w:t>～</w:t>
            </w:r>
            <w:r>
              <w:rPr>
                <w:rFonts w:cs="Times New Roman"/>
                <w:color w:val="000000"/>
                <w:kern w:val="0"/>
              </w:rPr>
              <w:t>1,000MHz</w:t>
            </w:r>
            <w:r>
              <w:rPr>
                <w:rFonts w:ascii="宋体" w:hAnsi="宋体" w:cs="宋体"/>
                <w:color w:val="000000"/>
                <w:kern w:val="0"/>
              </w:rPr>
              <w:t>时，不应大于</w:t>
            </w:r>
            <w:r>
              <w:rPr>
                <w:rFonts w:cs="Times New Roman"/>
                <w:color w:val="000000"/>
                <w:kern w:val="0"/>
              </w:rPr>
              <w:t>126dB</w:t>
            </w:r>
            <w:r>
              <w:rPr>
                <w:rFonts w:ascii="宋体" w:hAnsi="宋体" w:cs="宋体"/>
                <w:color w:val="000000"/>
                <w:kern w:val="0"/>
              </w:rPr>
              <w:t>。</w:t>
            </w:r>
          </w:p>
        </w:tc>
      </w:tr>
      <w:tr>
        <w:tblPrEx>
          <w:tblCellMar>
            <w:top w:w="0" w:type="dxa"/>
            <w:left w:w="108" w:type="dxa"/>
            <w:bottom w:w="0" w:type="dxa"/>
            <w:right w:w="108" w:type="dxa"/>
          </w:tblCellMar>
        </w:tblPrEx>
        <w:trPr>
          <w:trHeight w:val="5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内磁场干扰</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主机房内磁场干扰环境场强不应大于</w:t>
            </w:r>
            <w:r>
              <w:rPr>
                <w:rFonts w:cs="Times New Roman"/>
                <w:color w:val="000000"/>
                <w:kern w:val="0"/>
              </w:rPr>
              <w:t>800A/m</w:t>
            </w:r>
            <w:r>
              <w:rPr>
                <w:rFonts w:ascii="宋体" w:hAnsi="宋体" w:cs="宋体"/>
                <w:color w:val="000000"/>
                <w:kern w:val="0"/>
              </w:rPr>
              <w:t>。</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静电电位</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主机房内绝缘体的静电电位不应大于</w:t>
            </w:r>
            <w:r>
              <w:rPr>
                <w:rFonts w:cs="Times New Roman"/>
                <w:color w:val="000000"/>
                <w:kern w:val="0"/>
              </w:rPr>
              <w:t>1kV</w:t>
            </w:r>
            <w:r>
              <w:rPr>
                <w:rFonts w:ascii="宋体" w:hAnsi="宋体" w:cs="宋体"/>
                <w:color w:val="000000"/>
                <w:kern w:val="0"/>
              </w:rPr>
              <w:t>。</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机房布线</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采用光缆或六类及以上对绞电缆，采用</w:t>
            </w:r>
            <w:r>
              <w:rPr>
                <w:rFonts w:cs="Times New Roman"/>
                <w:color w:val="000000"/>
                <w:kern w:val="0"/>
              </w:rPr>
              <w:t>1+1</w:t>
            </w:r>
            <w:r>
              <w:rPr>
                <w:rFonts w:ascii="宋体" w:hAnsi="宋体" w:cs="宋体"/>
                <w:color w:val="000000"/>
                <w:kern w:val="0"/>
              </w:rPr>
              <w:t>冗余。</w:t>
            </w:r>
          </w:p>
        </w:tc>
      </w:tr>
      <w:tr>
        <w:tblPrEx>
          <w:tblCellMar>
            <w:top w:w="0" w:type="dxa"/>
            <w:left w:w="108" w:type="dxa"/>
            <w:bottom w:w="0" w:type="dxa"/>
            <w:right w:w="108" w:type="dxa"/>
          </w:tblCellMar>
        </w:tblPrEx>
        <w:trPr>
          <w:trHeight w:val="81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照明要求</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眩光限制按</w:t>
            </w:r>
            <w:r>
              <w:rPr>
                <w:rFonts w:cs="Times New Roman"/>
                <w:color w:val="000000"/>
                <w:kern w:val="0"/>
              </w:rPr>
              <w:t>I</w:t>
            </w:r>
            <w:r>
              <w:rPr>
                <w:rFonts w:ascii="宋体" w:hAnsi="宋体" w:cs="宋体"/>
                <w:color w:val="000000"/>
                <w:kern w:val="0"/>
              </w:rPr>
              <w:t>级标准，照度按机房≥</w:t>
            </w:r>
            <w:r>
              <w:rPr>
                <w:rFonts w:cs="Times New Roman"/>
                <w:color w:val="000000"/>
                <w:kern w:val="0"/>
              </w:rPr>
              <w:t xml:space="preserve">300Lux </w:t>
            </w:r>
            <w:r>
              <w:rPr>
                <w:rFonts w:ascii="宋体" w:hAnsi="宋体" w:cs="宋体"/>
                <w:color w:val="000000"/>
                <w:kern w:val="0"/>
              </w:rPr>
              <w:t>及按现场布局排列，机房内应设置备用照明，其照度为一般照明的</w:t>
            </w:r>
            <w:r>
              <w:rPr>
                <w:rFonts w:cs="Times New Roman"/>
                <w:color w:val="000000"/>
                <w:kern w:val="0"/>
              </w:rPr>
              <w:t>15%</w:t>
            </w:r>
            <w:r>
              <w:rPr>
                <w:rFonts w:ascii="宋体" w:hAnsi="宋体" w:cs="宋体"/>
                <w:color w:val="000000"/>
                <w:kern w:val="0"/>
              </w:rPr>
              <w:t>。机房应设置疏散照明和安全出口标志灯，其照度不应低于</w:t>
            </w:r>
            <w:r>
              <w:rPr>
                <w:rFonts w:cs="Times New Roman"/>
                <w:color w:val="000000"/>
                <w:kern w:val="0"/>
              </w:rPr>
              <w:t>0.5LUX</w:t>
            </w:r>
            <w:r>
              <w:rPr>
                <w:rFonts w:ascii="宋体" w:hAnsi="宋体" w:cs="宋体"/>
                <w:color w:val="000000"/>
                <w:kern w:val="0"/>
              </w:rPr>
              <w:t>。</w:t>
            </w:r>
          </w:p>
        </w:tc>
      </w:tr>
      <w:tr>
        <w:tblPrEx>
          <w:tblCellMar>
            <w:top w:w="0" w:type="dxa"/>
            <w:left w:w="108" w:type="dxa"/>
            <w:bottom w:w="0" w:type="dxa"/>
            <w:right w:w="108" w:type="dxa"/>
          </w:tblCellMar>
        </w:tblPrEx>
        <w:trPr>
          <w:trHeight w:val="54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机房监控</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空气质量：对温度、相对湿度、压差、含尘度；漏水监测报警；监控</w:t>
            </w:r>
            <w:r>
              <w:rPr>
                <w:rFonts w:cs="Times New Roman"/>
                <w:color w:val="000000"/>
                <w:kern w:val="0"/>
              </w:rPr>
              <w:t>IT</w:t>
            </w:r>
            <w:r>
              <w:rPr>
                <w:rFonts w:ascii="宋体" w:hAnsi="宋体" w:cs="宋体"/>
                <w:color w:val="000000"/>
                <w:kern w:val="0"/>
              </w:rPr>
              <w:t>设备、空调、新风、动力、供配电系统、不间断电源、电池、柴油发电等设备；采用</w:t>
            </w:r>
            <w:r>
              <w:rPr>
                <w:rFonts w:cs="Times New Roman"/>
                <w:color w:val="000000"/>
                <w:kern w:val="0"/>
              </w:rPr>
              <w:t>KVM</w:t>
            </w:r>
            <w:r>
              <w:rPr>
                <w:rFonts w:ascii="宋体" w:hAnsi="宋体" w:cs="宋体"/>
                <w:color w:val="000000"/>
                <w:kern w:val="0"/>
              </w:rPr>
              <w:t>切换系统。</w:t>
            </w:r>
          </w:p>
        </w:tc>
      </w:tr>
      <w:tr>
        <w:tblPrEx>
          <w:tblCellMar>
            <w:top w:w="0" w:type="dxa"/>
            <w:left w:w="108" w:type="dxa"/>
            <w:bottom w:w="0" w:type="dxa"/>
            <w:right w:w="108" w:type="dxa"/>
          </w:tblCellMar>
        </w:tblPrEx>
        <w:trPr>
          <w:trHeight w:val="795"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安全防范</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在主要出入口、机房、配套区域采用门禁系统和视频监控系统，机柜区域配备专用门禁和</w:t>
            </w:r>
            <w:r>
              <w:rPr>
                <w:rFonts w:cs="Times New Roman"/>
                <w:color w:val="000000"/>
                <w:kern w:val="0"/>
              </w:rPr>
              <w:t>24</w:t>
            </w:r>
            <w:r>
              <w:rPr>
                <w:rFonts w:ascii="宋体" w:hAnsi="宋体" w:cs="宋体"/>
                <w:color w:val="000000"/>
                <w:kern w:val="0"/>
              </w:rPr>
              <w:t>小时监控系统，视频监控画面可远程调用，中标人需开放相应的接口或者服务提供监控服务，监控录像保存时间大于</w:t>
            </w:r>
            <w:r>
              <w:rPr>
                <w:rFonts w:cs="Times New Roman"/>
                <w:color w:val="000000"/>
                <w:kern w:val="0"/>
              </w:rPr>
              <w:t>3</w:t>
            </w:r>
            <w:r>
              <w:rPr>
                <w:rFonts w:ascii="宋体" w:hAnsi="宋体" w:cs="宋体"/>
                <w:color w:val="000000"/>
                <w:kern w:val="0"/>
              </w:rPr>
              <w:t>个月。</w:t>
            </w:r>
          </w:p>
        </w:tc>
      </w:tr>
      <w:tr>
        <w:tblPrEx>
          <w:tblCellMar>
            <w:top w:w="0" w:type="dxa"/>
            <w:left w:w="108" w:type="dxa"/>
            <w:bottom w:w="0" w:type="dxa"/>
            <w:right w:w="108" w:type="dxa"/>
          </w:tblCellMar>
        </w:tblPrEx>
        <w:trPr>
          <w:trHeight w:val="270" w:hRule="atLeast"/>
          <w:jc w:val="center"/>
        </w:trPr>
        <w:tc>
          <w:tcPr>
            <w:tcW w:w="606" w:type="pct"/>
            <w:tcBorders>
              <w:top w:val="nil"/>
              <w:left w:val="single" w:color="auto" w:sz="4" w:space="0"/>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消防</w:t>
            </w:r>
          </w:p>
        </w:tc>
        <w:tc>
          <w:tcPr>
            <w:tcW w:w="4394" w:type="pct"/>
            <w:tcBorders>
              <w:top w:val="nil"/>
              <w:left w:val="nil"/>
              <w:bottom w:val="single" w:color="auto" w:sz="4" w:space="0"/>
              <w:right w:val="single" w:color="auto" w:sz="4" w:space="0"/>
            </w:tcBorders>
            <w:vAlign w:val="center"/>
          </w:tcPr>
          <w:p>
            <w:pPr>
              <w:rPr>
                <w:rFonts w:ascii="宋体" w:hAnsi="宋体" w:cs="宋体"/>
                <w:color w:val="000000"/>
                <w:kern w:val="0"/>
              </w:rPr>
            </w:pPr>
            <w:r>
              <w:rPr>
                <w:rFonts w:ascii="宋体" w:hAnsi="宋体" w:cs="宋体"/>
                <w:color w:val="000000"/>
                <w:kern w:val="0"/>
              </w:rPr>
              <w:t>应配置气体消防系统和火灾自动报警系统。</w:t>
            </w:r>
          </w:p>
        </w:tc>
      </w:tr>
    </w:tbl>
    <w:p>
      <w:pPr>
        <w:spacing w:line="276" w:lineRule="auto"/>
      </w:pP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hint="eastAsia" w:ascii="宋体" w:hAnsi="宋体"/>
        </w:rPr>
        <w:t>机房空间要求满足业务资源需求。实际使用机柜数量可根据用户要求提供，每机柜提供双路不间断供电，电力总功率：低密度区每机柜不低于3KW，高密度区每机柜不低于5KW。遵循国家有关绿色机房的建设要求。</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中标人提供的机房可以按照采购人的要求对资源进行物理和逻辑隔离，且需要在机房内划分独立区域，满足多个云平台资源区和独立资源区域划分要求。独立区域具有门禁控制，控制权按照采购人要求进行管理。</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ascii="宋体" w:hAnsi="宋体"/>
        </w:rPr>
        <w:t>为达到同城灾备的要求，</w:t>
      </w:r>
      <w:r>
        <w:rPr>
          <w:rFonts w:hint="eastAsia" w:ascii="宋体" w:hAnsi="宋体"/>
        </w:rPr>
        <w:t>中</w:t>
      </w:r>
      <w:r>
        <w:rPr>
          <w:rFonts w:ascii="宋体" w:hAnsi="宋体"/>
        </w:rPr>
        <w:t>标人</w:t>
      </w:r>
      <w:r>
        <w:rPr>
          <w:rFonts w:hint="eastAsia" w:ascii="宋体" w:hAnsi="宋体"/>
        </w:rPr>
        <w:t>应当为非创新区域与创新区域均</w:t>
      </w:r>
      <w:r>
        <w:rPr>
          <w:rFonts w:ascii="宋体" w:hAnsi="宋体"/>
        </w:rPr>
        <w:t>提供不少于两个机房供上海市电子政务云使用，两个机房之间直线距离应大于15KM，机房位置距人民广场直线距离不超过2</w:t>
      </w:r>
      <w:r>
        <w:rPr>
          <w:rFonts w:hint="eastAsia" w:ascii="宋体" w:hAnsi="宋体"/>
          <w:lang w:val="en-US" w:eastAsia="zh-CN"/>
        </w:rPr>
        <w:t>5</w:t>
      </w:r>
      <w:r>
        <w:rPr>
          <w:rFonts w:ascii="宋体" w:hAnsi="宋体"/>
        </w:rPr>
        <w:t>KM，机房之间有通信线路实现互相连接。</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hint="eastAsia" w:ascii="宋体" w:hAnsi="宋体"/>
        </w:rPr>
        <w:t>机房有较好的容灾备份方案及措施，若某一地区发生如地震、海啸或者其他未知不可抗力灾害，启动容灾备份方案以快速地使另一后备机房承接原服务。</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hint="eastAsia" w:ascii="宋体" w:hAnsi="宋体"/>
        </w:rPr>
        <w:t>提供的机房需要通过网络连接到电子政务外网，预留相应的信息管道。</w:t>
      </w:r>
    </w:p>
    <w:p>
      <w:pPr>
        <w:widowControl/>
        <w:numPr>
          <w:ilvl w:val="0"/>
          <w:numId w:val="20"/>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中标人提供的机房应具备符合国密要求的门禁系统。</w:t>
      </w:r>
    </w:p>
    <w:p>
      <w:pPr>
        <w:pStyle w:val="4"/>
        <w:numPr>
          <w:ilvl w:val="1"/>
          <w:numId w:val="5"/>
        </w:numPr>
        <w:tabs>
          <w:tab w:val="clear" w:pos="840"/>
        </w:tabs>
        <w:ind w:left="720" w:hanging="720" w:hangingChars="200"/>
        <w:textAlignment w:val="auto"/>
        <w:rPr>
          <w:rFonts w:ascii="宋体" w:hAnsi="宋体"/>
          <w:lang w:eastAsia="zh-CN"/>
        </w:rPr>
      </w:pPr>
      <w:bookmarkStart w:id="83" w:name="_Toc34080604"/>
      <w:bookmarkStart w:id="84" w:name="_Toc34080420"/>
      <w:bookmarkStart w:id="85" w:name="_Toc29407446"/>
      <w:r>
        <w:rPr>
          <w:rFonts w:hint="eastAsia" w:ascii="宋体" w:hAnsi="宋体"/>
          <w:lang w:eastAsia="zh-CN"/>
        </w:rPr>
        <w:t>机房链路要求</w:t>
      </w:r>
      <w:bookmarkEnd w:id="83"/>
      <w:bookmarkEnd w:id="84"/>
      <w:bookmarkEnd w:id="85"/>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hint="eastAsia" w:ascii="宋体" w:hAnsi="宋体"/>
        </w:rPr>
        <w:t>政务外网接入：要求承载政务云平台的网络和市政务外网骨干传输网络高效安全地衔接，满足各政务部门接入政务云业务系统的网络需要。根据相关安全管理部门的要求，中标人应支撑安全管理部门放置相关设备到中标人机房或进行专网的接入，采购人无需支付相关费用。</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hint="eastAsia" w:ascii="宋体" w:hAnsi="宋体"/>
        </w:rPr>
        <w:t>互联网接入：要求承载政务云平台的网络和市政务外网互联网统一出口高效安全地衔接，满足各政务部门业务系统接入互联网的需要，需提供互联网骨干级带宽服务及异网接入能力。</w:t>
      </w:r>
    </w:p>
    <w:p>
      <w:pPr>
        <w:widowControl/>
        <w:numPr>
          <w:ilvl w:val="0"/>
          <w:numId w:val="21"/>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中标人需提供必要的配合，并按相关规范要求做好网络对接和安全防护。</w:t>
      </w:r>
    </w:p>
    <w:p>
      <w:pPr>
        <w:pStyle w:val="4"/>
        <w:numPr>
          <w:ilvl w:val="1"/>
          <w:numId w:val="5"/>
        </w:numPr>
        <w:tabs>
          <w:tab w:val="clear" w:pos="840"/>
        </w:tabs>
        <w:ind w:left="720" w:hanging="720" w:hangingChars="200"/>
        <w:textAlignment w:val="auto"/>
        <w:rPr>
          <w:rFonts w:ascii="宋体" w:hAnsi="宋体"/>
          <w:lang w:eastAsia="zh-CN"/>
        </w:rPr>
      </w:pPr>
      <w:bookmarkStart w:id="86" w:name="_Toc34080421"/>
      <w:bookmarkStart w:id="87" w:name="_Toc29407447"/>
      <w:bookmarkStart w:id="88" w:name="_Toc34080605"/>
      <w:r>
        <w:rPr>
          <w:rFonts w:hint="eastAsia" w:ascii="宋体" w:hAnsi="宋体"/>
          <w:lang w:eastAsia="zh-CN"/>
        </w:rPr>
        <w:t>管理要求</w:t>
      </w:r>
      <w:bookmarkEnd w:id="86"/>
      <w:bookmarkEnd w:id="87"/>
      <w:bookmarkEnd w:id="88"/>
    </w:p>
    <w:p>
      <w:pPr>
        <w:widowControl/>
        <w:numPr>
          <w:ilvl w:val="0"/>
          <w:numId w:val="22"/>
        </w:numPr>
        <w:topLinePunct/>
        <w:adjustRightInd w:val="0"/>
        <w:snapToGrid w:val="0"/>
        <w:spacing w:before="100" w:after="100" w:line="300" w:lineRule="exact"/>
        <w:ind w:left="420" w:hangingChars="200"/>
        <w:jc w:val="left"/>
        <w:rPr>
          <w:rFonts w:ascii="宋体" w:hAnsi="宋体"/>
        </w:rPr>
      </w:pPr>
      <w:r>
        <w:t>中标人向采购人提供7*24小时机房值守响应电话，7*24小时全天候技术支持响</w:t>
      </w:r>
      <w:r>
        <w:rPr>
          <w:rFonts w:hint="eastAsia" w:ascii="宋体" w:hAnsi="宋体"/>
        </w:rPr>
        <w:t>应。</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hint="eastAsia" w:ascii="宋体" w:hAnsi="宋体"/>
        </w:rPr>
        <w:t>应配备7*24小时值班运维人员，负责机房的日常运维工作；应配备7*24小时值班保安人员，负责机房的安全保卫工作。</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hint="eastAsia" w:ascii="宋体" w:hAnsi="宋体"/>
        </w:rPr>
        <w:t>安保监控：至少包括机房门禁独立管理、门禁状态监控、CCTV摄像头实时监控系统</w:t>
      </w:r>
      <w:r>
        <w:rPr>
          <w:rFonts w:ascii="宋体" w:hAnsi="宋体"/>
        </w:rPr>
        <w:t>。</w:t>
      </w:r>
    </w:p>
    <w:p>
      <w:pPr>
        <w:widowControl/>
        <w:numPr>
          <w:ilvl w:val="0"/>
          <w:numId w:val="22"/>
        </w:numPr>
        <w:topLinePunct/>
        <w:adjustRightInd w:val="0"/>
        <w:snapToGrid w:val="0"/>
        <w:spacing w:before="100" w:after="100" w:line="300" w:lineRule="exact"/>
        <w:ind w:left="420" w:hangingChars="200"/>
        <w:jc w:val="left"/>
        <w:rPr>
          <w:rFonts w:ascii="宋体" w:hAnsi="宋体"/>
        </w:rPr>
      </w:pPr>
      <w:r>
        <w:rPr>
          <w:rFonts w:hint="eastAsia" w:ascii="宋体" w:hAnsi="宋体"/>
        </w:rPr>
        <w:t>应定期完成机房巡检（包括机房环境、温湿度、安防、设备告警指示灯等、卫生状况），机房巡检不少于每日三次，保证早晚各1次，并留有记录，采购人有权调阅相关记录；除应急处置外，其余时间不允许对采购人机房相关环境设施进行维护操作</w:t>
      </w:r>
    </w:p>
    <w:p>
      <w:pPr>
        <w:pStyle w:val="4"/>
        <w:numPr>
          <w:ilvl w:val="1"/>
          <w:numId w:val="5"/>
        </w:numPr>
        <w:tabs>
          <w:tab w:val="clear" w:pos="840"/>
        </w:tabs>
        <w:ind w:left="720" w:hanging="720" w:hangingChars="200"/>
        <w:textAlignment w:val="auto"/>
        <w:rPr>
          <w:rFonts w:ascii="宋体" w:hAnsi="宋体"/>
          <w:lang w:eastAsia="zh-CN"/>
        </w:rPr>
      </w:pPr>
      <w:bookmarkStart w:id="89" w:name="_Toc34080422"/>
      <w:bookmarkStart w:id="90" w:name="_Toc34080606"/>
      <w:bookmarkStart w:id="91" w:name="_Toc29407448"/>
      <w:r>
        <w:rPr>
          <w:rFonts w:hint="eastAsia" w:ascii="宋体" w:hAnsi="宋体"/>
          <w:lang w:eastAsia="zh-CN"/>
        </w:rPr>
        <w:t>服务项要求</w:t>
      </w:r>
      <w:bookmarkEnd w:id="89"/>
      <w:bookmarkEnd w:id="90"/>
      <w:bookmarkEnd w:id="91"/>
      <w:bookmarkStart w:id="92" w:name="_Hlk32671454"/>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hint="eastAsia" w:ascii="宋体" w:hAnsi="宋体"/>
        </w:rPr>
        <w:t>中标人需提供机房同地点处的办公场地及办公环境，供云平台使用单位使用，用于测试、应用部署及后期业务系统迁移等工作。</w:t>
      </w:r>
    </w:p>
    <w:p>
      <w:pPr>
        <w:widowControl/>
        <w:numPr>
          <w:ilvl w:val="0"/>
          <w:numId w:val="23"/>
        </w:numPr>
        <w:topLinePunct/>
        <w:adjustRightInd w:val="0"/>
        <w:snapToGrid w:val="0"/>
        <w:spacing w:before="100" w:after="100" w:line="300" w:lineRule="exact"/>
        <w:ind w:left="420" w:hangingChars="200"/>
        <w:jc w:val="left"/>
        <w:rPr>
          <w:rFonts w:ascii="宋体" w:hAnsi="宋体"/>
        </w:rPr>
        <w:sectPr>
          <w:pgSz w:w="11906" w:h="16838"/>
          <w:pgMar w:top="1440" w:right="1800" w:bottom="1440" w:left="1800" w:header="851" w:footer="992" w:gutter="0"/>
          <w:cols w:space="425" w:num="1"/>
          <w:docGrid w:type="lines" w:linePitch="312" w:charSpace="0"/>
        </w:sectPr>
      </w:pPr>
      <w:r>
        <w:rPr>
          <w:rFonts w:hint="eastAsia" w:ascii="宋体" w:hAnsi="宋体"/>
        </w:rPr>
        <w:t>中标人需提供数据中心机房空间服务，提供额外设备托管空间。中标人需提供数据中心机房整机柜出租服务，</w:t>
      </w:r>
    </w:p>
    <w:p>
      <w:pPr>
        <w:pStyle w:val="2"/>
        <w:rPr>
          <w:rFonts w:hint="eastAsia"/>
          <w:sz w:val="28"/>
          <w:szCs w:val="28"/>
          <w:lang w:eastAsia="zh-CN"/>
        </w:rPr>
      </w:pPr>
      <w:r>
        <w:rPr>
          <w:rFonts w:hint="eastAsia"/>
          <w:sz w:val="28"/>
          <w:szCs w:val="28"/>
          <w:lang w:eastAsia="zh-CN"/>
        </w:rPr>
        <w:t>附件：</w:t>
      </w:r>
    </w:p>
    <w:p>
      <w:pPr>
        <w:widowControl w:val="0"/>
        <w:spacing w:line="600" w:lineRule="exact"/>
        <w:ind w:firstLine="560" w:firstLineChars="200"/>
        <w:outlineLvl w:val="0"/>
        <w:rPr>
          <w:rFonts w:ascii="黑体" w:hAnsi="黑体" w:eastAsia="黑体" w:cs="仿宋_GB2312"/>
          <w:color w:val="000000"/>
          <w:kern w:val="0"/>
          <w:sz w:val="28"/>
          <w:szCs w:val="28"/>
          <w:highlight w:val="none"/>
          <w:lang w:val="zh-CN" w:bidi="en-US"/>
        </w:rPr>
      </w:pPr>
      <w:bookmarkStart w:id="93" w:name="_Hlk99577173"/>
      <w:r>
        <w:rPr>
          <w:rFonts w:hint="eastAsia" w:ascii="黑体" w:hAnsi="黑体" w:eastAsia="黑体" w:cs="仿宋_GB2312"/>
          <w:color w:val="000000"/>
          <w:kern w:val="0"/>
          <w:sz w:val="28"/>
          <w:szCs w:val="28"/>
          <w:highlight w:val="none"/>
          <w:lang w:val="zh-CN" w:bidi="en-US"/>
        </w:rPr>
        <w:t>考核指标</w:t>
      </w:r>
    </w:p>
    <w:p>
      <w:pPr>
        <w:widowControl w:val="0"/>
        <w:spacing w:line="600" w:lineRule="exact"/>
        <w:ind w:firstLine="562" w:firstLineChars="200"/>
        <w:outlineLvl w:val="1"/>
        <w:rPr>
          <w:rFonts w:ascii="楷体_GB2312" w:hAnsi="仿宋_GB2312" w:eastAsia="楷体_GB2312" w:cs="仿宋_GB2312"/>
          <w:b/>
          <w:bCs/>
          <w:color w:val="000000"/>
          <w:kern w:val="0"/>
          <w:sz w:val="28"/>
          <w:szCs w:val="28"/>
          <w:highlight w:val="none"/>
          <w:lang w:bidi="en-US"/>
        </w:rPr>
      </w:pPr>
      <w:r>
        <w:rPr>
          <w:rFonts w:hint="eastAsia" w:ascii="楷体_GB2312" w:hAnsi="仿宋_GB2312" w:eastAsia="楷体_GB2312" w:cs="仿宋_GB2312"/>
          <w:b/>
          <w:bCs/>
          <w:color w:val="000000"/>
          <w:kern w:val="0"/>
          <w:sz w:val="28"/>
          <w:szCs w:val="28"/>
          <w:highlight w:val="none"/>
          <w:lang w:bidi="en-US"/>
        </w:rPr>
        <w:t>（一）月度考核指标体系</w:t>
      </w:r>
    </w:p>
    <w:tbl>
      <w:tblPr>
        <w:tblStyle w:val="10"/>
        <w:tblW w:w="46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1"/>
        <w:gridCol w:w="416"/>
        <w:gridCol w:w="756"/>
        <w:gridCol w:w="489"/>
        <w:gridCol w:w="1359"/>
        <w:gridCol w:w="1444"/>
        <w:gridCol w:w="130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tblHeader/>
          <w:jc w:val="center"/>
        </w:trPr>
        <w:tc>
          <w:tcPr>
            <w:tcW w:w="463" w:type="pct"/>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一级指标</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分值</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二级指标</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分值</w:t>
            </w:r>
          </w:p>
        </w:tc>
        <w:tc>
          <w:tcPr>
            <w:tcW w:w="842"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指标解释</w:t>
            </w:r>
          </w:p>
        </w:tc>
        <w:tc>
          <w:tcPr>
            <w:tcW w:w="89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应达要求</w:t>
            </w:r>
          </w:p>
        </w:tc>
        <w:tc>
          <w:tcPr>
            <w:tcW w:w="80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测量规则</w:t>
            </w:r>
          </w:p>
        </w:tc>
        <w:tc>
          <w:tcPr>
            <w:tcW w:w="102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（A）</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25</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服务交付及时率（A1）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中标方对于服务交付场景的请求在规定的时间内予以完成的工单数量。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中标方应该保证资源水位安全，服务交付完成时间不超过5个工作日</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（1）服务交付完成时间=云管反馈时间-审核通过时间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（2）服务交付及时数=每月按时交付工单数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服务交付及时数，则当月每件因中标方责任未达标的工单扣0.5分，扣完为止。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服务发放准确率（A2）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中标方服务发放的准确工单数量。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不发生该类错误</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服务发放偏差数=每月服务发放偏差的工单数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中标方按审核通过情况如实发放服务，每发生一起工单发放偏差扣除0.3分，扣完为止。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471"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服务任务完成及时性（A3）</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中标方对于各项服务任务按计划完成。</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按期完成各项服务任务</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服务任务完成延误数=每月未按计划完成的服务任务数量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每发生一起因中标方全部责任或者主要责任未能按计划完成服务任务扣1分，扣完为止。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39"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资源交付流程合规性（A4）</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中标方按照市级政务云基础设施服务流程开展服务工作。</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不发生违反流程发放及整改未完毕情况</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资源交付流程不合规数=每月无工单交付政务云基础设施服务数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中标方无工单交付政务云基础设施服务，当月每发生一起或者未整改完毕的扣1分，扣完为止。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人员管理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（B）</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驻场人员出勤率（B1）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中标方对于政务云现场驻场运维服务按时出勤场景的请求在合同要求内予以完成的百分率。</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遵守中心单位考勤管理制度</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驻场人员出勤率=每月所有驻场人员实际出勤总工时/每月所有驻场人员应出勤总工时</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依据实际出勤率进行考评，出勤率≥90%得满分，每降低1%，扣除权重的5%，扣完为止。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投诉管理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(C)</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有责投诉(C1)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中标方服务过程中使用单位来函投诉的数量（包括其他渠道有责投诉数量）。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有责投诉数=使用单位有责投诉数量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每发生一起有责投诉扣5分，扣完为止。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（D）</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服务可用性（D1）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服务可用性：中标方在规定条件下和规定时间内履行服务协议的百分率。</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服务可用性每月不低于99.99%</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服务可用性=【每月自然日总数×24×60×60秒-单个云服务失效时间之和(秒)】/ 每月自然日总数×24×60×60秒</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中标方的单个云服务可用性指标未达到要求。若每月每降低0.01%，则扣除权重的1%，扣完为止。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（E）</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30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故障发生数（E1）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由于云平台故障造成使用单位的业务系统出现功能不可用、应用或服务不可访问、业务系统失效或崩溃、性能严重下降等情况之一的；由于云平台故障造成使用单位的业务系统应用或服务部分功能不可用、业务系统时断时续、明显卡顿、性能明显下降等情况之一的。</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故障发生数=采购方指定的三方出具监管报告确认为故障数量</w:t>
            </w:r>
          </w:p>
        </w:tc>
        <w:tc>
          <w:tcPr>
            <w:tcW w:w="1020" w:type="pct"/>
            <w:shd w:val="clear" w:color="auto" w:fill="auto"/>
            <w:vAlign w:val="center"/>
          </w:tcPr>
          <w:p>
            <w:pPr>
              <w:keepNext w:val="0"/>
              <w:keepLines w:val="0"/>
              <w:widowControl/>
              <w:numPr>
                <w:ilvl w:val="0"/>
                <w:numId w:val="24"/>
              </w:numPr>
              <w:suppressLineNumbers w:val="0"/>
              <w:jc w:val="left"/>
              <w:textAlignment w:val="center"/>
              <w:rPr>
                <w:rFonts w:hint="eastAsia" w:ascii="仿宋_GB2312" w:hAnsi="宋体" w:eastAsia="仿宋_GB2312" w:cs="仿宋_GB2312"/>
                <w:i w:val="0"/>
                <w:iCs w:val="0"/>
                <w:color w:val="auto"/>
                <w:kern w:val="0"/>
                <w:sz w:val="18"/>
                <w:szCs w:val="18"/>
                <w:highlight w:val="none"/>
                <w:u w:val="none"/>
                <w:lang w:val="en-US" w:eastAsia="zh-CN" w:bidi="ar"/>
              </w:rPr>
            </w:pPr>
            <w:r>
              <w:rPr>
                <w:rFonts w:hint="eastAsia" w:ascii="仿宋_GB2312" w:hAnsi="宋体" w:eastAsia="仿宋_GB2312" w:cs="仿宋_GB2312"/>
                <w:i w:val="0"/>
                <w:iCs w:val="0"/>
                <w:color w:val="auto"/>
                <w:kern w:val="0"/>
                <w:sz w:val="18"/>
                <w:szCs w:val="18"/>
                <w:highlight w:val="none"/>
                <w:u w:val="none"/>
                <w:lang w:val="en-US" w:eastAsia="zh-CN" w:bidi="ar"/>
              </w:rPr>
              <w:t>中标方每发生一起六级故障扣1分；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（2）中标方每发生一起五级故障扣2分；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（3）中标方每发生一起四级故障扣3分；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（4）中标方每发生一起三级故障扣4分；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（5）中标方每发生一起二级故障扣5分；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（6）中标方每发生一起一级故障扣6分。</w:t>
            </w:r>
          </w:p>
          <w:p>
            <w:pPr>
              <w:keepNext w:val="0"/>
              <w:keepLines w:val="0"/>
              <w:widowControl/>
              <w:numPr>
                <w:ilvl w:val="-1"/>
                <w:numId w:val="0"/>
              </w:numPr>
              <w:suppressLineNumbers w:val="0"/>
              <w:jc w:val="left"/>
              <w:textAlignment w:val="center"/>
              <w:rPr>
                <w:rFonts w:hint="default" w:ascii="仿宋_GB2312" w:hAnsi="宋体" w:eastAsia="仿宋_GB2312" w:cs="仿宋_GB2312"/>
                <w:i w:val="0"/>
                <w:iCs w:val="0"/>
                <w:color w:val="auto"/>
                <w:kern w:val="0"/>
                <w:sz w:val="18"/>
                <w:szCs w:val="18"/>
                <w:highlight w:val="none"/>
                <w:u w:val="none"/>
                <w:lang w:val="en-US" w:eastAsia="zh-CN" w:bidi="ar"/>
              </w:rPr>
            </w:pPr>
            <w:r>
              <w:rPr>
                <w:rFonts w:hint="eastAsia" w:ascii="仿宋_GB2312" w:hAnsi="宋体" w:eastAsia="仿宋_GB2312" w:cs="仿宋_GB2312"/>
                <w:i w:val="0"/>
                <w:iCs w:val="0"/>
                <w:color w:val="auto"/>
                <w:kern w:val="0"/>
                <w:sz w:val="18"/>
                <w:szCs w:val="18"/>
                <w:highlight w:val="none"/>
                <w:u w:val="none"/>
                <w:lang w:val="en-US" w:eastAsia="zh-CN" w:bidi="ar"/>
              </w:rPr>
              <w:t>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故障及时恢复数（E2）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中标方对自身所提供云服务出现故障时，为使用单位及时恢复业务运行的数量。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一级故障不超过30分钟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二级故障不超过30分钟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三级故障不超过60分钟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四级故障不超过120分钟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五级故障不超过240分钟</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六级故障不超过360分钟</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（1）故障恢复时间=恢复运行时间-发生时间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（2）故障及时恢复数=每月故障按时间要求及时恢复的数量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中标方的故障及时恢复指标未达到要求，每发生一起扣2分，本指标扣分上不封顶。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054"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故障及时上报数（E3）</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中标方对自身所提供云服务出现故障时，向采购方及时上报故障发生的数量。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一级故障不超过10分钟—电话上报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二级故障不超过10分钟—电话上报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三级故障不超过10分钟—电话上报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四级故障不超过30分钟—微信上报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五级故障不超过60分钟—微信上报</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六级故障不超过120分钟—微信上报</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故障上报时间=上报时间-发生时间</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中标方的故障及时上报，故障未及时上报，每发生一起扣1分，本指标扣分上不封顶。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故障上报准确数（E4）</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中标方对自身所提供云服务出现故障时，向采购方准确上报故障实际情况的数量。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不发生瞒报和错报事件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故障上报准确数=故障正确上报数</w:t>
            </w:r>
          </w:p>
        </w:tc>
        <w:tc>
          <w:tcPr>
            <w:tcW w:w="1020"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每发生一起错报、瞒报事件扣1分，本指标扣分上不封顶。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变更管理</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（F）</w:t>
            </w:r>
          </w:p>
        </w:tc>
        <w:tc>
          <w:tcPr>
            <w:tcW w:w="264"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10</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变更成功数（F1）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中标方对自身所提供云服务变更能力予以完成的数量。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不发生该类事件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变更成功数=每月中标方上报并经确认的变更成功数量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Style w:val="15"/>
                <w:rFonts w:hAnsi="宋体"/>
                <w:color w:val="auto"/>
                <w:sz w:val="18"/>
                <w:szCs w:val="18"/>
                <w:highlight w:val="none"/>
                <w:lang w:val="en-US" w:eastAsia="zh-CN" w:bidi="ar"/>
              </w:rPr>
              <w:t>中标方当月变更未能实际按方案完成，每发生1起扣1分，扣完为止。</w:t>
            </w:r>
            <w:r>
              <w:rPr>
                <w:rStyle w:val="15"/>
                <w:rFonts w:hAnsi="宋体"/>
                <w:color w:val="auto"/>
                <w:sz w:val="18"/>
                <w:szCs w:val="18"/>
                <w:highlight w:val="none"/>
                <w:lang w:val="en-US" w:eastAsia="zh-CN" w:bidi="ar"/>
              </w:rPr>
              <w:br w:type="textWrapping"/>
            </w:r>
            <w:r>
              <w:rPr>
                <w:rStyle w:val="16"/>
                <w:rFonts w:hAnsi="宋体"/>
                <w:color w:val="auto"/>
                <w:sz w:val="18"/>
                <w:szCs w:val="18"/>
                <w:highlight w:val="none"/>
                <w:lang w:val="en-US" w:eastAsia="zh-CN" w:bidi="ar"/>
              </w:rPr>
              <w:t>注：按原定回退方案执行并成功回退的不做扣分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264" w:type="pct"/>
            <w:vMerge w:val="continue"/>
            <w:shd w:val="clear" w:color="auto" w:fill="auto"/>
            <w:vAlign w:val="center"/>
          </w:tcPr>
          <w:p>
            <w:pPr>
              <w:jc w:val="center"/>
              <w:rPr>
                <w:rFonts w:hint="eastAsia" w:ascii="仿宋_GB2312" w:hAnsi="宋体" w:eastAsia="仿宋_GB2312" w:cs="仿宋_GB2312"/>
                <w:i w:val="0"/>
                <w:iCs w:val="0"/>
                <w:color w:val="auto"/>
                <w:sz w:val="18"/>
                <w:szCs w:val="18"/>
                <w:highlight w:val="none"/>
                <w:u w:val="none"/>
              </w:rPr>
            </w:pP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变更及时上报数（F2）</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中标方对自身所提供云服务执行变更前，及时书面上报政务云变更执行计划的数量。</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变更应全部及时上报</w:t>
            </w:r>
          </w:p>
        </w:tc>
        <w:tc>
          <w:tcPr>
            <w:tcW w:w="805" w:type="pct"/>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（1）变更通知上报时间=变更执行时间-提交时间</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（2）变更及时上报数=每月变更及时上报的数量</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Style w:val="15"/>
                <w:rFonts w:hAnsi="宋体"/>
                <w:color w:val="auto"/>
                <w:sz w:val="18"/>
                <w:szCs w:val="18"/>
                <w:highlight w:val="none"/>
                <w:lang w:val="en-US" w:eastAsia="zh-CN" w:bidi="ar"/>
              </w:rPr>
              <w:t>中标方的变更方案未上报或者上报时间未达到要求，每发生一起扣1分，扣完为止。</w:t>
            </w:r>
            <w:r>
              <w:rPr>
                <w:rStyle w:val="15"/>
                <w:rFonts w:hAnsi="宋体"/>
                <w:color w:val="auto"/>
                <w:sz w:val="18"/>
                <w:szCs w:val="18"/>
                <w:highlight w:val="none"/>
                <w:lang w:val="en-US" w:eastAsia="zh-CN" w:bidi="ar"/>
              </w:rPr>
              <w:br w:type="textWrapping"/>
            </w:r>
            <w:r>
              <w:rPr>
                <w:rStyle w:val="16"/>
                <w:rFonts w:hAnsi="宋体"/>
                <w:color w:val="auto"/>
                <w:sz w:val="18"/>
                <w:szCs w:val="18"/>
                <w:highlight w:val="none"/>
                <w:lang w:val="en-US" w:eastAsia="zh-CN" w:bidi="ar"/>
              </w:rPr>
              <w:t>注：紧急变更方案上报提前时间不作考核。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463"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制度执行有效性（G）</w:t>
            </w:r>
          </w:p>
        </w:tc>
        <w:tc>
          <w:tcPr>
            <w:tcW w:w="264"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41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制度执行有效性</w:t>
            </w:r>
            <w:r>
              <w:rPr>
                <w:rFonts w:hint="eastAsia" w:ascii="仿宋_GB2312" w:hAnsi="宋体" w:eastAsia="仿宋_GB2312" w:cs="仿宋_GB2312"/>
                <w:i w:val="0"/>
                <w:iCs w:val="0"/>
                <w:color w:val="auto"/>
                <w:kern w:val="0"/>
                <w:sz w:val="18"/>
                <w:szCs w:val="18"/>
                <w:highlight w:val="none"/>
                <w:u w:val="none"/>
                <w:lang w:val="en-US" w:eastAsia="zh-CN" w:bidi="ar"/>
              </w:rPr>
              <w:br w:type="textWrapping"/>
            </w:r>
            <w:r>
              <w:rPr>
                <w:rFonts w:hint="eastAsia" w:ascii="仿宋_GB2312" w:hAnsi="宋体" w:eastAsia="仿宋_GB2312" w:cs="仿宋_GB2312"/>
                <w:i w:val="0"/>
                <w:iCs w:val="0"/>
                <w:color w:val="auto"/>
                <w:kern w:val="0"/>
                <w:sz w:val="18"/>
                <w:szCs w:val="18"/>
                <w:highlight w:val="none"/>
                <w:u w:val="none"/>
                <w:lang w:val="en-US" w:eastAsia="zh-CN" w:bidi="ar"/>
              </w:rPr>
              <w:t>（G1）</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5</w:t>
            </w:r>
          </w:p>
        </w:tc>
        <w:tc>
          <w:tcPr>
            <w:tcW w:w="84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中标方应严格执行政务云相关管理制度。</w:t>
            </w:r>
          </w:p>
        </w:tc>
        <w:tc>
          <w:tcPr>
            <w:tcW w:w="893"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中标方不发生任何违反制度的事件</w:t>
            </w:r>
          </w:p>
        </w:tc>
        <w:tc>
          <w:tcPr>
            <w:tcW w:w="805"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违反制度次数=每月未有效执行制度的事件次数</w:t>
            </w:r>
          </w:p>
        </w:tc>
        <w:tc>
          <w:tcPr>
            <w:tcW w:w="1020"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auto"/>
                <w:sz w:val="18"/>
                <w:szCs w:val="18"/>
                <w:highlight w:val="none"/>
                <w:u w:val="none"/>
              </w:rPr>
            </w:pPr>
            <w:r>
              <w:rPr>
                <w:rFonts w:hint="eastAsia" w:ascii="仿宋_GB2312" w:hAnsi="宋体" w:eastAsia="仿宋_GB2312" w:cs="仿宋_GB2312"/>
                <w:i w:val="0"/>
                <w:iCs w:val="0"/>
                <w:color w:val="auto"/>
                <w:kern w:val="0"/>
                <w:sz w:val="18"/>
                <w:szCs w:val="18"/>
                <w:highlight w:val="none"/>
                <w:u w:val="none"/>
                <w:lang w:val="en-US" w:eastAsia="zh-CN" w:bidi="ar"/>
              </w:rPr>
              <w:t>在日常工作中或者其他第三方发现中标方未有效执行政务云管理制度的，每发现一起扣除1分，扣完为止。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00" w:hRule="atLeast"/>
          <w:jc w:val="center"/>
        </w:trPr>
        <w:tc>
          <w:tcPr>
            <w:tcW w:w="1147" w:type="pct"/>
            <w:gridSpan w:val="3"/>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合计</w:t>
            </w:r>
          </w:p>
        </w:tc>
        <w:tc>
          <w:tcPr>
            <w:tcW w:w="29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auto"/>
                <w:sz w:val="18"/>
                <w:szCs w:val="18"/>
                <w:highlight w:val="none"/>
                <w:u w:val="none"/>
              </w:rPr>
            </w:pPr>
            <w:r>
              <w:rPr>
                <w:rFonts w:hint="eastAsia" w:ascii="仿宋_GB2312" w:hAnsi="宋体" w:eastAsia="仿宋_GB2312" w:cs="仿宋_GB2312"/>
                <w:b/>
                <w:bCs/>
                <w:i w:val="0"/>
                <w:iCs w:val="0"/>
                <w:color w:val="auto"/>
                <w:kern w:val="0"/>
                <w:sz w:val="18"/>
                <w:szCs w:val="18"/>
                <w:highlight w:val="none"/>
                <w:u w:val="none"/>
                <w:lang w:val="en-US" w:eastAsia="zh-CN" w:bidi="ar"/>
              </w:rPr>
              <w:t>100</w:t>
            </w:r>
          </w:p>
        </w:tc>
        <w:tc>
          <w:tcPr>
            <w:tcW w:w="842"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893"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805"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c>
          <w:tcPr>
            <w:tcW w:w="1020" w:type="pct"/>
            <w:shd w:val="clear" w:color="auto" w:fill="auto"/>
            <w:vAlign w:val="center"/>
          </w:tcPr>
          <w:p>
            <w:pPr>
              <w:rPr>
                <w:rFonts w:hint="eastAsia" w:ascii="仿宋_GB2312" w:hAnsi="宋体" w:eastAsia="仿宋_GB2312" w:cs="仿宋_GB2312"/>
                <w:b/>
                <w:bCs/>
                <w:i w:val="0"/>
                <w:iCs w:val="0"/>
                <w:color w:val="auto"/>
                <w:sz w:val="18"/>
                <w:szCs w:val="18"/>
                <w:highlight w:val="none"/>
                <w:u w:val="none"/>
              </w:rPr>
            </w:pPr>
          </w:p>
        </w:tc>
      </w:tr>
    </w:tbl>
    <w:p>
      <w:pPr>
        <w:jc w:val="left"/>
        <w:rPr>
          <w:highlight w:val="none"/>
        </w:rPr>
        <w:sectPr>
          <w:footerReference r:id="rId3" w:type="default"/>
          <w:pgSz w:w="12240" w:h="15840"/>
          <w:pgMar w:top="1440" w:right="1800" w:bottom="1440" w:left="1800" w:header="720" w:footer="720" w:gutter="0"/>
          <w:cols w:space="720" w:num="1"/>
          <w:docGrid w:type="lines" w:linePitch="312" w:charSpace="0"/>
        </w:sectPr>
      </w:pPr>
    </w:p>
    <w:p>
      <w:pPr>
        <w:spacing w:line="600" w:lineRule="exact"/>
        <w:ind w:firstLine="562" w:firstLineChars="200"/>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故障定级说明如下</w:t>
      </w:r>
    </w:p>
    <w:p>
      <w:pPr>
        <w:spacing w:line="600" w:lineRule="exact"/>
        <w:ind w:firstLine="560" w:firstLineChars="200"/>
        <w:rPr>
          <w:sz w:val="28"/>
          <w:szCs w:val="28"/>
          <w:highlight w:val="none"/>
        </w:rPr>
      </w:pPr>
      <w:r>
        <w:rPr>
          <w:rFonts w:ascii="仿宋_GB2312" w:hAnsi="仿宋_GB2312" w:eastAsia="仿宋_GB2312" w:cs="仿宋_GB2312"/>
          <w:sz w:val="28"/>
          <w:szCs w:val="28"/>
          <w:highlight w:val="none"/>
        </w:rPr>
        <w:t>各类故障按影响</w:t>
      </w:r>
      <w:r>
        <w:rPr>
          <w:rFonts w:hint="eastAsia" w:ascii="仿宋_GB2312" w:hAnsi="仿宋_GB2312" w:eastAsia="仿宋_GB2312" w:cs="仿宋_GB2312"/>
          <w:sz w:val="28"/>
          <w:szCs w:val="28"/>
          <w:highlight w:val="none"/>
        </w:rPr>
        <w:t>系统数量</w:t>
      </w:r>
      <w:r>
        <w:rPr>
          <w:rFonts w:ascii="仿宋_GB2312" w:hAnsi="仿宋_GB2312" w:eastAsia="仿宋_GB2312" w:cs="仿宋_GB2312"/>
          <w:sz w:val="28"/>
          <w:szCs w:val="28"/>
          <w:highlight w:val="none"/>
        </w:rPr>
        <w:t>、系统重要性、</w:t>
      </w:r>
      <w:r>
        <w:rPr>
          <w:rFonts w:hint="eastAsia" w:ascii="仿宋_GB2312" w:hAnsi="仿宋_GB2312" w:eastAsia="仿宋_GB2312" w:cs="仿宋_GB2312"/>
          <w:sz w:val="28"/>
          <w:szCs w:val="28"/>
          <w:highlight w:val="none"/>
        </w:rPr>
        <w:t>影响程度和</w:t>
      </w:r>
      <w:r>
        <w:rPr>
          <w:rFonts w:ascii="仿宋_GB2312" w:hAnsi="仿宋_GB2312" w:eastAsia="仿宋_GB2312" w:cs="仿宋_GB2312"/>
          <w:sz w:val="28"/>
          <w:szCs w:val="28"/>
          <w:highlight w:val="none"/>
        </w:rPr>
        <w:t>故障时长分</w:t>
      </w:r>
      <w:r>
        <w:rPr>
          <w:rFonts w:hint="eastAsia" w:ascii="仿宋_GB2312" w:hAnsi="仿宋_GB2312" w:eastAsia="仿宋_GB2312" w:cs="仿宋_GB2312"/>
          <w:sz w:val="28"/>
          <w:szCs w:val="28"/>
          <w:highlight w:val="none"/>
          <w:lang w:eastAsia="zh-Hans"/>
        </w:rPr>
        <w:t>为一至六级</w:t>
      </w:r>
      <w:r>
        <w:rPr>
          <w:rFonts w:ascii="仿宋_GB2312" w:hAnsi="仿宋_GB2312" w:eastAsia="仿宋_GB2312" w:cs="仿宋_GB2312"/>
          <w:sz w:val="28"/>
          <w:szCs w:val="28"/>
          <w:highlight w:val="none"/>
        </w:rPr>
        <w:t>六个故障等级</w:t>
      </w:r>
      <w:r>
        <w:rPr>
          <w:rFonts w:hint="eastAsia" w:ascii="仿宋_GB2312" w:hAnsi="仿宋_GB2312" w:eastAsia="仿宋_GB2312" w:cs="仿宋_GB2312"/>
          <w:sz w:val="28"/>
          <w:szCs w:val="28"/>
          <w:highlight w:val="none"/>
        </w:rPr>
        <w:t>，其中一级严重程度最高，六级严重程度最低，</w:t>
      </w:r>
      <w:r>
        <w:rPr>
          <w:rFonts w:ascii="仿宋_GB2312" w:hAnsi="仿宋_GB2312" w:eastAsia="仿宋_GB2312" w:cs="仿宋_GB2312"/>
          <w:sz w:val="28"/>
          <w:szCs w:val="28"/>
          <w:highlight w:val="none"/>
        </w:rPr>
        <w:t>各级别详细定义描述如下：</w:t>
      </w:r>
    </w:p>
    <w:tbl>
      <w:tblPr>
        <w:tblStyle w:val="10"/>
        <w:tblW w:w="5000" w:type="pct"/>
        <w:tblInd w:w="0" w:type="dxa"/>
        <w:tblLayout w:type="fixed"/>
        <w:tblCellMar>
          <w:top w:w="0" w:type="dxa"/>
          <w:left w:w="108" w:type="dxa"/>
          <w:bottom w:w="0" w:type="dxa"/>
          <w:right w:w="108" w:type="dxa"/>
        </w:tblCellMar>
      </w:tblPr>
      <w:tblGrid>
        <w:gridCol w:w="553"/>
        <w:gridCol w:w="737"/>
        <w:gridCol w:w="3241"/>
        <w:gridCol w:w="1031"/>
        <w:gridCol w:w="1619"/>
        <w:gridCol w:w="1674"/>
      </w:tblGrid>
      <w:tr>
        <w:tblPrEx>
          <w:tblCellMar>
            <w:top w:w="0" w:type="dxa"/>
            <w:left w:w="108" w:type="dxa"/>
            <w:bottom w:w="0" w:type="dxa"/>
            <w:right w:w="108" w:type="dxa"/>
          </w:tblCellMar>
        </w:tblPrEx>
        <w:trPr>
          <w:tblHeader/>
        </w:trPr>
        <w:tc>
          <w:tcPr>
            <w:tcW w:w="313"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序号</w:t>
            </w:r>
          </w:p>
        </w:tc>
        <w:tc>
          <w:tcPr>
            <w:tcW w:w="416"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故障定级</w:t>
            </w:r>
          </w:p>
        </w:tc>
        <w:tc>
          <w:tcPr>
            <w:tcW w:w="1830"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影响系统数量</w:t>
            </w:r>
          </w:p>
        </w:tc>
        <w:tc>
          <w:tcPr>
            <w:tcW w:w="582"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系统重要性</w:t>
            </w:r>
          </w:p>
        </w:tc>
        <w:tc>
          <w:tcPr>
            <w:tcW w:w="914"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影响程度</w:t>
            </w:r>
          </w:p>
        </w:tc>
        <w:tc>
          <w:tcPr>
            <w:tcW w:w="945" w:type="pct"/>
            <w:tcBorders>
              <w:top w:val="single" w:color="auto" w:sz="4" w:space="0"/>
              <w:left w:val="nil"/>
              <w:bottom w:val="single" w:color="auto" w:sz="4" w:space="0"/>
              <w:right w:val="single" w:color="auto" w:sz="4" w:space="0"/>
            </w:tcBorders>
            <w:vAlign w:val="center"/>
          </w:tcPr>
          <w:p>
            <w:pPr>
              <w:jc w:val="center"/>
              <w:rPr>
                <w:rFonts w:ascii="仿宋_GB2312" w:hAnsi="等线" w:eastAsia="仿宋_GB2312" w:cs="宋体"/>
                <w:b/>
                <w:bCs/>
                <w:szCs w:val="21"/>
                <w:highlight w:val="none"/>
              </w:rPr>
            </w:pPr>
            <w:r>
              <w:rPr>
                <w:rFonts w:hint="eastAsia" w:ascii="仿宋_GB2312" w:hAnsi="等线" w:eastAsia="仿宋_GB2312" w:cs="宋体"/>
                <w:b/>
                <w:bCs/>
                <w:szCs w:val="21"/>
                <w:highlight w:val="none"/>
              </w:rPr>
              <w:t>故障时长</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所有系统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一级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w:t>
            </w:r>
            <w:r>
              <w:rPr>
                <w:rFonts w:ascii="仿宋_GB2312" w:hAnsi="等线" w:eastAsia="仿宋_GB2312" w:cs="宋体"/>
                <w:szCs w:val="21"/>
                <w:highlight w:val="none"/>
              </w:rPr>
              <w:t>0</w:t>
            </w:r>
            <w:r>
              <w:rPr>
                <w:rFonts w:hint="eastAsia" w:ascii="仿宋_GB2312" w:hAnsi="等线" w:eastAsia="仿宋_GB2312" w:cs="宋体"/>
                <w:szCs w:val="21"/>
                <w:highlight w:val="none"/>
              </w:rPr>
              <w:t>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w:t>
            </w:r>
            <w:r>
              <w:rPr>
                <w:rFonts w:ascii="仿宋_GB2312" w:hAnsi="等线" w:eastAsia="仿宋_GB2312" w:cs="宋体"/>
                <w:szCs w:val="21"/>
                <w:highlight w:val="none"/>
              </w:rPr>
              <w:t>0</w:t>
            </w:r>
            <w:r>
              <w:rPr>
                <w:rFonts w:hint="eastAsia" w:ascii="仿宋_GB2312" w:hAnsi="等线" w:eastAsia="仿宋_GB2312" w:cs="宋体"/>
                <w:szCs w:val="21"/>
                <w:highlight w:val="none"/>
              </w:rPr>
              <w:t>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8</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9</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二级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10</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占云上系统总数25%及以上且数量超过50个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A类系统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云上5%以下业务系统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三级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18</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云上系统5%至25%（包含5%）且数量超过10个业务系统</w:t>
            </w:r>
            <w:r>
              <w:rPr>
                <w:rFonts w:hint="eastAsia" w:ascii="仿宋_GB2312" w:hAnsi="仿宋_GB2312" w:eastAsia="仿宋_GB2312" w:cs="仿宋_GB2312"/>
                <w:highlight w:val="none"/>
              </w:rPr>
              <w:t>或者超过2</w:t>
            </w:r>
            <w:r>
              <w:rPr>
                <w:rFonts w:ascii="仿宋_GB2312" w:hAnsi="仿宋_GB2312" w:eastAsia="仿宋_GB2312" w:cs="仿宋_GB2312"/>
                <w:highlight w:val="none"/>
              </w:rPr>
              <w:t>5%</w:t>
            </w:r>
            <w:r>
              <w:rPr>
                <w:rFonts w:hint="eastAsia" w:ascii="仿宋_GB2312" w:hAnsi="仿宋_GB2312" w:eastAsia="仿宋_GB2312" w:cs="仿宋_GB2312"/>
                <w:highlight w:val="none"/>
              </w:rPr>
              <w:t>但系统数量不满5</w:t>
            </w:r>
            <w:r>
              <w:rPr>
                <w:rFonts w:ascii="仿宋_GB2312" w:hAnsi="仿宋_GB2312" w:eastAsia="仿宋_GB2312" w:cs="仿宋_GB2312"/>
                <w:highlight w:val="none"/>
              </w:rPr>
              <w:t>0</w:t>
            </w:r>
            <w:r>
              <w:rPr>
                <w:rFonts w:hint="eastAsia" w:ascii="仿宋_GB2312" w:hAnsi="仿宋_GB2312" w:eastAsia="仿宋_GB2312" w:cs="仿宋_GB2312"/>
                <w:highlight w:val="none"/>
              </w:rPr>
              <w:t>个</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19</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云上5%以下业务系统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20</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无法使用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21</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B类系统</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不超过120分钟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22</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23</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四级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系统数量超过1个且占云上系统总数5%以下</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24</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占云上系统5%及以上但不超过10个业务系统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25</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系统数量超过1个且占云上系统总数5%以下</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不超过240分钟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26</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五级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单个业务系统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超过360分钟</w:t>
            </w:r>
          </w:p>
        </w:tc>
      </w:tr>
      <w:tr>
        <w:tblPrEx>
          <w:tblCellMar>
            <w:top w:w="0" w:type="dxa"/>
            <w:left w:w="108" w:type="dxa"/>
            <w:bottom w:w="0" w:type="dxa"/>
            <w:right w:w="108" w:type="dxa"/>
          </w:tblCellMar>
        </w:tblPrEx>
        <w:tc>
          <w:tcPr>
            <w:tcW w:w="313" w:type="pct"/>
            <w:tcBorders>
              <w:top w:val="nil"/>
              <w:left w:val="single" w:color="auto" w:sz="4" w:space="0"/>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27</w:t>
            </w:r>
          </w:p>
        </w:tc>
        <w:tc>
          <w:tcPr>
            <w:tcW w:w="416"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六级</w:t>
            </w:r>
          </w:p>
        </w:tc>
        <w:tc>
          <w:tcPr>
            <w:tcW w:w="1830" w:type="pct"/>
            <w:tcBorders>
              <w:top w:val="nil"/>
              <w:left w:val="nil"/>
              <w:bottom w:val="single" w:color="auto" w:sz="4" w:space="0"/>
              <w:right w:val="single" w:color="auto" w:sz="4" w:space="0"/>
            </w:tcBorders>
            <w:vAlign w:val="center"/>
          </w:tcPr>
          <w:p>
            <w:pPr>
              <w:rPr>
                <w:rFonts w:ascii="仿宋_GB2312" w:hAnsi="等线" w:eastAsia="仿宋_GB2312" w:cs="宋体"/>
                <w:szCs w:val="21"/>
                <w:highlight w:val="none"/>
              </w:rPr>
            </w:pPr>
            <w:r>
              <w:rPr>
                <w:rFonts w:hint="eastAsia" w:ascii="仿宋_GB2312" w:hAnsi="等线" w:eastAsia="仿宋_GB2312" w:cs="宋体"/>
                <w:szCs w:val="21"/>
                <w:highlight w:val="none"/>
              </w:rPr>
              <w:t>单个业务系统</w:t>
            </w:r>
          </w:p>
        </w:tc>
        <w:tc>
          <w:tcPr>
            <w:tcW w:w="582"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w:t>
            </w:r>
          </w:p>
        </w:tc>
        <w:tc>
          <w:tcPr>
            <w:tcW w:w="914"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影响系统使用</w:t>
            </w:r>
          </w:p>
        </w:tc>
        <w:tc>
          <w:tcPr>
            <w:tcW w:w="945" w:type="pct"/>
            <w:tcBorders>
              <w:top w:val="nil"/>
              <w:left w:val="nil"/>
              <w:bottom w:val="single" w:color="auto" w:sz="4" w:space="0"/>
              <w:right w:val="single" w:color="auto" w:sz="4" w:space="0"/>
            </w:tcBorders>
            <w:vAlign w:val="center"/>
          </w:tcPr>
          <w:p>
            <w:pPr>
              <w:jc w:val="center"/>
              <w:rPr>
                <w:rFonts w:ascii="仿宋_GB2312" w:hAnsi="等线" w:eastAsia="仿宋_GB2312" w:cs="宋体"/>
                <w:szCs w:val="21"/>
                <w:highlight w:val="none"/>
              </w:rPr>
            </w:pPr>
            <w:r>
              <w:rPr>
                <w:rFonts w:hint="eastAsia" w:ascii="仿宋_GB2312" w:hAnsi="等线" w:eastAsia="仿宋_GB2312" w:cs="宋体"/>
                <w:szCs w:val="21"/>
                <w:highlight w:val="none"/>
              </w:rPr>
              <w:t>不超过360分钟</w:t>
            </w:r>
          </w:p>
        </w:tc>
      </w:tr>
    </w:tbl>
    <w:p>
      <w:pPr>
        <w:spacing w:line="600" w:lineRule="exact"/>
        <w:ind w:firstLine="567"/>
        <w:rPr>
          <w:rFonts w:ascii="仿宋_GB2312" w:hAnsi="仿宋_GB2312" w:eastAsia="仿宋_GB2312" w:cs="仿宋_GB2312"/>
          <w:b/>
          <w:bCs/>
          <w:sz w:val="28"/>
          <w:szCs w:val="28"/>
          <w:highlight w:val="none"/>
          <w:lang w:eastAsia="zh-Hans"/>
        </w:rPr>
      </w:pPr>
      <w:r>
        <w:rPr>
          <w:rFonts w:hint="eastAsia" w:ascii="仿宋_GB2312" w:hAnsi="仿宋_GB2312" w:eastAsia="仿宋_GB2312" w:cs="仿宋_GB2312"/>
          <w:b/>
          <w:bCs/>
          <w:sz w:val="28"/>
          <w:szCs w:val="28"/>
          <w:highlight w:val="none"/>
          <w:lang w:val="en-US" w:eastAsia="zh-CN"/>
        </w:rPr>
        <w:t>备注</w:t>
      </w:r>
      <w:r>
        <w:rPr>
          <w:rFonts w:hint="eastAsia" w:ascii="仿宋_GB2312" w:hAnsi="仿宋_GB2312" w:eastAsia="仿宋_GB2312" w:cs="仿宋_GB2312"/>
          <w:b/>
          <w:bCs/>
          <w:sz w:val="28"/>
          <w:szCs w:val="28"/>
          <w:highlight w:val="none"/>
          <w:lang w:eastAsia="zh-Hans"/>
        </w:rPr>
        <w:t>：</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（1）故障按照就高原则定级，即如果一个故障符合多级故障定级条件时，按照严重程度更高的故障等级定级。</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（2）系统分类</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A类系统：如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市医疗急救中心系统平台整体入云项目</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“随申办”“医保平台”等涉及重大民生的系统。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B类系统：如“120调度系统”“市路政局停车业务管理系统”“市涉法涉诉信访管理系统”等面向公众服务的系统；如“预算管理一体化系统”“市政府网站集约化平台”“电子政务云系统软件和国产密码应用服务基础设施”等面向多个委办单位服务的系统；如“市义务教育入学报名系统”“市电子证照库”“大数据资源平台”等对经济社会发展有重要影响的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C类系统：除了A类、B类以外的信息系统。</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某个发生故障的系统属于A、B、C的分类认定以</w:t>
      </w:r>
      <w:r>
        <w:rPr>
          <w:rFonts w:hint="eastAsia" w:ascii="仿宋_GB2312" w:hAnsi="仿宋_GB2312" w:eastAsia="仿宋_GB2312" w:cs="仿宋_GB2312"/>
          <w:sz w:val="28"/>
          <w:szCs w:val="28"/>
          <w:highlight w:val="none"/>
          <w:lang w:val="en-US" w:eastAsia="zh-CN"/>
        </w:rPr>
        <w:t>采购方指定的</w:t>
      </w:r>
      <w:r>
        <w:rPr>
          <w:rFonts w:hint="eastAsia" w:ascii="仿宋_GB2312" w:hAnsi="仿宋_GB2312" w:eastAsia="仿宋_GB2312" w:cs="仿宋_GB2312"/>
          <w:sz w:val="28"/>
          <w:szCs w:val="28"/>
          <w:highlight w:val="none"/>
        </w:rPr>
        <w:t>第三方出具的评估结论为准。</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（3）故障影响程度</w:t>
      </w:r>
    </w:p>
    <w:p>
      <w:pPr>
        <w:spacing w:line="60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系统无法使用：由于云平台故障造成使用单位的业务系统出现功能不可用、应用或服务不可访问、业务系统失效或崩溃、性能严重下降等情况之一的。</w:t>
      </w:r>
    </w:p>
    <w:p>
      <w:pPr>
        <w:spacing w:line="600" w:lineRule="exac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Hans"/>
        </w:rPr>
        <w:t>影响系统使用：由于云平台故障造成使用单位的业务系统应用或服务部分功能不可用、业务系统时断时续、明显卡顿、性能明显下降等情况之一的。</w:t>
      </w:r>
    </w:p>
    <w:p>
      <w:pPr>
        <w:widowControl w:val="0"/>
        <w:spacing w:line="600" w:lineRule="exact"/>
        <w:ind w:firstLine="562" w:firstLineChars="200"/>
        <w:outlineLvl w:val="1"/>
        <w:rPr>
          <w:rFonts w:ascii="楷体_GB2312" w:hAnsi="仿宋_GB2312" w:eastAsia="楷体_GB2312" w:cs="仿宋_GB2312"/>
          <w:b/>
          <w:bCs/>
          <w:color w:val="000000"/>
          <w:kern w:val="0"/>
          <w:sz w:val="28"/>
          <w:szCs w:val="28"/>
          <w:highlight w:val="none"/>
          <w:lang w:bidi="en-US"/>
        </w:rPr>
      </w:pPr>
      <w:r>
        <w:rPr>
          <w:rFonts w:hint="eastAsia" w:ascii="楷体_GB2312" w:hAnsi="仿宋_GB2312" w:eastAsia="楷体_GB2312" w:cs="仿宋_GB2312"/>
          <w:b/>
          <w:bCs/>
          <w:color w:val="000000"/>
          <w:kern w:val="0"/>
          <w:sz w:val="28"/>
          <w:szCs w:val="28"/>
          <w:highlight w:val="none"/>
          <w:lang w:bidi="en-US"/>
        </w:rPr>
        <w:t>（二）年度考核指标体系</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434"/>
        <w:gridCol w:w="912"/>
        <w:gridCol w:w="531"/>
        <w:gridCol w:w="1307"/>
        <w:gridCol w:w="1102"/>
        <w:gridCol w:w="1235"/>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409" w:type="pct"/>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一级指标</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分值</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二级指标</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分值</w:t>
            </w:r>
          </w:p>
        </w:tc>
        <w:tc>
          <w:tcPr>
            <w:tcW w:w="738"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指标解释</w:t>
            </w:r>
          </w:p>
        </w:tc>
        <w:tc>
          <w:tcPr>
            <w:tcW w:w="622"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应达要求</w:t>
            </w:r>
          </w:p>
        </w:tc>
        <w:tc>
          <w:tcPr>
            <w:tcW w:w="697"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测量规则</w:t>
            </w:r>
          </w:p>
        </w:tc>
        <w:tc>
          <w:tcPr>
            <w:tcW w:w="1471"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trPr>
        <w:tc>
          <w:tcPr>
            <w:tcW w:w="409"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满意度管理（H）</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30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云服务满意率（H1）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30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见满意度调查问卷。</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每年满意度不低于90%</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云服务满意率：见满意度调查问卷</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云服务满意度≥90%得满分，每偏差1%扣除权重2%，扣完为止。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0" w:hRule="atLeast"/>
        </w:trPr>
        <w:tc>
          <w:tcPr>
            <w:tcW w:w="409"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培训管理(I)</w:t>
            </w: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年有效培训次数</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（I1）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每年中标方面向政务云使用单位的培训次数。</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每年有效培训次数不小于20次</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每次培训人数不少于4人，按提供培训教材、培训通知、现场签到或会议记录等佐证材料计数。</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年有效培训次数≥20次得满分，每偏差1次扣除权重的5%，扣完为止。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409" w:type="pct"/>
            <w:vMerge w:val="restar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安全管理</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(J)</w:t>
            </w:r>
          </w:p>
        </w:tc>
        <w:tc>
          <w:tcPr>
            <w:tcW w:w="245"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安全通报事件数</w:t>
            </w:r>
          </w:p>
        </w:tc>
        <w:tc>
          <w:tcPr>
            <w:tcW w:w="300" w:type="pct"/>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每年中标方被国家、市级安全主管部门通报涉及市政务云安全事件数量。</w:t>
            </w:r>
          </w:p>
        </w:tc>
        <w:tc>
          <w:tcPr>
            <w:tcW w:w="622" w:type="pct"/>
            <w:shd w:val="clear" w:color="auto" w:fill="auto"/>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不发生安全通报事件</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安全通报事件数=国家、市级安全主管部门通报涉及市政务云安全事件数量</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18"/>
                <w:szCs w:val="18"/>
                <w:highlight w:val="none"/>
                <w:u w:val="none"/>
                <w:lang w:val="en-US" w:eastAsia="zh-CN" w:bidi="ar"/>
              </w:rPr>
            </w:pPr>
            <w:r>
              <w:rPr>
                <w:rFonts w:hint="eastAsia" w:ascii="仿宋_GB2312" w:hAnsi="宋体" w:eastAsia="仿宋_GB2312" w:cs="仿宋_GB2312"/>
                <w:i w:val="0"/>
                <w:iCs w:val="0"/>
                <w:color w:val="000000"/>
                <w:kern w:val="0"/>
                <w:sz w:val="18"/>
                <w:szCs w:val="18"/>
                <w:highlight w:val="none"/>
                <w:u w:val="none"/>
                <w:lang w:val="en-US" w:eastAsia="zh-CN" w:bidi="ar"/>
              </w:rPr>
              <w:t>中标方每发生一起被国家、市级安全主管部门通报涉及市政务云安全事件扣10分，扣完为止；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0" w:hRule="atLeast"/>
        </w:trPr>
        <w:tc>
          <w:tcPr>
            <w:tcW w:w="409" w:type="pct"/>
            <w:vMerge w:val="continue"/>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安全风险及时整改数（J1）</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发现涉及安全风险事件时，在规定的时间内予以整改的数量。</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安全风险包括安全漏洞、故障隐患、其他问题等应及时整改，时间不超过规定时间。</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（1）安全风险整改时间=安全风险处理完成时间-发现安全风险的时间</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（2）安全风险及时整改数=按时整改数</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中标方的安全风险整改指标未达到要求，每发生一起则扣5分，扣完为止。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0" w:hRule="atLeast"/>
        </w:trPr>
        <w:tc>
          <w:tcPr>
            <w:tcW w:w="409" w:type="pct"/>
            <w:vMerge w:val="continue"/>
            <w:shd w:val="clear" w:color="auto" w:fill="auto"/>
            <w:vAlign w:val="center"/>
          </w:tcPr>
          <w:p>
            <w:pPr>
              <w:jc w:val="center"/>
              <w:rPr>
                <w:rFonts w:hint="eastAsia" w:ascii="仿宋_GB2312" w:hAnsi="宋体" w:eastAsia="仿宋_GB2312" w:cs="仿宋_GB2312"/>
                <w:i w:val="0"/>
                <w:iCs w:val="0"/>
                <w:color w:val="000000"/>
                <w:sz w:val="18"/>
                <w:szCs w:val="18"/>
                <w:highlight w:val="none"/>
                <w:u w:val="none"/>
              </w:rPr>
            </w:pPr>
          </w:p>
        </w:tc>
        <w:tc>
          <w:tcPr>
            <w:tcW w:w="24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515"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安全责任事故数（J2）</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20</w:t>
            </w:r>
          </w:p>
        </w:tc>
        <w:tc>
          <w:tcPr>
            <w:tcW w:w="738"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中标方提供的机房、网络、安全、虚拟机、物理机、存储、运维等方面出现问题引起的安全责任事故数量。</w:t>
            </w:r>
          </w:p>
        </w:tc>
        <w:tc>
          <w:tcPr>
            <w:tcW w:w="622"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不发生该类事件</w:t>
            </w:r>
          </w:p>
        </w:tc>
        <w:tc>
          <w:tcPr>
            <w:tcW w:w="697"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安全责任事故数=采购方指定的第三方出具监管报告确认为安全责任事故的数量</w:t>
            </w:r>
          </w:p>
        </w:tc>
        <w:tc>
          <w:tcPr>
            <w:tcW w:w="1471" w:type="pct"/>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（1）中标方的五级安全责任事故每发生一起则扣2分，扣完为止；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（2）中标方的四级安全责任事故每发生一起则扣4分，扣完为止；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（3）中标方的三级安全责任事故每发生一起则扣6分，扣完为止；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（4）中标方的二级安全责任事故每发生一起则扣8分，扣完为止；</w:t>
            </w:r>
            <w:r>
              <w:rPr>
                <w:rFonts w:hint="eastAsia" w:ascii="仿宋_GB2312" w:hAnsi="宋体" w:eastAsia="仿宋_GB2312" w:cs="仿宋_GB2312"/>
                <w:i w:val="0"/>
                <w:iCs w:val="0"/>
                <w:color w:val="000000"/>
                <w:kern w:val="0"/>
                <w:sz w:val="18"/>
                <w:szCs w:val="18"/>
                <w:highlight w:val="none"/>
                <w:u w:val="none"/>
                <w:lang w:val="en-US" w:eastAsia="zh-CN" w:bidi="ar"/>
              </w:rPr>
              <w:br w:type="textWrapping"/>
            </w:r>
            <w:r>
              <w:rPr>
                <w:rFonts w:hint="eastAsia" w:ascii="仿宋_GB2312" w:hAnsi="宋体" w:eastAsia="仿宋_GB2312" w:cs="仿宋_GB2312"/>
                <w:i w:val="0"/>
                <w:iCs w:val="0"/>
                <w:color w:val="000000"/>
                <w:kern w:val="0"/>
                <w:sz w:val="18"/>
                <w:szCs w:val="18"/>
                <w:highlight w:val="none"/>
                <w:u w:val="none"/>
                <w:lang w:val="en-US" w:eastAsia="zh-CN" w:bidi="ar"/>
              </w:rPr>
              <w:t>（5）中标方的一级安全责任事故每发生一起则扣10分，扣完为止。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trPr>
        <w:tc>
          <w:tcPr>
            <w:tcW w:w="1169" w:type="pct"/>
            <w:gridSpan w:val="3"/>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合计</w:t>
            </w:r>
          </w:p>
        </w:tc>
        <w:tc>
          <w:tcPr>
            <w:tcW w:w="300" w:type="pct"/>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100</w:t>
            </w:r>
          </w:p>
        </w:tc>
        <w:tc>
          <w:tcPr>
            <w:tcW w:w="738"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622"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697"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c>
          <w:tcPr>
            <w:tcW w:w="1471" w:type="pct"/>
            <w:shd w:val="clear" w:color="auto" w:fill="auto"/>
            <w:vAlign w:val="center"/>
          </w:tcPr>
          <w:p>
            <w:pPr>
              <w:rPr>
                <w:rFonts w:hint="eastAsia" w:ascii="仿宋_GB2312" w:hAnsi="宋体" w:eastAsia="仿宋_GB2312" w:cs="仿宋_GB2312"/>
                <w:b/>
                <w:bCs/>
                <w:i w:val="0"/>
                <w:iCs w:val="0"/>
                <w:color w:val="000000"/>
                <w:sz w:val="18"/>
                <w:szCs w:val="18"/>
                <w:highlight w:val="none"/>
                <w:u w:val="none"/>
              </w:rPr>
            </w:pPr>
          </w:p>
        </w:tc>
      </w:tr>
    </w:tbl>
    <w:p>
      <w:pPr>
        <w:spacing w:line="400" w:lineRule="exact"/>
        <w:ind w:firstLine="480"/>
        <w:rPr>
          <w:rFonts w:ascii="微软雅黑" w:hAnsi="微软雅黑" w:eastAsia="微软雅黑" w:cs="微软雅黑"/>
          <w:highlight w:val="none"/>
        </w:rPr>
      </w:pPr>
    </w:p>
    <w:p>
      <w:pPr>
        <w:tabs>
          <w:tab w:val="left" w:pos="580"/>
        </w:tabs>
        <w:rPr>
          <w:rFonts w:ascii="微软雅黑" w:hAnsi="微软雅黑" w:eastAsia="微软雅黑" w:cs="微软雅黑"/>
          <w:highlight w:val="none"/>
        </w:rPr>
        <w:sectPr>
          <w:pgSz w:w="12240" w:h="15840"/>
          <w:pgMar w:top="1440" w:right="1800" w:bottom="1440" w:left="1800" w:header="720" w:footer="720" w:gutter="0"/>
          <w:cols w:space="720" w:num="1"/>
          <w:docGrid w:type="lines" w:linePitch="312" w:charSpace="0"/>
        </w:sectPr>
      </w:pPr>
      <w:r>
        <w:rPr>
          <w:rFonts w:ascii="微软雅黑" w:hAnsi="微软雅黑" w:eastAsia="微软雅黑" w:cs="微软雅黑"/>
          <w:highlight w:val="none"/>
        </w:rPr>
        <w:tab/>
      </w:r>
    </w:p>
    <w:p>
      <w:pPr>
        <w:widowControl w:val="0"/>
        <w:spacing w:line="600" w:lineRule="exact"/>
        <w:ind w:firstLine="560" w:firstLineChars="200"/>
        <w:outlineLvl w:val="0"/>
        <w:rPr>
          <w:rFonts w:ascii="黑体" w:hAnsi="黑体" w:eastAsia="黑体" w:cs="仿宋_GB2312"/>
          <w:color w:val="000000"/>
          <w:kern w:val="0"/>
          <w:sz w:val="28"/>
          <w:szCs w:val="28"/>
          <w:highlight w:val="none"/>
          <w:lang w:val="zh-CN" w:bidi="en-US"/>
        </w:rPr>
      </w:pPr>
      <w:r>
        <w:rPr>
          <w:rFonts w:hint="eastAsia" w:ascii="黑体" w:hAnsi="黑体" w:eastAsia="黑体" w:cs="仿宋_GB2312"/>
          <w:color w:val="000000"/>
          <w:kern w:val="0"/>
          <w:sz w:val="28"/>
          <w:szCs w:val="28"/>
          <w:highlight w:val="none"/>
          <w:lang w:val="zh-CN" w:bidi="en-US"/>
        </w:rPr>
        <w:t>考核方法与考核结果</w:t>
      </w:r>
    </w:p>
    <w:p>
      <w:pPr>
        <w:spacing w:line="600" w:lineRule="atLeas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val="en-US" w:eastAsia="zh-CN"/>
        </w:rPr>
        <w:t>采购方</w:t>
      </w:r>
      <w:r>
        <w:rPr>
          <w:rFonts w:hint="eastAsia" w:ascii="仿宋_GB2312" w:hAnsi="仿宋_GB2312" w:eastAsia="仿宋_GB2312" w:cs="仿宋_GB2312"/>
          <w:sz w:val="28"/>
          <w:szCs w:val="28"/>
          <w:highlight w:val="none"/>
          <w:lang w:eastAsia="zh-Hans"/>
        </w:rPr>
        <w:t>每月定期按月度考核指标进行考核，出具考核结果，一个服务年度按年度考核指标执行一次年度考核，出具年度考核结果。</w:t>
      </w:r>
    </w:p>
    <w:p>
      <w:pPr>
        <w:spacing w:line="600" w:lineRule="atLeast"/>
        <w:ind w:firstLine="560" w:firstLineChars="200"/>
        <w:rPr>
          <w:rFonts w:ascii="仿宋_GB2312" w:hAnsi="仿宋_GB2312" w:eastAsia="仿宋_GB2312" w:cs="仿宋_GB2312"/>
          <w:sz w:val="28"/>
          <w:szCs w:val="28"/>
          <w:highlight w:val="none"/>
          <w:lang w:eastAsia="zh-Hans"/>
        </w:rPr>
      </w:pPr>
      <w:r>
        <w:rPr>
          <w:rFonts w:hint="eastAsia" w:ascii="仿宋_GB2312" w:hAnsi="仿宋_GB2312" w:eastAsia="仿宋_GB2312" w:cs="仿宋_GB2312"/>
          <w:sz w:val="28"/>
          <w:szCs w:val="28"/>
          <w:highlight w:val="none"/>
          <w:lang w:eastAsia="zh-CN"/>
        </w:rPr>
        <w:t>中标方</w:t>
      </w:r>
      <w:r>
        <w:rPr>
          <w:rFonts w:hint="eastAsia" w:ascii="仿宋_GB2312" w:hAnsi="仿宋_GB2312" w:eastAsia="仿宋_GB2312" w:cs="仿宋_GB2312"/>
          <w:sz w:val="28"/>
          <w:szCs w:val="28"/>
          <w:highlight w:val="none"/>
          <w:lang w:eastAsia="zh-Hans"/>
        </w:rPr>
        <w:t>年度考核得分8</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%权重来自于月度考核，2</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%来自于年度考核，具体计算公式如下：</w:t>
      </w:r>
    </w:p>
    <w:p>
      <w:pPr>
        <w:spacing w:line="600" w:lineRule="atLeast"/>
        <w:ind w:firstLine="560" w:firstLineChars="200"/>
        <w:rPr>
          <w:sz w:val="20"/>
          <w:szCs w:val="18"/>
          <w:highlight w:val="none"/>
        </w:rPr>
      </w:pPr>
      <w:r>
        <w:rPr>
          <w:rFonts w:hint="eastAsia" w:ascii="仿宋_GB2312" w:hAnsi="仿宋_GB2312" w:eastAsia="仿宋_GB2312" w:cs="仿宋_GB2312"/>
          <w:sz w:val="28"/>
          <w:szCs w:val="28"/>
          <w:highlight w:val="none"/>
          <w:lang w:eastAsia="zh-CN"/>
        </w:rPr>
        <w:t>中标方</w:t>
      </w:r>
      <w:r>
        <w:rPr>
          <w:rFonts w:hint="eastAsia" w:ascii="仿宋_GB2312" w:hAnsi="仿宋_GB2312" w:eastAsia="仿宋_GB2312" w:cs="仿宋_GB2312"/>
          <w:sz w:val="28"/>
          <w:szCs w:val="28"/>
          <w:highlight w:val="none"/>
          <w:lang w:eastAsia="zh-Hans"/>
        </w:rPr>
        <w:t>年度考核得分=服务年度月度考核得分平均分×8</w:t>
      </w:r>
      <w:r>
        <w:rPr>
          <w:rFonts w:ascii="仿宋_GB2312" w:hAnsi="仿宋_GB2312" w:eastAsia="仿宋_GB2312" w:cs="仿宋_GB2312"/>
          <w:sz w:val="28"/>
          <w:szCs w:val="28"/>
          <w:highlight w:val="none"/>
          <w:lang w:eastAsia="zh-Hans"/>
        </w:rPr>
        <w:t>0</w:t>
      </w:r>
      <w:r>
        <w:rPr>
          <w:rFonts w:hint="eastAsia" w:ascii="仿宋_GB2312" w:hAnsi="仿宋_GB2312" w:eastAsia="仿宋_GB2312" w:cs="仿宋_GB2312"/>
          <w:sz w:val="28"/>
          <w:szCs w:val="28"/>
          <w:highlight w:val="none"/>
          <w:lang w:eastAsia="zh-Hans"/>
        </w:rPr>
        <w:t>%+服务年度考核得分×</w:t>
      </w:r>
      <w:r>
        <w:rPr>
          <w:rFonts w:ascii="仿宋_GB2312" w:hAnsi="仿宋_GB2312" w:eastAsia="仿宋_GB2312" w:cs="仿宋_GB2312"/>
          <w:sz w:val="28"/>
          <w:szCs w:val="28"/>
          <w:highlight w:val="none"/>
          <w:lang w:eastAsia="zh-Hans"/>
        </w:rPr>
        <w:t>20</w:t>
      </w:r>
      <w:r>
        <w:rPr>
          <w:rFonts w:hint="eastAsia" w:ascii="仿宋_GB2312" w:hAnsi="仿宋_GB2312" w:eastAsia="仿宋_GB2312" w:cs="仿宋_GB2312"/>
          <w:sz w:val="28"/>
          <w:szCs w:val="28"/>
          <w:highlight w:val="none"/>
          <w:lang w:eastAsia="zh-Hans"/>
        </w:rPr>
        <w:t>%</w:t>
      </w:r>
      <w:bookmarkEnd w:id="93"/>
    </w:p>
    <w:p>
      <w:pPr>
        <w:widowControl/>
        <w:numPr>
          <w:ilvl w:val="0"/>
          <w:numId w:val="23"/>
        </w:numPr>
        <w:topLinePunct/>
        <w:adjustRightInd w:val="0"/>
        <w:snapToGrid w:val="0"/>
        <w:spacing w:before="100" w:after="100" w:line="300" w:lineRule="exact"/>
        <w:ind w:left="420" w:hangingChars="200"/>
        <w:jc w:val="left"/>
        <w:rPr>
          <w:rFonts w:ascii="宋体" w:hAnsi="宋体"/>
        </w:rPr>
        <w:sectPr>
          <w:pgSz w:w="11906" w:h="16838"/>
          <w:pgMar w:top="1440" w:right="1800" w:bottom="1440" w:left="1800" w:header="851" w:footer="992" w:gutter="0"/>
          <w:cols w:space="425" w:num="1"/>
          <w:docGrid w:type="lines" w:linePitch="312" w:charSpace="0"/>
        </w:sectPr>
      </w:pPr>
    </w:p>
    <w:p>
      <w:pPr>
        <w:widowControl/>
        <w:numPr>
          <w:ilvl w:val="0"/>
          <w:numId w:val="23"/>
        </w:numPr>
        <w:topLinePunct/>
        <w:adjustRightInd w:val="0"/>
        <w:snapToGrid w:val="0"/>
        <w:spacing w:before="100" w:after="100" w:line="300" w:lineRule="exact"/>
        <w:ind w:left="420" w:hangingChars="200"/>
        <w:jc w:val="left"/>
        <w:rPr>
          <w:rFonts w:ascii="宋体" w:hAnsi="宋体"/>
        </w:rPr>
      </w:pPr>
      <w:r>
        <w:rPr>
          <w:rFonts w:hint="eastAsia" w:ascii="宋体" w:hAnsi="宋体"/>
        </w:rPr>
        <w:t>提供额外设备托管机柜。</w:t>
      </w:r>
      <w:bookmarkEnd w:id="9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CC"/>
    <w:family w:val="roman"/>
    <w:pitch w:val="default"/>
    <w:sig w:usb0="00000000" w:usb1="00000000" w:usb2="00000001" w:usb3="00000000" w:csb0="400001BF" w:csb1="DFF7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Book Antiqua">
    <w:altName w:val="Liberation Serif"/>
    <w:panose1 w:val="02040602050305030304"/>
    <w:charset w:val="00"/>
    <w:family w:val="roman"/>
    <w:pitch w:val="default"/>
    <w:sig w:usb0="00000000" w:usb1="00000000" w:usb2="00000000" w:usb3="00000000" w:csb0="2000009F" w:csb1="DFD70000"/>
  </w:font>
  <w:font w:name="Liberation Serif">
    <w:panose1 w:val="02020603050405020304"/>
    <w:charset w:val="00"/>
    <w:family w:val="auto"/>
    <w:pitch w:val="default"/>
    <w:sig w:usb0="A00002AF" w:usb1="500078FB" w:usb2="00000000" w:usb3="00000000" w:csb0="6000009F" w:csb1="DFD7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Segoe UI Symbol">
    <w:altName w:val="Noto Sans"/>
    <w:panose1 w:val="020B0502040204020203"/>
    <w:charset w:val="00"/>
    <w:family w:val="swiss"/>
    <w:pitch w:val="default"/>
    <w:sig w:usb0="00000000" w:usb1="00000000" w:usb2="00040000" w:usb3="04000000" w:csb0="00000001" w:csb1="40000000"/>
  </w:font>
  <w:font w:name="Noto Sans">
    <w:panose1 w:val="020B0502040504020204"/>
    <w:charset w:val="00"/>
    <w:family w:val="auto"/>
    <w:pitch w:val="default"/>
    <w:sig w:usb0="E00002FF" w:usb1="4000201F" w:usb2="08000029" w:usb3="00100000" w:csb0="0000019F"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swiss"/>
    <w:pitch w:val="default"/>
    <w:sig w:usb0="00000000" w:usb1="00000000" w:usb2="00000016" w:usb3="00000000" w:csb0="0004001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宋体 ( 正文 )">
    <w:altName w:val="方正书宋_GBK"/>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5197834"/>
      <w:docPartObj>
        <w:docPartGallery w:val="autotext"/>
      </w:docPartObj>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tabs>
        <w:tab w:val="center" w:pos="4320"/>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EB9EF"/>
    <w:multiLevelType w:val="singleLevel"/>
    <w:tmpl w:val="8EAEB9EF"/>
    <w:lvl w:ilvl="0" w:tentative="0">
      <w:start w:val="1"/>
      <w:numFmt w:val="decimal"/>
      <w:suff w:val="space"/>
      <w:lvlText w:val="%1."/>
      <w:lvlJc w:val="left"/>
    </w:lvl>
  </w:abstractNum>
  <w:abstractNum w:abstractNumId="1">
    <w:nsid w:val="AC6B8741"/>
    <w:multiLevelType w:val="multilevel"/>
    <w:tmpl w:val="AC6B874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EAD57082"/>
    <w:multiLevelType w:val="multilevel"/>
    <w:tmpl w:val="EAD5708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EFF9B046"/>
    <w:multiLevelType w:val="multilevel"/>
    <w:tmpl w:val="EFF9B04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F777D8F2"/>
    <w:multiLevelType w:val="multilevel"/>
    <w:tmpl w:val="F777D8F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F7FA471E"/>
    <w:multiLevelType w:val="multilevel"/>
    <w:tmpl w:val="F7FA471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FB3F173C"/>
    <w:multiLevelType w:val="multilevel"/>
    <w:tmpl w:val="FB3F173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FEFF27DF"/>
    <w:multiLevelType w:val="multilevel"/>
    <w:tmpl w:val="FEFF27D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FF37619F"/>
    <w:multiLevelType w:val="multilevel"/>
    <w:tmpl w:val="FF37619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FF9FD440"/>
    <w:multiLevelType w:val="multilevel"/>
    <w:tmpl w:val="FF9FD44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FFF6871F"/>
    <w:multiLevelType w:val="multilevel"/>
    <w:tmpl w:val="FFF6871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FFFFFF88"/>
    <w:multiLevelType w:val="singleLevel"/>
    <w:tmpl w:val="FFFFFF88"/>
    <w:lvl w:ilvl="0" w:tentative="0">
      <w:start w:val="1"/>
      <w:numFmt w:val="decimal"/>
      <w:pStyle w:val="3"/>
      <w:lvlText w:val="%1."/>
      <w:lvlJc w:val="left"/>
      <w:pPr>
        <w:tabs>
          <w:tab w:val="left" w:pos="360"/>
        </w:tabs>
        <w:ind w:left="360" w:hanging="360"/>
      </w:pPr>
    </w:lvl>
  </w:abstractNum>
  <w:abstractNum w:abstractNumId="12">
    <w:nsid w:val="0D540E02"/>
    <w:multiLevelType w:val="multilevel"/>
    <w:tmpl w:val="0D540E0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171657A1"/>
    <w:multiLevelType w:val="multilevel"/>
    <w:tmpl w:val="171657A1"/>
    <w:lvl w:ilvl="0" w:tentative="0">
      <w:start w:val="1"/>
      <w:numFmt w:val="decimal"/>
      <w:suff w:val="nothing"/>
      <w:lvlText w:val="%1 "/>
      <w:lvlJc w:val="left"/>
      <w:rPr>
        <w:rFonts w:hint="default" w:ascii="Book Antiqua" w:hAnsi="Book Antiqua" w:eastAsia="黑体" w:cs="Book Antiqua"/>
        <w:b/>
        <w:bCs/>
        <w:i w:val="0"/>
        <w:iCs w:val="0"/>
        <w:caps w:val="0"/>
        <w:strike w:val="0"/>
        <w:dstrike w:val="0"/>
        <w:vanish w:val="0"/>
        <w:color w:val="000000"/>
        <w:sz w:val="144"/>
        <w:szCs w:val="144"/>
        <w:vertAlign w:val="baseline"/>
      </w:rPr>
    </w:lvl>
    <w:lvl w:ilvl="1" w:tentative="0">
      <w:start w:val="1"/>
      <w:numFmt w:val="decimal"/>
      <w:suff w:val="nothing"/>
      <w:lvlText w:val="%1.%2 "/>
      <w:lvlJc w:val="left"/>
      <w:rPr>
        <w:rFonts w:hint="default" w:ascii="宋体" w:hAnsi="宋体" w:eastAsia="宋体" w:cs="Book Antiqua"/>
        <w:b w:val="0"/>
        <w:bCs/>
        <w:i w:val="0"/>
        <w:iCs w:val="0"/>
        <w:caps w:val="0"/>
        <w:strike w:val="0"/>
        <w:dstrike w:val="0"/>
        <w:snapToGrid w:val="0"/>
        <w:vanish w:val="0"/>
        <w:color w:val="000000"/>
        <w:spacing w:val="0"/>
        <w:kern w:val="0"/>
        <w:sz w:val="36"/>
        <w:szCs w:val="36"/>
        <w:vertAlign w:val="baseline"/>
      </w:rPr>
    </w:lvl>
    <w:lvl w:ilvl="2" w:tentative="0">
      <w:start w:val="1"/>
      <w:numFmt w:val="decimal"/>
      <w:suff w:val="nothing"/>
      <w:lvlText w:val="%1.%2.%3 "/>
      <w:lvlJc w:val="left"/>
      <w:rPr>
        <w:rFonts w:hint="default" w:ascii="Book Antiqua" w:hAnsi="Book Antiqua" w:eastAsia="黑体" w:cs="Book Antiqua"/>
        <w:b w:val="0"/>
        <w:bCs/>
        <w:i w:val="0"/>
        <w:iCs w:val="0"/>
        <w:caps w:val="0"/>
        <w:strike w:val="0"/>
        <w:dstrike w:val="0"/>
        <w:snapToGrid w:val="0"/>
        <w:vanish w:val="0"/>
        <w:color w:val="000000"/>
        <w:kern w:val="0"/>
        <w:sz w:val="32"/>
        <w:szCs w:val="32"/>
        <w:vertAlign w:val="baseline"/>
      </w:rPr>
    </w:lvl>
    <w:lvl w:ilvl="3" w:tentative="0">
      <w:start w:val="1"/>
      <w:numFmt w:val="decimal"/>
      <w:lvlRestart w:val="1"/>
      <w:suff w:val="nothing"/>
      <w:lvlText w:val="%1.%2.%3.%4 "/>
      <w:lvlJc w:val="left"/>
      <w:rPr>
        <w:rFonts w:hint="default" w:ascii="Book Antiqua" w:hAnsi="Book Antiqua" w:eastAsia="黑体" w:cs="Book Antiqua"/>
        <w:bCs/>
        <w:i w:val="0"/>
        <w:iCs w:val="0"/>
        <w:caps w:val="0"/>
        <w:strike w:val="0"/>
        <w:dstrike w:val="0"/>
        <w:vanish w:val="0"/>
        <w:color w:val="000000"/>
        <w:sz w:val="28"/>
        <w:szCs w:val="28"/>
        <w:vertAlign w:val="baseline"/>
      </w:rPr>
    </w:lvl>
    <w:lvl w:ilvl="4" w:tentative="0">
      <w:start w:val="1"/>
      <w:numFmt w:val="decimal"/>
      <w:lvlRestart w:val="1"/>
      <w:suff w:val="nothing"/>
      <w:lvlText w:val="%1.%2.%3.%4.%5 "/>
      <w:lvlJc w:val="left"/>
      <w:rPr>
        <w:rFonts w:hint="default" w:ascii="Book Antiqua" w:hAnsi="Book Antiqua" w:eastAsia="黑体" w:cs="Book Antiqua"/>
        <w:bCs/>
        <w:i w:val="0"/>
        <w:iCs w:val="0"/>
        <w:caps w:val="0"/>
        <w:strike w:val="0"/>
        <w:dstrike w:val="0"/>
        <w:vanish w:val="0"/>
        <w:color w:val="000000"/>
        <w:sz w:val="24"/>
        <w:szCs w:val="24"/>
        <w:vertAlign w:val="baseline"/>
      </w:rPr>
    </w:lvl>
    <w:lvl w:ilvl="5" w:tentative="0">
      <w:start w:val="1"/>
      <w:numFmt w:val="none"/>
      <w:suff w:val="nothing"/>
      <w:lvlText w:val=""/>
      <w:lvlJc w:val="left"/>
      <w:rPr>
        <w:rFonts w:hint="default" w:ascii="Arial" w:hAnsi="Arial" w:cs="Arial"/>
        <w:b/>
        <w:bCs/>
        <w:i w:val="0"/>
        <w:iCs w:val="0"/>
        <w:caps w:val="0"/>
        <w:strike w:val="0"/>
        <w:dstrike w:val="0"/>
        <w:vanish w:val="0"/>
        <w:color w:val="000000"/>
        <w:sz w:val="20"/>
        <w:szCs w:val="20"/>
        <w:vertAlign w:val="baseline"/>
      </w:rPr>
    </w:lvl>
    <w:lvl w:ilvl="6" w:tentative="0">
      <w:start w:val="1"/>
      <w:numFmt w:val="decimal"/>
      <w:lvlText w:val="步骤 %7"/>
      <w:lvlJc w:val="right"/>
      <w:pPr>
        <w:tabs>
          <w:tab w:val="left" w:pos="1701"/>
        </w:tabs>
        <w:ind w:left="1701" w:hanging="159"/>
      </w:pPr>
      <w:rPr>
        <w:rFonts w:hint="default" w:ascii="Book Antiqua" w:hAnsi="Book Antiqua" w:eastAsia="黑体" w:cs="Times New Roman"/>
        <w:b w:val="0"/>
        <w:bCs/>
        <w:i w:val="0"/>
        <w:iCs w:val="0"/>
        <w:color w:val="auto"/>
        <w:sz w:val="21"/>
        <w:szCs w:val="21"/>
      </w:rPr>
    </w:lvl>
    <w:lvl w:ilvl="7" w:tentative="0">
      <w:start w:val="1"/>
      <w:numFmt w:val="decimal"/>
      <w:lvlRestart w:val="1"/>
      <w:suff w:val="space"/>
      <w:lvlText w:val="图%1-%8"/>
      <w:lvlJc w:val="left"/>
      <w:rPr>
        <w:rFonts w:hint="default" w:ascii="Times New Roman" w:hAnsi="Times New Roman" w:eastAsia="黑体" w:cs="Book Antiqua"/>
        <w:b w:val="0"/>
        <w:bCs/>
        <w:i w:val="0"/>
        <w:iCs w:val="0"/>
        <w:strike w:val="0"/>
        <w:dstrike w:val="0"/>
        <w:color w:val="auto"/>
        <w:sz w:val="21"/>
        <w:szCs w:val="21"/>
        <w:vertAlign w:val="baseline"/>
      </w:rPr>
    </w:lvl>
    <w:lvl w:ilvl="8" w:tentative="0">
      <w:start w:val="1"/>
      <w:numFmt w:val="decimal"/>
      <w:lvlRestart w:val="1"/>
      <w:suff w:val="space"/>
      <w:lvlText w:val="表%1-%9"/>
      <w:lvlJc w:val="left"/>
      <w:pPr>
        <w:ind w:left="1701" w:firstLine="0"/>
      </w:pPr>
      <w:rPr>
        <w:rFonts w:hint="default" w:ascii="Times New Roman" w:hAnsi="Times New Roman" w:eastAsia="黑体"/>
        <w:b w:val="0"/>
        <w:bCs/>
        <w:i w:val="0"/>
        <w:iCs w:val="0"/>
        <w:color w:val="auto"/>
        <w:sz w:val="21"/>
        <w:szCs w:val="21"/>
      </w:rPr>
    </w:lvl>
  </w:abstractNum>
  <w:abstractNum w:abstractNumId="14">
    <w:nsid w:val="1CAC1923"/>
    <w:multiLevelType w:val="multilevel"/>
    <w:tmpl w:val="1CAC1923"/>
    <w:lvl w:ilvl="0" w:tentative="0">
      <w:start w:val="1"/>
      <w:numFmt w:val="decimalEnclosedCircle"/>
      <w:lvlText w:val="%1"/>
      <w:lvlJc w:val="left"/>
      <w:pPr>
        <w:ind w:left="2523" w:hanging="360"/>
      </w:pPr>
      <w:rPr>
        <w:rFonts w:hint="default"/>
      </w:rPr>
    </w:lvl>
    <w:lvl w:ilvl="1" w:tentative="0">
      <w:start w:val="1"/>
      <w:numFmt w:val="lowerLetter"/>
      <w:lvlText w:val="%2)"/>
      <w:lvlJc w:val="left"/>
      <w:pPr>
        <w:ind w:left="3003" w:hanging="420"/>
      </w:pPr>
    </w:lvl>
    <w:lvl w:ilvl="2" w:tentative="0">
      <w:start w:val="1"/>
      <w:numFmt w:val="lowerRoman"/>
      <w:lvlText w:val="%3."/>
      <w:lvlJc w:val="right"/>
      <w:pPr>
        <w:ind w:left="3423" w:hanging="420"/>
      </w:pPr>
    </w:lvl>
    <w:lvl w:ilvl="3" w:tentative="0">
      <w:start w:val="1"/>
      <w:numFmt w:val="decimal"/>
      <w:lvlText w:val="%4."/>
      <w:lvlJc w:val="left"/>
      <w:pPr>
        <w:ind w:left="3843" w:hanging="420"/>
      </w:pPr>
    </w:lvl>
    <w:lvl w:ilvl="4" w:tentative="0">
      <w:start w:val="1"/>
      <w:numFmt w:val="lowerLetter"/>
      <w:lvlText w:val="%5)"/>
      <w:lvlJc w:val="left"/>
      <w:pPr>
        <w:ind w:left="4263" w:hanging="420"/>
      </w:pPr>
    </w:lvl>
    <w:lvl w:ilvl="5" w:tentative="0">
      <w:start w:val="1"/>
      <w:numFmt w:val="lowerRoman"/>
      <w:lvlText w:val="%6."/>
      <w:lvlJc w:val="right"/>
      <w:pPr>
        <w:ind w:left="4683" w:hanging="420"/>
      </w:pPr>
    </w:lvl>
    <w:lvl w:ilvl="6" w:tentative="0">
      <w:start w:val="1"/>
      <w:numFmt w:val="decimal"/>
      <w:lvlText w:val="%7."/>
      <w:lvlJc w:val="left"/>
      <w:pPr>
        <w:ind w:left="5103" w:hanging="420"/>
      </w:pPr>
    </w:lvl>
    <w:lvl w:ilvl="7" w:tentative="0">
      <w:start w:val="1"/>
      <w:numFmt w:val="lowerLetter"/>
      <w:lvlText w:val="%8)"/>
      <w:lvlJc w:val="left"/>
      <w:pPr>
        <w:ind w:left="5523" w:hanging="420"/>
      </w:pPr>
    </w:lvl>
    <w:lvl w:ilvl="8" w:tentative="0">
      <w:start w:val="1"/>
      <w:numFmt w:val="lowerRoman"/>
      <w:lvlText w:val="%9."/>
      <w:lvlJc w:val="right"/>
      <w:pPr>
        <w:ind w:left="5943" w:hanging="420"/>
      </w:pPr>
    </w:lvl>
  </w:abstractNum>
  <w:abstractNum w:abstractNumId="15">
    <w:nsid w:val="27727B63"/>
    <w:multiLevelType w:val="multilevel"/>
    <w:tmpl w:val="27727B63"/>
    <w:lvl w:ilvl="0" w:tentative="0">
      <w:start w:val="1"/>
      <w:numFmt w:val="bullet"/>
      <w:lvlText w:val=""/>
      <w:lvlJc w:val="left"/>
      <w:pPr>
        <w:tabs>
          <w:tab w:val="left" w:pos="340"/>
        </w:tabs>
        <w:ind w:left="340" w:hanging="170"/>
      </w:pPr>
      <w:rPr>
        <w:rFonts w:hint="default" w:ascii="Wingdings" w:hAnsi="Wingdings"/>
        <w:color w:val="auto"/>
        <w:spacing w:val="0"/>
        <w:w w:val="100"/>
        <w:position w:val="1"/>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5"/>
      <w:lvlText w:val=""/>
      <w:lvlJc w:val="left"/>
      <w:pPr>
        <w:tabs>
          <w:tab w:val="left" w:pos="1260"/>
        </w:tabs>
        <w:ind w:left="1260" w:hanging="420"/>
      </w:pPr>
      <w:rPr>
        <w:rFonts w:hint="default" w:ascii="Wingdings" w:hAnsi="Wingdings"/>
      </w:rPr>
    </w:lvl>
    <w:lvl w:ilvl="3" w:tentative="0">
      <w:start w:val="1"/>
      <w:numFmt w:val="bullet"/>
      <w:pStyle w:val="6"/>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47E134F7"/>
    <w:multiLevelType w:val="multilevel"/>
    <w:tmpl w:val="47E134F7"/>
    <w:lvl w:ilvl="0" w:tentative="0">
      <w:start w:val="1"/>
      <w:numFmt w:val="decimalEnclosedCircle"/>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5B8715FD"/>
    <w:multiLevelType w:val="multilevel"/>
    <w:tmpl w:val="5B8715F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641F42DB"/>
    <w:multiLevelType w:val="multilevel"/>
    <w:tmpl w:val="641F42DB"/>
    <w:lvl w:ilvl="0" w:tentative="0">
      <w:start w:val="1"/>
      <w:numFmt w:val="decimalEnclosedCircle"/>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7BF43C8A"/>
    <w:multiLevelType w:val="multilevel"/>
    <w:tmpl w:val="7BF43C8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7E79530B"/>
    <w:multiLevelType w:val="singleLevel"/>
    <w:tmpl w:val="7E79530B"/>
    <w:lvl w:ilvl="0" w:tentative="0">
      <w:start w:val="1"/>
      <w:numFmt w:val="decimal"/>
      <w:suff w:val="nothing"/>
      <w:lvlText w:val="（%1）"/>
      <w:lvlJc w:val="left"/>
    </w:lvl>
  </w:abstractNum>
  <w:abstractNum w:abstractNumId="21">
    <w:nsid w:val="7F773C35"/>
    <w:multiLevelType w:val="multilevel"/>
    <w:tmpl w:val="7F773C35"/>
    <w:lvl w:ilvl="0" w:tentative="0">
      <w:start w:val="1"/>
      <w:numFmt w:val="bullet"/>
      <w:pStyle w:val="4"/>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decimal"/>
      <w:lvlText w:val="%7."/>
      <w:lvlJc w:val="left"/>
      <w:pPr>
        <w:tabs>
          <w:tab w:val="left" w:pos="2546"/>
        </w:tabs>
        <w:ind w:left="2546" w:hanging="425"/>
      </w:pPr>
      <w:rPr>
        <w:rFonts w:hint="default" w:ascii="Times New Roman" w:hAnsi="Times New Roman" w:cs="Book Antiqua"/>
        <w:b w:val="0"/>
        <w:bCs/>
        <w:i w:val="0"/>
        <w:iCs w:val="0"/>
        <w:sz w:val="21"/>
        <w:szCs w:val="21"/>
        <w:u w:val="none"/>
      </w:rPr>
    </w:lvl>
    <w:lvl w:ilvl="7" w:tentative="0">
      <w:start w:val="1"/>
      <w:numFmt w:val="lowerLetter"/>
      <w:lvlText w:val="%8."/>
      <w:lvlJc w:val="left"/>
      <w:pPr>
        <w:tabs>
          <w:tab w:val="left" w:pos="2546"/>
        </w:tabs>
        <w:ind w:left="2946" w:hanging="425"/>
      </w:pPr>
      <w:rPr>
        <w:rFonts w:hint="default" w:ascii="Times New Roman" w:hAnsi="Times New Roman" w:cs="Book Antiqua"/>
        <w:b w:val="0"/>
        <w:bCs/>
        <w:i w:val="0"/>
        <w:iCs w:val="0"/>
        <w:sz w:val="21"/>
        <w:szCs w:val="21"/>
        <w:u w:val="none"/>
      </w:rPr>
    </w:lvl>
    <w:lvl w:ilvl="8" w:tentative="0">
      <w:start w:val="1"/>
      <w:numFmt w:val="decimal"/>
      <w:lvlRestart w:val="0"/>
      <w:lvlText w:val="%9."/>
      <w:lvlJc w:val="left"/>
      <w:pPr>
        <w:tabs>
          <w:tab w:val="left" w:pos="704"/>
        </w:tabs>
        <w:ind w:left="704" w:hanging="284"/>
      </w:pPr>
      <w:rPr>
        <w:rFonts w:hint="eastAsia"/>
      </w:rPr>
    </w:lvl>
  </w:abstractNum>
  <w:abstractNum w:abstractNumId="22">
    <w:nsid w:val="7FE7238E"/>
    <w:multiLevelType w:val="multilevel"/>
    <w:tmpl w:val="7FE7238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1"/>
  </w:num>
  <w:num w:numId="2">
    <w:abstractNumId w:val="21"/>
  </w:num>
  <w:num w:numId="3">
    <w:abstractNumId w:val="15"/>
  </w:num>
  <w:num w:numId="4">
    <w:abstractNumId w:val="0"/>
  </w:num>
  <w:num w:numId="5">
    <w:abstractNumId w:val="13"/>
  </w:num>
  <w:num w:numId="6">
    <w:abstractNumId w:val="12"/>
  </w:num>
  <w:num w:numId="7">
    <w:abstractNumId w:val="7"/>
  </w:num>
  <w:num w:numId="8">
    <w:abstractNumId w:val="10"/>
  </w:num>
  <w:num w:numId="9">
    <w:abstractNumId w:val="9"/>
  </w:num>
  <w:num w:numId="10">
    <w:abstractNumId w:val="17"/>
  </w:num>
  <w:num w:numId="11">
    <w:abstractNumId w:val="14"/>
  </w:num>
  <w:num w:numId="12">
    <w:abstractNumId w:val="18"/>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2"/>
  </w:num>
  <w:num w:numId="18">
    <w:abstractNumId w:val="4"/>
  </w:num>
  <w:num w:numId="19">
    <w:abstractNumId w:val="19"/>
  </w:num>
  <w:num w:numId="20">
    <w:abstractNumId w:val="5"/>
  </w:num>
  <w:num w:numId="21">
    <w:abstractNumId w:val="8"/>
  </w:num>
  <w:num w:numId="22">
    <w:abstractNumId w:val="2"/>
  </w:num>
  <w:num w:numId="23">
    <w:abstractNumId w:val="3"/>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EF014"/>
    <w:rsid w:val="00022F09"/>
    <w:rsid w:val="000748F9"/>
    <w:rsid w:val="003D709C"/>
    <w:rsid w:val="004A54D7"/>
    <w:rsid w:val="00633215"/>
    <w:rsid w:val="00651220"/>
    <w:rsid w:val="0069041D"/>
    <w:rsid w:val="0BD6E3BB"/>
    <w:rsid w:val="0FEE918A"/>
    <w:rsid w:val="1673CDA1"/>
    <w:rsid w:val="176FE812"/>
    <w:rsid w:val="17FFB931"/>
    <w:rsid w:val="1D5F8D81"/>
    <w:rsid w:val="1DFFC917"/>
    <w:rsid w:val="1FFB8F22"/>
    <w:rsid w:val="2B5D89C6"/>
    <w:rsid w:val="2EF3CF94"/>
    <w:rsid w:val="2FFCCB22"/>
    <w:rsid w:val="32DD17CF"/>
    <w:rsid w:val="33B9607B"/>
    <w:rsid w:val="36BF8A04"/>
    <w:rsid w:val="3AFB349D"/>
    <w:rsid w:val="3BBFEC18"/>
    <w:rsid w:val="3BFDEF85"/>
    <w:rsid w:val="3BFFDB34"/>
    <w:rsid w:val="3C3BD1E5"/>
    <w:rsid w:val="3CF76178"/>
    <w:rsid w:val="3D3E0F47"/>
    <w:rsid w:val="3D7B8456"/>
    <w:rsid w:val="3DFF6A71"/>
    <w:rsid w:val="3EFD5BBE"/>
    <w:rsid w:val="3F6EE587"/>
    <w:rsid w:val="3F893F72"/>
    <w:rsid w:val="3F9FA0F1"/>
    <w:rsid w:val="3FBFB2DA"/>
    <w:rsid w:val="3FDF44C6"/>
    <w:rsid w:val="3FE97D96"/>
    <w:rsid w:val="3FFCCC7D"/>
    <w:rsid w:val="3FFF5444"/>
    <w:rsid w:val="47D5064A"/>
    <w:rsid w:val="485E0317"/>
    <w:rsid w:val="4B4A2208"/>
    <w:rsid w:val="4BFFDCC2"/>
    <w:rsid w:val="4DEFA317"/>
    <w:rsid w:val="4FFECBE1"/>
    <w:rsid w:val="52DF44E2"/>
    <w:rsid w:val="53FF497B"/>
    <w:rsid w:val="56DBEA2C"/>
    <w:rsid w:val="5B0BB689"/>
    <w:rsid w:val="5BFFDFCA"/>
    <w:rsid w:val="5C5E8EBE"/>
    <w:rsid w:val="5CD42319"/>
    <w:rsid w:val="5DB216F4"/>
    <w:rsid w:val="5DDA133E"/>
    <w:rsid w:val="5E7D9AC6"/>
    <w:rsid w:val="5EFB780A"/>
    <w:rsid w:val="5EFD7084"/>
    <w:rsid w:val="5F7F280C"/>
    <w:rsid w:val="5FF9B562"/>
    <w:rsid w:val="5FFD7333"/>
    <w:rsid w:val="635C51DB"/>
    <w:rsid w:val="63FF9F6F"/>
    <w:rsid w:val="65B0273F"/>
    <w:rsid w:val="66DF1130"/>
    <w:rsid w:val="67300A5A"/>
    <w:rsid w:val="67FB116E"/>
    <w:rsid w:val="69A7BAA7"/>
    <w:rsid w:val="6BCC4687"/>
    <w:rsid w:val="6C6FAD4B"/>
    <w:rsid w:val="6DDF4198"/>
    <w:rsid w:val="6FBDAEED"/>
    <w:rsid w:val="6FD3AAE3"/>
    <w:rsid w:val="6FFDD87E"/>
    <w:rsid w:val="6FFF4B4F"/>
    <w:rsid w:val="73FE7F4C"/>
    <w:rsid w:val="747AB04B"/>
    <w:rsid w:val="75FE8ED1"/>
    <w:rsid w:val="769FABD1"/>
    <w:rsid w:val="76BD3D5F"/>
    <w:rsid w:val="76FBB343"/>
    <w:rsid w:val="775A128B"/>
    <w:rsid w:val="77CD576C"/>
    <w:rsid w:val="77DB9AC6"/>
    <w:rsid w:val="77EF6F4D"/>
    <w:rsid w:val="77F6E3ED"/>
    <w:rsid w:val="77FD5EBB"/>
    <w:rsid w:val="77FF0058"/>
    <w:rsid w:val="79DB0C5C"/>
    <w:rsid w:val="79F788E0"/>
    <w:rsid w:val="7B73F1D9"/>
    <w:rsid w:val="7B96D7AA"/>
    <w:rsid w:val="7BAFDF40"/>
    <w:rsid w:val="7BBD5C6E"/>
    <w:rsid w:val="7DDE9067"/>
    <w:rsid w:val="7DE265C3"/>
    <w:rsid w:val="7DF76525"/>
    <w:rsid w:val="7EDDD674"/>
    <w:rsid w:val="7EF7040E"/>
    <w:rsid w:val="7EFBF2D0"/>
    <w:rsid w:val="7F281790"/>
    <w:rsid w:val="7F41363B"/>
    <w:rsid w:val="7F73C5D6"/>
    <w:rsid w:val="7FB92546"/>
    <w:rsid w:val="7FC6DD14"/>
    <w:rsid w:val="7FD7C072"/>
    <w:rsid w:val="7FDFDB8C"/>
    <w:rsid w:val="7FEBDD42"/>
    <w:rsid w:val="7FF25A86"/>
    <w:rsid w:val="7FFC5955"/>
    <w:rsid w:val="7FFF2707"/>
    <w:rsid w:val="8E4E9D81"/>
    <w:rsid w:val="9FE55667"/>
    <w:rsid w:val="9FEC1B98"/>
    <w:rsid w:val="AAFFA9D4"/>
    <w:rsid w:val="ADF7587D"/>
    <w:rsid w:val="AF1E6530"/>
    <w:rsid w:val="AF7F0456"/>
    <w:rsid w:val="AFF69F1F"/>
    <w:rsid w:val="B3FF3C6F"/>
    <w:rsid w:val="B5AF2C69"/>
    <w:rsid w:val="B6EF5BFD"/>
    <w:rsid w:val="B7E45EC8"/>
    <w:rsid w:val="B7F7F2F5"/>
    <w:rsid w:val="BAEFB078"/>
    <w:rsid w:val="BBF62D28"/>
    <w:rsid w:val="BBF7BA05"/>
    <w:rsid w:val="BCFFF3D3"/>
    <w:rsid w:val="BDFF4900"/>
    <w:rsid w:val="BEFE84A6"/>
    <w:rsid w:val="BF827530"/>
    <w:rsid w:val="BFAFF8A7"/>
    <w:rsid w:val="BFC7C0EB"/>
    <w:rsid w:val="BFE16DF0"/>
    <w:rsid w:val="BFEF5A32"/>
    <w:rsid w:val="BFFDEA23"/>
    <w:rsid w:val="BFFE1F95"/>
    <w:rsid w:val="CAFFABCB"/>
    <w:rsid w:val="CCE758D4"/>
    <w:rsid w:val="CFED66D3"/>
    <w:rsid w:val="CFEF53E4"/>
    <w:rsid w:val="D3BF433D"/>
    <w:rsid w:val="D3DEEE91"/>
    <w:rsid w:val="D7732568"/>
    <w:rsid w:val="D9D59789"/>
    <w:rsid w:val="DB2F8608"/>
    <w:rsid w:val="DBFBDABC"/>
    <w:rsid w:val="DCF6B98D"/>
    <w:rsid w:val="DE6FF333"/>
    <w:rsid w:val="DEDF7BF8"/>
    <w:rsid w:val="DEF779D1"/>
    <w:rsid w:val="DEFD0BAD"/>
    <w:rsid w:val="DF7ED2CE"/>
    <w:rsid w:val="DFDD884E"/>
    <w:rsid w:val="DFFEF014"/>
    <w:rsid w:val="E0FF07DE"/>
    <w:rsid w:val="E36B4482"/>
    <w:rsid w:val="E3BF2F51"/>
    <w:rsid w:val="E3FB33E4"/>
    <w:rsid w:val="E47C4C69"/>
    <w:rsid w:val="E7352775"/>
    <w:rsid w:val="E9F77F66"/>
    <w:rsid w:val="EAD791F9"/>
    <w:rsid w:val="ED5FB8B2"/>
    <w:rsid w:val="ED7F4AA8"/>
    <w:rsid w:val="EDBFCA5A"/>
    <w:rsid w:val="EE13BA31"/>
    <w:rsid w:val="EE5FF21E"/>
    <w:rsid w:val="EEF93DBF"/>
    <w:rsid w:val="EFEB77BA"/>
    <w:rsid w:val="EFEF2EF1"/>
    <w:rsid w:val="EFF2EFF1"/>
    <w:rsid w:val="EFF5F027"/>
    <w:rsid w:val="EFFEE75A"/>
    <w:rsid w:val="F03DA228"/>
    <w:rsid w:val="F1EDE0AA"/>
    <w:rsid w:val="F4DD4248"/>
    <w:rsid w:val="F65E16D3"/>
    <w:rsid w:val="F77B46BF"/>
    <w:rsid w:val="F7BF1D07"/>
    <w:rsid w:val="F7DB5911"/>
    <w:rsid w:val="F7DB5EE2"/>
    <w:rsid w:val="F7FA82A3"/>
    <w:rsid w:val="F7FAEF21"/>
    <w:rsid w:val="F7FCF94C"/>
    <w:rsid w:val="F7FDCE85"/>
    <w:rsid w:val="F7FE3EAC"/>
    <w:rsid w:val="F7FF21A8"/>
    <w:rsid w:val="F7FFBA04"/>
    <w:rsid w:val="F9738DA6"/>
    <w:rsid w:val="F9FAB390"/>
    <w:rsid w:val="F9FF1DA4"/>
    <w:rsid w:val="FB6F6E2F"/>
    <w:rsid w:val="FBFEEA1B"/>
    <w:rsid w:val="FCFFCA1F"/>
    <w:rsid w:val="FD275FF9"/>
    <w:rsid w:val="FDDB5D52"/>
    <w:rsid w:val="FDFF2F9F"/>
    <w:rsid w:val="FE7AF54D"/>
    <w:rsid w:val="FE9A8B6D"/>
    <w:rsid w:val="FEBB6E31"/>
    <w:rsid w:val="FEF732AC"/>
    <w:rsid w:val="FEFD0C4A"/>
    <w:rsid w:val="FF570F75"/>
    <w:rsid w:val="FF6D19CD"/>
    <w:rsid w:val="FF6F4F28"/>
    <w:rsid w:val="FF7F99E5"/>
    <w:rsid w:val="FFB70659"/>
    <w:rsid w:val="FFBBFD3C"/>
    <w:rsid w:val="FFBE430B"/>
    <w:rsid w:val="FFBF550D"/>
    <w:rsid w:val="FFD7E48C"/>
    <w:rsid w:val="FFE5E123"/>
    <w:rsid w:val="FFF3464E"/>
    <w:rsid w:val="FFFDF2C2"/>
    <w:rsid w:val="FFFEE427"/>
    <w:rsid w:val="FFFFEC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4"/>
    <w:qFormat/>
    <w:uiPriority w:val="0"/>
    <w:pPr>
      <w:keepNext/>
      <w:pageBreakBefore/>
      <w:widowControl/>
      <w:numPr>
        <w:ilvl w:val="0"/>
        <w:numId w:val="1"/>
      </w:numPr>
      <w:topLinePunct/>
      <w:adjustRightInd w:val="0"/>
      <w:snapToGrid w:val="0"/>
      <w:spacing w:line="480" w:lineRule="auto"/>
      <w:jc w:val="left"/>
      <w:outlineLvl w:val="0"/>
    </w:pPr>
    <w:rPr>
      <w:rFonts w:hint="eastAsia" w:ascii="Book Antiqua" w:hAnsi="Book Antiqua" w:eastAsia="宋体" w:cs="Book Antiqua"/>
      <w:b/>
      <w:bCs/>
      <w:sz w:val="44"/>
      <w:szCs w:val="44"/>
    </w:rPr>
  </w:style>
  <w:style w:type="paragraph" w:styleId="4">
    <w:name w:val="heading 2"/>
    <w:basedOn w:val="1"/>
    <w:next w:val="5"/>
    <w:qFormat/>
    <w:uiPriority w:val="0"/>
    <w:pPr>
      <w:keepNext/>
      <w:keepLines/>
      <w:widowControl/>
      <w:numPr>
        <w:ilvl w:val="0"/>
        <w:numId w:val="2"/>
      </w:numPr>
      <w:tabs>
        <w:tab w:val="left" w:pos="840"/>
        <w:tab w:val="clear" w:pos="1260"/>
      </w:tabs>
      <w:topLinePunct/>
      <w:adjustRightInd w:val="0"/>
      <w:snapToGrid w:val="0"/>
      <w:spacing w:line="360" w:lineRule="auto"/>
      <w:jc w:val="left"/>
      <w:textAlignment w:val="center"/>
      <w:outlineLvl w:val="1"/>
    </w:pPr>
    <w:rPr>
      <w:rFonts w:ascii="Book Antiqua" w:hAnsi="Book Antiqua" w:eastAsia="宋体" w:cs="Times New Roman"/>
      <w:bCs/>
      <w:kern w:val="0"/>
      <w:sz w:val="36"/>
      <w:szCs w:val="36"/>
      <w:lang w:eastAsia="en-US"/>
    </w:rPr>
  </w:style>
  <w:style w:type="paragraph" w:styleId="5">
    <w:name w:val="heading 3"/>
    <w:basedOn w:val="1"/>
    <w:next w:val="1"/>
    <w:qFormat/>
    <w:uiPriority w:val="0"/>
    <w:pPr>
      <w:keepNext/>
      <w:keepLines/>
      <w:widowControl/>
      <w:numPr>
        <w:ilvl w:val="2"/>
        <w:numId w:val="3"/>
      </w:numPr>
      <w:topLinePunct/>
      <w:adjustRightInd w:val="0"/>
      <w:snapToGrid w:val="0"/>
      <w:spacing w:before="200" w:after="160" w:line="240" w:lineRule="atLeast"/>
      <w:jc w:val="left"/>
      <w:outlineLvl w:val="2"/>
    </w:pPr>
    <w:rPr>
      <w:rFonts w:ascii="Book Antiqua" w:hAnsi="Book Antiqua" w:eastAsia="宋体" w:cs="Times New Roman"/>
      <w:kern w:val="0"/>
      <w:sz w:val="32"/>
      <w:szCs w:val="32"/>
    </w:rPr>
  </w:style>
  <w:style w:type="paragraph" w:styleId="6">
    <w:name w:val="heading 4"/>
    <w:basedOn w:val="1"/>
    <w:next w:val="1"/>
    <w:qFormat/>
    <w:uiPriority w:val="0"/>
    <w:pPr>
      <w:keepNext/>
      <w:keepLines/>
      <w:widowControl/>
      <w:numPr>
        <w:ilvl w:val="3"/>
        <w:numId w:val="3"/>
      </w:numPr>
      <w:topLinePunct/>
      <w:adjustRightInd w:val="0"/>
      <w:snapToGrid w:val="0"/>
      <w:spacing w:before="160" w:after="160" w:line="240" w:lineRule="atLeast"/>
      <w:ind w:left="200" w:leftChars="200"/>
      <w:jc w:val="left"/>
      <w:outlineLvl w:val="3"/>
    </w:pPr>
    <w:rPr>
      <w:rFonts w:hint="eastAsia" w:ascii="Book Antiqua" w:hAnsi="Book Antiqua" w:eastAsia="黑体" w:cs="宋体"/>
      <w:kern w:val="0"/>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pPr>
      <w:spacing w:after="120"/>
    </w:pPr>
  </w:style>
  <w:style w:type="paragraph" w:styleId="7">
    <w:name w:val="Balloon Text"/>
    <w:basedOn w:val="1"/>
    <w:link w:val="13"/>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11"/>
    <w:link w:val="7"/>
    <w:qFormat/>
    <w:uiPriority w:val="0"/>
    <w:rPr>
      <w:kern w:val="2"/>
      <w:sz w:val="18"/>
      <w:szCs w:val="18"/>
    </w:rPr>
  </w:style>
  <w:style w:type="character" w:customStyle="1" w:styleId="14">
    <w:name w:val="页眉 Char"/>
    <w:basedOn w:val="11"/>
    <w:link w:val="9"/>
    <w:qFormat/>
    <w:uiPriority w:val="0"/>
    <w:rPr>
      <w:kern w:val="2"/>
      <w:sz w:val="18"/>
      <w:szCs w:val="18"/>
    </w:rPr>
  </w:style>
  <w:style w:type="character" w:customStyle="1" w:styleId="15">
    <w:name w:val="font31"/>
    <w:basedOn w:val="11"/>
    <w:qFormat/>
    <w:uiPriority w:val="0"/>
    <w:rPr>
      <w:rFonts w:hint="eastAsia" w:ascii="仿宋_GB2312" w:eastAsia="仿宋_GB2312" w:cs="仿宋_GB2312"/>
      <w:color w:val="000000"/>
      <w:sz w:val="24"/>
      <w:szCs w:val="24"/>
      <w:u w:val="none"/>
    </w:rPr>
  </w:style>
  <w:style w:type="character" w:customStyle="1" w:styleId="16">
    <w:name w:val="font21"/>
    <w:basedOn w:val="11"/>
    <w:autoRedefine/>
    <w:qFormat/>
    <w:uiPriority w:val="0"/>
    <w:rPr>
      <w:rFonts w:hint="eastAsia" w:ascii="仿宋_GB2312" w:eastAsia="仿宋_GB2312" w:cs="仿宋_GB2312"/>
      <w:b/>
      <w:bCs/>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3029</Words>
  <Characters>3160</Characters>
  <Lines>3743</Lines>
  <Paragraphs>2501</Paragraphs>
  <TotalTime>0</TotalTime>
  <ScaleCrop>false</ScaleCrop>
  <LinksUpToDate>false</LinksUpToDate>
  <CharactersWithSpaces>3182</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2023-03-03T07:08:00Z</dcterms:created>
  <dc:creator>administrator</dc:creator>
  <cp:lastModifiedBy>朱  晨</cp:lastModifiedBy>
  <dcterms:modified xsi:type="dcterms:W3CDTF">2026-03-25T10:29:39Z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09A9DC9A531673868308B369651F1F13_43</vt:lpwstr>
  </property>
  <property fmtid="{D5CDD505-2E9C-101B-9397-08002B2CF9AE}" pid="4" name="KSOTemplateDocerSaveRecord">
    <vt:lpwstr>eyJoZGlkIjoiMTQxZmVlYTNkYzUzZTAzZDI0NGY3MDRiZGZhYjkwZWUiLCJ1c2VySWQiOiI5MDgzNDM0NjYifQ==</vt:lpwstr>
  </property>
</Properties>
</file>