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2"/>
          <w:szCs w:val="32"/>
        </w:rPr>
      </w:pPr>
      <w:bookmarkStart w:id="11" w:name="_GoBack"/>
      <w:bookmarkEnd w:id="11"/>
    </w:p>
    <w:p>
      <w:pPr>
        <w:spacing w:line="276" w:lineRule="auto"/>
        <w:jc w:val="center"/>
        <w:rPr>
          <w:rFonts w:ascii="黑体" w:hAnsi="黑体" w:eastAsia="黑体"/>
          <w:sz w:val="48"/>
          <w:szCs w:val="48"/>
        </w:rPr>
      </w:pPr>
    </w:p>
    <w:p>
      <w:pPr>
        <w:spacing w:line="276" w:lineRule="auto"/>
        <w:rPr>
          <w:rFonts w:ascii="黑体" w:hAnsi="黑体" w:eastAsia="黑体"/>
          <w:sz w:val="48"/>
          <w:szCs w:val="48"/>
        </w:rPr>
      </w:pPr>
    </w:p>
    <w:p>
      <w:pPr>
        <w:spacing w:line="276" w:lineRule="auto"/>
        <w:jc w:val="center"/>
        <w:rPr>
          <w:rFonts w:ascii="黑体" w:hAnsi="黑体" w:eastAsia="黑体"/>
          <w:sz w:val="52"/>
          <w:szCs w:val="52"/>
        </w:rPr>
      </w:pPr>
      <w:r>
        <w:rPr>
          <w:rFonts w:ascii="黑体" w:hAnsi="黑体" w:eastAsia="黑体"/>
          <w:sz w:val="52"/>
          <w:szCs w:val="52"/>
        </w:rPr>
        <w:t>上海市政务云基础设施服务</w:t>
      </w:r>
    </w:p>
    <w:p>
      <w:pPr>
        <w:spacing w:line="276" w:lineRule="auto"/>
        <w:jc w:val="center"/>
        <w:rPr>
          <w:rFonts w:ascii="黑体" w:hAnsi="黑体" w:eastAsia="黑体"/>
          <w:sz w:val="52"/>
          <w:szCs w:val="52"/>
        </w:rPr>
      </w:pPr>
      <w:r>
        <w:rPr>
          <w:rFonts w:ascii="黑体" w:hAnsi="黑体" w:eastAsia="黑体"/>
          <w:sz w:val="52"/>
          <w:szCs w:val="52"/>
        </w:rPr>
        <w:t>创新能力类</w:t>
      </w:r>
    </w:p>
    <w:p>
      <w:pPr>
        <w:spacing w:line="276" w:lineRule="auto"/>
        <w:jc w:val="center"/>
        <w:rPr>
          <w:rFonts w:ascii="黑体" w:hAnsi="黑体" w:eastAsia="黑体"/>
          <w:sz w:val="52"/>
          <w:szCs w:val="52"/>
        </w:rPr>
      </w:pPr>
    </w:p>
    <w:p>
      <w:pPr>
        <w:spacing w:line="276" w:lineRule="auto"/>
        <w:jc w:val="center"/>
        <w:rPr>
          <w:rFonts w:ascii="黑体" w:hAnsi="黑体" w:eastAsia="黑体"/>
          <w:sz w:val="52"/>
          <w:szCs w:val="52"/>
        </w:rPr>
      </w:pPr>
      <w:r>
        <w:rPr>
          <w:rFonts w:ascii="黑体" w:hAnsi="黑体" w:eastAsia="黑体"/>
          <w:sz w:val="52"/>
          <w:szCs w:val="52"/>
        </w:rPr>
        <w:t>招标技术需求书</w:t>
      </w:r>
    </w:p>
    <w:p>
      <w:pPr>
        <w:spacing w:line="276" w:lineRule="auto"/>
        <w:jc w:val="center"/>
        <w:rPr>
          <w:rFonts w:ascii="黑体" w:hAnsi="黑体" w:eastAsia="黑体"/>
          <w:sz w:val="52"/>
          <w:szCs w:val="52"/>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b/>
        </w:rPr>
      </w:pPr>
    </w:p>
    <w:p>
      <w:pPr>
        <w:pStyle w:val="2"/>
        <w:numPr>
          <w:ilvl w:val="0"/>
          <w:numId w:val="4"/>
        </w:numPr>
        <w:spacing w:line="276" w:lineRule="auto"/>
        <w:rPr>
          <w:rFonts w:hint="default" w:ascii="宋体" w:hAnsi="宋体"/>
        </w:rPr>
      </w:pPr>
      <w:r>
        <w:rPr>
          <w:rFonts w:ascii="宋体" w:hAnsi="宋体"/>
        </w:rPr>
        <w:t>项目总体要求</w:t>
      </w:r>
    </w:p>
    <w:p>
      <w:pPr>
        <w:spacing w:line="276" w:lineRule="auto"/>
        <w:ind w:left="420" w:firstLine="420"/>
      </w:pPr>
      <w:r>
        <w:t>充分运用云计算、大数据等先进理念和技术，按照“集约高效、共享开放、安全可靠、按需服务”的原则，以“云网合一、云数联动”为构架，建成市级电子政务云平台，实现市政府各部门基础设施共建共用、信息系统整体部署、数据资源汇聚共享、业务应用有效协同，开展政务大数据开发利用，为政府管理和公共服务提供有力支持，提高为民服务水平，提升政府现代治理能力。</w:t>
      </w:r>
    </w:p>
    <w:p>
      <w:pPr>
        <w:pStyle w:val="3"/>
        <w:numPr>
          <w:ilvl w:val="1"/>
          <w:numId w:val="5"/>
        </w:numPr>
        <w:ind w:left="420"/>
        <w:rPr>
          <w:lang w:eastAsia="zh-CN"/>
        </w:rPr>
      </w:pPr>
      <w:r>
        <w:rPr>
          <w:rFonts w:hint="eastAsia"/>
          <w:lang w:eastAsia="zh-CN"/>
        </w:rPr>
        <w:t>项目总体服务要求</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标人提供的政务云平台整体可用性应不低于99.99%，数据可靠性应不低于99.999%，对每一项云服务的可用性、可靠性等SLA指标进行明确描述。</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标人应构建有效的高可用云平台，除分别独立为用户提供私有政务云服务外，还需形成数据共享机制，可在最短时间内对用户的应用系统进行快速响应、处置和恢复。</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本项目中平台软件服务类别的服务范围为上海市电子政务云基础设施服务城市服务类、民生经济类和创新能力类的服务范围，服务对象为市级政务云使用单位。</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标人应严格执行国家、地方、行业各项有关本项目业务管理和安全作业的法律、法规和制度，积极主动加强和服务业务及安全等有关的管理工作，并按规定承担相应的费用。</w:t>
      </w:r>
      <w:r>
        <w:rPr>
          <w:rFonts w:hint="eastAsia" w:ascii="宋体" w:hAnsi="宋体"/>
        </w:rPr>
        <w:t>中</w:t>
      </w:r>
      <w:r>
        <w:rPr>
          <w:rFonts w:ascii="宋体" w:hAnsi="宋体"/>
        </w:rPr>
        <w:t>标人因违反规定等原因造成的一切损失和责任由</w:t>
      </w:r>
      <w:r>
        <w:rPr>
          <w:rFonts w:hint="eastAsia" w:ascii="宋体" w:hAnsi="宋体"/>
        </w:rPr>
        <w:t>中</w:t>
      </w:r>
      <w:r>
        <w:rPr>
          <w:rFonts w:ascii="宋体" w:hAnsi="宋体"/>
        </w:rPr>
        <w:t>标人承担。</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标人用于项目的设备规格型号和数量，</w:t>
      </w:r>
      <w:r>
        <w:rPr>
          <w:rFonts w:hint="eastAsia" w:ascii="宋体" w:hAnsi="宋体"/>
        </w:rPr>
        <w:t>本招标周期内的变化</w:t>
      </w:r>
      <w:r>
        <w:rPr>
          <w:rFonts w:ascii="宋体" w:hAnsi="宋体"/>
        </w:rPr>
        <w:t>必须满足或优于招标文件要求，用于本项目的设备在入网前必须经过采购人组织开展的符合性审查。未经采购人书面批准不得上架、调换或更改，若自行上架、调换或更改，按照合同违约处理。</w:t>
      </w:r>
      <w:r>
        <w:rPr>
          <w:rFonts w:hint="eastAsia" w:ascii="宋体" w:hAnsi="宋体"/>
        </w:rPr>
        <w:t>存量设备应当满足采购人组织开展的技术审查</w:t>
      </w:r>
      <w:r>
        <w:rPr>
          <w:rFonts w:ascii="宋体" w:hAnsi="宋体"/>
        </w:rPr>
        <w:t>。</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标人在履行政务云服务的过程中，需遵守《市级政务云资源管理办法》《市级政务云PaaS服务管理规范》《市级政务云安全管理办法》和《市级政务云监管管理办法》</w:t>
      </w:r>
      <w:r>
        <w:rPr>
          <w:rFonts w:hint="eastAsia" w:ascii="宋体" w:hAnsi="宋体"/>
        </w:rPr>
        <w:t>及其他本市及国家政务云相关</w:t>
      </w:r>
      <w:r>
        <w:rPr>
          <w:rFonts w:ascii="宋体" w:hAnsi="宋体"/>
        </w:rPr>
        <w:t>管理要求，若违反文件相关规定，按照合同违约处理。</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中标人因提供平台软件服务而需要采购第三方软件产品时应当直接向原厂商或原厂授权的代理商、经销商进行采购</w:t>
      </w:r>
      <w:r>
        <w:rPr>
          <w:rFonts w:hint="eastAsia" w:ascii="宋体" w:hAnsi="宋体"/>
          <w:lang w:eastAsia="zh-CN"/>
        </w:rPr>
        <w:t>。</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采购人已根据预估用量进行了封顶价测算</w:t>
      </w:r>
      <w:r>
        <w:rPr>
          <w:rFonts w:ascii="宋体" w:hAnsi="宋体"/>
        </w:rPr>
        <w:t>，</w:t>
      </w:r>
      <w:r>
        <w:rPr>
          <w:rFonts w:hint="eastAsia" w:ascii="宋体" w:hAnsi="宋体"/>
        </w:rPr>
        <w:t>中标人在履行服务的过程中，</w:t>
      </w:r>
      <w:r>
        <w:rPr>
          <w:rFonts w:ascii="宋体" w:hAnsi="宋体"/>
        </w:rPr>
        <w:t>采购人</w:t>
      </w:r>
      <w:r>
        <w:rPr>
          <w:rFonts w:hint="eastAsia" w:ascii="宋体" w:hAnsi="宋体"/>
        </w:rPr>
        <w:t>使用在服务目录中各项服务在</w:t>
      </w:r>
      <w:r>
        <w:rPr>
          <w:rFonts w:hint="eastAsia" w:ascii="宋体" w:hAnsi="宋体"/>
          <w:lang w:val="en-US" w:eastAsia="zh-CN"/>
        </w:rPr>
        <w:t>本年度服务周期内</w:t>
      </w:r>
      <w:r>
        <w:rPr>
          <w:rFonts w:hint="eastAsia" w:ascii="宋体" w:hAnsi="宋体"/>
        </w:rPr>
        <w:t>有可能超出服务周期封顶价时，中标人应免费提供超出部分的服务，投标人在报价时应综合考虑此因素</w:t>
      </w:r>
      <w:r>
        <w:rPr>
          <w:rFonts w:ascii="宋体" w:hAnsi="宋体"/>
        </w:rPr>
        <w:t>，采购人</w:t>
      </w:r>
      <w:r>
        <w:rPr>
          <w:rFonts w:hint="eastAsia" w:ascii="宋体" w:hAnsi="宋体"/>
        </w:rPr>
        <w:t>不再承担超出封顶价的其他费用。</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面向使用市级政务云资源的区级使用单位提供服务时，应当按照本次采购确定的服务目录、服务单价、服务标准等自行与区级政务云运行管理单位签订服务合同，相关费用由各区承担，签订服务合同过程中不得再次议价。</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标人在服务期内通过签署补充协议或备忘录对当年度的政务云服务绩效目标、SLA服务要求、用户满意率目标以及服务目录细则予以确认和约定。</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标人确认的项目运维团队人员及数量，必须与投标文件承诺一致，未经采购人书面批准不得随意调换或撤离，若自行更换或撤离，按照合同违约处理。</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标人承担政务云平台（主要包括物理资源、计算资源、存储资源、网络资源）</w:t>
      </w:r>
      <w:r>
        <w:rPr>
          <w:rFonts w:hint="eastAsia" w:ascii="宋体" w:hAnsi="宋体"/>
        </w:rPr>
        <w:t>自身的</w:t>
      </w:r>
      <w:r>
        <w:rPr>
          <w:rFonts w:ascii="宋体" w:hAnsi="宋体"/>
        </w:rPr>
        <w:t>数据防篡改、防丢失的安全责任</w:t>
      </w:r>
      <w:r>
        <w:rPr>
          <w:rFonts w:hint="eastAsia" w:ascii="宋体" w:hAnsi="宋体"/>
        </w:rPr>
        <w:t>以及上海市政务云基础设施与云上应用系统之间由投标人提供平台软件服务的范围</w:t>
      </w:r>
      <w:r>
        <w:rPr>
          <w:rFonts w:ascii="宋体" w:hAnsi="宋体"/>
        </w:rPr>
        <w:t>。</w:t>
      </w:r>
      <w:r>
        <w:rPr>
          <w:rFonts w:hint="eastAsia" w:ascii="宋体" w:hAnsi="宋体"/>
          <w:color w:val="222222"/>
          <w:shd w:val="clear" w:color="auto" w:fill="FFFFFF"/>
        </w:rPr>
        <w:t>中标人应当确保所提供的各项服务日志保存时长不低于</w:t>
      </w:r>
      <w:r>
        <w:rPr>
          <w:rFonts w:ascii="宋体" w:hAnsi="宋体"/>
          <w:color w:val="222222"/>
          <w:shd w:val="clear" w:color="auto" w:fill="FFFFFF"/>
        </w:rPr>
        <w:t>180</w:t>
      </w:r>
      <w:r>
        <w:rPr>
          <w:rFonts w:hint="eastAsia" w:ascii="宋体" w:hAnsi="宋体"/>
          <w:color w:val="222222"/>
          <w:shd w:val="clear" w:color="auto" w:fill="FFFFFF"/>
        </w:rPr>
        <w:t>天</w:t>
      </w:r>
      <w:r>
        <w:rPr>
          <w:rFonts w:ascii="宋体" w:hAnsi="宋体"/>
          <w:color w:val="222222"/>
          <w:shd w:val="clear" w:color="auto" w:fill="FFFFFF"/>
        </w:rPr>
        <w:t>。</w:t>
      </w:r>
      <w:r>
        <w:rPr>
          <w:rFonts w:hint="eastAsia" w:ascii="宋体" w:hAnsi="宋体"/>
          <w:color w:val="222222"/>
          <w:shd w:val="clear" w:color="auto" w:fill="FFFFFF"/>
        </w:rPr>
        <w:t>若合同终止，中标人应配合采购人将符合保存期限要求的日志数据完整迁移至新平台或指定存储介质，迁移完成前不得销毁。</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标人必须配合采购人及采购人指定的</w:t>
      </w:r>
      <w:r>
        <w:rPr>
          <w:rFonts w:hint="eastAsia" w:ascii="宋体" w:hAnsi="宋体"/>
          <w:lang w:val="en-US" w:eastAsia="zh-CN"/>
        </w:rPr>
        <w:t>政务云专业服务</w:t>
      </w:r>
      <w:r>
        <w:rPr>
          <w:rFonts w:ascii="宋体" w:hAnsi="宋体"/>
        </w:rPr>
        <w:t>团队的管理工作。</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标人需根据采购人要求提供云用户应用上云所需的测试资源，免费提供服务。</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验收要求：中标人提供的政务云服务符合本次招标要求，应当根据本市和市大数据中心数字化项目验收要求提供相关材料并指派负责人协助验收。服务期限终止时，中标人应当以书面形式向采购人提交验收申请，经采购人审核同意后提供包括不限于项目实施方案、项目实施计划、项目运行维护手册、应急预案、合同履行情况自查表、项目过程性材料（会议纪要、测试报告、培训方案等）、服务涉及的软件产品相关文档以及本项目总结报告等。采购人在收到服务提供方提交材料后应尽快组织开展验收工作。中标人未能通过验收的应当在15个工作日内进行整改，并自行承担相关整改费用，再次接受采购人的验收，直至符合约定要求。采购人有权委托第三方机构进行验收，对此服务提供方应当配合。如本项目连续3次验收未通过，采购人有权解除项目，并追究中标人的违约责任。</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中标人须承诺在本项目合同服务期届满后、后续服务单位完成接管前，提供连续的服务保障，过渡期原则上不超过</w:t>
      </w:r>
      <w:r>
        <w:rPr>
          <w:rFonts w:hint="default" w:ascii="宋体" w:hAnsi="宋体"/>
          <w:lang w:val="en-US" w:eastAsia="zh-CN"/>
        </w:rPr>
        <w:t>1</w:t>
      </w:r>
      <w:r>
        <w:rPr>
          <w:rFonts w:hint="eastAsia" w:ascii="宋体" w:hAnsi="宋体"/>
        </w:rPr>
        <w:t>个月，中标人应配合完成数据迁移、权限移交等工作，不得以合同到期为由中断服务或设置障碍，过渡期间费用结算按原合同单价及政府采购有关规定执行，否则按本项目违约条款处理。</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ascii="宋体" w:hAnsi="宋体"/>
        </w:rPr>
        <w:t>软件合法、合规授权，满足知识产权方面的有关规定和要求。</w:t>
      </w:r>
    </w:p>
    <w:p>
      <w:pPr>
        <w:pStyle w:val="3"/>
        <w:numPr>
          <w:ilvl w:val="1"/>
          <w:numId w:val="5"/>
        </w:numPr>
        <w:ind w:left="420"/>
        <w:rPr>
          <w:rFonts w:ascii="宋体" w:hAnsi="宋体"/>
          <w:lang w:eastAsia="zh-CN"/>
        </w:rPr>
      </w:pPr>
      <w:r>
        <w:rPr>
          <w:rFonts w:hint="eastAsia"/>
          <w:lang w:val="en-US" w:eastAsia="zh-CN"/>
        </w:rPr>
        <w:t>服务目录</w:t>
      </w:r>
    </w:p>
    <w:p>
      <w:pPr>
        <w:pStyle w:val="7"/>
        <w:rPr>
          <w:rFonts w:hint="eastAsia" w:ascii="Times New Roman"/>
          <w:color w:val="auto"/>
          <w:sz w:val="21"/>
          <w:szCs w:val="21"/>
          <w:highlight w:val="none"/>
          <w:lang w:eastAsia="zh-CN"/>
        </w:rPr>
      </w:pPr>
      <w:r>
        <w:rPr>
          <w:rFonts w:hint="eastAsia" w:ascii="Times New Roman"/>
          <w:color w:val="auto"/>
          <w:sz w:val="21"/>
          <w:szCs w:val="21"/>
          <w:highlight w:val="none"/>
        </w:rPr>
        <w:t>上海市政务云基础设施创新能力类最高限价参见下表</w:t>
      </w:r>
      <w:r>
        <w:rPr>
          <w:rFonts w:hint="eastAsia" w:ascii="Times New Roman"/>
          <w:color w:val="auto"/>
          <w:sz w:val="21"/>
          <w:szCs w:val="21"/>
          <w:highlight w:val="none"/>
          <w:lang w:eastAsia="zh-CN"/>
        </w:rPr>
        <w:t>：</w:t>
      </w:r>
    </w:p>
    <w:tbl>
      <w:tblPr>
        <w:tblStyle w:val="11"/>
        <w:tblW w:w="0" w:type="auto"/>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8"/>
        <w:gridCol w:w="511"/>
        <w:gridCol w:w="487"/>
        <w:gridCol w:w="864"/>
        <w:gridCol w:w="1084"/>
        <w:gridCol w:w="1260"/>
        <w:gridCol w:w="1154"/>
        <w:gridCol w:w="26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服务类别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服务子类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服务项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服务子项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服务内容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基础设施服务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物理托管服务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机房机柜服务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整机柜租用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提供整机柜空间租赁服务，用于业务系统设备托管。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网络资源服务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互联网公有IP服务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互联网公有IP服务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提供互联网公有IP地址分配服务，支持业务系统接入互联网。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互联网带宽（骨干级-含DDoS防护）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互联网带宽（骨干级-含DDoS防护）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提供骨干级互联网带宽接入服务，含DDoS防护，保障互联网访问。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Gb/月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应用负载均衡服务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应用负载均衡服务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提供网络流量负载均衡服务，提升应用可用性和扩展性。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每IP/月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安全交换区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安全交换区（网闸）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提供基于网闸的安全数据交换服务，实现政务外网与互联网安全隔离互通。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每IP/月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计算资源服务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CPU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CPU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提供云服务器CPU计算资源服务。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核/月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内存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内存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提供云服务器内存资源服务。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G/月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工作的复杂度，取难度系数N(N=1.00～0.25)确定单价，其中难度系数评估与单台主机的内存容量相关联。单台服务器的内存资源费用采用分段累进计费方式，即不同内存容量区间适用不同的单价，仅对落入该区间的超出部分按对应单价计算，不对全部容量统一适用单价</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按照内存容量区间标准，单台主机中所使用内存容量小于等于 128 GB 的部分。</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0.5</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按照内存容量区间标准，单台主机中所使用内存容量大于 128 GB 且小于等于 256 GB 的部分。</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0.25</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按照内存容量区间标准，单台主机所使用内存容量分级等级大于 256 GB 的部分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GPU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GPU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提供多元加速计算资源服务，适用于AI计算（算法/训练/推理）、图形处理等场景。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按工作的复杂度，取难度系数N(N=1.0～4.0)确定单价。</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按照资源类型标准，主要用于算法处理的GPU。</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2.00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按照资源类型标准，主要用于模型推理GPU。</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4.00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按照资源类型标准，主要用于模型训练GPU。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存储资源服务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存储空间服务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存储空间服务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提供云硬盘存储空间服务，用于数据存储。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TB/月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按工作的复杂度，取难度系数N(N=1.0～3.7)确定单价。</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按照存储服务类型标准，涉及应用存储空间服务、数据备份服务。</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1.90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按照存储服务类型标准，涉及高性能数据库存储服务。</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3.70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按照存储服务类型标准，涉及加密存储服务。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数据归档服务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数据归档服务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提供长期离线数据归档存储服务。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信息安全技术服务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安全防护服务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网络访问控制服务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网络访问控制服务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提供网络边界访问策略控制与威胁检测服务。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租户/月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1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入侵防御服务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入侵防御服务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提供网络入侵行为检测与防御服务。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租户/月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用户安全服务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用户身份认证服务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用户身份认证服务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提供云平台用户身份认证与管理服务。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租户/月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安全隐患感知服务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安全隐患感知服务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提供蜜罐服务，主动诱捕和发现潜在安全威胁。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节点/月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安全接入服务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VPN接入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VPN接入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提供IPSec VPN服务，安全连接本地网络与政务云。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隧道数/月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安全管理服务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数据库审计服务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数据库审计服务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提供数据库操作行为审计服务。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实例/月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安全扫描服务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安全扫描服务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安全扫描服务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提供主机安全漏洞扫描服务，含主机漏洞扫描、基线检查。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次*VM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代码扫描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代码扫描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提供源代码安全扫描服务。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网站防护服务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在线防护WAF</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在线防护WAF</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提供Web应用防火墙(WAF)服务，防御网站常见攻击。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网页防篡服务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网页防篡服务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提供网页防篡改监控与恢复服务。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3</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软件支撑服务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操作系统服务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操作系统服务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操作系统服务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提供操作系统订阅服务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4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操作系统服务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操作系统服务（仅运维部分）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提供超出更新服务期的操作系统大版本升级以及非产品原因导致的技术支持。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套/次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中间件服务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中间件服务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中间件服务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提供应用中间件订阅服务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中间件服务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中间件服务（仅运维部分）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提供已使用中间件的运维升级服务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套/次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提供数据库订阅服务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数据库服务（仅运维部分）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提供已使用数据库的运维升级服务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套/次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表格存储服务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表格存储服务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提供高并发、低延迟的NoSQL数据存储服务。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TB/月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分析型数据库服务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分析型数据库服务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提供在线分析处理(OLAP)数据库服务，支持海量数据分析。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实例/月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内存数据库服务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内存数据库服务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提供高性能内存数据库服务，满足低延迟业务需求。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实例/月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数据传输工具服务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数据传输工具服务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提供异构数据源间数据同步传输服务。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链路/月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认证服务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身份认证服务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个人多源认证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提供自然人身份真实性在线核验服务。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按工作的复杂度，取难度系数N(N=1.0～8.0)确定单价。</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按照认证要素类型标准，涉及身份二要素认证。</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1.80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按照认证要素类型标准，涉及支付宝帐户认证。</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2.00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按照认证要素类型标准，涉及身份四要素认证。</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4.00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按照认证要素类型标准，涉及银行卡三要素认证、银行卡四要素认证。</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5.00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按照认证要素类型标准，涉及手机三要素认证。</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8.00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按照认证要素类型标准，涉及声纹识别认证。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公务人员统一身份认证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提供公务人员统一身份管理、认证及单点登录服务。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应用/月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按工作的复杂度，取难度系数N(N=1.0～3.5)确定单价。</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按照年访问量区间标准，年访问量小于100万次。</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1.50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按照年访问量区间标准，年访问量在100万-500万次之间（含）。</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3.50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按照年访问量区间标准，年访问量在500万-1000万次之间（含）。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数字证书服务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SSL证书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提供SSL证书签发服务。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张/月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按工作的复杂度，取难度系数N(N=1.0～4.0)确定单价。</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按照SSL证书类型标准，涉及单域名SSL证书。</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难度系数 4.00</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按照SSL证书类型标准，涉及通配符SSL证书。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公务人员证书（key）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提供公务人员数字证书签发及介质服务。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张/月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证书介质（key）</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提供数字证书存储介质服务。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大数据服务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实时计算服务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实时计算服务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提供实时数据流处理计算服务。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实例/月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数据通道服务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数据通道服务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提供实时数据发布、订阅与转发通道服务。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主题表（Topic）/月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大数据离线计算服务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大数据离线计算服务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提供海量数据离线存储与批量计算服务。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实例/月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1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全文检索服务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全文检索服务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提供海量数据全文检索服务。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实例/月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21"/>
                <w:szCs w:val="21"/>
                <w:u w:val="none"/>
              </w:rPr>
            </w:pPr>
          </w:p>
        </w:tc>
      </w:tr>
    </w:tbl>
    <w:p>
      <w:pPr>
        <w:pStyle w:val="7"/>
        <w:rPr>
          <w:rFonts w:hint="eastAsia" w:ascii="Times New Roman"/>
          <w:color w:val="auto"/>
          <w:sz w:val="21"/>
          <w:szCs w:val="21"/>
          <w:highlight w:val="none"/>
          <w:lang w:eastAsia="zh-CN"/>
        </w:rPr>
      </w:pPr>
    </w:p>
    <w:p>
      <w:pPr>
        <w:pStyle w:val="3"/>
        <w:numPr>
          <w:ilvl w:val="1"/>
          <w:numId w:val="5"/>
        </w:numPr>
        <w:ind w:left="420"/>
        <w:rPr>
          <w:lang w:eastAsia="zh-CN"/>
        </w:rPr>
      </w:pPr>
      <w:r>
        <w:rPr>
          <w:rFonts w:hint="eastAsia"/>
          <w:lang w:eastAsia="zh-CN"/>
        </w:rPr>
        <w:t>项目责罚条款</w:t>
      </w:r>
    </w:p>
    <w:p>
      <w:pPr>
        <w:pStyle w:val="3"/>
        <w:widowControl/>
        <w:numPr>
          <w:ilvl w:val="0"/>
          <w:numId w:val="0"/>
        </w:numPr>
        <w:topLinePunct/>
        <w:adjustRightInd w:val="0"/>
        <w:snapToGrid w:val="0"/>
        <w:spacing w:before="100" w:after="100" w:line="600" w:lineRule="exact"/>
        <w:ind w:left="420" w:hangingChars="200"/>
        <w:jc w:val="left"/>
        <w:rPr>
          <w:rFonts w:hint="default" w:ascii="宋体" w:hAnsi="宋体"/>
        </w:rPr>
      </w:pPr>
      <w:r>
        <w:rPr>
          <w:rFonts w:ascii="宋体" w:hAnsi="宋体" w:cs="Segoe UI Symbol"/>
          <w:lang w:eastAsia="zh-CN"/>
        </w:rPr>
        <w:t>★</w:t>
      </w:r>
      <w:r>
        <w:rPr>
          <w:rFonts w:hint="eastAsia" w:ascii="宋体" w:hAnsi="宋体" w:cs="Arial"/>
          <w:bCs w:val="0"/>
          <w:kern w:val="2"/>
          <w:sz w:val="21"/>
          <w:szCs w:val="21"/>
          <w:lang w:eastAsia="zh-CN"/>
        </w:rPr>
        <w:t>中标人应当对以下项目违约条款作出无条件响应承诺。</w:t>
      </w:r>
    </w:p>
    <w:p>
      <w:pPr>
        <w:widowControl/>
        <w:numPr>
          <w:ilvl w:val="0"/>
          <w:numId w:val="7"/>
        </w:numPr>
        <w:topLinePunct/>
        <w:adjustRightInd w:val="0"/>
        <w:snapToGrid w:val="0"/>
        <w:spacing w:before="100" w:after="100" w:line="300" w:lineRule="exact"/>
        <w:ind w:left="420" w:hangingChars="200"/>
        <w:jc w:val="left"/>
        <w:rPr>
          <w:rFonts w:hint="default" w:ascii="宋体" w:hAnsi="宋体"/>
        </w:rPr>
      </w:pPr>
      <w:r>
        <w:rPr>
          <w:rFonts w:hint="default" w:ascii="宋体" w:hAnsi="宋体"/>
        </w:rPr>
        <w:t>政务云服务运营采用闭环管理。中标人在投标文件和合同中承诺的服务内容（SLA）、性能指标、安全要求及管理规范，在实际运行过程中未能满足或出现问题的，均视为违约。采购人将根据违约事件的类型、性质、影响范围、持续时间、后果严重程度以及中标人采取的补救措施和响应速度，依据本条款进行相应的违约处理。违约处理方式包括但不限于发出书面警告、限期整改要求、按合同约定计收违约金、按比例扣减当期服务费用、终止合同、报请财政部门备案、追究法律责任等。</w:t>
      </w:r>
    </w:p>
    <w:p>
      <w:pPr>
        <w:widowControl/>
        <w:numPr>
          <w:ilvl w:val="0"/>
          <w:numId w:val="7"/>
        </w:numPr>
        <w:topLinePunct/>
        <w:adjustRightInd w:val="0"/>
        <w:snapToGrid w:val="0"/>
        <w:spacing w:before="100" w:after="100" w:line="300" w:lineRule="exact"/>
        <w:ind w:left="420" w:hangingChars="200"/>
        <w:jc w:val="left"/>
        <w:rPr>
          <w:rFonts w:hint="default" w:ascii="宋体" w:hAnsi="宋体"/>
        </w:rPr>
      </w:pPr>
      <w:r>
        <w:rPr>
          <w:rFonts w:hint="default" w:ascii="宋体" w:hAnsi="宋体"/>
        </w:rPr>
        <w:t>中标人须严格按照《上海市大数据中心市政务云服务商服务考核标准（试行）》接受采购人的定期考核评定。考核内容涵盖服务交付、人员管理、投诉处理、服务可用性、故障管理、变更管理、安全合规、制度执行有效性等关键领域。采购人将根据考评结果及考评过程中发现的具体问题，结合本违约责任条款，进行相应的违约处理。考评结果将作为服务费用结算、续约决策的重要依据。</w:t>
      </w:r>
    </w:p>
    <w:p>
      <w:pPr>
        <w:widowControl/>
        <w:numPr>
          <w:ilvl w:val="0"/>
          <w:numId w:val="7"/>
        </w:numPr>
        <w:topLinePunct/>
        <w:adjustRightInd w:val="0"/>
        <w:snapToGrid w:val="0"/>
        <w:spacing w:before="100" w:after="100" w:line="300" w:lineRule="exact"/>
        <w:ind w:left="420" w:hangingChars="200"/>
        <w:jc w:val="left"/>
        <w:rPr>
          <w:rFonts w:ascii="宋体" w:hAnsi="宋体"/>
        </w:rPr>
      </w:pPr>
      <w:r>
        <w:rPr>
          <w:rFonts w:hint="default" w:ascii="宋体" w:hAnsi="宋体"/>
        </w:rPr>
        <w:t>出现服务中断、性能下降、安全事件或其他违约情形时，由采购人委托的第三方专业服务单位负责界定责任边界、事件原因和严重程度等级。采购人将依据第三方的界定结论、事件的严重程度以及中标人的响应和整改情况，依据本条款对中标人实施相应的违约处理措施。对于中标人未按期完成整改或整改无效的，采购人有权加重处罚。</w:t>
      </w:r>
    </w:p>
    <w:p>
      <w:pPr>
        <w:widowControl/>
        <w:numPr>
          <w:ilvl w:val="0"/>
          <w:numId w:val="7"/>
        </w:numPr>
        <w:topLinePunct/>
        <w:adjustRightInd w:val="0"/>
        <w:snapToGrid w:val="0"/>
        <w:spacing w:before="100" w:after="100" w:line="300" w:lineRule="exact"/>
        <w:ind w:left="420" w:hangingChars="200"/>
        <w:jc w:val="left"/>
        <w:rPr>
          <w:rFonts w:ascii="宋体" w:hAnsi="宋体"/>
        </w:rPr>
      </w:pPr>
      <w:r>
        <w:rPr>
          <w:rFonts w:hint="default" w:ascii="宋体" w:hAnsi="宋体"/>
        </w:rPr>
        <w:t>若因中标人责任导致业务生产数据泄露，除按本条款第</w:t>
      </w:r>
      <w:r>
        <w:rPr>
          <w:rFonts w:hint="eastAsia" w:ascii="宋体" w:hAnsi="宋体"/>
          <w:lang w:val="en-US" w:eastAsia="zh-CN"/>
        </w:rPr>
        <w:t>8</w:t>
      </w:r>
      <w:r>
        <w:rPr>
          <w:rFonts w:hint="default" w:ascii="宋体" w:hAnsi="宋体"/>
        </w:rPr>
        <w:t>项支付</w:t>
      </w:r>
      <w:r>
        <w:rPr>
          <w:rFonts w:hint="eastAsia" w:ascii="宋体" w:hAnsi="宋体"/>
          <w:lang w:eastAsia="zh-CN"/>
        </w:rPr>
        <w:t>1</w:t>
      </w:r>
      <w:r>
        <w:rPr>
          <w:rFonts w:hint="eastAsia" w:ascii="宋体" w:hAnsi="宋体"/>
          <w:lang w:val="en-US" w:eastAsia="zh-CN"/>
        </w:rPr>
        <w:t>00</w:t>
      </w:r>
      <w:r>
        <w:rPr>
          <w:rFonts w:hint="default" w:ascii="宋体" w:hAnsi="宋体"/>
        </w:rPr>
        <w:t>万元违约金外，采购人有权另行追究由此造成的直接经济损失，</w:t>
      </w:r>
    </w:p>
    <w:p>
      <w:pPr>
        <w:widowControl/>
        <w:numPr>
          <w:ilvl w:val="0"/>
          <w:numId w:val="7"/>
        </w:numPr>
        <w:topLinePunct/>
        <w:adjustRightInd w:val="0"/>
        <w:snapToGrid w:val="0"/>
        <w:spacing w:before="100" w:after="100" w:line="300" w:lineRule="exact"/>
        <w:ind w:left="420" w:hangingChars="200"/>
        <w:jc w:val="left"/>
        <w:rPr>
          <w:rFonts w:ascii="宋体" w:hAnsi="宋体"/>
        </w:rPr>
      </w:pPr>
      <w:r>
        <w:rPr>
          <w:rFonts w:hint="default" w:ascii="宋体" w:hAnsi="宋体"/>
        </w:rPr>
        <w:t>违约金标准</w:t>
      </w:r>
      <w:r>
        <w:rPr>
          <w:rFonts w:hint="eastAsia" w:ascii="宋体" w:hAnsi="宋体"/>
          <w:lang w:eastAsia="zh-CN"/>
        </w:rPr>
        <w:t>（运营考评标准见本需求附件）</w:t>
      </w:r>
      <w:r>
        <w:rPr>
          <w:rFonts w:hint="default" w:ascii="宋体" w:hAnsi="宋体"/>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853"/>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D9D9D9"/>
          </w:tcPr>
          <w:p>
            <w:pPr>
              <w:jc w:val="center"/>
              <w:rPr>
                <w:rFonts w:ascii="宋体" w:hAnsi="宋体" w:cs="Times New Roman"/>
              </w:rPr>
            </w:pPr>
            <w:r>
              <w:rPr>
                <w:rFonts w:ascii="宋体" w:hAnsi="宋体" w:cs="Times New Roman"/>
              </w:rPr>
              <w:t>序号</w:t>
            </w:r>
          </w:p>
        </w:tc>
        <w:tc>
          <w:tcPr>
            <w:tcW w:w="4853" w:type="dxa"/>
            <w:shd w:val="clear" w:color="auto" w:fill="D9D9D9"/>
          </w:tcPr>
          <w:p>
            <w:pPr>
              <w:jc w:val="center"/>
              <w:rPr>
                <w:rFonts w:ascii="宋体" w:hAnsi="宋体" w:cs="Times New Roman"/>
              </w:rPr>
            </w:pPr>
            <w:r>
              <w:rPr>
                <w:rFonts w:ascii="宋体" w:hAnsi="宋体" w:cs="Times New Roman"/>
              </w:rPr>
              <w:t>违约条件</w:t>
            </w:r>
          </w:p>
        </w:tc>
        <w:tc>
          <w:tcPr>
            <w:tcW w:w="2841" w:type="dxa"/>
            <w:shd w:val="clear" w:color="auto" w:fill="D9D9D9"/>
          </w:tcPr>
          <w:p>
            <w:pPr>
              <w:jc w:val="center"/>
              <w:rPr>
                <w:rFonts w:ascii="宋体" w:hAnsi="宋体" w:cs="Times New Roman"/>
              </w:rPr>
            </w:pPr>
            <w:r>
              <w:rPr>
                <w:rFonts w:ascii="宋体" w:hAnsi="宋体" w:cs="Times New Roman"/>
              </w:rPr>
              <w:t>违约金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ascii="宋体" w:hAnsi="宋体" w:cs="Times New Roman"/>
              </w:rPr>
            </w:pPr>
            <w:r>
              <w:rPr>
                <w:rFonts w:ascii="宋体" w:hAnsi="宋体" w:cs="Times New Roman"/>
              </w:rPr>
              <w:t>1</w:t>
            </w:r>
          </w:p>
        </w:tc>
        <w:tc>
          <w:tcPr>
            <w:tcW w:w="4853" w:type="dxa"/>
          </w:tcPr>
          <w:p>
            <w:pPr>
              <w:jc w:val="center"/>
              <w:rPr>
                <w:rFonts w:ascii="宋体" w:hAnsi="宋体" w:cs="Times New Roman"/>
              </w:rPr>
            </w:pPr>
            <w:r>
              <w:rPr>
                <w:rFonts w:ascii="宋体" w:hAnsi="宋体" w:cs="Times New Roman"/>
                <w:lang w:val="en-US" w:eastAsia="zh-CN"/>
              </w:rPr>
              <w:t>因中标人责任导致</w:t>
            </w:r>
            <w:r>
              <w:rPr>
                <w:rFonts w:hint="eastAsia" w:ascii="宋体" w:hAnsi="宋体" w:cs="Times New Roman"/>
                <w:lang w:val="en-US" w:eastAsia="zh-CN"/>
              </w:rPr>
              <w:t>主管部门、管理部门或者</w:t>
            </w:r>
            <w:r>
              <w:rPr>
                <w:rFonts w:ascii="宋体" w:hAnsi="宋体" w:cs="Times New Roman"/>
                <w:lang w:val="en-US" w:eastAsia="zh-CN"/>
              </w:rPr>
              <w:t>使用单位投诉云服务质量问题。</w:t>
            </w:r>
          </w:p>
        </w:tc>
        <w:tc>
          <w:tcPr>
            <w:tcW w:w="2841" w:type="dxa"/>
          </w:tcPr>
          <w:p>
            <w:pPr>
              <w:jc w:val="center"/>
              <w:rPr>
                <w:rFonts w:ascii="宋体" w:hAnsi="宋体" w:cs="Times New Roman"/>
              </w:rPr>
            </w:pPr>
            <w:r>
              <w:rPr>
                <w:rFonts w:hint="eastAsia" w:ascii="宋体" w:hAnsi="宋体" w:cs="Times New Roman"/>
                <w:lang w:val="en-US" w:eastAsia="zh-CN"/>
              </w:rPr>
              <w:t>5</w:t>
            </w:r>
            <w:r>
              <w:rPr>
                <w:rFonts w:ascii="宋体" w:hAnsi="宋体" w:cs="Times New Roma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val="en-US" w:eastAsia="zh-CN"/>
              </w:rPr>
            </w:pPr>
            <w:r>
              <w:rPr>
                <w:rFonts w:hint="eastAsia" w:ascii="宋体" w:hAnsi="宋体" w:cs="Times New Roman"/>
                <w:lang w:val="en-US" w:eastAsia="zh-CN"/>
              </w:rPr>
              <w:t>2</w:t>
            </w:r>
          </w:p>
        </w:tc>
        <w:tc>
          <w:tcPr>
            <w:tcW w:w="4853" w:type="dxa"/>
            <w:shd w:val="clear" w:color="auto" w:fill="auto"/>
            <w:vAlign w:val="top"/>
          </w:tcPr>
          <w:p>
            <w:pPr>
              <w:jc w:val="center"/>
              <w:rPr>
                <w:rFonts w:hint="default" w:ascii="宋体" w:hAnsi="宋体" w:cs="Times New Roman" w:eastAsiaTheme="minorEastAsia"/>
                <w:kern w:val="2"/>
                <w:sz w:val="21"/>
                <w:szCs w:val="24"/>
                <w:lang w:val="en-US" w:eastAsia="zh-CN" w:bidi="ar-SA"/>
              </w:rPr>
            </w:pPr>
            <w:r>
              <w:rPr>
                <w:rFonts w:ascii="宋体" w:hAnsi="宋体" w:cs="Times New Roman"/>
                <w:lang w:val="en-US" w:eastAsia="zh-CN"/>
              </w:rPr>
              <w:t>关键服务指标（SLA）未达标。</w:t>
            </w:r>
          </w:p>
        </w:tc>
        <w:tc>
          <w:tcPr>
            <w:tcW w:w="2841" w:type="dxa"/>
            <w:shd w:val="clear" w:color="auto" w:fill="auto"/>
            <w:vAlign w:val="top"/>
          </w:tcPr>
          <w:p>
            <w:pPr>
              <w:jc w:val="center"/>
              <w:rPr>
                <w:rFonts w:ascii="宋体" w:hAnsi="宋体" w:cs="Times New Roman" w:eastAsiaTheme="minorEastAsia"/>
                <w:kern w:val="2"/>
                <w:sz w:val="21"/>
                <w:szCs w:val="24"/>
                <w:lang w:val="en-US" w:eastAsia="zh-CN" w:bidi="ar-SA"/>
              </w:rPr>
            </w:pPr>
            <w:r>
              <w:rPr>
                <w:rFonts w:hint="eastAsia" w:ascii="宋体" w:hAnsi="宋体" w:cs="Times New Roman"/>
                <w:lang w:val="en-US" w:eastAsia="zh-CN"/>
              </w:rPr>
              <w:t>1</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3</w:t>
            </w:r>
          </w:p>
        </w:tc>
        <w:tc>
          <w:tcPr>
            <w:tcW w:w="4853" w:type="dxa"/>
          </w:tcPr>
          <w:p>
            <w:pPr>
              <w:jc w:val="center"/>
              <w:rPr>
                <w:rFonts w:ascii="宋体" w:hAnsi="宋体" w:cs="Times New Roman"/>
              </w:rPr>
            </w:pPr>
            <w:r>
              <w:rPr>
                <w:rFonts w:ascii="宋体" w:hAnsi="宋体" w:cs="Times New Roman"/>
              </w:rPr>
              <w:t>依据本招标要求未能履行的具体条款</w:t>
            </w:r>
          </w:p>
        </w:tc>
        <w:tc>
          <w:tcPr>
            <w:tcW w:w="2841" w:type="dxa"/>
          </w:tcPr>
          <w:p>
            <w:pPr>
              <w:jc w:val="center"/>
              <w:rPr>
                <w:rFonts w:ascii="宋体" w:hAnsi="宋体" w:cs="Times New Roman"/>
              </w:rPr>
            </w:pPr>
            <w:r>
              <w:rPr>
                <w:rFonts w:ascii="宋体" w:hAnsi="宋体" w:cs="Times New Roman"/>
              </w:rPr>
              <w:t>20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4</w:t>
            </w:r>
          </w:p>
        </w:tc>
        <w:tc>
          <w:tcPr>
            <w:tcW w:w="4853" w:type="dxa"/>
          </w:tcPr>
          <w:p>
            <w:pPr>
              <w:jc w:val="center"/>
              <w:rPr>
                <w:rFonts w:ascii="宋体" w:hAnsi="宋体" w:cs="Times New Roman"/>
              </w:rPr>
            </w:pPr>
            <w:r>
              <w:rPr>
                <w:rFonts w:ascii="宋体" w:hAnsi="宋体" w:cs="Times New Roman"/>
                <w:lang w:val="en-US" w:eastAsia="zh-CN"/>
              </w:rPr>
              <w:t>因中标人责任导致</w:t>
            </w:r>
            <w:r>
              <w:rPr>
                <w:rFonts w:ascii="宋体" w:hAnsi="宋体" w:cs="Times New Roman"/>
              </w:rPr>
              <w:t>的</w:t>
            </w:r>
            <w:r>
              <w:rPr>
                <w:rFonts w:hint="eastAsia" w:ascii="宋体" w:hAnsi="宋体" w:cs="Times New Roman"/>
                <w:lang w:val="en-US" w:eastAsia="zh-CN"/>
              </w:rPr>
              <w:t>部分</w:t>
            </w:r>
            <w:r>
              <w:rPr>
                <w:rFonts w:ascii="宋体" w:hAnsi="宋体" w:cs="Times New Roman"/>
              </w:rPr>
              <w:t>业务瘫痪未及时恢复</w:t>
            </w:r>
          </w:p>
        </w:tc>
        <w:tc>
          <w:tcPr>
            <w:tcW w:w="2841" w:type="dxa"/>
          </w:tcPr>
          <w:p>
            <w:pPr>
              <w:jc w:val="center"/>
              <w:rPr>
                <w:rFonts w:ascii="宋体" w:hAnsi="宋体" w:cs="Times New Roman"/>
              </w:rPr>
            </w:pPr>
            <w:r>
              <w:rPr>
                <w:rFonts w:hint="eastAsia" w:ascii="宋体" w:hAnsi="宋体" w:cs="Times New Roman"/>
                <w:lang w:val="en-US" w:eastAsia="zh-CN"/>
              </w:rPr>
              <w:t>2</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5</w:t>
            </w:r>
          </w:p>
        </w:tc>
        <w:tc>
          <w:tcPr>
            <w:tcW w:w="4853" w:type="dxa"/>
          </w:tcPr>
          <w:p>
            <w:pPr>
              <w:jc w:val="center"/>
              <w:rPr>
                <w:rFonts w:hint="default" w:ascii="宋体" w:hAnsi="宋体" w:cs="Times New Roman" w:eastAsiaTheme="minorEastAsia"/>
                <w:lang w:val="en-US" w:eastAsia="zh-CN"/>
              </w:rPr>
            </w:pPr>
            <w:r>
              <w:rPr>
                <w:rFonts w:ascii="宋体" w:hAnsi="宋体" w:cs="Times New Roman"/>
                <w:lang w:val="en-US" w:eastAsia="zh-CN"/>
              </w:rPr>
              <w:t>因中标人责任</w:t>
            </w:r>
            <w:r>
              <w:rPr>
                <w:rFonts w:ascii="宋体" w:hAnsi="宋体" w:cs="Times New Roman"/>
              </w:rPr>
              <w:t>导致的业务数据丢失</w:t>
            </w:r>
            <w:r>
              <w:rPr>
                <w:rFonts w:hint="eastAsia" w:ascii="宋体" w:hAnsi="宋体" w:cs="Times New Roman"/>
                <w:lang w:val="en-US" w:eastAsia="zh-CN"/>
              </w:rPr>
              <w:t>未能恢复</w:t>
            </w:r>
          </w:p>
        </w:tc>
        <w:tc>
          <w:tcPr>
            <w:tcW w:w="2841" w:type="dxa"/>
          </w:tcPr>
          <w:p>
            <w:pPr>
              <w:jc w:val="center"/>
              <w:rPr>
                <w:rFonts w:ascii="宋体" w:hAnsi="宋体" w:cs="Times New Roman"/>
              </w:rPr>
            </w:pPr>
            <w:r>
              <w:rPr>
                <w:rFonts w:hint="eastAsia" w:ascii="宋体" w:hAnsi="宋体" w:cs="Times New Roman"/>
                <w:lang w:val="en-US" w:eastAsia="zh-CN"/>
              </w:rPr>
              <w:t>3</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6</w:t>
            </w:r>
          </w:p>
        </w:tc>
        <w:tc>
          <w:tcPr>
            <w:tcW w:w="4853" w:type="dxa"/>
          </w:tcPr>
          <w:p>
            <w:pPr>
              <w:jc w:val="center"/>
              <w:rPr>
                <w:rFonts w:ascii="宋体" w:hAnsi="宋体" w:cs="Times New Roman"/>
              </w:rPr>
            </w:pPr>
            <w:r>
              <w:rPr>
                <w:rFonts w:ascii="宋体" w:hAnsi="宋体" w:cs="Times New Roman"/>
                <w:lang w:val="en-US" w:eastAsia="zh-CN"/>
              </w:rPr>
              <w:t>因中标人责任</w:t>
            </w:r>
            <w:r>
              <w:rPr>
                <w:rFonts w:ascii="宋体" w:hAnsi="宋体" w:cs="Times New Roman"/>
              </w:rPr>
              <w:t>导致的业务网页被篡改</w:t>
            </w:r>
          </w:p>
        </w:tc>
        <w:tc>
          <w:tcPr>
            <w:tcW w:w="2841" w:type="dxa"/>
          </w:tcPr>
          <w:p>
            <w:pPr>
              <w:jc w:val="center"/>
              <w:rPr>
                <w:rFonts w:ascii="宋体" w:hAnsi="宋体" w:cs="Times New Roman"/>
              </w:rPr>
            </w:pPr>
            <w:r>
              <w:rPr>
                <w:rFonts w:ascii="宋体" w:hAnsi="宋体" w:cs="Times New Roman"/>
              </w:rPr>
              <w:t>50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7</w:t>
            </w:r>
          </w:p>
        </w:tc>
        <w:tc>
          <w:tcPr>
            <w:tcW w:w="4853" w:type="dxa"/>
          </w:tcPr>
          <w:p>
            <w:pPr>
              <w:jc w:val="center"/>
              <w:rPr>
                <w:rFonts w:ascii="宋体" w:hAnsi="宋体" w:cs="Times New Roman"/>
              </w:rPr>
            </w:pPr>
            <w:r>
              <w:rPr>
                <w:rFonts w:ascii="宋体" w:hAnsi="宋体" w:cs="Times New Roman"/>
                <w:lang w:val="en-US" w:eastAsia="zh-CN"/>
              </w:rPr>
              <w:t>因中标人责任</w:t>
            </w:r>
            <w:r>
              <w:rPr>
                <w:rFonts w:ascii="宋体" w:hAnsi="宋体" w:cs="Times New Roman"/>
              </w:rPr>
              <w:t>导致的大面积业务瘫痪</w:t>
            </w:r>
          </w:p>
        </w:tc>
        <w:tc>
          <w:tcPr>
            <w:tcW w:w="2841" w:type="dxa"/>
          </w:tcPr>
          <w:p>
            <w:pPr>
              <w:jc w:val="center"/>
              <w:rPr>
                <w:rFonts w:ascii="宋体" w:hAnsi="宋体" w:cs="Times New Roman"/>
              </w:rPr>
            </w:pPr>
            <w:r>
              <w:rPr>
                <w:rFonts w:hint="eastAsia" w:ascii="宋体" w:hAnsi="宋体" w:cs="Times New Roman"/>
                <w:lang w:val="en-US" w:eastAsia="zh-CN"/>
              </w:rPr>
              <w:t>5</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8</w:t>
            </w:r>
          </w:p>
        </w:tc>
        <w:tc>
          <w:tcPr>
            <w:tcW w:w="4853" w:type="dxa"/>
          </w:tcPr>
          <w:p>
            <w:pPr>
              <w:jc w:val="center"/>
              <w:rPr>
                <w:rFonts w:ascii="宋体" w:hAnsi="宋体" w:cs="Times New Roman"/>
              </w:rPr>
            </w:pPr>
            <w:r>
              <w:rPr>
                <w:rFonts w:ascii="宋体" w:hAnsi="宋体" w:cs="Times New Roman"/>
                <w:lang w:val="en-US" w:eastAsia="zh-CN"/>
              </w:rPr>
              <w:t>因中标人责任</w:t>
            </w:r>
            <w:r>
              <w:rPr>
                <w:rFonts w:ascii="宋体" w:hAnsi="宋体" w:cs="Times New Roman"/>
              </w:rPr>
              <w:t>导致的业务生产数据泄露</w:t>
            </w:r>
          </w:p>
        </w:tc>
        <w:tc>
          <w:tcPr>
            <w:tcW w:w="2841" w:type="dxa"/>
          </w:tcPr>
          <w:p>
            <w:pPr>
              <w:jc w:val="center"/>
              <w:rPr>
                <w:rFonts w:hint="default" w:ascii="宋体" w:hAnsi="宋体" w:cs="Times New Roman" w:eastAsiaTheme="minorEastAsia"/>
                <w:lang w:val="en-US" w:eastAsia="zh-CN"/>
              </w:rPr>
            </w:pPr>
            <w:r>
              <w:rPr>
                <w:rFonts w:ascii="宋体" w:hAnsi="宋体" w:cs="Times New Roman"/>
              </w:rPr>
              <w:t>100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9</w:t>
            </w:r>
          </w:p>
        </w:tc>
        <w:tc>
          <w:tcPr>
            <w:tcW w:w="4853" w:type="dxa"/>
          </w:tcPr>
          <w:p>
            <w:pPr>
              <w:jc w:val="center"/>
              <w:rPr>
                <w:rFonts w:ascii="宋体" w:hAnsi="宋体" w:cs="Times New Roman"/>
              </w:rPr>
            </w:pPr>
            <w:r>
              <w:rPr>
                <w:rFonts w:ascii="宋体" w:hAnsi="宋体" w:cs="Times New Roman"/>
              </w:rPr>
              <w:t>当年运营考评总体得分低于90分</w:t>
            </w:r>
          </w:p>
        </w:tc>
        <w:tc>
          <w:tcPr>
            <w:tcW w:w="2841" w:type="dxa"/>
          </w:tcPr>
          <w:p>
            <w:pPr>
              <w:jc w:val="center"/>
              <w:rPr>
                <w:rFonts w:ascii="宋体" w:hAnsi="宋体" w:cs="Times New Roman"/>
              </w:rPr>
            </w:pPr>
            <w:r>
              <w:rPr>
                <w:rFonts w:ascii="宋体" w:hAnsi="宋体" w:cs="Times New Roman"/>
              </w:rPr>
              <w:t>当年结算金额的</w:t>
            </w:r>
            <w:r>
              <w:rPr>
                <w:rFonts w:hint="eastAsia" w:ascii="宋体" w:hAnsi="宋体" w:cs="Times New Roman"/>
                <w:lang w:val="en-US" w:eastAsia="zh-CN"/>
              </w:rPr>
              <w:t>1</w:t>
            </w:r>
            <w:r>
              <w:rPr>
                <w:rFonts w:ascii="宋体" w:hAnsi="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ascii="宋体" w:hAnsi="宋体" w:cs="Times New Roman"/>
              </w:rPr>
            </w:pPr>
            <w:r>
              <w:rPr>
                <w:rFonts w:hint="eastAsia" w:ascii="宋体" w:hAnsi="宋体" w:cs="Times New Roman"/>
                <w:lang w:val="en-US" w:eastAsia="zh-CN"/>
              </w:rPr>
              <w:t>10</w:t>
            </w:r>
          </w:p>
        </w:tc>
        <w:tc>
          <w:tcPr>
            <w:tcW w:w="4853" w:type="dxa"/>
          </w:tcPr>
          <w:p>
            <w:pPr>
              <w:jc w:val="center"/>
              <w:rPr>
                <w:rFonts w:ascii="宋体" w:hAnsi="宋体" w:cs="Times New Roman"/>
              </w:rPr>
            </w:pPr>
            <w:r>
              <w:rPr>
                <w:rFonts w:ascii="宋体" w:hAnsi="宋体" w:cs="Times New Roman"/>
              </w:rPr>
              <w:t>当年运营考评总体得分低于80分</w:t>
            </w:r>
          </w:p>
        </w:tc>
        <w:tc>
          <w:tcPr>
            <w:tcW w:w="2841" w:type="dxa"/>
          </w:tcPr>
          <w:p>
            <w:pPr>
              <w:jc w:val="center"/>
              <w:rPr>
                <w:rFonts w:ascii="宋体" w:hAnsi="宋体" w:cs="Times New Roman"/>
              </w:rPr>
            </w:pPr>
            <w:r>
              <w:rPr>
                <w:rFonts w:ascii="宋体" w:hAnsi="宋体" w:cs="Times New Roman"/>
              </w:rPr>
              <w:t>当年结算金额的</w:t>
            </w:r>
            <w:r>
              <w:rPr>
                <w:rFonts w:hint="eastAsia" w:ascii="宋体" w:hAnsi="宋体" w:cs="Times New Roman"/>
                <w:lang w:val="en-US" w:eastAsia="zh-CN"/>
              </w:rPr>
              <w:t>3</w:t>
            </w:r>
            <w:r>
              <w:rPr>
                <w:rFonts w:ascii="宋体" w:hAnsi="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jc w:val="center"/>
              <w:rPr>
                <w:rFonts w:ascii="宋体" w:hAnsi="宋体" w:cs="Times New Roman"/>
              </w:rPr>
            </w:pPr>
            <w:r>
              <w:rPr>
                <w:rFonts w:ascii="宋体" w:hAnsi="宋体" w:cs="Times New Roman"/>
              </w:rPr>
              <w:t>1</w:t>
            </w:r>
            <w:r>
              <w:rPr>
                <w:rFonts w:hint="eastAsia" w:ascii="宋体" w:hAnsi="宋体" w:cs="Times New Roman"/>
                <w:lang w:val="en-US" w:eastAsia="zh-CN"/>
              </w:rPr>
              <w:t>1</w:t>
            </w:r>
          </w:p>
        </w:tc>
        <w:tc>
          <w:tcPr>
            <w:tcW w:w="4853" w:type="dxa"/>
          </w:tcPr>
          <w:p>
            <w:pPr>
              <w:jc w:val="center"/>
              <w:rPr>
                <w:rFonts w:ascii="宋体" w:hAnsi="宋体" w:cs="Times New Roman"/>
              </w:rPr>
            </w:pPr>
            <w:r>
              <w:rPr>
                <w:rFonts w:ascii="宋体" w:hAnsi="宋体" w:cs="Times New Roman"/>
              </w:rPr>
              <w:t>当年运营考评总体得分低于70分</w:t>
            </w:r>
          </w:p>
        </w:tc>
        <w:tc>
          <w:tcPr>
            <w:tcW w:w="2841" w:type="dxa"/>
          </w:tcPr>
          <w:p>
            <w:pPr>
              <w:jc w:val="center"/>
              <w:rPr>
                <w:rFonts w:ascii="宋体" w:hAnsi="宋体" w:cs="Times New Roman"/>
              </w:rPr>
            </w:pPr>
            <w:r>
              <w:rPr>
                <w:rFonts w:ascii="宋体" w:hAnsi="宋体" w:cs="Times New Roman"/>
              </w:rPr>
              <w:t>当年结算金额的</w:t>
            </w:r>
            <w:r>
              <w:rPr>
                <w:rFonts w:hint="eastAsia" w:ascii="宋体" w:hAnsi="宋体" w:cs="Times New Roman"/>
                <w:lang w:val="en-US" w:eastAsia="zh-CN"/>
              </w:rPr>
              <w:t>5</w:t>
            </w:r>
            <w:r>
              <w:rPr>
                <w:rFonts w:ascii="宋体" w:hAnsi="宋体" w:cs="Times New Roman"/>
              </w:rPr>
              <w:t>%</w:t>
            </w:r>
          </w:p>
        </w:tc>
      </w:tr>
    </w:tbl>
    <w:p>
      <w:pPr>
        <w:pStyle w:val="3"/>
        <w:numPr>
          <w:ilvl w:val="1"/>
          <w:numId w:val="5"/>
        </w:numPr>
        <w:ind w:left="420"/>
        <w:rPr>
          <w:lang w:eastAsia="zh-CN"/>
        </w:rPr>
      </w:pPr>
      <w:r>
        <w:rPr>
          <w:rFonts w:hint="eastAsia"/>
        </w:rPr>
        <w:t>项目保密要求</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投标人因履行本项目而知悉的所有数据、信息和资料（包括但不限于账号信息、图表、文字、计算过程、电子文件、访谈记录、现场实测数据、采购方相关工作程序等）以及因履行本项目而形成的数据、信息和任何形式的工作成果，均是采购人要求保密的信息。未经采购人书面同意，投标人不得对外泄露采购人要求保密的信息，不得用于其他用途，否则投标人需承担由此引起的法律责任和经济责任，包括但不限于直接损失、间接损失、律师费、诉讼费/仲裁费、调查费、公证费等。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构建于政务云平台上的各部门业务系统、所有数据的拥有权及使用权均属于政府，</w:t>
      </w:r>
      <w:r>
        <w:rPr>
          <w:rFonts w:hint="eastAsia" w:ascii="宋体" w:hAnsi="宋体"/>
        </w:rPr>
        <w:t>中</w:t>
      </w:r>
      <w:r>
        <w:rPr>
          <w:rFonts w:ascii="宋体" w:hAnsi="宋体"/>
        </w:rPr>
        <w:t>标人无权对其进行支配，</w:t>
      </w:r>
      <w:r>
        <w:rPr>
          <w:rFonts w:hint="eastAsia" w:ascii="宋体" w:hAnsi="宋体"/>
        </w:rPr>
        <w:t>设备中的非易失性存储介质（包括但不限于机械硬盘、固态硬盘等），未经政务云管理单位同意，在维修全周期内严禁物理移出政务云机房</w:t>
      </w:r>
      <w:r>
        <w:rPr>
          <w:rFonts w:hint="eastAsia" w:ascii="宋体" w:hAnsi="宋体"/>
          <w:lang w:eastAsia="zh-CN"/>
        </w:rPr>
        <w:t>，设备报废时，存储介质必须经过严格的不可复原的数据销毁流程，且该过程需在政务云管理单位全程监管下进行</w:t>
      </w:r>
      <w:r>
        <w:rPr>
          <w:rFonts w:hint="eastAsia" w:ascii="宋体" w:hAnsi="宋体"/>
        </w:rPr>
        <w:t>。</w:t>
      </w:r>
      <w:r>
        <w:rPr>
          <w:rFonts w:ascii="宋体" w:hAnsi="宋体"/>
        </w:rPr>
        <w:t>所有设备的维修、报废等处理需经政务云管理单位同意，并在监管下进行。若发现</w:t>
      </w:r>
      <w:r>
        <w:rPr>
          <w:rFonts w:hint="eastAsia" w:ascii="宋体" w:hAnsi="宋体"/>
        </w:rPr>
        <w:t>中</w:t>
      </w:r>
      <w:r>
        <w:rPr>
          <w:rFonts w:ascii="宋体" w:hAnsi="宋体"/>
        </w:rPr>
        <w:t>标人未经许可对业务系统和数据进行支配，采购人将对</w:t>
      </w:r>
      <w:r>
        <w:rPr>
          <w:rFonts w:hint="eastAsia" w:ascii="宋体" w:hAnsi="宋体"/>
        </w:rPr>
        <w:t>中</w:t>
      </w:r>
      <w:r>
        <w:rPr>
          <w:rFonts w:ascii="宋体" w:hAnsi="宋体"/>
        </w:rPr>
        <w:t>标人采取违约处理并追究其法律责任。</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投标人应采取必要的有效措施保证其参与本项目的人员（包括投标人聘用的人员、借调的人员、在投标人实习的人员）无论是在职或离职后，以及投标人的合作方无论是合作中或合作终止后，都能够履行本项目约定的保密义务。若投标人人员或投标人合作方违反本条规定，投标人应承担连带责任。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保密期限自投标人知悉保密信息起始至保密信息被合法公开之日止。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投标人（含投标人参与本项目的人员）未经采购人书面许可，不得以任何形式自行使用或以任何方式向第三方披露、转让、授权、出售与本项目有关的技术成果、计算机软件、源代码、策划文档、技术诀窍、秘密信息、技术资料和其他文件。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在本项目终止或完成之后，项目各方在本项目中的保密义务并不随之终止，各方仍需依据本项目的保密规定履行保密义务。</w:t>
      </w:r>
    </w:p>
    <w:p>
      <w:pPr>
        <w:pStyle w:val="2"/>
        <w:numPr>
          <w:ilvl w:val="0"/>
          <w:numId w:val="4"/>
        </w:numPr>
        <w:spacing w:line="276" w:lineRule="auto"/>
        <w:rPr>
          <w:rFonts w:hint="default" w:ascii="宋体" w:hAnsi="宋体"/>
        </w:rPr>
      </w:pPr>
      <w:r>
        <w:rPr>
          <w:rFonts w:ascii="宋体" w:hAnsi="宋体"/>
        </w:rPr>
        <w:t>基础设施层技术要求</w:t>
      </w:r>
    </w:p>
    <w:p>
      <w:pPr>
        <w:pStyle w:val="14"/>
        <w:keepNext/>
        <w:keepLines/>
        <w:widowControl/>
        <w:numPr>
          <w:ilvl w:val="0"/>
          <w:numId w:val="5"/>
        </w:numPr>
        <w:topLinePunct/>
        <w:adjustRightInd w:val="0"/>
        <w:snapToGrid w:val="0"/>
        <w:spacing w:line="360" w:lineRule="auto"/>
        <w:ind w:firstLineChars="0"/>
        <w:jc w:val="left"/>
        <w:outlineLvl w:val="1"/>
        <w:rPr>
          <w:rFonts w:ascii="Book Antiqua" w:hAnsi="Book Antiqua" w:eastAsia="宋体"/>
          <w:bCs/>
          <w:vanish/>
          <w:kern w:val="0"/>
          <w:sz w:val="36"/>
          <w:szCs w:val="36"/>
        </w:rPr>
      </w:pPr>
    </w:p>
    <w:p>
      <w:pPr>
        <w:pStyle w:val="3"/>
        <w:numPr>
          <w:ilvl w:val="1"/>
          <w:numId w:val="5"/>
        </w:numPr>
        <w:ind w:left="420"/>
        <w:rPr>
          <w:lang w:eastAsia="zh-CN"/>
        </w:rPr>
      </w:pPr>
      <w:r>
        <w:rPr>
          <w:rFonts w:hint="eastAsia"/>
          <w:lang w:eastAsia="zh-CN"/>
        </w:rPr>
        <w:t>基础设施层整体要求</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系统架构要求：满足电子政务云总体架构，</w:t>
      </w:r>
      <w:r>
        <w:rPr>
          <w:rFonts w:hint="eastAsia" w:ascii="宋体" w:hAnsi="宋体"/>
        </w:rPr>
        <w:t>中</w:t>
      </w:r>
      <w:r>
        <w:rPr>
          <w:rFonts w:ascii="宋体" w:hAnsi="宋体"/>
        </w:rPr>
        <w:t>标人提供的政务云平台与部分委办局分中心，构成市级政务云平台总体架构。以政府购买服务的方式，依托政务外网，统一为各部门提供服务。</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市级政务云平台结构：政务云平台的网络区域按电子政务网络安全要求划分为电子政务外网和互联网两个区域，政务云平台相应划分为两个部分，分别位于电子政务外网区域的政务外网云平台和位于互联网区域的互联网云平台，两区域间设置安全数据交换区实现不同区域间的数据安全交换，</w:t>
      </w:r>
      <w:r>
        <w:rPr>
          <w:rFonts w:hint="eastAsia" w:ascii="宋体" w:hAnsi="宋体"/>
        </w:rPr>
        <w:t>单个云平台内的核心系统组件（包括计算、存储、网络及虚拟化软件等）应具备高度的兼容性与协同工作能力</w:t>
      </w:r>
      <w:r>
        <w:rPr>
          <w:rFonts w:hint="eastAsia" w:ascii="宋体" w:hAnsi="宋体"/>
          <w:lang w:eastAsia="zh-CN"/>
        </w:rPr>
        <w:t>，以确保平台整体的稳定性、可靠性及故障排查的高效性。</w:t>
      </w:r>
      <w:r>
        <w:rPr>
          <w:rFonts w:ascii="宋体" w:hAnsi="宋体"/>
        </w:rPr>
        <w:t>在符合网络安全等级保护基本要求的前提下，两个云平台之间需使用安全隔离方法保证安全和数据传输。</w:t>
      </w:r>
      <w:r>
        <w:rPr>
          <w:rFonts w:hint="eastAsia" w:ascii="宋体" w:hAnsi="宋体"/>
        </w:rPr>
        <w:t>中</w:t>
      </w:r>
      <w:r>
        <w:rPr>
          <w:rFonts w:ascii="宋体" w:hAnsi="宋体"/>
        </w:rPr>
        <w:t>标人提供的物理设备需要按独立的机房区域划分给云平台使用。</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硬件资源池：基线资源池物理建设规模满足至少CPU 40000核，内存 550TB，存储 28PB，应满足市级与区级的业务需求，在</w:t>
      </w:r>
      <w:r>
        <w:rPr>
          <w:rFonts w:hint="eastAsia" w:ascii="宋体" w:hAnsi="宋体"/>
        </w:rPr>
        <w:t>各项</w:t>
      </w:r>
      <w:r>
        <w:rPr>
          <w:rFonts w:ascii="宋体" w:hAnsi="宋体"/>
        </w:rPr>
        <w:t>资源发放水位高于70%时及时报告采购人。</w:t>
      </w:r>
      <w:r>
        <w:rPr>
          <w:rFonts w:hint="eastAsia" w:ascii="宋体" w:hAnsi="宋体"/>
        </w:rPr>
        <w:t>中</w:t>
      </w:r>
      <w:r>
        <w:rPr>
          <w:rFonts w:ascii="宋体" w:hAnsi="宋体"/>
        </w:rPr>
        <w:t>标人应按照采购人的要求，根据实际需求进行扩容。</w:t>
      </w:r>
      <w:r>
        <w:rPr>
          <w:rFonts w:hint="eastAsia" w:ascii="宋体" w:hAnsi="宋体"/>
        </w:rPr>
        <w:t>资源池</w:t>
      </w:r>
      <w:r>
        <w:rPr>
          <w:rFonts w:hint="eastAsia" w:ascii="宋体" w:hAnsi="宋体"/>
          <w:lang w:eastAsia="zh-CN"/>
        </w:rPr>
        <w:t>为自有的优先考虑。</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云运维管理平台服务：云服务商应使用自主的、适应国际标准的商业化虚拟化软件，并搭建统一的个性化云运维管理平台提供服务。云运维管理平台能够基于自主架构的虚拟化软件，提供云运营管理服务和云运维管理服务，能够对IT基础设施进行统一管理。云运维管理平台支持主流虚拟化软件。</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容灾备份：云服务商应提供完备的基于云的同城异地容灾备份体系，保障用户业务连续性和数据安全性。应具备对政务云平台本身的灾难恢复能力以及为用户业务系统提供的灾难恢复能力。云服务商的容灾备份体系必须提供</w:t>
      </w:r>
      <w:r>
        <w:rPr>
          <w:rFonts w:hint="eastAsia" w:ascii="宋体" w:hAnsi="宋体"/>
        </w:rPr>
        <w:t>满足同城灾备要求的本市范围内2个符合采购需求要求的A类同城异地IDC机房</w:t>
      </w:r>
      <w:r>
        <w:rPr>
          <w:rFonts w:hint="eastAsia" w:ascii="宋体" w:hAnsi="宋体"/>
          <w:lang w:eastAsia="zh-CN"/>
        </w:rPr>
        <w:t>，</w:t>
      </w:r>
      <w:r>
        <w:rPr>
          <w:rFonts w:hint="eastAsia" w:ascii="宋体" w:hAnsi="宋体"/>
        </w:rPr>
        <w:t>机房距上海市中心（人民大道200号）直线距离不超过20公里范围内</w:t>
      </w:r>
      <w:r>
        <w:rPr>
          <w:rFonts w:hint="eastAsia" w:ascii="宋体" w:hAnsi="宋体"/>
          <w:lang w:eastAsia="zh-CN"/>
        </w:rPr>
        <w:t>的优先考虑。</w:t>
      </w:r>
      <w:r>
        <w:rPr>
          <w:rFonts w:ascii="宋体" w:hAnsi="宋体"/>
        </w:rPr>
        <w:t>根据业务数据的特点和实时性需求，可进行数据同城灾备。云服务商提供的云平台应具备支撑业务应用系统双活部署的能力。</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安全服务：政务云平台需符合网络安全等级保护基本要求第三级安全通用要求和云计算安全扩展要求，满足《信息安全技术网络安全等级保护基本要求》（GB/T 22239-2019）第三级安全测评通用要求和云计算安全扩展要求、满足《信息安全技术云计算服务安全能力要求》（GB/T 31168-2014）增强级。</w:t>
      </w:r>
      <w:r>
        <w:rPr>
          <w:rFonts w:hint="eastAsia" w:ascii="宋体" w:hAnsi="宋体"/>
        </w:rPr>
        <w:t>中</w:t>
      </w:r>
      <w:r>
        <w:rPr>
          <w:rFonts w:ascii="宋体" w:hAnsi="宋体"/>
        </w:rPr>
        <w:t>标人所提供的服务及提供服务所需的软/硬件设备符合《网络安全审查办法》要求及国家网信办的相关要求，所提供的服务及提供服务所需的软/硬件设备符合《中华人民共和国密码法》及国家密码管理部门的相关要求。</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出口性能：政务云机房的所有网络出口应具备流量监控能力，支持历史流量回放，各出口的监控能力不低于出口实际配置的上联物理带宽。</w:t>
      </w:r>
    </w:p>
    <w:p>
      <w:pPr>
        <w:pStyle w:val="3"/>
        <w:numPr>
          <w:ilvl w:val="1"/>
          <w:numId w:val="5"/>
        </w:numPr>
        <w:ind w:left="420"/>
        <w:rPr>
          <w:lang w:eastAsia="zh-CN"/>
        </w:rPr>
      </w:pPr>
      <w:r>
        <w:rPr>
          <w:rFonts w:hint="eastAsia"/>
          <w:lang w:eastAsia="zh-CN"/>
        </w:rPr>
        <w:t>软件技术要求</w:t>
      </w:r>
    </w:p>
    <w:p>
      <w:pPr>
        <w:pStyle w:val="4"/>
        <w:numPr>
          <w:ilvl w:val="2"/>
          <w:numId w:val="5"/>
        </w:numPr>
        <w:spacing w:before="160" w:line="300" w:lineRule="exact"/>
        <w:ind w:left="420"/>
        <w:rPr>
          <w:rFonts w:ascii="宋体" w:hAnsi="宋体"/>
        </w:rPr>
      </w:pPr>
      <w:r>
        <w:rPr>
          <w:rFonts w:ascii="宋体" w:hAnsi="宋体"/>
        </w:rPr>
        <w:t>云业务管理平台要求</w:t>
      </w:r>
    </w:p>
    <w:p>
      <w:pPr>
        <w:spacing w:line="276" w:lineRule="auto"/>
        <w:ind w:left="420" w:firstLine="420"/>
      </w:pPr>
      <w:r>
        <w:rPr>
          <w:rFonts w:hint="eastAsia"/>
        </w:rPr>
        <w:t>中</w:t>
      </w:r>
      <w:r>
        <w:t>标人须提供一套能够针对省/市两级电子政务云业务进行综合管理的商业化云业务管理平台软件，提供云业务管理和业务云上资源监控等相关个性化服务，能够对云上业务进行有效管理。云业务管理平台软件需支持与</w:t>
      </w:r>
      <w:r>
        <w:rPr>
          <w:rFonts w:hint="eastAsia"/>
        </w:rPr>
        <w:t>中</w:t>
      </w:r>
      <w:r>
        <w:t>标人所提供的云运维监控平台对接的能力、以及在基础设施层各类服务器及其虚拟化环境中部署的能力。</w:t>
      </w:r>
    </w:p>
    <w:tbl>
      <w:tblPr>
        <w:tblStyle w:val="11"/>
        <w:tblW w:w="4531" w:type="pct"/>
        <w:jc w:val="center"/>
        <w:tblLayout w:type="autofit"/>
        <w:tblCellMar>
          <w:top w:w="0" w:type="dxa"/>
          <w:left w:w="108" w:type="dxa"/>
          <w:bottom w:w="0" w:type="dxa"/>
          <w:right w:w="108" w:type="dxa"/>
        </w:tblCellMar>
      </w:tblPr>
      <w:tblGrid>
        <w:gridCol w:w="1361"/>
        <w:gridCol w:w="6362"/>
      </w:tblGrid>
      <w:tr>
        <w:tblPrEx>
          <w:tblCellMar>
            <w:top w:w="0" w:type="dxa"/>
            <w:left w:w="108" w:type="dxa"/>
            <w:bottom w:w="0" w:type="dxa"/>
            <w:right w:w="108" w:type="dxa"/>
          </w:tblCellMar>
        </w:tblPrEx>
        <w:trPr>
          <w:jc w:val="center"/>
        </w:trPr>
        <w:tc>
          <w:tcPr>
            <w:tcW w:w="881" w:type="pct"/>
            <w:tcBorders>
              <w:top w:val="single" w:color="auto" w:sz="4" w:space="0"/>
              <w:left w:val="single" w:color="auto" w:sz="4" w:space="0"/>
              <w:bottom w:val="single" w:color="auto" w:sz="4" w:space="0"/>
              <w:right w:val="single" w:color="auto" w:sz="4" w:space="0"/>
            </w:tcBorders>
            <w:shd w:val="clear" w:color="auto" w:fill="BFBFBF"/>
            <w:vAlign w:val="center"/>
          </w:tcPr>
          <w:p>
            <w:pPr>
              <w:jc w:val="center"/>
              <w:rPr>
                <w:rFonts w:ascii="宋体" w:hAnsi="宋体" w:cs="宋体"/>
                <w:b/>
                <w:bCs/>
                <w:color w:val="000000"/>
                <w:kern w:val="0"/>
              </w:rPr>
            </w:pPr>
            <w:r>
              <w:rPr>
                <w:rFonts w:ascii="宋体" w:hAnsi="宋体" w:cs="宋体"/>
                <w:b/>
                <w:bCs/>
                <w:color w:val="000000"/>
                <w:kern w:val="0"/>
              </w:rPr>
              <w:t>规格</w:t>
            </w:r>
          </w:p>
        </w:tc>
        <w:tc>
          <w:tcPr>
            <w:tcW w:w="4119" w:type="pct"/>
            <w:tcBorders>
              <w:top w:val="single" w:color="auto" w:sz="4" w:space="0"/>
              <w:left w:val="nil"/>
              <w:bottom w:val="single" w:color="auto" w:sz="4" w:space="0"/>
              <w:right w:val="single" w:color="auto" w:sz="4" w:space="0"/>
            </w:tcBorders>
            <w:shd w:val="clear" w:color="auto" w:fill="BFBFBF"/>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服务接入管理</w:t>
            </w:r>
          </w:p>
        </w:tc>
        <w:tc>
          <w:tcPr>
            <w:tcW w:w="41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提供对各项云服务的接入验证审查管理能力，将各项云服务纳入统一的监管体系，包括云资源服务、云软件服务、云安全服务等。</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服务版本管理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提供针对云服务自身版本的管理、变更、以及多个版本并存的支持能力。</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服务发布管理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提供各类云服务的发布管理，包含注册、监测、评估、审核等。</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服务申请管理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支持各项云服务申请的统一管理，包括上云、下云、优化、扩容等申请。</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服务交付管理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支持各项云服务交付的统一管理，包括服务工单发放、服务交付跟踪、服务交付验证等。</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服务变更管理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提供各类云服务的变更管理，包括相应的升级、割接、结算等。</w:t>
            </w:r>
          </w:p>
        </w:tc>
      </w:tr>
      <w:tr>
        <w:tblPrEx>
          <w:tblCellMar>
            <w:top w:w="0" w:type="dxa"/>
            <w:left w:w="108" w:type="dxa"/>
            <w:bottom w:w="0" w:type="dxa"/>
            <w:right w:w="108" w:type="dxa"/>
          </w:tblCellMar>
        </w:tblPrEx>
        <w:trPr>
          <w:trHeight w:val="90" w:hRule="atLeast"/>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服务退出管理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提供各类云服务的退出管理，包括相应的延期、割接、结算等</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服务状态管理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支持针对各类云服务运行状态的监测、变更及管理。</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服务监控管理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支持对各类云服务的监控及分级告警管理。</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服务响应管理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支持统一的云服务响应管理，包括登记、分发、跟踪、验证、回访等。</w:t>
            </w:r>
          </w:p>
        </w:tc>
      </w:tr>
      <w:tr>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服务故障管理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支持各类云服务故障的全流程管理，涵盖故障的发现、定位、诊断、修复、核实等环节。</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服务计量管理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支持针对各类云服务的计量管理，并以数据、日志、报告等形式提供相应的计量依据。</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服务计费管理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支持各类云服务的计费管理，并以使用单位、云服务商的维度生成月度、季度、年度账单。</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服务评估管理</w:t>
            </w:r>
          </w:p>
        </w:tc>
        <w:tc>
          <w:tcPr>
            <w:tcW w:w="4119" w:type="pct"/>
            <w:tcBorders>
              <w:top w:val="nil"/>
              <w:left w:val="nil"/>
              <w:bottom w:val="single" w:color="auto" w:sz="4" w:space="0"/>
              <w:right w:val="single" w:color="auto" w:sz="4" w:space="0"/>
            </w:tcBorders>
            <w:vAlign w:val="center"/>
          </w:tcPr>
          <w:p>
            <w:pPr>
              <w:rPr>
                <w:rFonts w:ascii="宋体" w:hAnsi="宋体" w:cs="宋体"/>
                <w:kern w:val="0"/>
              </w:rPr>
            </w:pPr>
            <w:r>
              <w:rPr>
                <w:rFonts w:ascii="宋体" w:hAnsi="宋体" w:cs="宋体"/>
                <w:kern w:val="0"/>
              </w:rPr>
              <w:t>支持各项云服务的周期性评估，包括云服务质量、满意度、安全、用量、使用情况等。</w:t>
            </w:r>
          </w:p>
        </w:tc>
      </w:tr>
      <w:tr>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服务结算管理</w:t>
            </w:r>
          </w:p>
        </w:tc>
        <w:tc>
          <w:tcPr>
            <w:tcW w:w="41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支持服务周期内的结算管理，基于平台数据，为服务结算提供依据和参考。</w:t>
            </w:r>
          </w:p>
        </w:tc>
      </w:tr>
      <w:tr>
        <w:tblPrEx>
          <w:tblCellMar>
            <w:top w:w="0" w:type="dxa"/>
            <w:left w:w="108" w:type="dxa"/>
            <w:bottom w:w="0" w:type="dxa"/>
            <w:right w:w="108" w:type="dxa"/>
          </w:tblCellMar>
        </w:tblPrEx>
        <w:trPr>
          <w:jc w:val="center"/>
        </w:trPr>
        <w:tc>
          <w:tcPr>
            <w:tcW w:w="881"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自主创新要求</w:t>
            </w:r>
          </w:p>
        </w:tc>
        <w:tc>
          <w:tcPr>
            <w:tcW w:w="41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云业务管理平台软件需兼容ARM架构</w:t>
            </w:r>
            <w:r>
              <w:rPr>
                <w:rFonts w:ascii="宋体" w:hAnsi="宋体" w:cs="宋体"/>
                <w:kern w:val="0"/>
              </w:rPr>
              <w:t>（提供截图证明）</w:t>
            </w:r>
            <w:r>
              <w:rPr>
                <w:rFonts w:ascii="宋体" w:hAnsi="宋体" w:cs="宋体"/>
                <w:color w:val="000000"/>
                <w:kern w:val="0"/>
              </w:rPr>
              <w:t>，并支持全国产化环境部署。</w:t>
            </w:r>
          </w:p>
        </w:tc>
      </w:tr>
    </w:tbl>
    <w:p>
      <w:pPr>
        <w:rPr>
          <w:rFonts w:ascii="宋体" w:hAnsi="宋体"/>
        </w:rPr>
      </w:pPr>
    </w:p>
    <w:p>
      <w:pPr>
        <w:pStyle w:val="4"/>
        <w:numPr>
          <w:ilvl w:val="2"/>
          <w:numId w:val="5"/>
        </w:numPr>
        <w:spacing w:before="160" w:line="300" w:lineRule="exact"/>
        <w:ind w:left="420"/>
        <w:rPr>
          <w:rFonts w:ascii="宋体" w:hAnsi="宋体"/>
        </w:rPr>
      </w:pPr>
      <w:r>
        <w:rPr>
          <w:rFonts w:ascii="宋体" w:hAnsi="宋体"/>
        </w:rPr>
        <w:t>云</w:t>
      </w:r>
      <w:r>
        <w:rPr>
          <w:rFonts w:hint="eastAsia" w:ascii="宋体" w:hAnsi="宋体"/>
        </w:rPr>
        <w:t>虚拟化</w:t>
      </w:r>
      <w:r>
        <w:rPr>
          <w:rFonts w:ascii="宋体" w:hAnsi="宋体"/>
        </w:rPr>
        <w:t>平台要求</w:t>
      </w:r>
    </w:p>
    <w:tbl>
      <w:tblPr>
        <w:tblStyle w:val="11"/>
        <w:tblW w:w="45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9"/>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shd w:val="clear" w:color="000000" w:fill="BFBFBF"/>
            <w:vAlign w:val="center"/>
          </w:tcPr>
          <w:p>
            <w:pPr>
              <w:rPr>
                <w:rFonts w:ascii="宋体" w:hAnsi="宋体" w:cs="宋体"/>
                <w:b/>
                <w:bCs/>
                <w:kern w:val="0"/>
              </w:rPr>
            </w:pPr>
            <w:r>
              <w:rPr>
                <w:rFonts w:ascii="宋体" w:hAnsi="宋体" w:cs="宋体"/>
                <w:b/>
                <w:bCs/>
                <w:kern w:val="0"/>
              </w:rPr>
              <w:t>规格</w:t>
            </w:r>
          </w:p>
        </w:tc>
        <w:tc>
          <w:tcPr>
            <w:tcW w:w="4126" w:type="pct"/>
            <w:shd w:val="clear" w:color="000000" w:fill="BFBFBF"/>
            <w:vAlign w:val="center"/>
          </w:tcPr>
          <w:p>
            <w:pPr>
              <w:rPr>
                <w:rFonts w:ascii="宋体" w:hAnsi="宋体" w:cs="宋体"/>
                <w:b/>
                <w:bCs/>
                <w:color w:val="000000"/>
                <w:kern w:val="0"/>
              </w:rPr>
            </w:pPr>
            <w:r>
              <w:rPr>
                <w:rFonts w:ascii="宋体" w:hAnsi="宋体" w:cs="宋体"/>
                <w:b/>
                <w:bCs/>
                <w:color w:val="000000"/>
                <w:kern w:val="0"/>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restart"/>
            <w:shd w:val="clear" w:color="000000" w:fill="FFFFFF"/>
            <w:vAlign w:val="center"/>
          </w:tcPr>
          <w:p>
            <w:pPr>
              <w:jc w:val="center"/>
              <w:rPr>
                <w:rFonts w:ascii="宋体" w:hAnsi="宋体" w:cs="宋体"/>
                <w:kern w:val="0"/>
              </w:rPr>
            </w:pPr>
            <w:r>
              <w:rPr>
                <w:rFonts w:ascii="宋体" w:hAnsi="宋体" w:cs="宋体"/>
                <w:kern w:val="0"/>
              </w:rPr>
              <w:t>平台虚拟化要求</w:t>
            </w:r>
          </w:p>
        </w:tc>
        <w:tc>
          <w:tcPr>
            <w:tcW w:w="4126" w:type="pct"/>
            <w:shd w:val="clear" w:color="000000" w:fill="FFFFFF"/>
            <w:vAlign w:val="center"/>
          </w:tcPr>
          <w:p>
            <w:pPr>
              <w:rPr>
                <w:rFonts w:ascii="宋体" w:hAnsi="宋体" w:cs="宋体"/>
                <w:kern w:val="0"/>
              </w:rPr>
            </w:pPr>
            <w:r>
              <w:rPr>
                <w:rFonts w:ascii="宋体" w:hAnsi="宋体" w:cs="宋体"/>
                <w:kern w:val="0"/>
              </w:rPr>
              <w:t>为了保证云平台的开放性及先进性，虚拟化产品基于主流分布式技术架构。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shd w:val="clear" w:color="000000" w:fill="FFFFFF"/>
            <w:vAlign w:val="center"/>
          </w:tcPr>
          <w:p>
            <w:pPr>
              <w:jc w:val="center"/>
              <w:rPr>
                <w:rFonts w:ascii="宋体" w:hAnsi="宋体" w:cs="宋体"/>
                <w:kern w:val="0"/>
              </w:rPr>
            </w:pPr>
          </w:p>
        </w:tc>
        <w:tc>
          <w:tcPr>
            <w:tcW w:w="4126" w:type="pct"/>
            <w:shd w:val="clear" w:color="000000" w:fill="FFFFFF"/>
            <w:vAlign w:val="center"/>
          </w:tcPr>
          <w:p>
            <w:pPr>
              <w:rPr>
                <w:rFonts w:ascii="宋体" w:hAnsi="宋体" w:cs="宋体"/>
                <w:kern w:val="0"/>
              </w:rPr>
            </w:pPr>
            <w:r>
              <w:rPr>
                <w:rFonts w:hint="eastAsia" w:ascii="宋体" w:hAnsi="宋体" w:cs="Times New Roman"/>
                <w:lang w:val="en-US" w:eastAsia="zh-CN"/>
              </w:rPr>
              <w:t>ECS支持PCIE插卡式算力卡直通虚拟机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shd w:val="clear" w:color="auto" w:fill="auto"/>
            <w:vAlign w:val="center"/>
          </w:tcPr>
          <w:p>
            <w:pPr>
              <w:rPr>
                <w:rFonts w:ascii="宋体" w:hAnsi="宋体" w:cs="宋体"/>
                <w:kern w:val="0"/>
              </w:rPr>
            </w:pPr>
          </w:p>
        </w:tc>
        <w:tc>
          <w:tcPr>
            <w:tcW w:w="4126" w:type="pct"/>
            <w:shd w:val="clear" w:color="000000" w:fill="FFFFFF"/>
            <w:vAlign w:val="center"/>
          </w:tcPr>
          <w:p>
            <w:pPr>
              <w:rPr>
                <w:rFonts w:ascii="宋体" w:hAnsi="宋体" w:cs="宋体"/>
                <w:kern w:val="0"/>
              </w:rPr>
            </w:pPr>
            <w:r>
              <w:rPr>
                <w:rFonts w:ascii="宋体" w:hAnsi="宋体" w:cs="宋体"/>
                <w:kern w:val="0"/>
              </w:rPr>
              <w:t>支持物理裸机服务器故障宕机自动迁移，系统无需重装部署，支持全自动化运维。（提供截图证明）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873" w:type="pct"/>
            <w:vMerge w:val="continue"/>
            <w:shd w:val="clear" w:color="auto" w:fill="auto"/>
            <w:vAlign w:val="center"/>
          </w:tcPr>
          <w:p>
            <w:pPr>
              <w:rPr>
                <w:rFonts w:ascii="宋体" w:hAnsi="宋体" w:cs="宋体"/>
                <w:kern w:val="0"/>
              </w:rPr>
            </w:pPr>
          </w:p>
        </w:tc>
        <w:tc>
          <w:tcPr>
            <w:tcW w:w="4126" w:type="pct"/>
            <w:shd w:val="clear" w:color="000000" w:fill="FFFFFF"/>
            <w:vAlign w:val="center"/>
          </w:tcPr>
          <w:p>
            <w:pPr>
              <w:rPr>
                <w:rFonts w:ascii="宋体" w:hAnsi="宋体" w:cs="宋体"/>
                <w:kern w:val="0"/>
              </w:rPr>
            </w:pPr>
            <w:r>
              <w:rPr>
                <w:rFonts w:ascii="宋体" w:hAnsi="宋体" w:cs="宋体"/>
                <w:kern w:val="0"/>
              </w:rPr>
              <w:t>支持物理裸机统一管理，支持对标准X86服务器、ARM服务器、GPU服务器的接入和自动化管理。（提供截图证明）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shd w:val="clear" w:color="auto" w:fill="auto"/>
            <w:vAlign w:val="center"/>
          </w:tcPr>
          <w:p>
            <w:pPr>
              <w:rPr>
                <w:rFonts w:ascii="宋体" w:hAnsi="宋体" w:cs="宋体"/>
                <w:kern w:val="0"/>
              </w:rPr>
            </w:pPr>
          </w:p>
        </w:tc>
        <w:tc>
          <w:tcPr>
            <w:tcW w:w="4126" w:type="pct"/>
            <w:shd w:val="clear" w:color="000000" w:fill="FFFFFF"/>
            <w:vAlign w:val="center"/>
          </w:tcPr>
          <w:p>
            <w:pPr>
              <w:rPr>
                <w:rFonts w:ascii="宋体" w:hAnsi="宋体" w:cs="宋体"/>
                <w:kern w:val="0"/>
              </w:rPr>
            </w:pPr>
            <w:r>
              <w:rPr>
                <w:rFonts w:ascii="宋体" w:hAnsi="宋体" w:cs="宋体"/>
                <w:kern w:val="0"/>
              </w:rPr>
              <w:t>支持软硬融合虚拟化技术架构，虚拟化软件不消耗主机侧CPU和内存资源，接近物理机调度延迟。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shd w:val="clear" w:color="auto" w:fill="auto"/>
            <w:vAlign w:val="center"/>
          </w:tcPr>
          <w:p>
            <w:pPr>
              <w:rPr>
                <w:rFonts w:ascii="宋体" w:hAnsi="宋体" w:cs="宋体"/>
                <w:kern w:val="0"/>
              </w:rPr>
            </w:pPr>
          </w:p>
        </w:tc>
        <w:tc>
          <w:tcPr>
            <w:tcW w:w="4126" w:type="pct"/>
            <w:shd w:val="clear" w:color="000000" w:fill="FFFFFF"/>
            <w:vAlign w:val="center"/>
          </w:tcPr>
          <w:p>
            <w:pPr>
              <w:rPr>
                <w:rFonts w:ascii="宋体" w:hAnsi="宋体" w:cs="宋体"/>
                <w:kern w:val="0"/>
              </w:rPr>
            </w:pPr>
            <w:r>
              <w:rPr>
                <w:rFonts w:ascii="宋体" w:hAnsi="宋体" w:cs="宋体"/>
                <w:kern w:val="0"/>
              </w:rPr>
              <w:t>提供专属云服务，将若干台物理服务器组成的集群单独指定给某一特定租户，只允许该租户的虚拟机创建在该集群中，以此实现租户独占物理资源的能力。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restart"/>
            <w:shd w:val="clear" w:color="000000" w:fill="FFFFFF"/>
            <w:vAlign w:val="center"/>
          </w:tcPr>
          <w:p>
            <w:pPr>
              <w:jc w:val="center"/>
              <w:rPr>
                <w:rFonts w:ascii="宋体" w:hAnsi="宋体" w:cs="宋体"/>
                <w:kern w:val="0"/>
              </w:rPr>
            </w:pPr>
            <w:r>
              <w:rPr>
                <w:rFonts w:ascii="宋体" w:hAnsi="宋体" w:cs="宋体"/>
                <w:kern w:val="0"/>
              </w:rPr>
              <w:t>资源池管理要求</w:t>
            </w:r>
          </w:p>
        </w:tc>
        <w:tc>
          <w:tcPr>
            <w:tcW w:w="4126" w:type="pct"/>
            <w:shd w:val="clear" w:color="000000" w:fill="FFFFFF"/>
            <w:vAlign w:val="center"/>
          </w:tcPr>
          <w:p>
            <w:pPr>
              <w:rPr>
                <w:rFonts w:ascii="宋体" w:hAnsi="宋体" w:cs="宋体"/>
                <w:kern w:val="0"/>
              </w:rPr>
            </w:pPr>
            <w:r>
              <w:rPr>
                <w:rFonts w:ascii="宋体" w:hAnsi="宋体" w:cs="宋体"/>
                <w:kern w:val="0"/>
              </w:rPr>
              <w:t>对云环境的多地域和多集群等资源池进行管理，包括相关名称的设置，资源总量的设置。（提供截图证明）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shd w:val="clear" w:color="auto" w:fill="auto"/>
            <w:vAlign w:val="center"/>
          </w:tcPr>
          <w:p>
            <w:pPr>
              <w:rPr>
                <w:rFonts w:ascii="宋体" w:hAnsi="宋体" w:cs="宋体"/>
                <w:kern w:val="0"/>
              </w:rPr>
            </w:pPr>
          </w:p>
        </w:tc>
        <w:tc>
          <w:tcPr>
            <w:tcW w:w="4126" w:type="pct"/>
            <w:shd w:val="clear" w:color="000000" w:fill="FFFFFF"/>
            <w:vAlign w:val="center"/>
          </w:tcPr>
          <w:p>
            <w:pPr>
              <w:rPr>
                <w:rFonts w:ascii="宋体" w:hAnsi="宋体" w:cs="宋体"/>
                <w:kern w:val="0"/>
              </w:rPr>
            </w:pPr>
            <w:r>
              <w:rPr>
                <w:rFonts w:ascii="宋体" w:hAnsi="宋体" w:cs="宋体"/>
                <w:kern w:val="0"/>
              </w:rPr>
              <w:t>提供在组织下创建及管理资源集的功能，资源集是资源实例的集合，可包含混合云的资源实例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shd w:val="clear" w:color="auto" w:fill="auto"/>
            <w:vAlign w:val="center"/>
          </w:tcPr>
          <w:p>
            <w:pPr>
              <w:rPr>
                <w:rFonts w:ascii="宋体" w:hAnsi="宋体" w:cs="宋体"/>
                <w:kern w:val="0"/>
              </w:rPr>
            </w:pPr>
          </w:p>
        </w:tc>
        <w:tc>
          <w:tcPr>
            <w:tcW w:w="4126" w:type="pct"/>
            <w:shd w:val="clear" w:color="000000" w:fill="FFFFFF"/>
            <w:vAlign w:val="center"/>
          </w:tcPr>
          <w:p>
            <w:pPr>
              <w:rPr>
                <w:rFonts w:ascii="宋体" w:hAnsi="宋体" w:cs="宋体"/>
                <w:kern w:val="0"/>
              </w:rPr>
            </w:pPr>
            <w:r>
              <w:rPr>
                <w:rFonts w:ascii="宋体" w:hAnsi="宋体" w:cs="宋体"/>
                <w:kern w:val="0"/>
              </w:rPr>
              <w:t>对于多级组织，多地域设置相应的配额限制，限制每个组织所能占用的云资源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3" w:type="pct"/>
            <w:vMerge w:val="continue"/>
            <w:shd w:val="clear" w:color="auto" w:fill="auto"/>
            <w:vAlign w:val="center"/>
          </w:tcPr>
          <w:p>
            <w:pPr>
              <w:rPr>
                <w:rFonts w:ascii="宋体" w:hAnsi="宋体" w:cs="宋体"/>
                <w:kern w:val="0"/>
              </w:rPr>
            </w:pPr>
          </w:p>
        </w:tc>
        <w:tc>
          <w:tcPr>
            <w:tcW w:w="4126" w:type="pct"/>
            <w:shd w:val="clear" w:color="000000" w:fill="FFFFFF"/>
            <w:vAlign w:val="center"/>
          </w:tcPr>
          <w:p>
            <w:pPr>
              <w:rPr>
                <w:rFonts w:ascii="宋体" w:hAnsi="宋体" w:cs="宋体"/>
                <w:kern w:val="0"/>
              </w:rPr>
            </w:pPr>
            <w:r>
              <w:rPr>
                <w:rFonts w:ascii="宋体" w:hAnsi="宋体" w:cs="宋体"/>
                <w:kern w:val="0"/>
              </w:rPr>
              <w:t>云产品资源实例提供租户级的告警通知能力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vAlign w:val="center"/>
          </w:tcPr>
          <w:p>
            <w:pPr>
              <w:rPr>
                <w:rFonts w:ascii="宋体" w:hAnsi="宋体" w:cs="宋体"/>
                <w:kern w:val="0"/>
              </w:rPr>
            </w:pPr>
          </w:p>
        </w:tc>
        <w:tc>
          <w:tcPr>
            <w:tcW w:w="4126" w:type="pct"/>
            <w:vAlign w:val="center"/>
          </w:tcPr>
          <w:p>
            <w:pPr>
              <w:rPr>
                <w:rFonts w:ascii="宋体" w:hAnsi="宋体" w:cs="宋体"/>
                <w:kern w:val="0"/>
              </w:rPr>
            </w:pPr>
            <w:r>
              <w:rPr>
                <w:rFonts w:ascii="宋体" w:hAnsi="宋体" w:cs="宋体"/>
                <w:kern w:val="0"/>
              </w:rPr>
              <w:t>需要提供统一云资源开通及变配服务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vAlign w:val="center"/>
          </w:tcPr>
          <w:p>
            <w:pPr>
              <w:rPr>
                <w:rFonts w:ascii="宋体" w:hAnsi="宋体" w:cs="宋体"/>
                <w:kern w:val="0"/>
              </w:rPr>
            </w:pPr>
          </w:p>
        </w:tc>
        <w:tc>
          <w:tcPr>
            <w:tcW w:w="4126" w:type="pct"/>
            <w:vAlign w:val="center"/>
          </w:tcPr>
          <w:p>
            <w:pPr>
              <w:rPr>
                <w:rFonts w:ascii="宋体" w:hAnsi="宋体" w:cs="宋体"/>
                <w:kern w:val="0"/>
              </w:rPr>
            </w:pPr>
            <w:r>
              <w:rPr>
                <w:rFonts w:ascii="宋体" w:hAnsi="宋体" w:cs="宋体"/>
                <w:kern w:val="0"/>
              </w:rPr>
              <w:t>基于配置的动态资源开通及变配引擎服务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vAlign w:val="center"/>
          </w:tcPr>
          <w:p>
            <w:pPr>
              <w:rPr>
                <w:rFonts w:ascii="宋体" w:hAnsi="宋体" w:cs="宋体"/>
                <w:kern w:val="0"/>
              </w:rPr>
            </w:pPr>
          </w:p>
        </w:tc>
        <w:tc>
          <w:tcPr>
            <w:tcW w:w="4126" w:type="pct"/>
            <w:vAlign w:val="center"/>
          </w:tcPr>
          <w:p>
            <w:pPr>
              <w:rPr>
                <w:rFonts w:ascii="宋体" w:hAnsi="宋体" w:cs="宋体"/>
                <w:kern w:val="0"/>
              </w:rPr>
            </w:pPr>
            <w:r>
              <w:rPr>
                <w:rFonts w:ascii="宋体" w:hAnsi="宋体" w:cs="宋体"/>
                <w:kern w:val="0"/>
              </w:rPr>
              <w:t>提供资源分析仪表盘，支持按类型、地区、性能、告警、利用率等多种维度的资源实力数据图形化展示以及关键数据的报表导出功能。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restart"/>
            <w:vAlign w:val="center"/>
          </w:tcPr>
          <w:p>
            <w:pPr>
              <w:jc w:val="center"/>
              <w:rPr>
                <w:rFonts w:ascii="宋体" w:hAnsi="宋体" w:cs="宋体"/>
                <w:kern w:val="0"/>
              </w:rPr>
            </w:pPr>
            <w:r>
              <w:rPr>
                <w:rFonts w:ascii="宋体" w:hAnsi="宋体" w:cs="宋体"/>
                <w:kern w:val="0"/>
              </w:rPr>
              <w:t>组织用户管理要求</w:t>
            </w:r>
          </w:p>
        </w:tc>
        <w:tc>
          <w:tcPr>
            <w:tcW w:w="4126" w:type="pct"/>
            <w:vAlign w:val="center"/>
          </w:tcPr>
          <w:p>
            <w:pPr>
              <w:rPr>
                <w:rFonts w:ascii="宋体" w:hAnsi="宋体" w:cs="宋体"/>
                <w:kern w:val="0"/>
              </w:rPr>
            </w:pPr>
            <w:r>
              <w:rPr>
                <w:rFonts w:ascii="宋体" w:hAnsi="宋体" w:cs="宋体"/>
                <w:kern w:val="0"/>
              </w:rPr>
              <w:t>支持多级组织创建及管理，不同组织之间资源默认隔离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3" w:type="pct"/>
            <w:vMerge w:val="continue"/>
            <w:vAlign w:val="center"/>
          </w:tcPr>
          <w:p>
            <w:pPr>
              <w:rPr>
                <w:rFonts w:ascii="宋体" w:hAnsi="宋体" w:cs="宋体"/>
                <w:kern w:val="0"/>
              </w:rPr>
            </w:pPr>
          </w:p>
        </w:tc>
        <w:tc>
          <w:tcPr>
            <w:tcW w:w="4126" w:type="pct"/>
            <w:vAlign w:val="center"/>
          </w:tcPr>
          <w:p>
            <w:pPr>
              <w:rPr>
                <w:rFonts w:ascii="宋体" w:hAnsi="宋体" w:cs="宋体"/>
                <w:kern w:val="0"/>
              </w:rPr>
            </w:pPr>
            <w:r>
              <w:rPr>
                <w:rFonts w:ascii="宋体" w:hAnsi="宋体" w:cs="宋体"/>
                <w:kern w:val="0"/>
              </w:rPr>
              <w:t>提供在组织下创建和管理用户的功能，一个用户只能属于一个组织，但是可以加入到多个资源集中。支持用户的禁用和激活等功能。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vAlign w:val="center"/>
          </w:tcPr>
          <w:p>
            <w:pPr>
              <w:rPr>
                <w:rFonts w:ascii="宋体" w:hAnsi="宋体" w:cs="宋体"/>
                <w:kern w:val="0"/>
              </w:rPr>
            </w:pPr>
          </w:p>
        </w:tc>
        <w:tc>
          <w:tcPr>
            <w:tcW w:w="4126" w:type="pct"/>
            <w:vAlign w:val="center"/>
          </w:tcPr>
          <w:p>
            <w:pPr>
              <w:rPr>
                <w:rFonts w:ascii="宋体" w:hAnsi="宋体" w:cs="宋体"/>
                <w:kern w:val="0"/>
              </w:rPr>
            </w:pPr>
            <w:r>
              <w:rPr>
                <w:rFonts w:ascii="宋体" w:hAnsi="宋体" w:cs="宋体"/>
                <w:kern w:val="0"/>
              </w:rPr>
              <w:t>提供在组织下创建和管理用户组的功能，一个用户组只能属于一个组织，但是可以加入到多个资源集中。支持给用户组添加和删除用户功能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vAlign w:val="center"/>
          </w:tcPr>
          <w:p>
            <w:pPr>
              <w:rPr>
                <w:rFonts w:ascii="宋体" w:hAnsi="宋体" w:cs="宋体"/>
                <w:kern w:val="0"/>
              </w:rPr>
            </w:pPr>
          </w:p>
        </w:tc>
        <w:tc>
          <w:tcPr>
            <w:tcW w:w="4126" w:type="pct"/>
            <w:vAlign w:val="center"/>
          </w:tcPr>
          <w:p>
            <w:pPr>
              <w:rPr>
                <w:rFonts w:ascii="宋体" w:hAnsi="宋体" w:cs="宋体"/>
                <w:kern w:val="0"/>
              </w:rPr>
            </w:pPr>
            <w:r>
              <w:rPr>
                <w:rFonts w:ascii="宋体" w:hAnsi="宋体" w:cs="宋体"/>
                <w:kern w:val="0"/>
              </w:rPr>
              <w:t>提供角色创建及管理功能，支持自定义业务角色，设置角色所具有的操作权限，包含专有云和公共云的权限统一配置，并将角色管理给相关用户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vAlign w:val="center"/>
          </w:tcPr>
          <w:p>
            <w:pPr>
              <w:rPr>
                <w:rFonts w:ascii="宋体" w:hAnsi="宋体" w:cs="宋体"/>
                <w:kern w:val="0"/>
              </w:rPr>
            </w:pPr>
          </w:p>
        </w:tc>
        <w:tc>
          <w:tcPr>
            <w:tcW w:w="4126" w:type="pct"/>
            <w:vAlign w:val="center"/>
          </w:tcPr>
          <w:p>
            <w:pPr>
              <w:rPr>
                <w:rFonts w:ascii="宋体" w:hAnsi="宋体" w:cs="宋体"/>
                <w:kern w:val="0"/>
              </w:rPr>
            </w:pPr>
            <w:r>
              <w:rPr>
                <w:rFonts w:ascii="宋体" w:hAnsi="宋体" w:cs="宋体"/>
                <w:kern w:val="0"/>
              </w:rPr>
              <w:t>提供登录策略的创建及管理功能，支持单点登录，控制用户登录地址、登录时间、认证方式等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vAlign w:val="center"/>
          </w:tcPr>
          <w:p>
            <w:pPr>
              <w:rPr>
                <w:rFonts w:ascii="宋体" w:hAnsi="宋体" w:cs="宋体"/>
                <w:kern w:val="0"/>
              </w:rPr>
            </w:pPr>
          </w:p>
        </w:tc>
        <w:tc>
          <w:tcPr>
            <w:tcW w:w="4126" w:type="pct"/>
            <w:vAlign w:val="center"/>
          </w:tcPr>
          <w:p>
            <w:pPr>
              <w:rPr>
                <w:rFonts w:ascii="宋体" w:hAnsi="宋体" w:cs="宋体"/>
                <w:kern w:val="0"/>
              </w:rPr>
            </w:pPr>
            <w:r>
              <w:rPr>
                <w:rFonts w:ascii="宋体" w:hAnsi="宋体" w:cs="宋体"/>
                <w:kern w:val="0"/>
              </w:rPr>
              <w:t>对云环境的地域和集群等信息，映射到具体的组织，从而只有映射配置了的组织，才能看到并使用该地域的资源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vAlign w:val="center"/>
          </w:tcPr>
          <w:p>
            <w:pPr>
              <w:rPr>
                <w:rFonts w:ascii="宋体" w:hAnsi="宋体" w:cs="宋体"/>
                <w:kern w:val="0"/>
              </w:rPr>
            </w:pPr>
          </w:p>
        </w:tc>
        <w:tc>
          <w:tcPr>
            <w:tcW w:w="4126" w:type="pct"/>
            <w:vAlign w:val="center"/>
          </w:tcPr>
          <w:p>
            <w:pPr>
              <w:rPr>
                <w:rFonts w:ascii="宋体" w:hAnsi="宋体" w:cs="宋体"/>
                <w:kern w:val="0"/>
              </w:rPr>
            </w:pPr>
            <w:r>
              <w:rPr>
                <w:rFonts w:ascii="宋体" w:hAnsi="宋体" w:cs="宋体"/>
                <w:kern w:val="0"/>
              </w:rPr>
              <w:t>提供用户登陆后的工作台，显示关键的运营数据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restart"/>
            <w:vAlign w:val="center"/>
          </w:tcPr>
          <w:p>
            <w:pPr>
              <w:jc w:val="center"/>
              <w:rPr>
                <w:rFonts w:ascii="宋体" w:hAnsi="宋体" w:cs="宋体"/>
                <w:kern w:val="0"/>
              </w:rPr>
            </w:pPr>
            <w:r>
              <w:rPr>
                <w:rFonts w:ascii="宋体" w:hAnsi="宋体" w:cs="宋体"/>
                <w:kern w:val="0"/>
              </w:rPr>
              <w:t>接口日志管理要求</w:t>
            </w:r>
          </w:p>
        </w:tc>
        <w:tc>
          <w:tcPr>
            <w:tcW w:w="4126" w:type="pct"/>
            <w:vAlign w:val="center"/>
          </w:tcPr>
          <w:p>
            <w:pPr>
              <w:rPr>
                <w:rFonts w:ascii="宋体" w:hAnsi="宋体" w:cs="宋体"/>
                <w:kern w:val="0"/>
              </w:rPr>
            </w:pPr>
            <w:r>
              <w:rPr>
                <w:rFonts w:ascii="宋体" w:hAnsi="宋体" w:cs="宋体"/>
                <w:kern w:val="0"/>
              </w:rPr>
              <w:t>提供统一的API开放网关，支持SDK和Restful多种调用方式，所有的页面功能操作都可以通过API实现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vAlign w:val="center"/>
          </w:tcPr>
          <w:p>
            <w:pPr>
              <w:rPr>
                <w:rFonts w:ascii="宋体" w:hAnsi="宋体" w:cs="宋体"/>
                <w:kern w:val="0"/>
              </w:rPr>
            </w:pPr>
          </w:p>
        </w:tc>
        <w:tc>
          <w:tcPr>
            <w:tcW w:w="4126" w:type="pct"/>
            <w:vAlign w:val="center"/>
          </w:tcPr>
          <w:p>
            <w:pPr>
              <w:rPr>
                <w:rFonts w:ascii="宋体" w:hAnsi="宋体" w:cs="宋体"/>
                <w:kern w:val="0"/>
              </w:rPr>
            </w:pPr>
            <w:r>
              <w:rPr>
                <w:rFonts w:ascii="宋体" w:hAnsi="宋体" w:cs="宋体"/>
                <w:kern w:val="0"/>
              </w:rPr>
              <w:t>支持与企业已有的用户系统对接如AD等，支持组织和用户信息的同步和导入，并支持统一登录认证。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pct"/>
            <w:vMerge w:val="continue"/>
            <w:vAlign w:val="center"/>
          </w:tcPr>
          <w:p>
            <w:pPr>
              <w:rPr>
                <w:rFonts w:ascii="宋体" w:hAnsi="宋体" w:cs="宋体"/>
                <w:kern w:val="0"/>
              </w:rPr>
            </w:pPr>
          </w:p>
        </w:tc>
        <w:tc>
          <w:tcPr>
            <w:tcW w:w="4126" w:type="pct"/>
            <w:vAlign w:val="center"/>
          </w:tcPr>
          <w:p>
            <w:pPr>
              <w:rPr>
                <w:rFonts w:ascii="宋体" w:hAnsi="宋体" w:cs="宋体"/>
                <w:kern w:val="0"/>
              </w:rPr>
            </w:pPr>
            <w:r>
              <w:rPr>
                <w:rFonts w:ascii="宋体" w:hAnsi="宋体" w:cs="宋体"/>
                <w:kern w:val="0"/>
              </w:rPr>
              <w:t>提供日志审计功能，保留所有用户的操作日志，并支持日志的过滤和导出功能。</w:t>
            </w:r>
          </w:p>
        </w:tc>
      </w:tr>
    </w:tbl>
    <w:p>
      <w:pPr>
        <w:spacing w:line="276" w:lineRule="auto"/>
      </w:pPr>
    </w:p>
    <w:p>
      <w:pPr>
        <w:pStyle w:val="4"/>
        <w:numPr>
          <w:ilvl w:val="2"/>
          <w:numId w:val="5"/>
        </w:numPr>
        <w:spacing w:before="160" w:line="300" w:lineRule="exact"/>
        <w:ind w:left="420"/>
        <w:rPr>
          <w:rFonts w:ascii="宋体" w:hAnsi="宋体"/>
        </w:rPr>
      </w:pPr>
      <w:r>
        <w:rPr>
          <w:rFonts w:ascii="宋体" w:hAnsi="宋体"/>
        </w:rPr>
        <w:t>云容灾备份平台要求</w:t>
      </w:r>
    </w:p>
    <w:tbl>
      <w:tblPr>
        <w:tblStyle w:val="11"/>
        <w:tblW w:w="4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6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shd w:val="clear" w:color="auto" w:fill="BFBFBF"/>
            <w:vAlign w:val="center"/>
          </w:tcPr>
          <w:p>
            <w:pPr>
              <w:jc w:val="center"/>
              <w:rPr>
                <w:rFonts w:ascii="宋体" w:hAnsi="宋体" w:cs="Times New Roman"/>
                <w:b/>
                <w:bCs/>
              </w:rPr>
            </w:pPr>
            <w:bookmarkStart w:id="0" w:name="_Hlk37530746"/>
            <w:r>
              <w:rPr>
                <w:rFonts w:ascii="宋体" w:hAnsi="宋体" w:cs="Times New Roman"/>
                <w:b/>
                <w:bCs/>
              </w:rPr>
              <w:t>规格</w:t>
            </w:r>
          </w:p>
        </w:tc>
        <w:tc>
          <w:tcPr>
            <w:tcW w:w="4127" w:type="pct"/>
            <w:shd w:val="clear" w:color="auto" w:fill="BFBFBF"/>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Align w:val="center"/>
          </w:tcPr>
          <w:p>
            <w:pPr>
              <w:rPr>
                <w:rFonts w:ascii="宋体" w:hAnsi="宋体" w:cs="微软雅黑"/>
                <w:b/>
              </w:rPr>
            </w:pPr>
            <w:r>
              <w:rPr>
                <w:rFonts w:ascii="宋体" w:hAnsi="宋体" w:cs="Times New Roman"/>
              </w:rPr>
              <w:t>资质认证</w:t>
            </w:r>
          </w:p>
        </w:tc>
        <w:tc>
          <w:tcPr>
            <w:tcW w:w="4127" w:type="pct"/>
            <w:vAlign w:val="center"/>
          </w:tcPr>
          <w:p>
            <w:pPr>
              <w:rPr>
                <w:rFonts w:ascii="宋体" w:hAnsi="宋体" w:cs="微软雅黑"/>
                <w:b/>
              </w:rPr>
            </w:pPr>
            <w:r>
              <w:rPr>
                <w:rFonts w:ascii="宋体" w:hAnsi="宋体" w:cs="宋体"/>
                <w:color w:val="000000"/>
                <w:kern w:val="0"/>
              </w:rPr>
              <w:t>具有自主研发能力，提供软件著作权登记证书，软件产品登记证书及涉密信息系统产品检测证书。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Merge w:val="restart"/>
            <w:vAlign w:val="center"/>
          </w:tcPr>
          <w:p>
            <w:pPr>
              <w:rPr>
                <w:rFonts w:ascii="宋体" w:hAnsi="宋体" w:cs="Times New Roman"/>
              </w:rPr>
            </w:pPr>
            <w:r>
              <w:rPr>
                <w:rFonts w:ascii="宋体" w:hAnsi="宋体" w:cs="Times New Roman"/>
              </w:rPr>
              <w:t>集群部署</w:t>
            </w:r>
          </w:p>
        </w:tc>
        <w:tc>
          <w:tcPr>
            <w:tcW w:w="4127" w:type="pct"/>
            <w:vAlign w:val="center"/>
          </w:tcPr>
          <w:p>
            <w:pPr>
              <w:rPr>
                <w:rFonts w:ascii="宋体" w:hAnsi="宋体" w:cs="微软雅黑"/>
                <w:b/>
              </w:rPr>
            </w:pPr>
            <w:r>
              <w:rPr>
                <w:rFonts w:ascii="宋体" w:hAnsi="宋体" w:cs="宋体"/>
                <w:color w:val="000000"/>
                <w:kern w:val="0"/>
              </w:rPr>
              <w:t>备份系统支持集群架构多节点形成分布式存储，支持自动监控备份节点服务状态，当备份节点出现故障时，会自动将受故障影响的备份任务分配到正常工作的备份节点上执行。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Merge w:val="continue"/>
            <w:vAlign w:val="center"/>
          </w:tcPr>
          <w:p>
            <w:pPr>
              <w:jc w:val="center"/>
              <w:rPr>
                <w:rFonts w:ascii="宋体" w:hAnsi="宋体" w:cs="Times New Roman"/>
                <w:b/>
              </w:rPr>
            </w:pPr>
          </w:p>
        </w:tc>
        <w:tc>
          <w:tcPr>
            <w:tcW w:w="4127" w:type="pct"/>
            <w:vAlign w:val="center"/>
          </w:tcPr>
          <w:p>
            <w:pPr>
              <w:rPr>
                <w:rFonts w:ascii="宋体" w:hAnsi="宋体" w:cs="微软雅黑"/>
                <w:b/>
              </w:rPr>
            </w:pPr>
            <w:r>
              <w:rPr>
                <w:rFonts w:ascii="宋体" w:hAnsi="宋体" w:cs="宋体"/>
                <w:color w:val="000000"/>
                <w:kern w:val="0"/>
              </w:rPr>
              <w:t>支持Web请求负载均衡，对于并发的大批量备份任务请求会自动分发给不同的备份节点提升性能。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Merge w:val="continue"/>
            <w:vAlign w:val="center"/>
          </w:tcPr>
          <w:p>
            <w:pPr>
              <w:jc w:val="center"/>
              <w:rPr>
                <w:rFonts w:ascii="宋体" w:hAnsi="宋体" w:cs="Times New Roman"/>
                <w:b/>
              </w:rPr>
            </w:pPr>
          </w:p>
        </w:tc>
        <w:tc>
          <w:tcPr>
            <w:tcW w:w="4127" w:type="pct"/>
            <w:vAlign w:val="center"/>
          </w:tcPr>
          <w:p>
            <w:pPr>
              <w:rPr>
                <w:rFonts w:ascii="宋体" w:hAnsi="宋体" w:cs="微软雅黑"/>
                <w:b/>
              </w:rPr>
            </w:pPr>
            <w:r>
              <w:rPr>
                <w:rFonts w:ascii="宋体" w:hAnsi="宋体" w:cs="宋体"/>
                <w:color w:val="000000"/>
                <w:kern w:val="0"/>
              </w:rPr>
              <w:t>备份系统支持高可用性HA，支持在3个及以上备份节点的情况下，任意一台备份节点的故障，可以实现备份管理的自动切换，不影响用户登录和备份管理平台正常运行；支持任意一台备份节点的备份介质失效时，能够感知相关故障，可自动将备份任务切换到其它可用备份节点的介质中</w:t>
            </w:r>
            <w:r>
              <w:rPr>
                <w:rFonts w:ascii="宋体" w:hAnsi="宋体" w:cs="宋体"/>
                <w:kern w:val="0"/>
              </w:rPr>
              <w:t>，提供备份管理控制台多备份节点集群架构的截图 (非灾备云管平台)。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2" w:type="pct"/>
            <w:vMerge w:val="restart"/>
            <w:vAlign w:val="center"/>
          </w:tcPr>
          <w:p>
            <w:pPr>
              <w:rPr>
                <w:rFonts w:ascii="宋体" w:hAnsi="宋体" w:cs="宋体"/>
                <w:color w:val="000000"/>
                <w:kern w:val="0"/>
              </w:rPr>
            </w:pPr>
            <w:r>
              <w:rPr>
                <w:rFonts w:ascii="宋体" w:hAnsi="宋体" w:cs="宋体"/>
                <w:color w:val="000000"/>
                <w:kern w:val="0"/>
              </w:rPr>
              <w:t>数据库及应用保护</w:t>
            </w:r>
          </w:p>
        </w:tc>
        <w:tc>
          <w:tcPr>
            <w:tcW w:w="4127" w:type="pct"/>
            <w:vAlign w:val="center"/>
          </w:tcPr>
          <w:p>
            <w:pPr>
              <w:rPr>
                <w:rFonts w:ascii="宋体" w:hAnsi="宋体" w:cs="宋体"/>
                <w:color w:val="000000"/>
                <w:kern w:val="0"/>
              </w:rPr>
            </w:pPr>
            <w:r>
              <w:rPr>
                <w:rFonts w:ascii="宋体" w:hAnsi="宋体" w:cs="宋体"/>
                <w:color w:val="000000"/>
                <w:kern w:val="0"/>
              </w:rPr>
              <w:t>支持对Oracle、SQL、DB2、MySQL、SAP HANA等主流数据库进行在线备份保护。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Merge w:val="continue"/>
            <w:vAlign w:val="center"/>
          </w:tcPr>
          <w:p>
            <w:pPr>
              <w:rPr>
                <w:rFonts w:ascii="宋体" w:hAnsi="宋体" w:cs="宋体"/>
                <w:color w:val="000000"/>
                <w:kern w:val="0"/>
              </w:rPr>
            </w:pPr>
          </w:p>
        </w:tc>
        <w:tc>
          <w:tcPr>
            <w:tcW w:w="4127" w:type="pct"/>
            <w:vAlign w:val="center"/>
          </w:tcPr>
          <w:p>
            <w:pPr>
              <w:rPr>
                <w:rFonts w:ascii="宋体" w:hAnsi="宋体" w:cs="宋体"/>
                <w:color w:val="000000"/>
                <w:kern w:val="0"/>
              </w:rPr>
            </w:pPr>
            <w:r>
              <w:rPr>
                <w:rFonts w:ascii="宋体" w:hAnsi="宋体" w:cs="宋体"/>
                <w:color w:val="000000"/>
                <w:kern w:val="0"/>
                <w:shd w:val="clear" w:color="auto" w:fill="FFFFFF"/>
              </w:rPr>
              <w:t>支持对华为GaussDB、达梦、人大金仓、南大通用、神舟通用、优炫、瀚高国产数据库在线数据备份保护，并提供上述产品兼容性互认证证书。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Align w:val="center"/>
          </w:tcPr>
          <w:p>
            <w:pPr>
              <w:rPr>
                <w:rFonts w:ascii="宋体" w:hAnsi="宋体" w:cs="宋体"/>
                <w:color w:val="000000"/>
                <w:kern w:val="0"/>
              </w:rPr>
            </w:pPr>
            <w:r>
              <w:rPr>
                <w:rFonts w:ascii="宋体" w:hAnsi="宋体" w:cs="宋体"/>
                <w:color w:val="000000"/>
                <w:kern w:val="0"/>
              </w:rPr>
              <w:t>Oracle数据库复制</w:t>
            </w:r>
          </w:p>
        </w:tc>
        <w:tc>
          <w:tcPr>
            <w:tcW w:w="4127" w:type="pct"/>
            <w:vAlign w:val="center"/>
          </w:tcPr>
          <w:p>
            <w:pPr>
              <w:rPr>
                <w:rFonts w:ascii="宋体" w:hAnsi="宋体" w:cs="宋体"/>
                <w:color w:val="000000"/>
                <w:kern w:val="0"/>
              </w:rPr>
            </w:pPr>
            <w:r>
              <w:rPr>
                <w:rFonts w:ascii="宋体" w:hAnsi="宋体" w:cs="宋体"/>
                <w:color w:val="000000"/>
                <w:kern w:val="0"/>
              </w:rPr>
              <w:t>Oracle数据库复制</w:t>
            </w:r>
            <w:r>
              <w:rPr>
                <w:rFonts w:ascii="宋体" w:hAnsi="宋体" w:cs="宋体"/>
                <w:color w:val="000000"/>
                <w:kern w:val="0"/>
              </w:rPr>
              <w:tab/>
            </w:r>
            <w:r>
              <w:rPr>
                <w:rFonts w:ascii="宋体" w:hAnsi="宋体" w:cs="宋体"/>
                <w:color w:val="000000"/>
                <w:kern w:val="0"/>
              </w:rPr>
              <w:t>支持Oracle的逻辑复制和物理服务。逻辑复制中备用数据库在复制阶段处于open状态，可提供业务查询服务；物理复制中备用数据库在复制阶段处于mount状态，生产库发生故障后可open并对外提供服务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2" w:type="pct"/>
            <w:vAlign w:val="center"/>
          </w:tcPr>
          <w:p>
            <w:pPr>
              <w:rPr>
                <w:rFonts w:ascii="宋体" w:hAnsi="宋体" w:cs="宋体"/>
                <w:color w:val="000000"/>
                <w:kern w:val="0"/>
              </w:rPr>
            </w:pPr>
            <w:r>
              <w:rPr>
                <w:rFonts w:ascii="宋体" w:hAnsi="宋体" w:cs="宋体"/>
                <w:color w:val="000000"/>
                <w:kern w:val="0"/>
              </w:rPr>
              <w:t>国产化支持</w:t>
            </w:r>
          </w:p>
        </w:tc>
        <w:tc>
          <w:tcPr>
            <w:tcW w:w="4127" w:type="pct"/>
            <w:vAlign w:val="center"/>
          </w:tcPr>
          <w:p>
            <w:pPr>
              <w:rPr>
                <w:rFonts w:ascii="宋体" w:hAnsi="宋体" w:cs="宋体"/>
                <w:color w:val="000000"/>
                <w:kern w:val="0"/>
              </w:rPr>
            </w:pPr>
            <w:r>
              <w:rPr>
                <w:rFonts w:ascii="宋体" w:hAnsi="宋体" w:cs="宋体"/>
                <w:color w:val="000000"/>
                <w:kern w:val="0"/>
              </w:rPr>
              <w:t>支持鲲鹏、海光、龙芯、飞腾平台下的软件安装部署和数据保护。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Align w:val="center"/>
          </w:tcPr>
          <w:p>
            <w:pPr>
              <w:rPr>
                <w:rFonts w:ascii="宋体" w:hAnsi="宋体" w:cs="宋体"/>
                <w:color w:val="000000"/>
                <w:kern w:val="0"/>
              </w:rPr>
            </w:pPr>
            <w:r>
              <w:rPr>
                <w:rFonts w:ascii="宋体" w:hAnsi="宋体" w:cs="宋体"/>
                <w:color w:val="000000"/>
                <w:kern w:val="0"/>
              </w:rPr>
              <w:t>卷级备份</w:t>
            </w:r>
          </w:p>
        </w:tc>
        <w:tc>
          <w:tcPr>
            <w:tcW w:w="4127" w:type="pct"/>
            <w:vAlign w:val="center"/>
          </w:tcPr>
          <w:p>
            <w:pPr>
              <w:rPr>
                <w:rFonts w:ascii="宋体" w:hAnsi="宋体" w:cs="宋体"/>
                <w:color w:val="000000"/>
                <w:kern w:val="0"/>
              </w:rPr>
            </w:pPr>
            <w:r>
              <w:rPr>
                <w:rFonts w:ascii="宋体" w:hAnsi="宋体" w:cs="宋体"/>
                <w:color w:val="000000"/>
                <w:kern w:val="0"/>
              </w:rPr>
              <w:t>支持文件系统的卷级备份功能，以整卷为单位进行数据备份，提升海量小文件环境下的备份效率。支持整卷恢复和单文件目录级别的细粒度恢复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Merge w:val="restart"/>
            <w:vAlign w:val="center"/>
          </w:tcPr>
          <w:p>
            <w:pPr>
              <w:rPr>
                <w:rFonts w:ascii="宋体" w:hAnsi="宋体" w:cs="宋体"/>
                <w:color w:val="000000"/>
                <w:kern w:val="0"/>
              </w:rPr>
            </w:pPr>
            <w:r>
              <w:rPr>
                <w:rFonts w:ascii="宋体" w:hAnsi="宋体" w:cs="宋体"/>
                <w:color w:val="000000"/>
                <w:kern w:val="0"/>
              </w:rPr>
              <w:t>虚拟化及云平台备份</w:t>
            </w:r>
          </w:p>
        </w:tc>
        <w:tc>
          <w:tcPr>
            <w:tcW w:w="4127" w:type="pct"/>
            <w:vAlign w:val="center"/>
          </w:tcPr>
          <w:p>
            <w:pPr>
              <w:rPr>
                <w:rFonts w:hint="default" w:ascii="宋体" w:hAnsi="宋体" w:cs="宋体" w:eastAsiaTheme="minorEastAsia"/>
                <w:color w:val="000000"/>
                <w:kern w:val="0"/>
                <w:lang w:val="en-US" w:eastAsia="zh-CN"/>
              </w:rPr>
            </w:pPr>
            <w:r>
              <w:rPr>
                <w:rFonts w:ascii="宋体" w:hAnsi="宋体" w:cs="宋体"/>
                <w:color w:val="000000"/>
                <w:kern w:val="0"/>
              </w:rPr>
              <w:t>支持对</w:t>
            </w:r>
            <w:r>
              <w:rPr>
                <w:rFonts w:hint="default" w:ascii="宋体" w:hAnsi="宋体" w:cs="宋体"/>
                <w:color w:val="000000"/>
                <w:kern w:val="0"/>
                <w:lang w:val="en-US"/>
              </w:rPr>
              <w:t>华为HCS、阿里飞天等</w:t>
            </w:r>
            <w:r>
              <w:rPr>
                <w:rFonts w:hint="eastAsia" w:ascii="宋体" w:hAnsi="宋体" w:cs="宋体"/>
                <w:color w:val="000000"/>
                <w:kern w:val="0"/>
                <w:lang w:val="en-US" w:eastAsia="zh-CN"/>
              </w:rPr>
              <w:t>主流</w:t>
            </w:r>
            <w:r>
              <w:rPr>
                <w:rFonts w:hint="default" w:ascii="宋体" w:hAnsi="宋体" w:cs="宋体"/>
                <w:color w:val="000000"/>
                <w:kern w:val="0"/>
                <w:lang w:val="en-US"/>
              </w:rPr>
              <w:t>云平台软件</w:t>
            </w:r>
            <w:r>
              <w:rPr>
                <w:rFonts w:hint="eastAsia" w:ascii="宋体" w:hAnsi="宋体" w:cs="宋体"/>
                <w:color w:val="000000"/>
                <w:kern w:val="0"/>
                <w:lang w:val="en-US" w:eastAsia="zh-CN"/>
              </w:rPr>
              <w:t>进行容灾备份，并提供互认证兼容性材料。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Merge w:val="continue"/>
            <w:vAlign w:val="center"/>
          </w:tcPr>
          <w:p>
            <w:pPr>
              <w:rPr>
                <w:rFonts w:ascii="宋体" w:hAnsi="宋体" w:cs="宋体"/>
                <w:color w:val="000000"/>
                <w:kern w:val="0"/>
              </w:rPr>
            </w:pPr>
          </w:p>
        </w:tc>
        <w:tc>
          <w:tcPr>
            <w:tcW w:w="4127" w:type="pct"/>
            <w:vAlign w:val="center"/>
          </w:tcPr>
          <w:p>
            <w:pPr>
              <w:rPr>
                <w:rFonts w:ascii="宋体" w:hAnsi="宋体" w:cs="宋体"/>
                <w:color w:val="000000"/>
                <w:kern w:val="0"/>
              </w:rPr>
            </w:pPr>
            <w:r>
              <w:rPr>
                <w:rFonts w:ascii="宋体" w:hAnsi="宋体" w:cs="宋体"/>
                <w:color w:val="000000"/>
                <w:kern w:val="0"/>
              </w:rPr>
              <w:t>虚拟机恢复时支持选择目标集群、资源池和存储资源，支持原位置恢复和恢复为新虚拟机，能够设置恢复后虚拟机的CPU、内存和网络配置。支持保留源虚拟机MAC地址恢复，支持恢复后自动打开虚拟机。支持虚拟机分流、并发备份及恢复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Merge w:val="continue"/>
            <w:vAlign w:val="center"/>
          </w:tcPr>
          <w:p>
            <w:pPr>
              <w:rPr>
                <w:rFonts w:ascii="宋体" w:hAnsi="宋体" w:cs="宋体"/>
                <w:color w:val="000000"/>
                <w:kern w:val="0"/>
              </w:rPr>
            </w:pPr>
          </w:p>
        </w:tc>
        <w:tc>
          <w:tcPr>
            <w:tcW w:w="4127" w:type="pct"/>
            <w:vAlign w:val="center"/>
          </w:tcPr>
          <w:p>
            <w:pPr>
              <w:rPr>
                <w:rFonts w:ascii="宋体" w:hAnsi="宋体" w:cs="宋体"/>
                <w:color w:val="000000"/>
                <w:kern w:val="0"/>
              </w:rPr>
            </w:pPr>
            <w:r>
              <w:rPr>
                <w:rFonts w:ascii="宋体" w:hAnsi="宋体" w:cs="宋体"/>
                <w:color w:val="000000"/>
                <w:kern w:val="0"/>
              </w:rPr>
              <w:t>支持集群内多节点的并行重复数据删除，支持基于源端的可变长度切片的重复数据删除技术，通过在多个不同的节点上构建指纹池，并将指纹并行分布于多个节点，有效解决单点性能和存储空间压力问题（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Align w:val="center"/>
          </w:tcPr>
          <w:p>
            <w:pPr>
              <w:rPr>
                <w:rFonts w:ascii="宋体" w:hAnsi="宋体" w:cs="宋体"/>
                <w:color w:val="000000"/>
                <w:kern w:val="0"/>
              </w:rPr>
            </w:pPr>
            <w:r>
              <w:rPr>
                <w:rFonts w:ascii="宋体" w:hAnsi="宋体" w:cs="宋体"/>
                <w:color w:val="000000"/>
                <w:kern w:val="0"/>
              </w:rPr>
              <w:t>源端重复数据删除技术</w:t>
            </w:r>
          </w:p>
        </w:tc>
        <w:tc>
          <w:tcPr>
            <w:tcW w:w="4127" w:type="pct"/>
            <w:vAlign w:val="center"/>
          </w:tcPr>
          <w:p>
            <w:pPr>
              <w:rPr>
                <w:rFonts w:ascii="宋体" w:hAnsi="宋体" w:cs="宋体"/>
                <w:color w:val="000000"/>
                <w:kern w:val="0"/>
              </w:rPr>
            </w:pPr>
            <w:r>
              <w:rPr>
                <w:rFonts w:ascii="宋体" w:hAnsi="宋体" w:cs="宋体"/>
                <w:color w:val="000000"/>
                <w:kern w:val="0"/>
              </w:rPr>
              <w:t>支持基于全局源端可变长度切片的内存级计算重复数据删除技术，支持并行重复数据删除，多节点构建指纹池，并行分布有效解决单点性能和存储空间压力问题。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Align w:val="center"/>
          </w:tcPr>
          <w:p>
            <w:pPr>
              <w:rPr>
                <w:rFonts w:ascii="宋体" w:hAnsi="宋体" w:cs="宋体"/>
                <w:color w:val="000000"/>
                <w:kern w:val="0"/>
              </w:rPr>
            </w:pPr>
            <w:r>
              <w:rPr>
                <w:rFonts w:ascii="宋体" w:hAnsi="宋体" w:cs="宋体"/>
                <w:color w:val="000000"/>
                <w:kern w:val="0"/>
              </w:rPr>
              <w:t>永久增量备份</w:t>
            </w:r>
          </w:p>
        </w:tc>
        <w:tc>
          <w:tcPr>
            <w:tcW w:w="4127" w:type="pct"/>
            <w:vAlign w:val="center"/>
          </w:tcPr>
          <w:p>
            <w:pPr>
              <w:rPr>
                <w:rFonts w:ascii="宋体" w:hAnsi="宋体" w:cs="宋体"/>
                <w:color w:val="000000"/>
                <w:kern w:val="0"/>
              </w:rPr>
            </w:pPr>
            <w:r>
              <w:rPr>
                <w:rFonts w:ascii="宋体" w:hAnsi="宋体" w:cs="宋体"/>
                <w:color w:val="000000"/>
                <w:kern w:val="0"/>
              </w:rPr>
              <w:t>支持永久增量备份技术，初次完全备份，后续永久只对新增加或改动过的数据做增量备份。增量数据副本将自动合成为完全副本，有效提高备份效率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Align w:val="center"/>
          </w:tcPr>
          <w:p>
            <w:pPr>
              <w:rPr>
                <w:rFonts w:ascii="宋体" w:hAnsi="宋体" w:cs="宋体"/>
                <w:color w:val="000000"/>
                <w:kern w:val="0"/>
              </w:rPr>
            </w:pPr>
            <w:r>
              <w:rPr>
                <w:rFonts w:ascii="宋体" w:hAnsi="宋体" w:cs="宋体"/>
                <w:color w:val="000000"/>
                <w:kern w:val="0"/>
              </w:rPr>
              <w:t>备份存储扩容</w:t>
            </w:r>
          </w:p>
        </w:tc>
        <w:tc>
          <w:tcPr>
            <w:tcW w:w="4127" w:type="pct"/>
            <w:vAlign w:val="center"/>
          </w:tcPr>
          <w:p>
            <w:pPr>
              <w:rPr>
                <w:rFonts w:ascii="宋体" w:hAnsi="宋体" w:cs="宋体"/>
                <w:color w:val="000000"/>
                <w:kern w:val="0"/>
              </w:rPr>
            </w:pPr>
            <w:r>
              <w:rPr>
                <w:rFonts w:ascii="宋体" w:hAnsi="宋体" w:cs="宋体"/>
                <w:color w:val="000000"/>
                <w:kern w:val="0"/>
              </w:rPr>
              <w:t>支持备份备份存储在线磁盘扩容，新增备份空间无需配置即时可用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2" w:type="pct"/>
            <w:vAlign w:val="center"/>
          </w:tcPr>
          <w:p>
            <w:pPr>
              <w:rPr>
                <w:rFonts w:ascii="宋体" w:hAnsi="宋体" w:cs="宋体"/>
                <w:color w:val="000000"/>
                <w:kern w:val="0"/>
              </w:rPr>
            </w:pPr>
            <w:r>
              <w:rPr>
                <w:rFonts w:ascii="宋体" w:hAnsi="宋体" w:cs="宋体"/>
                <w:color w:val="000000"/>
                <w:kern w:val="0"/>
              </w:rPr>
              <w:t>副本数据管理</w:t>
            </w:r>
          </w:p>
        </w:tc>
        <w:tc>
          <w:tcPr>
            <w:tcW w:w="4127" w:type="pct"/>
            <w:vAlign w:val="center"/>
          </w:tcPr>
          <w:p>
            <w:pPr>
              <w:rPr>
                <w:rFonts w:ascii="宋体" w:hAnsi="宋体" w:cs="宋体"/>
                <w:color w:val="000000"/>
                <w:kern w:val="0"/>
              </w:rPr>
            </w:pPr>
            <w:r>
              <w:rPr>
                <w:rFonts w:ascii="宋体" w:hAnsi="宋体" w:cs="宋体"/>
                <w:color w:val="000000"/>
                <w:kern w:val="0"/>
              </w:rPr>
              <w:t>支持Oracle、SQL server、VMware、文件系统等副本数据管理，以原生格式进行数据永久增量备份并存储，形成了生产数据的副本。副本可生成虚拟副本，支持虚拟副本分钟级挂载恢复功能，挂载数据可读可写。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Align w:val="center"/>
          </w:tcPr>
          <w:p>
            <w:pPr>
              <w:rPr>
                <w:rFonts w:ascii="宋体" w:hAnsi="宋体" w:cs="宋体"/>
                <w:color w:val="000000"/>
                <w:kern w:val="0"/>
              </w:rPr>
            </w:pPr>
            <w:r>
              <w:rPr>
                <w:rFonts w:ascii="宋体" w:hAnsi="宋体" w:cs="宋体"/>
                <w:color w:val="000000"/>
                <w:kern w:val="0"/>
              </w:rPr>
              <w:t>Oracle数据库复制</w:t>
            </w:r>
          </w:p>
        </w:tc>
        <w:tc>
          <w:tcPr>
            <w:tcW w:w="4127" w:type="pct"/>
            <w:vAlign w:val="center"/>
          </w:tcPr>
          <w:p>
            <w:pPr>
              <w:rPr>
                <w:rFonts w:ascii="宋体" w:hAnsi="宋体" w:cs="宋体"/>
                <w:color w:val="000000"/>
                <w:kern w:val="0"/>
              </w:rPr>
            </w:pPr>
            <w:r>
              <w:rPr>
                <w:rFonts w:ascii="宋体" w:hAnsi="宋体" w:cs="宋体"/>
                <w:color w:val="000000"/>
                <w:kern w:val="0"/>
              </w:rPr>
              <w:t>支持Oracle的逻辑复制和物理服务。逻辑复制中备用数据库在复制阶段处于open状态，可提供业务查询服务；物理复制中备用数据库在复制阶段处于mount状态，生产库发生故障后可open并对外提供服务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Align w:val="center"/>
          </w:tcPr>
          <w:p>
            <w:pPr>
              <w:rPr>
                <w:rFonts w:ascii="宋体" w:hAnsi="宋体" w:cs="宋体"/>
                <w:color w:val="000000"/>
                <w:kern w:val="0"/>
              </w:rPr>
            </w:pPr>
            <w:r>
              <w:rPr>
                <w:rFonts w:ascii="宋体" w:hAnsi="宋体" w:cs="宋体"/>
                <w:color w:val="000000"/>
                <w:kern w:val="0"/>
              </w:rPr>
              <w:t>数据卷复制</w:t>
            </w:r>
          </w:p>
        </w:tc>
        <w:tc>
          <w:tcPr>
            <w:tcW w:w="4127" w:type="pct"/>
            <w:vAlign w:val="center"/>
          </w:tcPr>
          <w:p>
            <w:pPr>
              <w:rPr>
                <w:rFonts w:ascii="宋体" w:hAnsi="宋体" w:cs="宋体"/>
                <w:color w:val="000000"/>
                <w:kern w:val="0"/>
              </w:rPr>
            </w:pPr>
            <w:r>
              <w:rPr>
                <w:rFonts w:ascii="宋体" w:hAnsi="宋体" w:cs="宋体"/>
                <w:color w:val="000000"/>
                <w:kern w:val="0"/>
              </w:rPr>
              <w:t>支持对Windows和Linux服务器的整机和数据卷进行卷级别的实时复制功能，实时复制中支持差异数据智能识别功能，（提供截图证明）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Merge w:val="restart"/>
            <w:vAlign w:val="center"/>
          </w:tcPr>
          <w:p>
            <w:pPr>
              <w:rPr>
                <w:rFonts w:ascii="宋体" w:hAnsi="宋体" w:cs="宋体"/>
                <w:color w:val="000000"/>
                <w:kern w:val="0"/>
              </w:rPr>
            </w:pPr>
            <w:r>
              <w:rPr>
                <w:rFonts w:ascii="宋体" w:hAnsi="宋体" w:cs="宋体"/>
                <w:color w:val="000000"/>
                <w:kern w:val="0"/>
              </w:rPr>
              <w:t>实时备份</w:t>
            </w:r>
          </w:p>
        </w:tc>
        <w:tc>
          <w:tcPr>
            <w:tcW w:w="4127" w:type="pct"/>
            <w:vAlign w:val="center"/>
          </w:tcPr>
          <w:p>
            <w:pPr>
              <w:rPr>
                <w:rFonts w:ascii="宋体" w:hAnsi="宋体" w:cs="宋体"/>
                <w:color w:val="000000"/>
                <w:kern w:val="0"/>
              </w:rPr>
            </w:pPr>
            <w:r>
              <w:rPr>
                <w:rFonts w:ascii="宋体" w:hAnsi="宋体" w:cs="宋体"/>
                <w:color w:val="000000"/>
                <w:kern w:val="0"/>
              </w:rPr>
              <w:t>支持对Windows和Linux服务器的整机和数据卷进行卷级别的实时备份，实时备份支持永久增量备份以实现断点续传。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Merge w:val="continue"/>
            <w:vAlign w:val="center"/>
          </w:tcPr>
          <w:p>
            <w:pPr>
              <w:rPr>
                <w:rFonts w:ascii="宋体" w:hAnsi="宋体" w:cs="宋体"/>
                <w:color w:val="FF0000"/>
                <w:kern w:val="0"/>
              </w:rPr>
            </w:pPr>
          </w:p>
        </w:tc>
        <w:tc>
          <w:tcPr>
            <w:tcW w:w="4127" w:type="pct"/>
            <w:vAlign w:val="center"/>
          </w:tcPr>
          <w:p>
            <w:pPr>
              <w:rPr>
                <w:rFonts w:ascii="宋体" w:hAnsi="宋体" w:cs="宋体"/>
                <w:color w:val="000000"/>
                <w:kern w:val="0"/>
              </w:rPr>
            </w:pPr>
            <w:r>
              <w:rPr>
                <w:rFonts w:ascii="宋体" w:hAnsi="宋体" w:cs="宋体"/>
                <w:color w:val="000000"/>
                <w:kern w:val="0"/>
              </w:rPr>
              <w:t>支持实时备份数据的应急接管和容灾演练，可选择精度为微秒（0.000001）级（提供截图证明）。并支持应急接管虚拟机持续提供业务访问时的在线回迁功能。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2" w:type="pct"/>
            <w:vAlign w:val="center"/>
          </w:tcPr>
          <w:p>
            <w:pPr>
              <w:rPr>
                <w:rFonts w:ascii="宋体" w:hAnsi="宋体" w:cs="宋体"/>
                <w:color w:val="000000"/>
                <w:kern w:val="0"/>
              </w:rPr>
            </w:pPr>
            <w:r>
              <w:rPr>
                <w:rFonts w:ascii="宋体" w:hAnsi="宋体" w:cs="宋体"/>
                <w:color w:val="000000"/>
                <w:kern w:val="0"/>
              </w:rPr>
              <w:t>异地容灾</w:t>
            </w:r>
          </w:p>
        </w:tc>
        <w:tc>
          <w:tcPr>
            <w:tcW w:w="4127" w:type="pct"/>
            <w:vAlign w:val="center"/>
          </w:tcPr>
          <w:p>
            <w:pPr>
              <w:rPr>
                <w:rFonts w:ascii="宋体" w:hAnsi="宋体" w:cs="宋体"/>
                <w:color w:val="000000"/>
                <w:kern w:val="0"/>
              </w:rPr>
            </w:pPr>
            <w:r>
              <w:rPr>
                <w:rFonts w:ascii="宋体" w:hAnsi="宋体" w:cs="宋体"/>
                <w:color w:val="000000"/>
                <w:kern w:val="0"/>
              </w:rPr>
              <w:t>支持备份数据远程复制到异地，支持1对1、1对多、多对1和级联复制等多种方式，支持数据复制验证功能，如果容灾端数据需要查看和恢复，必须输入源端备份系统原操作员的账号和密码，避免数据泄密（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pct"/>
            <w:vAlign w:val="center"/>
          </w:tcPr>
          <w:p>
            <w:pPr>
              <w:rPr>
                <w:rFonts w:ascii="宋体" w:hAnsi="宋体" w:cs="宋体"/>
                <w:color w:val="000000"/>
                <w:kern w:val="0"/>
              </w:rPr>
            </w:pPr>
            <w:r>
              <w:rPr>
                <w:rFonts w:ascii="宋体" w:hAnsi="宋体" w:cs="宋体"/>
                <w:color w:val="000000"/>
                <w:kern w:val="0"/>
              </w:rPr>
              <w:t>灾备云管理</w:t>
            </w:r>
          </w:p>
        </w:tc>
        <w:tc>
          <w:tcPr>
            <w:tcW w:w="4127" w:type="pct"/>
            <w:vAlign w:val="center"/>
          </w:tcPr>
          <w:p>
            <w:pPr>
              <w:rPr>
                <w:rFonts w:ascii="宋体" w:hAnsi="宋体" w:cs="宋体"/>
                <w:color w:val="000000"/>
                <w:kern w:val="0"/>
              </w:rPr>
            </w:pPr>
            <w:r>
              <w:rPr>
                <w:rFonts w:ascii="宋体" w:hAnsi="宋体" w:cs="宋体"/>
                <w:color w:val="000000"/>
                <w:kern w:val="0"/>
              </w:rPr>
              <w:t>支持采用云架构部署，可通过云管理软件实现对备份集群系统进行集中统一的运行监控，对备份任务的状态、资源利用情况和存储空间情况等进行监控，支持多员管理模式，支持以租户形式提供备份服务。</w:t>
            </w:r>
          </w:p>
        </w:tc>
      </w:tr>
      <w:bookmarkEnd w:id="0"/>
    </w:tbl>
    <w:p/>
    <w:p>
      <w:pPr>
        <w:pStyle w:val="4"/>
        <w:numPr>
          <w:ilvl w:val="2"/>
          <w:numId w:val="5"/>
        </w:numPr>
        <w:spacing w:before="160" w:line="300" w:lineRule="exact"/>
        <w:ind w:left="420"/>
        <w:rPr>
          <w:rFonts w:ascii="宋体" w:hAnsi="宋体"/>
        </w:rPr>
      </w:pPr>
      <w:r>
        <w:rPr>
          <w:rFonts w:hint="eastAsia" w:ascii="宋体" w:hAnsi="宋体"/>
        </w:rPr>
        <w:t>云密码评估平台</w:t>
      </w:r>
      <w:r>
        <w:rPr>
          <w:rFonts w:ascii="宋体" w:hAnsi="宋体"/>
        </w:rPr>
        <w:t>要求</w:t>
      </w:r>
    </w:p>
    <w:tbl>
      <w:tblPr>
        <w:tblStyle w:val="11"/>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9"/>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shd w:val="clear" w:color="auto" w:fill="BFBFBF"/>
            <w:vAlign w:val="center"/>
          </w:tcPr>
          <w:p>
            <w:pPr>
              <w:spacing w:line="276" w:lineRule="auto"/>
              <w:jc w:val="center"/>
              <w:rPr>
                <w:rFonts w:ascii="宋体" w:hAnsi="宋体"/>
              </w:rPr>
            </w:pPr>
            <w:r>
              <w:rPr>
                <w:rFonts w:ascii="宋体" w:hAnsi="宋体" w:cs="Times New Roman"/>
                <w:b/>
              </w:rPr>
              <w:t>规格</w:t>
            </w:r>
          </w:p>
        </w:tc>
        <w:tc>
          <w:tcPr>
            <w:tcW w:w="7371" w:type="dxa"/>
            <w:shd w:val="clear" w:color="auto" w:fill="BFBFBF"/>
            <w:vAlign w:val="center"/>
          </w:tcPr>
          <w:p>
            <w:pPr>
              <w:spacing w:line="276" w:lineRule="auto"/>
              <w:jc w:val="center"/>
              <w:rPr>
                <w:rFonts w:ascii="宋体" w:hAnsi="宋体"/>
              </w:rPr>
            </w:pPr>
            <w:r>
              <w:rPr>
                <w:rFonts w:ascii="宋体" w:hAnsi="宋体" w:cs="微软雅黑"/>
                <w:b/>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restart"/>
          </w:tcPr>
          <w:p>
            <w:pPr>
              <w:spacing w:line="276" w:lineRule="auto"/>
              <w:rPr>
                <w:rFonts w:ascii="宋体" w:hAnsi="宋体"/>
              </w:rPr>
            </w:pPr>
            <w:r>
              <w:rPr>
                <w:rFonts w:ascii="宋体" w:hAnsi="宋体"/>
              </w:rPr>
              <w:t>功能要求</w:t>
            </w:r>
          </w:p>
        </w:tc>
        <w:tc>
          <w:tcPr>
            <w:tcW w:w="7371" w:type="dxa"/>
          </w:tcPr>
          <w:p>
            <w:pPr>
              <w:spacing w:line="276" w:lineRule="auto"/>
              <w:rPr>
                <w:rFonts w:ascii="宋体" w:hAnsi="宋体"/>
              </w:rPr>
            </w:pPr>
            <w:r>
              <w:rPr>
                <w:rFonts w:ascii="宋体" w:hAnsi="宋体"/>
              </w:rPr>
              <w:t>根据密评要求和相关解答定义出对应的密码风险符合度报告，用户可自行进行密评符合度评估；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tcPr>
          <w:p>
            <w:pPr>
              <w:spacing w:line="276" w:lineRule="auto"/>
              <w:rPr>
                <w:rFonts w:ascii="宋体" w:hAnsi="宋体"/>
              </w:rPr>
            </w:pPr>
          </w:p>
        </w:tc>
        <w:tc>
          <w:tcPr>
            <w:tcW w:w="7371" w:type="dxa"/>
          </w:tcPr>
          <w:p>
            <w:pPr>
              <w:spacing w:line="276" w:lineRule="auto"/>
              <w:rPr>
                <w:rFonts w:ascii="宋体" w:hAnsi="宋体"/>
              </w:rPr>
            </w:pPr>
            <w:r>
              <w:rPr>
                <w:rFonts w:ascii="宋体" w:hAnsi="宋体"/>
              </w:rPr>
              <w:t>总体要求评估模块：对密码算法，密码技术，密码产品，密码服务进行安全符合度评估；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9" w:type="dxa"/>
            <w:vMerge w:val="continue"/>
          </w:tcPr>
          <w:p>
            <w:pPr>
              <w:spacing w:line="276" w:lineRule="auto"/>
              <w:rPr>
                <w:rFonts w:ascii="宋体" w:hAnsi="宋体"/>
              </w:rPr>
            </w:pPr>
          </w:p>
        </w:tc>
        <w:tc>
          <w:tcPr>
            <w:tcW w:w="7371" w:type="dxa"/>
          </w:tcPr>
          <w:p>
            <w:pPr>
              <w:spacing w:line="276" w:lineRule="auto"/>
              <w:rPr>
                <w:rFonts w:ascii="宋体" w:hAnsi="宋体"/>
              </w:rPr>
            </w:pPr>
            <w:r>
              <w:rPr>
                <w:rFonts w:ascii="宋体" w:hAnsi="宋体"/>
              </w:rPr>
              <w:t>密码评估功能模块：能够对密码功能的机密性，完整性，真实性，不可否认性进行符合度评估；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tcPr>
          <w:p>
            <w:pPr>
              <w:spacing w:line="276" w:lineRule="auto"/>
              <w:rPr>
                <w:rFonts w:ascii="宋体" w:hAnsi="宋体"/>
              </w:rPr>
            </w:pPr>
          </w:p>
        </w:tc>
        <w:tc>
          <w:tcPr>
            <w:tcW w:w="7371" w:type="dxa"/>
          </w:tcPr>
          <w:p>
            <w:pPr>
              <w:spacing w:line="276" w:lineRule="auto"/>
              <w:rPr>
                <w:rFonts w:ascii="宋体" w:hAnsi="宋体"/>
              </w:rPr>
            </w:pPr>
            <w:r>
              <w:rPr>
                <w:rFonts w:ascii="宋体" w:hAnsi="宋体"/>
              </w:rPr>
              <w:t>安全管理评估功能模块：</w:t>
            </w:r>
          </w:p>
          <w:p>
            <w:pPr>
              <w:spacing w:line="276" w:lineRule="auto"/>
              <w:rPr>
                <w:rFonts w:ascii="宋体" w:hAnsi="宋体"/>
              </w:rPr>
            </w:pPr>
            <w:r>
              <w:rPr>
                <w:rFonts w:ascii="宋体" w:hAnsi="宋体"/>
              </w:rPr>
              <w:t>1.制度评测模块：根据信息系统密码应用基本要求规定，对等级保护二级和三级的标准制定制度管理符合度评测功能</w:t>
            </w:r>
          </w:p>
          <w:p>
            <w:pPr>
              <w:spacing w:line="276" w:lineRule="auto"/>
              <w:rPr>
                <w:rFonts w:ascii="宋体" w:hAnsi="宋体"/>
              </w:rPr>
            </w:pPr>
            <w:r>
              <w:rPr>
                <w:rFonts w:ascii="宋体" w:hAnsi="宋体"/>
              </w:rPr>
              <w:t>2.人员评测模块：根据信息系统密码应用基本要求规定，对等级保护二级和三级的标准制定人员管理评测功能</w:t>
            </w:r>
          </w:p>
          <w:p>
            <w:pPr>
              <w:spacing w:line="276" w:lineRule="auto"/>
              <w:rPr>
                <w:rFonts w:ascii="宋体" w:hAnsi="宋体"/>
              </w:rPr>
            </w:pPr>
            <w:r>
              <w:rPr>
                <w:rFonts w:ascii="宋体" w:hAnsi="宋体"/>
              </w:rPr>
              <w:t>3.实施评测：根据信息系统密码应用基本要求规定，实现实施管理评测功能模块，涵盖规划，建设，运营三部分</w:t>
            </w:r>
          </w:p>
          <w:p>
            <w:pPr>
              <w:spacing w:line="276" w:lineRule="auto"/>
              <w:rPr>
                <w:rFonts w:ascii="宋体" w:hAnsi="宋体"/>
              </w:rPr>
            </w:pPr>
            <w:r>
              <w:rPr>
                <w:rFonts w:ascii="宋体" w:hAnsi="宋体"/>
              </w:rPr>
              <w:t>4.应急评测：根据信息系统密码应用基本要求规定，对等级保护二级和三级的标准制定应急管理符合度评测功能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tcPr>
          <w:p>
            <w:pPr>
              <w:spacing w:line="276" w:lineRule="auto"/>
              <w:rPr>
                <w:rFonts w:ascii="宋体" w:hAnsi="宋体"/>
              </w:rPr>
            </w:pPr>
          </w:p>
        </w:tc>
        <w:tc>
          <w:tcPr>
            <w:tcW w:w="7371" w:type="dxa"/>
          </w:tcPr>
          <w:p>
            <w:pPr>
              <w:spacing w:line="276" w:lineRule="auto"/>
              <w:rPr>
                <w:rFonts w:ascii="宋体" w:hAnsi="宋体"/>
              </w:rPr>
            </w:pPr>
            <w:r>
              <w:rPr>
                <w:rFonts w:ascii="宋体" w:hAnsi="宋体"/>
              </w:rPr>
              <w:t>安全技术评测功能：</w:t>
            </w:r>
          </w:p>
          <w:p>
            <w:pPr>
              <w:spacing w:line="276" w:lineRule="auto"/>
              <w:rPr>
                <w:rFonts w:ascii="宋体" w:hAnsi="宋体"/>
              </w:rPr>
            </w:pPr>
            <w:r>
              <w:rPr>
                <w:rFonts w:ascii="宋体" w:hAnsi="宋体"/>
              </w:rPr>
              <w:t>1.物理和环境安全评估模块：根据信息系统密码应用基本要求规定，对等级保护二级和三级的标准进行物理和环境安全评估</w:t>
            </w:r>
          </w:p>
          <w:p>
            <w:pPr>
              <w:spacing w:line="276" w:lineRule="auto"/>
              <w:rPr>
                <w:rFonts w:ascii="宋体" w:hAnsi="宋体"/>
              </w:rPr>
            </w:pPr>
            <w:r>
              <w:rPr>
                <w:rFonts w:ascii="宋体" w:hAnsi="宋体"/>
              </w:rPr>
              <w:t>2.网络和通信评估模块：根据信息系统密码应用基本要求规定，对等级保护二级和三级的标准进行网络和通信安全评估</w:t>
            </w:r>
          </w:p>
          <w:p>
            <w:pPr>
              <w:spacing w:line="276" w:lineRule="auto"/>
              <w:rPr>
                <w:rFonts w:ascii="宋体" w:hAnsi="宋体"/>
              </w:rPr>
            </w:pPr>
            <w:r>
              <w:rPr>
                <w:rFonts w:ascii="宋体" w:hAnsi="宋体"/>
              </w:rPr>
              <w:t>3.设备和计算安全评估模块：根据信息系统密码应用基本要求规定，对等级保护二级和三级的标准进行设备和计算安全评估</w:t>
            </w:r>
          </w:p>
          <w:p>
            <w:pPr>
              <w:spacing w:line="276" w:lineRule="auto"/>
              <w:rPr>
                <w:rFonts w:ascii="宋体" w:hAnsi="宋体"/>
              </w:rPr>
            </w:pPr>
            <w:r>
              <w:rPr>
                <w:rFonts w:ascii="宋体" w:hAnsi="宋体"/>
              </w:rPr>
              <w:t>4.应用和数据安全评估模块：根据信息系统密码应用基本要求规定，对等级保护二级和三级的标准进行应用和数据安全评估</w:t>
            </w:r>
          </w:p>
          <w:p>
            <w:pPr>
              <w:spacing w:line="276" w:lineRule="auto"/>
              <w:rPr>
                <w:rFonts w:ascii="宋体" w:hAnsi="宋体"/>
              </w:rPr>
            </w:pPr>
            <w:r>
              <w:rPr>
                <w:rFonts w:ascii="宋体" w:hAnsi="宋体"/>
              </w:rPr>
              <w:t>5.密钥管理评估模块：根据信息系统密码应用基本要求规定，对等级保护二级和三级的标准进行密钥管理安全评估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tcPr>
          <w:p>
            <w:pPr>
              <w:spacing w:line="276" w:lineRule="auto"/>
              <w:rPr>
                <w:rFonts w:ascii="宋体" w:hAnsi="宋体"/>
              </w:rPr>
            </w:pPr>
          </w:p>
        </w:tc>
        <w:tc>
          <w:tcPr>
            <w:tcW w:w="7371" w:type="dxa"/>
          </w:tcPr>
          <w:p>
            <w:pPr>
              <w:spacing w:line="276" w:lineRule="auto"/>
              <w:rPr>
                <w:rFonts w:ascii="宋体" w:hAnsi="宋体"/>
              </w:rPr>
            </w:pPr>
            <w:r>
              <w:rPr>
                <w:rFonts w:ascii="宋体" w:hAnsi="宋体"/>
              </w:rPr>
              <w:t>分析功能：</w:t>
            </w:r>
          </w:p>
          <w:p>
            <w:pPr>
              <w:spacing w:line="276" w:lineRule="auto"/>
              <w:rPr>
                <w:rFonts w:ascii="宋体" w:hAnsi="宋体"/>
              </w:rPr>
            </w:pPr>
            <w:r>
              <w:rPr>
                <w:rFonts w:ascii="宋体" w:hAnsi="宋体"/>
              </w:rPr>
              <w:t>1.综合评分功能：能够对各个模块的评测结果进行打分和分析</w:t>
            </w:r>
          </w:p>
          <w:p>
            <w:pPr>
              <w:spacing w:line="276" w:lineRule="auto"/>
              <w:rPr>
                <w:rFonts w:ascii="宋体" w:hAnsi="宋体"/>
              </w:rPr>
            </w:pPr>
            <w:r>
              <w:rPr>
                <w:rFonts w:ascii="宋体" w:hAnsi="宋体"/>
              </w:rPr>
              <w:t>2.建议功能：根据评测结果自动出具建议报告</w:t>
            </w:r>
          </w:p>
          <w:p>
            <w:pPr>
              <w:spacing w:line="276" w:lineRule="auto"/>
              <w:rPr>
                <w:rFonts w:ascii="宋体" w:hAnsi="宋体"/>
              </w:rPr>
            </w:pPr>
            <w:r>
              <w:rPr>
                <w:rFonts w:ascii="宋体" w:hAnsi="宋体"/>
              </w:rPr>
              <w:t>3.能力矩阵图：根据系统各个模块收集到的信息制作能力矩阵分析图，能够清晰分析出系统的薄弱点和优势点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9" w:type="dxa"/>
            <w:vMerge w:val="restart"/>
          </w:tcPr>
          <w:p>
            <w:pPr>
              <w:spacing w:line="276" w:lineRule="auto"/>
              <w:rPr>
                <w:rFonts w:ascii="宋体" w:hAnsi="宋体"/>
              </w:rPr>
            </w:pPr>
            <w:r>
              <w:rPr>
                <w:rFonts w:ascii="宋体" w:hAnsi="宋体"/>
              </w:rPr>
              <w:t>基本架构要求</w:t>
            </w:r>
          </w:p>
        </w:tc>
        <w:tc>
          <w:tcPr>
            <w:tcW w:w="7371" w:type="dxa"/>
          </w:tcPr>
          <w:p>
            <w:pPr>
              <w:spacing w:line="276" w:lineRule="auto"/>
              <w:rPr>
                <w:rFonts w:ascii="宋体" w:hAnsi="宋体"/>
              </w:rPr>
            </w:pPr>
            <w:r>
              <w:rPr>
                <w:rFonts w:ascii="宋体" w:hAnsi="宋体"/>
              </w:rPr>
              <w:t>采用B/S结构模式进行设计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tcPr>
          <w:p>
            <w:pPr>
              <w:spacing w:line="276" w:lineRule="auto"/>
              <w:rPr>
                <w:rFonts w:ascii="宋体" w:hAnsi="宋体"/>
              </w:rPr>
            </w:pPr>
          </w:p>
        </w:tc>
        <w:tc>
          <w:tcPr>
            <w:tcW w:w="7371" w:type="dxa"/>
          </w:tcPr>
          <w:p>
            <w:pPr>
              <w:spacing w:line="276" w:lineRule="auto"/>
              <w:rPr>
                <w:rFonts w:ascii="宋体" w:hAnsi="宋体"/>
              </w:rPr>
            </w:pPr>
            <w:r>
              <w:rPr>
                <w:rFonts w:ascii="宋体" w:hAnsi="宋体"/>
              </w:rPr>
              <w:t>使用开放的XML技术与Web Service技术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tcPr>
          <w:p>
            <w:pPr>
              <w:spacing w:line="276" w:lineRule="auto"/>
              <w:rPr>
                <w:rFonts w:ascii="宋体" w:hAnsi="宋体"/>
              </w:rPr>
            </w:pPr>
          </w:p>
        </w:tc>
        <w:tc>
          <w:tcPr>
            <w:tcW w:w="7371" w:type="dxa"/>
          </w:tcPr>
          <w:p>
            <w:pPr>
              <w:spacing w:line="276" w:lineRule="auto"/>
              <w:rPr>
                <w:rFonts w:ascii="宋体" w:hAnsi="宋体"/>
              </w:rPr>
            </w:pPr>
            <w:r>
              <w:rPr>
                <w:rFonts w:ascii="宋体" w:hAnsi="宋体"/>
              </w:rPr>
              <w:t>统一接口和统一标识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restart"/>
          </w:tcPr>
          <w:p>
            <w:pPr>
              <w:spacing w:line="276" w:lineRule="auto"/>
              <w:rPr>
                <w:rFonts w:ascii="宋体" w:hAnsi="宋体"/>
              </w:rPr>
            </w:pPr>
            <w:r>
              <w:rPr>
                <w:rFonts w:ascii="宋体" w:hAnsi="宋体"/>
              </w:rPr>
              <w:t>关键技术要求</w:t>
            </w:r>
          </w:p>
        </w:tc>
        <w:tc>
          <w:tcPr>
            <w:tcW w:w="7371" w:type="dxa"/>
          </w:tcPr>
          <w:p>
            <w:pPr>
              <w:spacing w:line="276" w:lineRule="auto"/>
              <w:rPr>
                <w:rFonts w:ascii="宋体" w:hAnsi="宋体"/>
              </w:rPr>
            </w:pPr>
            <w:r>
              <w:rPr>
                <w:rFonts w:ascii="宋体" w:hAnsi="宋体"/>
              </w:rPr>
              <w:t>对任务和公告采用弹窗提醒的方式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9" w:type="dxa"/>
            <w:vMerge w:val="continue"/>
          </w:tcPr>
          <w:p>
            <w:pPr>
              <w:spacing w:line="276" w:lineRule="auto"/>
              <w:rPr>
                <w:rFonts w:ascii="宋体" w:hAnsi="宋体"/>
              </w:rPr>
            </w:pPr>
          </w:p>
        </w:tc>
        <w:tc>
          <w:tcPr>
            <w:tcW w:w="7371" w:type="dxa"/>
          </w:tcPr>
          <w:p>
            <w:pPr>
              <w:spacing w:line="276" w:lineRule="auto"/>
              <w:rPr>
                <w:rFonts w:ascii="宋体" w:hAnsi="宋体"/>
              </w:rPr>
            </w:pPr>
            <w:r>
              <w:rPr>
                <w:rFonts w:ascii="宋体" w:hAnsi="宋体"/>
              </w:rPr>
              <w:t>可支持200个用户同时在线操作，系统长时间稳定工作24小时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restart"/>
          </w:tcPr>
          <w:p>
            <w:pPr>
              <w:spacing w:line="276" w:lineRule="auto"/>
              <w:rPr>
                <w:rFonts w:ascii="宋体" w:hAnsi="宋体"/>
              </w:rPr>
            </w:pPr>
            <w:r>
              <w:rPr>
                <w:rFonts w:ascii="宋体" w:hAnsi="宋体"/>
              </w:rPr>
              <w:t>其他要求</w:t>
            </w:r>
          </w:p>
        </w:tc>
        <w:tc>
          <w:tcPr>
            <w:tcW w:w="7371" w:type="dxa"/>
          </w:tcPr>
          <w:p>
            <w:pPr>
              <w:spacing w:line="276" w:lineRule="auto"/>
              <w:rPr>
                <w:rFonts w:ascii="宋体" w:hAnsi="宋体"/>
              </w:rPr>
            </w:pPr>
            <w:r>
              <w:rPr>
                <w:rFonts w:ascii="宋体" w:hAnsi="宋体"/>
              </w:rPr>
              <w:t>评估对象管理：添加完信息系统对象时，可根据各对象之间的逻辑关系管理，对信息系统生成相应的业务关系视图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tcPr>
          <w:p>
            <w:pPr>
              <w:spacing w:line="276" w:lineRule="auto"/>
              <w:rPr>
                <w:rFonts w:ascii="宋体" w:hAnsi="宋体"/>
              </w:rPr>
            </w:pPr>
          </w:p>
        </w:tc>
        <w:tc>
          <w:tcPr>
            <w:tcW w:w="7371" w:type="dxa"/>
          </w:tcPr>
          <w:p>
            <w:pPr>
              <w:spacing w:line="276" w:lineRule="auto"/>
              <w:rPr>
                <w:rFonts w:ascii="宋体" w:hAnsi="宋体"/>
              </w:rPr>
            </w:pPr>
            <w:r>
              <w:rPr>
                <w:rFonts w:ascii="宋体" w:hAnsi="宋体"/>
              </w:rPr>
              <w:t>任务管理：日常任务，评测任务，整改任务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tcPr>
          <w:p>
            <w:pPr>
              <w:spacing w:line="276" w:lineRule="auto"/>
              <w:rPr>
                <w:rFonts w:ascii="宋体" w:hAnsi="宋体"/>
              </w:rPr>
            </w:pPr>
          </w:p>
        </w:tc>
        <w:tc>
          <w:tcPr>
            <w:tcW w:w="7371" w:type="dxa"/>
          </w:tcPr>
          <w:p>
            <w:pPr>
              <w:spacing w:line="276" w:lineRule="auto"/>
              <w:rPr>
                <w:rFonts w:ascii="宋体" w:hAnsi="宋体"/>
              </w:rPr>
            </w:pPr>
            <w:r>
              <w:rPr>
                <w:rFonts w:ascii="宋体" w:hAnsi="宋体"/>
              </w:rPr>
              <w:t>条款库管理：用户可针对某一个条款安排相应的日常计划任务，定期对密码符合此条款的对象进行条款要求的检查工作</w:t>
            </w:r>
          </w:p>
        </w:tc>
      </w:tr>
    </w:tbl>
    <w:p>
      <w:pPr>
        <w:spacing w:line="276" w:lineRule="auto"/>
        <w:rPr>
          <w:rFonts w:ascii="宋体" w:hAnsi="宋体"/>
        </w:rPr>
      </w:pPr>
    </w:p>
    <w:p>
      <w:pPr>
        <w:pStyle w:val="3"/>
        <w:numPr>
          <w:ilvl w:val="1"/>
          <w:numId w:val="5"/>
        </w:numPr>
        <w:ind w:left="420"/>
        <w:rPr>
          <w:lang w:eastAsia="zh-CN"/>
        </w:rPr>
      </w:pPr>
      <w:r>
        <w:rPr>
          <w:rFonts w:hint="eastAsia"/>
          <w:lang w:eastAsia="zh-CN"/>
        </w:rPr>
        <w:t>硬件技术要求</w:t>
      </w:r>
    </w:p>
    <w:p>
      <w:pPr>
        <w:pStyle w:val="4"/>
        <w:numPr>
          <w:ilvl w:val="2"/>
          <w:numId w:val="5"/>
        </w:numPr>
        <w:spacing w:before="160" w:line="300" w:lineRule="exact"/>
        <w:ind w:left="420"/>
        <w:rPr>
          <w:rFonts w:ascii="宋体" w:hAnsi="宋体"/>
        </w:rPr>
      </w:pPr>
      <w:bookmarkStart w:id="1" w:name="_Toc34080583"/>
      <w:bookmarkStart w:id="2" w:name="_Toc34080399"/>
      <w:r>
        <w:rPr>
          <w:rFonts w:ascii="宋体" w:hAnsi="宋体"/>
        </w:rPr>
        <w:t>服务器设备</w:t>
      </w:r>
      <w:bookmarkEnd w:id="1"/>
      <w:bookmarkEnd w:id="2"/>
    </w:p>
    <w:tbl>
      <w:tblPr>
        <w:tblStyle w:val="11"/>
        <w:tblW w:w="4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kern w:val="0"/>
              </w:rPr>
            </w:pPr>
            <w:r>
              <w:rPr>
                <w:rFonts w:ascii="宋体" w:hAnsi="宋体" w:cs="Times New Roman"/>
                <w:b/>
                <w:kern w:val="0"/>
              </w:rPr>
              <w:t>用途：软件虚拟化服务器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889"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2.0GHz；≥ 2路24核；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 512GB；内存槽位最大支持≥ 24个；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vMerge w:val="restart"/>
            <w:tcBorders>
              <w:top w:val="single" w:color="auto" w:sz="4" w:space="0"/>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支持SAS/SATA/SSD硬盘，数量≥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vMerge w:val="continue"/>
            <w:tcBorders>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支持双M.2 SSD配置Raid1，作为虚拟化或者操作系统部署盘位；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板载≥ 2*GE+2*10GE；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特性参数</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支持最高5-40°C标准工作温度；</w:t>
            </w:r>
          </w:p>
          <w:p>
            <w:pPr>
              <w:spacing w:line="276" w:lineRule="auto"/>
              <w:textAlignment w:val="baseline"/>
              <w:rPr>
                <w:rFonts w:ascii="宋体" w:hAnsi="宋体" w:cs="Times New Roman"/>
                <w:kern w:val="0"/>
              </w:rPr>
            </w:pPr>
            <w:r>
              <w:rPr>
                <w:rFonts w:ascii="宋体" w:hAnsi="宋体" w:cs="Times New Roman"/>
                <w:kern w:val="0"/>
              </w:rPr>
              <w:t>内存支持ECC，支持内存镜像、内存热备；</w:t>
            </w:r>
          </w:p>
          <w:p>
            <w:pPr>
              <w:spacing w:line="276" w:lineRule="auto"/>
              <w:textAlignment w:val="baseline"/>
              <w:rPr>
                <w:rFonts w:ascii="宋体" w:hAnsi="宋体" w:cs="Times New Roman"/>
                <w:kern w:val="0"/>
              </w:rPr>
            </w:pPr>
            <w:r>
              <w:rPr>
                <w:rFonts w:ascii="宋体" w:hAnsi="宋体" w:cs="Times New Roman"/>
                <w:kern w:val="0"/>
              </w:rPr>
              <w:t>支持带外故障检测功能，不依赖于OS，对CPU故障、I2C和 IPMB总线故障、内存故障、PCIe设备故障、硬盘故障、系统宕机故障等进行分析和定位，支持定位到具体部件丝印；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资质要求</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设备为非OEM或贴牌产品；</w:t>
            </w:r>
          </w:p>
        </w:tc>
      </w:tr>
    </w:tbl>
    <w:p>
      <w:pPr>
        <w:spacing w:line="276" w:lineRule="auto"/>
        <w:rPr>
          <w:rFonts w:ascii="宋体" w:hAnsi="宋体"/>
        </w:rPr>
      </w:pPr>
    </w:p>
    <w:p>
      <w:pPr>
        <w:spacing w:line="276" w:lineRule="auto"/>
        <w:rPr>
          <w:rFonts w:ascii="宋体" w:hAnsi="宋体"/>
        </w:rPr>
      </w:pPr>
    </w:p>
    <w:tbl>
      <w:tblPr>
        <w:tblStyle w:val="11"/>
        <w:tblW w:w="4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kern w:val="0"/>
              </w:rPr>
            </w:pPr>
            <w:r>
              <w:rPr>
                <w:rFonts w:ascii="宋体" w:hAnsi="宋体" w:cs="Times New Roman"/>
                <w:b/>
                <w:kern w:val="0"/>
              </w:rPr>
              <w:t>用途：硬件虚拟化服务器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889"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2.5GHz；≥ 2路26核；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w:t>
            </w:r>
            <w:r>
              <w:rPr>
                <w:rFonts w:ascii="宋体" w:hAnsi="宋体" w:cs="Times New Roman"/>
                <w:color w:val="FF0000"/>
                <w:kern w:val="0"/>
              </w:rPr>
              <w:t xml:space="preserve"> </w:t>
            </w:r>
            <w:r>
              <w:rPr>
                <w:rFonts w:ascii="宋体" w:hAnsi="宋体" w:cs="Times New Roman"/>
                <w:kern w:val="0"/>
              </w:rPr>
              <w:t>768GB；内存槽位最大支持≥ 24个；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前置≥ 12个2.5/3.5英寸SATA/SAS/NVME SSD硬盘或者前置≥18盘nvme硬盘；</w:t>
            </w:r>
          </w:p>
          <w:p>
            <w:pPr>
              <w:spacing w:line="276" w:lineRule="auto"/>
              <w:textAlignment w:val="baseline"/>
              <w:rPr>
                <w:rFonts w:ascii="宋体" w:hAnsi="宋体" w:cs="Times New Roman"/>
                <w:kern w:val="0"/>
              </w:rPr>
            </w:pPr>
            <w:r>
              <w:rPr>
                <w:rFonts w:ascii="宋体" w:hAnsi="宋体" w:cs="Times New Roman"/>
                <w:kern w:val="0"/>
              </w:rPr>
              <w:t>后置最大可支持≥ 2块2.5 SATA/SAS/NVME SSD硬盘；</w:t>
            </w:r>
          </w:p>
          <w:p>
            <w:pPr>
              <w:spacing w:line="276" w:lineRule="auto"/>
              <w:textAlignment w:val="baseline"/>
              <w:rPr>
                <w:rFonts w:ascii="宋体" w:hAnsi="宋体" w:cs="Times New Roman"/>
                <w:kern w:val="0"/>
              </w:rPr>
            </w:pPr>
            <w:r>
              <w:rPr>
                <w:rFonts w:ascii="宋体" w:hAnsi="宋体" w:cs="Times New Roman"/>
                <w:kern w:val="0"/>
              </w:rPr>
              <w:t>内置≥ 2块M.2硬盘；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2*25GE MOC；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特性参数</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rPr>
              <w:t>最大支持≥6个标准PCIE扩展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资质要求</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rPr>
            </w:pPr>
            <w:r>
              <w:rPr>
                <w:rFonts w:ascii="宋体" w:hAnsi="宋体" w:cs="Times New Roman"/>
                <w:kern w:val="0"/>
              </w:rPr>
              <w:t>设备为非OEM或贴牌产品；</w:t>
            </w:r>
          </w:p>
        </w:tc>
      </w:tr>
    </w:tbl>
    <w:p>
      <w:pPr>
        <w:spacing w:line="276" w:lineRule="auto"/>
        <w:rPr>
          <w:rFonts w:ascii="宋体" w:hAnsi="宋体"/>
        </w:rPr>
      </w:pPr>
    </w:p>
    <w:tbl>
      <w:tblPr>
        <w:tblStyle w:val="11"/>
        <w:tblW w:w="4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用途：虚拟化ARM计算资源服务器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889"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2.6GHz；≥ 2路*48核；基于ARM架构；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内存配置数量</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w:t>
            </w:r>
            <w:r>
              <w:rPr>
                <w:rFonts w:ascii="宋体" w:hAnsi="宋体" w:cs="Times New Roman"/>
                <w:color w:val="FF0000"/>
                <w:kern w:val="0"/>
              </w:rPr>
              <w:t xml:space="preserve"> </w:t>
            </w:r>
            <w:r>
              <w:rPr>
                <w:rFonts w:ascii="宋体" w:hAnsi="宋体" w:cs="Times New Roman"/>
                <w:kern w:val="0"/>
              </w:rPr>
              <w:t>384GB；内存槽位最大支持≥24；频率 ≥2666MHz；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支持SAS/SATA/SSD硬盘，数量≥8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szCs w:val="22"/>
              </w:rPr>
              <w:t>2*10GE；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支持国产化操作系统等；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特性参数</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支持最高5-40°C标准工作温度；</w:t>
            </w:r>
          </w:p>
        </w:tc>
      </w:tr>
    </w:tbl>
    <w:p>
      <w:pPr>
        <w:spacing w:line="276" w:lineRule="auto"/>
        <w:rPr>
          <w:rFonts w:ascii="宋体" w:hAnsi="宋体"/>
        </w:rPr>
      </w:pPr>
    </w:p>
    <w:tbl>
      <w:tblPr>
        <w:tblStyle w:val="11"/>
        <w:tblW w:w="4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kern w:val="0"/>
              </w:rPr>
            </w:pPr>
            <w:r>
              <w:rPr>
                <w:rFonts w:ascii="宋体" w:hAnsi="宋体" w:cs="Times New Roman"/>
                <w:b/>
                <w:kern w:val="0"/>
              </w:rPr>
              <w:t>用途：GPU服务器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889"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 2.4GHz；≥ 2路24核；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图形处理单元</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要求支持GPU直通模式，能够按单张GPU卡提供给租户使用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内存槽位最大支持24个，最高支持≥ 3TB，频率≥ 2666MHz；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最大硬盘数量支持≥24块3.5"热插拔硬盘；NVMe SSD数量≥8；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2*10GE；≥ 1个OCP3.0网卡插槽；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特性参数</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支持最高5-40°C标准工作温度；</w:t>
            </w:r>
          </w:p>
          <w:p>
            <w:pPr>
              <w:spacing w:line="276" w:lineRule="auto"/>
              <w:textAlignment w:val="baseline"/>
              <w:rPr>
                <w:rFonts w:ascii="宋体" w:hAnsi="宋体" w:cs="Times New Roman"/>
                <w:kern w:val="0"/>
              </w:rPr>
            </w:pPr>
            <w:r>
              <w:rPr>
                <w:rFonts w:ascii="宋体" w:hAnsi="宋体" w:cs="Times New Roman"/>
                <w:kern w:val="0"/>
              </w:rPr>
              <w:t>内存支持ECC，支持内存镜像、内存热备；</w:t>
            </w:r>
          </w:p>
          <w:p>
            <w:pPr>
              <w:spacing w:line="276" w:lineRule="auto"/>
              <w:textAlignment w:val="baseline"/>
              <w:rPr>
                <w:rFonts w:ascii="宋体" w:hAnsi="宋体" w:cs="Times New Roman"/>
                <w:kern w:val="0"/>
              </w:rPr>
            </w:pPr>
            <w:r>
              <w:rPr>
                <w:rFonts w:ascii="宋体" w:hAnsi="宋体" w:cs="Times New Roman"/>
                <w:kern w:val="0"/>
              </w:rPr>
              <w:t>嵌入式管理模块支持防火墙功能，可基于MAC地址，IP，主机名定义访问规则；</w:t>
            </w:r>
          </w:p>
          <w:p>
            <w:pPr>
              <w:spacing w:line="276" w:lineRule="auto"/>
              <w:textAlignment w:val="baseline"/>
              <w:rPr>
                <w:rFonts w:ascii="宋体" w:hAnsi="宋体" w:cs="Times New Roman"/>
                <w:kern w:val="0"/>
              </w:rPr>
            </w:pPr>
            <w:r>
              <w:rPr>
                <w:rFonts w:ascii="宋体" w:hAnsi="宋体" w:cs="Times New Roman"/>
                <w:kern w:val="0"/>
              </w:rPr>
              <w:t>提供UEFI安全启动；机箱入侵报警；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资质要求</w:t>
            </w:r>
          </w:p>
        </w:tc>
        <w:tc>
          <w:tcPr>
            <w:tcW w:w="388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设备为非OEM或贴牌产品；</w:t>
            </w:r>
          </w:p>
        </w:tc>
      </w:tr>
    </w:tbl>
    <w:p>
      <w:pPr>
        <w:spacing w:line="276" w:lineRule="auto"/>
        <w:rPr>
          <w:rFonts w:ascii="宋体" w:hAnsi="宋体"/>
        </w:rPr>
      </w:pPr>
    </w:p>
    <w:tbl>
      <w:tblPr>
        <w:tblStyle w:val="11"/>
        <w:tblW w:w="4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kern w:val="0"/>
              </w:rPr>
            </w:pPr>
            <w:bookmarkStart w:id="3" w:name="_Hlk37281425"/>
            <w:r>
              <w:rPr>
                <w:rFonts w:ascii="宋体" w:hAnsi="宋体" w:cs="Times New Roman"/>
                <w:b/>
                <w:kern w:val="0"/>
              </w:rPr>
              <w:t>用途：管理区服务器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890"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2.1GHz；≥ 2路16核；最高支持≥ 2路24核；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内存槽位最大支持≥ 24个，最高支持≥ 768GB，频率≥ 2666MHz；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vMerge w:val="restart"/>
            <w:tcBorders>
              <w:top w:val="single" w:color="auto" w:sz="4" w:space="0"/>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支持SAS/SATA/SSD硬盘，数量≥8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vMerge w:val="continue"/>
            <w:tcBorders>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支持双M.2 SSD配置Raid1，作为虚拟化或者操作系统部署盘位；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≥2*10GE；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特性参数</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支持最高5-40°C标准工作温度；</w:t>
            </w:r>
          </w:p>
          <w:p>
            <w:pPr>
              <w:spacing w:line="276" w:lineRule="auto"/>
              <w:textAlignment w:val="baseline"/>
              <w:rPr>
                <w:rFonts w:ascii="宋体" w:hAnsi="宋体" w:cs="Times New Roman"/>
                <w:kern w:val="0"/>
              </w:rPr>
            </w:pPr>
            <w:r>
              <w:rPr>
                <w:rFonts w:ascii="宋体" w:hAnsi="宋体" w:cs="Times New Roman"/>
                <w:kern w:val="0"/>
              </w:rPr>
              <w:t>内存支持ECC，支持内存镜像、内存热备；</w:t>
            </w:r>
          </w:p>
          <w:p>
            <w:pPr>
              <w:spacing w:line="276" w:lineRule="auto"/>
              <w:textAlignment w:val="baseline"/>
              <w:rPr>
                <w:rFonts w:ascii="宋体" w:hAnsi="宋体" w:cs="Times New Roman"/>
                <w:kern w:val="0"/>
              </w:rPr>
            </w:pPr>
            <w:r>
              <w:rPr>
                <w:rFonts w:ascii="宋体" w:hAnsi="宋体" w:cs="Times New Roman"/>
                <w:kern w:val="0"/>
              </w:rPr>
              <w:t>支持带外故障检测功能，不依赖于OS，对CPU故障、I2C和 IPMB总线故障、内存故障、PCIe设备故障、硬盘故障、系统宕机故障等进行分析和定位，支持定位到具体部件丝印；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资质要求</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设备为非OEM或贴牌产品；</w:t>
            </w:r>
          </w:p>
        </w:tc>
      </w:tr>
    </w:tbl>
    <w:p>
      <w:pPr>
        <w:spacing w:line="276" w:lineRule="auto"/>
        <w:rPr>
          <w:rFonts w:ascii="宋体" w:hAnsi="宋体"/>
        </w:rPr>
      </w:pPr>
    </w:p>
    <w:tbl>
      <w:tblPr>
        <w:tblStyle w:val="11"/>
        <w:tblW w:w="4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5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kern w:val="0"/>
              </w:rPr>
            </w:pPr>
            <w:r>
              <w:rPr>
                <w:rFonts w:ascii="宋体" w:hAnsi="宋体" w:cs="Times New Roman"/>
                <w:b/>
                <w:kern w:val="0"/>
              </w:rPr>
              <w:t>用途：网络安全控制服务器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859"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85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 2.3GHz；≥ 2路16核；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w:t>
            </w:r>
          </w:p>
        </w:tc>
        <w:tc>
          <w:tcPr>
            <w:tcW w:w="385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内存槽位最大支持24个，最高支持≥3TB，频率 ≥2666MHz；</w:t>
            </w:r>
          </w:p>
          <w:p>
            <w:pPr>
              <w:spacing w:line="276" w:lineRule="auto"/>
              <w:textAlignment w:val="baseline"/>
              <w:rPr>
                <w:rFonts w:ascii="宋体" w:hAnsi="宋体" w:cs="Times New Roman"/>
                <w:kern w:val="0"/>
              </w:rPr>
            </w:pPr>
            <w:r>
              <w:rPr>
                <w:rFonts w:ascii="宋体" w:hAnsi="宋体" w:cs="Times New Roman"/>
                <w:kern w:val="0"/>
              </w:rPr>
              <w:t>支持≥ 12根DCPMM；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pct"/>
            <w:vMerge w:val="restart"/>
            <w:tcBorders>
              <w:top w:val="single" w:color="auto" w:sz="4" w:space="0"/>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85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支持SAS/SATA/SSD硬盘；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pct"/>
            <w:vMerge w:val="continue"/>
            <w:tcBorders>
              <w:left w:val="single" w:color="auto" w:sz="4" w:space="0"/>
              <w:right w:val="single" w:color="auto" w:sz="4" w:space="0"/>
            </w:tcBorders>
            <w:vAlign w:val="center"/>
          </w:tcPr>
          <w:p>
            <w:pPr>
              <w:spacing w:line="276" w:lineRule="auto"/>
              <w:textAlignment w:val="baseline"/>
              <w:rPr>
                <w:rFonts w:ascii="宋体" w:hAnsi="宋体" w:cs="Times New Roman"/>
                <w:kern w:val="0"/>
              </w:rPr>
            </w:pPr>
          </w:p>
        </w:tc>
        <w:tc>
          <w:tcPr>
            <w:tcW w:w="385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支持双MicroSD或双M.2 SSD配置RAID1，作为虚拟化或者操作系统部署盘位；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85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≥2*10GE；≥1个网卡专用插槽（不占用PCIE扩展槽）；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85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85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特性参数</w:t>
            </w:r>
          </w:p>
        </w:tc>
        <w:tc>
          <w:tcPr>
            <w:tcW w:w="385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支持最高5-40°C标准工作温度；</w:t>
            </w:r>
          </w:p>
          <w:p>
            <w:pPr>
              <w:spacing w:line="276" w:lineRule="auto"/>
              <w:textAlignment w:val="baseline"/>
              <w:rPr>
                <w:rFonts w:ascii="宋体" w:hAnsi="宋体" w:cs="Times New Roman"/>
                <w:kern w:val="0"/>
              </w:rPr>
            </w:pPr>
            <w:r>
              <w:rPr>
                <w:rFonts w:ascii="宋体" w:hAnsi="宋体" w:cs="Times New Roman"/>
                <w:kern w:val="0"/>
              </w:rPr>
              <w:t>内存支持ECC，支持内存镜像、内存热备；</w:t>
            </w:r>
          </w:p>
          <w:p>
            <w:pPr>
              <w:spacing w:line="276" w:lineRule="auto"/>
              <w:textAlignment w:val="baseline"/>
              <w:rPr>
                <w:rFonts w:ascii="宋体" w:hAnsi="宋体" w:cs="Times New Roman"/>
                <w:kern w:val="0"/>
              </w:rPr>
            </w:pPr>
            <w:r>
              <w:rPr>
                <w:rFonts w:ascii="宋体" w:hAnsi="宋体" w:cs="Times New Roman"/>
                <w:kern w:val="0"/>
              </w:rPr>
              <w:t>嵌入式管理模块支持防火墙功能，可基于MAC地址，IP，主机名定义访问规则；</w:t>
            </w:r>
          </w:p>
          <w:p>
            <w:pPr>
              <w:spacing w:line="276" w:lineRule="auto"/>
              <w:textAlignment w:val="baseline"/>
              <w:rPr>
                <w:rFonts w:ascii="宋体" w:hAnsi="宋体" w:cs="Times New Roman"/>
                <w:kern w:val="0"/>
              </w:rPr>
            </w:pPr>
            <w:r>
              <w:rPr>
                <w:rFonts w:ascii="宋体" w:hAnsi="宋体" w:cs="Times New Roman"/>
                <w:kern w:val="0"/>
              </w:rPr>
              <w:t>支持防火墙、IPS、防病毒和QoS的安全功能，支持国密VPN算法;</w:t>
            </w:r>
          </w:p>
          <w:p>
            <w:pPr>
              <w:spacing w:line="276" w:lineRule="auto"/>
              <w:textAlignment w:val="baseline"/>
              <w:rPr>
                <w:rFonts w:ascii="宋体" w:hAnsi="宋体" w:cs="Times New Roman"/>
                <w:kern w:val="0"/>
              </w:rPr>
            </w:pPr>
            <w:r>
              <w:rPr>
                <w:rFonts w:ascii="宋体" w:hAnsi="宋体" w:cs="Times New Roman"/>
                <w:kern w:val="0"/>
              </w:rPr>
              <w:t>提供UEFI安全启动；机箱入侵报警；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资质要求</w:t>
            </w:r>
          </w:p>
        </w:tc>
        <w:tc>
          <w:tcPr>
            <w:tcW w:w="3859"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设备为非OEM或贴牌产品；</w:t>
            </w:r>
          </w:p>
        </w:tc>
      </w:tr>
    </w:tbl>
    <w:p>
      <w:pPr>
        <w:spacing w:line="276" w:lineRule="auto"/>
      </w:pPr>
    </w:p>
    <w:tbl>
      <w:tblPr>
        <w:tblStyle w:val="11"/>
        <w:tblW w:w="4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kern w:val="0"/>
              </w:rPr>
            </w:pPr>
            <w:r>
              <w:rPr>
                <w:rFonts w:ascii="宋体" w:hAnsi="宋体" w:cs="Times New Roman"/>
                <w:b/>
                <w:kern w:val="0"/>
              </w:rPr>
              <w:t>用途：实时计算型大数据服务器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890"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2.3GHz；≥ 2路16核；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内存槽位最大支持≥24个，最高支持≥768GB，频率 ≥2666MHz；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vMerge w:val="restart"/>
            <w:tcBorders>
              <w:top w:val="single" w:color="auto" w:sz="4" w:space="0"/>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支持SAS/SATA/SSD硬盘，数量≥8；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vMerge w:val="continue"/>
            <w:tcBorders>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支持双M.2 SSD配置Raid1，作为虚拟化或者操作系统部署盘位；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板载≥2*GE+2*10GE；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特性参数</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支持最高5-40°C标准工作温度；</w:t>
            </w:r>
          </w:p>
          <w:p>
            <w:pPr>
              <w:spacing w:line="276" w:lineRule="auto"/>
              <w:textAlignment w:val="baseline"/>
              <w:rPr>
                <w:rFonts w:ascii="宋体" w:hAnsi="宋体" w:cs="Times New Roman"/>
                <w:kern w:val="0"/>
              </w:rPr>
            </w:pPr>
            <w:r>
              <w:rPr>
                <w:rFonts w:ascii="宋体" w:hAnsi="宋体" w:cs="Times New Roman"/>
                <w:kern w:val="0"/>
              </w:rPr>
              <w:t>内存支持ECC，支持内存镜像、内存热备；</w:t>
            </w:r>
          </w:p>
          <w:p>
            <w:pPr>
              <w:spacing w:line="276" w:lineRule="auto"/>
              <w:textAlignment w:val="baseline"/>
              <w:rPr>
                <w:rFonts w:ascii="宋体" w:hAnsi="宋体" w:cs="Times New Roman"/>
                <w:kern w:val="0"/>
              </w:rPr>
            </w:pPr>
            <w:r>
              <w:rPr>
                <w:rFonts w:ascii="宋体" w:hAnsi="宋体" w:cs="Times New Roman"/>
                <w:kern w:val="0"/>
              </w:rPr>
              <w:t>支持带外故障检测功能，不依赖于OS，对CPU故障、I2C和 IPMB总线故障、内存故障、PCIe设备故障、硬盘故障、系统宕机故障等进行分析和定位，支持定位到具体部件丝印；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资质要求</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设备为非OEM或贴牌产品；</w:t>
            </w:r>
          </w:p>
        </w:tc>
      </w:tr>
    </w:tbl>
    <w:p>
      <w:pPr>
        <w:spacing w:line="276" w:lineRule="auto"/>
      </w:pPr>
    </w:p>
    <w:tbl>
      <w:tblPr>
        <w:tblStyle w:val="11"/>
        <w:tblW w:w="4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kern w:val="0"/>
              </w:rPr>
            </w:pPr>
            <w:r>
              <w:rPr>
                <w:rFonts w:ascii="宋体" w:hAnsi="宋体" w:cs="Times New Roman"/>
                <w:b/>
                <w:kern w:val="0"/>
              </w:rPr>
              <w:t>用途：离线计算型大数据服务器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890"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2.3GHz；≥ 2路16核；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内存槽位最大支持≥24个，最高支持≥768GB，频率 ≥2666MHz；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vMerge w:val="restart"/>
            <w:tcBorders>
              <w:top w:val="single" w:color="auto" w:sz="4" w:space="0"/>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支持SAS/SATA/SSD硬盘，数量≥8；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vMerge w:val="continue"/>
            <w:tcBorders>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支持双M.2 SSD配置Raid1，作为虚拟化或者操作系统部署盘位；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板载≥2*GE+2*10GE；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特性参数</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支持最高5-40°C标准工作温度；</w:t>
            </w:r>
          </w:p>
          <w:p>
            <w:pPr>
              <w:spacing w:line="276" w:lineRule="auto"/>
              <w:textAlignment w:val="baseline"/>
              <w:rPr>
                <w:rFonts w:ascii="宋体" w:hAnsi="宋体" w:cs="Times New Roman"/>
                <w:kern w:val="0"/>
              </w:rPr>
            </w:pPr>
            <w:r>
              <w:rPr>
                <w:rFonts w:ascii="宋体" w:hAnsi="宋体" w:cs="Times New Roman"/>
                <w:kern w:val="0"/>
              </w:rPr>
              <w:t>内存支持ECC，支持内存镜像、内存热备；</w:t>
            </w:r>
          </w:p>
          <w:p>
            <w:pPr>
              <w:spacing w:line="276" w:lineRule="auto"/>
              <w:textAlignment w:val="baseline"/>
              <w:rPr>
                <w:rFonts w:ascii="宋体" w:hAnsi="宋体" w:cs="Times New Roman"/>
                <w:kern w:val="0"/>
              </w:rPr>
            </w:pPr>
            <w:r>
              <w:rPr>
                <w:rFonts w:ascii="宋体" w:hAnsi="宋体" w:cs="Times New Roman"/>
                <w:kern w:val="0"/>
              </w:rPr>
              <w:t>支持带外故障检测功能，不依赖于OS，对CPU故障、I2C和 IPMB总线故障、内存故障、PCIe设备故障、硬盘故障、系统宕机故障等进行分析和定位，支持定位到具体部件丝印；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1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资质要求</w:t>
            </w:r>
          </w:p>
        </w:tc>
        <w:tc>
          <w:tcPr>
            <w:tcW w:w="3890"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设备为非OEM或贴牌产品；</w:t>
            </w:r>
          </w:p>
        </w:tc>
      </w:tr>
    </w:tbl>
    <w:p>
      <w:pPr>
        <w:spacing w:line="276" w:lineRule="auto"/>
      </w:pPr>
    </w:p>
    <w:p>
      <w:pPr>
        <w:pStyle w:val="4"/>
        <w:numPr>
          <w:ilvl w:val="2"/>
          <w:numId w:val="5"/>
        </w:numPr>
        <w:spacing w:before="160" w:line="300" w:lineRule="exact"/>
        <w:ind w:left="420"/>
        <w:rPr>
          <w:rFonts w:ascii="宋体" w:hAnsi="宋体"/>
        </w:rPr>
      </w:pPr>
      <w:bookmarkStart w:id="4" w:name="_Toc34080400"/>
      <w:bookmarkStart w:id="5" w:name="_Toc34080584"/>
      <w:r>
        <w:rPr>
          <w:rFonts w:ascii="宋体" w:hAnsi="宋体"/>
        </w:rPr>
        <w:t>存储设备</w:t>
      </w:r>
      <w:bookmarkEnd w:id="4"/>
      <w:bookmarkEnd w:id="5"/>
    </w:p>
    <w:tbl>
      <w:tblPr>
        <w:tblStyle w:val="11"/>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6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Times New Roman"/>
                <w:b/>
                <w:kern w:val="0"/>
              </w:rPr>
            </w:pPr>
            <w:r>
              <w:rPr>
                <w:rFonts w:ascii="宋体" w:hAnsi="宋体" w:cs="Times New Roman"/>
                <w:b/>
                <w:kern w:val="0"/>
              </w:rPr>
              <w:t>用途：对象存储服务器-1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877"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 2.3GHz；≥ 2路16核；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内存槽位最大支持24个，最高支持≥ 3TB，频率≥ 2666MHz；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blHeader/>
          <w:jc w:val="center"/>
        </w:trPr>
        <w:tc>
          <w:tcPr>
            <w:tcW w:w="1123" w:type="pct"/>
            <w:vMerge w:val="restart"/>
            <w:tcBorders>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存储</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≥36块8TB 6G SATA 7.2K硬盘；≥1块480GB SATA SSD；</w:t>
            </w:r>
          </w:p>
          <w:p>
            <w:pPr>
              <w:spacing w:line="276" w:lineRule="auto"/>
              <w:textAlignment w:val="baseline"/>
              <w:rPr>
                <w:rFonts w:ascii="宋体" w:hAnsi="宋体" w:cs="Times New Roman"/>
                <w:kern w:val="0"/>
              </w:rPr>
            </w:pPr>
            <w:r>
              <w:rPr>
                <w:rFonts w:ascii="宋体" w:hAnsi="宋体" w:cs="Times New Roman"/>
                <w:kern w:val="0"/>
              </w:rPr>
              <w:t>≥2块2TB U.2 NVMe SSD硬盘；</w:t>
            </w:r>
          </w:p>
          <w:p>
            <w:pPr>
              <w:spacing w:line="276" w:lineRule="auto"/>
              <w:textAlignment w:val="baseline"/>
              <w:rPr>
                <w:rFonts w:ascii="宋体" w:hAnsi="宋体" w:cs="Times New Roman"/>
                <w:kern w:val="0"/>
              </w:rPr>
            </w:pPr>
            <w:r>
              <w:rPr>
                <w:rFonts w:ascii="宋体" w:hAnsi="宋体" w:cs="Times New Roman"/>
                <w:kern w:val="0"/>
              </w:rPr>
              <w:t>最大支持 ≥36个3.5寸盘，≥4个2.5寸盘；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blHeader/>
          <w:jc w:val="center"/>
        </w:trPr>
        <w:tc>
          <w:tcPr>
            <w:tcW w:w="1123" w:type="pct"/>
            <w:vMerge w:val="continue"/>
            <w:tcBorders>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支持双MicroSD或双M.2 SSD配置RAID1，作为虚拟化或者操作系统部署盘位。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≥2*10GE；≥1个网卡专用插槽（不占用PCIE扩展槽）；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特性参数</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支持最高5-40°C标准工作温度；</w:t>
            </w:r>
          </w:p>
          <w:p>
            <w:pPr>
              <w:spacing w:line="276" w:lineRule="auto"/>
              <w:textAlignment w:val="baseline"/>
              <w:rPr>
                <w:rFonts w:ascii="宋体" w:hAnsi="宋体" w:cs="Times New Roman"/>
                <w:kern w:val="0"/>
              </w:rPr>
            </w:pPr>
            <w:r>
              <w:rPr>
                <w:rFonts w:ascii="宋体" w:hAnsi="宋体" w:cs="Times New Roman"/>
                <w:kern w:val="0"/>
              </w:rPr>
              <w:t>内存支持ECC，支持内存镜像、内存热备；</w:t>
            </w:r>
          </w:p>
          <w:p>
            <w:pPr>
              <w:spacing w:line="276" w:lineRule="auto"/>
              <w:textAlignment w:val="baseline"/>
              <w:rPr>
                <w:rFonts w:ascii="宋体" w:hAnsi="宋体" w:cs="Times New Roman"/>
                <w:kern w:val="0"/>
              </w:rPr>
            </w:pPr>
            <w:r>
              <w:rPr>
                <w:rFonts w:ascii="宋体" w:hAnsi="宋体" w:cs="Times New Roman"/>
                <w:kern w:val="0"/>
              </w:rPr>
              <w:t>嵌入式管理模块支持防火墙功能，可基于MAC地址，IP，主机名定义访问规则；</w:t>
            </w:r>
          </w:p>
          <w:p>
            <w:pPr>
              <w:spacing w:line="276" w:lineRule="auto"/>
              <w:textAlignment w:val="baseline"/>
              <w:rPr>
                <w:rFonts w:ascii="宋体" w:hAnsi="宋体" w:cs="Times New Roman"/>
                <w:kern w:val="0"/>
              </w:rPr>
            </w:pPr>
            <w:r>
              <w:rPr>
                <w:rFonts w:ascii="宋体" w:hAnsi="宋体" w:cs="Times New Roman"/>
                <w:kern w:val="0"/>
              </w:rPr>
              <w:t>提供UEFI安全启动；机箱入侵报警；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资质要求</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设备为非OEM或贴牌产品；</w:t>
            </w:r>
          </w:p>
        </w:tc>
      </w:tr>
    </w:tbl>
    <w:p>
      <w:pPr>
        <w:spacing w:line="276" w:lineRule="auto"/>
        <w:rPr>
          <w:rFonts w:ascii="宋体" w:hAnsi="宋体"/>
        </w:rPr>
      </w:pPr>
    </w:p>
    <w:tbl>
      <w:tblPr>
        <w:tblStyle w:val="11"/>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6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Times New Roman"/>
                <w:b/>
                <w:kern w:val="0"/>
              </w:rPr>
            </w:pPr>
            <w:r>
              <w:rPr>
                <w:rFonts w:ascii="宋体" w:hAnsi="宋体" w:cs="Times New Roman"/>
                <w:b/>
                <w:kern w:val="0"/>
              </w:rPr>
              <w:t>用途：对象存储服务器-2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877"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 2.5GHz；≥ 2路16核；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内存槽位最大支持24个，最高支持≥ 3TB，频率≥ 2666MHz；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blHeader/>
          <w:jc w:val="center"/>
        </w:trPr>
        <w:tc>
          <w:tcPr>
            <w:tcW w:w="1123" w:type="pct"/>
            <w:vMerge w:val="restart"/>
            <w:tcBorders>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存储</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≥12块8TB 6G SATA 7.2K硬盘；≥1块480GB m.2 SSD；</w:t>
            </w:r>
          </w:p>
          <w:p>
            <w:pPr>
              <w:spacing w:line="276" w:lineRule="auto"/>
              <w:textAlignment w:val="baseline"/>
              <w:rPr>
                <w:rFonts w:ascii="宋体" w:hAnsi="宋体" w:cs="Times New Roman"/>
                <w:kern w:val="0"/>
              </w:rPr>
            </w:pPr>
            <w:r>
              <w:rPr>
                <w:rFonts w:ascii="宋体" w:hAnsi="宋体" w:cs="Times New Roman"/>
                <w:kern w:val="0"/>
              </w:rPr>
              <w:t>≥2块2TB  NVMe SSD硬盘；</w:t>
            </w:r>
          </w:p>
          <w:p>
            <w:pPr>
              <w:spacing w:line="276" w:lineRule="auto"/>
              <w:textAlignment w:val="baseline"/>
              <w:rPr>
                <w:rFonts w:ascii="宋体" w:hAnsi="宋体" w:cs="Times New Roman"/>
                <w:kern w:val="0"/>
              </w:rPr>
            </w:pPr>
            <w:r>
              <w:rPr>
                <w:rFonts w:ascii="宋体" w:hAnsi="宋体" w:cs="Times New Roman"/>
                <w:kern w:val="0"/>
              </w:rPr>
              <w:t>最大支持 ≥12个3.5寸盘，≥4个2.5寸盘；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blHeader/>
          <w:jc w:val="center"/>
        </w:trPr>
        <w:tc>
          <w:tcPr>
            <w:tcW w:w="1123" w:type="pct"/>
            <w:vMerge w:val="continue"/>
            <w:tcBorders>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支持双MicroSD或双M.2 SSD配置RAID1，作为虚拟化或者操作系统部署盘位。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≥2*10GE；≥1个网卡专用插槽（不占用PCIE扩展槽）；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特性参数</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支持最高5-40°C标准工作温度；</w:t>
            </w:r>
          </w:p>
          <w:p>
            <w:pPr>
              <w:spacing w:line="276" w:lineRule="auto"/>
              <w:textAlignment w:val="baseline"/>
              <w:rPr>
                <w:rFonts w:ascii="宋体" w:hAnsi="宋体" w:cs="Times New Roman"/>
                <w:kern w:val="0"/>
              </w:rPr>
            </w:pPr>
            <w:r>
              <w:rPr>
                <w:rFonts w:ascii="宋体" w:hAnsi="宋体" w:cs="Times New Roman"/>
                <w:kern w:val="0"/>
              </w:rPr>
              <w:t>内存支持ECC，支持内存镜像、内存热备；</w:t>
            </w:r>
          </w:p>
          <w:p>
            <w:pPr>
              <w:spacing w:line="276" w:lineRule="auto"/>
              <w:textAlignment w:val="baseline"/>
              <w:rPr>
                <w:rFonts w:ascii="宋体" w:hAnsi="宋体" w:cs="Times New Roman"/>
                <w:kern w:val="0"/>
              </w:rPr>
            </w:pPr>
            <w:r>
              <w:rPr>
                <w:rFonts w:ascii="宋体" w:hAnsi="宋体" w:cs="Times New Roman"/>
                <w:kern w:val="0"/>
              </w:rPr>
              <w:t>嵌入式管理模块支持防火墙功能，可基于MAC地址，IP，主机名定义访问规则；</w:t>
            </w:r>
          </w:p>
          <w:p>
            <w:pPr>
              <w:spacing w:line="276" w:lineRule="auto"/>
              <w:textAlignment w:val="baseline"/>
              <w:rPr>
                <w:rFonts w:ascii="宋体" w:hAnsi="宋体" w:cs="Times New Roman"/>
                <w:kern w:val="0"/>
              </w:rPr>
            </w:pPr>
            <w:r>
              <w:rPr>
                <w:rFonts w:ascii="宋体" w:hAnsi="宋体" w:cs="Times New Roman"/>
                <w:kern w:val="0"/>
              </w:rPr>
              <w:t>提供UEFI安全启动；机箱入侵报警；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资质要求</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设备为非OEM或贴牌产品；</w:t>
            </w:r>
          </w:p>
        </w:tc>
      </w:tr>
    </w:tbl>
    <w:p>
      <w:pPr>
        <w:spacing w:line="276" w:lineRule="auto"/>
        <w:rPr>
          <w:rFonts w:ascii="宋体" w:hAnsi="宋体"/>
        </w:rPr>
      </w:pPr>
    </w:p>
    <w:tbl>
      <w:tblPr>
        <w:tblStyle w:val="11"/>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6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s="Times New Roman"/>
                <w:b/>
                <w:kern w:val="0"/>
              </w:rPr>
            </w:pPr>
            <w:r>
              <w:rPr>
                <w:rFonts w:ascii="宋体" w:hAnsi="宋体" w:cs="Times New Roman"/>
                <w:b/>
                <w:kern w:val="0"/>
              </w:rPr>
              <w:t>用途：普通分布式块存储服务器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877"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 2.0GHz；≥ 2路12核；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内存槽位最大支持24个，最高支持≥3TB，频率 ≥2666MHz；</w:t>
            </w:r>
          </w:p>
          <w:p>
            <w:pPr>
              <w:spacing w:line="276" w:lineRule="auto"/>
              <w:textAlignment w:val="baseline"/>
              <w:rPr>
                <w:rFonts w:ascii="宋体" w:hAnsi="宋体" w:cs="Times New Roman"/>
                <w:kern w:val="0"/>
              </w:rPr>
            </w:pPr>
            <w:r>
              <w:rPr>
                <w:rFonts w:ascii="宋体" w:hAnsi="宋体" w:cs="Times New Roman"/>
                <w:kern w:val="0"/>
              </w:rPr>
              <w:t>支持≥ 12根DCPMM；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vMerge w:val="restart"/>
            <w:tcBorders>
              <w:top w:val="single" w:color="auto" w:sz="4" w:space="0"/>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≥36块8TB 6G SATA 7.2K硬盘；≥1块480GB SSD；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vMerge w:val="continue"/>
            <w:tcBorders>
              <w:left w:val="single" w:color="auto" w:sz="4" w:space="0"/>
              <w:right w:val="single" w:color="auto" w:sz="4" w:space="0"/>
            </w:tcBorders>
            <w:vAlign w:val="center"/>
          </w:tcPr>
          <w:p>
            <w:pPr>
              <w:spacing w:line="276" w:lineRule="auto"/>
              <w:textAlignment w:val="baseline"/>
              <w:rPr>
                <w:rFonts w:ascii="宋体" w:hAnsi="宋体" w:cs="Times New Roman"/>
                <w:kern w:val="0"/>
              </w:rPr>
            </w:pPr>
          </w:p>
        </w:tc>
        <w:tc>
          <w:tcPr>
            <w:tcW w:w="703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≥2块2TB U.2 NVMe SSD硬盘；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vMerge w:val="continue"/>
            <w:tcBorders>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p>
        </w:tc>
        <w:tc>
          <w:tcPr>
            <w:tcW w:w="703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最大支持 ≥36个3.5寸盘，≥4个2.5寸盘；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2*10GE；≥ 1个网卡专用插槽（不占用PCIE扩展槽）；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特性参数</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支持最高5-40°C标准工作温度；</w:t>
            </w:r>
          </w:p>
          <w:p>
            <w:pPr>
              <w:spacing w:line="276" w:lineRule="auto"/>
              <w:textAlignment w:val="baseline"/>
              <w:rPr>
                <w:rFonts w:ascii="宋体" w:hAnsi="宋体" w:cs="Times New Roman"/>
                <w:kern w:val="0"/>
              </w:rPr>
            </w:pPr>
            <w:r>
              <w:rPr>
                <w:rFonts w:ascii="宋体" w:hAnsi="宋体" w:cs="Times New Roman"/>
                <w:kern w:val="0"/>
              </w:rPr>
              <w:t>内存支持ECC，支持内存镜像、内存热备；</w:t>
            </w:r>
          </w:p>
          <w:p>
            <w:pPr>
              <w:spacing w:line="276" w:lineRule="auto"/>
              <w:textAlignment w:val="baseline"/>
              <w:rPr>
                <w:rFonts w:ascii="宋体" w:hAnsi="宋体" w:cs="Times New Roman"/>
                <w:kern w:val="0"/>
              </w:rPr>
            </w:pPr>
            <w:r>
              <w:rPr>
                <w:rFonts w:ascii="宋体" w:hAnsi="宋体" w:cs="Times New Roman"/>
                <w:kern w:val="0"/>
              </w:rPr>
              <w:t>嵌入式管理模块支持防火墙功能，可基于MAC地址，IP，主机名定义访问规则；</w:t>
            </w:r>
          </w:p>
          <w:p>
            <w:pPr>
              <w:spacing w:line="276" w:lineRule="auto"/>
              <w:textAlignment w:val="baseline"/>
              <w:rPr>
                <w:rFonts w:ascii="宋体" w:hAnsi="宋体" w:cs="Times New Roman"/>
                <w:kern w:val="0"/>
              </w:rPr>
            </w:pPr>
            <w:r>
              <w:rPr>
                <w:rFonts w:ascii="宋体" w:hAnsi="宋体" w:cs="Times New Roman"/>
                <w:kern w:val="0"/>
              </w:rPr>
              <w:t>支持防火墙、IPS、防病毒和QoS的安全功能，支持国密VPN算法；</w:t>
            </w:r>
          </w:p>
          <w:p>
            <w:pPr>
              <w:spacing w:line="276" w:lineRule="auto"/>
              <w:textAlignment w:val="baseline"/>
              <w:rPr>
                <w:rFonts w:ascii="宋体" w:hAnsi="宋体" w:cs="Times New Roman"/>
                <w:kern w:val="0"/>
              </w:rPr>
            </w:pPr>
            <w:r>
              <w:rPr>
                <w:rFonts w:ascii="宋体" w:hAnsi="宋体" w:cs="Times New Roman"/>
                <w:kern w:val="0"/>
              </w:rPr>
              <w:t>提供UEFI安全启动；机箱入侵报警；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资质要求</w:t>
            </w:r>
          </w:p>
        </w:tc>
        <w:tc>
          <w:tcPr>
            <w:tcW w:w="387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设备为非OEM或贴牌产品；</w:t>
            </w:r>
          </w:p>
        </w:tc>
      </w:tr>
    </w:tbl>
    <w:p>
      <w:pPr>
        <w:spacing w:line="276" w:lineRule="auto"/>
      </w:pPr>
      <w:bookmarkStart w:id="6" w:name="_Toc34080401"/>
      <w:bookmarkStart w:id="7" w:name="_Toc34080585"/>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6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842"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用途：高性能SSD存储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6305"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r>
              <w:rPr>
                <w:rFonts w:hint="eastAsia" w:ascii="宋体" w:hAnsi="宋体" w:cs="Times New Roman"/>
                <w:b/>
                <w:kern w:val="0"/>
              </w:rPr>
              <w:t>含存量设备</w:t>
            </w:r>
            <w:r>
              <w:rPr>
                <w:rFonts w:ascii="宋体" w:hAnsi="宋体" w:cs="Times New Roman"/>
                <w:b/>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架构</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要求全闪存存储，采用分布式架构或集中式架构；</w:t>
            </w:r>
          </w:p>
          <w:p>
            <w:pPr>
              <w:spacing w:line="276" w:lineRule="auto"/>
              <w:textAlignment w:val="baseline"/>
              <w:rPr>
                <w:rFonts w:ascii="宋体" w:hAnsi="宋体" w:cs="Times New Roman"/>
                <w:kern w:val="0"/>
              </w:rPr>
            </w:pPr>
            <w:r>
              <w:rPr>
                <w:rFonts w:ascii="宋体" w:hAnsi="宋体" w:cs="Times New Roman"/>
                <w:kern w:val="0"/>
              </w:rPr>
              <w:t>提供分布式架构时，单集群节点规模≥5节点；</w:t>
            </w:r>
          </w:p>
          <w:p>
            <w:pPr>
              <w:spacing w:line="276" w:lineRule="auto"/>
              <w:textAlignment w:val="baseline"/>
              <w:rPr>
                <w:rFonts w:ascii="宋体" w:hAnsi="宋体" w:cs="Times New Roman"/>
                <w:kern w:val="0"/>
              </w:rPr>
            </w:pPr>
            <w:r>
              <w:rPr>
                <w:rFonts w:ascii="宋体" w:hAnsi="宋体" w:cs="Times New Roman"/>
                <w:kern w:val="0"/>
              </w:rPr>
              <w:t>提供集中式架构时，控制器数量≥2个；控制器总缓存≥512G；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对外接口</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hint="eastAsia" w:ascii="宋体" w:hAnsi="宋体" w:cs="Times New Roman"/>
                <w:kern w:val="0"/>
              </w:rPr>
              <w:t>集中式存储至少提供8个10GB光纤接口，可扩展不少于40个主机接口</w:t>
            </w:r>
          </w:p>
          <w:p>
            <w:pPr>
              <w:spacing w:line="276" w:lineRule="auto"/>
              <w:textAlignment w:val="baseline"/>
            </w:pPr>
            <w:r>
              <w:rPr>
                <w:rFonts w:hint="eastAsia" w:ascii="宋体" w:hAnsi="宋体" w:cs="Times New Roman"/>
                <w:kern w:val="0"/>
              </w:rPr>
              <w:t>分布式存储至少提供4个10GB光纤接口；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数据保护</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存储具备冗余架构，能够通过raid、多副本或纠删码进行数据保护，单块硬盘或单个控制节点故障时，业务能够持续运行。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硬盘配置</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hint="eastAsia" w:ascii="宋体" w:hAnsi="宋体" w:cs="Times New Roman"/>
                <w:kern w:val="0"/>
              </w:rPr>
              <w:t>单套</w:t>
            </w:r>
            <w:r>
              <w:rPr>
                <w:rFonts w:ascii="宋体" w:hAnsi="宋体" w:cs="Times New Roman"/>
                <w:kern w:val="0"/>
              </w:rPr>
              <w:t>实际可用SSD容量≥100T；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在线扩容方式</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支持在线扩容；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支持32/64位Windows Server、32/64位Linux等操作系统；支持OpenStack存储接口；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vMerge w:val="restart"/>
            <w:tcBorders>
              <w:top w:val="single" w:color="auto" w:sz="4" w:space="0"/>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其他要求</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支持磁盘空间“自动精简配置”，仅在使用时自动分配实际容量，并可实现自动回收存储空间；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vMerge w:val="continue"/>
            <w:tcBorders>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每个可用区至少配置一套高性能SSD存储</w:t>
            </w:r>
          </w:p>
        </w:tc>
      </w:tr>
    </w:tbl>
    <w:p>
      <w:pPr>
        <w:spacing w:line="276" w:lineRule="auto"/>
      </w:pPr>
    </w:p>
    <w:p>
      <w:pPr>
        <w:pStyle w:val="4"/>
        <w:numPr>
          <w:ilvl w:val="2"/>
          <w:numId w:val="5"/>
        </w:numPr>
        <w:spacing w:before="160" w:line="300" w:lineRule="exact"/>
        <w:ind w:left="420"/>
        <w:rPr>
          <w:rFonts w:ascii="宋体" w:hAnsi="宋体"/>
        </w:rPr>
      </w:pPr>
      <w:r>
        <w:rPr>
          <w:rFonts w:ascii="宋体" w:hAnsi="宋体"/>
        </w:rPr>
        <w:t>网络设备</w:t>
      </w:r>
      <w:bookmarkEnd w:id="6"/>
      <w:bookmarkEnd w:id="7"/>
    </w:p>
    <w:p>
      <w:pPr>
        <w:spacing w:line="276" w:lineRule="auto"/>
        <w:ind w:firstLine="420"/>
      </w:pPr>
      <w:r>
        <w:t>政务云平台本身所使用的网络按照功能划分为政务外网和互联网，为了保护不同网络之间数据的传输安全，需要按照国家网络安全等级保护标准将这两个网络进行逻辑隔离。中标人使用软件定义网络的，单个区域的网络集群节点数量不低于8台，并根据实际性能要求进行扩容，性能使用率水位不高于70%。</w:t>
      </w:r>
    </w:p>
    <w:p>
      <w:pPr>
        <w:ind w:firstLine="420"/>
      </w:pPr>
    </w:p>
    <w:tbl>
      <w:tblPr>
        <w:tblStyle w:val="1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2" w:type="dxa"/>
            <w:gridSpan w:val="2"/>
            <w:shd w:val="clear" w:color="000000" w:fill="FFFFFF"/>
            <w:vAlign w:val="center"/>
          </w:tcPr>
          <w:p>
            <w:pPr>
              <w:rPr>
                <w:rFonts w:ascii="宋体" w:hAnsi="宋体" w:cs="宋体"/>
                <w:b/>
                <w:bCs/>
                <w:color w:val="000000"/>
                <w:kern w:val="0"/>
              </w:rPr>
            </w:pPr>
            <w:r>
              <w:rPr>
                <w:rFonts w:ascii="宋体" w:hAnsi="宋体" w:cs="Times New Roman"/>
                <w:b/>
                <w:bCs/>
                <w:kern w:val="0"/>
              </w:rPr>
              <w:t>用途：业务核心交换机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984" w:type="dxa"/>
            <w:shd w:val="clear" w:color="auto" w:fill="BFBFBF"/>
            <w:vAlign w:val="center"/>
          </w:tcPr>
          <w:p>
            <w:pPr>
              <w:rPr>
                <w:rFonts w:ascii="宋体" w:hAnsi="宋体" w:cs="宋体"/>
                <w:b/>
                <w:bCs/>
                <w:color w:val="000000"/>
                <w:kern w:val="0"/>
              </w:rPr>
            </w:pPr>
            <w:r>
              <w:rPr>
                <w:rFonts w:ascii="宋体" w:hAnsi="宋体" w:cs="宋体"/>
                <w:b/>
                <w:bCs/>
                <w:color w:val="000000"/>
                <w:kern w:val="0"/>
              </w:rPr>
              <w:t>指标项</w:t>
            </w:r>
          </w:p>
        </w:tc>
        <w:tc>
          <w:tcPr>
            <w:tcW w:w="7088" w:type="dxa"/>
            <w:shd w:val="clear" w:color="auto" w:fill="BFBFBF"/>
            <w:vAlign w:val="center"/>
          </w:tcPr>
          <w:p>
            <w:pPr>
              <w:rPr>
                <w:rFonts w:ascii="宋体" w:hAnsi="宋体" w:cs="宋体"/>
                <w:b/>
                <w:bCs/>
                <w:color w:val="000000"/>
                <w:kern w:val="0"/>
              </w:rPr>
            </w:pPr>
            <w:r>
              <w:rPr>
                <w:rFonts w:ascii="宋体" w:hAnsi="宋体" w:cs="宋体"/>
                <w:b/>
                <w:bCs/>
                <w:color w:val="000000"/>
                <w:kern w:val="0"/>
              </w:rPr>
              <w:t>参数要求</w:t>
            </w:r>
            <w:r>
              <w:rPr>
                <w:rFonts w:ascii="宋体" w:hAnsi="宋体" w:cs="Times New Roman"/>
                <w:b/>
                <w:bCs/>
                <w:kern w:val="0"/>
              </w:rPr>
              <w:t>（除特别说明外，以下为单台设备的配置要求）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984" w:type="dxa"/>
            <w:vAlign w:val="center"/>
          </w:tcPr>
          <w:p>
            <w:pPr>
              <w:rPr>
                <w:rFonts w:ascii="宋体" w:hAnsi="宋体" w:cs="宋体"/>
                <w:color w:val="000000"/>
                <w:kern w:val="0"/>
              </w:rPr>
            </w:pPr>
            <w:r>
              <w:rPr>
                <w:rFonts w:ascii="宋体" w:hAnsi="宋体" w:cs="宋体"/>
                <w:color w:val="000000"/>
                <w:kern w:val="0"/>
              </w:rPr>
              <w:t>转发性能</w:t>
            </w:r>
          </w:p>
        </w:tc>
        <w:tc>
          <w:tcPr>
            <w:tcW w:w="7088" w:type="dxa"/>
            <w:vAlign w:val="center"/>
          </w:tcPr>
          <w:p>
            <w:pPr>
              <w:rPr>
                <w:rFonts w:ascii="宋体" w:hAnsi="宋体" w:cs="宋体"/>
                <w:color w:val="000000"/>
                <w:kern w:val="0"/>
              </w:rPr>
            </w:pPr>
            <w:r>
              <w:rPr>
                <w:rFonts w:ascii="宋体" w:hAnsi="宋体" w:cs="宋体"/>
                <w:color w:val="000000"/>
                <w:kern w:val="0"/>
              </w:rPr>
              <w:t>交换容量≥360Tbps；包转发率≥230000 Mpps；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984" w:type="dxa"/>
            <w:vMerge w:val="restart"/>
            <w:vAlign w:val="center"/>
          </w:tcPr>
          <w:p>
            <w:pPr>
              <w:rPr>
                <w:rFonts w:ascii="宋体" w:hAnsi="宋体" w:cs="宋体"/>
                <w:color w:val="000000"/>
                <w:kern w:val="0"/>
              </w:rPr>
            </w:pPr>
            <w:r>
              <w:rPr>
                <w:rFonts w:ascii="宋体" w:hAnsi="宋体" w:cs="宋体"/>
                <w:color w:val="000000"/>
                <w:kern w:val="0"/>
              </w:rPr>
              <w:t>硬件规格</w:t>
            </w:r>
          </w:p>
        </w:tc>
        <w:tc>
          <w:tcPr>
            <w:tcW w:w="7088" w:type="dxa"/>
            <w:vAlign w:val="center"/>
          </w:tcPr>
          <w:p>
            <w:pPr>
              <w:rPr>
                <w:rFonts w:ascii="宋体" w:hAnsi="宋体" w:cs="宋体"/>
                <w:color w:val="000000"/>
                <w:kern w:val="0"/>
              </w:rPr>
            </w:pPr>
            <w:r>
              <w:rPr>
                <w:rFonts w:ascii="宋体" w:hAnsi="宋体" w:cs="宋体"/>
                <w:color w:val="000000"/>
                <w:kern w:val="0"/>
              </w:rPr>
              <w:t>业务槽位数≥8；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交换网板插槽数量≥6, 且支持网板N+M 冗余；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风扇框冗余设计，风扇框个数≥3；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kern w:val="0"/>
              </w:rPr>
            </w:pPr>
            <w:r>
              <w:rPr>
                <w:rFonts w:ascii="宋体" w:hAnsi="宋体" w:cs="宋体"/>
                <w:kern w:val="0"/>
              </w:rPr>
              <w:t>支持AC与HVDC混合供电，DC，AC，HVDC输入支持双输入，且双输入下不牺牲系统最大配电能力，DC，AC，HVDC电源模块均支持M+N和N+N；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主控引擎与交换网板硬件分离,主控板故障或者更换不影响整机转发性能；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单板内、单板间交换均支持VOQ虚拟输出队列控制，避免HOLB头阻塞；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支持信元交换：要求单条流可以负载分担到多块交换网，提高交换网利用效率；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严格前后风道；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984" w:type="dxa"/>
            <w:vAlign w:val="center"/>
          </w:tcPr>
          <w:p>
            <w:pPr>
              <w:rPr>
                <w:rFonts w:ascii="宋体" w:hAnsi="宋体" w:cs="宋体"/>
                <w:color w:val="000000"/>
                <w:kern w:val="0"/>
              </w:rPr>
            </w:pPr>
            <w:r>
              <w:rPr>
                <w:rFonts w:ascii="宋体" w:hAnsi="宋体" w:cs="宋体"/>
                <w:color w:val="000000"/>
                <w:kern w:val="0"/>
              </w:rPr>
              <w:t>二层功能</w:t>
            </w:r>
          </w:p>
        </w:tc>
        <w:tc>
          <w:tcPr>
            <w:tcW w:w="7088" w:type="dxa"/>
            <w:vAlign w:val="center"/>
          </w:tcPr>
          <w:p>
            <w:pPr>
              <w:rPr>
                <w:rFonts w:ascii="宋体" w:hAnsi="宋体" w:cs="宋体"/>
                <w:color w:val="000000"/>
                <w:kern w:val="0"/>
              </w:rPr>
            </w:pPr>
            <w:r>
              <w:rPr>
                <w:rFonts w:ascii="宋体" w:hAnsi="宋体" w:cs="宋体"/>
                <w:color w:val="000000"/>
                <w:kern w:val="0"/>
              </w:rPr>
              <w:t>支持端口聚合，802.3ad，支持M-LAG或vPC等类似技术，支持N:1镜像、流镜像、远程端口镜像；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984" w:type="dxa"/>
            <w:vAlign w:val="center"/>
          </w:tcPr>
          <w:p>
            <w:pPr>
              <w:rPr>
                <w:rFonts w:ascii="宋体" w:hAnsi="宋体" w:cs="宋体"/>
                <w:color w:val="000000"/>
                <w:kern w:val="0"/>
              </w:rPr>
            </w:pPr>
            <w:r>
              <w:rPr>
                <w:rFonts w:ascii="宋体" w:hAnsi="宋体" w:cs="宋体"/>
                <w:color w:val="000000"/>
                <w:kern w:val="0"/>
              </w:rPr>
              <w:t>三层功能</w:t>
            </w:r>
          </w:p>
        </w:tc>
        <w:tc>
          <w:tcPr>
            <w:tcW w:w="7088" w:type="dxa"/>
            <w:vAlign w:val="center"/>
          </w:tcPr>
          <w:p>
            <w:pPr>
              <w:rPr>
                <w:rFonts w:ascii="宋体" w:hAnsi="宋体" w:cs="宋体"/>
                <w:color w:val="000000"/>
                <w:kern w:val="0"/>
              </w:rPr>
            </w:pPr>
            <w:r>
              <w:rPr>
                <w:rFonts w:ascii="宋体" w:hAnsi="宋体" w:cs="宋体"/>
                <w:color w:val="000000"/>
                <w:kern w:val="0"/>
              </w:rPr>
              <w:t>支持RIP、OSPF、ISIS、BGP等IPv4动态路由协议，支持RIPng、OSPFv3、ISISv6、BGP4+等IPv6动态路由协议，支持路由协议多实例、策略路由，支持VRRP，支持IP分片和重组；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984" w:type="dxa"/>
            <w:vAlign w:val="center"/>
          </w:tcPr>
          <w:p>
            <w:pPr>
              <w:rPr>
                <w:rFonts w:ascii="宋体" w:hAnsi="宋体" w:cs="宋体"/>
                <w:color w:val="000000"/>
                <w:kern w:val="0"/>
              </w:rPr>
            </w:pPr>
            <w:r>
              <w:rPr>
                <w:rFonts w:ascii="宋体" w:hAnsi="宋体" w:cs="宋体"/>
                <w:color w:val="000000"/>
                <w:kern w:val="0"/>
              </w:rPr>
              <w:t>QoS</w:t>
            </w:r>
          </w:p>
        </w:tc>
        <w:tc>
          <w:tcPr>
            <w:tcW w:w="7088" w:type="dxa"/>
            <w:vAlign w:val="center"/>
          </w:tcPr>
          <w:p>
            <w:pPr>
              <w:rPr>
                <w:rFonts w:ascii="宋体" w:hAnsi="宋体" w:cs="宋体"/>
                <w:color w:val="000000"/>
                <w:kern w:val="0"/>
              </w:rPr>
            </w:pPr>
            <w:r>
              <w:rPr>
                <w:rFonts w:ascii="宋体" w:hAnsi="宋体" w:cs="宋体"/>
                <w:color w:val="000000"/>
                <w:kern w:val="0"/>
              </w:rPr>
              <w:t>支持PQ、WFQ、PQ+WFQ等队列调度方式，支持ACL、CAR、Remark等动作，支持WRED、尾丢弃等拥塞避免机制，支持流量整形，支持出方向ACL，CAR，统计；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984" w:type="dxa"/>
            <w:vAlign w:val="center"/>
          </w:tcPr>
          <w:p>
            <w:pPr>
              <w:rPr>
                <w:rFonts w:ascii="宋体" w:hAnsi="宋体" w:cs="宋体"/>
                <w:color w:val="000000"/>
                <w:kern w:val="0"/>
              </w:rPr>
            </w:pPr>
            <w:r>
              <w:rPr>
                <w:rFonts w:ascii="宋体" w:hAnsi="宋体" w:cs="宋体"/>
                <w:color w:val="000000"/>
                <w:kern w:val="0"/>
              </w:rPr>
              <w:t>可靠性</w:t>
            </w:r>
          </w:p>
        </w:tc>
        <w:tc>
          <w:tcPr>
            <w:tcW w:w="7088" w:type="dxa"/>
            <w:vAlign w:val="center"/>
          </w:tcPr>
          <w:p>
            <w:pPr>
              <w:rPr>
                <w:rFonts w:ascii="宋体" w:hAnsi="宋体" w:cs="宋体"/>
                <w:color w:val="000000"/>
                <w:kern w:val="0"/>
              </w:rPr>
            </w:pPr>
            <w:r>
              <w:rPr>
                <w:rFonts w:ascii="宋体" w:hAnsi="宋体" w:cs="宋体"/>
                <w:color w:val="000000"/>
                <w:kern w:val="0"/>
              </w:rPr>
              <w:t>支持硬件BFD（Bidirectional Forwarding Detection）5ms检测间隔。支持集群或堆叠多虚一技术，实现单一界面管理多台设备；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984" w:type="dxa"/>
            <w:vAlign w:val="center"/>
          </w:tcPr>
          <w:p>
            <w:pPr>
              <w:rPr>
                <w:rFonts w:ascii="宋体" w:hAnsi="宋体" w:cs="宋体"/>
                <w:color w:val="000000"/>
                <w:kern w:val="0"/>
              </w:rPr>
            </w:pPr>
            <w:r>
              <w:rPr>
                <w:rFonts w:ascii="宋体" w:hAnsi="宋体" w:cs="宋体"/>
                <w:color w:val="000000"/>
                <w:kern w:val="0"/>
              </w:rPr>
              <w:t>DC特性</w:t>
            </w:r>
          </w:p>
        </w:tc>
        <w:tc>
          <w:tcPr>
            <w:tcW w:w="7088" w:type="dxa"/>
            <w:vAlign w:val="center"/>
          </w:tcPr>
          <w:p>
            <w:pPr>
              <w:rPr>
                <w:rFonts w:ascii="宋体" w:hAnsi="宋体" w:cs="宋体"/>
                <w:color w:val="000000"/>
                <w:kern w:val="0"/>
              </w:rPr>
            </w:pPr>
            <w:r>
              <w:rPr>
                <w:rFonts w:ascii="宋体" w:hAnsi="宋体" w:cs="宋体"/>
                <w:color w:val="000000"/>
                <w:kern w:val="0"/>
              </w:rPr>
              <w:t>支持1虚多技术，最多能虚拟成16台逻辑交换机，支持Vxlan协议，且支持BGP EVPN协议，支持缓存的微突发状态统计，支持MAC Flapping，支持VXLAN over IPv6，支持IPv6 VXLAN over IPv4；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984" w:type="dxa"/>
            <w:vAlign w:val="center"/>
          </w:tcPr>
          <w:p>
            <w:pPr>
              <w:rPr>
                <w:rFonts w:ascii="宋体" w:hAnsi="宋体" w:cs="宋体"/>
                <w:color w:val="000000"/>
                <w:kern w:val="0"/>
              </w:rPr>
            </w:pPr>
            <w:r>
              <w:rPr>
                <w:rFonts w:ascii="宋体" w:hAnsi="宋体" w:cs="宋体"/>
                <w:color w:val="000000"/>
                <w:kern w:val="0"/>
              </w:rPr>
              <w:t>安全性</w:t>
            </w:r>
          </w:p>
        </w:tc>
        <w:tc>
          <w:tcPr>
            <w:tcW w:w="7088" w:type="dxa"/>
            <w:vAlign w:val="center"/>
          </w:tcPr>
          <w:p>
            <w:pPr>
              <w:rPr>
                <w:rFonts w:ascii="宋体" w:hAnsi="宋体" w:cs="宋体"/>
                <w:color w:val="000000"/>
                <w:kern w:val="0"/>
              </w:rPr>
            </w:pPr>
            <w:r>
              <w:rPr>
                <w:rFonts w:ascii="宋体" w:hAnsi="宋体" w:cs="宋体"/>
                <w:color w:val="000000"/>
                <w:kern w:val="0"/>
              </w:rPr>
              <w:t>支持二层到四层的ACL，支持微分段，支持IETF标准的NSH协议，支持BPDU guard，支持单播、组播和广播风暴控制，支持DHCPv4 Server、Relay和snooping，支持IP/ARP/ICMP 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984" w:type="dxa"/>
            <w:vAlign w:val="center"/>
          </w:tcPr>
          <w:p>
            <w:pPr>
              <w:rPr>
                <w:rFonts w:ascii="宋体" w:hAnsi="宋体" w:cs="宋体"/>
                <w:color w:val="000000"/>
                <w:kern w:val="0"/>
              </w:rPr>
            </w:pPr>
            <w:r>
              <w:rPr>
                <w:rFonts w:ascii="宋体" w:hAnsi="宋体" w:cs="宋体"/>
                <w:color w:val="000000"/>
                <w:kern w:val="0"/>
              </w:rPr>
              <w:t>组播</w:t>
            </w:r>
          </w:p>
        </w:tc>
        <w:tc>
          <w:tcPr>
            <w:tcW w:w="7088" w:type="dxa"/>
            <w:vAlign w:val="center"/>
          </w:tcPr>
          <w:p>
            <w:pPr>
              <w:rPr>
                <w:rFonts w:ascii="宋体" w:hAnsi="宋体" w:cs="宋体"/>
                <w:color w:val="000000"/>
                <w:kern w:val="0"/>
              </w:rPr>
            </w:pPr>
            <w:r>
              <w:rPr>
                <w:rFonts w:ascii="宋体" w:hAnsi="宋体" w:cs="宋体"/>
                <w:color w:val="000000"/>
                <w:kern w:val="0"/>
              </w:rPr>
              <w:t>支持IGMP Snooping V1,V2,V3，支持IGMP Proxy，支持PIM-SM,PIM-SSM；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984" w:type="dxa"/>
            <w:vAlign w:val="center"/>
          </w:tcPr>
          <w:p>
            <w:pPr>
              <w:rPr>
                <w:rFonts w:ascii="宋体" w:hAnsi="宋体" w:cs="宋体"/>
                <w:color w:val="000000"/>
                <w:kern w:val="0"/>
              </w:rPr>
            </w:pPr>
            <w:r>
              <w:rPr>
                <w:rFonts w:ascii="宋体" w:hAnsi="宋体" w:cs="宋体"/>
                <w:color w:val="000000"/>
                <w:kern w:val="0"/>
              </w:rPr>
              <w:t>配置和维护</w:t>
            </w:r>
          </w:p>
        </w:tc>
        <w:tc>
          <w:tcPr>
            <w:tcW w:w="7088" w:type="dxa"/>
            <w:vAlign w:val="center"/>
          </w:tcPr>
          <w:p>
            <w:pPr>
              <w:rPr>
                <w:rFonts w:ascii="宋体" w:hAnsi="宋体" w:cs="宋体"/>
                <w:color w:val="000000"/>
                <w:kern w:val="0"/>
              </w:rPr>
            </w:pPr>
            <w:r>
              <w:rPr>
                <w:rFonts w:ascii="宋体" w:hAnsi="宋体" w:cs="宋体"/>
                <w:color w:val="000000"/>
                <w:kern w:val="0"/>
              </w:rPr>
              <w:t>支持Telemetry, 支持VxLAN OAM: VxLAN ping, VxLAN tracert，支持iPCA，支持SNMP V1/V2/V3、Telnet、RMON、SSH，支持通过命令行、中文图形化配置软件等方式进行配置和管理，支持配置回滚，支持BootROM升级和远程在线升级，支持ZTP技术，配置自动下发，支持RADIUS用户登录认证，支持Ansible自动化配置，Module开源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984" w:type="dxa"/>
            <w:vMerge w:val="restart"/>
            <w:vAlign w:val="center"/>
          </w:tcPr>
          <w:p>
            <w:pPr>
              <w:rPr>
                <w:rFonts w:ascii="宋体" w:hAnsi="宋体" w:cs="宋体"/>
                <w:color w:val="000000"/>
                <w:kern w:val="0"/>
              </w:rPr>
            </w:pPr>
            <w:r>
              <w:rPr>
                <w:rFonts w:ascii="宋体" w:hAnsi="宋体" w:cs="宋体"/>
                <w:color w:val="000000"/>
                <w:kern w:val="0"/>
              </w:rPr>
              <w:t>资质证书</w:t>
            </w:r>
          </w:p>
        </w:tc>
        <w:tc>
          <w:tcPr>
            <w:tcW w:w="7088" w:type="dxa"/>
            <w:vAlign w:val="center"/>
          </w:tcPr>
          <w:p>
            <w:pPr>
              <w:rPr>
                <w:rFonts w:ascii="宋体" w:hAnsi="宋体" w:cs="宋体"/>
                <w:color w:val="000000"/>
                <w:kern w:val="0"/>
              </w:rPr>
            </w:pPr>
            <w:r>
              <w:rPr>
                <w:rFonts w:ascii="宋体" w:hAnsi="宋体" w:cs="宋体"/>
                <w:color w:val="000000"/>
                <w:kern w:val="0"/>
              </w:rPr>
              <w:t>提供工信部入网证；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获得国家版权局颁发的软件著作权证书，提供证书复印件；</w:t>
            </w:r>
          </w:p>
        </w:tc>
      </w:tr>
    </w:tbl>
    <w:p>
      <w:pPr>
        <w:spacing w:line="276" w:lineRule="auto"/>
        <w:rPr>
          <w:rFonts w:ascii="宋体" w:hAnsi="宋体"/>
        </w:rPr>
      </w:pPr>
    </w:p>
    <w:tbl>
      <w:tblPr>
        <w:tblStyle w:val="1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2" w:type="dxa"/>
            <w:gridSpan w:val="2"/>
            <w:vAlign w:val="center"/>
          </w:tcPr>
          <w:p>
            <w:pPr>
              <w:rPr>
                <w:rFonts w:ascii="宋体" w:hAnsi="宋体" w:cs="宋体"/>
                <w:b/>
                <w:bCs/>
                <w:color w:val="000000"/>
                <w:kern w:val="0"/>
              </w:rPr>
            </w:pPr>
            <w:r>
              <w:rPr>
                <w:rFonts w:ascii="宋体" w:hAnsi="宋体" w:cs="Times New Roman"/>
                <w:b/>
                <w:bCs/>
                <w:kern w:val="0"/>
              </w:rPr>
              <w:t>用途：网络资源池交换机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984" w:type="dxa"/>
            <w:shd w:val="clear" w:color="auto" w:fill="BFBFBF"/>
            <w:vAlign w:val="center"/>
          </w:tcPr>
          <w:p>
            <w:pPr>
              <w:rPr>
                <w:rFonts w:ascii="宋体" w:hAnsi="宋体" w:cs="宋体"/>
                <w:b/>
                <w:bCs/>
                <w:color w:val="000000"/>
                <w:kern w:val="0"/>
              </w:rPr>
            </w:pPr>
            <w:r>
              <w:rPr>
                <w:rFonts w:ascii="宋体" w:hAnsi="宋体" w:cs="宋体"/>
                <w:b/>
                <w:bCs/>
                <w:color w:val="000000"/>
                <w:kern w:val="0"/>
              </w:rPr>
              <w:t>指标项</w:t>
            </w:r>
          </w:p>
        </w:tc>
        <w:tc>
          <w:tcPr>
            <w:tcW w:w="7088" w:type="dxa"/>
            <w:shd w:val="clear" w:color="auto" w:fill="BFBFBF"/>
            <w:vAlign w:val="center"/>
          </w:tcPr>
          <w:p>
            <w:pPr>
              <w:rPr>
                <w:rFonts w:ascii="宋体" w:hAnsi="宋体" w:cs="宋体"/>
                <w:b/>
                <w:bCs/>
                <w:color w:val="000000"/>
                <w:kern w:val="0"/>
              </w:rPr>
            </w:pPr>
            <w:r>
              <w:rPr>
                <w:rFonts w:ascii="宋体" w:hAnsi="宋体" w:cs="宋体"/>
                <w:b/>
                <w:bCs/>
                <w:color w:val="000000"/>
                <w:kern w:val="0"/>
              </w:rPr>
              <w:t>参数要求</w:t>
            </w:r>
            <w:r>
              <w:rPr>
                <w:rFonts w:ascii="宋体" w:hAnsi="宋体" w:cs="Times New Roman"/>
                <w:b/>
                <w:bCs/>
                <w:kern w:val="0"/>
              </w:rPr>
              <w:t>（除特别说明外，以下为单台设备的配置要求）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Merge w:val="restart"/>
            <w:vAlign w:val="center"/>
          </w:tcPr>
          <w:p>
            <w:pPr>
              <w:rPr>
                <w:rFonts w:ascii="宋体" w:hAnsi="宋体" w:cs="宋体"/>
                <w:color w:val="000000"/>
                <w:kern w:val="0"/>
              </w:rPr>
            </w:pPr>
            <w:r>
              <w:rPr>
                <w:rFonts w:ascii="宋体" w:hAnsi="宋体" w:cs="宋体"/>
                <w:color w:val="000000"/>
                <w:kern w:val="0"/>
              </w:rPr>
              <w:t>转发性能</w:t>
            </w:r>
          </w:p>
        </w:tc>
        <w:tc>
          <w:tcPr>
            <w:tcW w:w="7088" w:type="dxa"/>
            <w:vAlign w:val="center"/>
          </w:tcPr>
          <w:p>
            <w:pPr>
              <w:rPr>
                <w:rFonts w:ascii="宋体" w:hAnsi="宋体" w:cs="宋体"/>
                <w:color w:val="000000"/>
                <w:kern w:val="0"/>
              </w:rPr>
            </w:pPr>
            <w:r>
              <w:rPr>
                <w:rFonts w:ascii="宋体" w:hAnsi="宋体" w:cs="宋体"/>
                <w:color w:val="000000"/>
                <w:kern w:val="0"/>
              </w:rPr>
              <w:t>交换容量≥180Tbps；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包转发率≥115000 Mpps；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Merge w:val="restart"/>
            <w:vAlign w:val="center"/>
          </w:tcPr>
          <w:p>
            <w:pPr>
              <w:rPr>
                <w:rFonts w:ascii="宋体" w:hAnsi="宋体" w:cs="宋体"/>
                <w:color w:val="000000"/>
                <w:kern w:val="0"/>
              </w:rPr>
            </w:pPr>
            <w:r>
              <w:rPr>
                <w:rFonts w:ascii="宋体" w:hAnsi="宋体" w:cs="宋体"/>
                <w:color w:val="000000"/>
                <w:kern w:val="0"/>
              </w:rPr>
              <w:t>硬件规格</w:t>
            </w:r>
          </w:p>
        </w:tc>
        <w:tc>
          <w:tcPr>
            <w:tcW w:w="7088" w:type="dxa"/>
            <w:vAlign w:val="center"/>
          </w:tcPr>
          <w:p>
            <w:pPr>
              <w:rPr>
                <w:rFonts w:ascii="宋体" w:hAnsi="宋体" w:cs="宋体"/>
                <w:color w:val="000000"/>
                <w:kern w:val="0"/>
              </w:rPr>
            </w:pPr>
            <w:r>
              <w:rPr>
                <w:rFonts w:ascii="宋体" w:hAnsi="宋体" w:cs="宋体"/>
                <w:color w:val="000000"/>
                <w:kern w:val="0"/>
              </w:rPr>
              <w:t>业务槽位数≥4；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交换网板插槽数量≥6, 且支持网板N+M 冗余；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风扇框冗余设计，支持风扇框个数≥3；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kern w:val="0"/>
              </w:rPr>
            </w:pPr>
            <w:r>
              <w:rPr>
                <w:rFonts w:ascii="宋体" w:hAnsi="宋体" w:cs="宋体"/>
                <w:kern w:val="0"/>
              </w:rPr>
              <w:t>AC与HVDC混合供电，DC，AC，HVDC输入支持双输入，且双输入下不牺牲系统最大配电能力，DC，AC，HVDC电源模块均支持M+N和N+N；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主控引擎与交换网板硬件分离,主控板故障或者更换不影响整机转发性能；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单板内、单板间交换均支持VOQ虚拟输出队列控制，避免HOLB头阻塞；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支持信元交换：要求单条流可以负载分担到多块交换网，提高交换网利用效率；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严格前后风道；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Align w:val="center"/>
          </w:tcPr>
          <w:p>
            <w:pPr>
              <w:rPr>
                <w:rFonts w:ascii="宋体" w:hAnsi="宋体" w:cs="宋体"/>
                <w:color w:val="000000"/>
                <w:kern w:val="0"/>
              </w:rPr>
            </w:pPr>
            <w:r>
              <w:rPr>
                <w:rFonts w:ascii="宋体" w:hAnsi="宋体" w:cs="宋体"/>
                <w:color w:val="000000"/>
                <w:kern w:val="0"/>
              </w:rPr>
              <w:t>二层功能</w:t>
            </w:r>
          </w:p>
        </w:tc>
        <w:tc>
          <w:tcPr>
            <w:tcW w:w="7088" w:type="dxa"/>
            <w:vAlign w:val="center"/>
          </w:tcPr>
          <w:p>
            <w:pPr>
              <w:rPr>
                <w:rFonts w:ascii="宋体" w:hAnsi="宋体" w:cs="宋体"/>
                <w:color w:val="000000"/>
                <w:kern w:val="0"/>
              </w:rPr>
            </w:pPr>
            <w:r>
              <w:rPr>
                <w:rFonts w:ascii="宋体" w:hAnsi="宋体" w:cs="宋体"/>
                <w:color w:val="000000"/>
                <w:kern w:val="0"/>
              </w:rPr>
              <w:t>支持端口聚合，802.3ad，支持M-LAG或vPC等类似技术，支持N:1镜像、流镜像、远程端口镜像；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Align w:val="center"/>
          </w:tcPr>
          <w:p>
            <w:pPr>
              <w:rPr>
                <w:rFonts w:ascii="宋体" w:hAnsi="宋体" w:cs="宋体"/>
                <w:color w:val="000000"/>
                <w:kern w:val="0"/>
              </w:rPr>
            </w:pPr>
            <w:r>
              <w:rPr>
                <w:rFonts w:ascii="宋体" w:hAnsi="宋体" w:cs="宋体"/>
                <w:color w:val="000000"/>
                <w:kern w:val="0"/>
              </w:rPr>
              <w:t>三层功能</w:t>
            </w:r>
          </w:p>
        </w:tc>
        <w:tc>
          <w:tcPr>
            <w:tcW w:w="7088" w:type="dxa"/>
            <w:vAlign w:val="center"/>
          </w:tcPr>
          <w:p>
            <w:pPr>
              <w:rPr>
                <w:rFonts w:ascii="宋体" w:hAnsi="宋体" w:cs="宋体"/>
                <w:color w:val="000000"/>
                <w:kern w:val="0"/>
              </w:rPr>
            </w:pPr>
            <w:r>
              <w:rPr>
                <w:rFonts w:ascii="宋体" w:hAnsi="宋体" w:cs="宋体"/>
                <w:color w:val="000000"/>
                <w:kern w:val="0"/>
              </w:rPr>
              <w:t>支持RIP、OSPF、ISIS、BGP等IPv4动态路由协议，支持RIPng、OSPFv3、ISISv6、BGP4+等IPv6动态路由协议，支持路由协议多实例、策略路由，支持VRRP，支持IP分片和重组；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Align w:val="center"/>
          </w:tcPr>
          <w:p>
            <w:pPr>
              <w:rPr>
                <w:rFonts w:ascii="宋体" w:hAnsi="宋体" w:cs="宋体"/>
                <w:color w:val="000000"/>
                <w:kern w:val="0"/>
              </w:rPr>
            </w:pPr>
            <w:r>
              <w:rPr>
                <w:rFonts w:ascii="宋体" w:hAnsi="宋体" w:cs="宋体"/>
                <w:color w:val="000000"/>
                <w:kern w:val="0"/>
              </w:rPr>
              <w:t>可靠性</w:t>
            </w:r>
          </w:p>
        </w:tc>
        <w:tc>
          <w:tcPr>
            <w:tcW w:w="7088" w:type="dxa"/>
            <w:vAlign w:val="center"/>
          </w:tcPr>
          <w:p>
            <w:pPr>
              <w:rPr>
                <w:rFonts w:ascii="宋体" w:hAnsi="宋体" w:cs="宋体"/>
                <w:color w:val="000000"/>
                <w:kern w:val="0"/>
              </w:rPr>
            </w:pPr>
            <w:r>
              <w:rPr>
                <w:rFonts w:ascii="宋体" w:hAnsi="宋体" w:cs="宋体"/>
                <w:color w:val="000000"/>
                <w:kern w:val="0"/>
              </w:rPr>
              <w:t>支持硬件BFD（Bidirectional Forwarding Detection）5ms检测间隔。支持集群或堆叠多虚一技术，实现单一界面管理多台设备；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Align w:val="center"/>
          </w:tcPr>
          <w:p>
            <w:pPr>
              <w:rPr>
                <w:rFonts w:ascii="宋体" w:hAnsi="宋体" w:cs="宋体"/>
                <w:color w:val="000000"/>
                <w:kern w:val="0"/>
              </w:rPr>
            </w:pPr>
            <w:r>
              <w:rPr>
                <w:rFonts w:ascii="宋体" w:hAnsi="宋体" w:cs="宋体"/>
                <w:color w:val="000000"/>
                <w:kern w:val="0"/>
              </w:rPr>
              <w:t>安全性</w:t>
            </w:r>
          </w:p>
        </w:tc>
        <w:tc>
          <w:tcPr>
            <w:tcW w:w="7088" w:type="dxa"/>
            <w:vAlign w:val="center"/>
          </w:tcPr>
          <w:p>
            <w:pPr>
              <w:rPr>
                <w:rFonts w:ascii="宋体" w:hAnsi="宋体" w:cs="宋体"/>
                <w:color w:val="000000"/>
                <w:kern w:val="0"/>
              </w:rPr>
            </w:pPr>
            <w:r>
              <w:rPr>
                <w:rFonts w:ascii="宋体" w:hAnsi="宋体" w:cs="宋体"/>
                <w:color w:val="000000"/>
                <w:kern w:val="0"/>
              </w:rPr>
              <w:t>支持二层到四层的ACL，支持微分段，支持IETF标准的NSH协议，支持BPDU guard，支持单播、组播和广播风暴控制，支持DHCPv4 Server、Relay和snooping，支持IP/ARP/ICMP 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Align w:val="center"/>
          </w:tcPr>
          <w:p>
            <w:pPr>
              <w:rPr>
                <w:rFonts w:ascii="宋体" w:hAnsi="宋体" w:cs="宋体"/>
                <w:color w:val="000000"/>
                <w:kern w:val="0"/>
              </w:rPr>
            </w:pPr>
            <w:r>
              <w:rPr>
                <w:rFonts w:ascii="宋体" w:hAnsi="宋体" w:cs="宋体"/>
                <w:color w:val="000000"/>
                <w:kern w:val="0"/>
              </w:rPr>
              <w:t>配置和维护</w:t>
            </w:r>
          </w:p>
        </w:tc>
        <w:tc>
          <w:tcPr>
            <w:tcW w:w="7088" w:type="dxa"/>
            <w:vAlign w:val="center"/>
          </w:tcPr>
          <w:p>
            <w:pPr>
              <w:rPr>
                <w:rFonts w:ascii="宋体" w:hAnsi="宋体" w:cs="宋体"/>
                <w:color w:val="000000"/>
                <w:kern w:val="0"/>
              </w:rPr>
            </w:pPr>
            <w:r>
              <w:rPr>
                <w:rFonts w:ascii="宋体" w:hAnsi="宋体" w:cs="宋体"/>
                <w:color w:val="000000"/>
                <w:kern w:val="0"/>
              </w:rPr>
              <w:t>支持Telemetry, 支持VxLAN OAM: VxLAN ping, VxLAN tracert，支持iPCA，支持SNMP V1/V2/V3、Telnet、RMON、SSH，支持通过命令行、中文图形化配置软件等方式进行配置和管理，支持配置回滚，支持BootROM升级和远程在线升级，支持ZTP技术，配置自动下发，支持RADIUS用户登录认证，支持Ansible自动化配置，Module开源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Merge w:val="restart"/>
            <w:vAlign w:val="center"/>
          </w:tcPr>
          <w:p>
            <w:pPr>
              <w:rPr>
                <w:rFonts w:ascii="宋体" w:hAnsi="宋体" w:cs="宋体"/>
                <w:color w:val="000000"/>
                <w:kern w:val="0"/>
              </w:rPr>
            </w:pPr>
            <w:r>
              <w:rPr>
                <w:rFonts w:ascii="宋体" w:hAnsi="宋体" w:cs="宋体"/>
                <w:color w:val="000000"/>
                <w:kern w:val="0"/>
              </w:rPr>
              <w:t>资质证书</w:t>
            </w:r>
          </w:p>
        </w:tc>
        <w:tc>
          <w:tcPr>
            <w:tcW w:w="7088" w:type="dxa"/>
            <w:vAlign w:val="center"/>
          </w:tcPr>
          <w:p>
            <w:pPr>
              <w:rPr>
                <w:rFonts w:ascii="宋体" w:hAnsi="宋体" w:cs="宋体"/>
                <w:color w:val="000000"/>
                <w:kern w:val="0"/>
              </w:rPr>
            </w:pPr>
            <w:r>
              <w:rPr>
                <w:rFonts w:ascii="宋体" w:hAnsi="宋体" w:cs="宋体"/>
                <w:color w:val="000000"/>
                <w:kern w:val="0"/>
              </w:rPr>
              <w:t>提供工信部入网证；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984" w:type="dxa"/>
            <w:vMerge w:val="continue"/>
            <w:vAlign w:val="center"/>
          </w:tcPr>
          <w:p>
            <w:pPr>
              <w:rPr>
                <w:rFonts w:ascii="宋体" w:hAnsi="宋体" w:cs="宋体"/>
                <w:color w:val="000000"/>
                <w:kern w:val="0"/>
              </w:rPr>
            </w:pPr>
          </w:p>
        </w:tc>
        <w:tc>
          <w:tcPr>
            <w:tcW w:w="7088" w:type="dxa"/>
            <w:vAlign w:val="center"/>
          </w:tcPr>
          <w:p>
            <w:pPr>
              <w:rPr>
                <w:rFonts w:ascii="宋体" w:hAnsi="宋体" w:cs="宋体"/>
                <w:color w:val="000000"/>
                <w:kern w:val="0"/>
              </w:rPr>
            </w:pPr>
            <w:r>
              <w:rPr>
                <w:rFonts w:ascii="宋体" w:hAnsi="宋体" w:cs="宋体"/>
                <w:color w:val="000000"/>
                <w:kern w:val="0"/>
              </w:rPr>
              <w:t>获得国家版权局颁发的软件著作权证书，提供证书复印件；</w:t>
            </w:r>
          </w:p>
        </w:tc>
      </w:tr>
    </w:tbl>
    <w:p>
      <w:pPr>
        <w:rPr>
          <w:rFonts w:ascii="宋体" w:hAnsi="宋体" w:cs="Times New Roman"/>
        </w:rPr>
      </w:pPr>
    </w:p>
    <w:tbl>
      <w:tblPr>
        <w:tblStyle w:val="11"/>
        <w:tblW w:w="9072" w:type="dxa"/>
        <w:jc w:val="center"/>
        <w:tblLayout w:type="autofit"/>
        <w:tblCellMar>
          <w:top w:w="0" w:type="dxa"/>
          <w:left w:w="108" w:type="dxa"/>
          <w:bottom w:w="0" w:type="dxa"/>
          <w:right w:w="108" w:type="dxa"/>
        </w:tblCellMar>
      </w:tblPr>
      <w:tblGrid>
        <w:gridCol w:w="1984"/>
        <w:gridCol w:w="7088"/>
      </w:tblGrid>
      <w:tr>
        <w:tblPrEx>
          <w:tblCellMar>
            <w:top w:w="0" w:type="dxa"/>
            <w:left w:w="108" w:type="dxa"/>
            <w:bottom w:w="0" w:type="dxa"/>
            <w:right w:w="108" w:type="dxa"/>
          </w:tblCellMar>
        </w:tblPrEx>
        <w:trPr>
          <w:trHeight w:val="454" w:hRule="atLeast"/>
          <w:jc w:val="center"/>
        </w:trPr>
        <w:tc>
          <w:tcPr>
            <w:tcW w:w="9072" w:type="dxa"/>
            <w:gridSpan w:val="2"/>
            <w:tcBorders>
              <w:top w:val="single" w:color="auto" w:sz="4" w:space="0"/>
              <w:left w:val="single" w:color="auto" w:sz="4" w:space="0"/>
              <w:bottom w:val="nil"/>
              <w:right w:val="single" w:color="auto" w:sz="4" w:space="0"/>
            </w:tcBorders>
            <w:shd w:val="clear" w:color="000000" w:fill="FFFFFF"/>
            <w:vAlign w:val="center"/>
          </w:tcPr>
          <w:p>
            <w:pPr>
              <w:rPr>
                <w:rFonts w:ascii="宋体" w:hAnsi="宋体" w:cs="宋体"/>
                <w:b/>
                <w:bCs/>
                <w:color w:val="000000"/>
                <w:kern w:val="0"/>
              </w:rPr>
            </w:pPr>
            <w:r>
              <w:rPr>
                <w:rFonts w:ascii="宋体" w:hAnsi="宋体" w:cs="Times New Roman"/>
                <w:b/>
                <w:bCs/>
                <w:kern w:val="0"/>
              </w:rPr>
              <w:t>用途：网络接入交换机</w:t>
            </w:r>
          </w:p>
        </w:tc>
      </w:tr>
      <w:tr>
        <w:tblPrEx>
          <w:tblCellMar>
            <w:top w:w="0" w:type="dxa"/>
            <w:left w:w="108" w:type="dxa"/>
            <w:bottom w:w="0" w:type="dxa"/>
            <w:right w:w="108" w:type="dxa"/>
          </w:tblCellMar>
        </w:tblPrEx>
        <w:trPr>
          <w:trHeight w:val="261" w:hRule="atLeast"/>
          <w:jc w:val="center"/>
        </w:trPr>
        <w:tc>
          <w:tcPr>
            <w:tcW w:w="1984" w:type="dxa"/>
            <w:tcBorders>
              <w:top w:val="single" w:color="auto" w:sz="4" w:space="0"/>
              <w:left w:val="single" w:color="auto" w:sz="4" w:space="0"/>
              <w:bottom w:val="nil"/>
              <w:right w:val="single" w:color="auto" w:sz="4" w:space="0"/>
            </w:tcBorders>
            <w:shd w:val="clear" w:color="auto" w:fill="BFBFBF"/>
            <w:vAlign w:val="center"/>
          </w:tcPr>
          <w:p>
            <w:pPr>
              <w:rPr>
                <w:rFonts w:ascii="宋体" w:hAnsi="宋体" w:cs="宋体"/>
                <w:b/>
                <w:bCs/>
                <w:color w:val="000000"/>
                <w:kern w:val="0"/>
              </w:rPr>
            </w:pPr>
            <w:r>
              <w:rPr>
                <w:rFonts w:ascii="宋体" w:hAnsi="宋体" w:cs="宋体"/>
                <w:b/>
                <w:bCs/>
                <w:color w:val="000000"/>
                <w:kern w:val="0"/>
              </w:rPr>
              <w:t xml:space="preserve">指标项 </w:t>
            </w:r>
          </w:p>
        </w:tc>
        <w:tc>
          <w:tcPr>
            <w:tcW w:w="7088" w:type="dxa"/>
            <w:tcBorders>
              <w:top w:val="single" w:color="auto" w:sz="4" w:space="0"/>
              <w:left w:val="nil"/>
              <w:bottom w:val="nil"/>
              <w:right w:val="single" w:color="auto" w:sz="4" w:space="0"/>
            </w:tcBorders>
            <w:shd w:val="clear" w:color="auto" w:fill="BFBFBF"/>
            <w:vAlign w:val="center"/>
          </w:tcPr>
          <w:p>
            <w:pPr>
              <w:rPr>
                <w:rFonts w:ascii="宋体" w:hAnsi="宋体" w:cs="宋体"/>
                <w:b/>
                <w:bCs/>
                <w:color w:val="000000"/>
                <w:kern w:val="0"/>
              </w:rPr>
            </w:pPr>
            <w:r>
              <w:rPr>
                <w:rFonts w:ascii="宋体" w:hAnsi="宋体" w:cs="宋体"/>
                <w:b/>
                <w:bCs/>
                <w:color w:val="000000"/>
                <w:kern w:val="0"/>
              </w:rPr>
              <w:t>参数要求</w:t>
            </w:r>
            <w:r>
              <w:rPr>
                <w:rFonts w:ascii="宋体" w:hAnsi="宋体" w:cs="Times New Roman"/>
                <w:b/>
                <w:bCs/>
                <w:kern w:val="0"/>
              </w:rPr>
              <w:t>（除特别说明外，以下为单台设备的配置要求）</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nil"/>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转发性能 </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交换容量≥2Tbps </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nil"/>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硬件规格 </w:t>
            </w:r>
          </w:p>
        </w:tc>
        <w:tc>
          <w:tcPr>
            <w:tcW w:w="7088" w:type="dxa"/>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高度1U，支持电源1+1备份，支持风扇3+1备份、支持前后、后前风道；</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single" w:color="auto" w:sz="4" w:space="0"/>
              <w:right w:val="single" w:color="auto" w:sz="4" w:space="0"/>
            </w:tcBorders>
            <w:shd w:val="clear" w:color="000000" w:fill="FFFFFF"/>
            <w:vAlign w:val="center"/>
          </w:tcPr>
          <w:p>
            <w:pPr>
              <w:rPr>
                <w:rFonts w:ascii="宋体" w:hAnsi="宋体" w:cs="宋体"/>
                <w:color w:val="000000"/>
                <w:kern w:val="0"/>
              </w:rPr>
            </w:pPr>
            <w:r>
              <w:rPr>
                <w:rFonts w:ascii="宋体" w:hAnsi="宋体" w:cs="宋体"/>
                <w:color w:val="000000"/>
                <w:kern w:val="0"/>
              </w:rPr>
              <w:t xml:space="preserve">端口配置要求 </w:t>
            </w:r>
          </w:p>
        </w:tc>
        <w:tc>
          <w:tcPr>
            <w:tcW w:w="7088" w:type="dxa"/>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40/100 GE 光接口≥6个；10GE光端口数量≥48个；</w:t>
            </w:r>
          </w:p>
        </w:tc>
      </w:tr>
      <w:tr>
        <w:tblPrEx>
          <w:tblCellMar>
            <w:top w:w="0" w:type="dxa"/>
            <w:left w:w="108" w:type="dxa"/>
            <w:bottom w:w="0" w:type="dxa"/>
            <w:right w:w="108" w:type="dxa"/>
          </w:tblCellMar>
        </w:tblPrEx>
        <w:trPr>
          <w:trHeight w:val="503"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二层功能 </w:t>
            </w:r>
          </w:p>
        </w:tc>
        <w:tc>
          <w:tcPr>
            <w:tcW w:w="7088" w:type="dxa"/>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支持Access、Trunk和Hybrid三种模式；支持QinQ、Mux VLAN; 支持M-LAG或vPC等类似技术；支持DLDP，支持动态MAC、静态MAC和黑洞MAC表项</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三层功能 </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支持RIP、OSPF、ISIS、BGP等IPv4动态路由协议 ，支持RIPng、OSPFv3、ISISv6、BGP4+等IPv6动态路由协议，支持IP报文分片重组，支持BFD for OSPF，BGP，IS-IS，Static Route，支持IPv6 ND、PMTU发现</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可靠性</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支持VRRP、VRRP负载分担、BFD for VRRP，支持BFD 5ms检测周期，支持集群或堆叠多虚一技术，实现单一界面管理多台设备</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安全性</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支持防止Dos、arp攻击和ICMP攻击，支持微分段，支持NSH，支持IP、MAC、端口和VLAN的组合绑定，支持端口隔离，支持AAA、Radius和TACACS认证，支持RMON</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配置和维护 </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支持Telemetry, 支持IPCA，支持SNMP V1/V2/V3、Telnet、RMON、SSH，支持配置回滚，支持全网路径探测，支持缓存的微突发检测，支持BootROM升级和远程在线升级，支持ZTP技术，配置自动下发</w:t>
            </w:r>
          </w:p>
        </w:tc>
      </w:tr>
      <w:tr>
        <w:tblPrEx>
          <w:tblCellMar>
            <w:top w:w="0" w:type="dxa"/>
            <w:left w:w="108" w:type="dxa"/>
            <w:bottom w:w="0" w:type="dxa"/>
            <w:right w:w="108" w:type="dxa"/>
          </w:tblCellMar>
        </w:tblPrEx>
        <w:trPr>
          <w:trHeight w:val="133"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 资质证书 </w:t>
            </w:r>
          </w:p>
        </w:tc>
        <w:tc>
          <w:tcPr>
            <w:tcW w:w="7088" w:type="dxa"/>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获得国家版权局颁发的软件著作权证书，提供证书复印件 </w:t>
            </w:r>
          </w:p>
        </w:tc>
      </w:tr>
    </w:tbl>
    <w:p>
      <w:pPr>
        <w:spacing w:line="276" w:lineRule="auto"/>
      </w:pPr>
    </w:p>
    <w:p>
      <w:pPr>
        <w:spacing w:line="276" w:lineRule="auto"/>
      </w:pPr>
    </w:p>
    <w:tbl>
      <w:tblPr>
        <w:tblStyle w:val="11"/>
        <w:tblW w:w="9072" w:type="dxa"/>
        <w:jc w:val="center"/>
        <w:tblLayout w:type="autofit"/>
        <w:tblCellMar>
          <w:top w:w="0" w:type="dxa"/>
          <w:left w:w="108" w:type="dxa"/>
          <w:bottom w:w="0" w:type="dxa"/>
          <w:right w:w="108" w:type="dxa"/>
        </w:tblCellMar>
      </w:tblPr>
      <w:tblGrid>
        <w:gridCol w:w="1984"/>
        <w:gridCol w:w="7088"/>
      </w:tblGrid>
      <w:tr>
        <w:tblPrEx>
          <w:tblCellMar>
            <w:top w:w="0" w:type="dxa"/>
            <w:left w:w="108" w:type="dxa"/>
            <w:bottom w:w="0" w:type="dxa"/>
            <w:right w:w="108" w:type="dxa"/>
          </w:tblCellMar>
        </w:tblPrEx>
        <w:trPr>
          <w:trHeight w:val="454" w:hRule="atLeast"/>
          <w:jc w:val="center"/>
        </w:trPr>
        <w:tc>
          <w:tcPr>
            <w:tcW w:w="9072" w:type="dxa"/>
            <w:gridSpan w:val="2"/>
            <w:tcBorders>
              <w:top w:val="single" w:color="auto" w:sz="4" w:space="0"/>
              <w:left w:val="single" w:color="auto" w:sz="4" w:space="0"/>
              <w:bottom w:val="nil"/>
              <w:right w:val="single" w:color="auto" w:sz="4" w:space="0"/>
            </w:tcBorders>
            <w:shd w:val="clear" w:color="000000" w:fill="FFFFFF"/>
            <w:vAlign w:val="center"/>
          </w:tcPr>
          <w:p>
            <w:pPr>
              <w:rPr>
                <w:rFonts w:ascii="宋体" w:hAnsi="宋体" w:cs="宋体"/>
                <w:b/>
                <w:bCs/>
                <w:color w:val="000000"/>
                <w:kern w:val="0"/>
              </w:rPr>
            </w:pPr>
            <w:r>
              <w:rPr>
                <w:rFonts w:ascii="宋体" w:hAnsi="宋体" w:cs="Times New Roman"/>
                <w:b/>
                <w:bCs/>
                <w:kern w:val="0"/>
              </w:rPr>
              <w:t>用途：业务接入交换机</w:t>
            </w:r>
          </w:p>
        </w:tc>
      </w:tr>
      <w:tr>
        <w:tblPrEx>
          <w:tblCellMar>
            <w:top w:w="0" w:type="dxa"/>
            <w:left w:w="108" w:type="dxa"/>
            <w:bottom w:w="0" w:type="dxa"/>
            <w:right w:w="108" w:type="dxa"/>
          </w:tblCellMar>
        </w:tblPrEx>
        <w:trPr>
          <w:trHeight w:val="261" w:hRule="atLeast"/>
          <w:jc w:val="center"/>
        </w:trPr>
        <w:tc>
          <w:tcPr>
            <w:tcW w:w="1984" w:type="dxa"/>
            <w:tcBorders>
              <w:top w:val="single" w:color="auto" w:sz="4" w:space="0"/>
              <w:left w:val="single" w:color="auto" w:sz="4" w:space="0"/>
              <w:bottom w:val="nil"/>
              <w:right w:val="single" w:color="auto" w:sz="4" w:space="0"/>
            </w:tcBorders>
            <w:shd w:val="clear" w:color="auto" w:fill="BFBFBF"/>
            <w:vAlign w:val="center"/>
          </w:tcPr>
          <w:p>
            <w:pPr>
              <w:rPr>
                <w:rFonts w:ascii="宋体" w:hAnsi="宋体" w:cs="宋体"/>
                <w:b/>
                <w:bCs/>
                <w:color w:val="000000"/>
                <w:kern w:val="0"/>
              </w:rPr>
            </w:pPr>
            <w:r>
              <w:rPr>
                <w:rFonts w:ascii="宋体" w:hAnsi="宋体" w:cs="宋体"/>
                <w:b/>
                <w:bCs/>
                <w:color w:val="000000"/>
                <w:kern w:val="0"/>
              </w:rPr>
              <w:t xml:space="preserve">指标项 </w:t>
            </w:r>
          </w:p>
        </w:tc>
        <w:tc>
          <w:tcPr>
            <w:tcW w:w="7088" w:type="dxa"/>
            <w:tcBorders>
              <w:top w:val="single" w:color="auto" w:sz="4" w:space="0"/>
              <w:left w:val="nil"/>
              <w:bottom w:val="nil"/>
              <w:right w:val="single" w:color="auto" w:sz="4" w:space="0"/>
            </w:tcBorders>
            <w:shd w:val="clear" w:color="auto" w:fill="BFBFBF"/>
            <w:vAlign w:val="center"/>
          </w:tcPr>
          <w:p>
            <w:pPr>
              <w:rPr>
                <w:rFonts w:ascii="宋体" w:hAnsi="宋体" w:cs="宋体"/>
                <w:b/>
                <w:bCs/>
                <w:color w:val="000000"/>
                <w:kern w:val="0"/>
              </w:rPr>
            </w:pPr>
            <w:r>
              <w:rPr>
                <w:rFonts w:ascii="宋体" w:hAnsi="宋体" w:cs="宋体"/>
                <w:b/>
                <w:bCs/>
                <w:color w:val="000000"/>
                <w:kern w:val="0"/>
              </w:rPr>
              <w:t>参数要求</w:t>
            </w:r>
            <w:r>
              <w:rPr>
                <w:rFonts w:ascii="宋体" w:hAnsi="宋体" w:cs="Times New Roman"/>
                <w:b/>
                <w:bCs/>
                <w:kern w:val="0"/>
              </w:rPr>
              <w:t>（除特别说明外，以下为单台设备的配置要求）</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nil"/>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转发性能 </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交换容量≥2Tbps </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nil"/>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硬件规格 </w:t>
            </w:r>
          </w:p>
        </w:tc>
        <w:tc>
          <w:tcPr>
            <w:tcW w:w="7088" w:type="dxa"/>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高度1U，支持电源1+1备份，支持风扇3+1备份、支持前后、后前风道；</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single" w:color="auto" w:sz="4" w:space="0"/>
              <w:right w:val="single" w:color="auto" w:sz="4" w:space="0"/>
            </w:tcBorders>
            <w:shd w:val="clear" w:color="000000" w:fill="FFFFFF"/>
            <w:vAlign w:val="center"/>
          </w:tcPr>
          <w:p>
            <w:pPr>
              <w:rPr>
                <w:rFonts w:ascii="宋体" w:hAnsi="宋体" w:cs="宋体"/>
                <w:color w:val="000000"/>
                <w:kern w:val="0"/>
              </w:rPr>
            </w:pPr>
            <w:r>
              <w:rPr>
                <w:rFonts w:ascii="宋体" w:hAnsi="宋体" w:cs="宋体"/>
                <w:color w:val="000000"/>
                <w:kern w:val="0"/>
              </w:rPr>
              <w:t xml:space="preserve">端口配置要求 </w:t>
            </w:r>
          </w:p>
        </w:tc>
        <w:tc>
          <w:tcPr>
            <w:tcW w:w="7088" w:type="dxa"/>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40/100 GE 光接口≥6个；10GE光端口数量≥48个；</w:t>
            </w:r>
          </w:p>
        </w:tc>
      </w:tr>
      <w:tr>
        <w:tblPrEx>
          <w:tblCellMar>
            <w:top w:w="0" w:type="dxa"/>
            <w:left w:w="108" w:type="dxa"/>
            <w:bottom w:w="0" w:type="dxa"/>
            <w:right w:w="108" w:type="dxa"/>
          </w:tblCellMar>
        </w:tblPrEx>
        <w:trPr>
          <w:trHeight w:val="503"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二层功能 </w:t>
            </w:r>
          </w:p>
        </w:tc>
        <w:tc>
          <w:tcPr>
            <w:tcW w:w="7088" w:type="dxa"/>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支持Access、Trunk和Hybrid三种模式；支持QinQ、Mux VLAN; 支持M-LAG或vPC等类似技术；支持DLDP，支持动态MAC、静态MAC和黑洞MAC表项；</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三层功能 </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支持RIP、OSPF、ISIS、BGP等IPv4动态路由协议 ，支持RIPng、OSPFv3、ISISv6、BGP4+等IPv6动态路由协议，支持IP报文分片重组，支持BFD for OSPF，BGP，IS-IS，Static Route，支持IPv6 ND、PMTU发现；</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可靠性</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支持VRRP、VRRP负载分担、BFD for VRRP，支持BFD 5ms检测周期，支持集群或堆叠多虚一技术，实现单一界面管理多台设备；</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安全性</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支持防止Dos、arp攻击和ICMP攻击，支持微分段，支持NSH，支持IP、MAC、端口和VLAN的组合绑定，支持端口隔离，支持AAA、Radius和TACACS认证，支持RMON；</w:t>
            </w:r>
          </w:p>
        </w:tc>
      </w:tr>
      <w:tr>
        <w:tblPrEx>
          <w:tblCellMar>
            <w:top w:w="0" w:type="dxa"/>
            <w:left w:w="108" w:type="dxa"/>
            <w:bottom w:w="0" w:type="dxa"/>
            <w:right w:w="108" w:type="dxa"/>
          </w:tblCellMar>
        </w:tblPrEx>
        <w:trPr>
          <w:trHeight w:val="271"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 配置和维护 </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支持Telemetry, 支持IPCA，支持SNMP V1/V2/V3、Telnet、RMON、SSH，支持配置回滚，支持全网路径探测，支持缓存的微突发检测，支持BootROM升级和远程在线升级，支持ZTP技术，配置自动下发；</w:t>
            </w:r>
          </w:p>
        </w:tc>
      </w:tr>
      <w:tr>
        <w:tblPrEx>
          <w:tblCellMar>
            <w:top w:w="0" w:type="dxa"/>
            <w:left w:w="108" w:type="dxa"/>
            <w:bottom w:w="0" w:type="dxa"/>
            <w:right w:w="108" w:type="dxa"/>
          </w:tblCellMar>
        </w:tblPrEx>
        <w:trPr>
          <w:trHeight w:val="54"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 资质证书 </w:t>
            </w:r>
          </w:p>
        </w:tc>
        <w:tc>
          <w:tcPr>
            <w:tcW w:w="7088" w:type="dxa"/>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获得国家版权局颁发的软件著作权证书，提供证书复印件；</w:t>
            </w:r>
          </w:p>
        </w:tc>
      </w:tr>
    </w:tbl>
    <w:p>
      <w:pPr>
        <w:spacing w:line="276" w:lineRule="auto"/>
      </w:pPr>
    </w:p>
    <w:tbl>
      <w:tblPr>
        <w:tblStyle w:val="11"/>
        <w:tblW w:w="9072" w:type="dxa"/>
        <w:jc w:val="center"/>
        <w:tblLayout w:type="autofit"/>
        <w:tblCellMar>
          <w:top w:w="0" w:type="dxa"/>
          <w:left w:w="108" w:type="dxa"/>
          <w:bottom w:w="0" w:type="dxa"/>
          <w:right w:w="108" w:type="dxa"/>
        </w:tblCellMar>
      </w:tblPr>
      <w:tblGrid>
        <w:gridCol w:w="1984"/>
        <w:gridCol w:w="7088"/>
      </w:tblGrid>
      <w:tr>
        <w:tblPrEx>
          <w:tblCellMar>
            <w:top w:w="0" w:type="dxa"/>
            <w:left w:w="108" w:type="dxa"/>
            <w:bottom w:w="0" w:type="dxa"/>
            <w:right w:w="108" w:type="dxa"/>
          </w:tblCellMar>
        </w:tblPrEx>
        <w:trPr>
          <w:trHeight w:val="454" w:hRule="atLeast"/>
          <w:jc w:val="center"/>
        </w:trPr>
        <w:tc>
          <w:tcPr>
            <w:tcW w:w="9072" w:type="dxa"/>
            <w:gridSpan w:val="2"/>
            <w:tcBorders>
              <w:top w:val="single" w:color="auto" w:sz="4" w:space="0"/>
              <w:left w:val="single" w:color="auto" w:sz="4" w:space="0"/>
              <w:bottom w:val="nil"/>
              <w:right w:val="single" w:color="auto" w:sz="4" w:space="0"/>
            </w:tcBorders>
            <w:vAlign w:val="center"/>
          </w:tcPr>
          <w:p>
            <w:pPr>
              <w:rPr>
                <w:rFonts w:ascii="宋体" w:hAnsi="宋体" w:cs="宋体"/>
                <w:b/>
                <w:bCs/>
                <w:color w:val="000000"/>
                <w:kern w:val="0"/>
              </w:rPr>
            </w:pPr>
            <w:r>
              <w:rPr>
                <w:rFonts w:ascii="宋体" w:hAnsi="宋体" w:cs="Times New Roman"/>
                <w:b/>
                <w:bCs/>
                <w:kern w:val="0"/>
              </w:rPr>
              <w:t>用途：高性能业务接入交换机</w:t>
            </w:r>
          </w:p>
        </w:tc>
      </w:tr>
      <w:tr>
        <w:tblPrEx>
          <w:tblCellMar>
            <w:top w:w="0" w:type="dxa"/>
            <w:left w:w="108" w:type="dxa"/>
            <w:bottom w:w="0" w:type="dxa"/>
            <w:right w:w="108" w:type="dxa"/>
          </w:tblCellMar>
        </w:tblPrEx>
        <w:trPr>
          <w:trHeight w:val="270" w:hRule="atLeast"/>
          <w:jc w:val="center"/>
        </w:trPr>
        <w:tc>
          <w:tcPr>
            <w:tcW w:w="1984" w:type="dxa"/>
            <w:tcBorders>
              <w:top w:val="single" w:color="auto" w:sz="4" w:space="0"/>
              <w:left w:val="single" w:color="auto" w:sz="4" w:space="0"/>
              <w:bottom w:val="nil"/>
              <w:right w:val="single" w:color="auto" w:sz="4" w:space="0"/>
            </w:tcBorders>
            <w:shd w:val="clear" w:color="auto" w:fill="BFBFBF"/>
            <w:vAlign w:val="center"/>
          </w:tcPr>
          <w:p>
            <w:pPr>
              <w:rPr>
                <w:rFonts w:ascii="宋体" w:hAnsi="宋体" w:cs="宋体"/>
                <w:b/>
                <w:bCs/>
                <w:color w:val="000000"/>
                <w:kern w:val="0"/>
              </w:rPr>
            </w:pPr>
            <w:r>
              <w:rPr>
                <w:rFonts w:ascii="宋体" w:hAnsi="宋体" w:cs="宋体"/>
                <w:b/>
                <w:bCs/>
                <w:color w:val="000000"/>
                <w:kern w:val="0"/>
              </w:rPr>
              <w:t xml:space="preserve">指标项 </w:t>
            </w:r>
          </w:p>
        </w:tc>
        <w:tc>
          <w:tcPr>
            <w:tcW w:w="7088" w:type="dxa"/>
            <w:tcBorders>
              <w:top w:val="single" w:color="auto" w:sz="4" w:space="0"/>
              <w:left w:val="nil"/>
              <w:bottom w:val="nil"/>
              <w:right w:val="single" w:color="auto" w:sz="4" w:space="0"/>
            </w:tcBorders>
            <w:shd w:val="clear" w:color="auto" w:fill="BFBFBF"/>
            <w:vAlign w:val="center"/>
          </w:tcPr>
          <w:p>
            <w:pPr>
              <w:rPr>
                <w:rFonts w:ascii="宋体" w:hAnsi="宋体" w:cs="宋体"/>
                <w:b/>
                <w:bCs/>
                <w:color w:val="000000"/>
                <w:kern w:val="0"/>
              </w:rPr>
            </w:pPr>
            <w:r>
              <w:rPr>
                <w:rFonts w:ascii="宋体" w:hAnsi="宋体" w:cs="宋体"/>
                <w:b/>
                <w:bCs/>
                <w:color w:val="000000"/>
                <w:kern w:val="0"/>
              </w:rPr>
              <w:t>参数要求</w:t>
            </w:r>
            <w:r>
              <w:rPr>
                <w:rFonts w:ascii="宋体" w:hAnsi="宋体" w:cs="Times New Roman"/>
                <w:b/>
                <w:bCs/>
                <w:kern w:val="0"/>
              </w:rPr>
              <w:t>（除特别说明外，以下为单台设备的配置要求）</w:t>
            </w:r>
          </w:p>
        </w:tc>
      </w:tr>
      <w:tr>
        <w:tblPrEx>
          <w:tblCellMar>
            <w:top w:w="0" w:type="dxa"/>
            <w:left w:w="108" w:type="dxa"/>
            <w:bottom w:w="0" w:type="dxa"/>
            <w:right w:w="108" w:type="dxa"/>
          </w:tblCellMar>
        </w:tblPrEx>
        <w:trPr>
          <w:trHeight w:val="280" w:hRule="atLeast"/>
          <w:jc w:val="center"/>
        </w:trPr>
        <w:tc>
          <w:tcPr>
            <w:tcW w:w="1984" w:type="dxa"/>
            <w:tcBorders>
              <w:top w:val="single" w:color="auto" w:sz="4" w:space="0"/>
              <w:left w:val="single" w:color="auto" w:sz="4" w:space="0"/>
              <w:bottom w:val="nil"/>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转发性能 </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交换容量≥2Tbps；</w:t>
            </w:r>
          </w:p>
        </w:tc>
      </w:tr>
      <w:tr>
        <w:tblPrEx>
          <w:tblCellMar>
            <w:top w:w="0" w:type="dxa"/>
            <w:left w:w="108" w:type="dxa"/>
            <w:bottom w:w="0" w:type="dxa"/>
            <w:right w:w="108" w:type="dxa"/>
          </w:tblCellMar>
        </w:tblPrEx>
        <w:trPr>
          <w:trHeight w:val="280" w:hRule="atLeast"/>
          <w:jc w:val="center"/>
        </w:trPr>
        <w:tc>
          <w:tcPr>
            <w:tcW w:w="1984" w:type="dxa"/>
            <w:tcBorders>
              <w:top w:val="single" w:color="auto" w:sz="4" w:space="0"/>
              <w:left w:val="single" w:color="auto" w:sz="4" w:space="0"/>
              <w:bottom w:val="nil"/>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硬件规格 </w:t>
            </w:r>
          </w:p>
        </w:tc>
        <w:tc>
          <w:tcPr>
            <w:tcW w:w="7088" w:type="dxa"/>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高度1U，固定接口交换机，电源1+1备份，风扇3+1备份，支持前后、后前风道；</w:t>
            </w:r>
          </w:p>
        </w:tc>
      </w:tr>
      <w:tr>
        <w:tblPrEx>
          <w:tblCellMar>
            <w:top w:w="0" w:type="dxa"/>
            <w:left w:w="108" w:type="dxa"/>
            <w:bottom w:w="0" w:type="dxa"/>
            <w:right w:w="108" w:type="dxa"/>
          </w:tblCellMar>
        </w:tblPrEx>
        <w:trPr>
          <w:trHeight w:val="280" w:hRule="atLeast"/>
          <w:jc w:val="center"/>
        </w:trPr>
        <w:tc>
          <w:tcPr>
            <w:tcW w:w="1984" w:type="dxa"/>
            <w:tcBorders>
              <w:top w:val="single" w:color="auto" w:sz="4" w:space="0"/>
              <w:left w:val="single" w:color="auto" w:sz="4" w:space="0"/>
              <w:bottom w:val="single" w:color="auto" w:sz="4" w:space="0"/>
              <w:right w:val="single" w:color="auto" w:sz="4" w:space="0"/>
            </w:tcBorders>
            <w:shd w:val="clear" w:color="000000" w:fill="FFFFFF"/>
            <w:vAlign w:val="center"/>
          </w:tcPr>
          <w:p>
            <w:pPr>
              <w:rPr>
                <w:rFonts w:ascii="宋体" w:hAnsi="宋体" w:cs="宋体"/>
                <w:color w:val="000000"/>
                <w:kern w:val="0"/>
              </w:rPr>
            </w:pPr>
            <w:r>
              <w:rPr>
                <w:rFonts w:ascii="宋体" w:hAnsi="宋体" w:cs="宋体"/>
                <w:color w:val="000000"/>
                <w:kern w:val="0"/>
              </w:rPr>
              <w:t xml:space="preserve">端口配置要求 </w:t>
            </w:r>
          </w:p>
        </w:tc>
        <w:tc>
          <w:tcPr>
            <w:tcW w:w="7088" w:type="dxa"/>
            <w:tcBorders>
              <w:top w:val="nil"/>
              <w:left w:val="nil"/>
              <w:bottom w:val="single" w:color="auto" w:sz="4" w:space="0"/>
              <w:right w:val="single" w:color="auto" w:sz="4" w:space="0"/>
            </w:tcBorders>
            <w:shd w:val="clear" w:color="000000" w:fill="FFFFFF"/>
            <w:vAlign w:val="center"/>
          </w:tcPr>
          <w:p>
            <w:pPr>
              <w:rPr>
                <w:rFonts w:ascii="宋体" w:hAnsi="宋体" w:cs="宋体"/>
                <w:color w:val="000000"/>
                <w:kern w:val="0"/>
              </w:rPr>
            </w:pPr>
            <w:r>
              <w:rPr>
                <w:rFonts w:ascii="宋体" w:hAnsi="宋体" w:cs="宋体"/>
                <w:color w:val="000000"/>
                <w:kern w:val="0"/>
              </w:rPr>
              <w:t>40/100 GE 光接口≥6个 ，10GE/25GE光端口数量≥48个；</w:t>
            </w:r>
          </w:p>
        </w:tc>
      </w:tr>
      <w:tr>
        <w:tblPrEx>
          <w:tblCellMar>
            <w:top w:w="0" w:type="dxa"/>
            <w:left w:w="108" w:type="dxa"/>
            <w:bottom w:w="0" w:type="dxa"/>
            <w:right w:w="108" w:type="dxa"/>
          </w:tblCellMar>
        </w:tblPrEx>
        <w:trPr>
          <w:trHeight w:val="54"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二层功能 </w:t>
            </w:r>
          </w:p>
        </w:tc>
        <w:tc>
          <w:tcPr>
            <w:tcW w:w="7088" w:type="dxa"/>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支持Access、Trunk和Hybrid三种模式 ，支持QinQ、Mux VLAN，支持M-LAG或vPC等类似技术，支持DLDP，支持动态MAC、静态MAC和黑洞MAC表项；</w:t>
            </w:r>
          </w:p>
        </w:tc>
      </w:tr>
      <w:tr>
        <w:tblPrEx>
          <w:tblCellMar>
            <w:top w:w="0" w:type="dxa"/>
            <w:left w:w="108" w:type="dxa"/>
            <w:bottom w:w="0" w:type="dxa"/>
            <w:right w:w="108" w:type="dxa"/>
          </w:tblCellMar>
        </w:tblPrEx>
        <w:trPr>
          <w:trHeight w:val="280"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三层功能 </w:t>
            </w:r>
          </w:p>
        </w:tc>
        <w:tc>
          <w:tcPr>
            <w:tcW w:w="708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支持RIP、OSPF、ISIS、BGP等IPv4动态路由协议 ，支持RIPng、OSPFv3、ISISv6、BGP4+等IPv6动态路由协议，支持IP报文分片重组，支持BFD for OSPF，BGP，IS-IS，Static Route，支持IPv6 ND、PMTU发现；</w:t>
            </w:r>
          </w:p>
        </w:tc>
      </w:tr>
      <w:tr>
        <w:tblPrEx>
          <w:tblCellMar>
            <w:top w:w="0" w:type="dxa"/>
            <w:left w:w="108" w:type="dxa"/>
            <w:bottom w:w="0" w:type="dxa"/>
            <w:right w:w="108" w:type="dxa"/>
          </w:tblCellMar>
        </w:tblPrEx>
        <w:trPr>
          <w:trHeight w:val="280"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可靠性</w:t>
            </w:r>
          </w:p>
        </w:tc>
        <w:tc>
          <w:tcPr>
            <w:tcW w:w="708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支持VRRP、VRRP负载分担、BFD for VRRP，支持BFD 5ms检测周期，支持集群或堆叠多虚一技术，实现单一界面管理多台设备；</w:t>
            </w:r>
          </w:p>
        </w:tc>
      </w:tr>
      <w:tr>
        <w:tblPrEx>
          <w:tblCellMar>
            <w:top w:w="0" w:type="dxa"/>
            <w:left w:w="108" w:type="dxa"/>
            <w:bottom w:w="0" w:type="dxa"/>
            <w:right w:w="108" w:type="dxa"/>
          </w:tblCellMar>
        </w:tblPrEx>
        <w:trPr>
          <w:trHeight w:val="280"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安全性</w:t>
            </w:r>
          </w:p>
        </w:tc>
        <w:tc>
          <w:tcPr>
            <w:tcW w:w="708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支持防止Dos、arp攻击和ICMP攻击，支持微分段，支持NSH，支持IP、MAC、端口和VLAN的组合绑定，支持端口隔离，支持AAA、Radius和TACACS认证，支持RMON；</w:t>
            </w:r>
          </w:p>
        </w:tc>
      </w:tr>
      <w:tr>
        <w:tblPrEx>
          <w:tblCellMar>
            <w:top w:w="0" w:type="dxa"/>
            <w:left w:w="108" w:type="dxa"/>
            <w:bottom w:w="0" w:type="dxa"/>
            <w:right w:w="108" w:type="dxa"/>
          </w:tblCellMar>
        </w:tblPrEx>
        <w:trPr>
          <w:trHeight w:val="280"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配置和维护 </w:t>
            </w:r>
          </w:p>
        </w:tc>
        <w:tc>
          <w:tcPr>
            <w:tcW w:w="708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支持Telemetry, 支持IPCA，支持SNMP V1/V2/V3、Telnet、RMON、SSH，支持配置回滚，支持全网路径探测，支持缓存的微突发检测，支持BootROM升级和远程在线升级，支持ZTP技术，配置自动下发；</w:t>
            </w:r>
          </w:p>
        </w:tc>
      </w:tr>
      <w:tr>
        <w:tblPrEx>
          <w:tblCellMar>
            <w:top w:w="0" w:type="dxa"/>
            <w:left w:w="108" w:type="dxa"/>
            <w:bottom w:w="0" w:type="dxa"/>
            <w:right w:w="108" w:type="dxa"/>
          </w:tblCellMar>
        </w:tblPrEx>
        <w:trPr>
          <w:trHeight w:val="351"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资质证书 </w:t>
            </w:r>
          </w:p>
        </w:tc>
        <w:tc>
          <w:tcPr>
            <w:tcW w:w="7088" w:type="dxa"/>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获得国家版权局颁发的软件著作权证书，提供证书复印件；</w:t>
            </w:r>
          </w:p>
        </w:tc>
      </w:tr>
    </w:tbl>
    <w:p>
      <w:pPr>
        <w:spacing w:line="276" w:lineRule="auto"/>
      </w:pPr>
    </w:p>
    <w:tbl>
      <w:tblPr>
        <w:tblStyle w:val="11"/>
        <w:tblW w:w="0" w:type="auto"/>
        <w:jc w:val="center"/>
        <w:tblLayout w:type="autofit"/>
        <w:tblCellMar>
          <w:top w:w="0" w:type="dxa"/>
          <w:left w:w="108" w:type="dxa"/>
          <w:bottom w:w="0" w:type="dxa"/>
          <w:right w:w="108" w:type="dxa"/>
        </w:tblCellMar>
      </w:tblPr>
      <w:tblGrid>
        <w:gridCol w:w="1888"/>
        <w:gridCol w:w="6634"/>
      </w:tblGrid>
      <w:tr>
        <w:tblPrEx>
          <w:tblCellMar>
            <w:top w:w="0" w:type="dxa"/>
            <w:left w:w="108" w:type="dxa"/>
            <w:bottom w:w="0" w:type="dxa"/>
            <w:right w:w="108" w:type="dxa"/>
          </w:tblCellMar>
        </w:tblPrEx>
        <w:trPr>
          <w:trHeight w:val="454" w:hRule="atLeast"/>
          <w:jc w:val="center"/>
        </w:trPr>
        <w:tc>
          <w:tcPr>
            <w:tcW w:w="9072"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b/>
                <w:bCs/>
                <w:color w:val="000000"/>
              </w:rPr>
            </w:pPr>
            <w:r>
              <w:rPr>
                <w:rFonts w:ascii="宋体" w:hAnsi="宋体" w:cs="Times New Roman"/>
                <w:b/>
                <w:bCs/>
                <w:kern w:val="0"/>
              </w:rPr>
              <w:t>用途：带外管理核心交换机</w:t>
            </w:r>
          </w:p>
        </w:tc>
      </w:tr>
      <w:tr>
        <w:tblPrEx>
          <w:tblCellMar>
            <w:top w:w="0" w:type="dxa"/>
            <w:left w:w="108" w:type="dxa"/>
            <w:bottom w:w="0" w:type="dxa"/>
            <w:right w:w="108" w:type="dxa"/>
          </w:tblCellMar>
        </w:tblPrEx>
        <w:trPr>
          <w:trHeight w:val="285" w:hRule="atLeast"/>
          <w:jc w:val="center"/>
        </w:trPr>
        <w:tc>
          <w:tcPr>
            <w:tcW w:w="1984" w:type="dxa"/>
            <w:tcBorders>
              <w:top w:val="single" w:color="auto" w:sz="4" w:space="0"/>
              <w:left w:val="single" w:color="auto" w:sz="4" w:space="0"/>
              <w:bottom w:val="single" w:color="auto" w:sz="4" w:space="0"/>
              <w:right w:val="single" w:color="auto" w:sz="4" w:space="0"/>
            </w:tcBorders>
            <w:shd w:val="clear" w:color="auto" w:fill="BFBFBF"/>
            <w:vAlign w:val="center"/>
          </w:tcPr>
          <w:p>
            <w:pPr>
              <w:rPr>
                <w:rFonts w:ascii="宋体" w:hAnsi="宋体" w:cs="Times New Roman"/>
                <w:b/>
                <w:bCs/>
                <w:kern w:val="0"/>
              </w:rPr>
            </w:pPr>
            <w:r>
              <w:rPr>
                <w:rFonts w:ascii="宋体" w:hAnsi="宋体" w:cs="Times New Roman"/>
                <w:b/>
                <w:bCs/>
                <w:kern w:val="0"/>
              </w:rPr>
              <w:t>指标项</w:t>
            </w:r>
          </w:p>
        </w:tc>
        <w:tc>
          <w:tcPr>
            <w:tcW w:w="7088" w:type="dxa"/>
            <w:tcBorders>
              <w:top w:val="single" w:color="auto" w:sz="4" w:space="0"/>
              <w:left w:val="nil"/>
              <w:bottom w:val="single" w:color="auto" w:sz="4" w:space="0"/>
              <w:right w:val="single" w:color="auto" w:sz="4" w:space="0"/>
            </w:tcBorders>
            <w:shd w:val="clear" w:color="auto" w:fill="BFBFBF"/>
            <w:vAlign w:val="center"/>
          </w:tcPr>
          <w:p>
            <w:pPr>
              <w:rPr>
                <w:rFonts w:ascii="宋体" w:hAnsi="宋体" w:cs="Times New Roman"/>
                <w:b/>
                <w:bCs/>
                <w:kern w:val="0"/>
              </w:rPr>
            </w:pPr>
            <w:r>
              <w:rPr>
                <w:rFonts w:ascii="宋体" w:hAnsi="宋体" w:cs="Times New Roman"/>
                <w:b/>
                <w:bCs/>
                <w:kern w:val="0"/>
              </w:rPr>
              <w:t>指标要求（除特别说明外，以下为单台设备的配置要求）</w:t>
            </w:r>
          </w:p>
        </w:tc>
      </w:tr>
      <w:tr>
        <w:tblPrEx>
          <w:tblCellMar>
            <w:top w:w="0" w:type="dxa"/>
            <w:left w:w="108" w:type="dxa"/>
            <w:bottom w:w="0" w:type="dxa"/>
            <w:right w:w="108" w:type="dxa"/>
          </w:tblCellMar>
        </w:tblPrEx>
        <w:trPr>
          <w:trHeight w:val="70"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交换容量</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≥590Gbps</w:t>
            </w:r>
          </w:p>
        </w:tc>
      </w:tr>
      <w:tr>
        <w:tblPrEx>
          <w:tblCellMar>
            <w:top w:w="0" w:type="dxa"/>
            <w:left w:w="108" w:type="dxa"/>
            <w:bottom w:w="0" w:type="dxa"/>
            <w:right w:w="108" w:type="dxa"/>
          </w:tblCellMar>
        </w:tblPrEx>
        <w:trPr>
          <w:trHeight w:val="70" w:hRule="atLeast"/>
          <w:jc w:val="center"/>
        </w:trPr>
        <w:tc>
          <w:tcPr>
            <w:tcW w:w="1984" w:type="dxa"/>
            <w:tcBorders>
              <w:top w:val="nil"/>
              <w:left w:val="single" w:color="auto" w:sz="4" w:space="0"/>
              <w:right w:val="single" w:color="auto" w:sz="4" w:space="0"/>
            </w:tcBorders>
            <w:vAlign w:val="center"/>
          </w:tcPr>
          <w:p>
            <w:pPr>
              <w:rPr>
                <w:rFonts w:ascii="宋体" w:hAnsi="宋体" w:cs="宋体"/>
              </w:rPr>
            </w:pPr>
            <w:r>
              <w:rPr>
                <w:rFonts w:ascii="宋体" w:hAnsi="宋体" w:cs="宋体"/>
              </w:rPr>
              <w:t>转发性能</w:t>
            </w:r>
          </w:p>
        </w:tc>
        <w:tc>
          <w:tcPr>
            <w:tcW w:w="7088" w:type="dxa"/>
            <w:tcBorders>
              <w:top w:val="nil"/>
              <w:left w:val="single" w:color="auto" w:sz="4" w:space="0"/>
              <w:bottom w:val="single" w:color="000000" w:sz="4" w:space="0"/>
              <w:right w:val="single" w:color="auto" w:sz="4" w:space="0"/>
            </w:tcBorders>
            <w:vAlign w:val="center"/>
          </w:tcPr>
          <w:p>
            <w:pPr>
              <w:rPr>
                <w:rFonts w:ascii="宋体" w:hAnsi="宋体" w:cs="宋体"/>
                <w:color w:val="FF0000"/>
              </w:rPr>
            </w:pPr>
            <w:r>
              <w:rPr>
                <w:rFonts w:ascii="宋体" w:hAnsi="宋体" w:cs="宋体"/>
              </w:rPr>
              <w:t xml:space="preserve">≥250Mpps </w:t>
            </w:r>
          </w:p>
        </w:tc>
      </w:tr>
      <w:tr>
        <w:tblPrEx>
          <w:tblCellMar>
            <w:top w:w="0" w:type="dxa"/>
            <w:left w:w="108" w:type="dxa"/>
            <w:bottom w:w="0" w:type="dxa"/>
            <w:right w:w="108" w:type="dxa"/>
          </w:tblCellMar>
        </w:tblPrEx>
        <w:trPr>
          <w:trHeight w:val="115" w:hRule="atLeast"/>
          <w:jc w:val="center"/>
        </w:trPr>
        <w:tc>
          <w:tcPr>
            <w:tcW w:w="1984" w:type="dxa"/>
            <w:tcBorders>
              <w:top w:val="single" w:color="auto" w:sz="4" w:space="0"/>
              <w:left w:val="single" w:color="auto" w:sz="4" w:space="0"/>
              <w:right w:val="single" w:color="auto" w:sz="4" w:space="0"/>
            </w:tcBorders>
            <w:vAlign w:val="center"/>
          </w:tcPr>
          <w:p>
            <w:pPr>
              <w:rPr>
                <w:rFonts w:ascii="宋体" w:hAnsi="宋体" w:cs="宋体"/>
              </w:rPr>
            </w:pPr>
            <w:r>
              <w:rPr>
                <w:rFonts w:ascii="宋体" w:hAnsi="宋体" w:cs="宋体"/>
              </w:rPr>
              <w:t>接口</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千兆电口≥48，万兆光口≥4, 40GE光口≥2</w:t>
            </w:r>
          </w:p>
        </w:tc>
      </w:tr>
      <w:tr>
        <w:tblPrEx>
          <w:tblCellMar>
            <w:top w:w="0" w:type="dxa"/>
            <w:left w:w="108" w:type="dxa"/>
            <w:bottom w:w="0" w:type="dxa"/>
            <w:right w:w="108" w:type="dxa"/>
          </w:tblCellMar>
        </w:tblPrEx>
        <w:trPr>
          <w:trHeight w:val="115" w:hRule="atLeast"/>
          <w:jc w:val="center"/>
        </w:trPr>
        <w:tc>
          <w:tcPr>
            <w:tcW w:w="1984" w:type="dxa"/>
            <w:tcBorders>
              <w:top w:val="single" w:color="auto" w:sz="4" w:space="0"/>
              <w:left w:val="single" w:color="auto" w:sz="4" w:space="0"/>
              <w:right w:val="single" w:color="auto" w:sz="4" w:space="0"/>
            </w:tcBorders>
            <w:vAlign w:val="center"/>
          </w:tcPr>
          <w:p>
            <w:pPr>
              <w:rPr>
                <w:rFonts w:ascii="宋体" w:hAnsi="宋体" w:cs="宋体"/>
              </w:rPr>
            </w:pPr>
            <w:r>
              <w:rPr>
                <w:rFonts w:ascii="宋体" w:hAnsi="宋体" w:cs="宋体"/>
              </w:rPr>
              <w:t>电源</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支持双电源冗余</w:t>
            </w:r>
          </w:p>
        </w:tc>
      </w:tr>
      <w:tr>
        <w:tblPrEx>
          <w:tblCellMar>
            <w:top w:w="0" w:type="dxa"/>
            <w:left w:w="108" w:type="dxa"/>
            <w:bottom w:w="0" w:type="dxa"/>
            <w:right w:w="108" w:type="dxa"/>
          </w:tblCellMar>
        </w:tblPrEx>
        <w:trPr>
          <w:trHeight w:val="115" w:hRule="atLeast"/>
          <w:jc w:val="center"/>
        </w:trPr>
        <w:tc>
          <w:tcPr>
            <w:tcW w:w="1984" w:type="dxa"/>
            <w:tcBorders>
              <w:top w:val="single" w:color="auto" w:sz="4" w:space="0"/>
              <w:left w:val="single" w:color="auto" w:sz="4" w:space="0"/>
              <w:right w:val="single" w:color="auto" w:sz="4" w:space="0"/>
            </w:tcBorders>
            <w:vAlign w:val="center"/>
          </w:tcPr>
          <w:p>
            <w:pPr>
              <w:rPr>
                <w:rFonts w:ascii="宋体" w:hAnsi="宋体" w:cs="宋体"/>
              </w:rPr>
            </w:pPr>
            <w:r>
              <w:rPr>
                <w:rFonts w:ascii="宋体" w:hAnsi="宋体" w:cs="宋体"/>
              </w:rPr>
              <w:t>扩展槽</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扩展槽≥1，支持1G、10G、40G插卡以及防火墙插卡</w:t>
            </w:r>
          </w:p>
        </w:tc>
      </w:tr>
      <w:tr>
        <w:tblPrEx>
          <w:tblCellMar>
            <w:top w:w="0" w:type="dxa"/>
            <w:left w:w="108" w:type="dxa"/>
            <w:bottom w:w="0" w:type="dxa"/>
            <w:right w:w="108" w:type="dxa"/>
          </w:tblCellMar>
        </w:tblPrEx>
        <w:trPr>
          <w:trHeight w:val="70" w:hRule="atLeast"/>
          <w:jc w:val="center"/>
        </w:trPr>
        <w:tc>
          <w:tcPr>
            <w:tcW w:w="1984" w:type="dxa"/>
            <w:vMerge w:val="restart"/>
            <w:tcBorders>
              <w:top w:val="single" w:color="auto" w:sz="4" w:space="0"/>
              <w:left w:val="single" w:color="auto" w:sz="4" w:space="0"/>
              <w:right w:val="single" w:color="auto" w:sz="4" w:space="0"/>
            </w:tcBorders>
            <w:vAlign w:val="center"/>
          </w:tcPr>
          <w:p>
            <w:pPr>
              <w:rPr>
                <w:rFonts w:ascii="宋体" w:hAnsi="宋体" w:cs="宋体"/>
              </w:rPr>
            </w:pPr>
            <w:r>
              <w:rPr>
                <w:rFonts w:ascii="宋体" w:hAnsi="宋体" w:cs="宋体"/>
              </w:rPr>
              <w:t>VxLAN</w:t>
            </w:r>
          </w:p>
        </w:tc>
        <w:tc>
          <w:tcPr>
            <w:tcW w:w="7088" w:type="dxa"/>
            <w:tcBorders>
              <w:top w:val="nil"/>
              <w:left w:val="nil"/>
              <w:bottom w:val="single" w:color="auto" w:sz="4" w:space="0"/>
              <w:right w:val="single" w:color="auto" w:sz="4" w:space="0"/>
            </w:tcBorders>
            <w:vAlign w:val="center"/>
          </w:tcPr>
          <w:p>
            <w:pPr>
              <w:rPr>
                <w:rFonts w:ascii="宋体" w:hAnsi="宋体" w:cs="宋体"/>
                <w:color w:val="000000"/>
              </w:rPr>
            </w:pPr>
            <w:r>
              <w:rPr>
                <w:rFonts w:ascii="宋体" w:hAnsi="宋体" w:cs="宋体"/>
                <w:color w:val="000000"/>
              </w:rPr>
              <w:t>支持二层VxLAN</w:t>
            </w:r>
          </w:p>
        </w:tc>
      </w:tr>
      <w:tr>
        <w:tblPrEx>
          <w:tblCellMar>
            <w:top w:w="0" w:type="dxa"/>
            <w:left w:w="108" w:type="dxa"/>
            <w:bottom w:w="0" w:type="dxa"/>
            <w:right w:w="108" w:type="dxa"/>
          </w:tblCellMar>
        </w:tblPrEx>
        <w:trPr>
          <w:trHeight w:val="70" w:hRule="atLeast"/>
          <w:jc w:val="center"/>
        </w:trPr>
        <w:tc>
          <w:tcPr>
            <w:tcW w:w="1984" w:type="dxa"/>
            <w:vMerge w:val="continue"/>
            <w:tcBorders>
              <w:left w:val="single" w:color="auto" w:sz="4" w:space="0"/>
              <w:right w:val="single" w:color="auto" w:sz="4" w:space="0"/>
            </w:tcBorders>
            <w:vAlign w:val="center"/>
          </w:tcPr>
          <w:p>
            <w:pPr>
              <w:rPr>
                <w:rFonts w:ascii="宋体" w:hAnsi="宋体" w:cs="宋体"/>
              </w:rPr>
            </w:pPr>
          </w:p>
        </w:tc>
        <w:tc>
          <w:tcPr>
            <w:tcW w:w="7088" w:type="dxa"/>
            <w:tcBorders>
              <w:top w:val="nil"/>
              <w:left w:val="nil"/>
              <w:bottom w:val="single" w:color="auto" w:sz="4" w:space="0"/>
              <w:right w:val="single" w:color="auto" w:sz="4" w:space="0"/>
            </w:tcBorders>
            <w:vAlign w:val="center"/>
          </w:tcPr>
          <w:p>
            <w:pPr>
              <w:rPr>
                <w:rFonts w:ascii="宋体" w:hAnsi="宋体" w:cs="宋体"/>
                <w:color w:val="000000"/>
              </w:rPr>
            </w:pPr>
            <w:r>
              <w:rPr>
                <w:rFonts w:ascii="宋体" w:hAnsi="宋体" w:cs="宋体"/>
                <w:color w:val="000000"/>
              </w:rPr>
              <w:t>支持三层VxLAN</w:t>
            </w:r>
          </w:p>
        </w:tc>
      </w:tr>
      <w:tr>
        <w:tblPrEx>
          <w:tblCellMar>
            <w:top w:w="0" w:type="dxa"/>
            <w:left w:w="108" w:type="dxa"/>
            <w:bottom w:w="0" w:type="dxa"/>
            <w:right w:w="108" w:type="dxa"/>
          </w:tblCellMar>
        </w:tblPrEx>
        <w:trPr>
          <w:trHeight w:val="70" w:hRule="atLeast"/>
          <w:jc w:val="center"/>
        </w:trPr>
        <w:tc>
          <w:tcPr>
            <w:tcW w:w="1984" w:type="dxa"/>
            <w:vMerge w:val="continue"/>
            <w:tcBorders>
              <w:left w:val="single" w:color="auto" w:sz="4" w:space="0"/>
              <w:bottom w:val="single" w:color="auto" w:sz="4" w:space="0"/>
              <w:right w:val="single" w:color="auto" w:sz="4" w:space="0"/>
            </w:tcBorders>
            <w:vAlign w:val="center"/>
          </w:tcPr>
          <w:p>
            <w:pPr>
              <w:rPr>
                <w:rFonts w:ascii="宋体" w:hAnsi="宋体" w:cs="宋体"/>
              </w:rPr>
            </w:pPr>
          </w:p>
        </w:tc>
        <w:tc>
          <w:tcPr>
            <w:tcW w:w="7088" w:type="dxa"/>
            <w:tcBorders>
              <w:top w:val="nil"/>
              <w:left w:val="nil"/>
              <w:bottom w:val="single" w:color="auto" w:sz="4" w:space="0"/>
              <w:right w:val="single" w:color="auto" w:sz="4" w:space="0"/>
            </w:tcBorders>
            <w:vAlign w:val="center"/>
          </w:tcPr>
          <w:p>
            <w:pPr>
              <w:rPr>
                <w:rFonts w:ascii="宋体" w:hAnsi="宋体" w:cs="宋体"/>
                <w:color w:val="000000"/>
              </w:rPr>
            </w:pPr>
            <w:r>
              <w:rPr>
                <w:rFonts w:ascii="宋体" w:hAnsi="宋体" w:cs="宋体"/>
                <w:color w:val="000000"/>
              </w:rPr>
              <w:t>支持EVPN</w:t>
            </w:r>
          </w:p>
        </w:tc>
      </w:tr>
      <w:tr>
        <w:tblPrEx>
          <w:tblCellMar>
            <w:top w:w="0" w:type="dxa"/>
            <w:left w:w="108" w:type="dxa"/>
            <w:bottom w:w="0" w:type="dxa"/>
            <w:right w:w="108" w:type="dxa"/>
          </w:tblCellMar>
        </w:tblPrEx>
        <w:trPr>
          <w:trHeight w:val="50"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链路聚合</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支持最多8个GE口或4个10 GE端口聚合；支持最多128个聚合组（IRF2）；支持LACP</w:t>
            </w:r>
          </w:p>
        </w:tc>
      </w:tr>
      <w:tr>
        <w:tblPrEx>
          <w:tblCellMar>
            <w:top w:w="0" w:type="dxa"/>
            <w:left w:w="108" w:type="dxa"/>
            <w:bottom w:w="0" w:type="dxa"/>
            <w:right w:w="108" w:type="dxa"/>
          </w:tblCellMar>
        </w:tblPrEx>
        <w:trPr>
          <w:trHeight w:val="285" w:hRule="atLeast"/>
          <w:jc w:val="center"/>
        </w:trPr>
        <w:tc>
          <w:tcPr>
            <w:tcW w:w="1984" w:type="dxa"/>
            <w:vMerge w:val="restart"/>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可靠性</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支持VRRPv2/v3（虚拟路由冗余协议)；</w:t>
            </w:r>
          </w:p>
        </w:tc>
      </w:tr>
      <w:tr>
        <w:tblPrEx>
          <w:tblCellMar>
            <w:top w:w="0" w:type="dxa"/>
            <w:left w:w="108" w:type="dxa"/>
            <w:bottom w:w="0" w:type="dxa"/>
            <w:right w:w="108" w:type="dxa"/>
          </w:tblCellMar>
        </w:tblPrEx>
        <w:trPr>
          <w:trHeight w:val="70" w:hRule="atLeast"/>
          <w:jc w:val="center"/>
        </w:trPr>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cs="宋体"/>
              </w:rPr>
            </w:pP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支持RRPP（快速环网保护协议），环网故障恢复时间不超过200ms；</w:t>
            </w:r>
          </w:p>
        </w:tc>
      </w:tr>
      <w:tr>
        <w:tblPrEx>
          <w:tblCellMar>
            <w:top w:w="0" w:type="dxa"/>
            <w:left w:w="108" w:type="dxa"/>
            <w:bottom w:w="0" w:type="dxa"/>
            <w:right w:w="108" w:type="dxa"/>
          </w:tblCellMar>
        </w:tblPrEx>
        <w:trPr>
          <w:trHeight w:val="50"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Macsec</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支持802.1ae Macsec安全加密，实现MAC层安全加密，包括用户数据加密、数据帧完整性检查及数据源真实性校验。无需软件授权</w:t>
            </w:r>
          </w:p>
        </w:tc>
      </w:tr>
      <w:tr>
        <w:tblPrEx>
          <w:tblCellMar>
            <w:top w:w="0" w:type="dxa"/>
            <w:left w:w="108" w:type="dxa"/>
            <w:bottom w:w="0" w:type="dxa"/>
            <w:right w:w="108" w:type="dxa"/>
          </w:tblCellMar>
        </w:tblPrEx>
        <w:trPr>
          <w:trHeight w:val="570"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有线无线一体化</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内置软AC功能，交换平台实现有线无线一体化集成，配合MC-AC分层模式，消除无线带宽瓶颈</w:t>
            </w:r>
          </w:p>
        </w:tc>
      </w:tr>
      <w:tr>
        <w:tblPrEx>
          <w:tblCellMar>
            <w:top w:w="0" w:type="dxa"/>
            <w:left w:w="108" w:type="dxa"/>
            <w:bottom w:w="0" w:type="dxa"/>
            <w:right w:w="108" w:type="dxa"/>
          </w:tblCellMar>
        </w:tblPrEx>
        <w:trPr>
          <w:trHeight w:val="285" w:hRule="atLeast"/>
          <w:jc w:val="center"/>
        </w:trPr>
        <w:tc>
          <w:tcPr>
            <w:tcW w:w="1984" w:type="dxa"/>
            <w:vMerge w:val="restart"/>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管理和维护</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支持SNMP V1/V2/V3、RMON、SSHV2</w:t>
            </w:r>
          </w:p>
        </w:tc>
      </w:tr>
      <w:tr>
        <w:tblPrEx>
          <w:tblCellMar>
            <w:top w:w="0" w:type="dxa"/>
            <w:left w:w="108" w:type="dxa"/>
            <w:bottom w:w="0" w:type="dxa"/>
            <w:right w:w="108" w:type="dxa"/>
          </w:tblCellMar>
        </w:tblPrEx>
        <w:trPr>
          <w:trHeight w:val="47" w:hRule="atLeast"/>
          <w:jc w:val="center"/>
        </w:trPr>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cs="宋体"/>
              </w:rPr>
            </w:pPr>
          </w:p>
        </w:tc>
        <w:tc>
          <w:tcPr>
            <w:tcW w:w="7088" w:type="dxa"/>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支持OAM(802.1AG， 802.3AH)以太网运行、维护和管理标准</w:t>
            </w:r>
          </w:p>
        </w:tc>
      </w:tr>
    </w:tbl>
    <w:p>
      <w:pPr>
        <w:spacing w:line="276" w:lineRule="auto"/>
      </w:pPr>
    </w:p>
    <w:tbl>
      <w:tblPr>
        <w:tblStyle w:val="11"/>
        <w:tblW w:w="9072" w:type="dxa"/>
        <w:jc w:val="center"/>
        <w:tblLayout w:type="fixed"/>
        <w:tblCellMar>
          <w:top w:w="0" w:type="dxa"/>
          <w:left w:w="108" w:type="dxa"/>
          <w:bottom w:w="0" w:type="dxa"/>
          <w:right w:w="108" w:type="dxa"/>
        </w:tblCellMar>
      </w:tblPr>
      <w:tblGrid>
        <w:gridCol w:w="1984"/>
        <w:gridCol w:w="7088"/>
      </w:tblGrid>
      <w:tr>
        <w:tblPrEx>
          <w:tblCellMar>
            <w:top w:w="0" w:type="dxa"/>
            <w:left w:w="108" w:type="dxa"/>
            <w:bottom w:w="0" w:type="dxa"/>
            <w:right w:w="108" w:type="dxa"/>
          </w:tblCellMar>
        </w:tblPrEx>
        <w:trPr>
          <w:trHeight w:val="454" w:hRule="atLeast"/>
          <w:jc w:val="center"/>
        </w:trPr>
        <w:tc>
          <w:tcPr>
            <w:tcW w:w="9072"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b/>
                <w:bCs/>
                <w:color w:val="000000"/>
              </w:rPr>
            </w:pPr>
            <w:r>
              <w:rPr>
                <w:rFonts w:ascii="宋体" w:hAnsi="宋体" w:cs="Times New Roman"/>
                <w:b/>
                <w:bCs/>
                <w:kern w:val="0"/>
              </w:rPr>
              <w:t>用途：带外管理汇聚交换机</w:t>
            </w:r>
          </w:p>
        </w:tc>
      </w:tr>
      <w:tr>
        <w:tblPrEx>
          <w:tblCellMar>
            <w:top w:w="0" w:type="dxa"/>
            <w:left w:w="108" w:type="dxa"/>
            <w:bottom w:w="0" w:type="dxa"/>
            <w:right w:w="108" w:type="dxa"/>
          </w:tblCellMar>
        </w:tblPrEx>
        <w:trPr>
          <w:trHeight w:val="285" w:hRule="atLeast"/>
          <w:jc w:val="center"/>
        </w:trPr>
        <w:tc>
          <w:tcPr>
            <w:tcW w:w="1984" w:type="dxa"/>
            <w:tcBorders>
              <w:top w:val="single" w:color="auto" w:sz="4" w:space="0"/>
              <w:left w:val="single" w:color="auto" w:sz="4" w:space="0"/>
              <w:bottom w:val="single" w:color="auto" w:sz="4" w:space="0"/>
              <w:right w:val="single" w:color="auto" w:sz="4" w:space="0"/>
            </w:tcBorders>
            <w:shd w:val="clear" w:color="auto" w:fill="BFBFBF"/>
            <w:vAlign w:val="center"/>
          </w:tcPr>
          <w:p>
            <w:pPr>
              <w:rPr>
                <w:rFonts w:ascii="宋体" w:hAnsi="宋体" w:cs="Times New Roman"/>
                <w:b/>
                <w:bCs/>
                <w:kern w:val="0"/>
              </w:rPr>
            </w:pPr>
            <w:r>
              <w:rPr>
                <w:rFonts w:ascii="宋体" w:hAnsi="宋体" w:cs="Times New Roman"/>
                <w:b/>
                <w:bCs/>
                <w:kern w:val="0"/>
              </w:rPr>
              <w:t>指标项</w:t>
            </w:r>
          </w:p>
        </w:tc>
        <w:tc>
          <w:tcPr>
            <w:tcW w:w="7088" w:type="dxa"/>
            <w:tcBorders>
              <w:top w:val="single" w:color="auto" w:sz="4" w:space="0"/>
              <w:left w:val="nil"/>
              <w:bottom w:val="single" w:color="auto" w:sz="4" w:space="0"/>
              <w:right w:val="single" w:color="auto" w:sz="4" w:space="0"/>
            </w:tcBorders>
            <w:shd w:val="clear" w:color="auto" w:fill="BFBFBF"/>
            <w:vAlign w:val="center"/>
          </w:tcPr>
          <w:p>
            <w:pPr>
              <w:rPr>
                <w:rFonts w:ascii="宋体" w:hAnsi="宋体" w:cs="Times New Roman"/>
                <w:b/>
                <w:bCs/>
                <w:kern w:val="0"/>
              </w:rPr>
            </w:pPr>
            <w:r>
              <w:rPr>
                <w:rFonts w:ascii="宋体" w:hAnsi="宋体" w:cs="Times New Roman"/>
                <w:b/>
                <w:bCs/>
                <w:kern w:val="0"/>
              </w:rPr>
              <w:t>指标要求（除特别说明外，以下为单台设备的配置要求）</w:t>
            </w:r>
          </w:p>
        </w:tc>
      </w:tr>
      <w:tr>
        <w:tblPrEx>
          <w:tblCellMar>
            <w:top w:w="0" w:type="dxa"/>
            <w:left w:w="108" w:type="dxa"/>
            <w:bottom w:w="0" w:type="dxa"/>
            <w:right w:w="108" w:type="dxa"/>
          </w:tblCellMar>
        </w:tblPrEx>
        <w:trPr>
          <w:trHeight w:val="279"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交换容量</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≥330Gbps</w:t>
            </w:r>
          </w:p>
        </w:tc>
      </w:tr>
      <w:tr>
        <w:tblPrEx>
          <w:tblCellMar>
            <w:top w:w="0" w:type="dxa"/>
            <w:left w:w="108" w:type="dxa"/>
            <w:bottom w:w="0" w:type="dxa"/>
            <w:right w:w="108" w:type="dxa"/>
          </w:tblCellMar>
        </w:tblPrEx>
        <w:trPr>
          <w:trHeight w:val="139"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转发性能</w:t>
            </w:r>
          </w:p>
        </w:tc>
        <w:tc>
          <w:tcPr>
            <w:tcW w:w="7088" w:type="dxa"/>
            <w:tcBorders>
              <w:top w:val="nil"/>
              <w:left w:val="single" w:color="auto" w:sz="4" w:space="0"/>
              <w:bottom w:val="single" w:color="000000" w:sz="4" w:space="0"/>
              <w:right w:val="single" w:color="auto" w:sz="4" w:space="0"/>
            </w:tcBorders>
            <w:vAlign w:val="center"/>
          </w:tcPr>
          <w:p>
            <w:pPr>
              <w:rPr>
                <w:rFonts w:ascii="宋体" w:hAnsi="宋体" w:cs="宋体"/>
              </w:rPr>
            </w:pPr>
            <w:r>
              <w:rPr>
                <w:rFonts w:ascii="宋体" w:hAnsi="宋体" w:cs="宋体"/>
              </w:rPr>
              <w:t>≥87Mpps</w:t>
            </w:r>
          </w:p>
        </w:tc>
      </w:tr>
      <w:tr>
        <w:tblPrEx>
          <w:tblCellMar>
            <w:top w:w="0" w:type="dxa"/>
            <w:left w:w="108" w:type="dxa"/>
            <w:bottom w:w="0" w:type="dxa"/>
            <w:right w:w="108" w:type="dxa"/>
          </w:tblCellMar>
        </w:tblPrEx>
        <w:trPr>
          <w:trHeight w:val="285"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接口</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≥48个千兆电口，≥4个千兆光口</w:t>
            </w:r>
          </w:p>
        </w:tc>
      </w:tr>
      <w:tr>
        <w:tblPrEx>
          <w:tblCellMar>
            <w:top w:w="0" w:type="dxa"/>
            <w:left w:w="108" w:type="dxa"/>
            <w:bottom w:w="0" w:type="dxa"/>
            <w:right w:w="108" w:type="dxa"/>
          </w:tblCellMar>
        </w:tblPrEx>
        <w:trPr>
          <w:trHeight w:val="285"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堆叠</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最大堆叠台数≥9台</w:t>
            </w:r>
          </w:p>
        </w:tc>
      </w:tr>
      <w:tr>
        <w:tblPrEx>
          <w:tblCellMar>
            <w:top w:w="0" w:type="dxa"/>
            <w:left w:w="108" w:type="dxa"/>
            <w:bottom w:w="0" w:type="dxa"/>
            <w:right w:w="108" w:type="dxa"/>
          </w:tblCellMar>
        </w:tblPrEx>
        <w:trPr>
          <w:trHeight w:val="269" w:hRule="atLeast"/>
          <w:jc w:val="center"/>
        </w:trPr>
        <w:tc>
          <w:tcPr>
            <w:tcW w:w="1984" w:type="dxa"/>
            <w:vMerge w:val="restart"/>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VLAN特性</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支持基于端口的VLAN，支持基于协议的VLAN；</w:t>
            </w:r>
          </w:p>
        </w:tc>
      </w:tr>
      <w:tr>
        <w:tblPrEx>
          <w:tblCellMar>
            <w:top w:w="0" w:type="dxa"/>
            <w:left w:w="108" w:type="dxa"/>
            <w:bottom w:w="0" w:type="dxa"/>
            <w:right w:w="108" w:type="dxa"/>
          </w:tblCellMar>
        </w:tblPrEx>
        <w:trPr>
          <w:trHeight w:val="285" w:hRule="atLeast"/>
          <w:jc w:val="center"/>
        </w:trPr>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cs="宋体"/>
              </w:rPr>
            </w:pP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支持基于MAC的VLAN；</w:t>
            </w:r>
          </w:p>
        </w:tc>
      </w:tr>
      <w:tr>
        <w:tblPrEx>
          <w:tblCellMar>
            <w:top w:w="0" w:type="dxa"/>
            <w:left w:w="108" w:type="dxa"/>
            <w:bottom w:w="0" w:type="dxa"/>
            <w:right w:w="108" w:type="dxa"/>
          </w:tblCellMar>
        </w:tblPrEx>
        <w:trPr>
          <w:trHeight w:val="285" w:hRule="atLeast"/>
          <w:jc w:val="center"/>
        </w:trPr>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cs="宋体"/>
              </w:rPr>
            </w:pP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最大VLAN数(不是VLAN ID) ≥4094</w:t>
            </w:r>
          </w:p>
        </w:tc>
      </w:tr>
      <w:tr>
        <w:tblPrEx>
          <w:tblCellMar>
            <w:top w:w="0" w:type="dxa"/>
            <w:left w:w="108" w:type="dxa"/>
            <w:bottom w:w="0" w:type="dxa"/>
            <w:right w:w="108" w:type="dxa"/>
          </w:tblCellMar>
        </w:tblPrEx>
        <w:trPr>
          <w:trHeight w:val="285" w:hRule="atLeast"/>
          <w:jc w:val="center"/>
        </w:trPr>
        <w:tc>
          <w:tcPr>
            <w:tcW w:w="1984" w:type="dxa"/>
            <w:vMerge w:val="restart"/>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管理和维护</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支持SNMP V1/V2/V3、RMON、SSHV2</w:t>
            </w:r>
          </w:p>
        </w:tc>
      </w:tr>
      <w:tr>
        <w:tblPrEx>
          <w:tblCellMar>
            <w:top w:w="0" w:type="dxa"/>
            <w:left w:w="108" w:type="dxa"/>
            <w:bottom w:w="0" w:type="dxa"/>
            <w:right w:w="108" w:type="dxa"/>
          </w:tblCellMar>
        </w:tblPrEx>
        <w:trPr>
          <w:trHeight w:val="127" w:hRule="atLeast"/>
          <w:jc w:val="center"/>
        </w:trPr>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cs="宋体"/>
              </w:rPr>
            </w:pPr>
          </w:p>
        </w:tc>
        <w:tc>
          <w:tcPr>
            <w:tcW w:w="7088" w:type="dxa"/>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支持OAM(802.1AG， 802.3AH)以太网运行、维护和管理标准</w:t>
            </w:r>
          </w:p>
        </w:tc>
      </w:tr>
    </w:tbl>
    <w:p>
      <w:pPr>
        <w:spacing w:line="276" w:lineRule="auto"/>
      </w:pPr>
    </w:p>
    <w:tbl>
      <w:tblPr>
        <w:tblStyle w:val="11"/>
        <w:tblW w:w="9072" w:type="dxa"/>
        <w:jc w:val="center"/>
        <w:tblLayout w:type="fixed"/>
        <w:tblCellMar>
          <w:top w:w="0" w:type="dxa"/>
          <w:left w:w="108" w:type="dxa"/>
          <w:bottom w:w="0" w:type="dxa"/>
          <w:right w:w="108" w:type="dxa"/>
        </w:tblCellMar>
      </w:tblPr>
      <w:tblGrid>
        <w:gridCol w:w="1984"/>
        <w:gridCol w:w="7088"/>
      </w:tblGrid>
      <w:tr>
        <w:tblPrEx>
          <w:tblCellMar>
            <w:top w:w="0" w:type="dxa"/>
            <w:left w:w="108" w:type="dxa"/>
            <w:bottom w:w="0" w:type="dxa"/>
            <w:right w:w="108" w:type="dxa"/>
          </w:tblCellMar>
        </w:tblPrEx>
        <w:trPr>
          <w:trHeight w:val="454" w:hRule="atLeast"/>
          <w:jc w:val="center"/>
        </w:trPr>
        <w:tc>
          <w:tcPr>
            <w:tcW w:w="9072"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b/>
                <w:bCs/>
                <w:color w:val="000000"/>
              </w:rPr>
            </w:pPr>
            <w:r>
              <w:rPr>
                <w:rFonts w:ascii="宋体" w:hAnsi="宋体" w:cs="Times New Roman"/>
                <w:b/>
                <w:bCs/>
                <w:kern w:val="0"/>
              </w:rPr>
              <w:t>用途：带外管理接入交换机</w:t>
            </w:r>
          </w:p>
        </w:tc>
      </w:tr>
      <w:tr>
        <w:tblPrEx>
          <w:tblCellMar>
            <w:top w:w="0" w:type="dxa"/>
            <w:left w:w="108" w:type="dxa"/>
            <w:bottom w:w="0" w:type="dxa"/>
            <w:right w:w="108" w:type="dxa"/>
          </w:tblCellMar>
        </w:tblPrEx>
        <w:trPr>
          <w:trHeight w:val="285" w:hRule="atLeast"/>
          <w:jc w:val="center"/>
        </w:trPr>
        <w:tc>
          <w:tcPr>
            <w:tcW w:w="1984" w:type="dxa"/>
            <w:tcBorders>
              <w:top w:val="single" w:color="auto" w:sz="4" w:space="0"/>
              <w:left w:val="single" w:color="auto" w:sz="4" w:space="0"/>
              <w:bottom w:val="single" w:color="auto" w:sz="4" w:space="0"/>
              <w:right w:val="single" w:color="auto" w:sz="4" w:space="0"/>
            </w:tcBorders>
            <w:shd w:val="clear" w:color="auto" w:fill="BFBFBF"/>
            <w:vAlign w:val="center"/>
          </w:tcPr>
          <w:p>
            <w:pPr>
              <w:rPr>
                <w:rFonts w:ascii="宋体" w:hAnsi="宋体" w:cs="Times New Roman"/>
                <w:b/>
                <w:bCs/>
                <w:kern w:val="0"/>
              </w:rPr>
            </w:pPr>
            <w:r>
              <w:rPr>
                <w:rFonts w:ascii="宋体" w:hAnsi="宋体" w:cs="Times New Roman"/>
                <w:b/>
                <w:bCs/>
                <w:kern w:val="0"/>
              </w:rPr>
              <w:t>指标项</w:t>
            </w:r>
          </w:p>
        </w:tc>
        <w:tc>
          <w:tcPr>
            <w:tcW w:w="7088" w:type="dxa"/>
            <w:tcBorders>
              <w:top w:val="single" w:color="auto" w:sz="4" w:space="0"/>
              <w:left w:val="nil"/>
              <w:bottom w:val="single" w:color="auto" w:sz="4" w:space="0"/>
              <w:right w:val="single" w:color="auto" w:sz="4" w:space="0"/>
            </w:tcBorders>
            <w:shd w:val="clear" w:color="auto" w:fill="BFBFBF"/>
            <w:vAlign w:val="center"/>
          </w:tcPr>
          <w:p>
            <w:pPr>
              <w:rPr>
                <w:rFonts w:ascii="宋体" w:hAnsi="宋体" w:cs="Times New Roman"/>
                <w:b/>
                <w:bCs/>
                <w:kern w:val="0"/>
              </w:rPr>
            </w:pPr>
            <w:r>
              <w:rPr>
                <w:rFonts w:ascii="宋体" w:hAnsi="宋体" w:cs="Times New Roman"/>
                <w:b/>
                <w:bCs/>
                <w:kern w:val="0"/>
              </w:rPr>
              <w:t>指标要求（除特别说明外，以下为单台设备的配置要求）</w:t>
            </w:r>
          </w:p>
        </w:tc>
      </w:tr>
      <w:tr>
        <w:tblPrEx>
          <w:tblCellMar>
            <w:top w:w="0" w:type="dxa"/>
            <w:left w:w="108" w:type="dxa"/>
            <w:bottom w:w="0" w:type="dxa"/>
            <w:right w:w="108" w:type="dxa"/>
          </w:tblCellMar>
        </w:tblPrEx>
        <w:trPr>
          <w:trHeight w:val="279"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交换容量</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≥330Gbps</w:t>
            </w:r>
          </w:p>
        </w:tc>
      </w:tr>
      <w:tr>
        <w:tblPrEx>
          <w:tblCellMar>
            <w:top w:w="0" w:type="dxa"/>
            <w:left w:w="108" w:type="dxa"/>
            <w:bottom w:w="0" w:type="dxa"/>
            <w:right w:w="108" w:type="dxa"/>
          </w:tblCellMar>
        </w:tblPrEx>
        <w:trPr>
          <w:trHeight w:val="139"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转发性能</w:t>
            </w:r>
          </w:p>
        </w:tc>
        <w:tc>
          <w:tcPr>
            <w:tcW w:w="7088" w:type="dxa"/>
            <w:tcBorders>
              <w:top w:val="nil"/>
              <w:left w:val="single" w:color="auto" w:sz="4" w:space="0"/>
              <w:bottom w:val="single" w:color="000000" w:sz="4" w:space="0"/>
              <w:right w:val="single" w:color="auto" w:sz="4" w:space="0"/>
            </w:tcBorders>
            <w:vAlign w:val="center"/>
          </w:tcPr>
          <w:p>
            <w:pPr>
              <w:rPr>
                <w:rFonts w:ascii="宋体" w:hAnsi="宋体" w:cs="宋体"/>
              </w:rPr>
            </w:pPr>
            <w:r>
              <w:rPr>
                <w:rFonts w:ascii="宋体" w:hAnsi="宋体" w:cs="宋体"/>
              </w:rPr>
              <w:t>≥87Mpps</w:t>
            </w:r>
          </w:p>
        </w:tc>
      </w:tr>
      <w:tr>
        <w:tblPrEx>
          <w:tblCellMar>
            <w:top w:w="0" w:type="dxa"/>
            <w:left w:w="108" w:type="dxa"/>
            <w:bottom w:w="0" w:type="dxa"/>
            <w:right w:w="108" w:type="dxa"/>
          </w:tblCellMar>
        </w:tblPrEx>
        <w:trPr>
          <w:trHeight w:val="285" w:hRule="atLeast"/>
          <w:jc w:val="center"/>
        </w:trPr>
        <w:tc>
          <w:tcPr>
            <w:tcW w:w="198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接口</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≥48个千兆电口，≥4个千兆光口</w:t>
            </w:r>
          </w:p>
        </w:tc>
      </w:tr>
      <w:tr>
        <w:tblPrEx>
          <w:tblCellMar>
            <w:top w:w="0" w:type="dxa"/>
            <w:left w:w="108" w:type="dxa"/>
            <w:bottom w:w="0" w:type="dxa"/>
            <w:right w:w="108" w:type="dxa"/>
          </w:tblCellMar>
        </w:tblPrEx>
        <w:trPr>
          <w:trHeight w:val="285" w:hRule="atLeast"/>
          <w:jc w:val="center"/>
        </w:trPr>
        <w:tc>
          <w:tcPr>
            <w:tcW w:w="1984" w:type="dxa"/>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堆叠</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最大堆叠台数≥9台</w:t>
            </w:r>
          </w:p>
        </w:tc>
      </w:tr>
      <w:tr>
        <w:tblPrEx>
          <w:tblCellMar>
            <w:top w:w="0" w:type="dxa"/>
            <w:left w:w="108" w:type="dxa"/>
            <w:bottom w:w="0" w:type="dxa"/>
            <w:right w:w="108" w:type="dxa"/>
          </w:tblCellMar>
        </w:tblPrEx>
        <w:trPr>
          <w:trHeight w:val="269" w:hRule="atLeast"/>
          <w:jc w:val="center"/>
        </w:trPr>
        <w:tc>
          <w:tcPr>
            <w:tcW w:w="1984" w:type="dxa"/>
            <w:vMerge w:val="restart"/>
            <w:tcBorders>
              <w:top w:val="nil"/>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VLAN特性</w:t>
            </w: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支持基于端口的VLAN，支持基于协议的VLAN；</w:t>
            </w:r>
          </w:p>
        </w:tc>
      </w:tr>
      <w:tr>
        <w:tblPrEx>
          <w:tblCellMar>
            <w:top w:w="0" w:type="dxa"/>
            <w:left w:w="108" w:type="dxa"/>
            <w:bottom w:w="0" w:type="dxa"/>
            <w:right w:w="108" w:type="dxa"/>
          </w:tblCellMar>
        </w:tblPrEx>
        <w:trPr>
          <w:trHeight w:val="285" w:hRule="atLeast"/>
          <w:jc w:val="center"/>
        </w:trPr>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cs="宋体"/>
              </w:rPr>
            </w:pP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支持基于MAC的VLAN；</w:t>
            </w:r>
          </w:p>
        </w:tc>
      </w:tr>
      <w:tr>
        <w:tblPrEx>
          <w:tblCellMar>
            <w:top w:w="0" w:type="dxa"/>
            <w:left w:w="108" w:type="dxa"/>
            <w:bottom w:w="0" w:type="dxa"/>
            <w:right w:w="108" w:type="dxa"/>
          </w:tblCellMar>
        </w:tblPrEx>
        <w:trPr>
          <w:trHeight w:val="285" w:hRule="atLeast"/>
          <w:jc w:val="center"/>
        </w:trPr>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cs="宋体"/>
              </w:rPr>
            </w:pPr>
          </w:p>
        </w:tc>
        <w:tc>
          <w:tcPr>
            <w:tcW w:w="7088" w:type="dxa"/>
            <w:tcBorders>
              <w:top w:val="nil"/>
              <w:left w:val="nil"/>
              <w:bottom w:val="single" w:color="auto" w:sz="4" w:space="0"/>
              <w:right w:val="single" w:color="auto" w:sz="4" w:space="0"/>
            </w:tcBorders>
            <w:vAlign w:val="center"/>
          </w:tcPr>
          <w:p>
            <w:pPr>
              <w:rPr>
                <w:rFonts w:ascii="宋体" w:hAnsi="宋体" w:cs="宋体"/>
              </w:rPr>
            </w:pPr>
            <w:r>
              <w:rPr>
                <w:rFonts w:ascii="宋体" w:hAnsi="宋体" w:cs="宋体"/>
              </w:rPr>
              <w:t>最大VLAN数(不是VLAN ID) ≥4094</w:t>
            </w:r>
          </w:p>
        </w:tc>
      </w:tr>
      <w:tr>
        <w:tblPrEx>
          <w:tblCellMar>
            <w:top w:w="0" w:type="dxa"/>
            <w:left w:w="108" w:type="dxa"/>
            <w:bottom w:w="0" w:type="dxa"/>
            <w:right w:w="108" w:type="dxa"/>
          </w:tblCellMar>
        </w:tblPrEx>
        <w:trPr>
          <w:trHeight w:val="285" w:hRule="atLeast"/>
          <w:jc w:val="center"/>
        </w:trPr>
        <w:tc>
          <w:tcPr>
            <w:tcW w:w="1984" w:type="dxa"/>
            <w:vMerge w:val="restart"/>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管理和维护</w:t>
            </w:r>
          </w:p>
        </w:tc>
        <w:tc>
          <w:tcPr>
            <w:tcW w:w="7088" w:type="dxa"/>
            <w:tcBorders>
              <w:top w:val="single" w:color="auto" w:sz="4" w:space="0"/>
              <w:left w:val="nil"/>
              <w:bottom w:val="single" w:color="auto" w:sz="4" w:space="0"/>
              <w:right w:val="single" w:color="auto" w:sz="4" w:space="0"/>
            </w:tcBorders>
            <w:vAlign w:val="center"/>
          </w:tcPr>
          <w:p>
            <w:pPr>
              <w:rPr>
                <w:rFonts w:ascii="宋体" w:hAnsi="宋体" w:cs="宋体"/>
              </w:rPr>
            </w:pPr>
            <w:r>
              <w:rPr>
                <w:rFonts w:ascii="宋体" w:hAnsi="宋体" w:cs="宋体"/>
              </w:rPr>
              <w:t>支持SNMP V1/V2/V3、RMON、SSHV2</w:t>
            </w:r>
          </w:p>
        </w:tc>
      </w:tr>
      <w:tr>
        <w:tblPrEx>
          <w:tblCellMar>
            <w:top w:w="0" w:type="dxa"/>
            <w:left w:w="108" w:type="dxa"/>
            <w:bottom w:w="0" w:type="dxa"/>
            <w:right w:w="108" w:type="dxa"/>
          </w:tblCellMar>
        </w:tblPrEx>
        <w:trPr>
          <w:trHeight w:val="127" w:hRule="atLeast"/>
          <w:jc w:val="center"/>
        </w:trPr>
        <w:tc>
          <w:tcPr>
            <w:tcW w:w="198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p>
        </w:tc>
        <w:tc>
          <w:tcPr>
            <w:tcW w:w="7088"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ascii="宋体" w:hAnsi="宋体" w:cs="宋体"/>
              </w:rPr>
              <w:t>支持OAM(802.1AG， 802.3AH)以太网运行、维护和管理标准</w:t>
            </w:r>
          </w:p>
        </w:tc>
      </w:tr>
    </w:tbl>
    <w:p/>
    <w:p/>
    <w:p>
      <w:pPr>
        <w:pStyle w:val="3"/>
        <w:numPr>
          <w:ilvl w:val="1"/>
          <w:numId w:val="5"/>
        </w:numPr>
        <w:ind w:left="420"/>
        <w:rPr>
          <w:lang w:eastAsia="zh-CN"/>
        </w:rPr>
      </w:pPr>
      <w:r>
        <w:rPr>
          <w:rFonts w:hint="eastAsia"/>
          <w:lang w:eastAsia="zh-CN"/>
        </w:rPr>
        <w:t>安全要求</w:t>
      </w:r>
    </w:p>
    <w:p>
      <w:pPr>
        <w:pStyle w:val="4"/>
        <w:numPr>
          <w:ilvl w:val="2"/>
          <w:numId w:val="5"/>
        </w:numPr>
        <w:spacing w:before="160" w:line="300" w:lineRule="exact"/>
        <w:ind w:left="420"/>
        <w:rPr>
          <w:rFonts w:ascii="宋体" w:hAnsi="宋体"/>
        </w:rPr>
      </w:pPr>
      <w:r>
        <w:rPr>
          <w:rFonts w:ascii="宋体" w:hAnsi="宋体"/>
        </w:rPr>
        <w:t>基本要求</w:t>
      </w:r>
    </w:p>
    <w:p>
      <w:pPr>
        <w:spacing w:line="276" w:lineRule="auto"/>
        <w:ind w:left="420" w:firstLine="420"/>
      </w:pPr>
      <w:r>
        <w:t>政务云平台应按网络安全等级保护基本要求第三级建设，满足《信息安全技术网络安全等级保护基本要求》（GB/T 22239-2019）第三级安全测评通用要求和云计算安全扩展要求。</w:t>
      </w:r>
    </w:p>
    <w:p>
      <w:pPr>
        <w:pStyle w:val="4"/>
        <w:numPr>
          <w:ilvl w:val="2"/>
          <w:numId w:val="5"/>
        </w:numPr>
        <w:spacing w:before="160" w:line="300" w:lineRule="exact"/>
        <w:ind w:left="420"/>
        <w:rPr>
          <w:rFonts w:ascii="宋体" w:hAnsi="宋体"/>
        </w:rPr>
      </w:pPr>
      <w:r>
        <w:rPr>
          <w:rFonts w:ascii="宋体" w:hAnsi="宋体"/>
        </w:rPr>
        <w:t>平台安全要求</w:t>
      </w:r>
    </w:p>
    <w:p>
      <w:pPr>
        <w:spacing w:line="276" w:lineRule="auto"/>
        <w:ind w:left="420" w:firstLine="420"/>
      </w:pPr>
      <w:r>
        <w:rPr>
          <w:rFonts w:hint="eastAsia"/>
        </w:rPr>
        <w:t>中</w:t>
      </w:r>
      <w:r>
        <w:t>标人建设的政务云平台需满足包括但不限于如下安全要求：物理安全、网络安全、主机安全、秘钥安全、云管理平台安全等。</w:t>
      </w:r>
    </w:p>
    <w:p>
      <w:pPr>
        <w:spacing w:line="276" w:lineRule="auto"/>
        <w:ind w:left="420" w:firstLine="420"/>
      </w:pPr>
      <w:r>
        <w:rPr>
          <w:rFonts w:hint="eastAsia"/>
        </w:rPr>
        <w:t>中</w:t>
      </w:r>
      <w:r>
        <w:t>标人提供的安全设备，在每个机房中的政务外网区和互联网区，都需要同等配置安装。</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物理安全：</w:t>
      </w:r>
      <w:r>
        <w:rPr>
          <w:rFonts w:hint="eastAsia" w:ascii="宋体" w:hAnsi="宋体"/>
        </w:rPr>
        <w:t>中</w:t>
      </w:r>
      <w:r>
        <w:rPr>
          <w:rFonts w:ascii="宋体" w:hAnsi="宋体"/>
        </w:rPr>
        <w:t>标人用于建设电子政务云服务中心的机房需具备防盗窃和防破坏、防雷击、防火、防水和防潮、防静电、温湿度控制、电力供应等能力。</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网络安全：</w:t>
      </w:r>
      <w:r>
        <w:rPr>
          <w:rFonts w:hint="eastAsia" w:ascii="宋体" w:hAnsi="宋体"/>
        </w:rPr>
        <w:t>中</w:t>
      </w:r>
      <w:r>
        <w:rPr>
          <w:rFonts w:ascii="宋体" w:hAnsi="宋体"/>
        </w:rPr>
        <w:t>标人需针对政务云平台按照国家网络安全等级保护基本要求要求建立一套网络安全防护体系，对网络边界处提供访问控制、</w:t>
      </w:r>
      <w:r>
        <w:rPr>
          <w:rFonts w:hint="eastAsia" w:ascii="宋体" w:hAnsi="宋体"/>
          <w:lang w:val="en-US" w:eastAsia="zh-CN"/>
        </w:rPr>
        <w:t>DDoS防护、</w:t>
      </w:r>
      <w:r>
        <w:rPr>
          <w:rFonts w:ascii="宋体" w:hAnsi="宋体"/>
        </w:rPr>
        <w:t>病毒过滤、防攻击、防入侵、防篡改、内外网数据安全隔离交换等立体安全防护，保护平台内部网络通信安全。</w:t>
      </w:r>
    </w:p>
    <w:p>
      <w:pPr>
        <w:widowControl/>
        <w:numPr>
          <w:ilvl w:val="0"/>
          <w:numId w:val="11"/>
        </w:numPr>
        <w:topLinePunct/>
        <w:adjustRightInd w:val="0"/>
        <w:snapToGrid w:val="0"/>
        <w:spacing w:before="160" w:after="160" w:line="276" w:lineRule="auto"/>
        <w:jc w:val="left"/>
      </w:pPr>
      <w:r>
        <w:t>访问控制：政务云平台在各网络边界处均应部署安全访问控制设备，包括防火墙、IPS、VPN网关、安全网关等，能根据会话状态信息为数据流提供明确的允许/拒绝访问的能力，控制粒度为端口级。支持按用户和系统之间的允许访问规则，允许或拒绝用户对受控系统进行资源访。控制粒度为单个用户，同时应通过VPN网关及软件系统应用功能实现对远程拨号访问权限的用户数量进行限制。支持云服务客户自行对网络访问控制规则进行配置。</w:t>
      </w:r>
    </w:p>
    <w:p>
      <w:pPr>
        <w:widowControl/>
        <w:numPr>
          <w:ilvl w:val="0"/>
          <w:numId w:val="12"/>
        </w:numPr>
        <w:topLinePunct/>
        <w:adjustRightInd w:val="0"/>
        <w:snapToGrid w:val="0"/>
        <w:spacing w:before="160" w:after="160" w:line="276" w:lineRule="auto"/>
        <w:ind w:left="1124" w:leftChars="400" w:hanging="284"/>
        <w:jc w:val="left"/>
      </w:pPr>
      <w:r>
        <w:rPr>
          <w:rFonts w:hint="eastAsia"/>
          <w:lang w:val="en-US" w:eastAsia="zh-CN"/>
        </w:rPr>
        <w:t>DDoS防护：中标人需在各互联网边界处部署云平台DDoS防护设备，根据流量情况结合骨干网抗DDOS防护确保云平台运行连续性。</w:t>
      </w:r>
    </w:p>
    <w:p>
      <w:pPr>
        <w:widowControl/>
        <w:numPr>
          <w:ilvl w:val="0"/>
          <w:numId w:val="11"/>
        </w:numPr>
        <w:topLinePunct/>
        <w:adjustRightInd w:val="0"/>
        <w:snapToGrid w:val="0"/>
        <w:spacing w:before="160" w:after="160" w:line="276" w:lineRule="auto"/>
        <w:jc w:val="left"/>
      </w:pPr>
      <w:r>
        <w:t>安全审计：</w:t>
      </w:r>
      <w:r>
        <w:rPr>
          <w:rFonts w:hint="eastAsia"/>
        </w:rPr>
        <w:t>中</w:t>
      </w:r>
      <w:r>
        <w:t>标人需对政务云平台使用网络设备运行状况、网络流量、用户行为、特权命令等进行日志记录，能够根据记录数据进行分析并生成审计报表，同时对系统审计的记录进行有效安全保护，避免受到未预期的删除、修改或覆盖等不安全操作。</w:t>
      </w:r>
    </w:p>
    <w:p>
      <w:pPr>
        <w:widowControl/>
        <w:numPr>
          <w:ilvl w:val="0"/>
          <w:numId w:val="11"/>
        </w:numPr>
        <w:topLinePunct/>
        <w:adjustRightInd w:val="0"/>
        <w:snapToGrid w:val="0"/>
        <w:spacing w:before="160" w:after="160" w:line="276" w:lineRule="auto"/>
        <w:jc w:val="left"/>
      </w:pPr>
      <w:r>
        <w:t>边界完整性检查：</w:t>
      </w:r>
      <w:r>
        <w:rPr>
          <w:rFonts w:hint="eastAsia"/>
        </w:rPr>
        <w:t>中</w:t>
      </w:r>
      <w:r>
        <w:t>标人通过部署网络行为管理系统、安全审计系统应能够对非授权设备私自连到内部网络的行为及内部网络用户私自连到外部网络的行为进行检查，能根据用户信息、主机信息、IP信息等准确定出非法互联位置，并对其进行有效的网络阻断控制。</w:t>
      </w:r>
    </w:p>
    <w:p>
      <w:pPr>
        <w:widowControl/>
        <w:numPr>
          <w:ilvl w:val="0"/>
          <w:numId w:val="11"/>
        </w:numPr>
        <w:topLinePunct/>
        <w:adjustRightInd w:val="0"/>
        <w:snapToGrid w:val="0"/>
        <w:spacing w:before="160" w:after="160" w:line="276" w:lineRule="auto"/>
        <w:jc w:val="left"/>
      </w:pPr>
      <w:r>
        <w:t>入侵防范：配备有IDS或IPS入侵防范、检测系统或安全网关系统，实现的实时防范功能应包括：端口扫描、强力攻击、木马后门攻击、拒绝服务攻击、缓冲区溢出攻击、IP碎片攻击和网络蠕虫攻击等非法网络攻击行为，当检测到攻击行为时，系统将详细记录相关信息，同时在发生严重入侵事件时具备报警、记录功能。</w:t>
      </w:r>
    </w:p>
    <w:p>
      <w:pPr>
        <w:widowControl/>
        <w:numPr>
          <w:ilvl w:val="0"/>
          <w:numId w:val="11"/>
        </w:numPr>
        <w:topLinePunct/>
        <w:adjustRightInd w:val="0"/>
        <w:snapToGrid w:val="0"/>
        <w:spacing w:before="160" w:after="160" w:line="276" w:lineRule="auto"/>
        <w:jc w:val="left"/>
      </w:pPr>
      <w:r>
        <w:t>恶意代码防范：</w:t>
      </w:r>
      <w:r>
        <w:rPr>
          <w:rFonts w:hint="eastAsia"/>
        </w:rPr>
        <w:t>中</w:t>
      </w:r>
      <w:r>
        <w:t>标人在网络的边界处对各种恶意代码进行检测和清除功能，系统应支持自动及手工方式对恶意代码库的升级和检测系统的更新功能。</w:t>
      </w:r>
    </w:p>
    <w:p>
      <w:pPr>
        <w:widowControl/>
        <w:numPr>
          <w:ilvl w:val="0"/>
          <w:numId w:val="11"/>
        </w:numPr>
        <w:topLinePunct/>
        <w:adjustRightInd w:val="0"/>
        <w:snapToGrid w:val="0"/>
        <w:spacing w:before="160" w:after="160" w:line="276" w:lineRule="auto"/>
        <w:jc w:val="left"/>
      </w:pPr>
      <w:r>
        <w:t>网络设备防护：</w:t>
      </w:r>
      <w:r>
        <w:rPr>
          <w:rFonts w:hint="eastAsia"/>
        </w:rPr>
        <w:t>中</w:t>
      </w:r>
      <w:r>
        <w:t>标人所使用的网络设备均应支持对登录用户的身份鉴别功能，支持采用加密用户口令鉴、RADIUS身份认证等方式，可通过命令行、Web、中文图形化配置软件等方式进行配置和管理，并可通过ACL访问控制列表的方式实现对网络设备的管理员登录地址进行限制，所有网络设备用户均应具备唯一标识。</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主机安全：对主机的物理安全摆放位置，主机访问控制方面进行保护。</w:t>
      </w:r>
    </w:p>
    <w:p>
      <w:pPr>
        <w:widowControl/>
        <w:numPr>
          <w:ilvl w:val="0"/>
          <w:numId w:val="13"/>
        </w:numPr>
        <w:topLinePunct/>
        <w:adjustRightInd w:val="0"/>
        <w:snapToGrid w:val="0"/>
        <w:spacing w:before="160" w:after="160" w:line="276" w:lineRule="auto"/>
        <w:jc w:val="left"/>
      </w:pPr>
      <w:r>
        <w:t>主机访问控制：主机系统应启用主机系统的访问控制功能，依据安全策略控制用户对资源的访问权限，通过系统的技术维护措施严格限制默认账户的访问权限，对重要信息资源设置敏感标记，并依据安全策略严格控制用户对有敏感标记重要信息资源的操作。</w:t>
      </w:r>
    </w:p>
    <w:p>
      <w:pPr>
        <w:widowControl/>
        <w:numPr>
          <w:ilvl w:val="0"/>
          <w:numId w:val="13"/>
        </w:numPr>
        <w:topLinePunct/>
        <w:adjustRightInd w:val="0"/>
        <w:snapToGrid w:val="0"/>
        <w:spacing w:before="160" w:after="160" w:line="276" w:lineRule="auto"/>
        <w:jc w:val="left"/>
        <w:rPr>
          <w:rFonts w:hint="eastAsia"/>
        </w:rPr>
      </w:pPr>
      <w:r>
        <w:rPr>
          <w:rFonts w:hint="eastAsia"/>
        </w:rPr>
        <w:t>资产管理：支持展示主机中的账号、开放端口、进程、软件、自启动项等信息。</w:t>
      </w:r>
    </w:p>
    <w:p>
      <w:pPr>
        <w:widowControl/>
        <w:numPr>
          <w:ilvl w:val="0"/>
          <w:numId w:val="13"/>
        </w:numPr>
        <w:topLinePunct/>
        <w:adjustRightInd w:val="0"/>
        <w:snapToGrid w:val="0"/>
        <w:spacing w:before="160" w:after="160" w:line="276" w:lineRule="auto"/>
        <w:jc w:val="left"/>
        <w:rPr>
          <w:rFonts w:hint="eastAsia"/>
        </w:rPr>
      </w:pPr>
      <w:r>
        <w:rPr>
          <w:rFonts w:hint="eastAsia"/>
        </w:rPr>
        <w:t>漏洞处理：支持漏洞检测、漏洞检测结果现实、漏洞具体信息展示和漏洞处置，漏洞信息显示包含漏洞名称、风险程度、漏洞描述、修复建议和漏洞详情，漏洞处置包括忽略、取消忽略、批量主机一键修复和验证。</w:t>
      </w:r>
    </w:p>
    <w:p>
      <w:pPr>
        <w:widowControl/>
        <w:numPr>
          <w:ilvl w:val="0"/>
          <w:numId w:val="13"/>
        </w:numPr>
        <w:topLinePunct/>
        <w:adjustRightInd w:val="0"/>
        <w:snapToGrid w:val="0"/>
        <w:spacing w:before="160" w:after="160" w:line="276" w:lineRule="auto"/>
        <w:jc w:val="left"/>
        <w:rPr>
          <w:rFonts w:hint="eastAsia"/>
        </w:rPr>
      </w:pPr>
      <w:r>
        <w:rPr>
          <w:rFonts w:hint="eastAsia"/>
        </w:rPr>
        <w:t>基线检查：口令复杂度策略检测支持口令复杂度策略检测和结果显示，给出修改建议，帮助用户提升口令安全性。支持检测系统账号口令是否属于常见的弱口令，防止账户口令被轻易猜解。支持检测常见应用不安全配置项的检测。</w:t>
      </w:r>
    </w:p>
    <w:p>
      <w:pPr>
        <w:widowControl/>
        <w:numPr>
          <w:ilvl w:val="0"/>
          <w:numId w:val="13"/>
        </w:numPr>
        <w:topLinePunct/>
        <w:adjustRightInd w:val="0"/>
        <w:snapToGrid w:val="0"/>
        <w:spacing w:before="160" w:after="160" w:line="276" w:lineRule="auto"/>
        <w:jc w:val="left"/>
      </w:pPr>
      <w:r>
        <w:rPr>
          <w:rFonts w:hint="eastAsia"/>
        </w:rPr>
        <w:t>入侵检测：支持高危命令执行检测，支持恶意程序检测、WebShell、反弹Shell检测、进程异常、暴力破解等检测能力。</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云管理平台安全：包括虚拟化及云运维管理平台的安全保护，支持物理资源与虚拟资源统一管理。</w:t>
      </w:r>
    </w:p>
    <w:p>
      <w:pPr>
        <w:widowControl/>
        <w:numPr>
          <w:ilvl w:val="0"/>
          <w:numId w:val="14"/>
        </w:numPr>
        <w:topLinePunct/>
        <w:adjustRightInd w:val="0"/>
        <w:snapToGrid w:val="0"/>
        <w:spacing w:before="160" w:after="160" w:line="276" w:lineRule="auto"/>
        <w:jc w:val="left"/>
      </w:pPr>
      <w:r>
        <w:t>虚拟化安全：支持有代理或者无代理安全方式进行虚拟环境的整体防护；整体的虚拟化安全措施应避免“病毒风暴”。</w:t>
      </w:r>
    </w:p>
    <w:p>
      <w:pPr>
        <w:widowControl/>
        <w:numPr>
          <w:ilvl w:val="0"/>
          <w:numId w:val="14"/>
        </w:numPr>
        <w:topLinePunct/>
        <w:adjustRightInd w:val="0"/>
        <w:snapToGrid w:val="0"/>
        <w:spacing w:before="160" w:after="160" w:line="276" w:lineRule="auto"/>
        <w:jc w:val="left"/>
      </w:pPr>
      <w:r>
        <w:t>政务云平台安全：如果云运维管理平台需要数据库的支持，应保护好云</w:t>
      </w:r>
      <w:r>
        <w:rPr>
          <w:rFonts w:asciiTheme="minorHAnsi" w:hAnsiTheme="minorHAnsi"/>
        </w:rPr>
        <w:t>运维</w:t>
      </w:r>
      <w:r>
        <w:t>管理平台的数据库安全，设置强壮复杂的密码策略、备份数据库和配置相关的网络安全服务；云</w:t>
      </w:r>
      <w:r>
        <w:rPr>
          <w:rFonts w:asciiTheme="minorHAnsi" w:hAnsiTheme="minorHAnsi"/>
        </w:rPr>
        <w:t>运维</w:t>
      </w:r>
      <w:r>
        <w:t>管理平台的访问许可应加强管理，删除不需要的用户账号；安装云</w:t>
      </w:r>
      <w:r>
        <w:rPr>
          <w:rFonts w:asciiTheme="minorHAnsi" w:hAnsiTheme="minorHAnsi"/>
        </w:rPr>
        <w:t>运维</w:t>
      </w:r>
      <w:r>
        <w:t>管理平台软件的操作系统需设置安全策略。</w:t>
      </w:r>
    </w:p>
    <w:p>
      <w:pPr>
        <w:widowControl/>
        <w:numPr>
          <w:ilvl w:val="0"/>
          <w:numId w:val="14"/>
        </w:numPr>
        <w:topLinePunct/>
        <w:adjustRightInd w:val="0"/>
        <w:snapToGrid w:val="0"/>
        <w:spacing w:before="160" w:after="160" w:line="276" w:lineRule="auto"/>
        <w:jc w:val="left"/>
      </w:pPr>
      <w:r>
        <w:t>政务云平台访问控制安全：用户在访问政务云平台资源过程中支持使用数字证书进行身份认证，包括但不限于中标人维护人员、委办局操作人员、政务云管理单位监管人员，且数字证书的介质购买和服务费由中标人提供。</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委办局单位部署在政务云平台中的应用系统在执行国家及本市有关电子政务信息安全管理办法的过程中，若发现重大安全事故或者安全隐患时，中标人需要配合进行安全整改。</w:t>
      </w:r>
    </w:p>
    <w:p>
      <w:pPr>
        <w:spacing w:line="276" w:lineRule="auto"/>
      </w:pPr>
    </w:p>
    <w:p>
      <w:pPr>
        <w:spacing w:line="276" w:lineRule="auto"/>
      </w:pPr>
    </w:p>
    <w:p>
      <w:pPr>
        <w:pStyle w:val="4"/>
        <w:numPr>
          <w:ilvl w:val="2"/>
          <w:numId w:val="5"/>
        </w:numPr>
        <w:spacing w:before="160" w:line="300" w:lineRule="exact"/>
        <w:ind w:left="420"/>
        <w:rPr>
          <w:rFonts w:ascii="宋体" w:hAnsi="宋体"/>
        </w:rPr>
      </w:pPr>
      <w:r>
        <w:rPr>
          <w:rFonts w:ascii="宋体" w:hAnsi="宋体"/>
        </w:rPr>
        <w:t>安全设备要求</w:t>
      </w:r>
    </w:p>
    <w:p>
      <w:pPr>
        <w:spacing w:line="276" w:lineRule="auto"/>
        <w:rPr>
          <w:rFonts w:ascii="宋体" w:hAnsi="宋体"/>
          <w:bCs/>
        </w:rPr>
      </w:pPr>
    </w:p>
    <w:tbl>
      <w:tblPr>
        <w:tblStyle w:val="11"/>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22"/>
        <w:gridCol w:w="6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3"/>
            <w:vAlign w:val="center"/>
          </w:tcPr>
          <w:p>
            <w:pPr>
              <w:spacing w:line="276" w:lineRule="auto"/>
              <w:rPr>
                <w:rFonts w:ascii="宋体" w:hAnsi="宋体"/>
                <w:b/>
              </w:rPr>
            </w:pPr>
            <w:r>
              <w:rPr>
                <w:rFonts w:ascii="宋体" w:hAnsi="宋体"/>
                <w:b/>
              </w:rPr>
              <w:t>用途：边界防火墙</w:t>
            </w:r>
            <w:r>
              <w:rPr>
                <w:rFonts w:ascii="Calibri"/>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5" w:type="pct"/>
            <w:gridSpan w:val="2"/>
            <w:shd w:val="clear" w:color="auto" w:fill="BFBFBF"/>
            <w:vAlign w:val="center"/>
          </w:tcPr>
          <w:p>
            <w:pPr>
              <w:spacing w:line="276" w:lineRule="auto"/>
              <w:rPr>
                <w:rFonts w:ascii="宋体" w:hAnsi="宋体"/>
                <w:b/>
              </w:rPr>
            </w:pPr>
            <w:r>
              <w:rPr>
                <w:rFonts w:ascii="宋体" w:hAnsi="宋体"/>
                <w:b/>
              </w:rPr>
              <w:t>指标项</w:t>
            </w:r>
          </w:p>
        </w:tc>
        <w:tc>
          <w:tcPr>
            <w:tcW w:w="4064" w:type="pct"/>
            <w:shd w:val="clear" w:color="auto" w:fill="BFBFBF"/>
            <w:vAlign w:val="center"/>
          </w:tcPr>
          <w:p>
            <w:pPr>
              <w:spacing w:line="276" w:lineRule="auto"/>
              <w:rPr>
                <w:rFonts w:ascii="宋体" w:hAnsi="宋体"/>
                <w:b/>
              </w:rPr>
            </w:pPr>
            <w:r>
              <w:rPr>
                <w:rFonts w:ascii="宋体" w:hAnsi="宋体"/>
                <w:b/>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1"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≥16个10GE+4个40GE/100GE；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1"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扩展接口</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可通过扩展插槽网络接口；</w:t>
            </w:r>
            <w:r>
              <w:rPr>
                <w:rFonts w:ascii="宋体" w:hAnsi="宋体"/>
                <w:bCs/>
              </w:rPr>
              <w:t>线路处理板LPU/SPU≥8;主控单元MPU≥2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1"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IPv4≥480Gbps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1"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并发数</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≥3</w:t>
            </w:r>
            <w:r>
              <w:rPr>
                <w:rFonts w:hint="eastAsia" w:ascii="宋体" w:hAnsi="宋体" w:cs="Times New Roman"/>
              </w:rPr>
              <w:t>.</w:t>
            </w:r>
            <w:r>
              <w:rPr>
                <w:rFonts w:ascii="宋体" w:hAnsi="宋体" w:cs="Times New Roman"/>
              </w:rPr>
              <w:t>2</w:t>
            </w:r>
            <w:r>
              <w:rPr>
                <w:rFonts w:hint="eastAsia" w:ascii="宋体" w:hAnsi="宋体" w:cs="Times New Roman"/>
              </w:rPr>
              <w:t>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1"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新建连接数</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≥800万/秒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1"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攻击防范</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提供ARP欺骗攻击、TCP报文标志位不合法攻击、Large ICMP报文攻击、地址扫描攻击和端口扫描攻击等多种恶意攻击，同时支持黑名单、MAC绑定等功能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1"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lang w:val="en-GB"/>
              </w:rPr>
              <w:t>增强状态安全过滤</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实现</w:t>
            </w:r>
            <w:r>
              <w:rPr>
                <w:rFonts w:ascii="宋体" w:hAnsi="宋体" w:cs="Times New Roman"/>
                <w:lang w:val="en-GB"/>
              </w:rPr>
              <w:t>基础、扩展和基于接口的状态检测包过滤技术；支持对每一个连接状态信息的维护监测并动态地过滤数据包，支持对应用层协议的状态监控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35" w:type="pct"/>
            <w:gridSpan w:val="2"/>
            <w:vAlign w:val="center"/>
          </w:tcPr>
          <w:p>
            <w:pPr>
              <w:spacing w:line="276" w:lineRule="auto"/>
              <w:rPr>
                <w:rFonts w:ascii="宋体" w:hAnsi="宋体"/>
                <w:bCs/>
              </w:rPr>
            </w:pPr>
            <w:r>
              <w:rPr>
                <w:rFonts w:ascii="宋体" w:hAnsi="宋体" w:cs="Times New Roman"/>
              </w:rPr>
              <w:t>硬件要求</w:t>
            </w:r>
          </w:p>
        </w:tc>
        <w:tc>
          <w:tcPr>
            <w:tcW w:w="4064" w:type="pct"/>
            <w:vAlign w:val="center"/>
          </w:tcPr>
          <w:p>
            <w:pPr>
              <w:rPr>
                <w:rFonts w:ascii="宋体" w:hAnsi="宋体" w:cs="Times New Roman"/>
              </w:rPr>
            </w:pPr>
            <w:r>
              <w:rPr>
                <w:rFonts w:ascii="宋体" w:hAnsi="宋体" w:cs="Times New Roman"/>
              </w:rPr>
              <w:t>实配双主控，双电源，保障设备可靠性；风扇和风扇框都需要采用冗余设计，风扇框≥3，风扇数量≥3；前后风道；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5" w:type="pct"/>
            <w:gridSpan w:val="2"/>
            <w:vAlign w:val="center"/>
          </w:tcPr>
          <w:p>
            <w:pPr>
              <w:spacing w:line="276" w:lineRule="auto"/>
              <w:rPr>
                <w:rFonts w:ascii="宋体" w:hAnsi="宋体"/>
                <w:bCs/>
              </w:rPr>
            </w:pPr>
            <w:r>
              <w:rPr>
                <w:rFonts w:ascii="宋体" w:hAnsi="宋体" w:cs="Times New Roman"/>
              </w:rPr>
              <w:t>可靠性</w:t>
            </w:r>
          </w:p>
        </w:tc>
        <w:tc>
          <w:tcPr>
            <w:tcW w:w="4064" w:type="pct"/>
            <w:vAlign w:val="center"/>
          </w:tcPr>
          <w:p>
            <w:pPr>
              <w:spacing w:line="276" w:lineRule="auto"/>
              <w:rPr>
                <w:rFonts w:ascii="宋体" w:hAnsi="宋体"/>
                <w:bCs/>
              </w:rPr>
            </w:pPr>
            <w:r>
              <w:rPr>
                <w:rFonts w:ascii="宋体" w:hAnsi="宋体" w:cs="Times New Roman"/>
              </w:rPr>
              <w:t>支持BFD链路检测，支持BFD与VRRP联动实现双机快速切换，支持BFD与OSPF联动实现双机快速切换；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935" w:type="pct"/>
            <w:gridSpan w:val="2"/>
            <w:vAlign w:val="center"/>
          </w:tcPr>
          <w:p>
            <w:pPr>
              <w:spacing w:line="276" w:lineRule="auto"/>
              <w:rPr>
                <w:rFonts w:ascii="宋体" w:hAnsi="宋体"/>
                <w:bCs/>
              </w:rPr>
            </w:pPr>
            <w:r>
              <w:rPr>
                <w:rFonts w:ascii="宋体" w:hAnsi="宋体" w:cs="Times New Roman"/>
              </w:rPr>
              <w:t>IPV6</w:t>
            </w:r>
          </w:p>
        </w:tc>
        <w:tc>
          <w:tcPr>
            <w:tcW w:w="4064" w:type="pct"/>
            <w:vAlign w:val="center"/>
          </w:tcPr>
          <w:p>
            <w:pPr>
              <w:spacing w:line="276" w:lineRule="auto"/>
              <w:rPr>
                <w:rFonts w:ascii="宋体" w:hAnsi="宋体"/>
                <w:bCs/>
              </w:rPr>
            </w:pPr>
            <w:r>
              <w:rPr>
                <w:rFonts w:ascii="宋体" w:hAnsi="宋体" w:cs="Times New Roman"/>
              </w:rPr>
              <w:t>支持IPv6协议栈、IPV6穿越技术、IPV6路由协议；支持IPv6 over IPv4 隧道，6RD隧道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935" w:type="pct"/>
            <w:gridSpan w:val="2"/>
            <w:vAlign w:val="center"/>
          </w:tcPr>
          <w:p>
            <w:pPr>
              <w:spacing w:line="276" w:lineRule="auto"/>
              <w:rPr>
                <w:rFonts w:ascii="宋体" w:hAnsi="宋体"/>
                <w:bCs/>
              </w:rPr>
            </w:pPr>
            <w:r>
              <w:rPr>
                <w:rFonts w:ascii="宋体" w:hAnsi="宋体" w:cs="Times New Roman"/>
              </w:rPr>
              <w:t>NAT</w:t>
            </w:r>
          </w:p>
        </w:tc>
        <w:tc>
          <w:tcPr>
            <w:tcW w:w="4064" w:type="pct"/>
            <w:vAlign w:val="center"/>
          </w:tcPr>
          <w:p>
            <w:pPr>
              <w:spacing w:line="276" w:lineRule="auto"/>
              <w:rPr>
                <w:rFonts w:ascii="宋体" w:hAnsi="宋体"/>
                <w:bCs/>
              </w:rPr>
            </w:pPr>
            <w:r>
              <w:rPr>
                <w:rFonts w:ascii="宋体" w:hAnsi="宋体" w:cs="Times New Roman"/>
              </w:rPr>
              <w:t>支持全面NAT功能，对多种应用层协议支持ALG功能；支持NAT66，NAT64</w:t>
            </w:r>
          </w:p>
        </w:tc>
      </w:tr>
    </w:tbl>
    <w:p>
      <w:pPr>
        <w:spacing w:line="276" w:lineRule="auto"/>
        <w:rPr>
          <w:rFonts w:ascii="宋体" w:hAnsi="宋体"/>
          <w:bCs/>
        </w:rPr>
      </w:pPr>
    </w:p>
    <w:tbl>
      <w:tblPr>
        <w:tblStyle w:val="11"/>
        <w:tblW w:w="4801" w:type="pct"/>
        <w:jc w:val="center"/>
        <w:tblLayout w:type="autofit"/>
        <w:tblCellMar>
          <w:top w:w="0" w:type="dxa"/>
          <w:left w:w="108" w:type="dxa"/>
          <w:bottom w:w="0" w:type="dxa"/>
          <w:right w:w="108" w:type="dxa"/>
        </w:tblCellMar>
      </w:tblPr>
      <w:tblGrid>
        <w:gridCol w:w="1786"/>
        <w:gridCol w:w="6397"/>
      </w:tblGrid>
      <w:tr>
        <w:tblPrEx>
          <w:tblCellMar>
            <w:top w:w="0" w:type="dxa"/>
            <w:left w:w="108" w:type="dxa"/>
            <w:bottom w:w="0" w:type="dxa"/>
            <w:right w:w="108" w:type="dxa"/>
          </w:tblCellMar>
        </w:tblPrEx>
        <w:trPr>
          <w:trHeight w:val="454" w:hRule="atLeast"/>
          <w:jc w:val="center"/>
        </w:trPr>
        <w:tc>
          <w:tcPr>
            <w:tcW w:w="4793"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pPr>
            <w:r>
              <w:rPr>
                <w:rFonts w:ascii="宋体" w:hAnsi="宋体"/>
                <w:b/>
              </w:rPr>
              <w:t>用途：专线防火墙</w:t>
            </w:r>
            <w:r>
              <w:rPr>
                <w:rFonts w:ascii="Calibri"/>
              </w:rPr>
              <w:t xml:space="preserve"> </w:t>
            </w:r>
          </w:p>
        </w:tc>
      </w:tr>
      <w:tr>
        <w:tblPrEx>
          <w:tblCellMar>
            <w:top w:w="0" w:type="dxa"/>
            <w:left w:w="108" w:type="dxa"/>
            <w:bottom w:w="0" w:type="dxa"/>
            <w:right w:w="108" w:type="dxa"/>
          </w:tblCellMar>
        </w:tblPrEx>
        <w:trPr>
          <w:trHeight w:val="285" w:hRule="atLeast"/>
          <w:jc w:val="center"/>
        </w:trPr>
        <w:tc>
          <w:tcPr>
            <w:tcW w:w="1046"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rPr>
                <w:rFonts w:ascii="宋体" w:hAnsi="宋体"/>
                <w:b/>
              </w:rPr>
            </w:pPr>
            <w:r>
              <w:rPr>
                <w:rFonts w:ascii="宋体" w:hAnsi="宋体"/>
                <w:b/>
              </w:rPr>
              <w:t>指标项</w:t>
            </w:r>
          </w:p>
        </w:tc>
        <w:tc>
          <w:tcPr>
            <w:tcW w:w="3746" w:type="pct"/>
            <w:tcBorders>
              <w:top w:val="single" w:color="auto" w:sz="4" w:space="0"/>
              <w:left w:val="nil"/>
              <w:bottom w:val="single" w:color="auto" w:sz="4" w:space="0"/>
              <w:right w:val="single" w:color="auto" w:sz="4" w:space="0"/>
            </w:tcBorders>
            <w:shd w:val="clear" w:color="auto" w:fill="BFBFBF"/>
            <w:vAlign w:val="center"/>
          </w:tcPr>
          <w:p>
            <w:pPr>
              <w:spacing w:line="276" w:lineRule="auto"/>
              <w:rPr>
                <w:rFonts w:ascii="宋体" w:hAnsi="宋体"/>
                <w:b/>
              </w:rPr>
            </w:pPr>
            <w:r>
              <w:rPr>
                <w:rFonts w:ascii="宋体" w:hAnsi="宋体"/>
                <w:b/>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37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≥2*10GE+4*GE电+4*GE光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w:t>
            </w:r>
          </w:p>
        </w:tc>
        <w:tc>
          <w:tcPr>
            <w:tcW w:w="37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IPv4≥50Gbps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并发数</w:t>
            </w:r>
          </w:p>
        </w:tc>
        <w:tc>
          <w:tcPr>
            <w:tcW w:w="37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≥2000万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新建连接数</w:t>
            </w:r>
          </w:p>
        </w:tc>
        <w:tc>
          <w:tcPr>
            <w:tcW w:w="37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≥50万/秒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虚拟化</w:t>
            </w:r>
          </w:p>
        </w:tc>
        <w:tc>
          <w:tcPr>
            <w:tcW w:w="37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配置可以与核心网络设备兼容的虚拟防火墙；支持不低于1000个虚拟系统。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攻击防范</w:t>
            </w:r>
          </w:p>
        </w:tc>
        <w:tc>
          <w:tcPr>
            <w:tcW w:w="37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提供ARP欺骗攻击、TCP报文标志位不合法攻击、Large ICMP报文攻击、地址扫描攻击和端口扫描攻击等多种恶意攻击，同时支持黑名单、MAC绑定、内容过滤等功能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lang w:val="en-GB"/>
              </w:rPr>
              <w:t>增强状态安全过滤</w:t>
            </w:r>
          </w:p>
        </w:tc>
        <w:tc>
          <w:tcPr>
            <w:tcW w:w="374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实现</w:t>
            </w:r>
            <w:r>
              <w:rPr>
                <w:rFonts w:hAnsi="宋体"/>
                <w:lang w:val="en-GB"/>
              </w:rPr>
              <w:t>基础、扩展和基于接口的状态检测包过滤技术；支持对每一个连接状态信息的维护监测并动态地过滤数据包，支持对应用层协议的状态监控</w:t>
            </w:r>
          </w:p>
        </w:tc>
      </w:tr>
      <w:tr>
        <w:tblPrEx>
          <w:tblCellMar>
            <w:top w:w="0" w:type="dxa"/>
            <w:left w:w="108" w:type="dxa"/>
            <w:bottom w:w="0" w:type="dxa"/>
            <w:right w:w="108" w:type="dxa"/>
          </w:tblCellMar>
        </w:tblPrEx>
        <w:trPr>
          <w:trHeight w:val="70" w:hRule="atLeast"/>
          <w:jc w:val="center"/>
        </w:trPr>
        <w:tc>
          <w:tcPr>
            <w:tcW w:w="1046"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入侵防御</w:t>
            </w:r>
          </w:p>
        </w:tc>
        <w:tc>
          <w:tcPr>
            <w:tcW w:w="3746"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支持入侵防御功能。系统预定义IPS签名数量≥12000，支持用户自定义签名规则，支持正则表达式，支持对常见应用服务（HTTP、FTP、SSH、SMTP、IMAP）和数据库软件（MySQL、Oracle、MSSQL）的口令暴力破解防护功能；支持恶意域名过滤，实现对C&amp;C进行阻断</w:t>
            </w:r>
          </w:p>
        </w:tc>
      </w:tr>
      <w:tr>
        <w:tblPrEx>
          <w:tblCellMar>
            <w:top w:w="0" w:type="dxa"/>
            <w:left w:w="108" w:type="dxa"/>
            <w:bottom w:w="0" w:type="dxa"/>
            <w:right w:w="108" w:type="dxa"/>
          </w:tblCellMar>
        </w:tblPrEx>
        <w:trPr>
          <w:trHeight w:val="255" w:hRule="atLeast"/>
          <w:jc w:val="center"/>
        </w:trPr>
        <w:tc>
          <w:tcPr>
            <w:tcW w:w="1046"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病毒防护</w:t>
            </w:r>
          </w:p>
        </w:tc>
        <w:tc>
          <w:tcPr>
            <w:tcW w:w="3746"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支持病毒防护功能。病毒库数量≥500w，可以支持HTTP、FTP、SMTP、POP3、IMAP、NFS等协议的病毒防护</w:t>
            </w:r>
          </w:p>
        </w:tc>
      </w:tr>
      <w:tr>
        <w:tblPrEx>
          <w:tblCellMar>
            <w:top w:w="0" w:type="dxa"/>
            <w:left w:w="108" w:type="dxa"/>
            <w:bottom w:w="0" w:type="dxa"/>
            <w:right w:w="108" w:type="dxa"/>
          </w:tblCellMar>
        </w:tblPrEx>
        <w:trPr>
          <w:trHeight w:val="257" w:hRule="atLeast"/>
          <w:jc w:val="center"/>
        </w:trPr>
        <w:tc>
          <w:tcPr>
            <w:tcW w:w="1046"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可靠性</w:t>
            </w:r>
          </w:p>
        </w:tc>
        <w:tc>
          <w:tcPr>
            <w:tcW w:w="3746" w:type="pct"/>
            <w:tcBorders>
              <w:top w:val="single" w:color="auto" w:sz="4" w:space="0"/>
              <w:left w:val="nil"/>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支持BFD链路检测，支持BFD与VRRP联动实现双机快速切换，支持BFD与OSPF联动实现双机快速切换；</w:t>
            </w:r>
          </w:p>
        </w:tc>
      </w:tr>
      <w:tr>
        <w:tblPrEx>
          <w:tblCellMar>
            <w:top w:w="0" w:type="dxa"/>
            <w:left w:w="108" w:type="dxa"/>
            <w:bottom w:w="0" w:type="dxa"/>
            <w:right w:w="108" w:type="dxa"/>
          </w:tblCellMar>
        </w:tblPrEx>
        <w:trPr>
          <w:trHeight w:val="355" w:hRule="atLeast"/>
          <w:jc w:val="center"/>
        </w:trPr>
        <w:tc>
          <w:tcPr>
            <w:tcW w:w="1046"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IPV6</w:t>
            </w:r>
          </w:p>
        </w:tc>
        <w:tc>
          <w:tcPr>
            <w:tcW w:w="3746" w:type="pct"/>
            <w:tcBorders>
              <w:top w:val="single" w:color="auto" w:sz="4" w:space="0"/>
              <w:left w:val="nil"/>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支持IPv6协议栈、IPV6穿越技术、IPV6路由协议；支持IPv6 over IPv4 隧道，6RD隧道</w:t>
            </w:r>
          </w:p>
        </w:tc>
      </w:tr>
      <w:tr>
        <w:tblPrEx>
          <w:tblCellMar>
            <w:top w:w="0" w:type="dxa"/>
            <w:left w:w="108" w:type="dxa"/>
            <w:bottom w:w="0" w:type="dxa"/>
            <w:right w:w="108" w:type="dxa"/>
          </w:tblCellMar>
        </w:tblPrEx>
        <w:trPr>
          <w:trHeight w:val="539" w:hRule="atLeast"/>
          <w:jc w:val="center"/>
        </w:trPr>
        <w:tc>
          <w:tcPr>
            <w:tcW w:w="1046"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NAT</w:t>
            </w:r>
          </w:p>
        </w:tc>
        <w:tc>
          <w:tcPr>
            <w:tcW w:w="3746" w:type="pct"/>
            <w:tcBorders>
              <w:top w:val="nil"/>
              <w:left w:val="nil"/>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支持全面NAT功能，对多种应用层协议支持ALG功能；支持NAT66，NAT64</w:t>
            </w:r>
          </w:p>
        </w:tc>
      </w:tr>
    </w:tbl>
    <w:p>
      <w:pPr>
        <w:spacing w:line="276" w:lineRule="auto"/>
        <w:rPr>
          <w:rFonts w:ascii="宋体" w:hAnsi="宋体"/>
          <w:bCs/>
        </w:rPr>
      </w:pPr>
    </w:p>
    <w:tbl>
      <w:tblPr>
        <w:tblStyle w:val="11"/>
        <w:tblW w:w="4575" w:type="pct"/>
        <w:tblInd w:w="390" w:type="dxa"/>
        <w:tblLayout w:type="fixed"/>
        <w:tblCellMar>
          <w:top w:w="0" w:type="dxa"/>
          <w:left w:w="108" w:type="dxa"/>
          <w:bottom w:w="0" w:type="dxa"/>
          <w:right w:w="108" w:type="dxa"/>
        </w:tblCellMar>
      </w:tblPr>
      <w:tblGrid>
        <w:gridCol w:w="1416"/>
        <w:gridCol w:w="6382"/>
      </w:tblGrid>
      <w:tr>
        <w:tblPrEx>
          <w:tblCellMar>
            <w:top w:w="0" w:type="dxa"/>
            <w:left w:w="108" w:type="dxa"/>
            <w:bottom w:w="0" w:type="dxa"/>
            <w:right w:w="108" w:type="dxa"/>
          </w:tblCellMar>
        </w:tblPrEx>
        <w:trPr>
          <w:trHeight w:val="330" w:hRule="atLeast"/>
        </w:trPr>
        <w:tc>
          <w:tcPr>
            <w:tcW w:w="77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eastAsiaTheme="minorEastAsia"/>
                <w:b/>
                <w:lang w:val="en-US" w:eastAsia="zh-CN"/>
              </w:rPr>
            </w:pPr>
            <w:r>
              <w:rPr>
                <w:rFonts w:hint="eastAsia" w:ascii="宋体" w:hAnsi="宋体"/>
                <w:b/>
                <w:lang w:eastAsia="zh-CN"/>
              </w:rPr>
              <w:t>云平台</w:t>
            </w:r>
            <w:r>
              <w:rPr>
                <w:rFonts w:hint="eastAsia" w:ascii="宋体" w:hAnsi="宋体"/>
                <w:b/>
              </w:rPr>
              <w:t>D</w:t>
            </w:r>
            <w:r>
              <w:rPr>
                <w:rFonts w:ascii="宋体" w:hAnsi="宋体"/>
                <w:b/>
              </w:rPr>
              <w:t>D</w:t>
            </w:r>
            <w:r>
              <w:rPr>
                <w:rFonts w:hint="eastAsia" w:ascii="宋体" w:hAnsi="宋体"/>
                <w:b/>
              </w:rPr>
              <w:t>o</w:t>
            </w:r>
            <w:r>
              <w:rPr>
                <w:rFonts w:ascii="宋体" w:hAnsi="宋体"/>
                <w:b/>
              </w:rPr>
              <w:t>S</w:t>
            </w:r>
            <w:r>
              <w:rPr>
                <w:rFonts w:hint="eastAsia" w:ascii="宋体" w:hAnsi="宋体"/>
                <w:b/>
                <w:lang w:val="en-US" w:eastAsia="zh-CN"/>
              </w:rPr>
              <w:t>防护</w:t>
            </w:r>
          </w:p>
        </w:tc>
      </w:tr>
      <w:tr>
        <w:tblPrEx>
          <w:tblCellMar>
            <w:top w:w="0" w:type="dxa"/>
            <w:left w:w="108" w:type="dxa"/>
            <w:bottom w:w="0" w:type="dxa"/>
            <w:right w:w="108" w:type="dxa"/>
          </w:tblCellMar>
        </w:tblPrEx>
        <w:trPr>
          <w:trHeight w:val="330" w:hRule="atLeast"/>
        </w:trPr>
        <w:tc>
          <w:tcPr>
            <w:tcW w:w="1416" w:type="dxa"/>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pPr>
              <w:spacing w:line="276" w:lineRule="auto"/>
              <w:rPr>
                <w:rFonts w:ascii="宋体" w:hAnsi="宋体"/>
                <w:b/>
              </w:rPr>
            </w:pPr>
            <w:r>
              <w:rPr>
                <w:rFonts w:ascii="宋体" w:hAnsi="宋体"/>
                <w:b/>
              </w:rPr>
              <w:t>指标项</w:t>
            </w:r>
          </w:p>
        </w:tc>
        <w:tc>
          <w:tcPr>
            <w:tcW w:w="6382" w:type="dxa"/>
            <w:tcBorders>
              <w:top w:val="single" w:color="auto" w:sz="4" w:space="0"/>
              <w:left w:val="nil"/>
              <w:bottom w:val="single" w:color="auto" w:sz="4" w:space="0"/>
              <w:right w:val="single" w:color="auto" w:sz="4" w:space="0"/>
            </w:tcBorders>
            <w:shd w:val="clear" w:color="auto" w:fill="A5A5A5" w:themeFill="background1" w:themeFillShade="A6"/>
            <w:vAlign w:val="center"/>
          </w:tcPr>
          <w:p>
            <w:pPr>
              <w:spacing w:line="276" w:lineRule="auto"/>
              <w:rPr>
                <w:rFonts w:hint="eastAsia" w:ascii="宋体" w:hAnsi="宋体"/>
                <w:b/>
              </w:rPr>
            </w:pPr>
            <w:r>
              <w:rPr>
                <w:rFonts w:ascii="宋体" w:hAnsi="宋体"/>
                <w:b/>
              </w:rPr>
              <w:t>指标要求</w:t>
            </w:r>
          </w:p>
        </w:tc>
      </w:tr>
      <w:tr>
        <w:tblPrEx>
          <w:tblCellMar>
            <w:top w:w="0" w:type="dxa"/>
            <w:left w:w="108" w:type="dxa"/>
            <w:bottom w:w="0" w:type="dxa"/>
            <w:right w:w="108" w:type="dxa"/>
          </w:tblCellMar>
        </w:tblPrEx>
        <w:trPr>
          <w:trHeight w:val="66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防御性能</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清洗设备最大防御能力≥200Gbps；</w:t>
            </w:r>
          </w:p>
          <w:p>
            <w:pPr>
              <w:spacing w:line="276" w:lineRule="auto"/>
              <w:rPr>
                <w:rFonts w:hint="eastAsia" w:ascii="宋体" w:hAnsi="宋体" w:cs="Times New Roman"/>
              </w:rPr>
            </w:pPr>
            <w:r>
              <w:rPr>
                <w:rFonts w:hint="eastAsia" w:ascii="宋体" w:hAnsi="宋体" w:cs="Times New Roman"/>
              </w:rPr>
              <w:t>检测设备性能≥160,000Flow/秒处理能力</w:t>
            </w:r>
          </w:p>
        </w:tc>
      </w:tr>
      <w:tr>
        <w:tblPrEx>
          <w:tblCellMar>
            <w:top w:w="0" w:type="dxa"/>
            <w:left w:w="108" w:type="dxa"/>
            <w:bottom w:w="0" w:type="dxa"/>
            <w:right w:w="108" w:type="dxa"/>
          </w:tblCellMar>
        </w:tblPrEx>
        <w:trPr>
          <w:trHeight w:val="660" w:hRule="atLeast"/>
        </w:trPr>
        <w:tc>
          <w:tcPr>
            <w:tcW w:w="1416" w:type="dxa"/>
            <w:tcBorders>
              <w:top w:val="single" w:color="auto" w:sz="4" w:space="0"/>
              <w:left w:val="single" w:color="auto" w:sz="4" w:space="0"/>
              <w:bottom w:val="nil"/>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部署模式</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支持检测设备、清洗设备旁路部署，逐包检测动态引流，支持BGP动态引流，支持PBR回注(策略路由)、二层回注；</w:t>
            </w:r>
          </w:p>
        </w:tc>
      </w:tr>
      <w:tr>
        <w:tblPrEx>
          <w:tblCellMar>
            <w:top w:w="0" w:type="dxa"/>
            <w:left w:w="108" w:type="dxa"/>
            <w:bottom w:w="0" w:type="dxa"/>
            <w:right w:w="108" w:type="dxa"/>
          </w:tblCellMar>
        </w:tblPrEx>
        <w:trPr>
          <w:trHeight w:val="330" w:hRule="atLeast"/>
        </w:trPr>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 xml:space="preserve">IPv4/IPv6 </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支持IPV4/IPV6共栈防御。</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HTTP CC攻击防御</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支持基于行为分析防御针对WEB、APP的HTTP CC/大资源高频请求攻击。</w:t>
            </w:r>
          </w:p>
        </w:tc>
      </w:tr>
      <w:tr>
        <w:tblPrEx>
          <w:tblCellMar>
            <w:top w:w="0" w:type="dxa"/>
            <w:left w:w="108" w:type="dxa"/>
            <w:bottom w:w="0" w:type="dxa"/>
            <w:right w:w="108" w:type="dxa"/>
          </w:tblCellMar>
        </w:tblPrEx>
        <w:trPr>
          <w:trHeight w:val="66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高频HTTPS加密攻击</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支持基于行为分析不解密防御针对WEB网站、APP的HTTPS应用层攻击。</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网络层泛洪攻击防御能力</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支持基于源SYN报文比例异常检测防御真实源SYN攻击。</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DNS应用攻击防御能力</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支持基于源IP Query限速，防御真实源DNS Flood。</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SIP应用攻击防御能力</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支持基于源挑战认证防御虚假源SIP Flood；支持基于源限速防御真实源SIP Flood。</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黑洞</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支持自动和手动黑洞，支持路由黑洞和本机黑洞2种黑洞模式。</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黑白名单</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支持静态黑白名单。</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防御策略</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支持引流模式、防御模式、黑洞模式配置。</w:t>
            </w:r>
          </w:p>
        </w:tc>
      </w:tr>
    </w:tbl>
    <w:p>
      <w:pPr>
        <w:pStyle w:val="7"/>
      </w:pPr>
    </w:p>
    <w:tbl>
      <w:tblPr>
        <w:tblStyle w:val="11"/>
        <w:tblpPr w:leftFromText="180" w:rightFromText="180" w:vertAnchor="text" w:horzAnchor="page" w:tblpX="2136" w:tblpY="731"/>
        <w:tblOverlap w:val="never"/>
        <w:tblW w:w="7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50"/>
        <w:gridCol w:w="60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7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cstheme="minorEastAsia"/>
                <w:b/>
                <w:sz w:val="21"/>
                <w:szCs w:val="21"/>
                <w:lang w:val="en-US" w:eastAsia="zh-CN"/>
              </w:rPr>
              <w:t>骨干网</w:t>
            </w:r>
            <w:r>
              <w:rPr>
                <w:rFonts w:hint="eastAsia" w:asciiTheme="minorEastAsia" w:hAnsiTheme="minorEastAsia" w:eastAsiaTheme="minorEastAsia" w:cstheme="minorEastAsia"/>
                <w:b/>
                <w:sz w:val="21"/>
                <w:szCs w:val="21"/>
                <w:lang w:val="en-US" w:eastAsia="zh-CN"/>
              </w:rPr>
              <w:t>抗</w:t>
            </w:r>
            <w:r>
              <w:rPr>
                <w:rFonts w:hint="eastAsia" w:asciiTheme="minorEastAsia" w:hAnsiTheme="minorEastAsia" w:cstheme="minorEastAsia"/>
                <w:b/>
                <w:sz w:val="21"/>
                <w:szCs w:val="21"/>
                <w:lang w:val="en-US" w:eastAsia="zh-CN"/>
              </w:rPr>
              <w:t>DDOS</w:t>
            </w:r>
            <w:r>
              <w:rPr>
                <w:rFonts w:hint="eastAsia" w:asciiTheme="minorEastAsia" w:hAnsiTheme="minorEastAsia" w:eastAsiaTheme="minorEastAsia" w:cstheme="minorEastAsia"/>
                <w:b/>
                <w:sz w:val="21"/>
                <w:szCs w:val="21"/>
                <w:lang w:val="en-US" w:eastAsia="zh-CN"/>
              </w:rPr>
              <w:t>近源防护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spacing w:line="276" w:lineRule="auto"/>
              <w:rPr>
                <w:rFonts w:hint="eastAsia" w:ascii="宋体" w:hAnsi="宋体"/>
                <w:b/>
              </w:rPr>
            </w:pPr>
            <w:r>
              <w:rPr>
                <w:rFonts w:hint="eastAsia" w:ascii="宋体" w:hAnsi="宋体"/>
                <w:b/>
                <w:lang w:val="en-US" w:eastAsia="zh-CN"/>
              </w:rPr>
              <w:t>指标项</w:t>
            </w:r>
          </w:p>
        </w:tc>
        <w:tc>
          <w:tcPr>
            <w:tcW w:w="601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spacing w:line="276" w:lineRule="auto"/>
              <w:rPr>
                <w:rFonts w:hint="eastAsia" w:ascii="宋体" w:hAnsi="宋体"/>
                <w:b/>
              </w:rPr>
            </w:pPr>
            <w:r>
              <w:rPr>
                <w:rFonts w:hint="eastAsia" w:ascii="宋体" w:hAnsi="宋体"/>
                <w:b/>
                <w:lang w:val="en-US" w:eastAsia="zh-CN"/>
              </w:rPr>
              <w:t>指标要求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能力要求</w:t>
            </w: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DDoS防护类型：在国内骨干网支持TCP、UDP、HTTP、HTTPS等协议的攻击防护，支持的攻击防护类型包括：SYNFlood、SYN-ACKFloodACKFlood、FIN/RSTFlood、TCP连接耗尽攻击、TCP分片攻击、TCP异常报文、UDPFlood、UDP分片、ICMPFlood。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i w:val="0"/>
                <w:iCs w:val="0"/>
                <w:color w:val="000000"/>
                <w:sz w:val="21"/>
                <w:szCs w:val="21"/>
                <w:u w:val="none"/>
              </w:rPr>
            </w:pP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DDoS攻击检测：可以实现基于统计攻击特征行为的识别和阻断功能,以及正常流量处理、攻击特征库维护、安全管理及日志审计等功能。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i w:val="0"/>
                <w:iCs w:val="0"/>
                <w:color w:val="000000"/>
                <w:sz w:val="21"/>
                <w:szCs w:val="21"/>
                <w:u w:val="none"/>
              </w:rPr>
            </w:pP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清洗能力：在国内骨干网上提供近源清洗的防DDoS攻击能力。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i w:val="0"/>
                <w:iCs w:val="0"/>
                <w:color w:val="000000"/>
                <w:sz w:val="21"/>
                <w:szCs w:val="21"/>
                <w:u w:val="none"/>
                <w:lang w:val="en-US" w:eastAsia="zh-CN"/>
              </w:rPr>
            </w:pPr>
            <w:r>
              <w:rPr>
                <w:rFonts w:hint="eastAsia" w:asciiTheme="minorEastAsia" w:hAnsiTheme="minorEastAsia" w:cstheme="minorEastAsia"/>
                <w:i w:val="0"/>
                <w:iCs w:val="0"/>
                <w:color w:val="000000"/>
                <w:sz w:val="21"/>
                <w:szCs w:val="21"/>
                <w:u w:val="none"/>
                <w:lang w:val="en-US" w:eastAsia="zh-CN"/>
              </w:rPr>
              <w:t>性能</w:t>
            </w: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在紧急情况下可以根据要求在骨干网实现国内跨省、跨网、跨境不同方向的流量过滤。</w:t>
            </w:r>
          </w:p>
        </w:tc>
      </w:tr>
    </w:tbl>
    <w:p>
      <w:pPr>
        <w:pStyle w:val="7"/>
      </w:pPr>
    </w:p>
    <w:p>
      <w:pPr>
        <w:pStyle w:val="7"/>
      </w:pPr>
    </w:p>
    <w:tbl>
      <w:tblPr>
        <w:tblStyle w:val="11"/>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rPr>
            </w:pPr>
            <w:r>
              <w:rPr>
                <w:rFonts w:ascii="宋体" w:hAnsi="宋体" w:cs="Times New Roman"/>
                <w:b/>
              </w:rPr>
              <w:t>用途：流量分析检测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937" w:type="pct"/>
            <w:shd w:val="clear" w:color="auto" w:fill="D9D9D9"/>
          </w:tcPr>
          <w:p>
            <w:pPr>
              <w:spacing w:line="276" w:lineRule="auto"/>
              <w:textAlignment w:val="baseline"/>
              <w:rPr>
                <w:rFonts w:ascii="宋体" w:hAnsi="宋体" w:cs="Times New Roman"/>
                <w:b/>
                <w:kern w:val="0"/>
              </w:rPr>
            </w:pPr>
            <w:r>
              <w:rPr>
                <w:rFonts w:ascii="宋体" w:hAnsi="宋体" w:cs="Times New Roman"/>
                <w:b/>
              </w:rPr>
              <w:t>指标项</w:t>
            </w:r>
          </w:p>
        </w:tc>
        <w:tc>
          <w:tcPr>
            <w:tcW w:w="4063" w:type="pct"/>
            <w:shd w:val="clear" w:color="auto" w:fill="D9D9D9"/>
          </w:tcPr>
          <w:p>
            <w:pPr>
              <w:spacing w:line="276" w:lineRule="auto"/>
              <w:textAlignment w:val="baseline"/>
              <w:rPr>
                <w:rFonts w:ascii="宋体" w:hAnsi="宋体" w:cs="Times New Roman"/>
                <w:b/>
                <w:kern w:val="0"/>
              </w:rPr>
            </w:pPr>
            <w:r>
              <w:rPr>
                <w:rFonts w:ascii="宋体" w:hAnsi="宋体" w:cs="Times New Roman"/>
                <w:b/>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37" w:type="pct"/>
          </w:tcPr>
          <w:p>
            <w:pPr>
              <w:spacing w:line="276" w:lineRule="auto"/>
              <w:textAlignment w:val="baseline"/>
              <w:rPr>
                <w:rFonts w:ascii="宋体" w:hAnsi="宋体" w:cs="Times New Roman"/>
                <w:bCs/>
                <w:kern w:val="0"/>
              </w:rPr>
            </w:pPr>
            <w:r>
              <w:rPr>
                <w:rFonts w:ascii="宋体" w:hAnsi="宋体" w:cs="Times New Roman"/>
                <w:bCs/>
                <w:kern w:val="0"/>
              </w:rPr>
              <w:t>性能</w:t>
            </w:r>
          </w:p>
        </w:tc>
        <w:tc>
          <w:tcPr>
            <w:tcW w:w="4063" w:type="pct"/>
          </w:tcPr>
          <w:p>
            <w:pPr>
              <w:spacing w:line="276" w:lineRule="auto"/>
              <w:textAlignment w:val="baseline"/>
              <w:rPr>
                <w:rFonts w:ascii="宋体" w:hAnsi="宋体" w:cs="Times New Roman"/>
                <w:bCs/>
                <w:kern w:val="0"/>
              </w:rPr>
            </w:pPr>
            <w:r>
              <w:rPr>
                <w:rFonts w:ascii="宋体" w:hAnsi="宋体" w:cs="Times New Roman"/>
                <w:bCs/>
                <w:kern w:val="0"/>
              </w:rPr>
              <w:t>机架式</w:t>
            </w:r>
            <w:r>
              <w:rPr>
                <w:rFonts w:ascii="宋体" w:hAnsi="宋体"/>
                <w:bCs/>
              </w:rPr>
              <w:t>≥</w:t>
            </w:r>
            <w:r>
              <w:rPr>
                <w:rFonts w:ascii="宋体" w:hAnsi="宋体" w:cs="Times New Roman"/>
                <w:bCs/>
                <w:kern w:val="0"/>
              </w:rPr>
              <w:t>2U；采集端口：</w:t>
            </w:r>
            <w:r>
              <w:rPr>
                <w:rFonts w:ascii="宋体" w:hAnsi="宋体"/>
                <w:bCs/>
              </w:rPr>
              <w:t>≥</w:t>
            </w:r>
            <w:r>
              <w:rPr>
                <w:rFonts w:ascii="宋体" w:hAnsi="宋体" w:cs="Times New Roman"/>
                <w:bCs/>
                <w:kern w:val="0"/>
              </w:rPr>
              <w:t xml:space="preserve">4个SFP千兆接口；存储空间 </w:t>
            </w:r>
            <w:r>
              <w:rPr>
                <w:rFonts w:ascii="宋体" w:hAnsi="宋体"/>
                <w:bCs/>
              </w:rPr>
              <w:t>≥</w:t>
            </w:r>
            <w:r>
              <w:rPr>
                <w:rFonts w:ascii="宋体" w:hAnsi="宋体" w:cs="Times New Roman"/>
                <w:bCs/>
                <w:kern w:val="0"/>
              </w:rPr>
              <w:t>16TB裸空间；报文处理能力</w:t>
            </w:r>
            <w:r>
              <w:rPr>
                <w:rFonts w:ascii="宋体" w:hAnsi="宋体"/>
                <w:bCs/>
              </w:rPr>
              <w:t>≥</w:t>
            </w:r>
            <w:r>
              <w:rPr>
                <w:rFonts w:ascii="宋体" w:hAnsi="宋体" w:cs="Times New Roman"/>
                <w:bCs/>
                <w:kern w:val="0"/>
              </w:rPr>
              <w:t>4Gbps，支持通过第三方外挂存储扩展存储空间；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37" w:type="pct"/>
          </w:tcPr>
          <w:p>
            <w:pPr>
              <w:spacing w:line="276" w:lineRule="auto"/>
              <w:textAlignment w:val="baseline"/>
              <w:rPr>
                <w:rFonts w:ascii="宋体" w:hAnsi="宋体" w:cs="Times New Roman"/>
                <w:bCs/>
                <w:kern w:val="0"/>
              </w:rPr>
            </w:pPr>
            <w:r>
              <w:rPr>
                <w:rFonts w:ascii="宋体" w:hAnsi="宋体" w:cs="Times New Roman"/>
                <w:bCs/>
                <w:kern w:val="0"/>
              </w:rPr>
              <w:t>功能</w:t>
            </w:r>
          </w:p>
        </w:tc>
        <w:tc>
          <w:tcPr>
            <w:tcW w:w="4063" w:type="pct"/>
          </w:tcPr>
          <w:p>
            <w:pPr>
              <w:spacing w:line="276" w:lineRule="auto"/>
              <w:textAlignment w:val="baseline"/>
              <w:rPr>
                <w:rFonts w:ascii="宋体" w:hAnsi="宋体" w:cs="Times New Roman"/>
                <w:bCs/>
                <w:kern w:val="0"/>
              </w:rPr>
            </w:pPr>
            <w:r>
              <w:rPr>
                <w:rFonts w:ascii="宋体" w:hAnsi="宋体" w:cs="Times New Roman"/>
                <w:bCs/>
                <w:kern w:val="0"/>
              </w:rPr>
              <w:t>1、支持3层及以上的VLAN流量的识别，可以选择VLAN的不同层次进行识别和统计，并在KPI中加以区别显示；支持对交换机镜像（SPAN）或TAP汇聚产生的重复流量去除重复网络报文，支持任意多采集端口的流量汇聚分析，并可区分上下行；</w:t>
            </w:r>
          </w:p>
          <w:p>
            <w:pPr>
              <w:spacing w:line="276" w:lineRule="auto"/>
              <w:textAlignment w:val="baseline"/>
              <w:rPr>
                <w:rFonts w:ascii="宋体" w:hAnsi="宋体" w:cs="Times New Roman"/>
                <w:bCs/>
                <w:kern w:val="0"/>
              </w:rPr>
            </w:pPr>
            <w:r>
              <w:rPr>
                <w:rFonts w:ascii="宋体" w:hAnsi="宋体" w:cs="Times New Roman"/>
                <w:bCs/>
                <w:kern w:val="0"/>
              </w:rPr>
              <w:t>2、支持按URL自定义应用，自定义应用规则生效于每个捕获端口，支持通过HTTP的路径参数、请求体、返回体中的报文字段定义应用，可枚举HTTP的路径参数、请求体、返回体中的报文字段，自动生成分析维度；</w:t>
            </w:r>
          </w:p>
          <w:p>
            <w:pPr>
              <w:spacing w:line="276" w:lineRule="auto"/>
              <w:textAlignment w:val="baseline"/>
              <w:rPr>
                <w:rFonts w:ascii="宋体" w:hAnsi="宋体" w:cs="Times New Roman"/>
                <w:bCs/>
                <w:kern w:val="0"/>
              </w:rPr>
            </w:pPr>
            <w:r>
              <w:rPr>
                <w:rFonts w:ascii="宋体" w:hAnsi="宋体" w:cs="Times New Roman"/>
                <w:bCs/>
                <w:kern w:val="0"/>
              </w:rPr>
              <w:t>3、应用分析：支持pv、uv、访问ip的统计分析，支持实时分析HTTP协议的应用KPI：URL、请求方式、Error code、应用响应时间、总页面传输时间。并可提取单笔交互的网络数据报文。支持实时分析Oracle协议的应用KPI：Oracle 语句、Error code、应用响应时间、总语句响应时间。并可提取单笔交互的网络数据报文。支持通过导入SSL key解码https流量；</w:t>
            </w:r>
          </w:p>
          <w:p>
            <w:pPr>
              <w:spacing w:line="276" w:lineRule="auto"/>
              <w:textAlignment w:val="baseline"/>
              <w:rPr>
                <w:rFonts w:ascii="宋体" w:hAnsi="宋体" w:cs="Times New Roman"/>
                <w:bCs/>
                <w:kern w:val="0"/>
              </w:rPr>
            </w:pPr>
            <w:r>
              <w:rPr>
                <w:rFonts w:ascii="宋体" w:hAnsi="宋体" w:cs="Times New Roman"/>
                <w:bCs/>
                <w:kern w:val="0"/>
              </w:rPr>
              <w:t>4、业务量、业务平均响应时间、业务峰值响应时间、业务响应率、业务成功率，业务返回码，支持配置业务字段作为统计分析维度，统计KPI包含上述业务KPI；支持全量记录每笔业务的上述业务KPI，以及自定义维度字段。并可通过and、or条件组合多个过滤条件逻辑运算组合，检索关键字段输出过滤结果，支持提取单笔交易的原始网络报文，保存为pcap格式，进行数据取证。支持通过特定字段关联追踪单笔或多笔业务在各个节点的时间与状态。包含：延时、可用性、返回码、业务系统类型等状态。</w:t>
            </w:r>
          </w:p>
          <w:p>
            <w:pPr>
              <w:spacing w:line="276" w:lineRule="auto"/>
              <w:textAlignment w:val="baseline"/>
              <w:rPr>
                <w:rFonts w:ascii="宋体" w:hAnsi="宋体" w:cs="Times New Roman"/>
                <w:bCs/>
                <w:kern w:val="0"/>
              </w:rPr>
            </w:pPr>
            <w:r>
              <w:rPr>
                <w:rFonts w:ascii="宋体" w:hAnsi="宋体" w:cs="Times New Roman"/>
                <w:bCs/>
                <w:kern w:val="0"/>
              </w:rPr>
              <w:t>5、支持通过Restful读取每条规则、支持向Kafka接口输出每条规则、TCP会话的KPI详单表；支持通过URL直接调用每条规则、TCP会话的KPI时序图；</w:t>
            </w:r>
          </w:p>
        </w:tc>
      </w:tr>
    </w:tbl>
    <w:p>
      <w:pPr>
        <w:spacing w:line="276" w:lineRule="auto"/>
        <w:textAlignment w:val="baseline"/>
        <w:rPr>
          <w:rFonts w:ascii="宋体" w:hAnsi="宋体" w:cs="Times New Roman"/>
          <w:bCs/>
          <w:kern w:val="0"/>
        </w:rPr>
      </w:pPr>
    </w:p>
    <w:tbl>
      <w:tblPr>
        <w:tblStyle w:val="11"/>
        <w:tblW w:w="46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6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2"/>
            <w:vAlign w:val="center"/>
          </w:tcPr>
          <w:p>
            <w:pPr>
              <w:spacing w:line="276" w:lineRule="auto"/>
              <w:textAlignment w:val="baseline"/>
              <w:rPr>
                <w:rFonts w:ascii="宋体" w:hAnsi="宋体" w:cs="Times New Roman"/>
                <w:b/>
                <w:kern w:val="0"/>
              </w:rPr>
            </w:pPr>
            <w:r>
              <w:rPr>
                <w:rFonts w:ascii="宋体" w:hAnsi="宋体" w:cs="Times New Roman"/>
                <w:b/>
                <w:kern w:val="0"/>
              </w:rPr>
              <w:t>用途：日志审计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pct"/>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4074" w:type="pct"/>
            <w:shd w:val="clear" w:color="auto" w:fill="BFBFBF"/>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pct"/>
          </w:tcPr>
          <w:p>
            <w:pPr>
              <w:spacing w:line="276" w:lineRule="auto"/>
              <w:textAlignment w:val="baseline"/>
              <w:rPr>
                <w:rFonts w:ascii="宋体" w:hAnsi="宋体" w:cs="Times New Roman"/>
                <w:bCs/>
                <w:kern w:val="0"/>
              </w:rPr>
            </w:pPr>
            <w:r>
              <w:rPr>
                <w:rFonts w:ascii="宋体" w:hAnsi="宋体" w:cs="Times New Roman"/>
                <w:bCs/>
                <w:kern w:val="0"/>
              </w:rPr>
              <w:t>产品要求</w:t>
            </w:r>
          </w:p>
        </w:tc>
        <w:tc>
          <w:tcPr>
            <w:tcW w:w="4074" w:type="pct"/>
          </w:tcPr>
          <w:p>
            <w:pPr>
              <w:spacing w:line="276" w:lineRule="auto"/>
              <w:textAlignment w:val="baseline"/>
              <w:rPr>
                <w:rFonts w:ascii="宋体" w:hAnsi="宋体" w:cs="Times New Roman"/>
                <w:bCs/>
                <w:kern w:val="0"/>
              </w:rPr>
            </w:pPr>
            <w:r>
              <w:rPr>
                <w:rFonts w:ascii="宋体" w:hAnsi="宋体" w:cs="Times New Roman"/>
                <w:bCs/>
                <w:kern w:val="0"/>
              </w:rPr>
              <w:t>非OEM产品，支持部署在国产操作系统中标麒麟上。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pct"/>
            <w:vMerge w:val="restart"/>
          </w:tcPr>
          <w:p>
            <w:pPr>
              <w:spacing w:line="276" w:lineRule="auto"/>
              <w:textAlignment w:val="baseline"/>
              <w:rPr>
                <w:rFonts w:ascii="宋体" w:hAnsi="宋体" w:cs="Times New Roman"/>
                <w:bCs/>
                <w:kern w:val="0"/>
              </w:rPr>
            </w:pPr>
            <w:r>
              <w:rPr>
                <w:rFonts w:ascii="宋体" w:hAnsi="宋体" w:cs="Times New Roman"/>
                <w:bCs/>
                <w:kern w:val="0"/>
              </w:rPr>
              <w:t>产品功能</w:t>
            </w:r>
          </w:p>
        </w:tc>
        <w:tc>
          <w:tcPr>
            <w:tcW w:w="4074" w:type="pct"/>
          </w:tcPr>
          <w:p>
            <w:pPr>
              <w:spacing w:line="276" w:lineRule="auto"/>
              <w:textAlignment w:val="baseline"/>
              <w:rPr>
                <w:rFonts w:ascii="宋体" w:hAnsi="宋体" w:cs="Times New Roman"/>
                <w:bCs/>
                <w:kern w:val="0"/>
              </w:rPr>
            </w:pPr>
            <w:r>
              <w:rPr>
                <w:rFonts w:ascii="宋体" w:hAnsi="宋体" w:cs="Times New Roman"/>
                <w:bCs/>
                <w:kern w:val="0"/>
              </w:rPr>
              <w:t>采用不低于三节点的多副本冗余存储集群式架构，支持副本数≥3，支持横向扩展方式，采用分布式数据采集与处理机制，平台具备至少处理80TB日志数据量以及3000 个以上的日志来源采集，采集范围包括但不限于网络安全设备、网络设备、数据库、中间件、操作系统、应用系统、云平台等。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pct"/>
            <w:vMerge w:val="continue"/>
          </w:tcPr>
          <w:p>
            <w:pPr>
              <w:spacing w:line="276" w:lineRule="auto"/>
              <w:textAlignment w:val="baseline"/>
              <w:rPr>
                <w:rFonts w:ascii="宋体" w:hAnsi="宋体" w:cs="Times New Roman"/>
                <w:bCs/>
                <w:kern w:val="0"/>
              </w:rPr>
            </w:pPr>
          </w:p>
        </w:tc>
        <w:tc>
          <w:tcPr>
            <w:tcW w:w="4074" w:type="pct"/>
          </w:tcPr>
          <w:p>
            <w:pPr>
              <w:spacing w:line="276" w:lineRule="auto"/>
              <w:textAlignment w:val="baseline"/>
              <w:rPr>
                <w:rFonts w:ascii="宋体" w:hAnsi="宋体" w:cs="Times New Roman"/>
                <w:bCs/>
                <w:kern w:val="0"/>
              </w:rPr>
            </w:pPr>
            <w:r>
              <w:rPr>
                <w:rFonts w:ascii="宋体" w:hAnsi="宋体" w:cs="Times New Roman"/>
                <w:bCs/>
                <w:kern w:val="0"/>
              </w:rPr>
              <w:t>支持接收日志源端使用标准协议推送的日志数据，如Syslog协议、RSyslog协议、SNMP Trap协议，允许使用TCP协议或UDP协议进行日志数据传输。支持部署代理客户端采集日志数据。支持使用标准协议ODBC协议采集Oracle、MySQL等数据库记录结构化数据，以及运行负载的数据（锁状态，连接状态，缓存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pct"/>
            <w:vMerge w:val="continue"/>
          </w:tcPr>
          <w:p>
            <w:pPr>
              <w:spacing w:line="276" w:lineRule="auto"/>
              <w:textAlignment w:val="baseline"/>
              <w:rPr>
                <w:rFonts w:ascii="宋体" w:hAnsi="宋体" w:cs="Times New Roman"/>
                <w:bCs/>
                <w:kern w:val="0"/>
              </w:rPr>
            </w:pPr>
          </w:p>
        </w:tc>
        <w:tc>
          <w:tcPr>
            <w:tcW w:w="4074" w:type="pct"/>
          </w:tcPr>
          <w:p>
            <w:pPr>
              <w:spacing w:line="276" w:lineRule="auto"/>
              <w:textAlignment w:val="baseline"/>
              <w:rPr>
                <w:rFonts w:ascii="宋体" w:hAnsi="宋体" w:cs="Times New Roman"/>
                <w:bCs/>
                <w:kern w:val="0"/>
              </w:rPr>
            </w:pPr>
            <w:r>
              <w:rPr>
                <w:rFonts w:ascii="宋体" w:hAnsi="宋体" w:cs="Times New Roman"/>
                <w:bCs/>
                <w:kern w:val="0"/>
              </w:rPr>
              <w:t>支持百亿级日志数据量存储，并且使用关键字模糊查询、SPL 搜索过程语言对日志内容进行查询、筛选、新增，支持按来源、标签、关键字、等任意条件进行组合，能够实现秒级反馈查询结果，支持自定义按字段条件进行内容过滤，可包含多个字段条件过滤，过滤后全局生效和局部生效，支持日志追踪trace命令，实现基于间接关系的日志数据的归集，支持trasaction、rename、parse等丰富的命令语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pct"/>
            <w:vMerge w:val="continue"/>
          </w:tcPr>
          <w:p>
            <w:pPr>
              <w:spacing w:line="276" w:lineRule="auto"/>
              <w:textAlignment w:val="baseline"/>
              <w:rPr>
                <w:rFonts w:ascii="宋体" w:hAnsi="宋体" w:cs="Times New Roman"/>
                <w:bCs/>
                <w:kern w:val="0"/>
              </w:rPr>
            </w:pPr>
          </w:p>
        </w:tc>
        <w:tc>
          <w:tcPr>
            <w:tcW w:w="4074" w:type="pct"/>
          </w:tcPr>
          <w:p>
            <w:pPr>
              <w:spacing w:line="276" w:lineRule="auto"/>
              <w:textAlignment w:val="baseline"/>
              <w:rPr>
                <w:rFonts w:ascii="宋体" w:hAnsi="宋体" w:cs="Times New Roman"/>
                <w:bCs/>
                <w:kern w:val="0"/>
              </w:rPr>
            </w:pPr>
            <w:r>
              <w:rPr>
                <w:rFonts w:ascii="宋体" w:hAnsi="宋体" w:cs="Times New Roman"/>
                <w:bCs/>
                <w:kern w:val="0"/>
              </w:rPr>
              <w:t>支持图谱可视化，可定位时间范围内日志数据中实体对象之间的关系行为与交互频率，将异常操作有关的操作用户、访问来源、前后操作动作用网状图形展示出来，能够轻松定位异常信息对应用户和涉及的威胁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pct"/>
            <w:vMerge w:val="continue"/>
          </w:tcPr>
          <w:p>
            <w:pPr>
              <w:spacing w:line="276" w:lineRule="auto"/>
              <w:textAlignment w:val="baseline"/>
              <w:rPr>
                <w:rFonts w:ascii="宋体" w:hAnsi="宋体" w:cs="Times New Roman"/>
                <w:bCs/>
                <w:kern w:val="0"/>
              </w:rPr>
            </w:pPr>
          </w:p>
        </w:tc>
        <w:tc>
          <w:tcPr>
            <w:tcW w:w="4074" w:type="pct"/>
          </w:tcPr>
          <w:p>
            <w:pPr>
              <w:spacing w:line="276" w:lineRule="auto"/>
              <w:textAlignment w:val="baseline"/>
              <w:rPr>
                <w:rFonts w:ascii="宋体" w:hAnsi="宋体" w:cs="Times New Roman"/>
                <w:bCs/>
                <w:kern w:val="0"/>
              </w:rPr>
            </w:pPr>
            <w:r>
              <w:rPr>
                <w:rFonts w:ascii="宋体" w:hAnsi="宋体" w:cs="Times New Roman"/>
                <w:bCs/>
                <w:kern w:val="0"/>
              </w:rPr>
              <w:t>具备机器学习功能，支持基于时间序列的异常检测，支持单维度异常检测。支持对指标进行历史异常值的检测，支持给出突变的数据、超出波动范围的数据、周期波动的数据等异常点的详细信息。具备及时发现业务请求数、拒绝数、响应时间、流水和订单等数据的异常波动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pct"/>
            <w:vMerge w:val="continue"/>
          </w:tcPr>
          <w:p>
            <w:pPr>
              <w:spacing w:line="276" w:lineRule="auto"/>
              <w:textAlignment w:val="baseline"/>
              <w:rPr>
                <w:rFonts w:ascii="宋体" w:hAnsi="宋体" w:cs="Times New Roman"/>
                <w:bCs/>
                <w:kern w:val="0"/>
              </w:rPr>
            </w:pPr>
          </w:p>
        </w:tc>
        <w:tc>
          <w:tcPr>
            <w:tcW w:w="4074" w:type="pct"/>
          </w:tcPr>
          <w:p>
            <w:pPr>
              <w:spacing w:line="276" w:lineRule="auto"/>
              <w:textAlignment w:val="baseline"/>
              <w:rPr>
                <w:rFonts w:ascii="宋体" w:hAnsi="宋体" w:cs="Times New Roman"/>
                <w:bCs/>
                <w:kern w:val="0"/>
              </w:rPr>
            </w:pPr>
            <w:r>
              <w:rPr>
                <w:rFonts w:ascii="宋体" w:hAnsi="宋体" w:cs="Times New Roman"/>
                <w:bCs/>
                <w:kern w:val="0"/>
              </w:rPr>
              <w:t>支持现有灾备云平台的执行日志采集，内置丰富的分析场景和可视化视图，展示备份任务的速度变化、增长情况，对比每日积压数据量情况，耗时、异常等各类情况分析。用图谱可视化分析灾备云的执行日志，展示出不同备份任务的执行顺序以及关联关系，同一主机的备份恢复逻辑线索和频率，并提供原厂盖章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 w:type="pct"/>
            <w:vMerge w:val="continue"/>
          </w:tcPr>
          <w:p>
            <w:pPr>
              <w:spacing w:line="276" w:lineRule="auto"/>
              <w:textAlignment w:val="baseline"/>
              <w:rPr>
                <w:rFonts w:ascii="宋体" w:hAnsi="宋体" w:cs="Times New Roman"/>
                <w:bCs/>
                <w:kern w:val="0"/>
              </w:rPr>
            </w:pPr>
          </w:p>
        </w:tc>
        <w:tc>
          <w:tcPr>
            <w:tcW w:w="4074" w:type="pct"/>
          </w:tcPr>
          <w:p>
            <w:pPr>
              <w:spacing w:line="276" w:lineRule="auto"/>
              <w:textAlignment w:val="baseline"/>
              <w:rPr>
                <w:rFonts w:ascii="宋体" w:hAnsi="宋体" w:cs="Times New Roman"/>
                <w:bCs/>
                <w:kern w:val="0"/>
              </w:rPr>
            </w:pPr>
            <w:r>
              <w:rPr>
                <w:rFonts w:ascii="宋体" w:hAnsi="宋体" w:cs="Times New Roman"/>
                <w:bCs/>
                <w:kern w:val="0"/>
              </w:rPr>
              <w:t>支持提供iFrame方式对外提供给第三方平台使用数据，支持API接口的方式与第三方平台对接。支持通过kafka实现log switch，实现日志实时转发或定时转发。提供数据可视化展示效果的定制开发服务，根据实际需求来设计个性化大屏展示视图。</w:t>
            </w:r>
          </w:p>
        </w:tc>
      </w:tr>
    </w:tbl>
    <w:p>
      <w:pPr>
        <w:rPr>
          <w:vanish/>
        </w:rPr>
      </w:pPr>
    </w:p>
    <w:p>
      <w:pPr>
        <w:spacing w:line="276" w:lineRule="auto"/>
        <w:textAlignment w:val="baseline"/>
        <w:rPr>
          <w:rFonts w:ascii="宋体" w:hAnsi="宋体" w:cs="Times New Roman"/>
          <w:bCs/>
          <w:kern w:val="0"/>
        </w:rPr>
      </w:pPr>
    </w:p>
    <w:tbl>
      <w:tblPr>
        <w:tblStyle w:val="11"/>
        <w:tblpPr w:leftFromText="180" w:rightFromText="180" w:vertAnchor="text" w:horzAnchor="page" w:tblpX="2135" w:tblpY="260"/>
        <w:tblOverlap w:val="never"/>
        <w:tblW w:w="4609" w:type="pct"/>
        <w:tblInd w:w="0" w:type="dxa"/>
        <w:tblLayout w:type="autofit"/>
        <w:tblCellMar>
          <w:top w:w="0" w:type="dxa"/>
          <w:left w:w="108" w:type="dxa"/>
          <w:bottom w:w="0" w:type="dxa"/>
          <w:right w:w="108" w:type="dxa"/>
        </w:tblCellMar>
      </w:tblPr>
      <w:tblGrid>
        <w:gridCol w:w="1450"/>
        <w:gridCol w:w="6406"/>
      </w:tblGrid>
      <w:tr>
        <w:tblPrEx>
          <w:tblCellMar>
            <w:top w:w="0" w:type="dxa"/>
            <w:left w:w="108" w:type="dxa"/>
            <w:bottom w:w="0" w:type="dxa"/>
            <w:right w:w="108" w:type="dxa"/>
          </w:tblCellMar>
        </w:tblPrEx>
        <w:trPr>
          <w:trHeight w:val="454" w:hRule="atLeast"/>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b/>
                <w:color w:val="000000"/>
                <w:kern w:val="0"/>
              </w:rPr>
            </w:pPr>
            <w:r>
              <w:rPr>
                <w:rFonts w:ascii="宋体" w:hAnsi="宋体" w:cs="Times New Roman"/>
                <w:b/>
                <w:kern w:val="0"/>
              </w:rPr>
              <w:t>用途：上网行为管理</w:t>
            </w:r>
          </w:p>
        </w:tc>
      </w:tr>
      <w:tr>
        <w:tblPrEx>
          <w:tblCellMar>
            <w:top w:w="0" w:type="dxa"/>
            <w:left w:w="108" w:type="dxa"/>
            <w:bottom w:w="0" w:type="dxa"/>
            <w:right w:w="108" w:type="dxa"/>
          </w:tblCellMar>
        </w:tblPrEx>
        <w:trPr>
          <w:trHeight w:val="300" w:hRule="atLeast"/>
        </w:trPr>
        <w:tc>
          <w:tcPr>
            <w:tcW w:w="923" w:type="pct"/>
            <w:tcBorders>
              <w:top w:val="single" w:color="auto" w:sz="4" w:space="0"/>
              <w:left w:val="single" w:color="auto" w:sz="4" w:space="0"/>
              <w:bottom w:val="single" w:color="auto" w:sz="4" w:space="0"/>
              <w:right w:val="single" w:color="auto" w:sz="4" w:space="0"/>
            </w:tcBorders>
            <w:shd w:val="clear" w:color="auto" w:fill="BFBFBF"/>
            <w:vAlign w:val="center"/>
          </w:tcPr>
          <w:p>
            <w:pPr>
              <w:rPr>
                <w:rFonts w:ascii="宋体" w:hAnsi="宋体" w:cs="宋体"/>
                <w:b/>
                <w:color w:val="000000"/>
                <w:kern w:val="0"/>
              </w:rPr>
            </w:pPr>
            <w:r>
              <w:rPr>
                <w:rFonts w:ascii="宋体" w:hAnsi="宋体" w:cs="宋体"/>
                <w:b/>
                <w:color w:val="000000"/>
                <w:kern w:val="0"/>
              </w:rPr>
              <w:t>指标项</w:t>
            </w:r>
          </w:p>
        </w:tc>
        <w:tc>
          <w:tcPr>
            <w:tcW w:w="4076" w:type="pct"/>
            <w:tcBorders>
              <w:top w:val="single" w:color="auto" w:sz="4" w:space="0"/>
              <w:left w:val="nil"/>
              <w:bottom w:val="single" w:color="auto" w:sz="4" w:space="0"/>
              <w:right w:val="single" w:color="auto" w:sz="4" w:space="0"/>
            </w:tcBorders>
            <w:shd w:val="clear" w:color="auto" w:fill="BFBFBF"/>
            <w:vAlign w:val="center"/>
          </w:tcPr>
          <w:p>
            <w:pPr>
              <w:rPr>
                <w:rFonts w:ascii="宋体" w:hAnsi="宋体" w:cs="宋体"/>
                <w:b/>
                <w:color w:val="000000"/>
                <w:kern w:val="0"/>
              </w:rPr>
            </w:pPr>
            <w:r>
              <w:rPr>
                <w:rFonts w:ascii="宋体" w:hAnsi="宋体" w:cs="宋体"/>
                <w:b/>
                <w:color w:val="000000"/>
                <w:kern w:val="0"/>
              </w:rPr>
              <w:t>指标要求</w:t>
            </w:r>
          </w:p>
        </w:tc>
      </w:tr>
      <w:tr>
        <w:tblPrEx>
          <w:tblCellMar>
            <w:top w:w="0" w:type="dxa"/>
            <w:left w:w="108" w:type="dxa"/>
            <w:bottom w:w="0" w:type="dxa"/>
            <w:right w:w="108" w:type="dxa"/>
          </w:tblCellMar>
        </w:tblPrEx>
        <w:trPr>
          <w:trHeight w:val="300" w:hRule="atLeast"/>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ascii="宋体" w:hAnsi="宋体" w:cs="宋体"/>
                <w:bCs/>
                <w:color w:val="000000"/>
                <w:kern w:val="0"/>
              </w:rPr>
              <w:t>硬件配置</w:t>
            </w:r>
          </w:p>
        </w:tc>
        <w:tc>
          <w:tcPr>
            <w:tcW w:w="4076" w:type="pct"/>
            <w:tcBorders>
              <w:top w:val="single" w:color="auto" w:sz="4" w:space="0"/>
              <w:left w:val="nil"/>
              <w:bottom w:val="single" w:color="auto" w:sz="4" w:space="0"/>
              <w:right w:val="single" w:color="auto" w:sz="4" w:space="0"/>
            </w:tcBorders>
            <w:vAlign w:val="center"/>
          </w:tcPr>
          <w:p>
            <w:pPr>
              <w:rPr>
                <w:rFonts w:ascii="宋体" w:hAnsi="宋体" w:cs="宋体"/>
                <w:bCs/>
                <w:kern w:val="0"/>
              </w:rPr>
            </w:pPr>
            <w:r>
              <w:rPr>
                <w:rFonts w:ascii="宋体" w:hAnsi="宋体" w:cs="宋体"/>
                <w:bCs/>
                <w:kern w:val="0"/>
              </w:rPr>
              <w:t>2U机架式结构； 2TB硬盘； 64G内存；包括1个串口、2个USB接口、4个万兆SFP+插槽（支持光口BYPASS）、2个千兆电口，可支持扩展40GE接口； 自带液晶屏，标配双电源；网络吞吐量20G最大并发连接数&gt;1200万；</w:t>
            </w:r>
          </w:p>
        </w:tc>
      </w:tr>
      <w:tr>
        <w:tblPrEx>
          <w:tblCellMar>
            <w:top w:w="0" w:type="dxa"/>
            <w:left w:w="108" w:type="dxa"/>
            <w:bottom w:w="0" w:type="dxa"/>
            <w:right w:w="108" w:type="dxa"/>
          </w:tblCellMar>
        </w:tblPrEx>
        <w:trPr>
          <w:trHeight w:val="300" w:hRule="atLeast"/>
        </w:trPr>
        <w:tc>
          <w:tcPr>
            <w:tcW w:w="923" w:type="pct"/>
            <w:tcBorders>
              <w:top w:val="nil"/>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ascii="宋体" w:hAnsi="宋体" w:cs="宋体"/>
                <w:bCs/>
                <w:color w:val="000000"/>
                <w:kern w:val="0"/>
              </w:rPr>
              <w:t>部署模式</w:t>
            </w:r>
          </w:p>
        </w:tc>
        <w:tc>
          <w:tcPr>
            <w:tcW w:w="4076" w:type="pct"/>
            <w:tcBorders>
              <w:top w:val="nil"/>
              <w:left w:val="nil"/>
              <w:bottom w:val="single" w:color="auto" w:sz="4" w:space="0"/>
              <w:right w:val="single" w:color="auto" w:sz="4" w:space="0"/>
            </w:tcBorders>
            <w:vAlign w:val="center"/>
          </w:tcPr>
          <w:p>
            <w:pPr>
              <w:rPr>
                <w:rFonts w:ascii="宋体" w:hAnsi="宋体" w:cs="宋体"/>
                <w:bCs/>
                <w:kern w:val="0"/>
              </w:rPr>
            </w:pPr>
            <w:r>
              <w:rPr>
                <w:rFonts w:ascii="宋体" w:hAnsi="宋体" w:cs="宋体"/>
                <w:bCs/>
                <w:kern w:val="0"/>
              </w:rPr>
              <w:t>支持路由模式，旁路模式、网桥模式、混合模式部署；</w:t>
            </w:r>
          </w:p>
        </w:tc>
      </w:tr>
      <w:tr>
        <w:tblPrEx>
          <w:tblCellMar>
            <w:top w:w="0" w:type="dxa"/>
            <w:left w:w="108" w:type="dxa"/>
            <w:bottom w:w="0" w:type="dxa"/>
            <w:right w:w="108" w:type="dxa"/>
          </w:tblCellMar>
        </w:tblPrEx>
        <w:trPr>
          <w:trHeight w:val="560" w:hRule="atLeast"/>
        </w:trPr>
        <w:tc>
          <w:tcPr>
            <w:tcW w:w="923" w:type="pct"/>
            <w:tcBorders>
              <w:top w:val="nil"/>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ascii="宋体" w:hAnsi="宋体" w:cs="宋体"/>
                <w:bCs/>
                <w:color w:val="000000"/>
                <w:kern w:val="0"/>
              </w:rPr>
              <w:t>即插即用</w:t>
            </w:r>
          </w:p>
        </w:tc>
        <w:tc>
          <w:tcPr>
            <w:tcW w:w="4076" w:type="pct"/>
            <w:tcBorders>
              <w:top w:val="nil"/>
              <w:left w:val="nil"/>
              <w:bottom w:val="single" w:color="auto" w:sz="4" w:space="0"/>
              <w:right w:val="single" w:color="auto" w:sz="4" w:space="0"/>
            </w:tcBorders>
            <w:vAlign w:val="center"/>
          </w:tcPr>
          <w:p>
            <w:pPr>
              <w:rPr>
                <w:rFonts w:ascii="宋体" w:hAnsi="宋体" w:cs="宋体"/>
                <w:bCs/>
                <w:kern w:val="0"/>
              </w:rPr>
            </w:pPr>
            <w:r>
              <w:rPr>
                <w:rFonts w:ascii="宋体" w:hAnsi="宋体" w:cs="宋体"/>
                <w:bCs/>
                <w:kern w:val="0"/>
              </w:rPr>
              <w:t>支持即插即用功能。不管电脑的IP如何配置，开启即插即用功能后，只要插上网线，即可上网。（提供截图证明）</w:t>
            </w:r>
          </w:p>
        </w:tc>
      </w:tr>
      <w:tr>
        <w:tblPrEx>
          <w:tblCellMar>
            <w:top w:w="0" w:type="dxa"/>
            <w:left w:w="108" w:type="dxa"/>
            <w:bottom w:w="0" w:type="dxa"/>
            <w:right w:w="108" w:type="dxa"/>
          </w:tblCellMar>
        </w:tblPrEx>
        <w:trPr>
          <w:trHeight w:val="560" w:hRule="atLeast"/>
        </w:trPr>
        <w:tc>
          <w:tcPr>
            <w:tcW w:w="923" w:type="pct"/>
            <w:tcBorders>
              <w:top w:val="nil"/>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ascii="宋体" w:hAnsi="宋体" w:cs="宋体"/>
                <w:bCs/>
                <w:color w:val="000000"/>
                <w:kern w:val="0"/>
              </w:rPr>
              <w:t>双机模式</w:t>
            </w:r>
          </w:p>
        </w:tc>
        <w:tc>
          <w:tcPr>
            <w:tcW w:w="4076" w:type="pct"/>
            <w:tcBorders>
              <w:top w:val="nil"/>
              <w:left w:val="nil"/>
              <w:bottom w:val="single" w:color="auto" w:sz="4" w:space="0"/>
              <w:right w:val="single" w:color="auto" w:sz="4" w:space="0"/>
            </w:tcBorders>
            <w:vAlign w:val="center"/>
          </w:tcPr>
          <w:p>
            <w:pPr>
              <w:rPr>
                <w:rFonts w:ascii="宋体" w:hAnsi="宋体" w:cs="宋体"/>
                <w:bCs/>
                <w:kern w:val="0"/>
              </w:rPr>
            </w:pPr>
            <w:r>
              <w:rPr>
                <w:rFonts w:ascii="宋体" w:hAnsi="宋体" w:cs="宋体"/>
                <w:bCs/>
                <w:kern w:val="0"/>
              </w:rPr>
              <w:t>支持两台及两台以上设备同时做主机的部署模式；桥模式下必须支持接口联动，配置同步；</w:t>
            </w:r>
          </w:p>
        </w:tc>
      </w:tr>
      <w:tr>
        <w:tblPrEx>
          <w:tblCellMar>
            <w:top w:w="0" w:type="dxa"/>
            <w:left w:w="108" w:type="dxa"/>
            <w:bottom w:w="0" w:type="dxa"/>
            <w:right w:w="108" w:type="dxa"/>
          </w:tblCellMar>
        </w:tblPrEx>
        <w:trPr>
          <w:trHeight w:val="560" w:hRule="atLeast"/>
        </w:trPr>
        <w:tc>
          <w:tcPr>
            <w:tcW w:w="923" w:type="pct"/>
            <w:tcBorders>
              <w:top w:val="nil"/>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ascii="宋体" w:hAnsi="宋体" w:cs="宋体"/>
                <w:bCs/>
                <w:color w:val="000000"/>
                <w:kern w:val="0"/>
              </w:rPr>
              <w:t>链路聚合</w:t>
            </w:r>
          </w:p>
        </w:tc>
        <w:tc>
          <w:tcPr>
            <w:tcW w:w="4076" w:type="pct"/>
            <w:tcBorders>
              <w:top w:val="nil"/>
              <w:left w:val="nil"/>
              <w:bottom w:val="single" w:color="auto" w:sz="4" w:space="0"/>
              <w:right w:val="single" w:color="auto" w:sz="4" w:space="0"/>
            </w:tcBorders>
            <w:vAlign w:val="center"/>
          </w:tcPr>
          <w:p>
            <w:pPr>
              <w:spacing w:before="60"/>
              <w:rPr>
                <w:rFonts w:ascii="宋体" w:hAnsi="宋体" w:cs="宋体"/>
                <w:bCs/>
                <w:kern w:val="0"/>
              </w:rPr>
            </w:pPr>
            <w:r>
              <w:rPr>
                <w:rFonts w:ascii="宋体" w:hAnsi="宋体" w:cs="宋体"/>
                <w:bCs/>
                <w:kern w:val="0"/>
              </w:rPr>
              <w:t>支持将多个以太网物理端口捆绑成一条逻辑端口（即将多个端口捆绑成一个逻辑的端口以增加带宽，同时增加链路备份）支持基于mac、轮循、主备、哈希、广播、802.3ad、发送自适应、双向自适应等等多种负载方式。链路聚合通道要求可以捆绑数不少于6个物理端口。（提供截图证明）</w:t>
            </w:r>
          </w:p>
        </w:tc>
      </w:tr>
      <w:tr>
        <w:tblPrEx>
          <w:tblCellMar>
            <w:top w:w="0" w:type="dxa"/>
            <w:left w:w="108" w:type="dxa"/>
            <w:bottom w:w="0" w:type="dxa"/>
            <w:right w:w="108" w:type="dxa"/>
          </w:tblCellMar>
        </w:tblPrEx>
        <w:trPr>
          <w:trHeight w:val="300" w:hRule="atLeast"/>
        </w:trPr>
        <w:tc>
          <w:tcPr>
            <w:tcW w:w="923" w:type="pct"/>
            <w:tcBorders>
              <w:top w:val="nil"/>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ascii="宋体" w:hAnsi="宋体" w:cs="宋体"/>
                <w:bCs/>
                <w:color w:val="000000"/>
                <w:kern w:val="0"/>
              </w:rPr>
              <w:t>管理认证</w:t>
            </w:r>
          </w:p>
        </w:tc>
        <w:tc>
          <w:tcPr>
            <w:tcW w:w="4076" w:type="pct"/>
            <w:tcBorders>
              <w:top w:val="nil"/>
              <w:left w:val="nil"/>
              <w:bottom w:val="single" w:color="auto" w:sz="4" w:space="0"/>
              <w:right w:val="single" w:color="auto" w:sz="4" w:space="0"/>
            </w:tcBorders>
            <w:vAlign w:val="center"/>
          </w:tcPr>
          <w:p>
            <w:pPr>
              <w:rPr>
                <w:rFonts w:ascii="宋体" w:hAnsi="宋体" w:cs="宋体"/>
                <w:bCs/>
                <w:kern w:val="0"/>
              </w:rPr>
            </w:pPr>
            <w:r>
              <w:rPr>
                <w:rFonts w:ascii="宋体" w:hAnsi="宋体" w:cs="宋体"/>
                <w:bCs/>
                <w:kern w:val="0"/>
              </w:rPr>
              <w:t>支持管理员通过Radius认证后才能登录设备。（提供截图证明）</w:t>
            </w:r>
          </w:p>
        </w:tc>
      </w:tr>
      <w:tr>
        <w:tblPrEx>
          <w:tblCellMar>
            <w:top w:w="0" w:type="dxa"/>
            <w:left w:w="108" w:type="dxa"/>
            <w:bottom w:w="0" w:type="dxa"/>
            <w:right w:w="108" w:type="dxa"/>
          </w:tblCellMar>
        </w:tblPrEx>
        <w:trPr>
          <w:trHeight w:val="300" w:hRule="atLeast"/>
        </w:trPr>
        <w:tc>
          <w:tcPr>
            <w:tcW w:w="923" w:type="pct"/>
            <w:tcBorders>
              <w:top w:val="nil"/>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ascii="宋体" w:hAnsi="宋体" w:cs="宋体"/>
                <w:bCs/>
                <w:color w:val="000000"/>
                <w:kern w:val="0"/>
              </w:rPr>
              <w:t>NetbIOS 协议扫描</w:t>
            </w:r>
          </w:p>
        </w:tc>
        <w:tc>
          <w:tcPr>
            <w:tcW w:w="4076" w:type="pct"/>
            <w:tcBorders>
              <w:top w:val="nil"/>
              <w:left w:val="nil"/>
              <w:bottom w:val="single" w:color="auto" w:sz="4" w:space="0"/>
              <w:right w:val="single" w:color="auto" w:sz="4" w:space="0"/>
            </w:tcBorders>
            <w:vAlign w:val="center"/>
          </w:tcPr>
          <w:p>
            <w:pPr>
              <w:rPr>
                <w:rFonts w:ascii="宋体" w:hAnsi="宋体" w:cs="宋体"/>
                <w:bCs/>
                <w:kern w:val="0"/>
              </w:rPr>
            </w:pPr>
            <w:r>
              <w:rPr>
                <w:rFonts w:ascii="宋体" w:hAnsi="宋体" w:cs="宋体"/>
                <w:bCs/>
                <w:kern w:val="0"/>
              </w:rPr>
              <w:t>可通过 NetbIOS 协议扫描内网的主机信息，扫描结果将列出每个主机的 IP 地址、MAC地址和主机名等，然后可以将其加入某个用户组中，逐步完善组织结构的管理。（提供截图证明）</w:t>
            </w:r>
          </w:p>
        </w:tc>
      </w:tr>
      <w:tr>
        <w:tblPrEx>
          <w:tblCellMar>
            <w:top w:w="0" w:type="dxa"/>
            <w:left w:w="108" w:type="dxa"/>
            <w:bottom w:w="0" w:type="dxa"/>
            <w:right w:w="108" w:type="dxa"/>
          </w:tblCellMar>
        </w:tblPrEx>
        <w:trPr>
          <w:trHeight w:val="300" w:hRule="atLeast"/>
        </w:trPr>
        <w:tc>
          <w:tcPr>
            <w:tcW w:w="923" w:type="pct"/>
            <w:tcBorders>
              <w:top w:val="nil"/>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ascii="宋体" w:hAnsi="宋体" w:cs="宋体"/>
                <w:bCs/>
                <w:color w:val="000000"/>
                <w:kern w:val="0"/>
              </w:rPr>
              <w:t>认证</w:t>
            </w:r>
          </w:p>
        </w:tc>
        <w:tc>
          <w:tcPr>
            <w:tcW w:w="4076" w:type="pct"/>
            <w:tcBorders>
              <w:top w:val="nil"/>
              <w:left w:val="nil"/>
              <w:bottom w:val="single" w:color="auto" w:sz="4" w:space="0"/>
              <w:right w:val="single" w:color="auto" w:sz="4" w:space="0"/>
            </w:tcBorders>
            <w:vAlign w:val="center"/>
          </w:tcPr>
          <w:p>
            <w:pPr>
              <w:rPr>
                <w:rFonts w:ascii="宋体" w:hAnsi="宋体" w:cs="宋体"/>
                <w:bCs/>
                <w:kern w:val="0"/>
              </w:rPr>
            </w:pPr>
            <w:r>
              <w:rPr>
                <w:rFonts w:ascii="宋体" w:hAnsi="宋体" w:cs="宋体"/>
                <w:bCs/>
                <w:kern w:val="0"/>
              </w:rPr>
              <w:t>支持于企业微信对接，实现认证；支持通过磁卡识别用户身份，并对用户做控制。（提供截图证明）；临时账号支持二维码扫描接入认证。</w:t>
            </w:r>
          </w:p>
        </w:tc>
      </w:tr>
      <w:tr>
        <w:tblPrEx>
          <w:tblCellMar>
            <w:top w:w="0" w:type="dxa"/>
            <w:left w:w="108" w:type="dxa"/>
            <w:bottom w:w="0" w:type="dxa"/>
            <w:right w:w="108" w:type="dxa"/>
          </w:tblCellMar>
        </w:tblPrEx>
        <w:trPr>
          <w:trHeight w:val="300" w:hRule="atLeast"/>
        </w:trPr>
        <w:tc>
          <w:tcPr>
            <w:tcW w:w="923" w:type="pct"/>
            <w:tcBorders>
              <w:top w:val="nil"/>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ascii="宋体" w:hAnsi="宋体" w:cs="宋体"/>
                <w:bCs/>
                <w:color w:val="000000"/>
                <w:kern w:val="0"/>
              </w:rPr>
              <w:t>个人统计分析及告警</w:t>
            </w:r>
          </w:p>
        </w:tc>
        <w:tc>
          <w:tcPr>
            <w:tcW w:w="4076" w:type="pct"/>
            <w:tcBorders>
              <w:top w:val="nil"/>
              <w:left w:val="nil"/>
              <w:bottom w:val="single" w:color="auto" w:sz="4" w:space="0"/>
              <w:right w:val="single" w:color="auto" w:sz="4" w:space="0"/>
            </w:tcBorders>
            <w:vAlign w:val="center"/>
          </w:tcPr>
          <w:p>
            <w:pPr>
              <w:rPr>
                <w:rFonts w:ascii="宋体" w:hAnsi="宋体" w:cs="宋体"/>
                <w:bCs/>
                <w:kern w:val="0"/>
              </w:rPr>
            </w:pPr>
            <w:r>
              <w:rPr>
                <w:rFonts w:ascii="宋体" w:hAnsi="宋体" w:cs="宋体"/>
                <w:bCs/>
                <w:kern w:val="0"/>
              </w:rPr>
              <w:t>基于个人的所有行为监控报表，包括：网页标题记录、发贴记录、网页评论记录、在搜索引擎上的搜索记录、网页文件上传记录、URL访问记录、即时通讯的登录信息/聊天内容/文件传输记录、邮件记录（详细内容、附件）、FTP登录信息/上传记录/下载记录并告警</w:t>
            </w:r>
          </w:p>
        </w:tc>
      </w:tr>
      <w:tr>
        <w:tblPrEx>
          <w:tblCellMar>
            <w:top w:w="0" w:type="dxa"/>
            <w:left w:w="108" w:type="dxa"/>
            <w:bottom w:w="0" w:type="dxa"/>
            <w:right w:w="108" w:type="dxa"/>
          </w:tblCellMar>
        </w:tblPrEx>
        <w:trPr>
          <w:trHeight w:val="300" w:hRule="atLeast"/>
        </w:trPr>
        <w:tc>
          <w:tcPr>
            <w:tcW w:w="923" w:type="pct"/>
            <w:tcBorders>
              <w:top w:val="nil"/>
              <w:left w:val="single" w:color="auto" w:sz="4" w:space="0"/>
              <w:bottom w:val="single" w:color="auto" w:sz="4" w:space="0"/>
              <w:right w:val="single" w:color="auto" w:sz="4" w:space="0"/>
            </w:tcBorders>
            <w:vAlign w:val="center"/>
          </w:tcPr>
          <w:p>
            <w:pPr>
              <w:rPr>
                <w:rFonts w:ascii="宋体" w:hAnsi="宋体" w:cs="宋体"/>
                <w:bCs/>
                <w:color w:val="000000"/>
                <w:kern w:val="0"/>
              </w:rPr>
            </w:pPr>
            <w:r>
              <w:rPr>
                <w:rFonts w:ascii="宋体" w:hAnsi="宋体" w:cs="宋体"/>
                <w:bCs/>
                <w:color w:val="000000"/>
                <w:kern w:val="0"/>
              </w:rPr>
              <w:t>产品资质</w:t>
            </w:r>
          </w:p>
        </w:tc>
        <w:tc>
          <w:tcPr>
            <w:tcW w:w="4076" w:type="pct"/>
            <w:tcBorders>
              <w:top w:val="nil"/>
              <w:left w:val="nil"/>
              <w:bottom w:val="single" w:color="auto" w:sz="4" w:space="0"/>
              <w:right w:val="single" w:color="auto" w:sz="4" w:space="0"/>
            </w:tcBorders>
            <w:vAlign w:val="center"/>
          </w:tcPr>
          <w:p>
            <w:pPr>
              <w:rPr>
                <w:rFonts w:ascii="宋体" w:hAnsi="宋体" w:cs="宋体"/>
                <w:bCs/>
                <w:kern w:val="0"/>
              </w:rPr>
            </w:pPr>
            <w:r>
              <w:rPr>
                <w:rFonts w:ascii="宋体" w:hAnsi="宋体" w:cs="宋体"/>
                <w:bCs/>
                <w:kern w:val="0"/>
              </w:rPr>
              <w:t>中华人民共和国工业和信息化部《电信设备进网许可证》</w:t>
            </w:r>
          </w:p>
          <w:p>
            <w:pPr>
              <w:rPr>
                <w:rFonts w:ascii="宋体" w:hAnsi="宋体" w:cs="宋体"/>
                <w:bCs/>
                <w:kern w:val="0"/>
              </w:rPr>
            </w:pPr>
            <w:r>
              <w:rPr>
                <w:rFonts w:ascii="宋体" w:hAnsi="宋体" w:cs="宋体"/>
                <w:bCs/>
                <w:kern w:val="0"/>
              </w:rPr>
              <w:t>中华人民共和国国家版权局《计算机软件著作权》</w:t>
            </w:r>
          </w:p>
        </w:tc>
      </w:tr>
    </w:tbl>
    <w:p>
      <w:pPr>
        <w:pStyle w:val="7"/>
        <w:rPr>
          <w:rFonts w:ascii="宋体" w:hAnsi="宋体" w:cs="Times New Roman"/>
          <w:bCs/>
          <w:kern w:val="0"/>
        </w:rPr>
      </w:pPr>
    </w:p>
    <w:p>
      <w:pPr>
        <w:pStyle w:val="7"/>
        <w:rPr>
          <w:rFonts w:ascii="宋体" w:hAnsi="宋体" w:cs="Times New Roman"/>
          <w:bCs/>
          <w:kern w:val="0"/>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835" w:type="dxa"/>
            <w:gridSpan w:val="2"/>
            <w:vAlign w:val="center"/>
          </w:tcPr>
          <w:p>
            <w:pPr>
              <w:rPr>
                <w:rFonts w:ascii="宋体" w:hAnsi="宋体" w:cs="宋体"/>
                <w:b/>
                <w:kern w:val="0"/>
              </w:rPr>
            </w:pPr>
            <w:r>
              <w:rPr>
                <w:rFonts w:ascii="宋体" w:hAnsi="宋体" w:cs="Times New Roman"/>
                <w:b/>
                <w:kern w:val="0"/>
              </w:rPr>
              <w:t>用途：网闸安全交换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13" w:type="dxa"/>
            <w:shd w:val="clear" w:color="auto" w:fill="BFBFBF"/>
            <w:vAlign w:val="center"/>
          </w:tcPr>
          <w:p>
            <w:pPr>
              <w:rPr>
                <w:rFonts w:ascii="宋体" w:hAnsi="宋体" w:cs="宋体"/>
                <w:b/>
                <w:kern w:val="0"/>
              </w:rPr>
            </w:pPr>
            <w:r>
              <w:rPr>
                <w:rFonts w:ascii="宋体" w:hAnsi="宋体" w:cs="宋体"/>
                <w:b/>
                <w:kern w:val="0"/>
              </w:rPr>
              <w:t>指标项</w:t>
            </w:r>
          </w:p>
        </w:tc>
        <w:tc>
          <w:tcPr>
            <w:tcW w:w="6422" w:type="dxa"/>
            <w:shd w:val="clear" w:color="auto" w:fill="BFBFBF"/>
            <w:vAlign w:val="center"/>
          </w:tcPr>
          <w:p>
            <w:pPr>
              <w:rPr>
                <w:rFonts w:ascii="宋体" w:hAnsi="宋体" w:cs="宋体"/>
                <w:b/>
                <w:kern w:val="0"/>
              </w:rPr>
            </w:pPr>
            <w:r>
              <w:rPr>
                <w:rFonts w:ascii="宋体" w:hAnsi="宋体" w:cs="宋体"/>
                <w:b/>
                <w:kern w:val="0"/>
              </w:rPr>
              <w:t>详细要求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13" w:type="dxa"/>
            <w:vAlign w:val="center"/>
          </w:tcPr>
          <w:p>
            <w:pPr>
              <w:rPr>
                <w:rFonts w:ascii="宋体" w:hAnsi="宋体" w:cs="宋体"/>
                <w:bCs/>
                <w:kern w:val="0"/>
              </w:rPr>
            </w:pPr>
            <w:r>
              <w:rPr>
                <w:rFonts w:ascii="宋体" w:hAnsi="宋体" w:cs="宋体"/>
                <w:bCs/>
                <w:kern w:val="0"/>
              </w:rPr>
              <w:t>硬件配置</w:t>
            </w:r>
          </w:p>
        </w:tc>
        <w:tc>
          <w:tcPr>
            <w:tcW w:w="6422" w:type="dxa"/>
            <w:vAlign w:val="center"/>
          </w:tcPr>
          <w:p>
            <w:pPr>
              <w:rPr>
                <w:rFonts w:ascii="宋体" w:hAnsi="宋体" w:cs="宋体"/>
                <w:bCs/>
                <w:kern w:val="0"/>
              </w:rPr>
            </w:pPr>
            <w:r>
              <w:rPr>
                <w:rFonts w:ascii="宋体" w:hAnsi="宋体" w:cs="宋体"/>
                <w:bCs/>
                <w:kern w:val="0"/>
              </w:rPr>
              <w:t>2U，标配双电源；内端机6个10/100/1000Base-T接口、4个SFP插槽和4个SFP+插槽，含1个MAN口；外端机6个10/100/1000Base-T接口、4个SFP插槽和4个SFP+插槽，含1个HA口；网络吞吐量：9Gbps；并发连接数：200000；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413" w:type="dxa"/>
            <w:vMerge w:val="restart"/>
            <w:vAlign w:val="center"/>
          </w:tcPr>
          <w:p>
            <w:pPr>
              <w:rPr>
                <w:rFonts w:ascii="宋体" w:hAnsi="宋体" w:cs="宋体"/>
                <w:bCs/>
                <w:kern w:val="0"/>
              </w:rPr>
            </w:pPr>
            <w:r>
              <w:rPr>
                <w:rFonts w:ascii="宋体" w:hAnsi="宋体" w:cs="宋体"/>
                <w:bCs/>
                <w:kern w:val="0"/>
              </w:rPr>
              <w:t>安全上网功能</w:t>
            </w:r>
          </w:p>
        </w:tc>
        <w:tc>
          <w:tcPr>
            <w:tcW w:w="6422" w:type="dxa"/>
            <w:vAlign w:val="center"/>
          </w:tcPr>
          <w:p>
            <w:pPr>
              <w:rPr>
                <w:rFonts w:ascii="宋体" w:hAnsi="宋体" w:cs="宋体"/>
                <w:bCs/>
                <w:kern w:val="0"/>
              </w:rPr>
            </w:pPr>
            <w:r>
              <w:rPr>
                <w:rFonts w:ascii="宋体" w:hAnsi="宋体" w:cs="宋体"/>
                <w:bCs/>
                <w:kern w:val="0"/>
              </w:rPr>
              <w:t>支持WEB访问，支持HTTP协议应用的各种指令控制。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13" w:type="dxa"/>
            <w:vMerge w:val="continue"/>
            <w:vAlign w:val="center"/>
          </w:tcPr>
          <w:p>
            <w:pPr>
              <w:rPr>
                <w:rFonts w:ascii="宋体" w:hAnsi="宋体" w:cs="宋体"/>
                <w:bCs/>
                <w:kern w:val="0"/>
              </w:rPr>
            </w:pPr>
          </w:p>
        </w:tc>
        <w:tc>
          <w:tcPr>
            <w:tcW w:w="6422" w:type="dxa"/>
            <w:vAlign w:val="center"/>
          </w:tcPr>
          <w:p>
            <w:pPr>
              <w:rPr>
                <w:rFonts w:ascii="宋体" w:hAnsi="宋体" w:cs="宋体"/>
                <w:bCs/>
                <w:kern w:val="0"/>
              </w:rPr>
            </w:pPr>
            <w:r>
              <w:rPr>
                <w:rFonts w:ascii="宋体" w:hAnsi="宋体" w:cs="宋体"/>
                <w:bCs/>
                <w:kern w:val="0"/>
              </w:rPr>
              <w:t>支持HTTPS网络传输，并且可在SSL加密通道中分解出正常HTTPS网络应用。 （提供截图证明）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413" w:type="dxa"/>
            <w:vMerge w:val="continue"/>
            <w:vAlign w:val="center"/>
          </w:tcPr>
          <w:p>
            <w:pPr>
              <w:rPr>
                <w:rFonts w:ascii="宋体" w:hAnsi="宋体" w:cs="宋体"/>
                <w:bCs/>
                <w:kern w:val="0"/>
              </w:rPr>
            </w:pPr>
          </w:p>
        </w:tc>
        <w:tc>
          <w:tcPr>
            <w:tcW w:w="6422" w:type="dxa"/>
            <w:vAlign w:val="center"/>
          </w:tcPr>
          <w:p>
            <w:pPr>
              <w:rPr>
                <w:rFonts w:ascii="宋体" w:hAnsi="宋体" w:cs="宋体"/>
                <w:bCs/>
                <w:kern w:val="0"/>
              </w:rPr>
            </w:pPr>
            <w:r>
              <w:rPr>
                <w:rFonts w:ascii="宋体" w:hAnsi="宋体" w:cs="宋体"/>
                <w:bCs/>
                <w:kern w:val="0"/>
              </w:rPr>
              <w:t>内容过滤：关键字过滤，文件类型、页面提交方式等。支持情景模式，能够控制用户上网以及服务器对外提供服务的具体时间。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13" w:type="dxa"/>
            <w:vMerge w:val="continue"/>
            <w:vAlign w:val="center"/>
          </w:tcPr>
          <w:p>
            <w:pPr>
              <w:rPr>
                <w:rFonts w:ascii="宋体" w:hAnsi="宋体" w:cs="宋体"/>
                <w:bCs/>
                <w:kern w:val="0"/>
              </w:rPr>
            </w:pPr>
          </w:p>
        </w:tc>
        <w:tc>
          <w:tcPr>
            <w:tcW w:w="6422" w:type="dxa"/>
            <w:vAlign w:val="center"/>
          </w:tcPr>
          <w:p>
            <w:pPr>
              <w:rPr>
                <w:rFonts w:ascii="宋体" w:hAnsi="宋体" w:cs="宋体"/>
                <w:bCs/>
                <w:kern w:val="0"/>
              </w:rPr>
            </w:pPr>
            <w:r>
              <w:rPr>
                <w:rFonts w:ascii="宋体" w:hAnsi="宋体" w:cs="宋体"/>
                <w:bCs/>
                <w:kern w:val="0"/>
              </w:rPr>
              <w:t xml:space="preserve">代理、透明和路由工作模式下均支持HTTP协议内部命令及命令参数控制策略。（提供截图证明）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1413" w:type="dxa"/>
            <w:vMerge w:val="restart"/>
            <w:vAlign w:val="center"/>
          </w:tcPr>
          <w:p>
            <w:pPr>
              <w:rPr>
                <w:rFonts w:ascii="宋体" w:hAnsi="宋体" w:cs="宋体"/>
                <w:bCs/>
                <w:kern w:val="0"/>
              </w:rPr>
            </w:pPr>
            <w:r>
              <w:rPr>
                <w:rFonts w:ascii="宋体" w:hAnsi="宋体" w:cs="宋体"/>
                <w:bCs/>
                <w:kern w:val="0"/>
              </w:rPr>
              <w:t>文件同步功能</w:t>
            </w:r>
          </w:p>
        </w:tc>
        <w:tc>
          <w:tcPr>
            <w:tcW w:w="6422" w:type="dxa"/>
            <w:vAlign w:val="center"/>
          </w:tcPr>
          <w:p>
            <w:pPr>
              <w:rPr>
                <w:rFonts w:ascii="宋体" w:hAnsi="宋体" w:cs="宋体"/>
                <w:bCs/>
                <w:kern w:val="0"/>
              </w:rPr>
            </w:pPr>
            <w:r>
              <w:rPr>
                <w:rFonts w:ascii="宋体" w:hAnsi="宋体" w:cs="宋体"/>
                <w:bCs/>
                <w:kern w:val="0"/>
              </w:rPr>
              <w:t>设备支持有客户端和无客户端两种文件同步方式。无客户端方式无需在用户服务器上安装任何插件，网闸不开放任何服务端口；有客户端方式可提供专用文件同步客户端安装在用户服务器上，提供安全的文件同步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413" w:type="dxa"/>
            <w:vMerge w:val="continue"/>
            <w:vAlign w:val="center"/>
          </w:tcPr>
          <w:p>
            <w:pPr>
              <w:rPr>
                <w:rFonts w:ascii="宋体" w:hAnsi="宋体" w:cs="宋体"/>
                <w:bCs/>
                <w:kern w:val="0"/>
              </w:rPr>
            </w:pPr>
          </w:p>
        </w:tc>
        <w:tc>
          <w:tcPr>
            <w:tcW w:w="6422" w:type="dxa"/>
            <w:vAlign w:val="center"/>
          </w:tcPr>
          <w:p>
            <w:pPr>
              <w:rPr>
                <w:rFonts w:ascii="宋体" w:hAnsi="宋体" w:cs="宋体"/>
                <w:bCs/>
                <w:kern w:val="0"/>
              </w:rPr>
            </w:pPr>
            <w:r>
              <w:rPr>
                <w:rFonts w:ascii="宋体" w:hAnsi="宋体" w:cs="宋体"/>
                <w:bCs/>
                <w:kern w:val="0"/>
              </w:rPr>
              <w:t xml:space="preserve">支持文件变动实时同步、定时同步、系统资源空闲智能同步等多种同步方式。（提供截图证明）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413" w:type="dxa"/>
            <w:vMerge w:val="continue"/>
            <w:vAlign w:val="center"/>
          </w:tcPr>
          <w:p>
            <w:pPr>
              <w:rPr>
                <w:rFonts w:ascii="宋体" w:hAnsi="宋体" w:cs="宋体"/>
                <w:bCs/>
                <w:kern w:val="0"/>
              </w:rPr>
            </w:pPr>
          </w:p>
        </w:tc>
        <w:tc>
          <w:tcPr>
            <w:tcW w:w="6422" w:type="dxa"/>
            <w:vAlign w:val="center"/>
          </w:tcPr>
          <w:p>
            <w:pPr>
              <w:rPr>
                <w:rFonts w:ascii="宋体" w:hAnsi="宋体" w:cs="宋体"/>
                <w:bCs/>
                <w:kern w:val="0"/>
              </w:rPr>
            </w:pPr>
            <w:r>
              <w:rPr>
                <w:rFonts w:ascii="宋体" w:hAnsi="宋体" w:cs="宋体"/>
                <w:bCs/>
                <w:kern w:val="0"/>
              </w:rPr>
              <w:t>支持同步删除和同步覆盖策略配置，并能将同步删除和同步覆盖的文件备份到指定文件夹。（提供截图证明）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413" w:type="dxa"/>
            <w:vMerge w:val="restart"/>
            <w:vAlign w:val="center"/>
          </w:tcPr>
          <w:p>
            <w:pPr>
              <w:rPr>
                <w:rFonts w:ascii="宋体" w:hAnsi="宋体" w:cs="宋体"/>
                <w:bCs/>
                <w:kern w:val="0"/>
              </w:rPr>
            </w:pPr>
            <w:r>
              <w:rPr>
                <w:rFonts w:ascii="宋体" w:hAnsi="宋体" w:cs="宋体"/>
                <w:bCs/>
                <w:kern w:val="0"/>
              </w:rPr>
              <w:t>TCP单向无反馈传输视频监控</w:t>
            </w:r>
          </w:p>
        </w:tc>
        <w:tc>
          <w:tcPr>
            <w:tcW w:w="6422" w:type="dxa"/>
            <w:vAlign w:val="center"/>
          </w:tcPr>
          <w:p>
            <w:pPr>
              <w:rPr>
                <w:rFonts w:ascii="宋体" w:hAnsi="宋体" w:cs="宋体"/>
                <w:bCs/>
                <w:kern w:val="0"/>
              </w:rPr>
            </w:pPr>
            <w:r>
              <w:rPr>
                <w:rFonts w:ascii="宋体" w:hAnsi="宋体" w:cs="宋体"/>
                <w:bCs/>
                <w:kern w:val="0"/>
              </w:rPr>
              <w:t>采用复杂对称多处理（RSMP）技术，成倍提升处理能力，使网闸能够满足高并发、高质量、多路视频数据交换要求。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13" w:type="dxa"/>
            <w:vMerge w:val="continue"/>
            <w:vAlign w:val="center"/>
          </w:tcPr>
          <w:p>
            <w:pPr>
              <w:rPr>
                <w:rFonts w:ascii="宋体" w:hAnsi="宋体" w:cs="宋体"/>
                <w:bCs/>
                <w:kern w:val="0"/>
              </w:rPr>
            </w:pPr>
          </w:p>
        </w:tc>
        <w:tc>
          <w:tcPr>
            <w:tcW w:w="6422" w:type="dxa"/>
            <w:vAlign w:val="center"/>
          </w:tcPr>
          <w:p>
            <w:pPr>
              <w:rPr>
                <w:rFonts w:ascii="宋体" w:hAnsi="宋体" w:cs="宋体"/>
                <w:bCs/>
                <w:kern w:val="0"/>
              </w:rPr>
            </w:pPr>
            <w:r>
              <w:rPr>
                <w:rFonts w:ascii="宋体" w:hAnsi="宋体" w:cs="宋体"/>
                <w:bCs/>
                <w:kern w:val="0"/>
              </w:rPr>
              <w:t>支持TCP应用层数据单向传输的控制，保证TCP应用数据的0 反馈，以满足二次防护对数据传输的安全性需求。（提供截图证明）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413" w:type="dxa"/>
            <w:vMerge w:val="restart"/>
            <w:vAlign w:val="center"/>
          </w:tcPr>
          <w:p>
            <w:pPr>
              <w:rPr>
                <w:rFonts w:ascii="宋体" w:hAnsi="宋体" w:cs="宋体"/>
                <w:bCs/>
                <w:kern w:val="0"/>
              </w:rPr>
            </w:pPr>
            <w:r>
              <w:rPr>
                <w:rFonts w:ascii="宋体" w:hAnsi="宋体" w:cs="宋体"/>
                <w:bCs/>
                <w:kern w:val="0"/>
              </w:rPr>
              <w:t>内容审查</w:t>
            </w:r>
          </w:p>
        </w:tc>
        <w:tc>
          <w:tcPr>
            <w:tcW w:w="6422" w:type="dxa"/>
            <w:vAlign w:val="center"/>
          </w:tcPr>
          <w:p>
            <w:pPr>
              <w:rPr>
                <w:rFonts w:ascii="宋体" w:hAnsi="宋体" w:cs="宋体"/>
                <w:bCs/>
                <w:kern w:val="0"/>
              </w:rPr>
            </w:pPr>
            <w:r>
              <w:rPr>
                <w:rFonts w:ascii="宋体" w:hAnsi="宋体" w:cs="宋体"/>
                <w:bCs/>
                <w:kern w:val="0"/>
              </w:rPr>
              <w:t>支持文件类型黑白名单过滤；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1413" w:type="dxa"/>
            <w:vMerge w:val="continue"/>
            <w:vAlign w:val="center"/>
          </w:tcPr>
          <w:p>
            <w:pPr>
              <w:rPr>
                <w:rFonts w:ascii="宋体" w:hAnsi="宋体" w:cs="宋体"/>
                <w:bCs/>
                <w:kern w:val="0"/>
              </w:rPr>
            </w:pPr>
          </w:p>
        </w:tc>
        <w:tc>
          <w:tcPr>
            <w:tcW w:w="6422" w:type="dxa"/>
            <w:vAlign w:val="center"/>
          </w:tcPr>
          <w:p>
            <w:pPr>
              <w:rPr>
                <w:rFonts w:ascii="宋体" w:hAnsi="宋体" w:cs="宋体"/>
                <w:bCs/>
                <w:kern w:val="0"/>
              </w:rPr>
            </w:pPr>
            <w:r>
              <w:rPr>
                <w:rFonts w:ascii="宋体" w:hAnsi="宋体" w:cs="宋体"/>
                <w:bCs/>
                <w:kern w:val="0"/>
              </w:rPr>
              <w:t>支持关键字过滤，支持关键字数据字典文件导入；支持防病毒功能，支持病毒库升级；采用国内知名厂商病毒库，要求提供病毒厂商授权文件证明。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13" w:type="dxa"/>
            <w:vAlign w:val="center"/>
          </w:tcPr>
          <w:p>
            <w:pPr>
              <w:rPr>
                <w:rFonts w:ascii="宋体" w:hAnsi="宋体" w:cs="宋体"/>
                <w:bCs/>
                <w:kern w:val="0"/>
              </w:rPr>
            </w:pPr>
            <w:r>
              <w:rPr>
                <w:rFonts w:ascii="宋体" w:hAnsi="宋体" w:cs="宋体"/>
                <w:bCs/>
                <w:kern w:val="0"/>
              </w:rPr>
              <w:t>产品资质</w:t>
            </w:r>
          </w:p>
        </w:tc>
        <w:tc>
          <w:tcPr>
            <w:tcW w:w="6422" w:type="dxa"/>
            <w:vAlign w:val="center"/>
          </w:tcPr>
          <w:p>
            <w:pPr>
              <w:rPr>
                <w:rFonts w:ascii="宋体" w:hAnsi="宋体" w:cs="宋体"/>
                <w:bCs/>
                <w:kern w:val="0"/>
              </w:rPr>
            </w:pPr>
            <w:r>
              <w:rPr>
                <w:rFonts w:ascii="宋体" w:hAnsi="宋体" w:cs="宋体"/>
                <w:bCs/>
                <w:kern w:val="0"/>
              </w:rPr>
              <w:t>公安部计算机信息系统安全专用产品销售许可证书</w:t>
            </w:r>
          </w:p>
          <w:p>
            <w:pPr>
              <w:rPr>
                <w:rFonts w:ascii="宋体" w:hAnsi="宋体" w:cs="宋体"/>
                <w:bCs/>
                <w:kern w:val="0"/>
              </w:rPr>
            </w:pPr>
            <w:r>
              <w:rPr>
                <w:rFonts w:ascii="宋体" w:hAnsi="宋体" w:cs="宋体"/>
                <w:bCs/>
                <w:kern w:val="0"/>
              </w:rPr>
              <w:t>计算机系统软件著作权登记证书</w:t>
            </w:r>
          </w:p>
        </w:tc>
      </w:tr>
    </w:tbl>
    <w:p>
      <w:pPr>
        <w:spacing w:line="276" w:lineRule="auto"/>
        <w:textAlignment w:val="baseline"/>
        <w:rPr>
          <w:rFonts w:ascii="宋体" w:hAnsi="宋体" w:cs="Times New Roman"/>
          <w:bCs/>
          <w:kern w:val="0"/>
        </w:rPr>
      </w:pPr>
    </w:p>
    <w:tbl>
      <w:tblPr>
        <w:tblStyle w:val="11"/>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bCs/>
              </w:rPr>
            </w:pPr>
            <w:r>
              <w:rPr>
                <w:rFonts w:ascii="宋体" w:hAnsi="宋体" w:cs="Times New Roman"/>
                <w:b/>
                <w:bCs/>
              </w:rPr>
              <w:t>用途：堡垒机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指标项</w:t>
            </w:r>
          </w:p>
        </w:tc>
        <w:tc>
          <w:tcPr>
            <w:tcW w:w="4076"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kern w:val="0"/>
              </w:rPr>
              <w:t>支持</w:t>
            </w:r>
            <w:r>
              <w:rPr>
                <w:rFonts w:ascii="宋体" w:hAnsi="宋体"/>
              </w:rPr>
              <w:t>12个1000M口，</w:t>
            </w:r>
            <w:r>
              <w:rPr>
                <w:rFonts w:ascii="宋体" w:hAnsi="宋体"/>
                <w:kern w:val="0"/>
              </w:rPr>
              <w:t>≥</w:t>
            </w:r>
            <w:r>
              <w:rPr>
                <w:rFonts w:ascii="宋体" w:hAnsi="宋体"/>
              </w:rPr>
              <w:t>8电4光（总共</w:t>
            </w:r>
            <w:r>
              <w:rPr>
                <w:rFonts w:ascii="宋体" w:hAnsi="宋体"/>
                <w:kern w:val="0"/>
              </w:rPr>
              <w:t>≥</w:t>
            </w:r>
            <w:r>
              <w:rPr>
                <w:rFonts w:ascii="宋体" w:hAnsi="宋体"/>
              </w:rPr>
              <w:t>3个端口插槽，可灵活配置端口，端口万兆光口、千兆电口可选，最大不</w:t>
            </w:r>
            <w:r>
              <w:rPr>
                <w:rFonts w:ascii="宋体" w:hAnsi="宋体"/>
                <w:kern w:val="0"/>
              </w:rPr>
              <w:t>≥</w:t>
            </w:r>
            <w:r>
              <w:rPr>
                <w:rFonts w:ascii="宋体" w:hAnsi="宋体"/>
              </w:rPr>
              <w:t>28个口）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最大在线连接数</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最大资产数</w:t>
            </w:r>
            <w:r>
              <w:rPr>
                <w:rFonts w:ascii="宋体" w:hAnsi="宋体" w:cs="Times New Roman"/>
                <w:kern w:val="0"/>
              </w:rPr>
              <w:t>≥</w:t>
            </w:r>
            <w:r>
              <w:rPr>
                <w:rFonts w:ascii="宋体" w:hAnsi="宋体" w:cs="Times New Roman"/>
              </w:rPr>
              <w:t>3000个,最大字符连接</w:t>
            </w:r>
            <w:r>
              <w:rPr>
                <w:rFonts w:ascii="宋体" w:hAnsi="宋体" w:cs="Times New Roman"/>
                <w:kern w:val="0"/>
              </w:rPr>
              <w:t>≥</w:t>
            </w:r>
            <w:r>
              <w:rPr>
                <w:rFonts w:ascii="宋体" w:hAnsi="宋体" w:cs="Times New Roman"/>
              </w:rPr>
              <w:t>3000个,最大图形连接</w:t>
            </w:r>
            <w:r>
              <w:rPr>
                <w:rFonts w:ascii="宋体" w:hAnsi="宋体" w:cs="Times New Roman"/>
                <w:kern w:val="0"/>
              </w:rPr>
              <w:t>≥</w:t>
            </w:r>
            <w:r>
              <w:rPr>
                <w:rFonts w:ascii="宋体" w:hAnsi="宋体" w:cs="Times New Roman"/>
              </w:rPr>
              <w:t>500个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restart"/>
            <w:tcBorders>
              <w:top w:val="single" w:color="auto" w:sz="4" w:space="0"/>
              <w:left w:val="single" w:color="auto" w:sz="4" w:space="0"/>
              <w:right w:val="single" w:color="auto" w:sz="4" w:space="0"/>
            </w:tcBorders>
            <w:vAlign w:val="center"/>
          </w:tcPr>
          <w:p>
            <w:pPr>
              <w:rPr>
                <w:rFonts w:ascii="宋体" w:hAnsi="宋体" w:cs="Times New Roman"/>
              </w:rPr>
            </w:pPr>
            <w:r>
              <w:rPr>
                <w:rFonts w:ascii="宋体" w:hAnsi="宋体" w:cs="Times New Roman"/>
              </w:rPr>
              <w:t>功能要求</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rPr>
              <w:t>支持针对内部网络设备和服务器进行保护，对此类资产的常用访问方式进行监控和审计，实现对用户行为的控制、追踪、判定，满足政务云对安全性的要求。支持单点登录、集中账号管理、身份认证、资源授权、访问控制、操作审计，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支持集群部署，具备平滑扩容能力。单个集群最大支持10个节点；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rPr>
              <w:t>支持添加多台堡垒机作为协议代理服务器，分担主堡垒机性能压力，扩展运维能力，可以通过socks5/http/ssh等代理协议连接管理异地云资源区中私有网络的云主机。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支持自动收集设备IP、运维协议、端口号、账号、密码、与用户的权限关系，可自动完成授权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支持使用本地的SecurCRT/Xshell/OpenSSH工具通过SSH网关代理方式直接登录字符设备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rPr>
              <w:t>支持通过Web页面调用本地 计算机的Navicat、MySQL Administrator、MySQL CMD、PLSQL、SSMS、DB2CMD、DbVisualizer、DM等客户端工具访问数据库资源。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rPr>
              <w:t>支持内置OpenVPN客户端，无需与其他VPN设备联动，实现运维入口安全接入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bottom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eastAsia="Times New Roman" w:cs="Times New Roman"/>
              </w:rPr>
            </w:pPr>
            <w:r>
              <w:rPr>
                <w:rFonts w:ascii="宋体" w:hAnsi="宋体" w:cs="Times New Roman"/>
              </w:rPr>
              <w:t>提供双因素认证（短信或数字令牌+密码），且支持国密要求</w:t>
            </w:r>
          </w:p>
        </w:tc>
      </w:tr>
    </w:tbl>
    <w:p>
      <w:pPr>
        <w:spacing w:line="276" w:lineRule="auto"/>
        <w:textAlignment w:val="baseline"/>
        <w:rPr>
          <w:rFonts w:ascii="宋体" w:hAnsi="宋体" w:cs="Times New Roman"/>
          <w:bCs/>
          <w:kern w:val="0"/>
        </w:rPr>
      </w:pPr>
    </w:p>
    <w:tbl>
      <w:tblPr>
        <w:tblStyle w:val="11"/>
        <w:tblW w:w="48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9"/>
        <w:gridCol w:w="6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4793"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b/>
              </w:rPr>
              <w:t>用途：政务外网入侵防御系统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4"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8"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4"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功能</w:t>
            </w:r>
          </w:p>
        </w:tc>
        <w:tc>
          <w:tcPr>
            <w:tcW w:w="390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安全策略，应用识别与管控，入侵防御，反病毒，DoS/DDoS 攻击防护/检测，SSL 加密流量检测，IPv6 报文检测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4"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入侵防御</w:t>
            </w:r>
          </w:p>
        </w:tc>
        <w:tc>
          <w:tcPr>
            <w:tcW w:w="390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准确检测并防御针对操作系统、应用、服务器等各种漏洞的攻击，支持 0 day 攻击防护。可防护各种针对web的攻击，包括SQL注入攻击和跨站脚本攻击等。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4"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防病毒</w:t>
            </w:r>
          </w:p>
        </w:tc>
        <w:tc>
          <w:tcPr>
            <w:tcW w:w="390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支持网络防病毒功能，病毒库定时更新，可检出病毒数量≥500万。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4"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390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≥16GE电口和8个SFP+光口和4个10GE光口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4"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性能</w:t>
            </w:r>
          </w:p>
        </w:tc>
        <w:tc>
          <w:tcPr>
            <w:tcW w:w="390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应用层检测吞吐量≥72Gbps，最大并发连接数≥320M，新建会话速率≥1M个/秒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4"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模块</w:t>
            </w:r>
          </w:p>
        </w:tc>
        <w:tc>
          <w:tcPr>
            <w:tcW w:w="390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具备BYPASS功能模块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4"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lang w:val="en-GB"/>
              </w:rPr>
              <w:t>防御能力</w:t>
            </w:r>
          </w:p>
        </w:tc>
        <w:tc>
          <w:tcPr>
            <w:tcW w:w="390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具有流量模型自学习能力，当短时间内大规模爆发的病毒导致网络流量激增时，能自动发现并阻断攻击和异常流量，以保护路由器、交换机、VoIP系统、DNS服务器等网络基础设施免遭各种恶意攻击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Times New Roman" w:cs="Times New Roman"/>
              </w:rPr>
            </w:pPr>
            <w:r>
              <w:rPr>
                <w:rFonts w:ascii="宋体" w:hAnsi="宋体" w:cs="Times New Roman"/>
              </w:rPr>
              <w:t>攻击分析功能</w:t>
            </w:r>
          </w:p>
        </w:tc>
        <w:tc>
          <w:tcPr>
            <w:tcW w:w="390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lang w:val="en-GB"/>
              </w:rPr>
              <w:t>应具备攻击快照功能，详细记录触发告警的数据特征，以便做进一步的事件分析</w:t>
            </w:r>
          </w:p>
        </w:tc>
      </w:tr>
    </w:tbl>
    <w:p>
      <w:pPr>
        <w:spacing w:line="276" w:lineRule="auto"/>
        <w:textAlignment w:val="baseline"/>
        <w:rPr>
          <w:rFonts w:ascii="宋体" w:hAnsi="宋体" w:cs="Times New Roman"/>
          <w:kern w:val="0"/>
        </w:rPr>
      </w:pPr>
    </w:p>
    <w:tbl>
      <w:tblPr>
        <w:tblStyle w:val="11"/>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b/>
              </w:rPr>
              <w:t>用途：互联网入侵防御系统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功能</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安全策略，应用识别与管控，入侵防御，反病毒，DoS/DDoS 攻击防护/检测，SSL 加密流量检测，IPv6 报文检测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入侵防御</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准确检测并防御针对操作系统、应用、服务器等各种漏洞的攻击，支持 0 day 攻击防护。可防护各种针对web的攻击，包括SQL注入攻击和跨站脚本攻击等。系统预定义入侵防御签名库数量不得少于10000条且具备CVE和CNNVD编号的签名条目数不得少于8000，支持用户自定义签名规则，支持正则表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防病毒</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支持网络防病毒功能，病毒库定时更新，可检出病毒数量≥500万。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应用识别及控制</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模块应包括对P2P，IM，网络游戏，炒股软件，语音聊天工具，流媒体，常用邮件以及远程控制软件等的识别和控制，支持不少于6000种的应用识别能力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硬件要求</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整机业务扩展插槽≥4，支持双主控、双电源，风扇冗余设计；前后风道；主控板、接口板和业务板分离，电源、风扇、主控板、接口板、业务板支持热插拔；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接口</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≥24个10GE光口、≥2个100GE光口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性能</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应用层检测吞吐量≥120Gbps，最大并发连接数≥320M，新建会话速率≥4.5M/</w:t>
            </w:r>
            <w:r>
              <w:rPr>
                <w:rFonts w:hint="eastAsia" w:ascii="宋体" w:hAnsi="宋体"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路由</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支持静态路由、策略路由，OSFP、BGP、ISIS等路由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事件分级</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系统支持除了基于攻击事件本身进行严重级别划分，还可以根据攻击与资产相关性关联进行风险级别定义，协助管理员关注实际环境中需要紧急处理的安全告警，提升安全事件响应效率</w:t>
            </w:r>
          </w:p>
        </w:tc>
      </w:tr>
    </w:tbl>
    <w:p/>
    <w:p>
      <w:pPr>
        <w:pStyle w:val="7"/>
      </w:pPr>
    </w:p>
    <w:tbl>
      <w:tblPr>
        <w:tblStyle w:val="11"/>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color w:val="FF0000"/>
              </w:rPr>
            </w:pPr>
            <w:r>
              <w:rPr>
                <w:rFonts w:ascii="宋体" w:hAnsi="宋体" w:cs="Times New Roman"/>
                <w:b/>
              </w:rPr>
              <w:t>用途：蜜罐系统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4076"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restart"/>
            <w:tcBorders>
              <w:top w:val="single" w:color="auto" w:sz="4" w:space="0"/>
              <w:left w:val="single" w:color="auto" w:sz="4" w:space="0"/>
              <w:right w:val="single" w:color="auto" w:sz="4" w:space="0"/>
            </w:tcBorders>
            <w:vAlign w:val="center"/>
          </w:tcPr>
          <w:p>
            <w:pPr>
              <w:rPr>
                <w:rFonts w:ascii="宋体" w:hAnsi="宋体" w:cs="Times New Roman"/>
                <w:bCs/>
              </w:rPr>
            </w:pPr>
            <w:r>
              <w:rPr>
                <w:rFonts w:ascii="宋体" w:hAnsi="宋体" w:cs="Times New Roman"/>
                <w:bCs/>
              </w:rPr>
              <w:t>伪装诱捕</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Cs/>
              </w:rPr>
            </w:pPr>
            <w:r>
              <w:rPr>
                <w:rFonts w:ascii="宋体" w:hAnsi="宋体" w:cs="Times New Roman"/>
                <w:bCs/>
              </w:rPr>
              <w:t>支持在线制作反制型蜜饵，对反制对象进行命令控制、上传下载文件、截屏、录像、敏感信息收集等操作。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bCs/>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Cs/>
              </w:rPr>
            </w:pPr>
            <w:r>
              <w:rPr>
                <w:rFonts w:ascii="宋体" w:hAnsi="宋体" w:cs="Times New Roman"/>
                <w:bCs/>
              </w:rPr>
              <w:t>支持对目标邮件投放虚假文件信息，引诱攻击，可自定义投放策略。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bottom w:val="single" w:color="auto" w:sz="4" w:space="0"/>
              <w:right w:val="single" w:color="auto" w:sz="4" w:space="0"/>
            </w:tcBorders>
            <w:vAlign w:val="center"/>
          </w:tcPr>
          <w:p>
            <w:pPr>
              <w:rPr>
                <w:rFonts w:ascii="宋体" w:hAnsi="宋体" w:cs="Times New Roman"/>
                <w:bCs/>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Cs/>
              </w:rPr>
            </w:pPr>
            <w:r>
              <w:rPr>
                <w:rFonts w:ascii="宋体" w:hAnsi="宋体" w:cs="Times New Roman"/>
                <w:bCs/>
              </w:rPr>
              <w:t>支持Web类蜜罐，提供不低于12种蜜罐，包括但不限于Jenkins、Zabbix、OA、Nginx、Discuz论坛、渗透、邮箱、Gitlab、Struts2、SugarCRM等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restart"/>
            <w:tcBorders>
              <w:top w:val="single" w:color="auto" w:sz="4" w:space="0"/>
              <w:left w:val="single" w:color="auto" w:sz="4" w:space="0"/>
              <w:right w:val="single" w:color="auto" w:sz="4" w:space="0"/>
            </w:tcBorders>
            <w:vAlign w:val="center"/>
          </w:tcPr>
          <w:p>
            <w:pPr>
              <w:rPr>
                <w:rFonts w:ascii="宋体" w:hAnsi="宋体" w:cs="Times New Roman"/>
                <w:bCs/>
              </w:rPr>
            </w:pPr>
            <w:r>
              <w:rPr>
                <w:rFonts w:ascii="宋体" w:hAnsi="宋体" w:cs="Times New Roman"/>
                <w:bCs/>
              </w:rPr>
              <w:t>攻击分析</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Cs/>
              </w:rPr>
            </w:pPr>
            <w:r>
              <w:rPr>
                <w:rFonts w:ascii="宋体" w:hAnsi="宋体" w:cs="Times New Roman"/>
                <w:bCs/>
              </w:rPr>
              <w:t>支持基于攻击事件聚合攻击行为，捕获某一攻击者对某一蜜罐/蜜饵产生的所有攻击，并按照时间轴形式详细展示攻击内容。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bottom w:val="single" w:color="auto" w:sz="4" w:space="0"/>
              <w:right w:val="single" w:color="auto" w:sz="4" w:space="0"/>
            </w:tcBorders>
            <w:vAlign w:val="center"/>
          </w:tcPr>
          <w:p>
            <w:pPr>
              <w:rPr>
                <w:rFonts w:ascii="宋体" w:hAnsi="宋体" w:cs="Times New Roman"/>
                <w:bCs/>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Cs/>
              </w:rPr>
            </w:pPr>
            <w:r>
              <w:rPr>
                <w:rFonts w:ascii="宋体" w:hAnsi="宋体" w:cs="Times New Roman"/>
                <w:bCs/>
              </w:rPr>
              <w:t>支持态势大屏实时展示系统诱捕的攻击行为，包括但不限于：业务拓扑、杀伤链分析、访问蜜罐流量趋势、蜜罐统计、攻击源TOP5、攻击事件分布、实时告警日志、攻击路径、溯源信息、联动情况等。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restart"/>
            <w:tcBorders>
              <w:top w:val="single" w:color="auto" w:sz="4" w:space="0"/>
              <w:left w:val="single" w:color="auto" w:sz="4" w:space="0"/>
              <w:right w:val="single" w:color="auto" w:sz="4" w:space="0"/>
            </w:tcBorders>
            <w:vAlign w:val="center"/>
          </w:tcPr>
          <w:p>
            <w:pPr>
              <w:rPr>
                <w:rFonts w:ascii="宋体" w:hAnsi="宋体" w:cs="Times New Roman"/>
                <w:bCs/>
              </w:rPr>
            </w:pPr>
            <w:r>
              <w:rPr>
                <w:rFonts w:ascii="宋体" w:hAnsi="宋体" w:cs="Times New Roman"/>
                <w:bCs/>
              </w:rPr>
              <w:t>系统管理</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Cs/>
              </w:rPr>
            </w:pPr>
            <w:r>
              <w:rPr>
                <w:rFonts w:ascii="宋体" w:hAnsi="宋体" w:cs="Times New Roman"/>
                <w:bCs/>
              </w:rPr>
              <w:t>支持配置IP、文件、进程等白名单，过滤攻击。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bCs/>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Cs/>
              </w:rPr>
            </w:pPr>
            <w:r>
              <w:rPr>
                <w:rFonts w:ascii="宋体" w:hAnsi="宋体" w:cs="Times New Roman"/>
                <w:bCs/>
              </w:rPr>
              <w:t>支持提供至少3种方式告警，包括但不限于：短信、邮件、钉钉等。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bottom w:val="single" w:color="auto" w:sz="4" w:space="0"/>
              <w:right w:val="single" w:color="auto" w:sz="4" w:space="0"/>
            </w:tcBorders>
            <w:vAlign w:val="center"/>
          </w:tcPr>
          <w:p>
            <w:pPr>
              <w:rPr>
                <w:rFonts w:ascii="宋体" w:hAnsi="宋体" w:cs="Times New Roman"/>
                <w:bCs/>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Cs/>
              </w:rPr>
            </w:pPr>
            <w:r>
              <w:rPr>
                <w:rFonts w:ascii="宋体" w:hAnsi="宋体" w:cs="Times New Roman"/>
                <w:bCs/>
              </w:rPr>
              <w:t>支持实时管理中心、引擎中的资源使用率，以及监看系统CPU、内存、磁盘使用率和宿主机网口连接状态。</w:t>
            </w:r>
          </w:p>
        </w:tc>
      </w:tr>
    </w:tbl>
    <w:p/>
    <w:p>
      <w:pPr>
        <w:pStyle w:val="4"/>
        <w:numPr>
          <w:ilvl w:val="2"/>
          <w:numId w:val="5"/>
        </w:numPr>
        <w:spacing w:before="160" w:line="300" w:lineRule="exact"/>
        <w:ind w:left="420"/>
        <w:rPr>
          <w:rFonts w:ascii="宋体" w:hAnsi="宋体"/>
        </w:rPr>
      </w:pPr>
      <w:r>
        <w:rPr>
          <w:rFonts w:ascii="宋体" w:hAnsi="宋体"/>
        </w:rPr>
        <w:t>国密技术要求</w:t>
      </w:r>
    </w:p>
    <w:p>
      <w:pPr>
        <w:pStyle w:val="5"/>
        <w:numPr>
          <w:ilvl w:val="3"/>
          <w:numId w:val="5"/>
        </w:numPr>
        <w:spacing w:line="276" w:lineRule="auto"/>
        <w:ind w:left="840"/>
        <w:rPr>
          <w:rFonts w:hint="default"/>
        </w:rPr>
      </w:pPr>
      <w:r>
        <w:t>国密服务要求</w:t>
      </w:r>
    </w:p>
    <w:p>
      <w:pPr>
        <w:spacing w:line="276" w:lineRule="auto"/>
        <w:ind w:left="420" w:firstLine="420"/>
      </w:pPr>
      <w:r>
        <w:rPr>
          <w:rFonts w:hint="eastAsia"/>
        </w:rPr>
        <w:t>中</w:t>
      </w:r>
      <w:r>
        <w:t>标人需提供密码应用、物理和环境安全、网络和通信安全、设备和计算安全、密钥管理及密码安全管理体系制度等方面的建设和咨询服务。</w:t>
      </w:r>
    </w:p>
    <w:p>
      <w:pPr>
        <w:pStyle w:val="5"/>
        <w:numPr>
          <w:ilvl w:val="3"/>
          <w:numId w:val="5"/>
        </w:numPr>
        <w:spacing w:line="276" w:lineRule="auto"/>
        <w:ind w:left="840"/>
        <w:rPr>
          <w:rFonts w:hint="default"/>
        </w:rPr>
      </w:pPr>
      <w:r>
        <w:t>国密硬件要求</w:t>
      </w:r>
    </w:p>
    <w:tbl>
      <w:tblPr>
        <w:tblStyle w:val="11"/>
        <w:tblW w:w="7879" w:type="dxa"/>
        <w:jc w:val="center"/>
        <w:tblLayout w:type="fixed"/>
        <w:tblCellMar>
          <w:top w:w="0" w:type="dxa"/>
          <w:left w:w="0" w:type="dxa"/>
          <w:bottom w:w="0" w:type="dxa"/>
          <w:right w:w="0" w:type="dxa"/>
        </w:tblCellMar>
      </w:tblPr>
      <w:tblGrid>
        <w:gridCol w:w="1466"/>
        <w:gridCol w:w="6413"/>
      </w:tblGrid>
      <w:tr>
        <w:tblPrEx>
          <w:tblCellMar>
            <w:top w:w="0" w:type="dxa"/>
            <w:left w:w="0" w:type="dxa"/>
            <w:bottom w:w="0" w:type="dxa"/>
            <w:right w:w="0" w:type="dxa"/>
          </w:tblCellMar>
        </w:tblPrEx>
        <w:trPr>
          <w:trHeight w:val="270" w:hRule="atLeast"/>
          <w:jc w:val="center"/>
        </w:trPr>
        <w:tc>
          <w:tcPr>
            <w:tcW w:w="787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11" w:firstLineChars="100"/>
              <w:textAlignment w:val="center"/>
              <w:rPr>
                <w:rFonts w:ascii="宋体" w:hAnsi="宋体" w:cs="宋体"/>
                <w:b/>
                <w:bCs/>
                <w:color w:val="000000"/>
                <w:kern w:val="0"/>
              </w:rPr>
            </w:pPr>
            <w:r>
              <w:rPr>
                <w:rFonts w:ascii="宋体" w:hAnsi="宋体" w:cs="宋体"/>
                <w:b/>
                <w:bCs/>
                <w:color w:val="000000"/>
                <w:kern w:val="0"/>
              </w:rPr>
              <w:t>用途：云密码机</w:t>
            </w:r>
          </w:p>
        </w:tc>
      </w:tr>
      <w:tr>
        <w:tblPrEx>
          <w:tblCellMar>
            <w:top w:w="0" w:type="dxa"/>
            <w:left w:w="0" w:type="dxa"/>
            <w:bottom w:w="0" w:type="dxa"/>
            <w:right w:w="0" w:type="dxa"/>
          </w:tblCellMar>
        </w:tblPrEx>
        <w:trPr>
          <w:trHeight w:val="270"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ind w:firstLine="422" w:firstLineChars="200"/>
              <w:textAlignment w:val="center"/>
              <w:rPr>
                <w:rFonts w:ascii="宋体" w:hAnsi="宋体" w:cs="宋体"/>
                <w:b/>
                <w:bCs/>
                <w:color w:val="000000"/>
              </w:rPr>
            </w:pPr>
            <w:r>
              <w:rPr>
                <w:rFonts w:ascii="宋体" w:hAnsi="宋体" w:cs="宋体"/>
                <w:b/>
                <w:bCs/>
                <w:color w:val="000000"/>
                <w:kern w:val="0"/>
              </w:rPr>
              <w:t>要求</w:t>
            </w:r>
          </w:p>
        </w:tc>
        <w:tc>
          <w:tcPr>
            <w:tcW w:w="6413"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ind w:firstLine="422" w:firstLineChars="200"/>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35" w:hRule="atLeast"/>
          <w:jc w:val="center"/>
        </w:trPr>
        <w:tc>
          <w:tcPr>
            <w:tcW w:w="1466" w:type="dxa"/>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资质要求</w:t>
            </w: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具有国家密码局颁发的《商用密码产品型号证书》；</w:t>
            </w:r>
          </w:p>
        </w:tc>
      </w:tr>
      <w:tr>
        <w:tblPrEx>
          <w:tblCellMar>
            <w:top w:w="0" w:type="dxa"/>
            <w:left w:w="0" w:type="dxa"/>
            <w:bottom w:w="0" w:type="dxa"/>
            <w:right w:w="0" w:type="dxa"/>
          </w:tblCellMar>
        </w:tblPrEx>
        <w:trPr>
          <w:trHeight w:val="35" w:hRule="atLeast"/>
          <w:jc w:val="center"/>
        </w:trPr>
        <w:tc>
          <w:tcPr>
            <w:tcW w:w="1466" w:type="dxa"/>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密码算法和协议要求</w:t>
            </w: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支持签名和验签名、基于密钥的完整性保护、数据加解密及安全密钥存储等功能，且所有密码运算都基于国家商用密码算法；</w:t>
            </w:r>
          </w:p>
        </w:tc>
      </w:tr>
      <w:tr>
        <w:tblPrEx>
          <w:tblCellMar>
            <w:top w:w="0" w:type="dxa"/>
            <w:left w:w="0" w:type="dxa"/>
            <w:bottom w:w="0" w:type="dxa"/>
            <w:right w:w="0" w:type="dxa"/>
          </w:tblCellMar>
        </w:tblPrEx>
        <w:trPr>
          <w:trHeight w:val="35" w:hRule="atLeast"/>
          <w:jc w:val="center"/>
        </w:trPr>
        <w:tc>
          <w:tcPr>
            <w:tcW w:w="1466"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技术参数</w:t>
            </w: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支持SM2非对称密钥生成、获取公钥，256位SM2密钥对生成≥25000次/秒；</w:t>
            </w:r>
          </w:p>
        </w:tc>
      </w:tr>
      <w:tr>
        <w:tblPrEx>
          <w:tblCellMar>
            <w:top w:w="0" w:type="dxa"/>
            <w:left w:w="0" w:type="dxa"/>
            <w:bottom w:w="0" w:type="dxa"/>
            <w:right w:w="0" w:type="dxa"/>
          </w:tblCellMar>
        </w:tblPrEx>
        <w:trPr>
          <w:trHeight w:val="35" w:hRule="atLeast"/>
          <w:jc w:val="center"/>
        </w:trPr>
        <w:tc>
          <w:tcPr>
            <w:tcW w:w="146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支持SM2非对称密钥私钥签名、验签功能，256位SM2签名≥30000次/秒，256位SM2验签≥15000次/秒；</w:t>
            </w:r>
          </w:p>
        </w:tc>
      </w:tr>
      <w:tr>
        <w:tblPrEx>
          <w:tblCellMar>
            <w:top w:w="0" w:type="dxa"/>
            <w:left w:w="0" w:type="dxa"/>
            <w:bottom w:w="0" w:type="dxa"/>
            <w:right w:w="0" w:type="dxa"/>
          </w:tblCellMar>
        </w:tblPrEx>
        <w:trPr>
          <w:trHeight w:val="35" w:hRule="atLeast"/>
          <w:jc w:val="center"/>
        </w:trPr>
        <w:tc>
          <w:tcPr>
            <w:tcW w:w="146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支持SM2非对称密钥公钥加密、解密，256位SM2加密≥17000次/秒，256位SM2解密</w:t>
            </w:r>
            <w:r>
              <w:rPr>
                <w:rFonts w:ascii="宋体" w:hAnsi="宋体"/>
                <w:color w:val="000000"/>
              </w:rPr>
              <w:t xml:space="preserve"> </w:t>
            </w:r>
            <w:r>
              <w:rPr>
                <w:rFonts w:ascii="宋体" w:hAnsi="宋体" w:cs="楷体"/>
                <w:color w:val="000000"/>
              </w:rPr>
              <w:t>≥14000次/秒；</w:t>
            </w:r>
          </w:p>
        </w:tc>
      </w:tr>
      <w:tr>
        <w:tblPrEx>
          <w:tblCellMar>
            <w:top w:w="0" w:type="dxa"/>
            <w:left w:w="0" w:type="dxa"/>
            <w:bottom w:w="0" w:type="dxa"/>
            <w:right w:w="0" w:type="dxa"/>
          </w:tblCellMar>
        </w:tblPrEx>
        <w:trPr>
          <w:trHeight w:val="35" w:hRule="atLeast"/>
          <w:jc w:val="center"/>
        </w:trPr>
        <w:tc>
          <w:tcPr>
            <w:tcW w:w="146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支持SM4对称密钥生成，且支持ECB和CBC模式加解密，SM4计算效率≥2000Mbps；</w:t>
            </w:r>
          </w:p>
        </w:tc>
      </w:tr>
      <w:tr>
        <w:tblPrEx>
          <w:tblCellMar>
            <w:top w:w="0" w:type="dxa"/>
            <w:left w:w="0" w:type="dxa"/>
            <w:bottom w:w="0" w:type="dxa"/>
            <w:right w:w="0" w:type="dxa"/>
          </w:tblCellMar>
        </w:tblPrEx>
        <w:trPr>
          <w:trHeight w:val="35" w:hRule="atLeast"/>
          <w:jc w:val="center"/>
        </w:trPr>
        <w:tc>
          <w:tcPr>
            <w:tcW w:w="146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支持SM3算法数据摘要运算,支持MAC和HMAC，SM3计算效率≥2000Mbps</w:t>
            </w:r>
          </w:p>
        </w:tc>
      </w:tr>
      <w:tr>
        <w:tblPrEx>
          <w:tblCellMar>
            <w:top w:w="0" w:type="dxa"/>
            <w:left w:w="0" w:type="dxa"/>
            <w:bottom w:w="0" w:type="dxa"/>
            <w:right w:w="0" w:type="dxa"/>
          </w:tblCellMar>
        </w:tblPrEx>
        <w:trPr>
          <w:trHeight w:val="35" w:hRule="atLeast"/>
          <w:jc w:val="center"/>
        </w:trPr>
        <w:tc>
          <w:tcPr>
            <w:tcW w:w="146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支持海量密钥存储，存储量大于100万条</w:t>
            </w:r>
          </w:p>
        </w:tc>
      </w:tr>
      <w:tr>
        <w:tblPrEx>
          <w:tblCellMar>
            <w:top w:w="0" w:type="dxa"/>
            <w:left w:w="0" w:type="dxa"/>
            <w:bottom w:w="0" w:type="dxa"/>
            <w:right w:w="0" w:type="dxa"/>
          </w:tblCellMar>
        </w:tblPrEx>
        <w:trPr>
          <w:trHeight w:val="228" w:hRule="atLeast"/>
          <w:jc w:val="center"/>
        </w:trPr>
        <w:tc>
          <w:tcPr>
            <w:tcW w:w="1466"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功能要求</w:t>
            </w: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基于虚拟化技术的自动化部署，虚拟的密码机以文件镜象加密存储；云平台管理端可调用云密码管理服务平台的接口实现远程创建虚拟加密机镜象，远程调用不同的虚拟密码机镜象，实现虚拟密码机的自动化部署、启用、卸载、销毁等；</w:t>
            </w:r>
          </w:p>
        </w:tc>
      </w:tr>
      <w:tr>
        <w:tblPrEx>
          <w:tblCellMar>
            <w:top w:w="0" w:type="dxa"/>
            <w:left w:w="0" w:type="dxa"/>
            <w:bottom w:w="0" w:type="dxa"/>
            <w:right w:w="0" w:type="dxa"/>
          </w:tblCellMar>
        </w:tblPrEx>
        <w:trPr>
          <w:trHeight w:val="35" w:hRule="atLeast"/>
          <w:jc w:val="center"/>
        </w:trPr>
        <w:tc>
          <w:tcPr>
            <w:tcW w:w="1466"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安全存储服务器密码机核心程序：服务器密码机使用带有逻辑加密功能的芯片对核心程序进行存储，防止非法读出；</w:t>
            </w:r>
          </w:p>
        </w:tc>
      </w:tr>
      <w:tr>
        <w:tblPrEx>
          <w:tblCellMar>
            <w:top w:w="0" w:type="dxa"/>
            <w:left w:w="0" w:type="dxa"/>
            <w:bottom w:w="0" w:type="dxa"/>
            <w:right w:w="0" w:type="dxa"/>
          </w:tblCellMar>
        </w:tblPrEx>
        <w:trPr>
          <w:trHeight w:val="35" w:hRule="atLeast"/>
          <w:jc w:val="center"/>
        </w:trPr>
        <w:tc>
          <w:tcPr>
            <w:tcW w:w="1466"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管理要求</w:t>
            </w: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管理软件能够针对云密码机和虚拟密码机进行运行状态监控，包括服务正常运行情况、业务连接数、CPU、内存占用率、磁盘使用率等业务状态,支持三权分立角色管理和国密强身份认证；</w:t>
            </w:r>
          </w:p>
        </w:tc>
      </w:tr>
      <w:tr>
        <w:tblPrEx>
          <w:tblCellMar>
            <w:top w:w="0" w:type="dxa"/>
            <w:left w:w="0" w:type="dxa"/>
            <w:bottom w:w="0" w:type="dxa"/>
            <w:right w:w="0" w:type="dxa"/>
          </w:tblCellMar>
        </w:tblPrEx>
        <w:trPr>
          <w:trHeight w:val="35" w:hRule="atLeast"/>
          <w:jc w:val="center"/>
        </w:trPr>
        <w:tc>
          <w:tcPr>
            <w:tcW w:w="1466"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kern w:val="0"/>
              </w:rPr>
            </w:pPr>
            <w:r>
              <w:rPr>
                <w:rFonts w:ascii="宋体" w:hAnsi="宋体" w:cs="楷体"/>
                <w:color w:val="000000"/>
                <w:kern w:val="0"/>
              </w:rPr>
              <w:t>支持对云密码机日志信息和访问控制信息进行基于商用密码算法的完整性保护；</w:t>
            </w:r>
          </w:p>
        </w:tc>
      </w:tr>
    </w:tbl>
    <w:p/>
    <w:p>
      <w:pPr>
        <w:pStyle w:val="7"/>
      </w:pPr>
    </w:p>
    <w:tbl>
      <w:tblPr>
        <w:tblStyle w:val="11"/>
        <w:tblW w:w="7872" w:type="dxa"/>
        <w:jc w:val="center"/>
        <w:tblLayout w:type="fixed"/>
        <w:tblCellMar>
          <w:top w:w="0" w:type="dxa"/>
          <w:left w:w="0" w:type="dxa"/>
          <w:bottom w:w="0" w:type="dxa"/>
          <w:right w:w="0" w:type="dxa"/>
        </w:tblCellMar>
      </w:tblPr>
      <w:tblGrid>
        <w:gridCol w:w="1462"/>
        <w:gridCol w:w="6410"/>
      </w:tblGrid>
      <w:tr>
        <w:tblPrEx>
          <w:tblCellMar>
            <w:top w:w="0" w:type="dxa"/>
            <w:left w:w="0" w:type="dxa"/>
            <w:bottom w:w="0" w:type="dxa"/>
            <w:right w:w="0" w:type="dxa"/>
          </w:tblCellMar>
        </w:tblPrEx>
        <w:trPr>
          <w:trHeight w:val="270" w:hRule="atLeast"/>
          <w:jc w:val="center"/>
        </w:trPr>
        <w:tc>
          <w:tcPr>
            <w:tcW w:w="787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00" w:firstLineChars="95"/>
              <w:textAlignment w:val="center"/>
              <w:rPr>
                <w:rFonts w:ascii="宋体" w:hAnsi="宋体" w:cs="宋体"/>
                <w:b/>
                <w:bCs/>
                <w:color w:val="000000"/>
                <w:kern w:val="0"/>
              </w:rPr>
            </w:pPr>
            <w:r>
              <w:rPr>
                <w:rFonts w:ascii="宋体" w:hAnsi="宋体" w:cs="宋体"/>
                <w:b/>
                <w:bCs/>
                <w:color w:val="000000"/>
                <w:kern w:val="0"/>
              </w:rPr>
              <w:t>用途：国密SSL VPN</w:t>
            </w:r>
          </w:p>
        </w:tc>
      </w:tr>
      <w:tr>
        <w:tblPrEx>
          <w:tblCellMar>
            <w:top w:w="0" w:type="dxa"/>
            <w:left w:w="0" w:type="dxa"/>
            <w:bottom w:w="0" w:type="dxa"/>
            <w:right w:w="0" w:type="dxa"/>
          </w:tblCellMar>
        </w:tblPrEx>
        <w:trPr>
          <w:trHeight w:val="270" w:hRule="atLeast"/>
          <w:jc w:val="center"/>
        </w:trPr>
        <w:tc>
          <w:tcPr>
            <w:tcW w:w="146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6410"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35" w:hRule="atLeast"/>
          <w:jc w:val="center"/>
        </w:trPr>
        <w:tc>
          <w:tcPr>
            <w:tcW w:w="146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资质要求</w:t>
            </w: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国密SSL VPN具有国家密码局颁发的商用密码产品型号证书；</w:t>
            </w:r>
          </w:p>
        </w:tc>
      </w:tr>
      <w:tr>
        <w:tblPrEx>
          <w:tblCellMar>
            <w:top w:w="0" w:type="dxa"/>
            <w:left w:w="0" w:type="dxa"/>
            <w:bottom w:w="0" w:type="dxa"/>
            <w:right w:w="0" w:type="dxa"/>
          </w:tblCellMar>
        </w:tblPrEx>
        <w:trPr>
          <w:trHeight w:val="35" w:hRule="atLeast"/>
          <w:jc w:val="center"/>
        </w:trPr>
        <w:tc>
          <w:tcPr>
            <w:tcW w:w="1462" w:type="dxa"/>
            <w:vMerge w:val="continue"/>
            <w:tcBorders>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支持ESP、AH封装协议，支持SM2_SM4_SM3_ESP隧道模式</w:t>
            </w:r>
          </w:p>
        </w:tc>
      </w:tr>
      <w:tr>
        <w:tblPrEx>
          <w:tblCellMar>
            <w:top w:w="0" w:type="dxa"/>
            <w:left w:w="0" w:type="dxa"/>
            <w:bottom w:w="0" w:type="dxa"/>
            <w:right w:w="0" w:type="dxa"/>
          </w:tblCellMar>
        </w:tblPrEx>
        <w:trPr>
          <w:trHeight w:val="300" w:hRule="atLeast"/>
          <w:jc w:val="center"/>
        </w:trPr>
        <w:tc>
          <w:tcPr>
            <w:tcW w:w="1462" w:type="dxa"/>
            <w:vMerge w:val="continue"/>
            <w:tcBorders>
              <w:left w:val="single" w:color="000000" w:sz="4" w:space="0"/>
              <w:bottom w:val="single" w:color="auto"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支持国密标准SSL/TLS协议</w:t>
            </w:r>
          </w:p>
        </w:tc>
      </w:tr>
      <w:tr>
        <w:tblPrEx>
          <w:tblCellMar>
            <w:top w:w="0" w:type="dxa"/>
            <w:left w:w="0" w:type="dxa"/>
            <w:bottom w:w="0" w:type="dxa"/>
            <w:right w:w="0" w:type="dxa"/>
          </w:tblCellMar>
        </w:tblPrEx>
        <w:trPr>
          <w:trHeight w:val="90" w:hRule="atLeast"/>
          <w:jc w:val="center"/>
        </w:trPr>
        <w:tc>
          <w:tcPr>
            <w:tcW w:w="1462" w:type="dxa"/>
            <w:vMerge w:val="restart"/>
            <w:tcBorders>
              <w:top w:val="single" w:color="auto"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性能要求</w:t>
            </w: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每秒新建并发用户数≥1000</w:t>
            </w:r>
          </w:p>
        </w:tc>
      </w:tr>
      <w:tr>
        <w:tblPrEx>
          <w:tblCellMar>
            <w:top w:w="0" w:type="dxa"/>
            <w:left w:w="0" w:type="dxa"/>
            <w:bottom w:w="0" w:type="dxa"/>
            <w:right w:w="0" w:type="dxa"/>
          </w:tblCellMar>
        </w:tblPrEx>
        <w:trPr>
          <w:trHeight w:val="90" w:hRule="atLeast"/>
          <w:jc w:val="center"/>
        </w:trPr>
        <w:tc>
          <w:tcPr>
            <w:tcW w:w="1462"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https最大并发连接数 ≥5W</w:t>
            </w:r>
          </w:p>
        </w:tc>
      </w:tr>
      <w:tr>
        <w:tblPrEx>
          <w:tblCellMar>
            <w:top w:w="0" w:type="dxa"/>
            <w:left w:w="0" w:type="dxa"/>
            <w:bottom w:w="0" w:type="dxa"/>
            <w:right w:w="0" w:type="dxa"/>
          </w:tblCellMar>
        </w:tblPrEx>
        <w:trPr>
          <w:trHeight w:val="300" w:hRule="atLeast"/>
          <w:jc w:val="center"/>
        </w:trPr>
        <w:tc>
          <w:tcPr>
            <w:tcW w:w="1462"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密文吞吐率 ≥1</w:t>
            </w:r>
            <w:r>
              <w:rPr>
                <w:rFonts w:hint="eastAsia" w:ascii="宋体" w:hAnsi="宋体" w:cs="楷体"/>
                <w:kern w:val="0"/>
              </w:rPr>
              <w:t>.</w:t>
            </w:r>
            <w:r>
              <w:rPr>
                <w:rFonts w:ascii="宋体" w:hAnsi="宋体" w:cs="楷体"/>
                <w:kern w:val="0"/>
              </w:rPr>
              <w:t xml:space="preserve">5 </w:t>
            </w:r>
            <w:r>
              <w:rPr>
                <w:rFonts w:hint="eastAsia" w:ascii="宋体" w:hAnsi="宋体" w:cs="楷体"/>
                <w:kern w:val="0"/>
              </w:rPr>
              <w:t>G</w:t>
            </w:r>
            <w:r>
              <w:rPr>
                <w:rFonts w:ascii="宋体" w:hAnsi="宋体" w:cs="楷体"/>
                <w:kern w:val="0"/>
              </w:rPr>
              <w:t>bps</w:t>
            </w:r>
          </w:p>
        </w:tc>
      </w:tr>
      <w:tr>
        <w:tblPrEx>
          <w:tblCellMar>
            <w:top w:w="0" w:type="dxa"/>
            <w:left w:w="0" w:type="dxa"/>
            <w:bottom w:w="0" w:type="dxa"/>
            <w:right w:w="0" w:type="dxa"/>
          </w:tblCellMar>
        </w:tblPrEx>
        <w:trPr>
          <w:trHeight w:val="300" w:hRule="atLeast"/>
          <w:jc w:val="center"/>
        </w:trPr>
        <w:tc>
          <w:tcPr>
            <w:tcW w:w="146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整机吞吐率≥10 Gbps</w:t>
            </w:r>
          </w:p>
        </w:tc>
      </w:tr>
      <w:tr>
        <w:tblPrEx>
          <w:tblCellMar>
            <w:top w:w="0" w:type="dxa"/>
            <w:left w:w="0" w:type="dxa"/>
            <w:bottom w:w="0" w:type="dxa"/>
            <w:right w:w="0" w:type="dxa"/>
          </w:tblCellMar>
        </w:tblPrEx>
        <w:trPr>
          <w:trHeight w:val="300" w:hRule="atLeast"/>
          <w:jc w:val="center"/>
        </w:trPr>
        <w:tc>
          <w:tcPr>
            <w:tcW w:w="1462" w:type="dxa"/>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可靠性</w:t>
            </w: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支持多机集群部署。支持双主机热备部署，支持主备机自动切换，多机负载均衡，支持负载动态分配。</w:t>
            </w:r>
          </w:p>
        </w:tc>
      </w:tr>
      <w:tr>
        <w:tblPrEx>
          <w:tblCellMar>
            <w:top w:w="0" w:type="dxa"/>
            <w:left w:w="0" w:type="dxa"/>
            <w:bottom w:w="0" w:type="dxa"/>
            <w:right w:w="0" w:type="dxa"/>
          </w:tblCellMar>
        </w:tblPrEx>
        <w:trPr>
          <w:trHeight w:val="35" w:hRule="atLeast"/>
          <w:jc w:val="center"/>
        </w:trPr>
        <w:tc>
          <w:tcPr>
            <w:tcW w:w="146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功能要求</w:t>
            </w: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支持SM2国密证书+口令的“双因子”认证，</w:t>
            </w:r>
            <w:r>
              <w:rPr>
                <w:rFonts w:hint="eastAsia" w:ascii="宋体" w:hAnsi="宋体" w:cs="楷体"/>
                <w:color w:val="000000"/>
                <w:kern w:val="0"/>
              </w:rPr>
              <w:t>支持集中认证</w:t>
            </w:r>
            <w:r>
              <w:rPr>
                <w:rFonts w:ascii="宋体" w:hAnsi="宋体" w:cs="楷体"/>
                <w:color w:val="000000"/>
                <w:kern w:val="0"/>
              </w:rPr>
              <w:t>。</w:t>
            </w:r>
          </w:p>
        </w:tc>
      </w:tr>
      <w:tr>
        <w:tblPrEx>
          <w:tblCellMar>
            <w:top w:w="0" w:type="dxa"/>
            <w:left w:w="0" w:type="dxa"/>
            <w:bottom w:w="0" w:type="dxa"/>
            <w:right w:w="0" w:type="dxa"/>
          </w:tblCellMar>
        </w:tblPrEx>
        <w:trPr>
          <w:trHeight w:val="35" w:hRule="atLeast"/>
          <w:jc w:val="center"/>
        </w:trPr>
        <w:tc>
          <w:tcPr>
            <w:tcW w:w="1462"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支持SM2证书签发与验证，支持第三方CA证书、CRL导入。</w:t>
            </w:r>
          </w:p>
        </w:tc>
      </w:tr>
      <w:tr>
        <w:tblPrEx>
          <w:tblCellMar>
            <w:top w:w="0" w:type="dxa"/>
            <w:left w:w="0" w:type="dxa"/>
            <w:bottom w:w="0" w:type="dxa"/>
            <w:right w:w="0" w:type="dxa"/>
          </w:tblCellMar>
        </w:tblPrEx>
        <w:trPr>
          <w:trHeight w:val="35" w:hRule="atLeast"/>
          <w:jc w:val="center"/>
        </w:trPr>
        <w:tc>
          <w:tcPr>
            <w:tcW w:w="146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管理要求</w:t>
            </w: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支持安全管理员、系统管理员、审计管理员分权管理，管理员身份凭证信息安全存储在智能密码钥匙中。</w:t>
            </w:r>
          </w:p>
        </w:tc>
      </w:tr>
      <w:tr>
        <w:tblPrEx>
          <w:tblCellMar>
            <w:top w:w="0" w:type="dxa"/>
            <w:left w:w="0" w:type="dxa"/>
            <w:bottom w:w="0" w:type="dxa"/>
            <w:right w:w="0" w:type="dxa"/>
          </w:tblCellMar>
        </w:tblPrEx>
        <w:trPr>
          <w:trHeight w:val="35" w:hRule="atLeast"/>
          <w:jc w:val="center"/>
        </w:trPr>
        <w:tc>
          <w:tcPr>
            <w:tcW w:w="1462"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管理员登录支持数字证书（SM2）+口令的“双因子”认证方式。</w:t>
            </w:r>
          </w:p>
        </w:tc>
      </w:tr>
      <w:tr>
        <w:tblPrEx>
          <w:tblCellMar>
            <w:top w:w="0" w:type="dxa"/>
            <w:left w:w="0" w:type="dxa"/>
            <w:bottom w:w="0" w:type="dxa"/>
            <w:right w:w="0" w:type="dxa"/>
          </w:tblCellMar>
        </w:tblPrEx>
        <w:trPr>
          <w:trHeight w:val="35" w:hRule="atLeast"/>
          <w:jc w:val="center"/>
        </w:trPr>
        <w:tc>
          <w:tcPr>
            <w:tcW w:w="1462"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支持对国密SSL VPN日志信息和访问控制信息进行基于商用密码算法的完整性保护。</w:t>
            </w:r>
          </w:p>
        </w:tc>
      </w:tr>
      <w:tr>
        <w:tblPrEx>
          <w:tblCellMar>
            <w:top w:w="0" w:type="dxa"/>
            <w:left w:w="0" w:type="dxa"/>
            <w:bottom w:w="0" w:type="dxa"/>
            <w:right w:w="0" w:type="dxa"/>
          </w:tblCellMar>
        </w:tblPrEx>
        <w:trPr>
          <w:trHeight w:val="35" w:hRule="atLeast"/>
          <w:jc w:val="center"/>
        </w:trPr>
        <w:tc>
          <w:tcPr>
            <w:tcW w:w="146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kern w:val="0"/>
              </w:rPr>
            </w:pPr>
            <w:r>
              <w:rPr>
                <w:rFonts w:hint="eastAsia" w:ascii="宋体" w:hAnsi="宋体" w:cs="楷体"/>
                <w:color w:val="000000"/>
                <w:kern w:val="0"/>
              </w:rPr>
              <w:t>支持密码复杂度设置</w:t>
            </w:r>
            <w:r>
              <w:rPr>
                <w:rFonts w:ascii="宋体" w:hAnsi="宋体" w:cs="楷体"/>
                <w:color w:val="000000"/>
                <w:kern w:val="0"/>
              </w:rPr>
              <w:t>。</w:t>
            </w:r>
          </w:p>
        </w:tc>
      </w:tr>
    </w:tbl>
    <w:p>
      <w:pPr>
        <w:pStyle w:val="2"/>
        <w:numPr>
          <w:ilvl w:val="0"/>
          <w:numId w:val="4"/>
        </w:numPr>
        <w:spacing w:line="276" w:lineRule="auto"/>
        <w:rPr>
          <w:rFonts w:hint="default" w:ascii="宋体" w:hAnsi="宋体"/>
        </w:rPr>
      </w:pPr>
      <w:r>
        <w:rPr>
          <w:rFonts w:ascii="宋体" w:hAnsi="宋体"/>
        </w:rPr>
        <w:t>平台软件层技术要求</w:t>
      </w:r>
    </w:p>
    <w:p>
      <w:pPr>
        <w:pStyle w:val="15"/>
        <w:keepNext/>
        <w:keepLines/>
        <w:widowControl/>
        <w:numPr>
          <w:ilvl w:val="0"/>
          <w:numId w:val="5"/>
        </w:numPr>
        <w:topLinePunct/>
        <w:adjustRightInd w:val="0"/>
        <w:snapToGrid w:val="0"/>
        <w:ind w:firstLineChars="0"/>
        <w:jc w:val="left"/>
        <w:outlineLvl w:val="1"/>
        <w:rPr>
          <w:rFonts w:ascii="Book Antiqua" w:hAnsi="Book Antiqua" w:eastAsia="宋体"/>
          <w:bCs/>
          <w:vanish/>
          <w:kern w:val="0"/>
          <w:sz w:val="36"/>
          <w:szCs w:val="36"/>
        </w:rPr>
      </w:pPr>
    </w:p>
    <w:p>
      <w:pPr>
        <w:pStyle w:val="3"/>
        <w:numPr>
          <w:ilvl w:val="1"/>
          <w:numId w:val="5"/>
        </w:numPr>
        <w:ind w:left="420"/>
        <w:rPr>
          <w:lang w:eastAsia="zh-CN"/>
        </w:rPr>
      </w:pPr>
      <w:r>
        <w:rPr>
          <w:rFonts w:hint="eastAsia"/>
        </w:rPr>
        <w:t>平台软件层</w:t>
      </w:r>
      <w:r>
        <w:rPr>
          <w:rFonts w:hint="eastAsia"/>
          <w:lang w:eastAsia="zh-CN"/>
        </w:rPr>
        <w:t>整体要求</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系统部署要求：中标人提供的平台软件层服务中涉及基础资源使用的（包括但不限于计算、存储、备份）应当使用市级政务云基础设施服务资源。本项目中平台软件层服务费用中不包含市级政务云基础设施服务资源费用</w:t>
      </w:r>
      <w:r>
        <w:rPr>
          <w:rFonts w:ascii="宋体" w:hAnsi="宋体"/>
        </w:rPr>
        <w:t>，</w:t>
      </w:r>
      <w:r>
        <w:rPr>
          <w:rFonts w:hint="eastAsia" w:ascii="宋体" w:hAnsi="宋体"/>
        </w:rPr>
        <w:t>由采购人按服务单价另行支付</w:t>
      </w:r>
      <w:r>
        <w:rPr>
          <w:rFonts w:ascii="宋体" w:hAnsi="宋体"/>
        </w:rPr>
        <w:t>。</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接口服务要求：中标人应当提供包括但不限于API发布、管理、流量控制、熔断、用户管理功能的API网关，中标人提供的PaaS能力中涉及API方式提供的应当具备通过API网关服务的能力。</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安全隔离要求：中标人提供的服务涉及集中部署的应该符合网络安全等级保护三级的要求，开展安全加固工作，每个服务期开展不少于4次服务的安全策略配置、安全扫描和系统漏洞的加固，配合使用单位完成应用的等级保护工作。提供软件介质部署在使用单位资源上的，应当提供安全漏洞修复补丁并提供技术支持，配合使用单位完成应用的等级保护工作。中标人应当通过技术方式确保不同安全责任主体之间的隔离。</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服务交付要求：中标人提供的政务云PaaS服务，应当面向使用单位提供每个服务项的服务接入方式，包括但不限于界面、API接口、文件等。</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管理能力要求：中标人应当具备与政务云基础设施监管服务平台（以下简称“云管平台”）进行数据对接和业务协调联动，包括但不限于实时接收使用单位在云管平台中发起的PaaS服务申请工单信息，并向云管平台反馈工单实时处理信息。</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监控能力要求：中标人应当对所提供的各项平台软件层能力提供实时动态的监控服务，并将监控数据同步到“云管平台”中，同步内容包括但不限于服务的使用情况统计、计量计费数据、告警数据、资源数据、运行性能数据、故障处置信息、安全相关信息以及其他日志数据。</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协同工作要求</w:t>
      </w:r>
      <w:r>
        <w:rPr>
          <w:rFonts w:ascii="宋体" w:hAnsi="宋体"/>
        </w:rPr>
        <w:t>：</w:t>
      </w:r>
      <w:r>
        <w:rPr>
          <w:rFonts w:hint="eastAsia" w:ascii="宋体" w:hAnsi="宋体"/>
        </w:rPr>
        <w:t>中标人应当按照</w:t>
      </w:r>
      <w:r>
        <w:rPr>
          <w:rFonts w:ascii="宋体" w:hAnsi="宋体"/>
        </w:rPr>
        <w:t>采购人</w:t>
      </w:r>
      <w:r>
        <w:rPr>
          <w:rFonts w:hint="eastAsia" w:ascii="宋体" w:hAnsi="宋体"/>
        </w:rPr>
        <w:t>的要求</w:t>
      </w:r>
      <w:r>
        <w:rPr>
          <w:rFonts w:ascii="宋体" w:hAnsi="宋体"/>
        </w:rPr>
        <w:t>，</w:t>
      </w:r>
      <w:r>
        <w:rPr>
          <w:rFonts w:hint="eastAsia" w:ascii="宋体" w:hAnsi="宋体"/>
        </w:rPr>
        <w:t>配合本项目其他包件中标人开展平台软件层建设工作</w:t>
      </w:r>
      <w:r>
        <w:rPr>
          <w:rFonts w:ascii="宋体" w:hAnsi="宋体"/>
        </w:rPr>
        <w:t>。</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中标人应当配合</w:t>
      </w:r>
      <w:r>
        <w:rPr>
          <w:rFonts w:ascii="宋体" w:hAnsi="宋体"/>
        </w:rPr>
        <w:t>采购人</w:t>
      </w:r>
      <w:r>
        <w:rPr>
          <w:rFonts w:hint="eastAsia" w:ascii="宋体" w:hAnsi="宋体"/>
        </w:rPr>
        <w:t>完成服务考核评估工作，并负责对已经出现的服务问题进行整改。</w:t>
      </w:r>
    </w:p>
    <w:p>
      <w:pPr>
        <w:pStyle w:val="3"/>
        <w:numPr>
          <w:ilvl w:val="1"/>
          <w:numId w:val="5"/>
        </w:numPr>
        <w:ind w:left="420"/>
        <w:rPr>
          <w:lang w:eastAsia="zh-CN"/>
        </w:rPr>
      </w:pPr>
      <w:r>
        <w:rPr>
          <w:rFonts w:hint="eastAsia"/>
          <w:lang w:eastAsia="zh-CN"/>
        </w:rPr>
        <w:t>软件</w:t>
      </w:r>
      <w:r>
        <w:rPr>
          <w:rFonts w:hint="eastAsia"/>
        </w:rPr>
        <w:t>技术</w:t>
      </w:r>
      <w:r>
        <w:rPr>
          <w:rFonts w:hint="eastAsia"/>
          <w:lang w:eastAsia="zh-CN"/>
        </w:rPr>
        <w:t>要求</w:t>
      </w:r>
    </w:p>
    <w:p>
      <w:pPr>
        <w:pStyle w:val="4"/>
        <w:numPr>
          <w:ilvl w:val="2"/>
          <w:numId w:val="5"/>
        </w:numPr>
        <w:spacing w:before="160" w:line="300" w:lineRule="exact"/>
        <w:ind w:left="420"/>
        <w:rPr>
          <w:rFonts w:ascii="宋体" w:hAnsi="宋体"/>
        </w:rPr>
      </w:pPr>
      <w:r>
        <w:rPr>
          <w:rFonts w:hint="eastAsia" w:ascii="宋体" w:hAnsi="宋体"/>
        </w:rPr>
        <w:t>管理平台</w:t>
      </w:r>
    </w:p>
    <w:p>
      <w:pPr>
        <w:spacing w:line="276" w:lineRule="auto"/>
        <w:ind w:left="420" w:firstLine="420"/>
      </w:pPr>
      <w:r>
        <w:rPr>
          <w:rFonts w:hint="eastAsia"/>
        </w:rPr>
        <w:t>中</w:t>
      </w:r>
      <w:r>
        <w:t>标人向采购人提供能够对对其部署到PaaS软件运行环境中的PaaS应用程序的版本、运行状态(包括启动、暂停、停止等) 和发布进行管理的平台工具，包含但不限于以下功能：</w:t>
      </w:r>
    </w:p>
    <w:tbl>
      <w:tblPr>
        <w:tblStyle w:val="11"/>
        <w:tblW w:w="48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6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970" w:type="pct"/>
            <w:shd w:val="clear" w:color="auto" w:fill="D9D9D9"/>
            <w:vAlign w:val="center"/>
          </w:tcPr>
          <w:p>
            <w:pPr>
              <w:jc w:val="center"/>
              <w:rPr>
                <w:rFonts w:ascii="宋体" w:hAnsi="宋体" w:cs="宋体"/>
                <w:b/>
                <w:bCs/>
                <w:color w:val="000000"/>
                <w:kern w:val="0"/>
              </w:rPr>
            </w:pPr>
            <w:r>
              <w:rPr>
                <w:rFonts w:ascii="宋体" w:hAnsi="宋体" w:cs="宋体"/>
                <w:b/>
                <w:bCs/>
                <w:color w:val="000000"/>
                <w:kern w:val="0"/>
              </w:rPr>
              <w:t>规格</w:t>
            </w:r>
          </w:p>
        </w:tc>
        <w:tc>
          <w:tcPr>
            <w:tcW w:w="4030" w:type="pct"/>
            <w:shd w:val="clear" w:color="auto" w:fill="D9D9D9"/>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970" w:type="pct"/>
            <w:vMerge w:val="restart"/>
            <w:vAlign w:val="center"/>
          </w:tcPr>
          <w:p>
            <w:pPr>
              <w:jc w:val="center"/>
              <w:rPr>
                <w:rFonts w:ascii="宋体" w:hAnsi="宋体" w:cs="宋体"/>
                <w:b/>
                <w:bCs/>
                <w:color w:val="000000"/>
                <w:kern w:val="0"/>
              </w:rPr>
            </w:pPr>
            <w:r>
              <w:rPr>
                <w:rFonts w:ascii="宋体" w:hAnsi="宋体" w:cs="宋体"/>
                <w:b/>
                <w:bCs/>
                <w:color w:val="000000"/>
                <w:kern w:val="0"/>
              </w:rPr>
              <w:t>功能要求</w:t>
            </w:r>
          </w:p>
        </w:tc>
        <w:tc>
          <w:tcPr>
            <w:tcW w:w="4030" w:type="pct"/>
            <w:vAlign w:val="bottom"/>
          </w:tcPr>
          <w:p>
            <w:pPr>
              <w:rPr>
                <w:rFonts w:ascii="宋体" w:hAnsi="宋体" w:cs="宋体"/>
                <w:color w:val="000000"/>
                <w:kern w:val="0"/>
              </w:rPr>
            </w:pPr>
            <w:r>
              <w:rPr>
                <w:rFonts w:ascii="宋体" w:hAnsi="宋体" w:cs="宋体"/>
                <w:color w:val="000000"/>
                <w:kern w:val="0"/>
              </w:rPr>
              <w:t>支持对部署在</w:t>
            </w:r>
            <w:r>
              <w:rPr>
                <w:rFonts w:ascii="宋体" w:hAnsi="宋体" w:cs="Times New Roman"/>
                <w:color w:val="000000"/>
                <w:kern w:val="0"/>
              </w:rPr>
              <w:t>PaaS</w:t>
            </w:r>
            <w:r>
              <w:rPr>
                <w:rFonts w:ascii="宋体" w:hAnsi="宋体" w:cs="宋体"/>
                <w:color w:val="000000"/>
                <w:kern w:val="0"/>
              </w:rPr>
              <w:t>软件运行环境中的应用程序进行版本更新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提供开放的软件支撑应用程序查询、创建、更新、删除接口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提供PaaS应用程序版本更新主要内容说明的服务或接口；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提供控制PaaS应用程序运行状态的接口或工具；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提供获取PaaS应用程序当前运行状态的接口或工具；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提供管理PaaS应用程序发布的接口或服务，支持PaaS应用程序的发布和撤回；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提供PaaS应用程序发布的审核机制，支持将审核结果及意见反馈给用户，支持PaaS用户在线查询应用程序的审核状态；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提供PaaS应用程序版本另生成规则及说明文档；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提供图形化的PaaS应用程序版本管理界面；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提供多版本PaaS应用程序的发布、同步及访问控制；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提供批量控制PaaS应用程序运行状态的功能；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提供管理PaaS应用程序运行状态的图形化界面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提供PaaS应用程序发布接人规范，并提供发布示例：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提供图形化的申请PaaS应用程序发布和撤回的界面。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支持获取租户范围内PaaS软件运行环境的监控信息。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支持定义租户范围内PaaS应用程序的资源分配、安全性和可用性等方面的策略；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支持PaaS应用程序的多个副本分散在不同的PaaS软件运行环境中进行部署，避免单一PaaS软件运行环境实例故障带来的可用性问题;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支持将PaaS应用程序的或组件分布的部署在多个PaaS软件运行环境中，将应用程序的访问负载分散到不同的 PaaS软件运行 环境实例中，以提升 PaaS 应用程序的访问件能。</w:t>
            </w:r>
          </w:p>
        </w:tc>
      </w:tr>
    </w:tbl>
    <w:p>
      <w:pPr>
        <w:pStyle w:val="4"/>
        <w:numPr>
          <w:ilvl w:val="2"/>
          <w:numId w:val="5"/>
        </w:numPr>
        <w:spacing w:before="160" w:line="300" w:lineRule="exact"/>
        <w:ind w:left="420"/>
        <w:rPr>
          <w:rFonts w:ascii="宋体" w:hAnsi="宋体"/>
        </w:rPr>
      </w:pPr>
      <w:r>
        <w:rPr>
          <w:rFonts w:hint="eastAsia" w:ascii="宋体" w:hAnsi="宋体"/>
          <w:lang w:val="en-US" w:eastAsia="zh-CN"/>
        </w:rPr>
        <w:t>操作系统服务</w:t>
      </w:r>
    </w:p>
    <w:tbl>
      <w:tblPr>
        <w:tblStyle w:val="11"/>
        <w:tblW w:w="8806" w:type="dxa"/>
        <w:tblInd w:w="0" w:type="dxa"/>
        <w:tblLayout w:type="fixed"/>
        <w:tblCellMar>
          <w:top w:w="0" w:type="dxa"/>
          <w:left w:w="0" w:type="dxa"/>
          <w:bottom w:w="0" w:type="dxa"/>
          <w:right w:w="0" w:type="dxa"/>
        </w:tblCellMar>
      </w:tblPr>
      <w:tblGrid>
        <w:gridCol w:w="1469"/>
        <w:gridCol w:w="7337"/>
      </w:tblGrid>
      <w:tr>
        <w:tblPrEx>
          <w:tblCellMar>
            <w:top w:w="0" w:type="dxa"/>
            <w:left w:w="0" w:type="dxa"/>
            <w:bottom w:w="0" w:type="dxa"/>
            <w:right w:w="0" w:type="dxa"/>
          </w:tblCellMar>
        </w:tblPrEx>
        <w:trPr>
          <w:trHeight w:val="413"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eastAsia="宋体" w:cs="宋体"/>
                <w:color w:val="auto"/>
                <w:highlight w:val="none"/>
              </w:rPr>
            </w:pPr>
            <w:r>
              <w:rPr>
                <w:rFonts w:ascii="宋体" w:hAnsi="宋体" w:eastAsia="宋体" w:cs="宋体"/>
                <w:color w:val="auto"/>
                <w:kern w:val="0"/>
                <w:highlight w:val="none"/>
              </w:rPr>
              <w:t>服务描述</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kern w:val="0"/>
                <w:highlight w:val="none"/>
              </w:rPr>
              <w:t>提供操作系统服务。</w:t>
            </w:r>
          </w:p>
        </w:tc>
      </w:tr>
      <w:tr>
        <w:tblPrEx>
          <w:tblCellMar>
            <w:top w:w="0" w:type="dxa"/>
            <w:left w:w="0" w:type="dxa"/>
            <w:bottom w:w="0" w:type="dxa"/>
            <w:right w:w="0" w:type="dxa"/>
          </w:tblCellMar>
        </w:tblPrEx>
        <w:trPr>
          <w:trHeight w:val="870"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eastAsia="宋体" w:cs="宋体"/>
                <w:color w:val="auto"/>
                <w:highlight w:val="none"/>
              </w:rPr>
            </w:pPr>
            <w:r>
              <w:rPr>
                <w:rFonts w:ascii="宋体" w:hAnsi="宋体" w:eastAsia="宋体" w:cs="宋体"/>
                <w:color w:val="auto"/>
                <w:kern w:val="0"/>
                <w:highlight w:val="none"/>
              </w:rPr>
              <w:t>能力要求</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1、基础核心：Kernel版本不低于4.9；</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2、架构支持：支持龙芯、鲲鹏、兆芯、海光、飞腾、申威等国产主流芯片处理器；</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（1）支持双核及多核处理器；</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（2）支持并优化NUMA体系架构；</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（3）标准符合度：产品获得《计算机软件著作权登记证书》;</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3、文件系统：支持XFS、EXT3、EXT4、NTFS等文件系统；</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4、功能要求：具备文件管理、设备管理、日志管理、服务管理、进程和监控管理、网络管理、资源管理、软件包管理、硬盘管理等基本功能，提供语言支持工具、集成开发平台等常用工具，支持 KVM 虚拟化技术；</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5、技术规格：</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（1）逻辑CPU最大支持：不小于128；</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（2）内存最大支持：不小于2TB；</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（3）单个文件最大支持：不小于2TB；</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（4）文件系统最大支持：不小于16TB；</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（5）支持SELinux；</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（6）关键部件达到安全可靠测评等级1级及以上；</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6、系统引导：支持GRUB2引导，支持MBR及GPT（GUID分区表）分区；</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7、网络支持：支持网卡bonding；</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8、高可用支持：支持软件负载均衡，支持多种网卡Bonding，提高可用性；</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（1）支持存储多路径并提供multipath驱动；</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9、开发运行环境：支持java 1.7.0、1.8.0，支持GCC包含的C、C++和java等相应支持库，集成Qt开发框架，支持Python, Shell，Ruby，PHP等脚本语言；</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10、虚拟化云平台兼容性：兼容</w:t>
            </w:r>
            <w:r>
              <w:rPr>
                <w:rFonts w:hint="eastAsia" w:ascii="宋体" w:hAnsi="宋体" w:eastAsia="宋体" w:cs="宋体"/>
                <w:color w:val="auto"/>
                <w:highlight w:val="none"/>
                <w:lang w:val="en-US" w:eastAsia="zh-CN"/>
              </w:rPr>
              <w:t>主流</w:t>
            </w:r>
            <w:r>
              <w:rPr>
                <w:rFonts w:ascii="宋体" w:hAnsi="宋体" w:eastAsia="宋体" w:cs="宋体"/>
                <w:color w:val="auto"/>
                <w:highlight w:val="none"/>
              </w:rPr>
              <w:t>云平台软件</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包括但不限于</w:t>
            </w:r>
            <w:r>
              <w:rPr>
                <w:rFonts w:ascii="宋体" w:hAnsi="宋体" w:eastAsia="宋体" w:cs="宋体"/>
                <w:color w:val="auto"/>
                <w:highlight w:val="none"/>
              </w:rPr>
              <w:t>华为HCS、阿里飞天等</w:t>
            </w:r>
            <w:r>
              <w:rPr>
                <w:rFonts w:hint="eastAsia" w:ascii="宋体" w:hAnsi="宋体" w:eastAsia="宋体" w:cs="宋体"/>
                <w:color w:val="auto"/>
                <w:highlight w:val="none"/>
                <w:lang w:eastAsia="zh-CN"/>
              </w:rPr>
              <w:t>）</w:t>
            </w:r>
            <w:r>
              <w:rPr>
                <w:rFonts w:ascii="宋体" w:hAnsi="宋体" w:eastAsia="宋体" w:cs="宋体"/>
                <w:color w:val="auto"/>
                <w:highlight w:val="none"/>
              </w:rPr>
              <w:t>；</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11、硬件兼容性：兼容国内外主流的服务器、存储等硬件产品，包括华为、长城、百信等；</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12、文件安全性：支持文件系统加密；</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13、支持文件完整性检查；</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14、网络安全性：支持 HTTP、FTP、VNC、TCP、UDP、IP、FTP、DNS、 NFS、NTP、DHCP、SSH 等多种网络协议。</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（1）支持Firewalld（IPtables），支持动态管理的防火墙，并支持网络“区域”以便为网络及其相关链接和接口分配可信度，支持 IPv4 和 IPv6 防火墙设置，支持以太网桥接并有独立的运行时和持久配置选项，提供可直接添加防火墙规则的服务或者应用程序接口；</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15、维护能力要求：支持在云平台上进行操作系统License发放情况管理；</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16、系统审计：提供系统审计日志</w:t>
            </w:r>
          </w:p>
        </w:tc>
      </w:tr>
      <w:tr>
        <w:tblPrEx>
          <w:tblCellMar>
            <w:top w:w="0" w:type="dxa"/>
            <w:left w:w="0" w:type="dxa"/>
            <w:bottom w:w="0" w:type="dxa"/>
            <w:right w:w="0" w:type="dxa"/>
          </w:tblCellMar>
        </w:tblPrEx>
        <w:trPr>
          <w:trHeight w:val="580"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eastAsia="宋体" w:cs="宋体"/>
                <w:color w:val="auto"/>
                <w:highlight w:val="none"/>
              </w:rPr>
            </w:pPr>
            <w:r>
              <w:rPr>
                <w:rFonts w:ascii="宋体" w:hAnsi="宋体" w:eastAsia="宋体" w:cs="宋体"/>
                <w:color w:val="auto"/>
                <w:kern w:val="0"/>
                <w:highlight w:val="none"/>
              </w:rPr>
              <w:t>服务要求</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numPr>
                <w:ilvl w:val="0"/>
                <w:numId w:val="16"/>
              </w:numPr>
              <w:topLinePunct w:val="0"/>
              <w:adjustRightInd/>
              <w:snapToGrid/>
              <w:spacing w:before="0" w:after="0" w:line="240" w:lineRule="auto"/>
              <w:ind w:left="0" w:leftChars="0" w:firstLineChars="0"/>
              <w:textAlignment w:val="center"/>
              <w:rPr>
                <w:rFonts w:hint="default" w:ascii="宋体" w:hAnsi="宋体" w:eastAsia="宋体" w:cs="宋体"/>
                <w:color w:val="auto"/>
                <w:highlight w:val="none"/>
              </w:rPr>
            </w:pPr>
            <w:r>
              <w:rPr>
                <w:rFonts w:ascii="宋体" w:hAnsi="宋体" w:eastAsia="宋体" w:cs="宋体"/>
                <w:color w:val="auto"/>
                <w:highlight w:val="none"/>
              </w:rPr>
              <w:t>提供包括不限于该服务的安装介质、版本升级介质、软件安全风险补丁、产品文档、培训咨询、管理端巡检服务、管理端性能调优、重要活动和重大节假日管理端保障等保障服务。</w:t>
            </w:r>
          </w:p>
          <w:p>
            <w:pPr>
              <w:numPr>
                <w:ilvl w:val="0"/>
                <w:numId w:val="0"/>
              </w:numPr>
              <w:topLinePunct w:val="0"/>
              <w:adjustRightInd/>
              <w:snapToGrid/>
              <w:spacing w:before="0" w:after="0" w:line="240" w:lineRule="auto"/>
              <w:ind w:leftChars="0"/>
              <w:textAlignment w:val="center"/>
              <w:rPr>
                <w:rFonts w:hint="default" w:ascii="宋体" w:hAnsi="宋体" w:eastAsia="宋体" w:cs="宋体"/>
                <w:color w:val="auto"/>
                <w:highlight w:val="none"/>
              </w:rPr>
            </w:pPr>
            <w:r>
              <w:rPr>
                <w:rFonts w:hint="eastAsia" w:ascii="宋体" w:hAnsi="宋体" w:eastAsia="宋体" w:cs="宋体"/>
                <w:color w:val="auto"/>
                <w:highlight w:val="none"/>
                <w:lang w:val="en-US" w:eastAsia="zh-CN"/>
              </w:rPr>
              <w:t>2、</w:t>
            </w:r>
            <w:r>
              <w:rPr>
                <w:rFonts w:ascii="宋体" w:hAnsi="宋体" w:eastAsia="宋体" w:cs="宋体"/>
                <w:color w:val="auto"/>
                <w:highlight w:val="none"/>
              </w:rPr>
              <w:t>应当根据采购人的要求部署操作系统的软件源，并且及时发布补丁。</w:t>
            </w:r>
          </w:p>
        </w:tc>
      </w:tr>
      <w:tr>
        <w:tblPrEx>
          <w:tblCellMar>
            <w:top w:w="0" w:type="dxa"/>
            <w:left w:w="0" w:type="dxa"/>
            <w:bottom w:w="0" w:type="dxa"/>
            <w:right w:w="0" w:type="dxa"/>
          </w:tblCellMar>
        </w:tblPrEx>
        <w:trPr>
          <w:trHeight w:val="290"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eastAsia="宋体" w:cs="宋体"/>
                <w:color w:val="auto"/>
                <w:kern w:val="0"/>
                <w:highlight w:val="none"/>
              </w:rPr>
            </w:pPr>
            <w:r>
              <w:rPr>
                <w:rFonts w:ascii="宋体" w:hAnsi="宋体" w:eastAsia="宋体" w:cs="宋体"/>
                <w:color w:val="auto"/>
                <w:kern w:val="0"/>
                <w:highlight w:val="none"/>
              </w:rPr>
              <w:t>验收考核要求</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1、提供服务对应软件产品的使用详情，以及按套授权使用的依据。</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2、服务结算按照实际授权开通套数计算。</w:t>
            </w:r>
          </w:p>
        </w:tc>
      </w:tr>
    </w:tbl>
    <w:p>
      <w:pPr>
        <w:pStyle w:val="4"/>
        <w:numPr>
          <w:ilvl w:val="2"/>
          <w:numId w:val="5"/>
        </w:numPr>
        <w:spacing w:before="160" w:line="300" w:lineRule="exact"/>
        <w:ind w:left="420"/>
        <w:rPr>
          <w:rFonts w:ascii="宋体" w:hAnsi="宋体"/>
        </w:rPr>
      </w:pPr>
      <w:r>
        <w:rPr>
          <w:rFonts w:hint="eastAsia" w:ascii="宋体" w:hAnsi="宋体"/>
          <w:lang w:val="en-US" w:eastAsia="zh-CN"/>
        </w:rPr>
        <w:t>数据库服务</w:t>
      </w:r>
    </w:p>
    <w:tbl>
      <w:tblPr>
        <w:tblStyle w:val="11"/>
        <w:tblW w:w="8806" w:type="dxa"/>
        <w:tblInd w:w="0" w:type="dxa"/>
        <w:tblLayout w:type="fixed"/>
        <w:tblCellMar>
          <w:top w:w="0" w:type="dxa"/>
          <w:left w:w="0" w:type="dxa"/>
          <w:bottom w:w="0" w:type="dxa"/>
          <w:right w:w="0" w:type="dxa"/>
        </w:tblCellMar>
      </w:tblPr>
      <w:tblGrid>
        <w:gridCol w:w="1469"/>
        <w:gridCol w:w="7337"/>
      </w:tblGrid>
      <w:tr>
        <w:tblPrEx>
          <w:tblCellMar>
            <w:top w:w="0" w:type="dxa"/>
            <w:left w:w="0" w:type="dxa"/>
            <w:bottom w:w="0" w:type="dxa"/>
            <w:right w:w="0" w:type="dxa"/>
          </w:tblCellMar>
        </w:tblPrEx>
        <w:trPr>
          <w:trHeight w:val="413"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cs="宋体"/>
                <w:color w:val="auto"/>
                <w:highlight w:val="none"/>
              </w:rPr>
            </w:pPr>
            <w:r>
              <w:rPr>
                <w:rFonts w:ascii="宋体" w:hAnsi="宋体" w:cs="宋体"/>
                <w:color w:val="auto"/>
                <w:kern w:val="0"/>
                <w:highlight w:val="none"/>
              </w:rPr>
              <w:t>服务描述</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ascii="宋体" w:hAnsi="宋体" w:cs="宋体"/>
                <w:color w:val="auto"/>
                <w:highlight w:val="none"/>
              </w:rPr>
            </w:pPr>
            <w:r>
              <w:rPr>
                <w:rFonts w:ascii="宋体" w:hAnsi="宋体" w:cs="宋体"/>
                <w:color w:val="auto"/>
                <w:kern w:val="0"/>
                <w:highlight w:val="none"/>
              </w:rPr>
              <w:t>提供数据库服务。</w:t>
            </w:r>
          </w:p>
        </w:tc>
      </w:tr>
      <w:tr>
        <w:tblPrEx>
          <w:tblCellMar>
            <w:top w:w="0" w:type="dxa"/>
            <w:left w:w="0" w:type="dxa"/>
            <w:bottom w:w="0" w:type="dxa"/>
            <w:right w:w="0" w:type="dxa"/>
          </w:tblCellMar>
        </w:tblPrEx>
        <w:trPr>
          <w:trHeight w:val="315"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cs="宋体"/>
                <w:color w:val="auto"/>
                <w:highlight w:val="none"/>
              </w:rPr>
            </w:pPr>
            <w:r>
              <w:rPr>
                <w:rFonts w:ascii="宋体" w:hAnsi="宋体" w:cs="宋体"/>
                <w:color w:val="auto"/>
                <w:kern w:val="0"/>
                <w:highlight w:val="none"/>
              </w:rPr>
              <w:t>能力要求</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color w:val="auto"/>
                <w:highlight w:val="none"/>
              </w:rPr>
            </w:pPr>
            <w:r>
              <w:rPr>
                <w:color w:val="auto"/>
                <w:highlight w:val="none"/>
              </w:rPr>
              <w:t>1、整体要求：产品必须完全自主原创，避免潜在的版权纠纷，对软件自主可控，从底层保证系统的安全性；</w:t>
            </w:r>
          </w:p>
          <w:p>
            <w:pPr>
              <w:topLinePunct w:val="0"/>
              <w:adjustRightInd/>
              <w:snapToGrid/>
              <w:spacing w:before="0" w:after="0" w:line="240" w:lineRule="auto"/>
              <w:ind w:left="0"/>
              <w:textAlignment w:val="center"/>
              <w:rPr>
                <w:rFonts w:hint="default"/>
                <w:color w:val="auto"/>
                <w:highlight w:val="none"/>
              </w:rPr>
            </w:pPr>
            <w:r>
              <w:rPr>
                <w:color w:val="auto"/>
                <w:highlight w:val="none"/>
              </w:rPr>
              <w:t>2 架构支持：支持龙芯、鲲鹏、兆芯、海光、飞腾、申威等国产主流芯片处理器；</w:t>
            </w:r>
          </w:p>
          <w:p>
            <w:pPr>
              <w:topLinePunct w:val="0"/>
              <w:adjustRightInd/>
              <w:snapToGrid/>
              <w:spacing w:before="0" w:after="0" w:line="240" w:lineRule="auto"/>
              <w:ind w:left="0"/>
              <w:textAlignment w:val="center"/>
              <w:rPr>
                <w:rFonts w:hint="default"/>
                <w:color w:val="auto"/>
                <w:highlight w:val="none"/>
              </w:rPr>
            </w:pPr>
            <w:r>
              <w:rPr>
                <w:color w:val="auto"/>
                <w:highlight w:val="none"/>
              </w:rPr>
              <w:t>（1）支持双核及多核处理器；</w:t>
            </w:r>
          </w:p>
          <w:p>
            <w:pPr>
              <w:topLinePunct w:val="0"/>
              <w:adjustRightInd/>
              <w:snapToGrid/>
              <w:spacing w:before="0" w:after="0" w:line="240" w:lineRule="auto"/>
              <w:ind w:left="0"/>
              <w:textAlignment w:val="center"/>
              <w:rPr>
                <w:rFonts w:hint="default"/>
                <w:color w:val="auto"/>
                <w:highlight w:val="none"/>
              </w:rPr>
            </w:pPr>
            <w:r>
              <w:rPr>
                <w:color w:val="auto"/>
                <w:highlight w:val="none"/>
              </w:rPr>
              <w:t>（2）支持并优化NUMA体系架构；</w:t>
            </w:r>
          </w:p>
          <w:p>
            <w:pPr>
              <w:topLinePunct w:val="0"/>
              <w:adjustRightInd/>
              <w:snapToGrid/>
              <w:spacing w:before="0" w:after="0" w:line="240" w:lineRule="auto"/>
              <w:ind w:left="0"/>
              <w:textAlignment w:val="center"/>
              <w:rPr>
                <w:rFonts w:hint="default"/>
                <w:color w:val="auto"/>
                <w:highlight w:val="none"/>
              </w:rPr>
            </w:pPr>
            <w:r>
              <w:rPr>
                <w:color w:val="auto"/>
                <w:highlight w:val="none"/>
              </w:rPr>
              <w:t>3、功能要求：提供联机事件跟踪和会话、性能监视工具，以协助数据库管理员进行系统性能分析；</w:t>
            </w:r>
          </w:p>
          <w:p>
            <w:pPr>
              <w:topLinePunct w:val="0"/>
              <w:adjustRightInd/>
              <w:snapToGrid/>
              <w:spacing w:before="0" w:after="0" w:line="240" w:lineRule="auto"/>
              <w:ind w:left="0"/>
              <w:textAlignment w:val="center"/>
              <w:rPr>
                <w:rFonts w:hint="default"/>
                <w:color w:val="auto"/>
                <w:highlight w:val="none"/>
              </w:rPr>
            </w:pPr>
            <w:r>
              <w:rPr>
                <w:color w:val="auto"/>
                <w:highlight w:val="none"/>
              </w:rPr>
              <w:t>（1）关键部件达到安全可靠测评等级1级及以上；</w:t>
            </w:r>
          </w:p>
          <w:p>
            <w:pPr>
              <w:topLinePunct w:val="0"/>
              <w:adjustRightInd/>
              <w:snapToGrid/>
              <w:spacing w:before="0" w:after="0" w:line="240" w:lineRule="auto"/>
              <w:ind w:left="0"/>
              <w:textAlignment w:val="center"/>
              <w:rPr>
                <w:rFonts w:hint="default"/>
                <w:color w:val="auto"/>
                <w:highlight w:val="none"/>
              </w:rPr>
            </w:pPr>
            <w:r>
              <w:rPr>
                <w:color w:val="auto"/>
                <w:highlight w:val="none"/>
              </w:rPr>
              <w:t>（2）支持插入触发器、更新触发器、删除触发器等触发器类型；</w:t>
            </w:r>
          </w:p>
          <w:p>
            <w:pPr>
              <w:topLinePunct w:val="0"/>
              <w:adjustRightInd/>
              <w:snapToGrid/>
              <w:spacing w:before="0" w:after="0" w:line="240" w:lineRule="auto"/>
              <w:ind w:left="0"/>
              <w:textAlignment w:val="center"/>
              <w:rPr>
                <w:rFonts w:hint="default"/>
                <w:color w:val="auto"/>
                <w:highlight w:val="none"/>
              </w:rPr>
            </w:pPr>
            <w:r>
              <w:rPr>
                <w:color w:val="auto"/>
                <w:highlight w:val="none"/>
              </w:rPr>
              <w:t>（3）支持可编程的SQL语言，支持存储过程、函数和过程包，用于实现复杂的判断和运算功能； 可编程SQL语言应支持数组类型、内嵌表类型和动态SQL类型等；</w:t>
            </w:r>
          </w:p>
          <w:p>
            <w:pPr>
              <w:topLinePunct w:val="0"/>
              <w:adjustRightInd/>
              <w:snapToGrid/>
              <w:spacing w:before="0" w:after="0" w:line="240" w:lineRule="auto"/>
              <w:ind w:left="0"/>
              <w:textAlignment w:val="center"/>
              <w:rPr>
                <w:rFonts w:hint="default"/>
                <w:color w:val="auto"/>
                <w:highlight w:val="none"/>
              </w:rPr>
            </w:pPr>
            <w:r>
              <w:rPr>
                <w:color w:val="auto"/>
                <w:highlight w:val="none"/>
              </w:rPr>
              <w:t>（4）支持INSERT ALL同时插入多张表；</w:t>
            </w:r>
          </w:p>
          <w:p>
            <w:pPr>
              <w:topLinePunct w:val="0"/>
              <w:adjustRightInd/>
              <w:snapToGrid/>
              <w:spacing w:before="0" w:after="0" w:line="240" w:lineRule="auto"/>
              <w:ind w:left="0"/>
              <w:textAlignment w:val="center"/>
              <w:rPr>
                <w:rFonts w:hint="default"/>
                <w:color w:val="auto"/>
                <w:highlight w:val="none"/>
              </w:rPr>
            </w:pPr>
            <w:r>
              <w:rPr>
                <w:color w:val="auto"/>
                <w:highlight w:val="none"/>
              </w:rPr>
              <w:t>（5）支持INSERT..VALUES(value_list)[,(value_list)]..一次插入多条记录；</w:t>
            </w:r>
          </w:p>
          <w:p>
            <w:pPr>
              <w:topLinePunct w:val="0"/>
              <w:adjustRightInd/>
              <w:snapToGrid/>
              <w:spacing w:before="0" w:after="0" w:line="240" w:lineRule="auto"/>
              <w:ind w:left="0"/>
              <w:textAlignment w:val="center"/>
              <w:rPr>
                <w:rFonts w:hint="default"/>
                <w:color w:val="auto"/>
                <w:highlight w:val="none"/>
              </w:rPr>
            </w:pPr>
            <w:r>
              <w:rPr>
                <w:color w:val="auto"/>
                <w:highlight w:val="none"/>
              </w:rPr>
              <w:t>4、兼容性要求：具备高可扩展性，支持主备集群、读写分离集群等；</w:t>
            </w:r>
          </w:p>
          <w:p>
            <w:pPr>
              <w:topLinePunct w:val="0"/>
              <w:adjustRightInd/>
              <w:snapToGrid/>
              <w:spacing w:before="0" w:after="0" w:line="240" w:lineRule="auto"/>
              <w:ind w:left="0"/>
              <w:textAlignment w:val="center"/>
              <w:rPr>
                <w:rFonts w:hint="default"/>
                <w:color w:val="auto"/>
                <w:highlight w:val="none"/>
              </w:rPr>
            </w:pPr>
            <w:r>
              <w:rPr>
                <w:color w:val="auto"/>
                <w:highlight w:val="none"/>
              </w:rPr>
              <w:t>（1）兼容中标麒麟、银河麒麟、统信UOS等多种国产Linux系列操作系统；</w:t>
            </w:r>
          </w:p>
          <w:p>
            <w:pPr>
              <w:topLinePunct w:val="0"/>
              <w:adjustRightInd/>
              <w:snapToGrid/>
              <w:spacing w:before="0" w:after="0" w:line="240" w:lineRule="auto"/>
              <w:ind w:left="0"/>
              <w:textAlignment w:val="center"/>
              <w:rPr>
                <w:rFonts w:hint="default"/>
                <w:color w:val="auto"/>
                <w:highlight w:val="none"/>
              </w:rPr>
            </w:pPr>
            <w:r>
              <w:rPr>
                <w:color w:val="auto"/>
                <w:highlight w:val="none"/>
              </w:rPr>
              <w:t>（2）兼容多种应用中间件，包括但不限于东方通、金蝶、</w:t>
            </w:r>
            <w:r>
              <w:rPr>
                <w:rFonts w:hint="eastAsia"/>
                <w:color w:val="auto"/>
                <w:highlight w:val="none"/>
                <w:lang w:val="en-US" w:eastAsia="zh-CN"/>
              </w:rPr>
              <w:t>宝</w:t>
            </w:r>
            <w:r>
              <w:rPr>
                <w:color w:val="auto"/>
                <w:highlight w:val="none"/>
              </w:rPr>
              <w:t>兰德、普元</w:t>
            </w:r>
            <w:r>
              <w:rPr>
                <w:rFonts w:hint="eastAsia"/>
                <w:color w:val="auto"/>
                <w:highlight w:val="none"/>
                <w:lang w:val="en-US" w:eastAsia="zh-CN"/>
              </w:rPr>
              <w:t>等</w:t>
            </w:r>
            <w:r>
              <w:rPr>
                <w:color w:val="auto"/>
                <w:highlight w:val="none"/>
              </w:rPr>
              <w:t>；</w:t>
            </w:r>
          </w:p>
          <w:p>
            <w:pPr>
              <w:topLinePunct w:val="0"/>
              <w:adjustRightInd/>
              <w:snapToGrid/>
              <w:spacing w:before="0" w:after="0" w:line="240" w:lineRule="auto"/>
              <w:ind w:left="0"/>
              <w:textAlignment w:val="center"/>
              <w:rPr>
                <w:rFonts w:hint="default"/>
                <w:color w:val="auto"/>
                <w:highlight w:val="none"/>
              </w:rPr>
            </w:pPr>
            <w:r>
              <w:rPr>
                <w:color w:val="auto"/>
                <w:highlight w:val="none"/>
              </w:rPr>
              <w:t>（3）支持传统的虚拟机环境部署，也支持通过容器或在裸金属环境下部署；</w:t>
            </w:r>
          </w:p>
          <w:p>
            <w:pPr>
              <w:topLinePunct w:val="0"/>
              <w:adjustRightInd/>
              <w:snapToGrid/>
              <w:spacing w:before="0" w:after="0" w:line="240" w:lineRule="auto"/>
              <w:ind w:left="0"/>
              <w:textAlignment w:val="center"/>
              <w:rPr>
                <w:rFonts w:hint="default"/>
                <w:color w:val="auto"/>
                <w:highlight w:val="none"/>
              </w:rPr>
            </w:pPr>
            <w:r>
              <w:rPr>
                <w:color w:val="auto"/>
                <w:highlight w:val="none"/>
              </w:rPr>
              <w:t>5、可靠性要求：具备高可靠性，支持完全备份、增量备份、差异备份、归档备份等功能；</w:t>
            </w:r>
          </w:p>
          <w:p>
            <w:pPr>
              <w:topLinePunct w:val="0"/>
              <w:adjustRightInd/>
              <w:snapToGrid/>
              <w:spacing w:before="0" w:after="0" w:line="240" w:lineRule="auto"/>
              <w:ind w:left="0"/>
              <w:textAlignment w:val="center"/>
              <w:rPr>
                <w:rFonts w:hint="default"/>
                <w:color w:val="auto"/>
                <w:highlight w:val="none"/>
              </w:rPr>
            </w:pPr>
            <w:r>
              <w:rPr>
                <w:color w:val="auto"/>
                <w:highlight w:val="none"/>
              </w:rPr>
              <w:t>（1）支持逻辑备份恢复，可对库、用户、模式、表、选定的数据行进行备份和恢复；</w:t>
            </w:r>
          </w:p>
          <w:p>
            <w:pPr>
              <w:topLinePunct w:val="0"/>
              <w:adjustRightInd/>
              <w:snapToGrid/>
              <w:spacing w:before="0" w:after="0" w:line="240" w:lineRule="auto"/>
              <w:ind w:left="0"/>
              <w:textAlignment w:val="center"/>
              <w:rPr>
                <w:rFonts w:hint="default"/>
                <w:color w:val="auto"/>
                <w:highlight w:val="none"/>
              </w:rPr>
            </w:pPr>
            <w:r>
              <w:rPr>
                <w:color w:val="auto"/>
                <w:highlight w:val="none"/>
              </w:rPr>
              <w:t>（2）支持物理备份和恢复，支持在线和离线备份，支持对库、表空间、表、归档等多种粒度的备份，支持基于备份集的方式进行备份，支持完全备份、增量备份的备份和还原，支持基于时间点的还原；</w:t>
            </w:r>
          </w:p>
          <w:p>
            <w:pPr>
              <w:topLinePunct w:val="0"/>
              <w:adjustRightInd/>
              <w:snapToGrid/>
              <w:spacing w:before="0" w:after="0" w:line="240" w:lineRule="auto"/>
              <w:ind w:left="0"/>
              <w:textAlignment w:val="center"/>
              <w:rPr>
                <w:rFonts w:hint="default"/>
                <w:color w:val="auto"/>
                <w:highlight w:val="none"/>
              </w:rPr>
            </w:pPr>
            <w:r>
              <w:rPr>
                <w:color w:val="auto"/>
                <w:highlight w:val="none"/>
              </w:rPr>
              <w:t>6、管理性要求：提供图形化、命令行、静默等三种方式进行产品安装以适应不同的使用环境，且不同的软硬件平台下保持相同的安装向导过程；</w:t>
            </w:r>
          </w:p>
          <w:p>
            <w:pPr>
              <w:topLinePunct w:val="0"/>
              <w:adjustRightInd/>
              <w:snapToGrid/>
              <w:spacing w:before="0" w:after="0" w:line="240" w:lineRule="auto"/>
              <w:ind w:left="0"/>
              <w:textAlignment w:val="center"/>
              <w:rPr>
                <w:rFonts w:hint="default"/>
                <w:color w:val="auto"/>
                <w:highlight w:val="none"/>
              </w:rPr>
            </w:pPr>
            <w:r>
              <w:rPr>
                <w:color w:val="auto"/>
                <w:highlight w:val="none"/>
              </w:rPr>
              <w:t>（1）提供多种功能的命令行工具和图形化工具，便于使用管理和自定义集成。需提供远程的SQL执行和管理的的命令行工具以及图形化的对象管理和SQL执行工具、性能监控工具。</w:t>
            </w:r>
          </w:p>
        </w:tc>
      </w:tr>
      <w:tr>
        <w:tblPrEx>
          <w:tblCellMar>
            <w:top w:w="0" w:type="dxa"/>
            <w:left w:w="0" w:type="dxa"/>
            <w:bottom w:w="0" w:type="dxa"/>
            <w:right w:w="0" w:type="dxa"/>
          </w:tblCellMar>
        </w:tblPrEx>
        <w:trPr>
          <w:trHeight w:val="580"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cs="宋体"/>
                <w:color w:val="auto"/>
                <w:highlight w:val="none"/>
              </w:rPr>
            </w:pPr>
            <w:r>
              <w:rPr>
                <w:rFonts w:ascii="宋体" w:hAnsi="宋体" w:cs="宋体"/>
                <w:color w:val="auto"/>
                <w:kern w:val="0"/>
                <w:highlight w:val="none"/>
              </w:rPr>
              <w:t>服务要求</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ascii="宋体" w:hAnsi="宋体" w:cs="宋体"/>
                <w:color w:val="auto"/>
                <w:highlight w:val="none"/>
              </w:rPr>
            </w:pPr>
            <w:r>
              <w:rPr>
                <w:rFonts w:ascii="宋体" w:hAnsi="宋体" w:cs="宋体"/>
                <w:color w:val="auto"/>
                <w:kern w:val="0"/>
                <w:highlight w:val="none"/>
              </w:rPr>
              <w:t>提供包括不限于该服务的安装介质、版本升级介质、软件安全风险补丁、产品文档、培训咨询、管理端巡检服务、管理端性能调优、重要活动和重大节假日管理端保障等保障服务。</w:t>
            </w:r>
          </w:p>
        </w:tc>
      </w:tr>
      <w:tr>
        <w:tblPrEx>
          <w:tblCellMar>
            <w:top w:w="0" w:type="dxa"/>
            <w:left w:w="0" w:type="dxa"/>
            <w:bottom w:w="0" w:type="dxa"/>
            <w:right w:w="0" w:type="dxa"/>
          </w:tblCellMar>
        </w:tblPrEx>
        <w:trPr>
          <w:trHeight w:val="290"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cs="宋体"/>
                <w:color w:val="auto"/>
                <w:kern w:val="0"/>
                <w:highlight w:val="none"/>
              </w:rPr>
            </w:pPr>
            <w:r>
              <w:rPr>
                <w:rFonts w:ascii="宋体" w:hAnsi="宋体" w:cs="宋体"/>
                <w:color w:val="auto"/>
                <w:kern w:val="0"/>
                <w:highlight w:val="none"/>
              </w:rPr>
              <w:t>验收考核要求</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ascii="宋体" w:hAnsi="宋体" w:cs="宋体"/>
                <w:color w:val="auto"/>
                <w:kern w:val="0"/>
                <w:highlight w:val="none"/>
              </w:rPr>
            </w:pPr>
            <w:r>
              <w:rPr>
                <w:rFonts w:ascii="宋体" w:hAnsi="宋体" w:cs="宋体"/>
                <w:color w:val="auto"/>
                <w:kern w:val="0"/>
                <w:highlight w:val="none"/>
              </w:rPr>
              <w:t>1、提供服务对应软件产品的使用详情，以及按套授权使用的依据。</w:t>
            </w:r>
          </w:p>
          <w:p>
            <w:pPr>
              <w:topLinePunct w:val="0"/>
              <w:adjustRightInd/>
              <w:snapToGrid/>
              <w:spacing w:before="0" w:after="0" w:line="240" w:lineRule="auto"/>
              <w:ind w:left="0"/>
              <w:textAlignment w:val="center"/>
              <w:rPr>
                <w:rFonts w:hint="default"/>
                <w:color w:val="auto"/>
                <w:highlight w:val="none"/>
              </w:rPr>
            </w:pPr>
            <w:r>
              <w:rPr>
                <w:rFonts w:ascii="宋体" w:hAnsi="宋体" w:cs="宋体"/>
                <w:color w:val="auto"/>
                <w:kern w:val="0"/>
                <w:highlight w:val="none"/>
              </w:rPr>
              <w:t>2、服务结算按照实际授权开通套数计算。</w:t>
            </w:r>
          </w:p>
        </w:tc>
      </w:tr>
    </w:tbl>
    <w:p>
      <w:pPr>
        <w:pStyle w:val="4"/>
        <w:numPr>
          <w:ilvl w:val="2"/>
          <w:numId w:val="5"/>
        </w:numPr>
        <w:spacing w:before="160" w:line="300" w:lineRule="exact"/>
        <w:ind w:left="420"/>
        <w:rPr>
          <w:rFonts w:ascii="宋体" w:hAnsi="宋体"/>
        </w:rPr>
      </w:pPr>
      <w:r>
        <w:rPr>
          <w:rFonts w:hint="eastAsia" w:ascii="宋体" w:hAnsi="宋体"/>
          <w:lang w:val="en-US" w:eastAsia="zh-CN"/>
        </w:rPr>
        <w:t>中间件服务</w:t>
      </w:r>
    </w:p>
    <w:tbl>
      <w:tblPr>
        <w:tblStyle w:val="11"/>
        <w:tblW w:w="8806" w:type="dxa"/>
        <w:tblInd w:w="0" w:type="dxa"/>
        <w:tblLayout w:type="fixed"/>
        <w:tblCellMar>
          <w:top w:w="0" w:type="dxa"/>
          <w:left w:w="0" w:type="dxa"/>
          <w:bottom w:w="0" w:type="dxa"/>
          <w:right w:w="0" w:type="dxa"/>
        </w:tblCellMar>
      </w:tblPr>
      <w:tblGrid>
        <w:gridCol w:w="1469"/>
        <w:gridCol w:w="7337"/>
      </w:tblGrid>
      <w:tr>
        <w:tblPrEx>
          <w:tblCellMar>
            <w:top w:w="0" w:type="dxa"/>
            <w:left w:w="0" w:type="dxa"/>
            <w:bottom w:w="0" w:type="dxa"/>
            <w:right w:w="0" w:type="dxa"/>
          </w:tblCellMar>
        </w:tblPrEx>
        <w:trPr>
          <w:trHeight w:val="413"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eastAsia="宋体" w:cs="宋体"/>
                <w:color w:val="auto"/>
                <w:highlight w:val="none"/>
              </w:rPr>
            </w:pPr>
            <w:r>
              <w:rPr>
                <w:rFonts w:ascii="宋体" w:hAnsi="宋体" w:eastAsia="宋体" w:cs="宋体"/>
                <w:color w:val="auto"/>
                <w:kern w:val="0"/>
                <w:highlight w:val="none"/>
              </w:rPr>
              <w:t>服务描述</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kern w:val="0"/>
                <w:highlight w:val="none"/>
              </w:rPr>
              <w:t>为应用系统提供应用中间件服务。</w:t>
            </w:r>
          </w:p>
        </w:tc>
      </w:tr>
      <w:tr>
        <w:tblPrEx>
          <w:tblCellMar>
            <w:top w:w="0" w:type="dxa"/>
            <w:left w:w="0" w:type="dxa"/>
            <w:bottom w:w="0" w:type="dxa"/>
            <w:right w:w="0" w:type="dxa"/>
          </w:tblCellMar>
        </w:tblPrEx>
        <w:trPr>
          <w:trHeight w:val="290"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eastAsia="宋体" w:cs="宋体"/>
                <w:color w:val="auto"/>
                <w:highlight w:val="none"/>
              </w:rPr>
            </w:pPr>
            <w:r>
              <w:rPr>
                <w:rFonts w:ascii="宋体" w:hAnsi="宋体" w:eastAsia="宋体" w:cs="宋体"/>
                <w:color w:val="auto"/>
                <w:kern w:val="0"/>
                <w:highlight w:val="none"/>
              </w:rPr>
              <w:t>部署模式</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提供单机及集群部署能力，支持一键部署、嵌入式部署、目录级部署、热部署等多种部署方式；</w:t>
            </w:r>
          </w:p>
        </w:tc>
      </w:tr>
      <w:tr>
        <w:tblPrEx>
          <w:tblCellMar>
            <w:top w:w="0" w:type="dxa"/>
            <w:left w:w="0" w:type="dxa"/>
            <w:bottom w:w="0" w:type="dxa"/>
            <w:right w:w="0" w:type="dxa"/>
          </w:tblCellMar>
        </w:tblPrEx>
        <w:trPr>
          <w:trHeight w:val="870"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eastAsia="宋体" w:cs="宋体"/>
                <w:color w:val="auto"/>
                <w:highlight w:val="none"/>
              </w:rPr>
            </w:pPr>
            <w:r>
              <w:rPr>
                <w:rFonts w:ascii="宋体" w:hAnsi="宋体" w:eastAsia="宋体" w:cs="宋体"/>
                <w:color w:val="auto"/>
                <w:kern w:val="0"/>
                <w:highlight w:val="none"/>
              </w:rPr>
              <w:t>能力要求</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1、整体要求：Java EE应用服务器软件具有国内自主知识产权，提供著作权复印件证明；</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2、功能要求：为响应国家IPv6战略规划要求，必须支持IPv6；</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（1）应用服务器软件异常退出时，支持自动重启，以提供自恢复能力；</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（2）关键部件达到安全可靠测评等级1级及以上；</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3、集群功能要求：支持集群部署，实现负载均衡；</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（1）提供集群管理工具，可对集群节点、集群应用等统一管理配置；</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4、管理性要求：具备标准的B/S模式管理控制台，可远程对应用服务器环境进行应用部署、管理维护和监控；</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（1）支持服务器节点域管理功能；</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（2）提供中间件的服务化发放能力，支持在云平台运营面根据用户指定参数进行中间件实例化发放、升级、销毁的全生命周期管理；</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（3）内置快照功能，能够对服务器及应用程序的运行时信息进行捕获；</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（4）支持监控操作系统、Heap内存、CPU的使用率，配置资源监控阈值告警；</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（5）支持通过管理控制台进行不同节点实例，集群的日志收集、下载、查看，支持日志滚动。</w:t>
            </w:r>
          </w:p>
        </w:tc>
      </w:tr>
      <w:tr>
        <w:tblPrEx>
          <w:tblCellMar>
            <w:top w:w="0" w:type="dxa"/>
            <w:left w:w="0" w:type="dxa"/>
            <w:bottom w:w="0" w:type="dxa"/>
            <w:right w:w="0" w:type="dxa"/>
          </w:tblCellMar>
        </w:tblPrEx>
        <w:trPr>
          <w:trHeight w:val="870"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eastAsia="宋体" w:cs="宋体"/>
                <w:color w:val="auto"/>
                <w:highlight w:val="none"/>
              </w:rPr>
            </w:pPr>
            <w:r>
              <w:rPr>
                <w:rFonts w:ascii="宋体" w:hAnsi="宋体" w:eastAsia="宋体" w:cs="宋体"/>
                <w:color w:val="auto"/>
                <w:kern w:val="0"/>
                <w:highlight w:val="none"/>
              </w:rPr>
              <w:t>兼容性要求</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eastAsia" w:ascii="宋体" w:hAnsi="宋体" w:eastAsia="宋体" w:cs="宋体"/>
                <w:color w:val="auto"/>
                <w:highlight w:val="none"/>
                <w:lang w:eastAsia="zh-CN"/>
              </w:rPr>
            </w:pPr>
            <w:r>
              <w:rPr>
                <w:rFonts w:ascii="宋体" w:hAnsi="宋体" w:eastAsia="宋体" w:cs="宋体"/>
                <w:color w:val="auto"/>
                <w:highlight w:val="none"/>
              </w:rPr>
              <w:t>1、支持多种主流国产操作系统，如中标麒麟、银河麒麟、统信UOS、深度等</w:t>
            </w:r>
            <w:r>
              <w:rPr>
                <w:rFonts w:hint="eastAsia" w:ascii="宋体" w:hAnsi="宋体" w:eastAsia="宋体" w:cs="宋体"/>
                <w:color w:val="auto"/>
                <w:highlight w:val="none"/>
                <w:lang w:eastAsia="zh-CN"/>
              </w:rPr>
              <w:t>。</w:t>
            </w:r>
          </w:p>
          <w:p>
            <w:pPr>
              <w:topLinePunct w:val="0"/>
              <w:adjustRightInd/>
              <w:snapToGrid/>
              <w:spacing w:before="0" w:after="0" w:line="240" w:lineRule="auto"/>
              <w:ind w:left="0"/>
              <w:textAlignment w:val="center"/>
              <w:rPr>
                <w:rFonts w:hint="eastAsia" w:ascii="宋体" w:hAnsi="宋体" w:eastAsia="宋体" w:cs="宋体"/>
                <w:color w:val="auto"/>
                <w:highlight w:val="none"/>
                <w:lang w:eastAsia="zh-CN"/>
              </w:rPr>
            </w:pPr>
            <w:r>
              <w:rPr>
                <w:rFonts w:ascii="宋体" w:hAnsi="宋体" w:eastAsia="宋体" w:cs="宋体"/>
                <w:color w:val="auto"/>
                <w:highlight w:val="none"/>
              </w:rPr>
              <w:t>2、支持多种主流国产数据库系统，如达梦、金仓、神通、南大通用等</w:t>
            </w:r>
            <w:r>
              <w:rPr>
                <w:rFonts w:hint="eastAsia" w:ascii="宋体" w:hAnsi="宋体" w:eastAsia="宋体" w:cs="宋体"/>
                <w:color w:val="auto"/>
                <w:highlight w:val="none"/>
                <w:lang w:eastAsia="zh-CN"/>
              </w:rPr>
              <w:t>。</w:t>
            </w:r>
          </w:p>
        </w:tc>
      </w:tr>
      <w:tr>
        <w:tblPrEx>
          <w:tblCellMar>
            <w:top w:w="0" w:type="dxa"/>
            <w:left w:w="0" w:type="dxa"/>
            <w:bottom w:w="0" w:type="dxa"/>
            <w:right w:w="0" w:type="dxa"/>
          </w:tblCellMar>
        </w:tblPrEx>
        <w:trPr>
          <w:trHeight w:val="580"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eastAsia="宋体" w:cs="宋体"/>
                <w:color w:val="auto"/>
                <w:highlight w:val="none"/>
              </w:rPr>
            </w:pPr>
            <w:r>
              <w:rPr>
                <w:rFonts w:ascii="宋体" w:hAnsi="宋体" w:eastAsia="宋体" w:cs="宋体"/>
                <w:color w:val="auto"/>
                <w:kern w:val="0"/>
                <w:highlight w:val="none"/>
              </w:rPr>
              <w:t>服务要求</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提供包括不限于该服务的安装介质、版本升级介质、软件安全风险补丁、产品文档、培训咨询、管理端巡检服务、管理端性能调优、重要活动和重大节假日管理端保障等保障服务。</w:t>
            </w:r>
          </w:p>
        </w:tc>
      </w:tr>
      <w:tr>
        <w:tblPrEx>
          <w:tblCellMar>
            <w:top w:w="0" w:type="dxa"/>
            <w:left w:w="0" w:type="dxa"/>
            <w:bottom w:w="0" w:type="dxa"/>
            <w:right w:w="0" w:type="dxa"/>
          </w:tblCellMar>
        </w:tblPrEx>
        <w:trPr>
          <w:trHeight w:val="290" w:hRule="atLeast"/>
        </w:trPr>
        <w:tc>
          <w:tcPr>
            <w:tcW w:w="14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pPr>
              <w:topLinePunct w:val="0"/>
              <w:adjustRightInd/>
              <w:snapToGrid/>
              <w:spacing w:before="0" w:after="0" w:line="240" w:lineRule="auto"/>
              <w:ind w:left="0"/>
              <w:jc w:val="center"/>
              <w:textAlignment w:val="center"/>
              <w:rPr>
                <w:rFonts w:hint="default" w:ascii="宋体" w:hAnsi="宋体" w:eastAsia="宋体" w:cs="宋体"/>
                <w:color w:val="auto"/>
                <w:kern w:val="0"/>
                <w:highlight w:val="none"/>
              </w:rPr>
            </w:pPr>
            <w:r>
              <w:rPr>
                <w:rFonts w:ascii="宋体" w:hAnsi="宋体" w:eastAsia="宋体" w:cs="宋体"/>
                <w:color w:val="auto"/>
                <w:kern w:val="0"/>
                <w:highlight w:val="none"/>
              </w:rPr>
              <w:t>验收考核要求</w:t>
            </w:r>
          </w:p>
        </w:tc>
        <w:tc>
          <w:tcPr>
            <w:tcW w:w="733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1、提供服务对应软件产品的使用详情，以及按套授权使用的依据。</w:t>
            </w:r>
          </w:p>
          <w:p>
            <w:pPr>
              <w:topLinePunct w:val="0"/>
              <w:adjustRightInd/>
              <w:snapToGrid/>
              <w:spacing w:before="0" w:after="0" w:line="240" w:lineRule="auto"/>
              <w:ind w:left="0"/>
              <w:textAlignment w:val="center"/>
              <w:rPr>
                <w:rFonts w:hint="default" w:ascii="宋体" w:hAnsi="宋体" w:eastAsia="宋体" w:cs="宋体"/>
                <w:color w:val="auto"/>
                <w:highlight w:val="none"/>
              </w:rPr>
            </w:pPr>
            <w:r>
              <w:rPr>
                <w:rFonts w:ascii="宋体" w:hAnsi="宋体" w:eastAsia="宋体" w:cs="宋体"/>
                <w:color w:val="auto"/>
                <w:highlight w:val="none"/>
              </w:rPr>
              <w:t>2、服务结算按照实际授权开通套数计算。</w:t>
            </w:r>
          </w:p>
        </w:tc>
      </w:tr>
    </w:tbl>
    <w:p>
      <w:pPr>
        <w:pStyle w:val="4"/>
        <w:numPr>
          <w:ilvl w:val="2"/>
          <w:numId w:val="5"/>
        </w:numPr>
        <w:spacing w:before="160" w:line="300" w:lineRule="exact"/>
        <w:ind w:left="420"/>
        <w:rPr>
          <w:rFonts w:ascii="宋体" w:hAnsi="宋体"/>
        </w:rPr>
      </w:pPr>
      <w:r>
        <w:rPr>
          <w:rFonts w:hint="eastAsia" w:ascii="宋体" w:hAnsi="宋体"/>
        </w:rPr>
        <w:t>身份认证服务</w:t>
      </w:r>
    </w:p>
    <w:tbl>
      <w:tblPr>
        <w:tblStyle w:val="11"/>
        <w:tblW w:w="8442" w:type="dxa"/>
        <w:tblInd w:w="0" w:type="dxa"/>
        <w:tblLayout w:type="fixed"/>
        <w:tblCellMar>
          <w:top w:w="0" w:type="dxa"/>
          <w:left w:w="0" w:type="dxa"/>
          <w:bottom w:w="0" w:type="dxa"/>
          <w:right w:w="0" w:type="dxa"/>
        </w:tblCellMar>
      </w:tblPr>
      <w:tblGrid>
        <w:gridCol w:w="1405"/>
        <w:gridCol w:w="7037"/>
      </w:tblGrid>
      <w:tr>
        <w:tblPrEx>
          <w:tblCellMar>
            <w:top w:w="0" w:type="dxa"/>
            <w:left w:w="0" w:type="dxa"/>
            <w:bottom w:w="0" w:type="dxa"/>
            <w:right w:w="0" w:type="dxa"/>
          </w:tblCellMar>
        </w:tblPrEx>
        <w:trPr>
          <w:trHeight w:val="9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规格</w:t>
            </w:r>
          </w:p>
        </w:tc>
        <w:tc>
          <w:tcPr>
            <w:tcW w:w="7037"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52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服务描述</w:t>
            </w:r>
          </w:p>
        </w:tc>
        <w:tc>
          <w:tcPr>
            <w:tcW w:w="7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1、基于权威认证源，提供安全、可靠、灵活的自然人身份真实性核验服务，支持多源身份认证和多端身份认证；</w:t>
            </w:r>
            <w:r>
              <w:rPr>
                <w:rFonts w:ascii="宋体" w:hAnsi="宋体" w:cs="宋体"/>
                <w:color w:val="000000"/>
                <w:kern w:val="0"/>
              </w:rPr>
              <w:br w:type="textWrapping"/>
            </w:r>
            <w:r>
              <w:rPr>
                <w:rFonts w:ascii="宋体" w:hAnsi="宋体" w:cs="宋体"/>
                <w:color w:val="000000"/>
                <w:kern w:val="0"/>
              </w:rPr>
              <w:t>2、基于权威组织数据，提供公务人员的统一身份管理服务、统一身份认证服务、统一用户登录服务、跨域单点登录服务和政务微信统一登录服务。</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部署模式</w:t>
            </w:r>
          </w:p>
        </w:tc>
        <w:tc>
          <w:tcPr>
            <w:tcW w:w="7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支持单机和集群部署模式</w:t>
            </w:r>
          </w:p>
        </w:tc>
      </w:tr>
      <w:tr>
        <w:tblPrEx>
          <w:tblCellMar>
            <w:top w:w="0" w:type="dxa"/>
            <w:left w:w="0" w:type="dxa"/>
            <w:bottom w:w="0" w:type="dxa"/>
            <w:right w:w="0" w:type="dxa"/>
          </w:tblCellMar>
        </w:tblPrEx>
        <w:trPr>
          <w:trHeight w:val="128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功能要求</w:t>
            </w:r>
          </w:p>
        </w:tc>
        <w:tc>
          <w:tcPr>
            <w:tcW w:w="7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color w:val="000000"/>
                <w:kern w:val="0"/>
              </w:rPr>
              <w:t>1、提供自然人的身份真实性核验能力。</w:t>
            </w:r>
            <w:r>
              <w:rPr>
                <w:rFonts w:ascii="宋体" w:hAnsi="宋体" w:cs="宋体"/>
                <w:color w:val="000000"/>
                <w:kern w:val="0"/>
              </w:rPr>
              <w:br w:type="textWrapping"/>
            </w:r>
            <w:r>
              <w:rPr>
                <w:rFonts w:ascii="宋体" w:hAnsi="宋体" w:cs="宋体"/>
                <w:color w:val="000000"/>
                <w:kern w:val="0"/>
              </w:rPr>
              <w:t xml:space="preserve">  1）认证方式包括不限于：自然人身份认证支持手机号实名、身份二要素、身份证四要素、银行卡实名、声纹、支付宝账户、UKey数字证书、移动证书、线下窗口等；</w:t>
            </w:r>
            <w:r>
              <w:rPr>
                <w:rFonts w:ascii="宋体" w:hAnsi="宋体" w:cs="宋体"/>
                <w:color w:val="000000"/>
                <w:kern w:val="0"/>
              </w:rPr>
              <w:br w:type="textWrapping"/>
            </w:r>
            <w:r>
              <w:rPr>
                <w:rFonts w:ascii="宋体" w:hAnsi="宋体" w:cs="宋体"/>
                <w:color w:val="000000"/>
                <w:kern w:val="0"/>
              </w:rPr>
              <w:t xml:space="preserve">  2）支持多因素认证方式；</w:t>
            </w:r>
            <w:r>
              <w:rPr>
                <w:rFonts w:ascii="宋体" w:hAnsi="宋体" w:cs="宋体"/>
                <w:color w:val="000000"/>
                <w:kern w:val="0"/>
              </w:rPr>
              <w:br w:type="textWrapping"/>
            </w:r>
            <w:r>
              <w:rPr>
                <w:rFonts w:ascii="宋体" w:hAnsi="宋体" w:cs="宋体"/>
                <w:color w:val="000000"/>
                <w:kern w:val="0"/>
              </w:rPr>
              <w:t xml:space="preserve">  3）支持客户端认证需要。</w:t>
            </w:r>
            <w:r>
              <w:rPr>
                <w:rFonts w:ascii="宋体" w:hAnsi="宋体" w:cs="宋体"/>
                <w:color w:val="000000"/>
                <w:kern w:val="0"/>
              </w:rPr>
              <w:br w:type="textWrapping"/>
            </w:r>
            <w:r>
              <w:rPr>
                <w:rFonts w:ascii="宋体" w:hAnsi="宋体" w:cs="宋体"/>
                <w:color w:val="000000"/>
                <w:kern w:val="0"/>
              </w:rPr>
              <w:t>2、提供公务人员统一身份认证能力，包括不限于：统一组织架构管理、统一用户管理、统一身份认证、统一用户注册、统一用户登录、跨域单点登录、数字证书登录认证、政务微信统一登录、统一应用管理、统一安全审计等服务能力。</w:t>
            </w:r>
            <w:r>
              <w:rPr>
                <w:rFonts w:ascii="宋体" w:hAnsi="宋体" w:cs="宋体"/>
                <w:color w:val="000000"/>
                <w:kern w:val="0"/>
              </w:rPr>
              <w:br w:type="textWrapping"/>
            </w:r>
            <w:r>
              <w:rPr>
                <w:rFonts w:ascii="宋体" w:hAnsi="宋体" w:cs="宋体"/>
                <w:color w:val="000000"/>
                <w:kern w:val="0"/>
              </w:rPr>
              <w:t>3、支持RSA和SM2两种算法，并且支持的RSA密钥长度是2048位和4096位，SM2密钥长度是256位。</w:t>
            </w:r>
          </w:p>
          <w:p>
            <w:pPr>
              <w:textAlignment w:val="center"/>
              <w:rPr>
                <w:rFonts w:hint="default" w:ascii="宋体" w:hAnsi="宋体" w:cs="宋体"/>
                <w:color w:val="000000"/>
                <w:kern w:val="0"/>
                <w:lang w:val="en-US" w:eastAsia="zh-CN"/>
              </w:rPr>
            </w:pPr>
            <w:r>
              <w:rPr>
                <w:rFonts w:hint="eastAsia" w:ascii="宋体" w:hAnsi="宋体" w:cs="宋体"/>
                <w:color w:val="000000"/>
                <w:kern w:val="0"/>
                <w:lang w:val="en-US" w:eastAsia="zh-CN"/>
              </w:rPr>
              <w:t>4、支持对于核验情况脱敏留存，支持按照自然人实体的限流能力。</w:t>
            </w:r>
          </w:p>
        </w:tc>
      </w:tr>
      <w:tr>
        <w:tblPrEx>
          <w:tblCellMar>
            <w:top w:w="0" w:type="dxa"/>
            <w:left w:w="0" w:type="dxa"/>
            <w:bottom w:w="0" w:type="dxa"/>
            <w:right w:w="0" w:type="dxa"/>
          </w:tblCellMar>
        </w:tblPrEx>
        <w:trPr>
          <w:trHeight w:val="78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性能要求</w:t>
            </w:r>
          </w:p>
        </w:tc>
        <w:tc>
          <w:tcPr>
            <w:tcW w:w="7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1、公务人员身份认证支持1000个以上，3000个以下政务应用的接入能力，覆盖公务人员总数10万以上，30万以下。</w:t>
            </w:r>
            <w:r>
              <w:rPr>
                <w:rFonts w:ascii="宋体" w:hAnsi="宋体" w:cs="宋体"/>
                <w:color w:val="000000"/>
                <w:kern w:val="0"/>
              </w:rPr>
              <w:br w:type="textWrapping"/>
            </w:r>
            <w:r>
              <w:rPr>
                <w:rFonts w:ascii="宋体" w:hAnsi="宋体" w:cs="宋体"/>
                <w:color w:val="000000"/>
                <w:kern w:val="0"/>
              </w:rPr>
              <w:t>2、在32核CPU，64G内存*15台云主机环境下，实名身份认证业务的处理速度不小于300次/秒，响应时间小于2秒；人脸识别认证业务处理速度不小于50次/秒，响应时间小于5秒。</w:t>
            </w:r>
          </w:p>
        </w:tc>
      </w:tr>
      <w:tr>
        <w:tblPrEx>
          <w:tblCellMar>
            <w:top w:w="0" w:type="dxa"/>
            <w:left w:w="0" w:type="dxa"/>
            <w:bottom w:w="0" w:type="dxa"/>
            <w:right w:w="0" w:type="dxa"/>
          </w:tblCellMar>
        </w:tblPrEx>
        <w:trPr>
          <w:trHeight w:val="78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兼容性要求</w:t>
            </w:r>
          </w:p>
        </w:tc>
        <w:tc>
          <w:tcPr>
            <w:tcW w:w="7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1、支持中标麒麟、银河麒麟、鲲鹏ARM等多种主流国产操作系统，同时支持Linux国外主流操作系统。</w:t>
            </w:r>
            <w:r>
              <w:rPr>
                <w:rFonts w:ascii="宋体" w:hAnsi="宋体" w:cs="宋体"/>
                <w:color w:val="000000"/>
                <w:kern w:val="0"/>
              </w:rPr>
              <w:br w:type="textWrapping"/>
            </w:r>
            <w:r>
              <w:rPr>
                <w:rFonts w:ascii="宋体" w:hAnsi="宋体" w:cs="宋体"/>
                <w:color w:val="000000"/>
                <w:kern w:val="0"/>
              </w:rPr>
              <w:t>2、支持达梦国产数据库，同时支持MySql国外主流数据库。</w:t>
            </w:r>
            <w:r>
              <w:rPr>
                <w:rFonts w:ascii="宋体" w:hAnsi="宋体" w:cs="宋体"/>
                <w:color w:val="000000"/>
                <w:kern w:val="0"/>
              </w:rPr>
              <w:br w:type="textWrapping"/>
            </w:r>
            <w:r>
              <w:rPr>
                <w:rFonts w:ascii="宋体" w:hAnsi="宋体" w:cs="宋体"/>
                <w:color w:val="000000"/>
                <w:kern w:val="0"/>
              </w:rPr>
              <w:t>3、支持360等多种国产浏览器，同时支持Chrome、Edge、Firefox等多种国外主流浏览器。</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安全性要求</w:t>
            </w:r>
          </w:p>
        </w:tc>
        <w:tc>
          <w:tcPr>
            <w:tcW w:w="7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软件产品需取得网络安全等级保护三级资质</w:t>
            </w:r>
          </w:p>
        </w:tc>
      </w:tr>
      <w:tr>
        <w:tblPrEx>
          <w:tblCellMar>
            <w:top w:w="0" w:type="dxa"/>
            <w:left w:w="0" w:type="dxa"/>
            <w:bottom w:w="0" w:type="dxa"/>
            <w:right w:w="0" w:type="dxa"/>
          </w:tblCellMar>
        </w:tblPrEx>
        <w:trPr>
          <w:trHeight w:val="9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服务要求</w:t>
            </w:r>
          </w:p>
        </w:tc>
        <w:tc>
          <w:tcPr>
            <w:tcW w:w="7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szCs w:val="21"/>
              </w:rPr>
              <w:t>提供包括不限于该服务的安装使用材料、产品使用介质、版本升级介质、产品API、适配改造、</w:t>
            </w:r>
            <w:r>
              <w:rPr>
                <w:rFonts w:hint="eastAsia" w:ascii="宋体" w:hAnsi="宋体" w:cs="宋体"/>
                <w:color w:val="000000"/>
                <w:kern w:val="0"/>
                <w:szCs w:val="21"/>
              </w:rPr>
              <w:t>管理端</w:t>
            </w:r>
            <w:r>
              <w:rPr>
                <w:rFonts w:ascii="宋体" w:hAnsi="宋体" w:cs="宋体"/>
                <w:color w:val="000000"/>
                <w:kern w:val="0"/>
                <w:szCs w:val="21"/>
              </w:rPr>
              <w:t>安全问题修复、</w:t>
            </w:r>
            <w:r>
              <w:rPr>
                <w:rFonts w:hint="eastAsia" w:ascii="宋体" w:hAnsi="宋体" w:cs="宋体"/>
                <w:color w:val="000000"/>
                <w:kern w:val="0"/>
                <w:szCs w:val="21"/>
              </w:rPr>
              <w:t>管理端</w:t>
            </w:r>
            <w:r>
              <w:rPr>
                <w:rFonts w:ascii="宋体" w:hAnsi="宋体" w:cs="宋体"/>
                <w:color w:val="000000"/>
                <w:kern w:val="0"/>
                <w:szCs w:val="21"/>
              </w:rPr>
              <w:t>应急保障、产品文档、培训咨询、巡检服务、</w:t>
            </w:r>
            <w:r>
              <w:rPr>
                <w:rFonts w:hint="eastAsia" w:ascii="宋体" w:hAnsi="宋体" w:cs="宋体"/>
                <w:color w:val="000000"/>
                <w:kern w:val="0"/>
                <w:szCs w:val="21"/>
              </w:rPr>
              <w:t>管理端</w:t>
            </w:r>
            <w:r>
              <w:rPr>
                <w:rFonts w:ascii="宋体" w:hAnsi="宋体" w:cs="宋体"/>
                <w:color w:val="000000"/>
                <w:kern w:val="0"/>
                <w:szCs w:val="21"/>
              </w:rPr>
              <w:t>性能调优、重要活动和重大节假日</w:t>
            </w:r>
            <w:r>
              <w:rPr>
                <w:rFonts w:hint="eastAsia" w:ascii="宋体" w:hAnsi="宋体" w:cs="宋体"/>
                <w:color w:val="000000"/>
                <w:kern w:val="0"/>
                <w:szCs w:val="21"/>
              </w:rPr>
              <w:t>管理端</w:t>
            </w:r>
            <w:r>
              <w:rPr>
                <w:rFonts w:ascii="宋体" w:hAnsi="宋体" w:cs="宋体"/>
                <w:color w:val="000000"/>
                <w:kern w:val="0"/>
                <w:szCs w:val="21"/>
              </w:rPr>
              <w:t>保障等保障服务。</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rPr>
            </w:pPr>
            <w:r>
              <w:rPr>
                <w:rFonts w:ascii="宋体" w:hAnsi="宋体" w:cs="宋体"/>
                <w:color w:val="000000"/>
                <w:kern w:val="0"/>
              </w:rPr>
              <w:t>验收考核要求</w:t>
            </w:r>
          </w:p>
        </w:tc>
        <w:tc>
          <w:tcPr>
            <w:tcW w:w="7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szCs w:val="21"/>
              </w:rPr>
            </w:pPr>
            <w:r>
              <w:rPr>
                <w:rFonts w:ascii="宋体" w:hAnsi="宋体" w:cs="宋体"/>
              </w:rPr>
              <w:t>1、</w:t>
            </w:r>
            <w:r>
              <w:rPr>
                <w:rFonts w:ascii="宋体" w:hAnsi="宋体" w:cs="宋体"/>
                <w:color w:val="000000"/>
                <w:kern w:val="0"/>
                <w:szCs w:val="21"/>
              </w:rPr>
              <w:t>提供PaaS服务对应软件产品的使用详情，其中，个人多源认证提供服务使用次数详情；公务人员统一身份认证提供应用系统接入详情。</w:t>
            </w:r>
          </w:p>
          <w:p>
            <w:pPr>
              <w:textAlignment w:val="center"/>
              <w:rPr>
                <w:rFonts w:ascii="宋体" w:hAnsi="宋体" w:cs="宋体"/>
                <w:color w:val="000000"/>
                <w:kern w:val="0"/>
              </w:rPr>
            </w:pPr>
            <w:r>
              <w:rPr>
                <w:rFonts w:ascii="宋体" w:hAnsi="宋体" w:cs="宋体"/>
                <w:color w:val="000000"/>
                <w:kern w:val="0"/>
                <w:szCs w:val="21"/>
              </w:rPr>
              <w:t>2、服务结算，个人多源认证按照使用单位实际使用次数结算；公务人员统一身份认证</w:t>
            </w:r>
            <w:r>
              <w:rPr>
                <w:rFonts w:ascii="宋体" w:hAnsi="宋体" w:cs="宋体"/>
              </w:rPr>
              <w:t>按照业务系统接入个数且接入后实际使用的个数进行结算。</w:t>
            </w:r>
          </w:p>
        </w:tc>
      </w:tr>
    </w:tbl>
    <w:p/>
    <w:p>
      <w:pPr>
        <w:pStyle w:val="4"/>
        <w:numPr>
          <w:ilvl w:val="2"/>
          <w:numId w:val="5"/>
        </w:numPr>
        <w:spacing w:before="160" w:line="300" w:lineRule="exact"/>
        <w:ind w:left="420"/>
        <w:rPr>
          <w:rFonts w:ascii="宋体" w:hAnsi="宋体"/>
        </w:rPr>
      </w:pPr>
      <w:bookmarkStart w:id="8" w:name="_Toc22473"/>
      <w:bookmarkStart w:id="9" w:name="_Toc10979"/>
      <w:r>
        <w:rPr>
          <w:rFonts w:hint="eastAsia" w:ascii="宋体" w:hAnsi="宋体"/>
        </w:rPr>
        <w:t>数字证书服务</w:t>
      </w:r>
      <w:bookmarkEnd w:id="8"/>
      <w:bookmarkEnd w:id="9"/>
    </w:p>
    <w:tbl>
      <w:tblPr>
        <w:tblStyle w:val="11"/>
        <w:tblW w:w="8560" w:type="dxa"/>
        <w:tblInd w:w="0" w:type="dxa"/>
        <w:tblLayout w:type="fixed"/>
        <w:tblCellMar>
          <w:top w:w="0" w:type="dxa"/>
          <w:left w:w="0" w:type="dxa"/>
          <w:bottom w:w="0" w:type="dxa"/>
          <w:right w:w="0" w:type="dxa"/>
        </w:tblCellMar>
      </w:tblPr>
      <w:tblGrid>
        <w:gridCol w:w="1267"/>
        <w:gridCol w:w="7293"/>
      </w:tblGrid>
      <w:tr>
        <w:tblPrEx>
          <w:tblCellMar>
            <w:top w:w="0" w:type="dxa"/>
            <w:left w:w="0" w:type="dxa"/>
            <w:bottom w:w="0" w:type="dxa"/>
            <w:right w:w="0" w:type="dxa"/>
          </w:tblCellMar>
        </w:tblPrEx>
        <w:trPr>
          <w:trHeight w:val="260" w:hRule="atLeast"/>
        </w:trPr>
        <w:tc>
          <w:tcPr>
            <w:tcW w:w="1267"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规格</w:t>
            </w:r>
          </w:p>
        </w:tc>
        <w:tc>
          <w:tcPr>
            <w:tcW w:w="7293"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260" w:hRule="atLeast"/>
        </w:trPr>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服务描述</w:t>
            </w:r>
          </w:p>
        </w:tc>
        <w:tc>
          <w:tcPr>
            <w:tcW w:w="72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提供公务人员证书、SSL证书、时间戳、设备身份、代码签名证书签发能力等服务。</w:t>
            </w:r>
          </w:p>
        </w:tc>
      </w:tr>
      <w:tr>
        <w:tblPrEx>
          <w:tblCellMar>
            <w:top w:w="0" w:type="dxa"/>
            <w:left w:w="0" w:type="dxa"/>
            <w:bottom w:w="0" w:type="dxa"/>
            <w:right w:w="0" w:type="dxa"/>
          </w:tblCellMar>
        </w:tblPrEx>
        <w:trPr>
          <w:trHeight w:val="913" w:hRule="atLeast"/>
        </w:trPr>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功能要求</w:t>
            </w:r>
          </w:p>
        </w:tc>
        <w:tc>
          <w:tcPr>
            <w:tcW w:w="72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公务人员专用证书：公务人员专用证书由合法CA机构在遵循国际国内相关标准规范的基础上颁发，用来证明公务人员在互联网上的数字身份。证书中包含机构信息和密钥信息。公务员数字证书的应用是电子政务电子认证体系建设的基本环节, 是保障信息安全的重要支撑，是促进社会公共服务和社会领域的证书应用的重要推动力。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SSL证书（单域名）:由受信任的数字证书颁发机构在验证服务器身份后颁发。用于标识网站真实身份，能有效防范假冒网站和钓鱼网站，同时也是对信息的传输通道进行加密，确保数据加密传输和数据完整。单域名SSL证书为可保护单个域名的SSL证书。</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SSL证书（通配符）：由受信任的数字证书颁发机构在验证服务器身份后颁发。用于标识网站真实身份，能有效防范假冒网站和钓鱼网站，同时也是对信息的传输通道进行加密，确保数据加密传输和数据完整。通配符SSL证书为可保护一个域名以及该域名所有的二级,不限制子域名数量的SSL证书。</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4、设备身份证书:签发给Web站点或其他需要安全鉴别的服务器或客户端。设备证书包含持有证书的服务器或客户端的基本信息和密钥信息，用来证明服务器或客户端的身份信息。</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代码签名证书:代码签名证书针对程序代码和内容建立了一种数字化的验证及保护，用于识别和验证发行者的身份及其代码，并保证代码自添加签名后未被篡改。可在发行者的代码被用户下载、安装或运行时，通过系统显示发行者的身份信息，大幅提高代码的安全性和可信性。</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6、以上种类数字证书服务，应当提供证书认证审核、证书有效期内无限次重签发；证书后台支撑管理系统等能力。</w:t>
            </w:r>
          </w:p>
        </w:tc>
      </w:tr>
      <w:tr>
        <w:tblPrEx>
          <w:tblCellMar>
            <w:top w:w="0" w:type="dxa"/>
            <w:left w:w="0" w:type="dxa"/>
            <w:bottom w:w="0" w:type="dxa"/>
            <w:right w:w="0" w:type="dxa"/>
          </w:tblCellMar>
        </w:tblPrEx>
        <w:trPr>
          <w:trHeight w:val="90" w:hRule="atLeast"/>
        </w:trPr>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性能要求</w:t>
            </w:r>
          </w:p>
        </w:tc>
        <w:tc>
          <w:tcPr>
            <w:tcW w:w="72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textAlignment w:val="bottom"/>
              <w:rPr>
                <w:rFonts w:ascii="宋体" w:hAnsi="宋体" w:eastAsia="宋体" w:cs="宋体"/>
                <w:sz w:val="20"/>
                <w:szCs w:val="20"/>
              </w:rPr>
            </w:pPr>
            <w:r>
              <w:rPr>
                <w:rFonts w:hint="eastAsia" w:ascii="宋体" w:hAnsi="宋体" w:eastAsia="宋体" w:cs="宋体"/>
                <w:sz w:val="20"/>
                <w:szCs w:val="20"/>
              </w:rPr>
              <w:t>在（3台主机，每台CPU：32核，内存：16GB 磁盘容量：100G）的资源配置情况下，公务人员证书不少于1000个/秒、时间戳不少于1000个/秒、设备证书不少于1000个/秒、代码签名证书不少于1000个/秒、SSL证书0.2个/秒。</w:t>
            </w:r>
          </w:p>
          <w:p>
            <w:pPr>
              <w:pStyle w:val="7"/>
              <w:rPr>
                <w:rFonts w:ascii="宋体" w:hAnsi="宋体" w:eastAsia="宋体" w:cs="宋体"/>
                <w:sz w:val="20"/>
                <w:szCs w:val="20"/>
              </w:rPr>
            </w:pPr>
            <w:r>
              <w:rPr>
                <w:rFonts w:hint="eastAsia" w:ascii="宋体" w:hAnsi="宋体" w:eastAsia="宋体" w:cs="宋体"/>
                <w:color w:val="000000"/>
                <w:kern w:val="0"/>
                <w:sz w:val="20"/>
                <w:szCs w:val="20"/>
              </w:rPr>
              <w:t>在该资源配置情况下，黑名单CRL查询性能不少于10000次/秒、OCSP查询性能不少于3000次/秒。</w:t>
            </w:r>
          </w:p>
        </w:tc>
      </w:tr>
      <w:tr>
        <w:tblPrEx>
          <w:tblCellMar>
            <w:top w:w="0" w:type="dxa"/>
            <w:left w:w="0" w:type="dxa"/>
            <w:bottom w:w="0" w:type="dxa"/>
            <w:right w:w="0" w:type="dxa"/>
          </w:tblCellMar>
        </w:tblPrEx>
        <w:trPr>
          <w:trHeight w:val="1040" w:hRule="atLeast"/>
        </w:trPr>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兼容性要求</w:t>
            </w:r>
          </w:p>
        </w:tc>
        <w:tc>
          <w:tcPr>
            <w:tcW w:w="72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1、支持中标麒麟、银河麒麟、统信UOS、深度等多种主流国产操作系统，同时支持Linux、Windows、Unix等国外主流操作系统。</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2、支持达梦、人大金仓、神通等多种国产数据库，同时支持Oracle、DB2、SQL Server、MySql等国外主流数据库。</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3、SM2算法兼容360安全浏览器、奇安信可信浏览器、海泰安全浏览器、赢达信安全浏览器；RSA算法兼容目前主流的浏览器和平台，Firefox 6.0及以上、Android 4.0及以上、IOS 5及以上、java 6u45及以上、Windows XP及以上、OS X 10.9及以上</w:t>
            </w:r>
          </w:p>
        </w:tc>
      </w:tr>
      <w:tr>
        <w:tblPrEx>
          <w:tblCellMar>
            <w:top w:w="0" w:type="dxa"/>
            <w:left w:w="0" w:type="dxa"/>
            <w:bottom w:w="0" w:type="dxa"/>
            <w:right w:w="0" w:type="dxa"/>
          </w:tblCellMar>
        </w:tblPrEx>
        <w:trPr>
          <w:trHeight w:val="260" w:hRule="atLeast"/>
        </w:trPr>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安全性要求</w:t>
            </w:r>
          </w:p>
        </w:tc>
        <w:tc>
          <w:tcPr>
            <w:tcW w:w="72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具备国内管理、审核、签发证书的能力（注：审核的数据不允许出境）</w:t>
            </w:r>
          </w:p>
        </w:tc>
      </w:tr>
      <w:tr>
        <w:tblPrEx>
          <w:tblCellMar>
            <w:top w:w="0" w:type="dxa"/>
            <w:left w:w="0" w:type="dxa"/>
            <w:bottom w:w="0" w:type="dxa"/>
            <w:right w:w="0" w:type="dxa"/>
          </w:tblCellMar>
        </w:tblPrEx>
        <w:trPr>
          <w:trHeight w:val="520" w:hRule="atLeast"/>
        </w:trPr>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服务要求</w:t>
            </w:r>
          </w:p>
        </w:tc>
        <w:tc>
          <w:tcPr>
            <w:tcW w:w="72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eastAsia="宋体" w:cs="宋体"/>
                <w:color w:val="000000"/>
                <w:sz w:val="20"/>
                <w:szCs w:val="20"/>
              </w:rPr>
            </w:pPr>
            <w:r>
              <w:rPr>
                <w:rFonts w:ascii="宋体" w:hAnsi="宋体" w:cs="宋体"/>
                <w:color w:val="000000"/>
                <w:kern w:val="0"/>
                <w:szCs w:val="21"/>
              </w:rPr>
              <w:t>提供包括不限于该服务的安装使用材料、产品使用介质、版本升级介质、产品API、适配改造、</w:t>
            </w:r>
            <w:r>
              <w:rPr>
                <w:rFonts w:hint="eastAsia" w:ascii="宋体" w:hAnsi="宋体" w:cs="宋体"/>
                <w:color w:val="000000"/>
                <w:kern w:val="0"/>
                <w:szCs w:val="21"/>
              </w:rPr>
              <w:t>管理端</w:t>
            </w:r>
            <w:r>
              <w:rPr>
                <w:rFonts w:ascii="宋体" w:hAnsi="宋体" w:cs="宋体"/>
                <w:color w:val="000000"/>
                <w:kern w:val="0"/>
                <w:szCs w:val="21"/>
              </w:rPr>
              <w:t>安全问题修复、</w:t>
            </w:r>
            <w:r>
              <w:rPr>
                <w:rFonts w:hint="eastAsia" w:ascii="宋体" w:hAnsi="宋体" w:cs="宋体"/>
                <w:color w:val="000000"/>
                <w:kern w:val="0"/>
                <w:szCs w:val="21"/>
              </w:rPr>
              <w:t>管理端</w:t>
            </w:r>
            <w:r>
              <w:rPr>
                <w:rFonts w:ascii="宋体" w:hAnsi="宋体" w:cs="宋体"/>
                <w:color w:val="000000"/>
                <w:kern w:val="0"/>
                <w:szCs w:val="21"/>
              </w:rPr>
              <w:t>应急保障、产品文档、培训咨询、巡检服务、</w:t>
            </w:r>
            <w:r>
              <w:rPr>
                <w:rFonts w:hint="eastAsia" w:ascii="宋体" w:hAnsi="宋体" w:cs="宋体"/>
                <w:color w:val="000000"/>
                <w:kern w:val="0"/>
                <w:szCs w:val="21"/>
              </w:rPr>
              <w:t>管理端</w:t>
            </w:r>
            <w:r>
              <w:rPr>
                <w:rFonts w:ascii="宋体" w:hAnsi="宋体" w:cs="宋体"/>
                <w:color w:val="000000"/>
                <w:kern w:val="0"/>
                <w:szCs w:val="21"/>
              </w:rPr>
              <w:t>性能调优、重要活动和重大节假日</w:t>
            </w:r>
            <w:r>
              <w:rPr>
                <w:rFonts w:hint="eastAsia" w:ascii="宋体" w:hAnsi="宋体" w:cs="宋体"/>
                <w:color w:val="000000"/>
                <w:kern w:val="0"/>
                <w:szCs w:val="21"/>
              </w:rPr>
              <w:t>管理端</w:t>
            </w:r>
            <w:r>
              <w:rPr>
                <w:rFonts w:ascii="宋体" w:hAnsi="宋体" w:cs="宋体"/>
                <w:color w:val="000000"/>
                <w:kern w:val="0"/>
                <w:szCs w:val="21"/>
              </w:rPr>
              <w:t>保障等保障服务。</w:t>
            </w:r>
          </w:p>
        </w:tc>
      </w:tr>
      <w:tr>
        <w:tblPrEx>
          <w:tblCellMar>
            <w:top w:w="0" w:type="dxa"/>
            <w:left w:w="0" w:type="dxa"/>
            <w:bottom w:w="0" w:type="dxa"/>
            <w:right w:w="0" w:type="dxa"/>
          </w:tblCellMar>
        </w:tblPrEx>
        <w:trPr>
          <w:trHeight w:val="260" w:hRule="atLeast"/>
        </w:trPr>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验收考核要求</w:t>
            </w:r>
          </w:p>
        </w:tc>
        <w:tc>
          <w:tcPr>
            <w:tcW w:w="72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1、提供PaaS服务对应软件产品的使用详情，其中，SSL证书-单域名、SSL证书-通配符、公务人员证书（key）提供签发证书张数详情；证书介质（key）提供授权介质个数详情。</w:t>
            </w:r>
          </w:p>
          <w:p>
            <w:pPr>
              <w:textAlignment w:val="center"/>
              <w:rPr>
                <w:rFonts w:ascii="宋体" w:hAnsi="宋体" w:eastAsia="宋体" w:cs="宋体"/>
                <w:color w:val="000000"/>
                <w:kern w:val="0"/>
                <w:sz w:val="20"/>
                <w:szCs w:val="20"/>
              </w:rPr>
            </w:pPr>
            <w:r>
              <w:rPr>
                <w:rFonts w:ascii="宋体" w:hAnsi="宋体" w:eastAsia="宋体" w:cs="宋体"/>
                <w:color w:val="000000"/>
                <w:kern w:val="0"/>
                <w:sz w:val="20"/>
                <w:szCs w:val="20"/>
              </w:rPr>
              <w:t>2</w:t>
            </w:r>
            <w:r>
              <w:rPr>
                <w:rFonts w:hint="eastAsia" w:ascii="宋体" w:hAnsi="宋体" w:eastAsia="宋体" w:cs="宋体"/>
                <w:color w:val="000000"/>
                <w:kern w:val="0"/>
                <w:sz w:val="20"/>
                <w:szCs w:val="20"/>
              </w:rPr>
              <w:t>、服务结算，SSL证书-单域名、SSL证书-通配符、公务人员证书（key）按照使用单位实际使用张数结算；证书介质（key）按照使用单位实际使用个数结算。</w:t>
            </w:r>
          </w:p>
        </w:tc>
      </w:tr>
    </w:tbl>
    <w:p/>
    <w:p>
      <w:pPr>
        <w:pStyle w:val="4"/>
        <w:numPr>
          <w:ilvl w:val="2"/>
          <w:numId w:val="5"/>
        </w:numPr>
        <w:spacing w:before="160" w:line="300" w:lineRule="exact"/>
        <w:ind w:left="420"/>
        <w:rPr>
          <w:rFonts w:ascii="宋体" w:hAnsi="宋体"/>
        </w:rPr>
      </w:pPr>
      <w:r>
        <w:rPr>
          <w:rFonts w:hint="eastAsia" w:ascii="宋体" w:hAnsi="宋体"/>
        </w:rPr>
        <w:t>表格存储服务</w:t>
      </w:r>
    </w:p>
    <w:tbl>
      <w:tblPr>
        <w:tblStyle w:val="11"/>
        <w:tblW w:w="4819" w:type="pct"/>
        <w:tblInd w:w="153" w:type="dxa"/>
        <w:tblLayout w:type="autofit"/>
        <w:tblCellMar>
          <w:top w:w="0" w:type="dxa"/>
          <w:left w:w="108" w:type="dxa"/>
          <w:bottom w:w="0" w:type="dxa"/>
          <w:right w:w="108" w:type="dxa"/>
        </w:tblCellMar>
      </w:tblPr>
      <w:tblGrid>
        <w:gridCol w:w="1574"/>
        <w:gridCol w:w="6640"/>
      </w:tblGrid>
      <w:tr>
        <w:tblPrEx>
          <w:tblCellMar>
            <w:top w:w="0" w:type="dxa"/>
            <w:left w:w="108" w:type="dxa"/>
            <w:bottom w:w="0" w:type="dxa"/>
            <w:right w:w="108" w:type="dxa"/>
          </w:tblCellMar>
        </w:tblPrEx>
        <w:trPr>
          <w:trHeight w:val="90" w:hRule="atLeast"/>
        </w:trPr>
        <w:tc>
          <w:tcPr>
            <w:tcW w:w="958"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规格</w:t>
            </w:r>
          </w:p>
        </w:tc>
        <w:tc>
          <w:tcPr>
            <w:tcW w:w="4041"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指标要求</w:t>
            </w:r>
          </w:p>
        </w:tc>
      </w:tr>
      <w:tr>
        <w:tblPrEx>
          <w:tblCellMar>
            <w:top w:w="0" w:type="dxa"/>
            <w:left w:w="108" w:type="dxa"/>
            <w:bottom w:w="0" w:type="dxa"/>
            <w:right w:w="108" w:type="dxa"/>
          </w:tblCellMar>
        </w:tblPrEx>
        <w:trPr>
          <w:trHeight w:val="620" w:hRule="atLeast"/>
        </w:trPr>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服务描述</w:t>
            </w:r>
          </w:p>
        </w:tc>
        <w:tc>
          <w:tcPr>
            <w:tcW w:w="404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提供低成本、高并发、低延时的海量数据存储与在线访问；提供增量以及全量数据通道并支持大数据分析平台的SQL直读直写，以支持实时业务数据的计算</w:t>
            </w:r>
          </w:p>
        </w:tc>
      </w:tr>
      <w:tr>
        <w:tblPrEx>
          <w:tblCellMar>
            <w:top w:w="0" w:type="dxa"/>
            <w:left w:w="108" w:type="dxa"/>
            <w:bottom w:w="0" w:type="dxa"/>
            <w:right w:w="108" w:type="dxa"/>
          </w:tblCellMar>
        </w:tblPrEx>
        <w:trPr>
          <w:trHeight w:val="90" w:hRule="atLeast"/>
        </w:trPr>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功能要求</w:t>
            </w:r>
          </w:p>
        </w:tc>
        <w:tc>
          <w:tcPr>
            <w:tcW w:w="404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（1）采用多节点集群架构，平台内管理节点支持高可用机制，日常运维管理节点故障不影响业务正常运行；</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（2）采用三副本技术，并将数据副本文件保存在不同机架上。单集群可以支持不同等级的数据存储类型（如：SSD存储实例或SSD与SATA混合存储实例）；</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（3）采用全冗余架构，无单点故障；可支持在线平滑升级，动态增加或者删除结点以及进行集群热升级，不需要停机维护，数据可以自动迁移；读写并发和存储容量支持同步线性扩容；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（4）支持身份验证，支持多租户，具备完善的权限认证与隔离机制，保障用户数据的私密性，支持VPC网络及HTTPS访问。</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（5）支持单列索引及组合索引；</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（6）支持数据按照时间进行数据与多个版本的数据清理，支持宽行模型，表中属性列可以动态横向扩展；</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（7）支持每个属性列级别数据多版本数据，每个版本对应一个版本号。</w:t>
            </w:r>
          </w:p>
        </w:tc>
      </w:tr>
      <w:tr>
        <w:tblPrEx>
          <w:tblCellMar>
            <w:top w:w="0" w:type="dxa"/>
            <w:left w:w="108" w:type="dxa"/>
            <w:bottom w:w="0" w:type="dxa"/>
            <w:right w:w="108" w:type="dxa"/>
          </w:tblCellMar>
        </w:tblPrEx>
        <w:trPr>
          <w:trHeight w:val="620" w:hRule="atLeast"/>
        </w:trPr>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性能要求</w:t>
            </w:r>
          </w:p>
        </w:tc>
        <w:tc>
          <w:tcPr>
            <w:tcW w:w="4041" w:type="pct"/>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（1）集群环境下支持不少于TB级数据存储量；</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（2）单表不少于亿条记录。</w:t>
            </w:r>
          </w:p>
        </w:tc>
      </w:tr>
      <w:tr>
        <w:tblPrEx>
          <w:tblCellMar>
            <w:top w:w="0" w:type="dxa"/>
            <w:left w:w="108" w:type="dxa"/>
            <w:bottom w:w="0" w:type="dxa"/>
            <w:right w:w="108" w:type="dxa"/>
          </w:tblCellMar>
        </w:tblPrEx>
        <w:trPr>
          <w:trHeight w:val="320" w:hRule="atLeast"/>
        </w:trPr>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安全性要求</w:t>
            </w:r>
          </w:p>
        </w:tc>
        <w:tc>
          <w:tcPr>
            <w:tcW w:w="4041" w:type="pct"/>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提供的软件产品通过第三方安全检测。</w:t>
            </w:r>
          </w:p>
        </w:tc>
      </w:tr>
      <w:tr>
        <w:tblPrEx>
          <w:tblCellMar>
            <w:top w:w="0" w:type="dxa"/>
            <w:left w:w="108" w:type="dxa"/>
            <w:bottom w:w="0" w:type="dxa"/>
            <w:right w:w="108" w:type="dxa"/>
          </w:tblCellMar>
        </w:tblPrEx>
        <w:trPr>
          <w:trHeight w:val="620" w:hRule="atLeast"/>
        </w:trPr>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服务要求</w:t>
            </w:r>
          </w:p>
        </w:tc>
        <w:tc>
          <w:tcPr>
            <w:tcW w:w="404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提供包括不限于该服务的安装介质、版本升级介质、适配改造、安全问题修复、应急保障、产品文档、培训咨询、巡检服务、性能调优、重要活动和重大节假日现场值守保障等保障服务。</w:t>
            </w:r>
          </w:p>
        </w:tc>
      </w:tr>
      <w:tr>
        <w:tblPrEx>
          <w:tblCellMar>
            <w:top w:w="0" w:type="dxa"/>
            <w:left w:w="108" w:type="dxa"/>
            <w:bottom w:w="0" w:type="dxa"/>
            <w:right w:w="108" w:type="dxa"/>
          </w:tblCellMar>
        </w:tblPrEx>
        <w:trPr>
          <w:trHeight w:val="312" w:hRule="atLeast"/>
        </w:trPr>
        <w:tc>
          <w:tcPr>
            <w:tcW w:w="9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验收考核要求</w:t>
            </w:r>
          </w:p>
        </w:tc>
        <w:tc>
          <w:tcPr>
            <w:tcW w:w="40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1、提供PaaS服务对应软件产品的使用详情，以及计量计费的依据。</w:t>
            </w:r>
            <w:r>
              <w:rPr>
                <w:rFonts w:hint="eastAsia" w:ascii="宋体" w:hAnsi="宋体" w:eastAsia="宋体" w:cs="宋体"/>
                <w:color w:val="000000"/>
                <w:kern w:val="0"/>
                <w:sz w:val="20"/>
                <w:szCs w:val="20"/>
              </w:rPr>
              <w:br w:type="textWrapping"/>
            </w:r>
            <w:r>
              <w:rPr>
                <w:rFonts w:ascii="宋体" w:hAnsi="宋体" w:eastAsia="宋体" w:cs="宋体"/>
                <w:color w:val="000000"/>
                <w:kern w:val="0"/>
                <w:sz w:val="20"/>
                <w:szCs w:val="20"/>
              </w:rPr>
              <w:t>2</w:t>
            </w:r>
            <w:r>
              <w:rPr>
                <w:rFonts w:hint="eastAsia" w:ascii="宋体" w:hAnsi="宋体" w:eastAsia="宋体" w:cs="宋体"/>
                <w:color w:val="000000"/>
                <w:kern w:val="0"/>
                <w:sz w:val="20"/>
                <w:szCs w:val="20"/>
              </w:rPr>
              <w:t>、服务结算按照实际存储（TB）计算。</w:t>
            </w:r>
          </w:p>
        </w:tc>
      </w:tr>
      <w:tr>
        <w:tblPrEx>
          <w:tblCellMar>
            <w:top w:w="0" w:type="dxa"/>
            <w:left w:w="108" w:type="dxa"/>
            <w:bottom w:w="0" w:type="dxa"/>
            <w:right w:w="108" w:type="dxa"/>
          </w:tblCellMar>
        </w:tblPrEx>
        <w:trPr>
          <w:trHeight w:val="312" w:hRule="atLeast"/>
        </w:trPr>
        <w:tc>
          <w:tcPr>
            <w:tcW w:w="9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0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0" w:type="dxa"/>
            <w:left w:w="108" w:type="dxa"/>
            <w:bottom w:w="0" w:type="dxa"/>
            <w:right w:w="108" w:type="dxa"/>
          </w:tblCellMar>
        </w:tblPrEx>
        <w:trPr>
          <w:trHeight w:val="312" w:hRule="atLeast"/>
        </w:trPr>
        <w:tc>
          <w:tcPr>
            <w:tcW w:w="9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0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bl>
    <w:p>
      <w:pPr>
        <w:pStyle w:val="4"/>
        <w:numPr>
          <w:ilvl w:val="2"/>
          <w:numId w:val="5"/>
        </w:numPr>
        <w:spacing w:before="160" w:line="300" w:lineRule="exact"/>
        <w:ind w:left="420"/>
        <w:rPr>
          <w:rFonts w:ascii="宋体" w:hAnsi="宋体"/>
        </w:rPr>
      </w:pPr>
      <w:r>
        <w:rPr>
          <w:rFonts w:hint="eastAsia" w:ascii="宋体" w:hAnsi="宋体"/>
        </w:rPr>
        <w:t>分析型数据库服务</w:t>
      </w:r>
    </w:p>
    <w:tbl>
      <w:tblPr>
        <w:tblStyle w:val="11"/>
        <w:tblW w:w="8231" w:type="dxa"/>
        <w:tblInd w:w="139" w:type="dxa"/>
        <w:tblLayout w:type="autofit"/>
        <w:tblCellMar>
          <w:top w:w="0" w:type="dxa"/>
          <w:left w:w="108" w:type="dxa"/>
          <w:bottom w:w="0" w:type="dxa"/>
          <w:right w:w="108" w:type="dxa"/>
        </w:tblCellMar>
      </w:tblPr>
      <w:tblGrid>
        <w:gridCol w:w="1600"/>
        <w:gridCol w:w="6631"/>
      </w:tblGrid>
      <w:tr>
        <w:tblPrEx>
          <w:tblCellMar>
            <w:top w:w="0" w:type="dxa"/>
            <w:left w:w="108" w:type="dxa"/>
            <w:bottom w:w="0" w:type="dxa"/>
            <w:right w:w="108" w:type="dxa"/>
          </w:tblCellMar>
        </w:tblPrEx>
        <w:trPr>
          <w:trHeight w:val="90" w:hRule="atLeast"/>
        </w:trPr>
        <w:tc>
          <w:tcPr>
            <w:tcW w:w="160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规格</w:t>
            </w:r>
          </w:p>
        </w:tc>
        <w:tc>
          <w:tcPr>
            <w:tcW w:w="6631"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color w:val="000000"/>
                <w:kern w:val="0"/>
                <w:sz w:val="20"/>
                <w:szCs w:val="20"/>
              </w:rPr>
            </w:pPr>
            <w:r>
              <w:rPr>
                <w:rFonts w:hint="eastAsia" w:ascii="宋体" w:hAnsi="宋体" w:eastAsia="宋体" w:cs="宋体"/>
                <w:b/>
                <w:bCs/>
                <w:color w:val="000000"/>
                <w:kern w:val="0"/>
                <w:sz w:val="20"/>
                <w:szCs w:val="20"/>
              </w:rPr>
              <w:t>指标要求</w:t>
            </w:r>
          </w:p>
        </w:tc>
      </w:tr>
      <w:tr>
        <w:tblPrEx>
          <w:tblCellMar>
            <w:top w:w="0" w:type="dxa"/>
            <w:left w:w="108" w:type="dxa"/>
            <w:bottom w:w="0" w:type="dxa"/>
            <w:right w:w="108" w:type="dxa"/>
          </w:tblCellMar>
        </w:tblPrEx>
        <w:trPr>
          <w:trHeight w:val="620" w:hRule="atLeast"/>
        </w:trPr>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服务描述</w:t>
            </w:r>
          </w:p>
        </w:tc>
        <w:tc>
          <w:tcPr>
            <w:tcW w:w="66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提供在线联机分析处理服务（OLAP），支持对亿级数据进行秒级多维分析。</w:t>
            </w:r>
          </w:p>
        </w:tc>
      </w:tr>
      <w:tr>
        <w:tblPrEx>
          <w:tblCellMar>
            <w:top w:w="0" w:type="dxa"/>
            <w:left w:w="108" w:type="dxa"/>
            <w:bottom w:w="0" w:type="dxa"/>
            <w:right w:w="108" w:type="dxa"/>
          </w:tblCellMar>
        </w:tblPrEx>
        <w:trPr>
          <w:trHeight w:val="90" w:hRule="atLeast"/>
        </w:trPr>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功能要求</w:t>
            </w:r>
          </w:p>
        </w:tc>
        <w:tc>
          <w:tcPr>
            <w:tcW w:w="66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（1）采用关系模型存储，支持通过SQL灵活的对海量数据进行多维分析、数据透视、数据筛选，无需预先建模；</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（2）兼具实时和自由的海量数据计算能力，支持使用业务系统中产生的全量数据进行数据分析；</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（3）能够支撑较高并发查询量，同时通过动态的多副本数据存储计算技术也保证了较高的系统可用性；</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（4）支持离线通道、在线通道双模式并行数据导入；</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（5）支持精确到列级别的权限管理；</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（6）支持通过控制台实现租户统一管理、租户资源的动态配置和管理、资源隔离以及资源使用统计等功能；</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（7）具备多租户隔离能力以避免实例间的相互影响，可控制不同实例所能使用的系统资源；</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（8）兼容商业分析工具和应用、内置支持多种数据源数据快速接入；</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（9）单实例同时支持全文索引、JSON索引；</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（10）支持不同等级的数据存储类型（如：SSD存储实例或SSD与SATA混合存储实例）；</w:t>
            </w:r>
          </w:p>
        </w:tc>
      </w:tr>
      <w:tr>
        <w:tblPrEx>
          <w:tblCellMar>
            <w:top w:w="0" w:type="dxa"/>
            <w:left w:w="108" w:type="dxa"/>
            <w:bottom w:w="0" w:type="dxa"/>
            <w:right w:w="108" w:type="dxa"/>
          </w:tblCellMar>
        </w:tblPrEx>
        <w:trPr>
          <w:trHeight w:val="620" w:hRule="atLeast"/>
        </w:trPr>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性能要求</w:t>
            </w:r>
          </w:p>
        </w:tc>
        <w:tc>
          <w:tcPr>
            <w:tcW w:w="66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（1）单集群支持单库不少于TB级数据量；</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（2）单集群支持不少于200个数据库实例。</w:t>
            </w:r>
          </w:p>
        </w:tc>
      </w:tr>
      <w:tr>
        <w:tblPrEx>
          <w:tblCellMar>
            <w:top w:w="0" w:type="dxa"/>
            <w:left w:w="108" w:type="dxa"/>
            <w:bottom w:w="0" w:type="dxa"/>
            <w:right w:w="108" w:type="dxa"/>
          </w:tblCellMar>
        </w:tblPrEx>
        <w:trPr>
          <w:trHeight w:val="352" w:hRule="atLeast"/>
        </w:trPr>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安全性要求</w:t>
            </w:r>
          </w:p>
        </w:tc>
        <w:tc>
          <w:tcPr>
            <w:tcW w:w="6631" w:type="dxa"/>
            <w:tcBorders>
              <w:top w:val="single" w:color="000000" w:sz="4" w:space="0"/>
              <w:left w:val="single" w:color="000000" w:sz="4" w:space="0"/>
              <w:bottom w:val="nil"/>
              <w:right w:val="single" w:color="000000" w:sz="4" w:space="0"/>
            </w:tcBorders>
            <w:shd w:val="clear" w:color="auto" w:fill="auto"/>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提供的软件产品通过第三方安全检测。</w:t>
            </w:r>
          </w:p>
        </w:tc>
      </w:tr>
      <w:tr>
        <w:tblPrEx>
          <w:tblCellMar>
            <w:top w:w="0" w:type="dxa"/>
            <w:left w:w="108" w:type="dxa"/>
            <w:bottom w:w="0" w:type="dxa"/>
            <w:right w:w="108" w:type="dxa"/>
          </w:tblCellMar>
        </w:tblPrEx>
        <w:trPr>
          <w:trHeight w:val="1220" w:hRule="atLeast"/>
        </w:trPr>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服务要求</w:t>
            </w:r>
          </w:p>
        </w:tc>
        <w:tc>
          <w:tcPr>
            <w:tcW w:w="66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提供包括不限于该服务的安装介质、版本升级介质、适配改造、安全问题修复、应急保障、产品文档、培训咨询、巡检服务、性能调优、重要活动和重大节假日现场值守保障等保障服务。</w:t>
            </w:r>
          </w:p>
        </w:tc>
      </w:tr>
      <w:tr>
        <w:tblPrEx>
          <w:tblCellMar>
            <w:top w:w="0" w:type="dxa"/>
            <w:left w:w="108" w:type="dxa"/>
            <w:bottom w:w="0" w:type="dxa"/>
            <w:right w:w="108" w:type="dxa"/>
          </w:tblCellMar>
        </w:tblPrEx>
        <w:trPr>
          <w:trHeight w:val="90" w:hRule="atLeast"/>
        </w:trPr>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验收考核要求</w:t>
            </w:r>
          </w:p>
        </w:tc>
        <w:tc>
          <w:tcPr>
            <w:tcW w:w="66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1、提供PaaS服务对应软件产品的使用详情，以及按实例使用的依据。</w:t>
            </w:r>
            <w:r>
              <w:rPr>
                <w:rFonts w:hint="eastAsia" w:ascii="宋体" w:hAnsi="宋体" w:eastAsia="宋体" w:cs="宋体"/>
                <w:color w:val="000000"/>
                <w:kern w:val="0"/>
                <w:sz w:val="20"/>
                <w:szCs w:val="20"/>
              </w:rPr>
              <w:br w:type="textWrapping"/>
            </w:r>
            <w:r>
              <w:rPr>
                <w:rFonts w:ascii="宋体" w:hAnsi="宋体" w:eastAsia="宋体" w:cs="宋体"/>
                <w:color w:val="000000"/>
                <w:kern w:val="0"/>
                <w:sz w:val="20"/>
                <w:szCs w:val="20"/>
              </w:rPr>
              <w:t>2</w:t>
            </w:r>
            <w:r>
              <w:rPr>
                <w:rFonts w:hint="eastAsia" w:ascii="宋体" w:hAnsi="宋体" w:eastAsia="宋体" w:cs="宋体"/>
                <w:color w:val="000000"/>
                <w:kern w:val="0"/>
                <w:sz w:val="20"/>
                <w:szCs w:val="20"/>
              </w:rPr>
              <w:t>、服务结算按照实际实例计算。</w:t>
            </w:r>
          </w:p>
        </w:tc>
      </w:tr>
    </w:tbl>
    <w:p/>
    <w:p>
      <w:pPr>
        <w:pStyle w:val="4"/>
        <w:numPr>
          <w:ilvl w:val="2"/>
          <w:numId w:val="5"/>
        </w:numPr>
        <w:spacing w:before="160" w:line="300" w:lineRule="exact"/>
        <w:ind w:left="420"/>
        <w:rPr>
          <w:rFonts w:ascii="宋体" w:hAnsi="宋体"/>
        </w:rPr>
      </w:pPr>
      <w:r>
        <w:rPr>
          <w:rFonts w:hint="eastAsia" w:ascii="宋体" w:hAnsi="宋体"/>
        </w:rPr>
        <w:t>内存数据库服务</w:t>
      </w:r>
    </w:p>
    <w:tbl>
      <w:tblPr>
        <w:tblStyle w:val="11"/>
        <w:tblW w:w="8246" w:type="dxa"/>
        <w:tblInd w:w="138" w:type="dxa"/>
        <w:tblLayout w:type="autofit"/>
        <w:tblCellMar>
          <w:top w:w="0" w:type="dxa"/>
          <w:left w:w="108" w:type="dxa"/>
          <w:bottom w:w="0" w:type="dxa"/>
          <w:right w:w="108" w:type="dxa"/>
        </w:tblCellMar>
      </w:tblPr>
      <w:tblGrid>
        <w:gridCol w:w="1770"/>
        <w:gridCol w:w="6476"/>
      </w:tblGrid>
      <w:tr>
        <w:tblPrEx>
          <w:tblCellMar>
            <w:top w:w="0" w:type="dxa"/>
            <w:left w:w="108" w:type="dxa"/>
            <w:bottom w:w="0" w:type="dxa"/>
            <w:right w:w="108" w:type="dxa"/>
          </w:tblCellMar>
        </w:tblPrEx>
        <w:trPr>
          <w:trHeight w:val="90" w:hRule="atLeast"/>
        </w:trPr>
        <w:tc>
          <w:tcPr>
            <w:tcW w:w="177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b/>
                <w:bCs/>
                <w:color w:val="000000"/>
                <w:kern w:val="0"/>
                <w:sz w:val="20"/>
                <w:szCs w:val="20"/>
              </w:rPr>
            </w:pPr>
            <w:r>
              <w:rPr>
                <w:rFonts w:ascii="宋体" w:hAnsi="宋体" w:cs="宋体"/>
                <w:b/>
                <w:bCs/>
                <w:color w:val="000000"/>
                <w:kern w:val="0"/>
              </w:rPr>
              <w:t>规格</w:t>
            </w:r>
          </w:p>
        </w:tc>
        <w:tc>
          <w:tcPr>
            <w:tcW w:w="6476"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color w:val="000000"/>
                <w:kern w:val="0"/>
                <w:sz w:val="20"/>
                <w:szCs w:val="20"/>
              </w:rPr>
            </w:pPr>
            <w:r>
              <w:rPr>
                <w:rFonts w:ascii="宋体" w:hAnsi="宋体" w:cs="宋体"/>
                <w:b/>
                <w:bCs/>
                <w:color w:val="000000"/>
                <w:kern w:val="0"/>
              </w:rPr>
              <w:t>指标要求</w:t>
            </w:r>
          </w:p>
        </w:tc>
      </w:tr>
      <w:tr>
        <w:tblPrEx>
          <w:tblCellMar>
            <w:top w:w="0" w:type="dxa"/>
            <w:left w:w="108" w:type="dxa"/>
            <w:bottom w:w="0" w:type="dxa"/>
            <w:right w:w="108" w:type="dxa"/>
          </w:tblCellMar>
        </w:tblPrEx>
        <w:trPr>
          <w:trHeight w:val="920" w:hRule="atLeast"/>
        </w:trPr>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服务描述</w:t>
            </w:r>
          </w:p>
        </w:tc>
        <w:tc>
          <w:tcPr>
            <w:tcW w:w="647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内存数据库服务为业务系统提供可直接使用的缓存数据库实例空间，提供混合存储的数据库服务，基于双机热备架构及集群架构，可满足高吞吐、低延迟及弹性变配等业务需求。</w:t>
            </w:r>
          </w:p>
        </w:tc>
      </w:tr>
      <w:tr>
        <w:tblPrEx>
          <w:tblCellMar>
            <w:top w:w="0" w:type="dxa"/>
            <w:left w:w="108" w:type="dxa"/>
            <w:bottom w:w="0" w:type="dxa"/>
            <w:right w:w="108" w:type="dxa"/>
          </w:tblCellMar>
        </w:tblPrEx>
        <w:trPr>
          <w:trHeight w:val="352" w:hRule="atLeast"/>
        </w:trPr>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部署模式</w:t>
            </w:r>
          </w:p>
        </w:tc>
        <w:tc>
          <w:tcPr>
            <w:tcW w:w="647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支持集群或分布式部署模式</w:t>
            </w:r>
          </w:p>
        </w:tc>
      </w:tr>
      <w:tr>
        <w:tblPrEx>
          <w:tblCellMar>
            <w:top w:w="0" w:type="dxa"/>
            <w:left w:w="108" w:type="dxa"/>
            <w:bottom w:w="0" w:type="dxa"/>
            <w:right w:w="108" w:type="dxa"/>
          </w:tblCellMar>
        </w:tblPrEx>
        <w:trPr>
          <w:trHeight w:val="1368" w:hRule="atLeast"/>
        </w:trPr>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功能要求</w:t>
            </w:r>
          </w:p>
        </w:tc>
        <w:tc>
          <w:tcPr>
            <w:tcW w:w="647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（1）支持string，hash，list，set，sortedset等常见类型，支持事务和订阅；</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（2）支持实例的手动和自动备份，支持自动备份策略设置，支持主从、集群版等多种形态实例的原地恢复，克隆实例，支持备份集下载；</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（3）支持SSL加密访问，保证通信数据安全；</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（4）支持RDB或AoF持久化机制；</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（5）支持主从、集群不同形态；</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（6）支持多账号，支持设置读写、只读权限，最小化授权提供更高安全保障。</w:t>
            </w:r>
          </w:p>
        </w:tc>
      </w:tr>
      <w:tr>
        <w:tblPrEx>
          <w:tblCellMar>
            <w:top w:w="0" w:type="dxa"/>
            <w:left w:w="108" w:type="dxa"/>
            <w:bottom w:w="0" w:type="dxa"/>
            <w:right w:w="108" w:type="dxa"/>
          </w:tblCellMar>
        </w:tblPrEx>
        <w:trPr>
          <w:trHeight w:val="352" w:hRule="atLeast"/>
        </w:trPr>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性能要求</w:t>
            </w:r>
          </w:p>
        </w:tc>
        <w:tc>
          <w:tcPr>
            <w:tcW w:w="647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单节点可支持的 QPS 不小于 100000；</w:t>
            </w:r>
          </w:p>
        </w:tc>
      </w:tr>
      <w:tr>
        <w:tblPrEx>
          <w:tblCellMar>
            <w:top w:w="0" w:type="dxa"/>
            <w:left w:w="108" w:type="dxa"/>
            <w:bottom w:w="0" w:type="dxa"/>
            <w:right w:w="108" w:type="dxa"/>
          </w:tblCellMar>
        </w:tblPrEx>
        <w:trPr>
          <w:trHeight w:val="352" w:hRule="atLeast"/>
        </w:trPr>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安全性要求</w:t>
            </w:r>
          </w:p>
        </w:tc>
        <w:tc>
          <w:tcPr>
            <w:tcW w:w="6476"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提供的软件产品通过第三方安全检测。</w:t>
            </w:r>
          </w:p>
        </w:tc>
      </w:tr>
      <w:tr>
        <w:tblPrEx>
          <w:tblCellMar>
            <w:top w:w="0" w:type="dxa"/>
            <w:left w:w="108" w:type="dxa"/>
            <w:bottom w:w="0" w:type="dxa"/>
            <w:right w:w="108" w:type="dxa"/>
          </w:tblCellMar>
        </w:tblPrEx>
        <w:trPr>
          <w:trHeight w:val="90" w:hRule="atLeast"/>
        </w:trPr>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服务要求</w:t>
            </w:r>
          </w:p>
        </w:tc>
        <w:tc>
          <w:tcPr>
            <w:tcW w:w="64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提供包括不限于该服务的安装介质、版本升级介质、适配改造、安全问题修复、应急保障、产品文档、培训咨询、巡检服务、性能调优、重要活动和重大节假日现场值守保障等保障服务。</w:t>
            </w:r>
          </w:p>
        </w:tc>
      </w:tr>
      <w:tr>
        <w:tblPrEx>
          <w:tblCellMar>
            <w:top w:w="0" w:type="dxa"/>
            <w:left w:w="108" w:type="dxa"/>
            <w:bottom w:w="0" w:type="dxa"/>
            <w:right w:w="108" w:type="dxa"/>
          </w:tblCellMar>
        </w:tblPrEx>
        <w:trPr>
          <w:trHeight w:val="90" w:hRule="atLeast"/>
        </w:trPr>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验收考核要求</w:t>
            </w:r>
          </w:p>
        </w:tc>
        <w:tc>
          <w:tcPr>
            <w:tcW w:w="647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1、提供PaaS服务对应软件产品的使用详情，以及按实例使用的依据。</w:t>
            </w:r>
            <w:r>
              <w:rPr>
                <w:rFonts w:hint="eastAsia" w:ascii="宋体" w:hAnsi="宋体" w:eastAsia="宋体" w:cs="宋体"/>
                <w:color w:val="000000"/>
                <w:kern w:val="0"/>
                <w:sz w:val="20"/>
                <w:szCs w:val="20"/>
              </w:rPr>
              <w:br w:type="textWrapping"/>
            </w:r>
            <w:r>
              <w:rPr>
                <w:rFonts w:ascii="宋体" w:hAnsi="宋体" w:eastAsia="宋体" w:cs="宋体"/>
                <w:color w:val="000000"/>
                <w:kern w:val="0"/>
                <w:sz w:val="20"/>
                <w:szCs w:val="20"/>
              </w:rPr>
              <w:t>2</w:t>
            </w:r>
            <w:r>
              <w:rPr>
                <w:rFonts w:hint="eastAsia" w:ascii="宋体" w:hAnsi="宋体" w:eastAsia="宋体" w:cs="宋体"/>
                <w:color w:val="000000"/>
                <w:kern w:val="0"/>
                <w:sz w:val="20"/>
                <w:szCs w:val="20"/>
              </w:rPr>
              <w:t>、服务结算按照实际实例数量计算。</w:t>
            </w:r>
          </w:p>
        </w:tc>
      </w:tr>
    </w:tbl>
    <w:p/>
    <w:p>
      <w:pPr>
        <w:pStyle w:val="4"/>
        <w:numPr>
          <w:ilvl w:val="2"/>
          <w:numId w:val="5"/>
        </w:numPr>
        <w:spacing w:before="160" w:line="300" w:lineRule="exact"/>
        <w:ind w:left="420"/>
      </w:pPr>
      <w:r>
        <w:rPr>
          <w:rFonts w:hint="eastAsia"/>
        </w:rPr>
        <w:t>数据传输工具服务</w:t>
      </w:r>
    </w:p>
    <w:tbl>
      <w:tblPr>
        <w:tblStyle w:val="11"/>
        <w:tblW w:w="8230" w:type="dxa"/>
        <w:tblInd w:w="154" w:type="dxa"/>
        <w:tblLayout w:type="autofit"/>
        <w:tblCellMar>
          <w:top w:w="0" w:type="dxa"/>
          <w:left w:w="108" w:type="dxa"/>
          <w:bottom w:w="0" w:type="dxa"/>
          <w:right w:w="108" w:type="dxa"/>
        </w:tblCellMar>
      </w:tblPr>
      <w:tblGrid>
        <w:gridCol w:w="1750"/>
        <w:gridCol w:w="6480"/>
      </w:tblGrid>
      <w:tr>
        <w:tblPrEx>
          <w:tblCellMar>
            <w:top w:w="0" w:type="dxa"/>
            <w:left w:w="108" w:type="dxa"/>
            <w:bottom w:w="0" w:type="dxa"/>
            <w:right w:w="108" w:type="dxa"/>
          </w:tblCellMar>
        </w:tblPrEx>
        <w:trPr>
          <w:trHeight w:val="9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cs="宋体"/>
                <w:b/>
                <w:bCs/>
                <w:color w:val="000000"/>
                <w:kern w:val="0"/>
              </w:rPr>
            </w:pPr>
            <w:r>
              <w:rPr>
                <w:rFonts w:ascii="宋体" w:hAnsi="宋体" w:cs="宋体"/>
                <w:b/>
                <w:bCs/>
                <w:color w:val="000000"/>
                <w:kern w:val="0"/>
              </w:rPr>
              <w:t>规格</w:t>
            </w:r>
          </w:p>
        </w:tc>
        <w:tc>
          <w:tcPr>
            <w:tcW w:w="64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108" w:type="dxa"/>
            <w:bottom w:w="0" w:type="dxa"/>
            <w:right w:w="108" w:type="dxa"/>
          </w:tblCellMar>
        </w:tblPrEx>
        <w:trPr>
          <w:trHeight w:val="679"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服务描述</w:t>
            </w:r>
          </w:p>
        </w:tc>
        <w:tc>
          <w:tcPr>
            <w:tcW w:w="648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提供一种支持关系型数据库及大数据等多种数据源之间数据交互的数据服务，重点提供支持数据同步任务的数据传输服务</w:t>
            </w:r>
          </w:p>
        </w:tc>
      </w:tr>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部署模式</w:t>
            </w:r>
          </w:p>
        </w:tc>
        <w:tc>
          <w:tcPr>
            <w:tcW w:w="648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支持集群或分布式部署模式</w:t>
            </w:r>
          </w:p>
        </w:tc>
      </w:tr>
      <w:tr>
        <w:tblPrEx>
          <w:tblCellMar>
            <w:top w:w="0" w:type="dxa"/>
            <w:left w:w="108" w:type="dxa"/>
            <w:bottom w:w="0" w:type="dxa"/>
            <w:right w:w="108" w:type="dxa"/>
          </w:tblCellMar>
        </w:tblPrEx>
        <w:trPr>
          <w:trHeight w:val="9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功能要求</w:t>
            </w:r>
          </w:p>
        </w:tc>
        <w:tc>
          <w:tcPr>
            <w:tcW w:w="648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（1）支持单向MySQL、Oracle到OLAP等之间数据交换服务；</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（2）支持主流数据库类型数据迁移：源库包括但不限于MySQL、Oracle等；</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（3）支持对数据同步的源端和目标端数据进行校验；</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（4）支持数据同步对库、表、列三级对象名映射；</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（5）支持对迁移数据的行、列过滤。</w:t>
            </w:r>
          </w:p>
        </w:tc>
      </w:tr>
      <w:tr>
        <w:tblPrEx>
          <w:tblCellMar>
            <w:top w:w="0" w:type="dxa"/>
            <w:left w:w="108" w:type="dxa"/>
            <w:bottom w:w="0" w:type="dxa"/>
            <w:right w:w="108" w:type="dxa"/>
          </w:tblCellMar>
        </w:tblPrEx>
        <w:trPr>
          <w:trHeight w:val="62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性能要求</w:t>
            </w:r>
          </w:p>
        </w:tc>
        <w:tc>
          <w:tcPr>
            <w:tcW w:w="648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（1）支持秒级数据同步延迟的实时数据同步任务；</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（2）单链路高峰期同步性能不少于5000条/秒；</w:t>
            </w:r>
          </w:p>
        </w:tc>
      </w:tr>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安全性要求</w:t>
            </w:r>
          </w:p>
        </w:tc>
        <w:tc>
          <w:tcPr>
            <w:tcW w:w="6480"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提供的软件产品通过第三方安全检测。</w:t>
            </w:r>
          </w:p>
        </w:tc>
      </w:tr>
      <w:tr>
        <w:tblPrEx>
          <w:tblCellMar>
            <w:top w:w="0" w:type="dxa"/>
            <w:left w:w="108" w:type="dxa"/>
            <w:bottom w:w="0" w:type="dxa"/>
            <w:right w:w="108" w:type="dxa"/>
          </w:tblCellMar>
        </w:tblPrEx>
        <w:trPr>
          <w:trHeight w:val="9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服务要求</w:t>
            </w:r>
          </w:p>
        </w:tc>
        <w:tc>
          <w:tcPr>
            <w:tcW w:w="64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提供包括不限于该服务的安装介质、版本升级介质、适配改造、安全问题修复、应急保障、产品文档、培训咨询、巡检服务、性能调优、重要活动和重大节假日现场值守保障等保障服务。</w:t>
            </w:r>
          </w:p>
        </w:tc>
      </w:tr>
      <w:tr>
        <w:tblPrEx>
          <w:tblCellMar>
            <w:top w:w="0" w:type="dxa"/>
            <w:left w:w="108" w:type="dxa"/>
            <w:bottom w:w="0" w:type="dxa"/>
            <w:right w:w="108" w:type="dxa"/>
          </w:tblCellMar>
        </w:tblPrEx>
        <w:trPr>
          <w:trHeight w:val="9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验收考核要求</w:t>
            </w:r>
          </w:p>
        </w:tc>
        <w:tc>
          <w:tcPr>
            <w:tcW w:w="648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1、提供PaaS服务对应软件产品的使用详情，以及按链路使用的依据。</w:t>
            </w:r>
            <w:r>
              <w:rPr>
                <w:rFonts w:hint="eastAsia" w:ascii="宋体" w:hAnsi="宋体" w:eastAsia="宋体" w:cs="宋体"/>
                <w:color w:val="000000"/>
                <w:kern w:val="0"/>
                <w:sz w:val="20"/>
                <w:szCs w:val="20"/>
              </w:rPr>
              <w:br w:type="textWrapping"/>
            </w:r>
            <w:r>
              <w:rPr>
                <w:rFonts w:ascii="宋体" w:hAnsi="宋体" w:eastAsia="宋体" w:cs="宋体"/>
                <w:color w:val="000000"/>
                <w:kern w:val="0"/>
                <w:sz w:val="20"/>
                <w:szCs w:val="20"/>
              </w:rPr>
              <w:t>2</w:t>
            </w:r>
            <w:r>
              <w:rPr>
                <w:rFonts w:hint="eastAsia" w:ascii="宋体" w:hAnsi="宋体" w:eastAsia="宋体" w:cs="宋体"/>
                <w:color w:val="000000"/>
                <w:kern w:val="0"/>
                <w:sz w:val="20"/>
                <w:szCs w:val="20"/>
              </w:rPr>
              <w:t>、服务结算按照实际链路数量计算。</w:t>
            </w:r>
          </w:p>
        </w:tc>
      </w:tr>
    </w:tbl>
    <w:p/>
    <w:p>
      <w:pPr>
        <w:pStyle w:val="4"/>
        <w:numPr>
          <w:ilvl w:val="2"/>
          <w:numId w:val="5"/>
        </w:numPr>
        <w:spacing w:before="160" w:line="300" w:lineRule="exact"/>
        <w:ind w:left="420"/>
        <w:rPr>
          <w:rFonts w:ascii="宋体" w:hAnsi="宋体"/>
        </w:rPr>
      </w:pPr>
      <w:r>
        <w:rPr>
          <w:rFonts w:hint="eastAsia" w:ascii="宋体" w:hAnsi="宋体"/>
        </w:rPr>
        <w:t>实时计算服务</w:t>
      </w:r>
    </w:p>
    <w:tbl>
      <w:tblPr>
        <w:tblStyle w:val="11"/>
        <w:tblW w:w="8215" w:type="dxa"/>
        <w:tblInd w:w="154" w:type="dxa"/>
        <w:tblLayout w:type="autofit"/>
        <w:tblCellMar>
          <w:top w:w="0" w:type="dxa"/>
          <w:left w:w="108" w:type="dxa"/>
          <w:bottom w:w="0" w:type="dxa"/>
          <w:right w:w="108" w:type="dxa"/>
        </w:tblCellMar>
      </w:tblPr>
      <w:tblGrid>
        <w:gridCol w:w="1750"/>
        <w:gridCol w:w="6465"/>
      </w:tblGrid>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b/>
                <w:bCs/>
                <w:color w:val="000000"/>
                <w:kern w:val="0"/>
                <w:sz w:val="20"/>
                <w:szCs w:val="20"/>
              </w:rPr>
            </w:pPr>
            <w:r>
              <w:rPr>
                <w:rFonts w:ascii="宋体" w:hAnsi="宋体" w:cs="宋体"/>
                <w:b/>
                <w:bCs/>
                <w:color w:val="000000"/>
                <w:kern w:val="0"/>
              </w:rPr>
              <w:t>规格</w:t>
            </w:r>
          </w:p>
        </w:tc>
        <w:tc>
          <w:tcPr>
            <w:tcW w:w="646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color w:val="000000"/>
                <w:kern w:val="0"/>
                <w:sz w:val="20"/>
                <w:szCs w:val="20"/>
              </w:rPr>
            </w:pPr>
            <w:r>
              <w:rPr>
                <w:rFonts w:ascii="宋体" w:hAnsi="宋体" w:cs="宋体"/>
                <w:b/>
                <w:bCs/>
                <w:color w:val="000000"/>
                <w:kern w:val="0"/>
              </w:rPr>
              <w:t>指标要求</w:t>
            </w:r>
          </w:p>
        </w:tc>
      </w:tr>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服务描述</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提供实时流数据计算服务，支持数据实时处理。</w:t>
            </w:r>
          </w:p>
        </w:tc>
      </w:tr>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部署模式</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支持集群或分布式部署模式</w:t>
            </w:r>
          </w:p>
        </w:tc>
      </w:tr>
      <w:tr>
        <w:tblPrEx>
          <w:tblCellMar>
            <w:top w:w="0" w:type="dxa"/>
            <w:left w:w="108" w:type="dxa"/>
            <w:bottom w:w="0" w:type="dxa"/>
            <w:right w:w="108" w:type="dxa"/>
          </w:tblCellMar>
        </w:tblPrEx>
        <w:trPr>
          <w:trHeight w:val="199"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功能要求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（1）采用分布式计算框架提供流式计算服务，可按需扩容；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（2）单集群内支持资源按需扩容、缩容；扩容、缩容过程不影响在线业务使用；</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（3）支持流计算作业断点续跑，支持用户在线修改逻辑并系统支持断点续跑功能；</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（4）支持常规的COUNT、SUM、AVG、MAX、MIN 等以及个性化的统计分析函数；</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（5）支持用户对全局的作业资源调整；</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（6）提供在线流计算作业调试，调试容器保证调试过程不干扰线上环境。</w:t>
            </w:r>
          </w:p>
        </w:tc>
      </w:tr>
      <w:tr>
        <w:tblPrEx>
          <w:tblCellMar>
            <w:top w:w="0" w:type="dxa"/>
            <w:left w:w="108" w:type="dxa"/>
            <w:bottom w:w="0" w:type="dxa"/>
            <w:right w:w="108" w:type="dxa"/>
          </w:tblCellMar>
        </w:tblPrEx>
        <w:trPr>
          <w:trHeight w:val="92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性能要求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（1）计算集群最高可扩容支持不少于200台的计算能力；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（2）数据计算延迟优化到秒级；</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（3）单个作业吞吐量可达到百万级别；</w:t>
            </w:r>
          </w:p>
        </w:tc>
      </w:tr>
      <w:tr>
        <w:tblPrEx>
          <w:tblCellMar>
            <w:top w:w="0" w:type="dxa"/>
            <w:left w:w="108" w:type="dxa"/>
            <w:bottom w:w="0" w:type="dxa"/>
            <w:right w:w="108" w:type="dxa"/>
          </w:tblCellMar>
        </w:tblPrEx>
        <w:trPr>
          <w:trHeight w:val="62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安全性要求</w:t>
            </w:r>
          </w:p>
        </w:tc>
        <w:tc>
          <w:tcPr>
            <w:tcW w:w="6465"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1、具备完善的权限认证，保证不同权限间的安全隐私。</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2、提供的软件产品通过第三方安全检测。</w:t>
            </w:r>
          </w:p>
        </w:tc>
      </w:tr>
      <w:tr>
        <w:tblPrEx>
          <w:tblCellMar>
            <w:top w:w="0" w:type="dxa"/>
            <w:left w:w="108" w:type="dxa"/>
            <w:bottom w:w="0" w:type="dxa"/>
            <w:right w:w="108" w:type="dxa"/>
          </w:tblCellMar>
        </w:tblPrEx>
        <w:trPr>
          <w:trHeight w:val="9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提供包括不限于该服务的安装介质、版本升级介质、适配改造、安全问题修复、应急保障、产品文档、培训咨询、巡检服务、性能调优、重要活动和重大节假日现场值守保障等保障服务。</w:t>
            </w:r>
          </w:p>
        </w:tc>
      </w:tr>
      <w:tr>
        <w:tblPrEx>
          <w:tblCellMar>
            <w:top w:w="0" w:type="dxa"/>
            <w:left w:w="108" w:type="dxa"/>
            <w:bottom w:w="0" w:type="dxa"/>
            <w:right w:w="108" w:type="dxa"/>
          </w:tblCellMar>
        </w:tblPrEx>
        <w:trPr>
          <w:trHeight w:val="9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验收考核要求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1、提供PaaS服务对应软件产品的使用详情，以及按业务应用（project）使用的依据。</w:t>
            </w:r>
            <w:r>
              <w:rPr>
                <w:rFonts w:hint="eastAsia" w:ascii="宋体" w:hAnsi="宋体" w:eastAsia="宋体" w:cs="宋体"/>
                <w:color w:val="000000"/>
                <w:kern w:val="0"/>
                <w:sz w:val="20"/>
                <w:szCs w:val="20"/>
              </w:rPr>
              <w:br w:type="textWrapping"/>
            </w:r>
            <w:r>
              <w:rPr>
                <w:rFonts w:ascii="宋体" w:hAnsi="宋体" w:eastAsia="宋体" w:cs="宋体"/>
                <w:color w:val="000000"/>
                <w:kern w:val="0"/>
                <w:sz w:val="20"/>
                <w:szCs w:val="20"/>
              </w:rPr>
              <w:t>2</w:t>
            </w:r>
            <w:r>
              <w:rPr>
                <w:rFonts w:hint="eastAsia" w:ascii="宋体" w:hAnsi="宋体" w:eastAsia="宋体" w:cs="宋体"/>
                <w:color w:val="000000"/>
                <w:kern w:val="0"/>
                <w:sz w:val="20"/>
                <w:szCs w:val="20"/>
              </w:rPr>
              <w:t>、服务结算按照实际业务应用（project）数量计算。</w:t>
            </w:r>
          </w:p>
        </w:tc>
      </w:tr>
    </w:tbl>
    <w:p/>
    <w:p>
      <w:pPr>
        <w:pStyle w:val="4"/>
        <w:numPr>
          <w:ilvl w:val="2"/>
          <w:numId w:val="5"/>
        </w:numPr>
        <w:spacing w:before="160" w:line="300" w:lineRule="exact"/>
        <w:ind w:left="420"/>
        <w:rPr>
          <w:rFonts w:ascii="宋体" w:hAnsi="宋体"/>
        </w:rPr>
      </w:pPr>
      <w:r>
        <w:rPr>
          <w:rFonts w:hint="eastAsia" w:ascii="宋体" w:hAnsi="宋体"/>
        </w:rPr>
        <w:t>数据通道服务</w:t>
      </w:r>
    </w:p>
    <w:tbl>
      <w:tblPr>
        <w:tblStyle w:val="11"/>
        <w:tblW w:w="8215" w:type="dxa"/>
        <w:tblInd w:w="154" w:type="dxa"/>
        <w:tblLayout w:type="autofit"/>
        <w:tblCellMar>
          <w:top w:w="0" w:type="dxa"/>
          <w:left w:w="108" w:type="dxa"/>
          <w:bottom w:w="0" w:type="dxa"/>
          <w:right w:w="108" w:type="dxa"/>
        </w:tblCellMar>
      </w:tblPr>
      <w:tblGrid>
        <w:gridCol w:w="1750"/>
        <w:gridCol w:w="6465"/>
      </w:tblGrid>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b/>
                <w:bCs/>
                <w:color w:val="000000"/>
                <w:kern w:val="0"/>
                <w:sz w:val="20"/>
                <w:szCs w:val="20"/>
              </w:rPr>
            </w:pPr>
            <w:r>
              <w:rPr>
                <w:rFonts w:ascii="宋体" w:hAnsi="宋体" w:cs="宋体"/>
                <w:b/>
                <w:bCs/>
                <w:color w:val="000000"/>
                <w:kern w:val="0"/>
              </w:rPr>
              <w:t>规格</w:t>
            </w:r>
          </w:p>
        </w:tc>
        <w:tc>
          <w:tcPr>
            <w:tcW w:w="646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color w:val="000000"/>
                <w:kern w:val="0"/>
                <w:sz w:val="20"/>
                <w:szCs w:val="20"/>
              </w:rPr>
            </w:pPr>
            <w:r>
              <w:rPr>
                <w:rFonts w:ascii="宋体" w:hAnsi="宋体" w:cs="宋体"/>
                <w:b/>
                <w:bCs/>
                <w:color w:val="000000"/>
                <w:kern w:val="0"/>
              </w:rPr>
              <w:t>指标要求</w:t>
            </w:r>
          </w:p>
        </w:tc>
      </w:tr>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服务描述</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提供数据通道服务，支持实时数据的发布、订阅及转发功能。</w:t>
            </w:r>
          </w:p>
        </w:tc>
      </w:tr>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部署模式</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支持集群或分布式部署模式</w:t>
            </w:r>
          </w:p>
        </w:tc>
      </w:tr>
      <w:tr>
        <w:tblPrEx>
          <w:tblCellMar>
            <w:top w:w="0" w:type="dxa"/>
            <w:left w:w="108" w:type="dxa"/>
            <w:bottom w:w="0" w:type="dxa"/>
            <w:right w:w="108" w:type="dxa"/>
          </w:tblCellMar>
        </w:tblPrEx>
        <w:trPr>
          <w:trHeight w:val="75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功能要求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（1）支持单机配额管理；</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（2）支持各种流控策略。支持分布式资源调度，平台完全服务化；</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（3）支持数据多副本，容忍单节点宕机。支持多集群容灾功能；</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（4）支持在线热升级。支持数据生命周期设置；</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（5）支持单主题（Topic）粒度多租户隔离；</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（6）支持多种开源插件数据导入（Fluentd/Logstash/OGG）；</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（7）支持结构化（TUPLE）和非结构化数据（BLOB）存储；</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（8）支持通用流式数据pub/sub功能</w:t>
            </w:r>
          </w:p>
        </w:tc>
      </w:tr>
      <w:tr>
        <w:tblPrEx>
          <w:tblCellMar>
            <w:top w:w="0" w:type="dxa"/>
            <w:left w:w="108" w:type="dxa"/>
            <w:bottom w:w="0" w:type="dxa"/>
            <w:right w:w="108" w:type="dxa"/>
          </w:tblCellMar>
        </w:tblPrEx>
        <w:trPr>
          <w:trHeight w:val="62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性能要求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（1）读写延时毫秒级别；</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（2）单主题（Topic）最高支持每日TB级别的数据量写入；</w:t>
            </w:r>
          </w:p>
        </w:tc>
      </w:tr>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安全性要求</w:t>
            </w:r>
          </w:p>
        </w:tc>
        <w:tc>
          <w:tcPr>
            <w:tcW w:w="6465"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提供的软件产品通过第三方安全检测。</w:t>
            </w:r>
          </w:p>
        </w:tc>
      </w:tr>
      <w:tr>
        <w:tblPrEx>
          <w:tblCellMar>
            <w:top w:w="0" w:type="dxa"/>
            <w:left w:w="108" w:type="dxa"/>
            <w:bottom w:w="0" w:type="dxa"/>
            <w:right w:w="108" w:type="dxa"/>
          </w:tblCellMar>
        </w:tblPrEx>
        <w:trPr>
          <w:trHeight w:val="122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提供包括不限于该服务的安装介质、版本升级介质、适配改造、安全问题修复、应急保障、产品文档、培训咨询、巡检服务、性能调优、重要活动和重大节假日现场值守保障等保障服务。</w:t>
            </w:r>
          </w:p>
        </w:tc>
      </w:tr>
      <w:tr>
        <w:tblPrEx>
          <w:tblCellMar>
            <w:top w:w="0" w:type="dxa"/>
            <w:left w:w="108" w:type="dxa"/>
            <w:bottom w:w="0" w:type="dxa"/>
            <w:right w:w="108" w:type="dxa"/>
          </w:tblCellMar>
        </w:tblPrEx>
        <w:trPr>
          <w:trHeight w:val="9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验收考核要求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1、提供PaaS服务对应软件产品的使用详情，以及按主题表(Topic)使用的依据。</w:t>
            </w:r>
            <w:r>
              <w:rPr>
                <w:rFonts w:hint="eastAsia" w:ascii="宋体" w:hAnsi="宋体" w:eastAsia="宋体" w:cs="宋体"/>
                <w:color w:val="000000"/>
                <w:kern w:val="0"/>
                <w:sz w:val="20"/>
                <w:szCs w:val="20"/>
              </w:rPr>
              <w:br w:type="textWrapping"/>
            </w:r>
            <w:r>
              <w:rPr>
                <w:rFonts w:ascii="宋体" w:hAnsi="宋体" w:eastAsia="宋体" w:cs="宋体"/>
                <w:color w:val="000000"/>
                <w:kern w:val="0"/>
                <w:sz w:val="20"/>
                <w:szCs w:val="20"/>
              </w:rPr>
              <w:t>2</w:t>
            </w:r>
            <w:r>
              <w:rPr>
                <w:rFonts w:hint="eastAsia" w:ascii="宋体" w:hAnsi="宋体" w:eastAsia="宋体" w:cs="宋体"/>
                <w:color w:val="000000"/>
                <w:kern w:val="0"/>
                <w:sz w:val="20"/>
                <w:szCs w:val="20"/>
              </w:rPr>
              <w:t>、服务结算按照实际使用的主题表(Topic)数量计算。</w:t>
            </w:r>
          </w:p>
        </w:tc>
      </w:tr>
    </w:tbl>
    <w:p/>
    <w:p>
      <w:pPr>
        <w:pStyle w:val="4"/>
        <w:numPr>
          <w:ilvl w:val="2"/>
          <w:numId w:val="5"/>
        </w:numPr>
        <w:spacing w:before="160" w:line="300" w:lineRule="exact"/>
        <w:ind w:left="420"/>
        <w:rPr>
          <w:rFonts w:ascii="宋体" w:hAnsi="宋体"/>
        </w:rPr>
      </w:pPr>
      <w:r>
        <w:rPr>
          <w:rFonts w:hint="eastAsia" w:ascii="宋体" w:hAnsi="宋体"/>
        </w:rPr>
        <w:t>大数据离线计算服务</w:t>
      </w:r>
    </w:p>
    <w:tbl>
      <w:tblPr>
        <w:tblStyle w:val="11"/>
        <w:tblW w:w="8215" w:type="dxa"/>
        <w:tblInd w:w="154" w:type="dxa"/>
        <w:tblLayout w:type="autofit"/>
        <w:tblCellMar>
          <w:top w:w="0" w:type="dxa"/>
          <w:left w:w="108" w:type="dxa"/>
          <w:bottom w:w="0" w:type="dxa"/>
          <w:right w:w="108" w:type="dxa"/>
        </w:tblCellMar>
      </w:tblPr>
      <w:tblGrid>
        <w:gridCol w:w="1750"/>
        <w:gridCol w:w="6465"/>
      </w:tblGrid>
      <w:tr>
        <w:tblPrEx>
          <w:tblCellMar>
            <w:top w:w="0" w:type="dxa"/>
            <w:left w:w="108" w:type="dxa"/>
            <w:bottom w:w="0" w:type="dxa"/>
            <w:right w:w="108" w:type="dxa"/>
          </w:tblCellMar>
        </w:tblPrEx>
        <w:trPr>
          <w:trHeight w:val="98" w:hRule="atLeast"/>
        </w:trPr>
        <w:tc>
          <w:tcPr>
            <w:tcW w:w="175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b/>
                <w:bCs/>
                <w:color w:val="000000"/>
                <w:kern w:val="0"/>
                <w:sz w:val="20"/>
                <w:szCs w:val="20"/>
              </w:rPr>
            </w:pPr>
            <w:r>
              <w:rPr>
                <w:rFonts w:ascii="宋体" w:hAnsi="宋体" w:cs="宋体"/>
                <w:b/>
                <w:bCs/>
                <w:color w:val="000000"/>
                <w:kern w:val="0"/>
              </w:rPr>
              <w:t>规格</w:t>
            </w:r>
          </w:p>
        </w:tc>
        <w:tc>
          <w:tcPr>
            <w:tcW w:w="646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vAlign w:val="center"/>
          </w:tcPr>
          <w:p>
            <w:pPr>
              <w:jc w:val="center"/>
              <w:rPr>
                <w:rFonts w:ascii="宋体" w:hAnsi="宋体" w:eastAsia="宋体" w:cs="宋体"/>
                <w:color w:val="000000"/>
                <w:kern w:val="0"/>
                <w:sz w:val="20"/>
                <w:szCs w:val="20"/>
              </w:rPr>
            </w:pPr>
            <w:r>
              <w:rPr>
                <w:rFonts w:ascii="宋体" w:hAnsi="宋体" w:cs="宋体"/>
                <w:b/>
                <w:bCs/>
                <w:color w:val="000000"/>
                <w:kern w:val="0"/>
              </w:rPr>
              <w:t>指标要求</w:t>
            </w:r>
          </w:p>
        </w:tc>
      </w:tr>
      <w:tr>
        <w:tblPrEx>
          <w:tblCellMar>
            <w:top w:w="0" w:type="dxa"/>
            <w:left w:w="108" w:type="dxa"/>
            <w:bottom w:w="0" w:type="dxa"/>
            <w:right w:w="108" w:type="dxa"/>
          </w:tblCellMar>
        </w:tblPrEx>
        <w:trPr>
          <w:trHeight w:val="62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服务描述</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提供大数据离线计算服务，支持批量结构化数据的存储和计算，用于构建数据仓库和大数据分析。</w:t>
            </w:r>
          </w:p>
        </w:tc>
      </w:tr>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部署模式</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支持集群或分布式部署模式</w:t>
            </w:r>
          </w:p>
        </w:tc>
      </w:tr>
      <w:tr>
        <w:tblPrEx>
          <w:tblCellMar>
            <w:top w:w="0" w:type="dxa"/>
            <w:left w:w="108" w:type="dxa"/>
            <w:bottom w:w="0" w:type="dxa"/>
            <w:right w:w="108" w:type="dxa"/>
          </w:tblCellMar>
        </w:tblPrEx>
        <w:trPr>
          <w:trHeight w:val="1068"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功能要求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（1）采用分布式计算框架提供大规模数据存储与计算，可按需扩容；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（2）支持作业优先级设置功能，在作业任务资源分配优先级上可进行细粒度控制；</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（3）支持数据压缩存储，支持冷数据归档；</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（4）支持分区级别的数据生命周期管理功能；</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（5）支持MapReduce类型的分布式计算任务，支持DAG模式的作业处理方式；</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（6）支持多种主流计算框架，如MapReduce、Spark。</w:t>
            </w:r>
          </w:p>
        </w:tc>
      </w:tr>
      <w:tr>
        <w:tblPrEx>
          <w:tblCellMar>
            <w:top w:w="0" w:type="dxa"/>
            <w:left w:w="108" w:type="dxa"/>
            <w:bottom w:w="0" w:type="dxa"/>
            <w:right w:w="108" w:type="dxa"/>
          </w:tblCellMar>
        </w:tblPrEx>
        <w:trPr>
          <w:trHeight w:val="62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性能要求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（1）单集群可支持PB级数据量；</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（2）最高可支持单表千万级记录的关联分析；</w:t>
            </w:r>
          </w:p>
        </w:tc>
      </w:tr>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安全性要求</w:t>
            </w:r>
          </w:p>
        </w:tc>
        <w:tc>
          <w:tcPr>
            <w:tcW w:w="6465"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提供的软件产品通过第三方安全检测。</w:t>
            </w:r>
          </w:p>
        </w:tc>
      </w:tr>
      <w:tr>
        <w:tblPrEx>
          <w:tblCellMar>
            <w:top w:w="0" w:type="dxa"/>
            <w:left w:w="108" w:type="dxa"/>
            <w:bottom w:w="0" w:type="dxa"/>
            <w:right w:w="108" w:type="dxa"/>
          </w:tblCellMar>
        </w:tblPrEx>
        <w:trPr>
          <w:trHeight w:val="9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提供包括不限于该服务的安装介质、版本升级介质、适配改造、安全问题修复、应急保障、产品文档、培训咨询、巡检服务、性能调优、重要活动和重大节假日现场值守保障等保障服务。</w:t>
            </w:r>
          </w:p>
        </w:tc>
      </w:tr>
      <w:tr>
        <w:tblPrEx>
          <w:tblCellMar>
            <w:top w:w="0" w:type="dxa"/>
            <w:left w:w="108" w:type="dxa"/>
            <w:bottom w:w="0" w:type="dxa"/>
            <w:right w:w="108" w:type="dxa"/>
          </w:tblCellMar>
        </w:tblPrEx>
        <w:trPr>
          <w:trHeight w:val="9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验收考核要求</w:t>
            </w:r>
          </w:p>
        </w:tc>
        <w:tc>
          <w:tcPr>
            <w:tcW w:w="646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1、提供PaaS服务对应软件产品的使用详情，以及按业务应用（project）使用的依据。</w:t>
            </w:r>
            <w:r>
              <w:rPr>
                <w:rFonts w:hint="eastAsia" w:ascii="宋体" w:hAnsi="宋体" w:eastAsia="宋体" w:cs="宋体"/>
                <w:color w:val="000000"/>
                <w:kern w:val="0"/>
                <w:sz w:val="20"/>
                <w:szCs w:val="20"/>
              </w:rPr>
              <w:br w:type="textWrapping"/>
            </w:r>
            <w:r>
              <w:rPr>
                <w:rFonts w:ascii="宋体" w:hAnsi="宋体" w:eastAsia="宋体" w:cs="宋体"/>
                <w:color w:val="000000"/>
                <w:kern w:val="0"/>
                <w:sz w:val="20"/>
                <w:szCs w:val="20"/>
              </w:rPr>
              <w:t>2</w:t>
            </w:r>
            <w:r>
              <w:rPr>
                <w:rFonts w:hint="eastAsia" w:ascii="宋体" w:hAnsi="宋体" w:eastAsia="宋体" w:cs="宋体"/>
                <w:color w:val="000000"/>
                <w:kern w:val="0"/>
                <w:sz w:val="20"/>
                <w:szCs w:val="20"/>
              </w:rPr>
              <w:t>、服务结算按照实际业务应用（project）数量计算。</w:t>
            </w:r>
          </w:p>
        </w:tc>
      </w:tr>
    </w:tbl>
    <w:p/>
    <w:p>
      <w:pPr>
        <w:pStyle w:val="4"/>
        <w:numPr>
          <w:ilvl w:val="2"/>
          <w:numId w:val="5"/>
        </w:numPr>
        <w:spacing w:before="160" w:line="300" w:lineRule="exact"/>
        <w:ind w:left="420"/>
        <w:rPr>
          <w:rFonts w:ascii="宋体" w:hAnsi="宋体"/>
        </w:rPr>
      </w:pPr>
      <w:r>
        <w:rPr>
          <w:rFonts w:hint="eastAsia" w:ascii="宋体" w:hAnsi="宋体"/>
        </w:rPr>
        <w:t>全文检索服务</w:t>
      </w:r>
    </w:p>
    <w:tbl>
      <w:tblPr>
        <w:tblStyle w:val="11"/>
        <w:tblW w:w="8200" w:type="dxa"/>
        <w:tblInd w:w="154" w:type="dxa"/>
        <w:tblLayout w:type="autofit"/>
        <w:tblCellMar>
          <w:top w:w="0" w:type="dxa"/>
          <w:left w:w="108" w:type="dxa"/>
          <w:bottom w:w="0" w:type="dxa"/>
          <w:right w:w="108" w:type="dxa"/>
        </w:tblCellMar>
      </w:tblPr>
      <w:tblGrid>
        <w:gridCol w:w="1750"/>
        <w:gridCol w:w="6450"/>
      </w:tblGrid>
      <w:tr>
        <w:tblPrEx>
          <w:tblCellMar>
            <w:top w:w="0" w:type="dxa"/>
            <w:left w:w="108" w:type="dxa"/>
            <w:bottom w:w="0" w:type="dxa"/>
            <w:right w:w="108" w:type="dxa"/>
          </w:tblCellMar>
        </w:tblPrEx>
        <w:trPr>
          <w:trHeight w:val="62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服务描述</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提供全文检索服务，支持海量数据的精确和模糊搜索，用于构建机构级的搜索引擎。</w:t>
            </w:r>
          </w:p>
        </w:tc>
      </w:tr>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部署模式</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支持集群或分布式部署模式</w:t>
            </w:r>
          </w:p>
        </w:tc>
      </w:tr>
      <w:tr>
        <w:tblPrEx>
          <w:tblCellMar>
            <w:top w:w="0" w:type="dxa"/>
            <w:left w:w="108" w:type="dxa"/>
            <w:bottom w:w="0" w:type="dxa"/>
            <w:right w:w="108" w:type="dxa"/>
          </w:tblCellMar>
        </w:tblPrEx>
        <w:trPr>
          <w:trHeight w:val="244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功能要求</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（1）采用分布式计算框架，可按需扩容；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（2）支持实时，批处理等多种数据写入方式；</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（3）支持对日志等半结构化数据进行精确/模糊检索；</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（4）支持冷热数据分级存储；</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（5）支持节点故障时数据快速恢复；</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（6）提供安全管控能力，支持用户行列级权限控制；</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（7）支持适配国产主流操作系统，如麒麟等；</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（8）支持适配国产主流芯片服务器，如飞腾、鲲鹏等；</w:t>
            </w:r>
          </w:p>
        </w:tc>
      </w:tr>
      <w:tr>
        <w:tblPrEx>
          <w:tblCellMar>
            <w:top w:w="0" w:type="dxa"/>
            <w:left w:w="108" w:type="dxa"/>
            <w:bottom w:w="0" w:type="dxa"/>
            <w:right w:w="108" w:type="dxa"/>
          </w:tblCellMar>
        </w:tblPrEx>
        <w:trPr>
          <w:trHeight w:val="62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性能要求</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（1）支持精确查询秒级响应；</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（2）支持单实例20TB；</w:t>
            </w:r>
          </w:p>
        </w:tc>
      </w:tr>
      <w:tr>
        <w:tblPrEx>
          <w:tblCellMar>
            <w:top w:w="0" w:type="dxa"/>
            <w:left w:w="108" w:type="dxa"/>
            <w:bottom w:w="0" w:type="dxa"/>
            <w:right w:w="108" w:type="dxa"/>
          </w:tblCellMar>
        </w:tblPrEx>
        <w:trPr>
          <w:trHeight w:val="352"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安全性要求</w:t>
            </w:r>
          </w:p>
        </w:tc>
        <w:tc>
          <w:tcPr>
            <w:tcW w:w="6450"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提供的软件产品通过第三方安全检测。</w:t>
            </w:r>
          </w:p>
        </w:tc>
      </w:tr>
      <w:tr>
        <w:tblPrEx>
          <w:tblCellMar>
            <w:top w:w="0" w:type="dxa"/>
            <w:left w:w="108" w:type="dxa"/>
            <w:bottom w:w="0" w:type="dxa"/>
            <w:right w:w="108" w:type="dxa"/>
          </w:tblCellMar>
        </w:tblPrEx>
        <w:trPr>
          <w:trHeight w:val="1220"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服务要求</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提供包括不限于该服务的安装介质、版本升级介质、适配改造、安全问题修复、应急保障、产品文档、培训咨询、巡检服务、性能调优、重要活动和重大节假日现场值守保障等保障服务。</w:t>
            </w:r>
          </w:p>
        </w:tc>
      </w:tr>
      <w:tr>
        <w:tblPrEx>
          <w:tblCellMar>
            <w:top w:w="0" w:type="dxa"/>
            <w:left w:w="108" w:type="dxa"/>
            <w:bottom w:w="0" w:type="dxa"/>
            <w:right w:w="108" w:type="dxa"/>
          </w:tblCellMar>
        </w:tblPrEx>
        <w:trPr>
          <w:trHeight w:val="181" w:hRule="atLeast"/>
        </w:trPr>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验收考核要求</w:t>
            </w:r>
          </w:p>
        </w:tc>
        <w:tc>
          <w:tcPr>
            <w:tcW w:w="6450"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1、满足以上人员要求、部署要求、功能要求、性能要求、兼容性要求、安全性要求、服务要求、管理要求。</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2、提供PaaS服务对应软件产品的使用详情，以及按实例使用的依据。</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3、服务结算按照实际实例计算。</w:t>
            </w:r>
          </w:p>
        </w:tc>
      </w:tr>
    </w:tbl>
    <w:p/>
    <w:p>
      <w:pPr>
        <w:pStyle w:val="2"/>
        <w:numPr>
          <w:ilvl w:val="0"/>
          <w:numId w:val="4"/>
        </w:numPr>
        <w:spacing w:line="276" w:lineRule="auto"/>
        <w:rPr>
          <w:rFonts w:hint="default" w:ascii="宋体" w:hAnsi="宋体"/>
        </w:rPr>
      </w:pPr>
      <w:r>
        <w:rPr>
          <w:rFonts w:ascii="宋体" w:hAnsi="宋体"/>
        </w:rPr>
        <w:t>运维服务支撑要求</w:t>
      </w:r>
    </w:p>
    <w:p>
      <w:pPr>
        <w:spacing w:line="276" w:lineRule="auto"/>
        <w:ind w:left="420" w:firstLine="420"/>
      </w:pPr>
      <w:r>
        <w:rPr>
          <w:rFonts w:hint="eastAsia"/>
        </w:rPr>
        <w:t>中</w:t>
      </w:r>
      <w:r>
        <w:t>标人向采购人提供采购需求文件中采购的所有内容的培训和维护服务的全部内容，提供上海市电子政务云资源租赁服务，并负责包含但不限于政务云平台的硬件安装、软件集成、运维管理工作。中标人按照服务质量保证的服务标准要求提供各种售后服务，负责对其提供的服务进行维护或升级。</w:t>
      </w:r>
    </w:p>
    <w:p>
      <w:pPr>
        <w:pStyle w:val="15"/>
        <w:keepNext/>
        <w:keepLines/>
        <w:widowControl/>
        <w:numPr>
          <w:ilvl w:val="0"/>
          <w:numId w:val="5"/>
        </w:numPr>
        <w:topLinePunct/>
        <w:adjustRightInd w:val="0"/>
        <w:snapToGrid w:val="0"/>
        <w:ind w:firstLineChars="0"/>
        <w:jc w:val="left"/>
        <w:outlineLvl w:val="1"/>
        <w:rPr>
          <w:rFonts w:ascii="Book Antiqua" w:hAnsi="Book Antiqua" w:eastAsia="宋体"/>
          <w:bCs/>
          <w:vanish/>
          <w:kern w:val="0"/>
          <w:szCs w:val="36"/>
        </w:rPr>
      </w:pPr>
    </w:p>
    <w:p>
      <w:pPr>
        <w:pStyle w:val="3"/>
        <w:numPr>
          <w:ilvl w:val="1"/>
          <w:numId w:val="5"/>
        </w:numPr>
        <w:ind w:left="420"/>
        <w:rPr>
          <w:lang w:eastAsia="zh-CN"/>
        </w:rPr>
      </w:pPr>
      <w:r>
        <w:rPr>
          <w:rFonts w:hint="eastAsia"/>
          <w:lang w:eastAsia="zh-CN"/>
        </w:rPr>
        <w:t>运维团队要求</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ascii="宋体" w:hAnsi="宋体"/>
        </w:rPr>
        <w:t>中标人提供热线电话、电子邮件和在线网站等技术支持方式，提供 7*24 小时电话响应服务。中标人提供7*24小时的现场运维服务，重大节点强化保障，确保政务云平台整体可用性不低于99.99%。</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ascii="宋体" w:hAnsi="宋体"/>
        </w:rPr>
        <w:t>日常监控、巡检：对政务云平台进行日常监控、巡检，包括监控告警的处理，巡检异常的处理等；中标人需制定维护管理规定，并按照规定中的维护项目、周期和要求，制定详细的作业计划并执行。</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ascii="宋体" w:hAnsi="宋体"/>
        </w:rPr>
        <w:t>系统扩容：中标人应承诺，在日常运维过程中，当政务云平台资源使用率超出限定额度或平台资源数量、功能、性能等方面不满足最终用户使用要求时，中标人需对现有平台进行扩容。在采购人发起扩容需求后，中标人需在1个工作日内响应，在5个工作日内完成扩容任务，同时向采购人提交扩容后平台的资源情况报告。</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hint="eastAsia" w:ascii="宋体" w:hAnsi="宋体"/>
        </w:rPr>
        <w:t>服务升级：中标人应当承诺，在日常运维过程中提供的平台软件层服务功能、性能等方面需要升级更新时，中标人应当在2工作日内作出响应，经</w:t>
      </w:r>
      <w:r>
        <w:rPr>
          <w:rFonts w:ascii="宋体" w:hAnsi="宋体"/>
        </w:rPr>
        <w:t>采购人</w:t>
      </w:r>
      <w:r>
        <w:rPr>
          <w:rFonts w:hint="eastAsia" w:ascii="宋体" w:hAnsi="宋体"/>
        </w:rPr>
        <w:t>确认升级方案后，按照计划完成升级任务。</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ascii="宋体" w:hAnsi="宋体"/>
        </w:rPr>
        <w:t>政务云平台故障处理：处理政务云平台发生的各类软硬件、通信线路等故障，确保上层业务系统能够正常稳定运行；其中故障处理流程需要电子化并规定处理时限及当前处理环节的责任部门和责任人。</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ascii="宋体" w:hAnsi="宋体"/>
        </w:rPr>
        <w:t>迁移及升级割接：开展业务系统迁移割接和政务云平台软硬件升级割接；中标人在升级前制定完善的操作实施方案，在方案中尽量降低对上层业务系统的影响；对于可能影响上层业务系统的各类操作，应全面评估操作影响，并提前通知采购人具体操作计划安排，在采购人的相关业务部门同意后方可执行操作。根据采购人要求提供业务开通报告及验收测试报告。</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ascii="宋体" w:hAnsi="宋体"/>
        </w:rPr>
        <w:t>系统中断：</w:t>
      </w:r>
      <w:r>
        <w:rPr>
          <w:rFonts w:hint="eastAsia" w:ascii="宋体" w:hAnsi="宋体"/>
        </w:rPr>
        <w:t>中</w:t>
      </w:r>
      <w:r>
        <w:rPr>
          <w:rFonts w:ascii="宋体" w:hAnsi="宋体"/>
        </w:rPr>
        <w:t>标人由于维护原因，需中断系统进行平台升级操作时，提前至少72小时（重大自然灾害除外）通知采购人做好相关准备工作，征得采购人同意方可实施。</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中标人提供的平台软件层服务应当包含相应的软件安装介质、软件更新介质、软件使用技术支持、软件安装手册、业务场景接入技术支持以及服务使用培训等服务。</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ascii="宋体" w:hAnsi="宋体"/>
        </w:rPr>
        <w:t>应急演练与应急响应：根据政务云平台高可用设计特性和各组件的重要性进行针对性演练，制订应急预案，每年组织至少2次应急演练。当发生重大应急事件时，中标人需在采购人的牵头下实施应急响应操作，并在事后制定重大事件报告。</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ascii="宋体" w:hAnsi="宋体"/>
        </w:rPr>
        <w:t>安全加固：对政务云平台各个基础组件进行安全策略配置、安全扫描和系统漏洞的加固。</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ascii="宋体" w:hAnsi="宋体"/>
        </w:rPr>
        <w:t>配置实施及管理：进行政务云平台各软硬件设备的基础配置、IP配置、角色用途、账号密码等的统一配置实施及配置管理。</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ascii="宋体" w:hAnsi="宋体"/>
        </w:rPr>
        <w:t>故障处理和响应：中标人需对合同服务出现的故障响应做出相关保证。中标人应建立完善的政务云故障管理体系，管理体系涵盖故障处理的故障等级、职责分工和处理界面，每个处理流程留有电子化记录并在每个处理环节中落实到中标人的部门和相应的处理接口人。按照故障等级不同，需要有不同的处理时长和故障恢复时限。要求故障处理流程符合《市级电子政务云及政务外网故障上报机制（试行）》。</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ascii="宋体" w:hAnsi="宋体"/>
        </w:rPr>
        <w:t>节假日保障：重大节假日期间进行政务云平台运行和信息安全的重点保障。</w:t>
      </w:r>
    </w:p>
    <w:p>
      <w:pPr>
        <w:pStyle w:val="3"/>
        <w:numPr>
          <w:ilvl w:val="1"/>
          <w:numId w:val="5"/>
        </w:numPr>
        <w:ind w:left="420"/>
        <w:rPr>
          <w:lang w:eastAsia="zh-CN"/>
        </w:rPr>
      </w:pPr>
      <w:r>
        <w:rPr>
          <w:rFonts w:hint="eastAsia"/>
          <w:lang w:eastAsia="zh-CN"/>
        </w:rPr>
        <w:t>驻场服务要求</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标人应为上海市电子政务云单独建立管理组织，配置相应团队。</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运维团队不少于 40 人，其中云计算平台应保证核心服务人员不少于 10 人，客户响应及运营人员不少于10人，云业务管理平台、业务核心交换机驻场服务人员不少于4人，</w:t>
      </w:r>
      <w:r>
        <w:rPr>
          <w:rFonts w:hint="eastAsia" w:ascii="宋体" w:hAnsi="宋体"/>
        </w:rPr>
        <w:t>平台软件层驻场服务人员不少于10人</w:t>
      </w:r>
      <w:r>
        <w:rPr>
          <w:rFonts w:hint="eastAsia" w:ascii="宋体" w:hAnsi="宋体"/>
          <w:lang w:eastAsia="zh-CN"/>
        </w:rPr>
        <w:t>，</w:t>
      </w:r>
      <w:r>
        <w:rPr>
          <w:rFonts w:ascii="宋体" w:hAnsi="宋体"/>
        </w:rPr>
        <w:t>其他现场驻场人员不少于6人。（提供</w:t>
      </w:r>
      <w:r>
        <w:rPr>
          <w:rFonts w:hint="eastAsia" w:ascii="宋体" w:hAnsi="宋体"/>
          <w:szCs w:val="21"/>
          <w:lang w:eastAsia="zh-CN"/>
        </w:rPr>
        <w:t>开标前三个月中</w:t>
      </w:r>
      <w:r>
        <w:rPr>
          <w:rFonts w:hint="eastAsia" w:ascii="宋体" w:hAnsi="宋体"/>
          <w:color w:val="000000"/>
          <w:szCs w:val="21"/>
        </w:rPr>
        <w:t>任意一个月</w:t>
      </w:r>
      <w:r>
        <w:rPr>
          <w:rFonts w:ascii="宋体" w:hAnsi="宋体"/>
        </w:rPr>
        <w:t>依法缴纳社保费的证明，原件彩色扫描件）。</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中标人应在项目服务期内配合各业务部门做好应用上云及迁移工作，确保平稳过渡、顺利迁移。</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配合需求单位对上云及迁移业务系统进行调查摸底</w:t>
      </w:r>
      <w:r>
        <w:rPr>
          <w:rFonts w:hint="eastAsia" w:ascii="宋体" w:hAnsi="宋体"/>
          <w:lang w:val="en-US" w:eastAsia="zh-CN"/>
        </w:rPr>
        <w:t>并</w:t>
      </w:r>
      <w:r>
        <w:rPr>
          <w:rFonts w:ascii="宋体" w:hAnsi="宋体"/>
        </w:rPr>
        <w:t>制定上云及迁移方案，提供架构设计咨询，在系统上云迁移前期提供迁移</w:t>
      </w:r>
      <w:r>
        <w:rPr>
          <w:rFonts w:hint="eastAsia" w:ascii="宋体" w:hAnsi="宋体"/>
        </w:rPr>
        <w:t>支持</w:t>
      </w:r>
      <w:r>
        <w:rPr>
          <w:rFonts w:ascii="宋体" w:hAnsi="宋体"/>
        </w:rPr>
        <w:t>服务。提供服务方案，应配合各需求部门做好上云及整体迁移工作。</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ascii="宋体" w:hAnsi="宋体"/>
        </w:rPr>
        <w:t>中标人应制定政务云平台使用规范、政务云安全防护管理办法等规范标准，协助各级部门进行相关业务应用系统的部署、运行和安全保障。</w:t>
      </w:r>
    </w:p>
    <w:p>
      <w:pPr>
        <w:pStyle w:val="3"/>
        <w:numPr>
          <w:ilvl w:val="1"/>
          <w:numId w:val="5"/>
        </w:numPr>
        <w:ind w:left="420"/>
        <w:rPr>
          <w:lang w:eastAsia="zh-CN"/>
        </w:rPr>
      </w:pPr>
      <w:r>
        <w:rPr>
          <w:rFonts w:hint="eastAsia"/>
          <w:lang w:eastAsia="zh-CN"/>
        </w:rPr>
        <w:t>能力中心建设要求</w:t>
      </w:r>
    </w:p>
    <w:p>
      <w:pPr>
        <w:widowControl/>
        <w:numPr>
          <w:ilvl w:val="0"/>
          <w:numId w:val="19"/>
        </w:numPr>
        <w:topLinePunct/>
        <w:adjustRightInd w:val="0"/>
        <w:snapToGrid w:val="0"/>
        <w:spacing w:before="100" w:after="100" w:line="300" w:lineRule="exact"/>
        <w:ind w:left="420" w:hangingChars="200"/>
        <w:jc w:val="left"/>
        <w:rPr>
          <w:rFonts w:ascii="宋体" w:hAnsi="宋体"/>
        </w:rPr>
      </w:pPr>
      <w:r>
        <w:rPr>
          <w:rFonts w:ascii="宋体" w:hAnsi="宋体"/>
        </w:rPr>
        <w:t>中标人需根据本项目的特点建立能力中心，包含但不限于政务云平台使用和管理能力培训、软件支撑层操作系统使用和管理能力培训、软件支撑层中间件使用和管理能力培训、软件支撑层数据库使用和管理能力培训，中标人负责安排专业培训讲师授课，并提供全套培训教材和培训课程计划表。</w:t>
      </w:r>
    </w:p>
    <w:p>
      <w:pPr>
        <w:widowControl/>
        <w:numPr>
          <w:ilvl w:val="0"/>
          <w:numId w:val="19"/>
        </w:numPr>
        <w:topLinePunct/>
        <w:adjustRightInd w:val="0"/>
        <w:snapToGrid w:val="0"/>
        <w:spacing w:before="100" w:after="100" w:line="300" w:lineRule="exact"/>
        <w:ind w:left="420" w:hangingChars="200"/>
        <w:jc w:val="left"/>
        <w:rPr>
          <w:rFonts w:ascii="宋体" w:hAnsi="宋体"/>
        </w:rPr>
      </w:pPr>
      <w:r>
        <w:rPr>
          <w:rFonts w:ascii="宋体" w:hAnsi="宋体"/>
        </w:rPr>
        <w:t>投标人需将所有培训费用（含培训教材费）及各项支出计入各服务项费用中，不单独报价。</w:t>
      </w:r>
    </w:p>
    <w:p>
      <w:pPr>
        <w:widowControl/>
        <w:numPr>
          <w:ilvl w:val="0"/>
          <w:numId w:val="19"/>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标人需提供可供能力中心人员使用的办公场所，提供工位不低于50个。</w:t>
      </w:r>
    </w:p>
    <w:p>
      <w:pPr>
        <w:pStyle w:val="3"/>
        <w:numPr>
          <w:ilvl w:val="1"/>
          <w:numId w:val="5"/>
        </w:numPr>
        <w:ind w:left="420"/>
        <w:rPr>
          <w:lang w:eastAsia="zh-CN"/>
        </w:rPr>
      </w:pPr>
      <w:r>
        <w:rPr>
          <w:rFonts w:hint="eastAsia"/>
          <w:lang w:eastAsia="zh-CN"/>
        </w:rPr>
        <w:t>运维制度要求</w:t>
      </w:r>
    </w:p>
    <w:p>
      <w:pPr>
        <w:spacing w:line="276" w:lineRule="auto"/>
        <w:ind w:left="420"/>
      </w:pPr>
      <w:r>
        <w:t>中标人应建立完善的信息系统运维和安全管理制度，建立的制度包括但不限于：</w:t>
      </w:r>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ascii="宋体" w:hAnsi="宋体"/>
        </w:rPr>
        <w:t>信息系统日常运行维护管理。例如：故障处理、配置变更、安全策略优化、运行监控等。</w:t>
      </w:r>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ascii="宋体" w:hAnsi="宋体"/>
        </w:rPr>
        <w:t>信息系统常规安全保障和监控预警工作。例如：操作系统防病毒管理、渗透测试、漏洞扫描、安全巡检、应急响应等，安全运维保障制度符合等保2.0标准。</w:t>
      </w:r>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ascii="宋体" w:hAnsi="宋体"/>
        </w:rPr>
        <w:t>运维人员管理制度。例如：运维团队人员服务管理、机房进出人员管理、工作环境管理办法等。</w:t>
      </w:r>
    </w:p>
    <w:p>
      <w:pPr>
        <w:pStyle w:val="2"/>
        <w:numPr>
          <w:ilvl w:val="0"/>
          <w:numId w:val="4"/>
        </w:numPr>
        <w:spacing w:line="276" w:lineRule="auto"/>
        <w:rPr>
          <w:rFonts w:hint="default" w:ascii="宋体" w:hAnsi="宋体"/>
        </w:rPr>
      </w:pPr>
      <w:r>
        <w:rPr>
          <w:rFonts w:ascii="宋体" w:hAnsi="宋体"/>
        </w:rPr>
        <w:t>机房技术要求</w:t>
      </w:r>
    </w:p>
    <w:p>
      <w:pPr>
        <w:pStyle w:val="15"/>
        <w:keepNext/>
        <w:keepLines/>
        <w:widowControl/>
        <w:numPr>
          <w:ilvl w:val="0"/>
          <w:numId w:val="5"/>
        </w:numPr>
        <w:topLinePunct/>
        <w:adjustRightInd w:val="0"/>
        <w:snapToGrid w:val="0"/>
        <w:ind w:firstLineChars="0"/>
        <w:jc w:val="left"/>
        <w:outlineLvl w:val="1"/>
        <w:rPr>
          <w:rFonts w:ascii="Book Antiqua" w:hAnsi="Book Antiqua" w:eastAsia="宋体"/>
          <w:bCs/>
          <w:vanish/>
          <w:kern w:val="0"/>
          <w:szCs w:val="36"/>
        </w:rPr>
      </w:pPr>
    </w:p>
    <w:p/>
    <w:p>
      <w:pPr>
        <w:pStyle w:val="3"/>
        <w:numPr>
          <w:ilvl w:val="1"/>
          <w:numId w:val="5"/>
        </w:numPr>
        <w:ind w:left="420"/>
        <w:rPr>
          <w:lang w:eastAsia="zh-CN"/>
        </w:rPr>
      </w:pPr>
      <w:r>
        <w:rPr>
          <w:rFonts w:hint="eastAsia"/>
          <w:lang w:eastAsia="zh-CN"/>
        </w:rPr>
        <w:t>机房环境要求</w:t>
      </w:r>
    </w:p>
    <w:tbl>
      <w:tblPr>
        <w:tblStyle w:val="11"/>
        <w:tblW w:w="4746" w:type="pct"/>
        <w:jc w:val="center"/>
        <w:tblLayout w:type="autofit"/>
        <w:tblCellMar>
          <w:top w:w="0" w:type="dxa"/>
          <w:left w:w="108" w:type="dxa"/>
          <w:bottom w:w="0" w:type="dxa"/>
          <w:right w:w="108" w:type="dxa"/>
        </w:tblCellMar>
      </w:tblPr>
      <w:tblGrid>
        <w:gridCol w:w="980"/>
        <w:gridCol w:w="7109"/>
      </w:tblGrid>
      <w:tr>
        <w:tblPrEx>
          <w:tblCellMar>
            <w:top w:w="0" w:type="dxa"/>
            <w:left w:w="108" w:type="dxa"/>
            <w:bottom w:w="0" w:type="dxa"/>
            <w:right w:w="108" w:type="dxa"/>
          </w:tblCellMar>
        </w:tblPrEx>
        <w:trPr>
          <w:trHeight w:val="270" w:hRule="atLeast"/>
          <w:jc w:val="center"/>
        </w:trPr>
        <w:tc>
          <w:tcPr>
            <w:tcW w:w="606" w:type="pct"/>
            <w:tcBorders>
              <w:top w:val="single" w:color="auto" w:sz="4" w:space="0"/>
              <w:left w:val="single" w:color="auto" w:sz="4" w:space="0"/>
              <w:bottom w:val="single" w:color="auto" w:sz="4" w:space="0"/>
              <w:right w:val="single" w:color="auto" w:sz="4" w:space="0"/>
            </w:tcBorders>
            <w:shd w:val="clear" w:color="000000" w:fill="D9D9D9"/>
            <w:vAlign w:val="center"/>
          </w:tcPr>
          <w:p>
            <w:pPr>
              <w:rPr>
                <w:rFonts w:ascii="宋体" w:hAnsi="宋体" w:cs="宋体"/>
                <w:b/>
                <w:bCs/>
                <w:color w:val="000000"/>
                <w:kern w:val="0"/>
              </w:rPr>
            </w:pPr>
            <w:r>
              <w:rPr>
                <w:rFonts w:ascii="宋体" w:hAnsi="宋体" w:cs="宋体"/>
                <w:b/>
                <w:bCs/>
                <w:color w:val="000000"/>
                <w:kern w:val="0"/>
              </w:rPr>
              <w:t>项目</w:t>
            </w:r>
          </w:p>
        </w:tc>
        <w:tc>
          <w:tcPr>
            <w:tcW w:w="4394" w:type="pct"/>
            <w:tcBorders>
              <w:top w:val="single" w:color="auto" w:sz="4" w:space="0"/>
              <w:left w:val="nil"/>
              <w:bottom w:val="single" w:color="auto" w:sz="4" w:space="0"/>
              <w:right w:val="single" w:color="auto" w:sz="4" w:space="0"/>
            </w:tcBorders>
            <w:shd w:val="clear" w:color="000000" w:fill="D9D9D9"/>
            <w:vAlign w:val="center"/>
          </w:tcPr>
          <w:p>
            <w:pPr>
              <w:rPr>
                <w:rFonts w:ascii="宋体" w:hAnsi="宋体" w:cs="宋体"/>
                <w:b/>
                <w:bCs/>
                <w:color w:val="000000"/>
                <w:kern w:val="0"/>
              </w:rPr>
            </w:pPr>
            <w:r>
              <w:rPr>
                <w:rFonts w:ascii="宋体" w:hAnsi="宋体" w:cs="宋体"/>
                <w:b/>
                <w:bCs/>
                <w:color w:val="000000"/>
                <w:kern w:val="0"/>
              </w:rPr>
              <w:t>设计指标</w:t>
            </w:r>
          </w:p>
        </w:tc>
      </w:tr>
      <w:tr>
        <w:tblPrEx>
          <w:tblCellMar>
            <w:top w:w="0" w:type="dxa"/>
            <w:left w:w="108" w:type="dxa"/>
            <w:bottom w:w="0" w:type="dxa"/>
            <w:right w:w="108" w:type="dxa"/>
          </w:tblCellMar>
        </w:tblPrEx>
        <w:trPr>
          <w:trHeight w:val="54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环境要求</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温度：开机时</w:t>
            </w:r>
            <w:r>
              <w:rPr>
                <w:rFonts w:cs="Times New Roman"/>
                <w:color w:val="000000"/>
                <w:kern w:val="0"/>
              </w:rPr>
              <w:t>23</w:t>
            </w:r>
            <w:r>
              <w:rPr>
                <w:rFonts w:ascii="Symbol" w:hAnsi="Symbol" w:cs="宋体"/>
                <w:color w:val="000000"/>
                <w:kern w:val="0"/>
              </w:rPr>
              <w:t></w:t>
            </w:r>
            <w:r>
              <w:rPr>
                <w:rFonts w:cs="Times New Roman"/>
                <w:color w:val="000000"/>
                <w:kern w:val="0"/>
              </w:rPr>
              <w:t xml:space="preserve">C </w:t>
            </w:r>
            <w:r>
              <w:rPr>
                <w:rFonts w:ascii="Symbol" w:hAnsi="Symbol" w:cs="宋体"/>
                <w:color w:val="000000"/>
                <w:kern w:val="0"/>
              </w:rPr>
              <w:t></w:t>
            </w:r>
            <w:r>
              <w:rPr>
                <w:rFonts w:cs="Times New Roman"/>
                <w:color w:val="000000"/>
                <w:kern w:val="0"/>
              </w:rPr>
              <w:t>1</w:t>
            </w:r>
            <w:r>
              <w:rPr>
                <w:rFonts w:ascii="Symbol" w:hAnsi="Symbol" w:cs="宋体"/>
                <w:color w:val="000000"/>
                <w:kern w:val="0"/>
              </w:rPr>
              <w:t></w:t>
            </w:r>
            <w:r>
              <w:rPr>
                <w:rFonts w:cs="Times New Roman"/>
                <w:color w:val="000000"/>
                <w:kern w:val="0"/>
              </w:rPr>
              <w:t>C</w:t>
            </w:r>
            <w:r>
              <w:rPr>
                <w:rFonts w:ascii="宋体" w:hAnsi="宋体" w:cs="宋体"/>
                <w:color w:val="000000"/>
                <w:kern w:val="0"/>
              </w:rPr>
              <w:t>，停机时</w:t>
            </w:r>
            <w:r>
              <w:rPr>
                <w:rFonts w:cs="Times New Roman"/>
                <w:color w:val="000000"/>
                <w:kern w:val="0"/>
              </w:rPr>
              <w:t>5</w:t>
            </w:r>
            <w:r>
              <w:rPr>
                <w:rFonts w:ascii="Symbol" w:hAnsi="Symbol" w:cs="宋体"/>
                <w:color w:val="000000"/>
                <w:kern w:val="0"/>
              </w:rPr>
              <w:t></w:t>
            </w:r>
            <w:r>
              <w:rPr>
                <w:rFonts w:cs="Times New Roman"/>
                <w:color w:val="000000"/>
                <w:kern w:val="0"/>
              </w:rPr>
              <w:t xml:space="preserve">C </w:t>
            </w:r>
            <w:r>
              <w:rPr>
                <w:rFonts w:ascii="宋体" w:hAnsi="宋体" w:cs="宋体"/>
                <w:color w:val="000000"/>
                <w:kern w:val="0"/>
              </w:rPr>
              <w:t>～</w:t>
            </w:r>
            <w:r>
              <w:rPr>
                <w:rFonts w:cs="Times New Roman"/>
                <w:color w:val="000000"/>
                <w:kern w:val="0"/>
              </w:rPr>
              <w:t>35</w:t>
            </w:r>
            <w:r>
              <w:rPr>
                <w:rFonts w:ascii="Symbol" w:hAnsi="Symbol" w:cs="宋体"/>
                <w:color w:val="000000"/>
                <w:kern w:val="0"/>
              </w:rPr>
              <w:t></w:t>
            </w:r>
            <w:r>
              <w:rPr>
                <w:rFonts w:cs="Times New Roman"/>
                <w:color w:val="000000"/>
                <w:kern w:val="0"/>
              </w:rPr>
              <w:t>C</w:t>
            </w:r>
            <w:r>
              <w:rPr>
                <w:rFonts w:ascii="宋体" w:hAnsi="宋体" w:cs="宋体"/>
                <w:color w:val="000000"/>
                <w:kern w:val="0"/>
              </w:rPr>
              <w:t>；相对湿度：开机时</w:t>
            </w:r>
            <w:r>
              <w:rPr>
                <w:rFonts w:cs="Times New Roman"/>
                <w:color w:val="000000"/>
                <w:kern w:val="0"/>
              </w:rPr>
              <w:t xml:space="preserve">40% </w:t>
            </w:r>
            <w:r>
              <w:rPr>
                <w:rFonts w:ascii="宋体" w:hAnsi="宋体" w:cs="宋体"/>
                <w:color w:val="000000"/>
                <w:kern w:val="0"/>
              </w:rPr>
              <w:t>～</w:t>
            </w:r>
            <w:r>
              <w:rPr>
                <w:rFonts w:cs="Times New Roman"/>
                <w:color w:val="000000"/>
                <w:kern w:val="0"/>
              </w:rPr>
              <w:t>55%</w:t>
            </w:r>
            <w:r>
              <w:rPr>
                <w:rFonts w:ascii="宋体" w:hAnsi="宋体" w:cs="宋体"/>
                <w:color w:val="000000"/>
                <w:kern w:val="0"/>
              </w:rPr>
              <w:t>，停机时</w:t>
            </w:r>
            <w:r>
              <w:rPr>
                <w:rFonts w:cs="Times New Roman"/>
                <w:color w:val="000000"/>
                <w:kern w:val="0"/>
              </w:rPr>
              <w:t xml:space="preserve">40% </w:t>
            </w:r>
            <w:r>
              <w:rPr>
                <w:rFonts w:ascii="宋体" w:hAnsi="宋体" w:cs="宋体"/>
                <w:color w:val="000000"/>
                <w:kern w:val="0"/>
              </w:rPr>
              <w:t>～</w:t>
            </w:r>
            <w:r>
              <w:rPr>
                <w:rFonts w:cs="Times New Roman"/>
                <w:color w:val="000000"/>
                <w:kern w:val="0"/>
              </w:rPr>
              <w:t>70%</w:t>
            </w:r>
            <w:r>
              <w:rPr>
                <w:rFonts w:ascii="宋体" w:hAnsi="宋体" w:cs="宋体"/>
                <w:color w:val="000000"/>
                <w:kern w:val="0"/>
              </w:rPr>
              <w:t>；温度变化率＜</w:t>
            </w:r>
            <w:r>
              <w:rPr>
                <w:rFonts w:cs="Times New Roman"/>
                <w:color w:val="000000"/>
                <w:kern w:val="0"/>
              </w:rPr>
              <w:t xml:space="preserve"> 5</w:t>
            </w:r>
            <w:r>
              <w:rPr>
                <w:rFonts w:ascii="Symbol" w:hAnsi="Symbol" w:cs="宋体"/>
                <w:color w:val="000000"/>
                <w:kern w:val="0"/>
              </w:rPr>
              <w:t></w:t>
            </w:r>
            <w:r>
              <w:rPr>
                <w:rFonts w:cs="Times New Roman"/>
                <w:color w:val="000000"/>
                <w:kern w:val="0"/>
              </w:rPr>
              <w:t>C/h</w:t>
            </w:r>
            <w:r>
              <w:rPr>
                <w:rFonts w:ascii="宋体" w:hAnsi="宋体" w:cs="宋体"/>
                <w:color w:val="000000"/>
                <w:kern w:val="0"/>
              </w:rPr>
              <w:t>，不得结露。</w:t>
            </w:r>
          </w:p>
        </w:tc>
      </w:tr>
      <w:tr>
        <w:tblPrEx>
          <w:tblCellMar>
            <w:top w:w="0" w:type="dxa"/>
            <w:left w:w="108" w:type="dxa"/>
            <w:bottom w:w="0" w:type="dxa"/>
            <w:right w:w="108" w:type="dxa"/>
          </w:tblCellMar>
        </w:tblPrEx>
        <w:trPr>
          <w:trHeight w:val="585"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结构</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抗震：乙级以上，抗震烈度8度及以上，机房活荷载标准值≥</w:t>
            </w:r>
            <w:r>
              <w:rPr>
                <w:rFonts w:cs="Times New Roman"/>
                <w:color w:val="000000"/>
                <w:kern w:val="0"/>
              </w:rPr>
              <w:t>8kN/m</w:t>
            </w:r>
            <w:r>
              <w:rPr>
                <w:rFonts w:cs="Times New Roman"/>
                <w:color w:val="000000"/>
                <w:kern w:val="0"/>
                <w:vertAlign w:val="superscript"/>
              </w:rPr>
              <w:t>2</w:t>
            </w:r>
            <w:r>
              <w:rPr>
                <w:rFonts w:ascii="宋体" w:hAnsi="宋体" w:cs="宋体"/>
                <w:color w:val="000000"/>
                <w:kern w:val="0"/>
              </w:rPr>
              <w:t>，电池室≥</w:t>
            </w:r>
            <w:r>
              <w:rPr>
                <w:rFonts w:cs="Times New Roman"/>
                <w:color w:val="000000"/>
                <w:kern w:val="0"/>
              </w:rPr>
              <w:t>16kN/m</w:t>
            </w:r>
            <w:r>
              <w:rPr>
                <w:rFonts w:cs="Times New Roman"/>
                <w:color w:val="000000"/>
                <w:kern w:val="0"/>
                <w:vertAlign w:val="superscript"/>
              </w:rPr>
              <w:t>2</w:t>
            </w:r>
            <w:r>
              <w:rPr>
                <w:rFonts w:ascii="宋体" w:hAnsi="宋体" w:cs="宋体"/>
                <w:color w:val="000000"/>
                <w:kern w:val="0"/>
              </w:rPr>
              <w:t>，机房外墙不宜设采光窗，耐火等级：一级。</w:t>
            </w:r>
          </w:p>
        </w:tc>
      </w:tr>
      <w:tr>
        <w:tblPrEx>
          <w:tblCellMar>
            <w:top w:w="0" w:type="dxa"/>
            <w:left w:w="108" w:type="dxa"/>
            <w:bottom w:w="0" w:type="dxa"/>
            <w:right w:w="108" w:type="dxa"/>
          </w:tblCellMar>
        </w:tblPrEx>
        <w:trPr>
          <w:trHeight w:val="585" w:hRule="atLeast"/>
          <w:jc w:val="center"/>
        </w:trPr>
        <w:tc>
          <w:tcPr>
            <w:tcW w:w="606" w:type="pct"/>
            <w:vMerge w:val="restar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空气调节</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机房专用空调</w:t>
            </w:r>
            <w:r>
              <w:rPr>
                <w:rFonts w:cs="Times New Roman"/>
                <w:color w:val="000000"/>
                <w:kern w:val="0"/>
              </w:rPr>
              <w:t>N+1</w:t>
            </w:r>
            <w:r>
              <w:rPr>
                <w:rFonts w:ascii="宋体" w:hAnsi="宋体" w:cs="宋体"/>
                <w:color w:val="000000"/>
                <w:kern w:val="0"/>
              </w:rPr>
              <w:t>冗余，制冷量按</w:t>
            </w:r>
            <w:r>
              <w:rPr>
                <w:rFonts w:cs="Times New Roman"/>
                <w:color w:val="000000"/>
                <w:kern w:val="0"/>
              </w:rPr>
              <w:t>300W/m</w:t>
            </w:r>
            <w:r>
              <w:rPr>
                <w:rFonts w:cs="Times New Roman"/>
                <w:color w:val="000000"/>
                <w:kern w:val="0"/>
                <w:vertAlign w:val="superscript"/>
              </w:rPr>
              <w:t>2</w:t>
            </w:r>
            <w:r>
              <w:rPr>
                <w:rFonts w:ascii="宋体" w:hAnsi="宋体" w:cs="宋体"/>
                <w:color w:val="000000"/>
                <w:kern w:val="0"/>
              </w:rPr>
              <w:t>估算，总冷量负偏差不大于</w:t>
            </w:r>
            <w:r>
              <w:rPr>
                <w:rFonts w:cs="Times New Roman"/>
                <w:color w:val="000000"/>
                <w:kern w:val="0"/>
              </w:rPr>
              <w:t>5%</w:t>
            </w:r>
            <w:r>
              <w:rPr>
                <w:rFonts w:ascii="宋体" w:hAnsi="宋体" w:cs="宋体"/>
                <w:color w:val="000000"/>
                <w:kern w:val="0"/>
              </w:rPr>
              <w:t>；空调系统供电应采取双路市电自动切换线路供电，每台空调应采用独立回路供电；</w:t>
            </w:r>
          </w:p>
        </w:tc>
      </w:tr>
      <w:tr>
        <w:tblPrEx>
          <w:tblCellMar>
            <w:top w:w="0" w:type="dxa"/>
            <w:left w:w="108" w:type="dxa"/>
            <w:bottom w:w="0" w:type="dxa"/>
            <w:right w:w="108" w:type="dxa"/>
          </w:tblCellMar>
        </w:tblPrEx>
        <w:trPr>
          <w:trHeight w:val="525" w:hRule="atLeast"/>
          <w:jc w:val="center"/>
        </w:trPr>
        <w:tc>
          <w:tcPr>
            <w:tcW w:w="606"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机房和辅助区应设置空气调节系统，机房应保持正压，主机房与其它房间、走廊间的压差不应小于</w:t>
            </w:r>
            <w:r>
              <w:rPr>
                <w:rFonts w:cs="Times New Roman"/>
                <w:color w:val="000000"/>
                <w:kern w:val="0"/>
              </w:rPr>
              <w:t>4.9Pa</w:t>
            </w:r>
            <w:r>
              <w:rPr>
                <w:rFonts w:ascii="宋体" w:hAnsi="宋体" w:cs="宋体"/>
                <w:color w:val="000000"/>
                <w:kern w:val="0"/>
              </w:rPr>
              <w:t>，与室外静压差不应小于</w:t>
            </w:r>
            <w:r>
              <w:rPr>
                <w:rFonts w:cs="Times New Roman"/>
                <w:color w:val="000000"/>
                <w:kern w:val="0"/>
              </w:rPr>
              <w:t>9.8Pa</w:t>
            </w:r>
            <w:r>
              <w:rPr>
                <w:rFonts w:ascii="宋体" w:hAnsi="宋体" w:cs="宋体"/>
                <w:color w:val="000000"/>
                <w:kern w:val="0"/>
              </w:rPr>
              <w:t>；</w:t>
            </w:r>
          </w:p>
        </w:tc>
      </w:tr>
      <w:tr>
        <w:tblPrEx>
          <w:tblCellMar>
            <w:top w:w="0" w:type="dxa"/>
            <w:left w:w="108" w:type="dxa"/>
            <w:bottom w:w="0" w:type="dxa"/>
            <w:right w:w="108" w:type="dxa"/>
          </w:tblCellMar>
        </w:tblPrEx>
        <w:trPr>
          <w:trHeight w:val="540" w:hRule="atLeast"/>
          <w:jc w:val="center"/>
        </w:trPr>
        <w:tc>
          <w:tcPr>
            <w:tcW w:w="606"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主机房内的空气含尘浓度，在表态条件下测试，每升空气中大于或等于</w:t>
            </w:r>
            <w:r>
              <w:rPr>
                <w:rFonts w:cs="Times New Roman"/>
                <w:color w:val="000000"/>
                <w:kern w:val="0"/>
              </w:rPr>
              <w:t>0.5</w:t>
            </w:r>
            <w:r>
              <w:rPr>
                <w:rFonts w:ascii="宋体" w:hAnsi="宋体" w:cs="宋体"/>
                <w:color w:val="000000"/>
                <w:kern w:val="0"/>
              </w:rPr>
              <w:t>μ</w:t>
            </w:r>
            <w:r>
              <w:rPr>
                <w:rFonts w:cs="Times New Roman"/>
                <w:color w:val="000000"/>
                <w:kern w:val="0"/>
              </w:rPr>
              <w:t>m</w:t>
            </w:r>
            <w:r>
              <w:rPr>
                <w:rFonts w:ascii="宋体" w:hAnsi="宋体" w:cs="宋体"/>
                <w:color w:val="000000"/>
                <w:kern w:val="0"/>
              </w:rPr>
              <w:t>的尘粒数，应少于</w:t>
            </w:r>
            <w:r>
              <w:rPr>
                <w:rFonts w:cs="Times New Roman"/>
                <w:color w:val="000000"/>
                <w:kern w:val="0"/>
              </w:rPr>
              <w:t>18,000</w:t>
            </w:r>
            <w:r>
              <w:rPr>
                <w:rFonts w:ascii="宋体" w:hAnsi="宋体" w:cs="宋体"/>
                <w:color w:val="000000"/>
                <w:kern w:val="0"/>
              </w:rPr>
              <w:t>颗。</w:t>
            </w:r>
          </w:p>
        </w:tc>
      </w:tr>
      <w:tr>
        <w:tblPrEx>
          <w:tblCellMar>
            <w:top w:w="0" w:type="dxa"/>
            <w:left w:w="108" w:type="dxa"/>
            <w:bottom w:w="0" w:type="dxa"/>
            <w:right w:w="108" w:type="dxa"/>
          </w:tblCellMar>
        </w:tblPrEx>
        <w:trPr>
          <w:trHeight w:val="8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供电电源</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机房市电容量≥20000KVA，由</w:t>
            </w:r>
            <w:r>
              <w:rPr>
                <w:rFonts w:cs="Times New Roman"/>
                <w:color w:val="000000"/>
                <w:kern w:val="0"/>
              </w:rPr>
              <w:t>2</w:t>
            </w:r>
            <w:r>
              <w:rPr>
                <w:rFonts w:ascii="宋体" w:hAnsi="宋体" w:cs="宋体"/>
                <w:color w:val="000000"/>
                <w:kern w:val="0"/>
              </w:rPr>
              <w:t>个供电局向、</w:t>
            </w:r>
            <w:r>
              <w:rPr>
                <w:rFonts w:cs="Times New Roman"/>
                <w:color w:val="000000"/>
                <w:kern w:val="0"/>
              </w:rPr>
              <w:t>2</w:t>
            </w:r>
            <w:r>
              <w:rPr>
                <w:rFonts w:ascii="宋体" w:hAnsi="宋体" w:cs="宋体"/>
                <w:color w:val="000000"/>
                <w:kern w:val="0"/>
              </w:rPr>
              <w:t>个不同路由同时供电，保证电源不同时受到损坏，配备电源自动切换系统。（需提供双路市电及市电容量证明材料）</w:t>
            </w:r>
          </w:p>
        </w:tc>
      </w:tr>
      <w:tr>
        <w:tblPrEx>
          <w:tblCellMar>
            <w:top w:w="0" w:type="dxa"/>
            <w:left w:w="108" w:type="dxa"/>
            <w:bottom w:w="0" w:type="dxa"/>
            <w:right w:w="108" w:type="dxa"/>
          </w:tblCellMar>
        </w:tblPrEx>
        <w:trPr>
          <w:trHeight w:val="540" w:hRule="atLeast"/>
          <w:jc w:val="center"/>
        </w:trPr>
        <w:tc>
          <w:tcPr>
            <w:tcW w:w="606" w:type="pct"/>
            <w:vMerge w:val="restar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后备用电</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配备不间断电源系统，</w:t>
            </w:r>
            <w:r>
              <w:rPr>
                <w:rFonts w:cs="Times New Roman"/>
                <w:color w:val="000000"/>
                <w:kern w:val="0"/>
              </w:rPr>
              <w:t>N+1</w:t>
            </w:r>
            <w:r>
              <w:rPr>
                <w:rFonts w:ascii="宋体" w:hAnsi="宋体" w:cs="宋体"/>
                <w:color w:val="000000"/>
                <w:kern w:val="0"/>
              </w:rPr>
              <w:t>的冗余备份</w:t>
            </w:r>
            <w:r>
              <w:rPr>
                <w:rFonts w:cs="Times New Roman"/>
                <w:color w:val="000000"/>
                <w:kern w:val="0"/>
              </w:rPr>
              <w:t>UPS</w:t>
            </w:r>
            <w:r>
              <w:rPr>
                <w:rFonts w:ascii="宋体" w:hAnsi="宋体" w:cs="宋体"/>
                <w:color w:val="000000"/>
                <w:kern w:val="0"/>
              </w:rPr>
              <w:t>系统数量大于一套，所有设备机架供电应由两套不同</w:t>
            </w:r>
            <w:r>
              <w:rPr>
                <w:rFonts w:cs="Times New Roman"/>
                <w:color w:val="000000"/>
                <w:kern w:val="0"/>
              </w:rPr>
              <w:t>UPS</w:t>
            </w:r>
            <w:r>
              <w:rPr>
                <w:rFonts w:ascii="宋体" w:hAnsi="宋体" w:cs="宋体"/>
                <w:color w:val="000000"/>
                <w:kern w:val="0"/>
              </w:rPr>
              <w:t>提供，电池满负荷放电时间不少于</w:t>
            </w:r>
            <w:r>
              <w:rPr>
                <w:rFonts w:cs="Times New Roman"/>
                <w:color w:val="000000"/>
                <w:kern w:val="0"/>
              </w:rPr>
              <w:t>30</w:t>
            </w:r>
            <w:r>
              <w:rPr>
                <w:rFonts w:ascii="宋体" w:hAnsi="宋体" w:cs="宋体"/>
                <w:color w:val="000000"/>
                <w:kern w:val="0"/>
              </w:rPr>
              <w:t>分钟；</w:t>
            </w:r>
          </w:p>
        </w:tc>
      </w:tr>
      <w:tr>
        <w:tblPrEx>
          <w:tblCellMar>
            <w:top w:w="0" w:type="dxa"/>
            <w:left w:w="108" w:type="dxa"/>
            <w:bottom w:w="0" w:type="dxa"/>
            <w:right w:w="108" w:type="dxa"/>
          </w:tblCellMar>
        </w:tblPrEx>
        <w:trPr>
          <w:trHeight w:val="270" w:hRule="atLeast"/>
          <w:jc w:val="center"/>
        </w:trPr>
        <w:tc>
          <w:tcPr>
            <w:tcW w:w="606"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配备柴油发电机组，保障本系统满负荷情况下可靠供电运行</w:t>
            </w:r>
            <w:r>
              <w:rPr>
                <w:rFonts w:cs="Times New Roman"/>
                <w:color w:val="000000"/>
                <w:kern w:val="0"/>
              </w:rPr>
              <w:t>72</w:t>
            </w:r>
            <w:r>
              <w:rPr>
                <w:rFonts w:ascii="宋体" w:hAnsi="宋体" w:cs="宋体"/>
                <w:color w:val="000000"/>
                <w:kern w:val="0"/>
              </w:rPr>
              <w:t>小时。</w:t>
            </w:r>
          </w:p>
        </w:tc>
      </w:tr>
      <w:tr>
        <w:tblPrEx>
          <w:tblCellMar>
            <w:top w:w="0" w:type="dxa"/>
            <w:left w:w="108" w:type="dxa"/>
            <w:bottom w:w="0" w:type="dxa"/>
            <w:right w:w="108" w:type="dxa"/>
          </w:tblCellMar>
        </w:tblPrEx>
        <w:trPr>
          <w:trHeight w:val="54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电源质量</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稳态电压偏移范围</w:t>
            </w:r>
            <w:r>
              <w:rPr>
                <w:rFonts w:ascii="Symbol" w:hAnsi="Symbol" w:cs="宋体"/>
                <w:color w:val="000000"/>
                <w:kern w:val="0"/>
              </w:rPr>
              <w:t></w:t>
            </w:r>
            <w:r>
              <w:rPr>
                <w:rFonts w:cs="Times New Roman"/>
                <w:color w:val="000000"/>
                <w:kern w:val="0"/>
              </w:rPr>
              <w:t>3%</w:t>
            </w:r>
            <w:r>
              <w:rPr>
                <w:rFonts w:ascii="宋体" w:hAnsi="宋体" w:cs="宋体"/>
                <w:color w:val="000000"/>
                <w:kern w:val="0"/>
              </w:rPr>
              <w:t>，稳态频率偏移范围</w:t>
            </w:r>
            <w:r>
              <w:rPr>
                <w:rFonts w:cs="Times New Roman"/>
                <w:color w:val="000000"/>
                <w:kern w:val="0"/>
              </w:rPr>
              <w:t xml:space="preserve"> </w:t>
            </w:r>
            <w:r>
              <w:rPr>
                <w:rFonts w:ascii="Symbol" w:hAnsi="Symbol" w:cs="宋体"/>
                <w:color w:val="000000"/>
                <w:kern w:val="0"/>
              </w:rPr>
              <w:t></w:t>
            </w:r>
            <w:r>
              <w:rPr>
                <w:rFonts w:cs="Times New Roman"/>
                <w:color w:val="000000"/>
                <w:kern w:val="0"/>
              </w:rPr>
              <w:t>0.5Hz</w:t>
            </w:r>
            <w:r>
              <w:rPr>
                <w:rFonts w:ascii="宋体" w:hAnsi="宋体" w:cs="宋体"/>
                <w:color w:val="000000"/>
                <w:kern w:val="0"/>
              </w:rPr>
              <w:t>，输出电压波形失真度≤</w:t>
            </w:r>
            <w:r>
              <w:rPr>
                <w:rFonts w:cs="Times New Roman"/>
                <w:color w:val="000000"/>
                <w:kern w:val="0"/>
              </w:rPr>
              <w:t>5%</w:t>
            </w:r>
            <w:r>
              <w:rPr>
                <w:rFonts w:ascii="宋体" w:hAnsi="宋体" w:cs="宋体"/>
                <w:color w:val="000000"/>
                <w:kern w:val="0"/>
              </w:rPr>
              <w:t>，允许断电持续时间</w:t>
            </w:r>
            <w:r>
              <w:rPr>
                <w:rFonts w:cs="Times New Roman"/>
                <w:color w:val="000000"/>
                <w:kern w:val="0"/>
              </w:rPr>
              <w:t>0</w:t>
            </w:r>
            <w:r>
              <w:rPr>
                <w:rFonts w:ascii="宋体" w:hAnsi="宋体" w:cs="宋体"/>
                <w:color w:val="000000"/>
                <w:kern w:val="0"/>
              </w:rPr>
              <w:t>～</w:t>
            </w:r>
            <w:r>
              <w:rPr>
                <w:rFonts w:cs="Times New Roman"/>
                <w:color w:val="000000"/>
                <w:kern w:val="0"/>
              </w:rPr>
              <w:t>4ms</w:t>
            </w:r>
            <w:r>
              <w:rPr>
                <w:rFonts w:ascii="宋体" w:hAnsi="宋体" w:cs="宋体"/>
                <w:color w:val="000000"/>
                <w:kern w:val="0"/>
              </w:rPr>
              <w:t>；防雷、防浪涌：保护级别（</w:t>
            </w:r>
            <w:r>
              <w:rPr>
                <w:rFonts w:cs="Times New Roman"/>
                <w:color w:val="000000"/>
                <w:kern w:val="0"/>
              </w:rPr>
              <w:t>IEC/VDE</w:t>
            </w:r>
            <w:r>
              <w:rPr>
                <w:rFonts w:ascii="宋体" w:hAnsi="宋体" w:cs="宋体"/>
                <w:color w:val="000000"/>
                <w:kern w:val="0"/>
              </w:rPr>
              <w:t>标准）达到</w:t>
            </w:r>
            <w:r>
              <w:rPr>
                <w:rFonts w:cs="Times New Roman"/>
                <w:color w:val="000000"/>
                <w:kern w:val="0"/>
              </w:rPr>
              <w:t>I</w:t>
            </w:r>
            <w:r>
              <w:rPr>
                <w:rFonts w:ascii="宋体" w:hAnsi="宋体" w:cs="宋体"/>
                <w:color w:val="000000"/>
                <w:kern w:val="0"/>
              </w:rPr>
              <w:t>级</w:t>
            </w:r>
            <w:r>
              <w:rPr>
                <w:rFonts w:cs="Times New Roman"/>
                <w:color w:val="000000"/>
                <w:kern w:val="0"/>
              </w:rPr>
              <w:t>B</w:t>
            </w:r>
            <w:r>
              <w:rPr>
                <w:rFonts w:ascii="宋体" w:hAnsi="宋体" w:cs="宋体"/>
                <w:color w:val="000000"/>
                <w:kern w:val="0"/>
              </w:rPr>
              <w:t>类标准。</w:t>
            </w:r>
          </w:p>
        </w:tc>
      </w:tr>
      <w:tr>
        <w:tblPrEx>
          <w:tblCellMar>
            <w:top w:w="0" w:type="dxa"/>
            <w:left w:w="108" w:type="dxa"/>
            <w:bottom w:w="0" w:type="dxa"/>
            <w:right w:w="108" w:type="dxa"/>
          </w:tblCellMar>
        </w:tblPrEx>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接地</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接地电阻≤</w:t>
            </w:r>
            <w:r>
              <w:rPr>
                <w:rFonts w:cs="Times New Roman"/>
                <w:color w:val="000000"/>
                <w:kern w:val="0"/>
              </w:rPr>
              <w:t xml:space="preserve"> 1</w:t>
            </w:r>
            <w:r>
              <w:rPr>
                <w:rFonts w:ascii="Symbol" w:hAnsi="Symbol" w:cs="宋体"/>
                <w:color w:val="000000"/>
                <w:kern w:val="0"/>
              </w:rPr>
              <w:t></w:t>
            </w:r>
            <w:r>
              <w:rPr>
                <w:rFonts w:ascii="宋体" w:hAnsi="宋体" w:cs="宋体"/>
                <w:color w:val="000000"/>
                <w:kern w:val="0"/>
              </w:rPr>
              <w:t>，</w:t>
            </w:r>
            <w:r>
              <w:rPr>
                <w:rFonts w:cs="Times New Roman"/>
                <w:color w:val="000000"/>
                <w:kern w:val="0"/>
              </w:rPr>
              <w:t>接地电位差1V。</w:t>
            </w:r>
          </w:p>
        </w:tc>
      </w:tr>
      <w:tr>
        <w:tblPrEx>
          <w:tblCellMar>
            <w:top w:w="0" w:type="dxa"/>
            <w:left w:w="108" w:type="dxa"/>
            <w:bottom w:w="0" w:type="dxa"/>
            <w:right w:w="108" w:type="dxa"/>
          </w:tblCellMar>
        </w:tblPrEx>
        <w:trPr>
          <w:trHeight w:val="5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无线电干扰场强</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在频率为</w:t>
            </w:r>
            <w:r>
              <w:rPr>
                <w:rFonts w:cs="Times New Roman"/>
                <w:color w:val="000000"/>
                <w:kern w:val="0"/>
              </w:rPr>
              <w:t>0.15</w:t>
            </w:r>
            <w:r>
              <w:rPr>
                <w:rFonts w:ascii="宋体" w:hAnsi="宋体" w:cs="宋体"/>
                <w:color w:val="000000"/>
                <w:kern w:val="0"/>
              </w:rPr>
              <w:t>～</w:t>
            </w:r>
            <w:r>
              <w:rPr>
                <w:rFonts w:cs="Times New Roman"/>
                <w:color w:val="000000"/>
                <w:kern w:val="0"/>
              </w:rPr>
              <w:t>1,000MHz</w:t>
            </w:r>
            <w:r>
              <w:rPr>
                <w:rFonts w:ascii="宋体" w:hAnsi="宋体" w:cs="宋体"/>
                <w:color w:val="000000"/>
                <w:kern w:val="0"/>
              </w:rPr>
              <w:t>时，不应大于</w:t>
            </w:r>
            <w:r>
              <w:rPr>
                <w:rFonts w:cs="Times New Roman"/>
                <w:color w:val="000000"/>
                <w:kern w:val="0"/>
              </w:rPr>
              <w:t>126dB</w:t>
            </w:r>
            <w:r>
              <w:rPr>
                <w:rFonts w:ascii="宋体" w:hAnsi="宋体" w:cs="宋体"/>
                <w:color w:val="000000"/>
                <w:kern w:val="0"/>
              </w:rPr>
              <w:t>。</w:t>
            </w:r>
          </w:p>
        </w:tc>
      </w:tr>
      <w:tr>
        <w:tblPrEx>
          <w:tblCellMar>
            <w:top w:w="0" w:type="dxa"/>
            <w:left w:w="108" w:type="dxa"/>
            <w:bottom w:w="0" w:type="dxa"/>
            <w:right w:w="108" w:type="dxa"/>
          </w:tblCellMar>
        </w:tblPrEx>
        <w:trPr>
          <w:trHeight w:val="5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内磁场干扰</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主机房内磁场干扰环境场强不应大于</w:t>
            </w:r>
            <w:r>
              <w:rPr>
                <w:rFonts w:cs="Times New Roman"/>
                <w:color w:val="000000"/>
                <w:kern w:val="0"/>
              </w:rPr>
              <w:t>800A/m</w:t>
            </w:r>
            <w:r>
              <w:rPr>
                <w:rFonts w:ascii="宋体" w:hAnsi="宋体" w:cs="宋体"/>
                <w:color w:val="000000"/>
                <w:kern w:val="0"/>
              </w:rPr>
              <w:t>。</w:t>
            </w:r>
          </w:p>
        </w:tc>
      </w:tr>
      <w:tr>
        <w:tblPrEx>
          <w:tblCellMar>
            <w:top w:w="0" w:type="dxa"/>
            <w:left w:w="108" w:type="dxa"/>
            <w:bottom w:w="0" w:type="dxa"/>
            <w:right w:w="108" w:type="dxa"/>
          </w:tblCellMar>
        </w:tblPrEx>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静电电位</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主机房内绝缘体的静电电位不应大于1kV。</w:t>
            </w:r>
          </w:p>
        </w:tc>
      </w:tr>
      <w:tr>
        <w:tblPrEx>
          <w:tblCellMar>
            <w:top w:w="0" w:type="dxa"/>
            <w:left w:w="108" w:type="dxa"/>
            <w:bottom w:w="0" w:type="dxa"/>
            <w:right w:w="108" w:type="dxa"/>
          </w:tblCellMar>
        </w:tblPrEx>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机房布线</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采用光缆或六类及以上对绞电缆，采用1+1冗余。</w:t>
            </w:r>
          </w:p>
        </w:tc>
      </w:tr>
      <w:tr>
        <w:tblPrEx>
          <w:tblCellMar>
            <w:top w:w="0" w:type="dxa"/>
            <w:left w:w="108" w:type="dxa"/>
            <w:bottom w:w="0" w:type="dxa"/>
            <w:right w:w="108" w:type="dxa"/>
          </w:tblCellMar>
        </w:tblPrEx>
        <w:trPr>
          <w:trHeight w:val="8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照明要求</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眩光限制按</w:t>
            </w:r>
            <w:r>
              <w:rPr>
                <w:rFonts w:cs="Times New Roman"/>
                <w:color w:val="000000"/>
                <w:kern w:val="0"/>
              </w:rPr>
              <w:t>I</w:t>
            </w:r>
            <w:r>
              <w:rPr>
                <w:rFonts w:ascii="宋体" w:hAnsi="宋体" w:cs="宋体"/>
                <w:color w:val="000000"/>
                <w:kern w:val="0"/>
              </w:rPr>
              <w:t>级标准，照度按机房≥</w:t>
            </w:r>
            <w:r>
              <w:rPr>
                <w:rFonts w:cs="Times New Roman"/>
                <w:color w:val="000000"/>
                <w:kern w:val="0"/>
              </w:rPr>
              <w:t xml:space="preserve">300Lux </w:t>
            </w:r>
            <w:r>
              <w:rPr>
                <w:rFonts w:ascii="宋体" w:hAnsi="宋体" w:cs="宋体"/>
                <w:color w:val="000000"/>
                <w:kern w:val="0"/>
              </w:rPr>
              <w:t>及按现场布局排列，机房内应设置备用照明</w:t>
            </w:r>
            <w:r>
              <w:rPr>
                <w:rFonts w:ascii="宋体" w:hAnsi="宋体" w:cs="宋体"/>
                <w:strike/>
                <w:color w:val="000000"/>
                <w:kern w:val="0"/>
              </w:rPr>
              <w:t>，</w:t>
            </w:r>
            <w:r>
              <w:rPr>
                <w:rFonts w:ascii="宋体" w:hAnsi="宋体" w:cs="宋体"/>
                <w:color w:val="000000"/>
                <w:kern w:val="0"/>
              </w:rPr>
              <w:t>其照度为一般照明的15%。机房应设置疏散照明和安全出口标志灯，其照度不应低于0.5LUX。</w:t>
            </w:r>
          </w:p>
        </w:tc>
      </w:tr>
      <w:tr>
        <w:tblPrEx>
          <w:tblCellMar>
            <w:top w:w="0" w:type="dxa"/>
            <w:left w:w="108" w:type="dxa"/>
            <w:bottom w:w="0" w:type="dxa"/>
            <w:right w:w="108" w:type="dxa"/>
          </w:tblCellMar>
        </w:tblPrEx>
        <w:trPr>
          <w:trHeight w:val="54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机房监控</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空气质量：对温度、相对湿度、压差、含尘度；漏水监测报警；监控</w:t>
            </w:r>
            <w:r>
              <w:rPr>
                <w:rFonts w:cs="Times New Roman"/>
                <w:color w:val="000000"/>
                <w:kern w:val="0"/>
              </w:rPr>
              <w:t>IT</w:t>
            </w:r>
            <w:r>
              <w:rPr>
                <w:rFonts w:ascii="宋体" w:hAnsi="宋体" w:cs="宋体"/>
                <w:color w:val="000000"/>
                <w:kern w:val="0"/>
              </w:rPr>
              <w:t>设备、空调、新风、动力、供配电系统、不间断电源、电池、柴油发电等设备；采用</w:t>
            </w:r>
            <w:r>
              <w:rPr>
                <w:rFonts w:cs="Times New Roman"/>
                <w:color w:val="000000"/>
                <w:kern w:val="0"/>
              </w:rPr>
              <w:t>KVM</w:t>
            </w:r>
            <w:r>
              <w:rPr>
                <w:rFonts w:ascii="宋体" w:hAnsi="宋体" w:cs="宋体"/>
                <w:color w:val="000000"/>
                <w:kern w:val="0"/>
              </w:rPr>
              <w:t>切换系统。</w:t>
            </w:r>
          </w:p>
        </w:tc>
      </w:tr>
      <w:tr>
        <w:tblPrEx>
          <w:tblCellMar>
            <w:top w:w="0" w:type="dxa"/>
            <w:left w:w="108" w:type="dxa"/>
            <w:bottom w:w="0" w:type="dxa"/>
            <w:right w:w="108" w:type="dxa"/>
          </w:tblCellMar>
        </w:tblPrEx>
        <w:trPr>
          <w:trHeight w:val="795"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安全防范</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在主要出入口、机房、配套区域采用门禁系统和视频监控系统，机柜区域配备专用门禁和</w:t>
            </w:r>
            <w:r>
              <w:rPr>
                <w:rFonts w:cs="Times New Roman"/>
                <w:color w:val="000000"/>
                <w:kern w:val="0"/>
              </w:rPr>
              <w:t>24</w:t>
            </w:r>
            <w:r>
              <w:rPr>
                <w:rFonts w:ascii="宋体" w:hAnsi="宋体" w:cs="宋体"/>
                <w:color w:val="000000"/>
                <w:kern w:val="0"/>
              </w:rPr>
              <w:t>小时监控系统，视频监控画面可远程调用，中标人需开放相应的接口或者服务提供监控服务，监控录像保存时间大于</w:t>
            </w:r>
            <w:r>
              <w:rPr>
                <w:rFonts w:cs="Times New Roman"/>
                <w:color w:val="000000"/>
                <w:kern w:val="0"/>
              </w:rPr>
              <w:t>3</w:t>
            </w:r>
            <w:r>
              <w:rPr>
                <w:rFonts w:ascii="宋体" w:hAnsi="宋体" w:cs="宋体"/>
                <w:color w:val="000000"/>
                <w:kern w:val="0"/>
              </w:rPr>
              <w:t>个月。</w:t>
            </w:r>
          </w:p>
        </w:tc>
      </w:tr>
      <w:tr>
        <w:tblPrEx>
          <w:tblCellMar>
            <w:top w:w="0" w:type="dxa"/>
            <w:left w:w="108" w:type="dxa"/>
            <w:bottom w:w="0" w:type="dxa"/>
            <w:right w:w="108" w:type="dxa"/>
          </w:tblCellMar>
        </w:tblPrEx>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消防</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应配置气体消防系统和火灾自动报警系统。</w:t>
            </w:r>
          </w:p>
        </w:tc>
      </w:tr>
    </w:tbl>
    <w:p>
      <w:pPr>
        <w:spacing w:line="276" w:lineRule="auto"/>
      </w:pPr>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ascii="宋体" w:hAnsi="宋体"/>
        </w:rPr>
        <w:t>机房空间要求满足业务资源需求。实际使用机柜数量可根据用户要求提供，每机柜提供双路不间断供电，电力总功率：低密度区每机柜不低于3KW，高密度区每机柜不低于5KW。遵循国家有关绿色机房的建设要求。</w:t>
      </w:r>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标人提供的机房可以按照采购人的要求对资源进行物理和逻辑隔离，且需要在机房内划分独立区域，满足多个云平台资源区和独立资源区域划分要求。独立区域具有门禁控制，控制权按照采购人要求进行管理。</w:t>
      </w:r>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ascii="宋体" w:hAnsi="宋体"/>
        </w:rPr>
        <w:t>机房有较好的容灾备份方案及措施，若某一地区发生如地震、海啸或者其他未知不可抗力灾害，启动容灾备份方案以快速地使另一后备机房承接原服务。</w:t>
      </w:r>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ascii="宋体" w:hAnsi="宋体"/>
        </w:rPr>
        <w:t>为达到同城灾备的要求，</w:t>
      </w:r>
      <w:r>
        <w:rPr>
          <w:rFonts w:hint="eastAsia" w:ascii="宋体" w:hAnsi="宋体"/>
        </w:rPr>
        <w:t>中</w:t>
      </w:r>
      <w:r>
        <w:rPr>
          <w:rFonts w:ascii="宋体" w:hAnsi="宋体"/>
        </w:rPr>
        <w:t>标人</w:t>
      </w:r>
      <w:r>
        <w:rPr>
          <w:rFonts w:hint="eastAsia" w:ascii="宋体" w:hAnsi="宋体"/>
        </w:rPr>
        <w:t>应当</w:t>
      </w:r>
      <w:r>
        <w:rPr>
          <w:rFonts w:ascii="宋体" w:hAnsi="宋体"/>
        </w:rPr>
        <w:t>提供不少于两个机房供上海市电子政务云使用，两个机房之间直线距离应大于15KM，机房位置距人民广场直线距离不超过2</w:t>
      </w:r>
      <w:r>
        <w:rPr>
          <w:rFonts w:hint="eastAsia" w:ascii="宋体" w:hAnsi="宋体"/>
          <w:lang w:val="en-US" w:eastAsia="zh-CN"/>
        </w:rPr>
        <w:t>5</w:t>
      </w:r>
      <w:r>
        <w:rPr>
          <w:rFonts w:ascii="宋体" w:hAnsi="宋体"/>
        </w:rPr>
        <w:t>KM，机房之间有通信线路实现互相连接。</w:t>
      </w:r>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ascii="宋体" w:hAnsi="宋体"/>
        </w:rPr>
        <w:t>提供的机房需要通过网络连接到电子政务外网，预留相应的信息管道。</w:t>
      </w:r>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标人提供的机房应具备符合国密要求的门禁系统。</w:t>
      </w:r>
    </w:p>
    <w:p>
      <w:pPr>
        <w:pStyle w:val="3"/>
        <w:numPr>
          <w:ilvl w:val="1"/>
          <w:numId w:val="5"/>
        </w:numPr>
        <w:ind w:left="420"/>
        <w:rPr>
          <w:lang w:eastAsia="zh-CN"/>
        </w:rPr>
      </w:pPr>
      <w:r>
        <w:rPr>
          <w:rFonts w:hint="eastAsia"/>
          <w:lang w:eastAsia="zh-CN"/>
        </w:rPr>
        <w:t>机房链路要求</w:t>
      </w: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ascii="宋体" w:hAnsi="宋体"/>
        </w:rPr>
        <w:t>政务外网接入：要求承载政务云平台的网络和市政务外网骨干传输网络高效安全地衔接，满足各政务部门接入政务云业务系统的网络需要。根据相关安全管理部门的要求，中标人应支撑安全管理部门放置相关设备到中标人机房或进行专网的接入，采购人无需支付相关费用。</w:t>
      </w: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ascii="宋体" w:hAnsi="宋体"/>
        </w:rPr>
        <w:t>互联网接入：要求承载政务云平台的网络和市政务外网互联网统一出口高效安全地衔接，满足各政务部门业务系统接入互联网的需要，需提供互联网骨干级带宽服务及异网接入能力。</w:t>
      </w: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ascii="宋体" w:hAnsi="宋体"/>
        </w:rPr>
        <w:t>中标人需提供必要的配合，并按相关规范要求做好网络对接和安全防护。</w:t>
      </w:r>
    </w:p>
    <w:p>
      <w:pPr>
        <w:spacing w:line="276" w:lineRule="auto"/>
        <w:rPr>
          <w:rFonts w:ascii="宋体" w:hAnsi="宋体"/>
        </w:rPr>
      </w:pPr>
    </w:p>
    <w:p>
      <w:pPr>
        <w:pStyle w:val="3"/>
        <w:numPr>
          <w:ilvl w:val="1"/>
          <w:numId w:val="5"/>
        </w:numPr>
        <w:ind w:left="420"/>
        <w:rPr>
          <w:lang w:eastAsia="zh-CN"/>
        </w:rPr>
      </w:pPr>
      <w:r>
        <w:rPr>
          <w:rFonts w:hint="eastAsia"/>
          <w:lang w:eastAsia="zh-CN"/>
        </w:rPr>
        <w:t>管理要求</w:t>
      </w:r>
    </w:p>
    <w:p>
      <w:pPr>
        <w:widowControl/>
        <w:numPr>
          <w:ilvl w:val="0"/>
          <w:numId w:val="23"/>
        </w:numPr>
        <w:topLinePunct/>
        <w:adjustRightInd w:val="0"/>
        <w:snapToGrid w:val="0"/>
        <w:spacing w:before="100" w:after="100" w:line="300" w:lineRule="exact"/>
        <w:ind w:left="420" w:hangingChars="200"/>
        <w:jc w:val="left"/>
        <w:rPr>
          <w:rFonts w:ascii="宋体" w:hAnsi="宋体"/>
        </w:rPr>
      </w:pPr>
      <w:r>
        <w:rPr>
          <w:rFonts w:ascii="宋体" w:hAnsi="宋体"/>
        </w:rPr>
        <w:t>中标人向采购人提供7*24小时机房值守响应电话，7*24小时全天候技术支持响应。</w:t>
      </w:r>
    </w:p>
    <w:p>
      <w:pPr>
        <w:widowControl/>
        <w:numPr>
          <w:ilvl w:val="0"/>
          <w:numId w:val="23"/>
        </w:numPr>
        <w:topLinePunct/>
        <w:adjustRightInd w:val="0"/>
        <w:snapToGrid w:val="0"/>
        <w:spacing w:before="100" w:after="100" w:line="300" w:lineRule="exact"/>
        <w:ind w:left="420" w:hangingChars="200"/>
        <w:jc w:val="left"/>
        <w:rPr>
          <w:rFonts w:ascii="宋体" w:hAnsi="宋体"/>
        </w:rPr>
      </w:pPr>
      <w:r>
        <w:rPr>
          <w:rFonts w:ascii="宋体" w:hAnsi="宋体"/>
        </w:rPr>
        <w:t>应配备7*24小时值班运维人员，负责机房的日常运维工作；应配备7*24小时值班保安人员，负责机房的安全保卫工作。</w:t>
      </w:r>
    </w:p>
    <w:p>
      <w:pPr>
        <w:widowControl/>
        <w:numPr>
          <w:ilvl w:val="0"/>
          <w:numId w:val="23"/>
        </w:numPr>
        <w:topLinePunct/>
        <w:adjustRightInd w:val="0"/>
        <w:snapToGrid w:val="0"/>
        <w:spacing w:before="100" w:after="100" w:line="300" w:lineRule="exact"/>
        <w:ind w:left="420" w:hangingChars="200"/>
        <w:jc w:val="left"/>
        <w:rPr>
          <w:rFonts w:ascii="宋体" w:hAnsi="宋体"/>
        </w:rPr>
      </w:pPr>
      <w:r>
        <w:rPr>
          <w:rFonts w:ascii="宋体" w:hAnsi="宋体"/>
        </w:rPr>
        <w:t>安保监控：至少包括机房门禁独立管理、门禁状态监控、CCTV摄像头实时监控系统。</w:t>
      </w:r>
    </w:p>
    <w:p>
      <w:pPr>
        <w:widowControl/>
        <w:numPr>
          <w:ilvl w:val="0"/>
          <w:numId w:val="23"/>
        </w:numPr>
        <w:topLinePunct/>
        <w:adjustRightInd w:val="0"/>
        <w:snapToGrid w:val="0"/>
        <w:spacing w:before="100" w:after="100" w:line="300" w:lineRule="exact"/>
        <w:ind w:left="420" w:hangingChars="200"/>
        <w:jc w:val="left"/>
        <w:rPr>
          <w:rFonts w:ascii="宋体" w:hAnsi="宋体"/>
        </w:rPr>
      </w:pPr>
      <w:r>
        <w:rPr>
          <w:rFonts w:ascii="宋体" w:hAnsi="宋体"/>
        </w:rPr>
        <w:t>应定期完成机房巡检（包括机房环境、温湿度、安防、设备告警指示灯等、卫生状况），机房巡检不少于每日三次，保证早晚各1次，并留有记录，采购人有权调阅相关记录；除应急处置外，其余时间不允许对采购人机房相关环境设施进行维护操作。</w:t>
      </w:r>
    </w:p>
    <w:p>
      <w:pPr>
        <w:pStyle w:val="3"/>
        <w:numPr>
          <w:ilvl w:val="1"/>
          <w:numId w:val="5"/>
        </w:numPr>
        <w:ind w:left="420"/>
        <w:rPr>
          <w:lang w:eastAsia="zh-CN"/>
        </w:rPr>
      </w:pPr>
      <w:r>
        <w:rPr>
          <w:rFonts w:hint="eastAsia"/>
          <w:lang w:eastAsia="zh-CN"/>
        </w:rPr>
        <w:t>服务项要求</w:t>
      </w:r>
    </w:p>
    <w:p>
      <w:pPr>
        <w:widowControl/>
        <w:numPr>
          <w:ilvl w:val="0"/>
          <w:numId w:val="24"/>
        </w:numPr>
        <w:topLinePunct/>
        <w:adjustRightInd w:val="0"/>
        <w:snapToGrid w:val="0"/>
        <w:spacing w:before="100" w:after="100" w:line="300" w:lineRule="exact"/>
        <w:ind w:left="420" w:hangingChars="200"/>
        <w:jc w:val="left"/>
        <w:rPr>
          <w:rFonts w:ascii="宋体" w:hAnsi="宋体"/>
        </w:rPr>
      </w:pPr>
      <w:r>
        <w:rPr>
          <w:rFonts w:ascii="宋体" w:hAnsi="宋体"/>
        </w:rPr>
        <w:t>中标人需提供机房同地点处的办公场地及办公环境，供云平台使用单位使用，用于测试、应用部署及后期业务系统迁移等工作。</w:t>
      </w:r>
    </w:p>
    <w:p>
      <w:pPr>
        <w:widowControl/>
        <w:numPr>
          <w:ilvl w:val="0"/>
          <w:numId w:val="24"/>
        </w:numPr>
        <w:topLinePunct/>
        <w:adjustRightInd w:val="0"/>
        <w:snapToGrid w:val="0"/>
        <w:spacing w:before="100" w:after="100" w:line="300" w:lineRule="exact"/>
        <w:ind w:left="420" w:hangingChars="200"/>
        <w:jc w:val="left"/>
        <w:rPr>
          <w:rFonts w:ascii="宋体" w:hAnsi="宋体"/>
        </w:rPr>
      </w:pPr>
      <w:r>
        <w:rPr>
          <w:rFonts w:ascii="宋体" w:hAnsi="宋体"/>
        </w:rPr>
        <w:t>中标人需提供数据中心机房空间服务，提供额外设备托管空间。中标人需提供数据中心机房整机柜出租服务，提供额外设备托管机柜。</w:t>
      </w:r>
    </w:p>
    <w:p>
      <w:pPr>
        <w:widowControl/>
        <w:jc w:val="left"/>
        <w:sectPr>
          <w:pgSz w:w="11906" w:h="16838"/>
          <w:pgMar w:top="1440" w:right="1800" w:bottom="1440" w:left="1800" w:header="851" w:footer="992" w:gutter="0"/>
          <w:cols w:space="425" w:num="1"/>
          <w:docGrid w:type="lines" w:linePitch="312" w:charSpace="0"/>
        </w:sectPr>
      </w:pPr>
    </w:p>
    <w:p>
      <w:pPr>
        <w:pStyle w:val="7"/>
        <w:rPr>
          <w:rFonts w:hint="eastAsia"/>
          <w:sz w:val="28"/>
          <w:szCs w:val="28"/>
          <w:lang w:eastAsia="zh-CN"/>
        </w:rPr>
      </w:pPr>
      <w:r>
        <w:rPr>
          <w:rFonts w:hint="eastAsia"/>
          <w:sz w:val="28"/>
          <w:szCs w:val="28"/>
          <w:lang w:eastAsia="zh-CN"/>
        </w:rPr>
        <w:t>附件：</w:t>
      </w:r>
    </w:p>
    <w:p>
      <w:pPr>
        <w:widowControl w:val="0"/>
        <w:spacing w:line="600" w:lineRule="exact"/>
        <w:ind w:firstLine="560" w:firstLineChars="200"/>
        <w:outlineLvl w:val="0"/>
        <w:rPr>
          <w:rFonts w:ascii="黑体" w:hAnsi="黑体" w:eastAsia="黑体" w:cs="仿宋_GB2312"/>
          <w:color w:val="000000"/>
          <w:kern w:val="0"/>
          <w:sz w:val="28"/>
          <w:szCs w:val="28"/>
          <w:highlight w:val="none"/>
          <w:lang w:val="zh-CN" w:bidi="en-US"/>
        </w:rPr>
      </w:pPr>
      <w:bookmarkStart w:id="10" w:name="_Hlk99577173"/>
      <w:r>
        <w:rPr>
          <w:rFonts w:hint="eastAsia" w:ascii="黑体" w:hAnsi="黑体" w:eastAsia="黑体" w:cs="仿宋_GB2312"/>
          <w:color w:val="000000"/>
          <w:kern w:val="0"/>
          <w:sz w:val="28"/>
          <w:szCs w:val="28"/>
          <w:highlight w:val="none"/>
          <w:lang w:val="zh-CN" w:bidi="en-US"/>
        </w:rPr>
        <w:t>考核指标</w:t>
      </w:r>
    </w:p>
    <w:p>
      <w:pPr>
        <w:widowControl w:val="0"/>
        <w:spacing w:line="600" w:lineRule="exact"/>
        <w:ind w:firstLine="562" w:firstLineChars="200"/>
        <w:outlineLvl w:val="1"/>
        <w:rPr>
          <w:rFonts w:ascii="楷体_GB2312" w:hAnsi="仿宋_GB2312" w:eastAsia="楷体_GB2312" w:cs="仿宋_GB2312"/>
          <w:b/>
          <w:bCs/>
          <w:color w:val="000000"/>
          <w:kern w:val="0"/>
          <w:sz w:val="28"/>
          <w:szCs w:val="28"/>
          <w:highlight w:val="none"/>
          <w:lang w:bidi="en-US"/>
        </w:rPr>
      </w:pPr>
      <w:r>
        <w:rPr>
          <w:rFonts w:hint="eastAsia" w:ascii="楷体_GB2312" w:hAnsi="仿宋_GB2312" w:eastAsia="楷体_GB2312" w:cs="仿宋_GB2312"/>
          <w:b/>
          <w:bCs/>
          <w:color w:val="000000"/>
          <w:kern w:val="0"/>
          <w:sz w:val="28"/>
          <w:szCs w:val="28"/>
          <w:highlight w:val="none"/>
          <w:lang w:bidi="en-US"/>
        </w:rPr>
        <w:t>（一）月度考核指标体系</w:t>
      </w:r>
    </w:p>
    <w:tbl>
      <w:tblPr>
        <w:tblStyle w:val="11"/>
        <w:tblW w:w="46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41"/>
        <w:gridCol w:w="416"/>
        <w:gridCol w:w="756"/>
        <w:gridCol w:w="489"/>
        <w:gridCol w:w="1359"/>
        <w:gridCol w:w="1444"/>
        <w:gridCol w:w="1300"/>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blHeader/>
          <w:jc w:val="center"/>
        </w:trPr>
        <w:tc>
          <w:tcPr>
            <w:tcW w:w="463" w:type="pct"/>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一级指标</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分值</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二级指标</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分值</w:t>
            </w:r>
          </w:p>
        </w:tc>
        <w:tc>
          <w:tcPr>
            <w:tcW w:w="842"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指标解释</w:t>
            </w:r>
          </w:p>
        </w:tc>
        <w:tc>
          <w:tcPr>
            <w:tcW w:w="89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应达要求</w:t>
            </w:r>
          </w:p>
        </w:tc>
        <w:tc>
          <w:tcPr>
            <w:tcW w:w="80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测量规则</w:t>
            </w:r>
          </w:p>
        </w:tc>
        <w:tc>
          <w:tcPr>
            <w:tcW w:w="102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服务交付管理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（A）</w:t>
            </w:r>
          </w:p>
        </w:tc>
        <w:tc>
          <w:tcPr>
            <w:tcW w:w="264"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25</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服务交付及时率（A1）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中标方对于服务交付场景的请求在规定的时间内予以完成的工单数量。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中标方应该保证资源水位安全，服务交付完成时间不超过5个工作日</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（1）服务交付完成时间=云管反馈时间-审核通过时间</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（2）服务交付及时数=每月按时交付工单数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服务交付及时数，则当月每件因中标方责任未达标的工单扣0.5分，扣完为止。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服务发放准确率（A2）</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中标方服务发放的准确工单数量。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不发生该类错误</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服务发放偏差数=每月服务发放偏差的工单数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中标方按审核通过情况如实发放服务，每发生一起工单发放偏差扣除0.3分，扣完为止。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471"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服务任务完成及时性（A3）</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中标方对于各项服务任务按计划完成。</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按期完成各项服务任务</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服务任务完成延误数=每月未按计划完成的服务任务数量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每发生一起因中标方全部责任或者主要责任未能按计划完成服务任务扣1分，扣完为止。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39"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资源交付流程合规性（A4）</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中标方按照市级政务云基础设施服务流程开展服务工作。</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不发生违反流程发放及整改未完毕情况</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资源交付流程不合规数=每月无工单交付政务云基础设施服务数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中标方无工单交付政务云基础设施服务，当月每发生一起或者未整改完毕的扣1分，扣完为止。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人员管理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（B）</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驻场人员出勤率（B1）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中标方对于政务云现场驻场运维服务按时出勤场景的请求在合同要求内予以完成的百分率。</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遵守中心单位考勤管理制度</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驻场人员出勤率=每月所有驻场人员实际出勤总工时/每月所有驻场人员应出勤总工时</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依据实际出勤率进行考评，出勤率≥90%得满分，每降低1%，扣除权重的5%，扣完为止。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投诉管理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(C)</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有责投诉(C1)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中标方服务过程中使用单位来函投诉的数量（包括其他渠道有责投诉数量）。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有责投诉数=使用单位有责投诉数量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每发生一起有责投诉扣5分，扣完为止。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（D）</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服务可用性（D1）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服务可用性：中标方在规定条件下和规定时间内履行服务协议的百分率。</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服务可用性每月不低于99.99%</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服务可用性=【每月自然日总数×24×60×60秒-单个云服务失效时间之和(秒)】/ 每月自然日总数×24×60×60秒</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中标方的单个云服务可用性指标未达到要求。若每月每降低0.01%，则扣除权重的1%，扣完为止。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（E）</w:t>
            </w:r>
          </w:p>
        </w:tc>
        <w:tc>
          <w:tcPr>
            <w:tcW w:w="264"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30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故障发生数（E1）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由于云平台故障造成使用单位的业务系统出现功能不可用、应用或服务不可访问、业务系统失效或崩溃、性能严重下降等情况之一的；由于云平台故障造成使用单位的业务系统应用或服务部分功能不可用、业务系统时断时续、明显卡顿、性能明显下降等情况之一的。</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不发生该类事件</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故障发生数=采购方指定的三方出具监管报告确认为故障数量</w:t>
            </w:r>
          </w:p>
        </w:tc>
        <w:tc>
          <w:tcPr>
            <w:tcW w:w="1020" w:type="pct"/>
            <w:shd w:val="clear" w:color="auto" w:fill="auto"/>
            <w:vAlign w:val="center"/>
          </w:tcPr>
          <w:p>
            <w:pPr>
              <w:keepNext w:val="0"/>
              <w:keepLines w:val="0"/>
              <w:widowControl/>
              <w:numPr>
                <w:ilvl w:val="0"/>
                <w:numId w:val="25"/>
              </w:numPr>
              <w:suppressLineNumbers w:val="0"/>
              <w:jc w:val="left"/>
              <w:textAlignment w:val="center"/>
              <w:rPr>
                <w:rFonts w:hint="eastAsia" w:ascii="仿宋_GB2312" w:hAnsi="宋体" w:eastAsia="仿宋_GB2312" w:cs="仿宋_GB2312"/>
                <w:i w:val="0"/>
                <w:iCs w:val="0"/>
                <w:color w:val="auto"/>
                <w:kern w:val="0"/>
                <w:sz w:val="18"/>
                <w:szCs w:val="18"/>
                <w:highlight w:val="none"/>
                <w:u w:val="none"/>
                <w:lang w:val="en-US" w:eastAsia="zh-CN" w:bidi="ar"/>
              </w:rPr>
            </w:pPr>
            <w:r>
              <w:rPr>
                <w:rFonts w:hint="eastAsia" w:ascii="仿宋_GB2312" w:hAnsi="宋体" w:eastAsia="仿宋_GB2312" w:cs="仿宋_GB2312"/>
                <w:i w:val="0"/>
                <w:iCs w:val="0"/>
                <w:color w:val="auto"/>
                <w:kern w:val="0"/>
                <w:sz w:val="18"/>
                <w:szCs w:val="18"/>
                <w:highlight w:val="none"/>
                <w:u w:val="none"/>
                <w:lang w:val="en-US" w:eastAsia="zh-CN" w:bidi="ar"/>
              </w:rPr>
              <w:t>中标方每发生一起六级故障扣1分；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（2）中标方每发生一起五级故障扣2分；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（3）中标方每发生一起四级故障扣3分；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（4）中标方每发生一起三级故障扣4分；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（5）中标方每发生一起二级故障扣5分；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（6）中标方每发生一起一级故障扣6分。</w:t>
            </w:r>
          </w:p>
          <w:p>
            <w:pPr>
              <w:keepNext w:val="0"/>
              <w:keepLines w:val="0"/>
              <w:widowControl/>
              <w:numPr>
                <w:ilvl w:val="-1"/>
                <w:numId w:val="0"/>
              </w:numPr>
              <w:suppressLineNumbers w:val="0"/>
              <w:jc w:val="left"/>
              <w:textAlignment w:val="center"/>
              <w:rPr>
                <w:rFonts w:hint="default" w:ascii="仿宋_GB2312" w:hAnsi="宋体" w:eastAsia="仿宋_GB2312" w:cs="仿宋_GB2312"/>
                <w:i w:val="0"/>
                <w:iCs w:val="0"/>
                <w:color w:val="auto"/>
                <w:kern w:val="0"/>
                <w:sz w:val="18"/>
                <w:szCs w:val="18"/>
                <w:highlight w:val="none"/>
                <w:u w:val="none"/>
                <w:lang w:val="en-US" w:eastAsia="zh-CN" w:bidi="ar"/>
              </w:rPr>
            </w:pPr>
            <w:r>
              <w:rPr>
                <w:rFonts w:hint="eastAsia" w:ascii="仿宋_GB2312" w:hAnsi="宋体" w:eastAsia="仿宋_GB2312" w:cs="仿宋_GB2312"/>
                <w:i w:val="0"/>
                <w:iCs w:val="0"/>
                <w:color w:val="auto"/>
                <w:kern w:val="0"/>
                <w:sz w:val="18"/>
                <w:szCs w:val="18"/>
                <w:highlight w:val="none"/>
                <w:u w:val="none"/>
                <w:lang w:val="en-US" w:eastAsia="zh-CN" w:bidi="ar"/>
              </w:rPr>
              <w:t>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故障及时恢复数（E2）</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中标方对自身所提供云服务出现故障时，为使用单位及时恢复业务运行的数量。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一级故障不超过30分钟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二级故障不超过30分钟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三级故障不超过60分钟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四级故障不超过120分钟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五级故障不超过240分钟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六级故障不超过360分钟</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（1）故障恢复时间=恢复运行时间-发生时间</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（2）故障及时恢复数=每月故障按时间要求及时恢复的数量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中标方的故障及时恢复指标未达到要求，每发生一起扣2分，本指标扣分上不封顶。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054"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故障及时上报数（E3）</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中标方对自身所提供云服务出现故障时，向采购方及时上报故障发生的数量。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一级故障不超过10分钟—电话上报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二级故障不超过10分钟—电话上报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三级故障不超过10分钟—电话上报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四级故障不超过30分钟—微信上报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五级故障不超过60分钟—微信上报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六级故障不超过120分钟—微信上报</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故障上报时间=上报时间-发生时间</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中标方的故障及时上报，故障未及时上报，每发生一起扣1分，本指标扣分上不封顶。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故障上报准确数（E4）</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中标方对自身所提供云服务出现故障时，向采购方准确上报故障实际情况的数量。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不发生瞒报和错报事件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故障上报准确数=故障正确上报数</w:t>
            </w:r>
          </w:p>
        </w:tc>
        <w:tc>
          <w:tcPr>
            <w:tcW w:w="1020"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每发生一起错报、瞒报事件扣1分，本指标扣分上不封顶。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（F）</w:t>
            </w:r>
          </w:p>
        </w:tc>
        <w:tc>
          <w:tcPr>
            <w:tcW w:w="264"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变更成功数（F1）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中标方对自身所提供云服务变更能力予以完成的数量。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变更成功数=每月中标方上报并经确认的变更成功数量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Style w:val="19"/>
                <w:rFonts w:hAnsi="宋体"/>
                <w:color w:val="auto"/>
                <w:sz w:val="18"/>
                <w:szCs w:val="18"/>
                <w:highlight w:val="none"/>
                <w:lang w:val="en-US" w:eastAsia="zh-CN" w:bidi="ar"/>
              </w:rPr>
              <w:t>中标方当月变更未能实际按方案完成，每发生1起扣1分，扣完为止。</w:t>
            </w:r>
            <w:r>
              <w:rPr>
                <w:rStyle w:val="19"/>
                <w:rFonts w:hAnsi="宋体"/>
                <w:color w:val="auto"/>
                <w:sz w:val="18"/>
                <w:szCs w:val="18"/>
                <w:highlight w:val="none"/>
                <w:lang w:val="en-US" w:eastAsia="zh-CN" w:bidi="ar"/>
              </w:rPr>
              <w:br w:type="textWrapping"/>
            </w:r>
            <w:r>
              <w:rPr>
                <w:rStyle w:val="20"/>
                <w:rFonts w:hAnsi="宋体"/>
                <w:color w:val="auto"/>
                <w:sz w:val="18"/>
                <w:szCs w:val="18"/>
                <w:highlight w:val="none"/>
                <w:lang w:val="en-US" w:eastAsia="zh-CN" w:bidi="ar"/>
              </w:rPr>
              <w:t>注：按原定回退方案执行并成功回退的不做扣分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变更及时上报数（F2）</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中标方对自身所提供云服务执行变更前，及时书面上报政务云变更执行计划的数量。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变更应全部及时上报</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（1）变更通知上报时间=变更执行时间-提交时间</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（2）变更及时上报数=每月变更及时上报的数量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Style w:val="19"/>
                <w:rFonts w:hAnsi="宋体"/>
                <w:color w:val="auto"/>
                <w:sz w:val="18"/>
                <w:szCs w:val="18"/>
                <w:highlight w:val="none"/>
                <w:lang w:val="en-US" w:eastAsia="zh-CN" w:bidi="ar"/>
              </w:rPr>
              <w:t>中标方的变更方案未上报或者上报时间未达到要求，每发生一起扣1分，扣完为止。</w:t>
            </w:r>
            <w:r>
              <w:rPr>
                <w:rStyle w:val="19"/>
                <w:rFonts w:hAnsi="宋体"/>
                <w:color w:val="auto"/>
                <w:sz w:val="18"/>
                <w:szCs w:val="18"/>
                <w:highlight w:val="none"/>
                <w:lang w:val="en-US" w:eastAsia="zh-CN" w:bidi="ar"/>
              </w:rPr>
              <w:br w:type="textWrapping"/>
            </w:r>
            <w:r>
              <w:rPr>
                <w:rStyle w:val="20"/>
                <w:rFonts w:hAnsi="宋体"/>
                <w:color w:val="auto"/>
                <w:sz w:val="18"/>
                <w:szCs w:val="18"/>
                <w:highlight w:val="none"/>
                <w:lang w:val="en-US" w:eastAsia="zh-CN" w:bidi="ar"/>
              </w:rPr>
              <w:t>注：紧急变更方案上报提前时间不作考核。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制度执行有效性（G）</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制度执行有效性</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（G1）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中标方应严格执行政务云相关管理制度。</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中标方不发生任何违反制度的事件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违反制度次数=每月未有效执行制度的事件次数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在日常工作中或者其他第三方发现中标方未有效执行政务云管理制度的，每发现一起扣除1分，扣完为止。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1147" w:type="pct"/>
            <w:gridSpan w:val="3"/>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合计</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100</w:t>
            </w:r>
          </w:p>
        </w:tc>
        <w:tc>
          <w:tcPr>
            <w:tcW w:w="842"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c>
          <w:tcPr>
            <w:tcW w:w="893"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c>
          <w:tcPr>
            <w:tcW w:w="805"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c>
          <w:tcPr>
            <w:tcW w:w="1020"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r>
    </w:tbl>
    <w:p>
      <w:pPr>
        <w:jc w:val="left"/>
        <w:rPr>
          <w:highlight w:val="none"/>
        </w:rPr>
        <w:sectPr>
          <w:footerReference r:id="rId3" w:type="default"/>
          <w:pgSz w:w="12240" w:h="15840"/>
          <w:pgMar w:top="1440" w:right="1800" w:bottom="1440" w:left="1800" w:header="720" w:footer="720" w:gutter="0"/>
          <w:cols w:space="720" w:num="1"/>
          <w:docGrid w:type="lines" w:linePitch="312" w:charSpace="0"/>
        </w:sectPr>
      </w:pPr>
    </w:p>
    <w:p>
      <w:pPr>
        <w:spacing w:line="600" w:lineRule="exact"/>
        <w:ind w:firstLine="562" w:firstLineChars="200"/>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故障定级说明如下</w:t>
      </w:r>
    </w:p>
    <w:p>
      <w:pPr>
        <w:spacing w:line="600" w:lineRule="exact"/>
        <w:ind w:firstLine="560" w:firstLineChars="200"/>
        <w:rPr>
          <w:sz w:val="28"/>
          <w:szCs w:val="28"/>
          <w:highlight w:val="none"/>
        </w:rPr>
      </w:pPr>
      <w:r>
        <w:rPr>
          <w:rFonts w:ascii="仿宋_GB2312" w:hAnsi="仿宋_GB2312" w:eastAsia="仿宋_GB2312" w:cs="仿宋_GB2312"/>
          <w:sz w:val="28"/>
          <w:szCs w:val="28"/>
          <w:highlight w:val="none"/>
        </w:rPr>
        <w:t>各类故障按影响</w:t>
      </w:r>
      <w:r>
        <w:rPr>
          <w:rFonts w:hint="eastAsia" w:ascii="仿宋_GB2312" w:hAnsi="仿宋_GB2312" w:eastAsia="仿宋_GB2312" w:cs="仿宋_GB2312"/>
          <w:sz w:val="28"/>
          <w:szCs w:val="28"/>
          <w:highlight w:val="none"/>
        </w:rPr>
        <w:t>系统数量</w:t>
      </w:r>
      <w:r>
        <w:rPr>
          <w:rFonts w:ascii="仿宋_GB2312" w:hAnsi="仿宋_GB2312" w:eastAsia="仿宋_GB2312" w:cs="仿宋_GB2312"/>
          <w:sz w:val="28"/>
          <w:szCs w:val="28"/>
          <w:highlight w:val="none"/>
        </w:rPr>
        <w:t>、系统重要性、</w:t>
      </w:r>
      <w:r>
        <w:rPr>
          <w:rFonts w:hint="eastAsia" w:ascii="仿宋_GB2312" w:hAnsi="仿宋_GB2312" w:eastAsia="仿宋_GB2312" w:cs="仿宋_GB2312"/>
          <w:sz w:val="28"/>
          <w:szCs w:val="28"/>
          <w:highlight w:val="none"/>
        </w:rPr>
        <w:t>影响程度和</w:t>
      </w:r>
      <w:r>
        <w:rPr>
          <w:rFonts w:ascii="仿宋_GB2312" w:hAnsi="仿宋_GB2312" w:eastAsia="仿宋_GB2312" w:cs="仿宋_GB2312"/>
          <w:sz w:val="28"/>
          <w:szCs w:val="28"/>
          <w:highlight w:val="none"/>
        </w:rPr>
        <w:t>故障时长分</w:t>
      </w:r>
      <w:r>
        <w:rPr>
          <w:rFonts w:hint="eastAsia" w:ascii="仿宋_GB2312" w:hAnsi="仿宋_GB2312" w:eastAsia="仿宋_GB2312" w:cs="仿宋_GB2312"/>
          <w:sz w:val="28"/>
          <w:szCs w:val="28"/>
          <w:highlight w:val="none"/>
          <w:lang w:eastAsia="zh-Hans"/>
        </w:rPr>
        <w:t>为一至六级</w:t>
      </w:r>
      <w:r>
        <w:rPr>
          <w:rFonts w:ascii="仿宋_GB2312" w:hAnsi="仿宋_GB2312" w:eastAsia="仿宋_GB2312" w:cs="仿宋_GB2312"/>
          <w:sz w:val="28"/>
          <w:szCs w:val="28"/>
          <w:highlight w:val="none"/>
        </w:rPr>
        <w:t>六个故障等级</w:t>
      </w:r>
      <w:r>
        <w:rPr>
          <w:rFonts w:hint="eastAsia" w:ascii="仿宋_GB2312" w:hAnsi="仿宋_GB2312" w:eastAsia="仿宋_GB2312" w:cs="仿宋_GB2312"/>
          <w:sz w:val="28"/>
          <w:szCs w:val="28"/>
          <w:highlight w:val="none"/>
        </w:rPr>
        <w:t>，其中一级严重程度最高，六级严重程度最低，</w:t>
      </w:r>
      <w:r>
        <w:rPr>
          <w:rFonts w:ascii="仿宋_GB2312" w:hAnsi="仿宋_GB2312" w:eastAsia="仿宋_GB2312" w:cs="仿宋_GB2312"/>
          <w:sz w:val="28"/>
          <w:szCs w:val="28"/>
          <w:highlight w:val="none"/>
        </w:rPr>
        <w:t>各级别详细定义描述如下：</w:t>
      </w:r>
    </w:p>
    <w:tbl>
      <w:tblPr>
        <w:tblStyle w:val="11"/>
        <w:tblW w:w="5000" w:type="pct"/>
        <w:tblInd w:w="0" w:type="dxa"/>
        <w:tblLayout w:type="fixed"/>
        <w:tblCellMar>
          <w:top w:w="0" w:type="dxa"/>
          <w:left w:w="108" w:type="dxa"/>
          <w:bottom w:w="0" w:type="dxa"/>
          <w:right w:w="108" w:type="dxa"/>
        </w:tblCellMar>
      </w:tblPr>
      <w:tblGrid>
        <w:gridCol w:w="553"/>
        <w:gridCol w:w="737"/>
        <w:gridCol w:w="3241"/>
        <w:gridCol w:w="1031"/>
        <w:gridCol w:w="1619"/>
        <w:gridCol w:w="1674"/>
      </w:tblGrid>
      <w:tr>
        <w:tblPrEx>
          <w:tblCellMar>
            <w:top w:w="0" w:type="dxa"/>
            <w:left w:w="108" w:type="dxa"/>
            <w:bottom w:w="0" w:type="dxa"/>
            <w:right w:w="108" w:type="dxa"/>
          </w:tblCellMar>
        </w:tblPrEx>
        <w:trPr>
          <w:tblHeader/>
        </w:trPr>
        <w:tc>
          <w:tcPr>
            <w:tcW w:w="313"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序号</w:t>
            </w:r>
          </w:p>
        </w:tc>
        <w:tc>
          <w:tcPr>
            <w:tcW w:w="416"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故障定级</w:t>
            </w:r>
          </w:p>
        </w:tc>
        <w:tc>
          <w:tcPr>
            <w:tcW w:w="1830"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影响系统数量</w:t>
            </w:r>
          </w:p>
        </w:tc>
        <w:tc>
          <w:tcPr>
            <w:tcW w:w="582"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系统重要性</w:t>
            </w:r>
          </w:p>
        </w:tc>
        <w:tc>
          <w:tcPr>
            <w:tcW w:w="914"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影响程度</w:t>
            </w:r>
          </w:p>
        </w:tc>
        <w:tc>
          <w:tcPr>
            <w:tcW w:w="945"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故障时长</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一级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所有系统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一级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超过30分钟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3</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一级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超过30分钟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4</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不超过3</w:t>
            </w:r>
            <w:r>
              <w:rPr>
                <w:rFonts w:ascii="仿宋_GB2312" w:hAnsi="等线" w:eastAsia="仿宋_GB2312" w:cs="宋体"/>
                <w:szCs w:val="21"/>
                <w:highlight w:val="none"/>
              </w:rPr>
              <w:t>0</w:t>
            </w:r>
            <w:r>
              <w:rPr>
                <w:rFonts w:hint="eastAsia" w:ascii="仿宋_GB2312" w:hAnsi="等线" w:eastAsia="仿宋_GB2312" w:cs="宋体"/>
                <w:szCs w:val="21"/>
                <w:highlight w:val="none"/>
              </w:rPr>
              <w:t>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5</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不超过3</w:t>
            </w:r>
            <w:r>
              <w:rPr>
                <w:rFonts w:ascii="仿宋_GB2312" w:hAnsi="等线" w:eastAsia="仿宋_GB2312" w:cs="宋体"/>
                <w:szCs w:val="21"/>
                <w:highlight w:val="none"/>
              </w:rPr>
              <w:t>0</w:t>
            </w:r>
            <w:r>
              <w:rPr>
                <w:rFonts w:hint="eastAsia" w:ascii="仿宋_GB2312" w:hAnsi="等线" w:eastAsia="仿宋_GB2312" w:cs="宋体"/>
                <w:szCs w:val="21"/>
                <w:highlight w:val="none"/>
              </w:rPr>
              <w:t>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6</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7</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8</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9</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10</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11</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12</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13</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14</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15</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云上5%以下业务系统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16</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17</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18</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19</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云上5%以下业务系统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20</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21</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22</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23</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系统数量超过1个且占云上系统总数5%以下</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24</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五级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25</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五级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系统数量超过1个且占云上系统总数5%以下</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26</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五级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单个业务系统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超过360分钟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27</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六级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单个业务系统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不超过360分钟</w:t>
            </w:r>
          </w:p>
        </w:tc>
      </w:tr>
    </w:tbl>
    <w:p>
      <w:pPr>
        <w:spacing w:line="600" w:lineRule="exact"/>
        <w:ind w:firstLine="567"/>
        <w:rPr>
          <w:rFonts w:ascii="仿宋_GB2312" w:hAnsi="仿宋_GB2312" w:eastAsia="仿宋_GB2312" w:cs="仿宋_GB2312"/>
          <w:b/>
          <w:bCs/>
          <w:sz w:val="28"/>
          <w:szCs w:val="28"/>
          <w:highlight w:val="none"/>
          <w:lang w:eastAsia="zh-Hans"/>
        </w:rPr>
      </w:pPr>
      <w:r>
        <w:rPr>
          <w:rFonts w:hint="eastAsia" w:ascii="仿宋_GB2312" w:hAnsi="仿宋_GB2312" w:eastAsia="仿宋_GB2312" w:cs="仿宋_GB2312"/>
          <w:b/>
          <w:bCs/>
          <w:sz w:val="28"/>
          <w:szCs w:val="28"/>
          <w:highlight w:val="none"/>
          <w:lang w:val="en-US" w:eastAsia="zh-CN"/>
        </w:rPr>
        <w:t>备注</w:t>
      </w:r>
      <w:r>
        <w:rPr>
          <w:rFonts w:hint="eastAsia" w:ascii="仿宋_GB2312" w:hAnsi="仿宋_GB2312" w:eastAsia="仿宋_GB2312" w:cs="仿宋_GB2312"/>
          <w:b/>
          <w:bCs/>
          <w:sz w:val="28"/>
          <w:szCs w:val="28"/>
          <w:highlight w:val="none"/>
          <w:lang w:eastAsia="zh-Hans"/>
        </w:rPr>
        <w:t>：</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（1）故障按照就高原则定级，即如果一个故障符合多级故障定级条件时，按照严重程度更高的故障等级定级。</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（2）系统分类</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A类系统：如</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市医疗急救中心系统平台整体入云项目</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“随申办”“医保平台”等涉及重大民生的系统。</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B类系统：如“120调度系统”“市路政局停车业务管理系统”“市涉法涉诉信访管理系统”等面向公众服务的系统；如“预算管理一体化系统”“市政府网站集约化平台”“电子政务云系统软件和国产密码应用服务基础设施”等面向多个委办单位服务的系统；如“市义务教育入学报名系统”“市电子证照库”“大数据资源平台”等对经济社会发展有重要影响的系统。</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C类系统：除了A类、B类以外的信息系统。</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某个发生故障的系统属于A、B、C的分类认定以</w:t>
      </w:r>
      <w:r>
        <w:rPr>
          <w:rFonts w:hint="eastAsia" w:ascii="仿宋_GB2312" w:hAnsi="仿宋_GB2312" w:eastAsia="仿宋_GB2312" w:cs="仿宋_GB2312"/>
          <w:sz w:val="28"/>
          <w:szCs w:val="28"/>
          <w:highlight w:val="none"/>
          <w:lang w:val="en-US" w:eastAsia="zh-CN"/>
        </w:rPr>
        <w:t>采购方指定的</w:t>
      </w:r>
      <w:r>
        <w:rPr>
          <w:rFonts w:hint="eastAsia" w:ascii="仿宋_GB2312" w:hAnsi="仿宋_GB2312" w:eastAsia="仿宋_GB2312" w:cs="仿宋_GB2312"/>
          <w:sz w:val="28"/>
          <w:szCs w:val="28"/>
          <w:highlight w:val="none"/>
        </w:rPr>
        <w:t>第三方出具的评估结论为准。</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（3）故障影响程度</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系统无法使用：由于云平台故障造成使用单位的业务系统出现功能不可用、应用或服务不可访问、业务系统失效或崩溃、性能严重下降等情况之一的。</w:t>
      </w:r>
    </w:p>
    <w:p>
      <w:pPr>
        <w:spacing w:line="600" w:lineRule="exact"/>
        <w:ind w:firstLine="560" w:firstLineChars="200"/>
        <w:rPr>
          <w:rFonts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eastAsia="zh-Hans"/>
        </w:rPr>
        <w:t>影响系统使用：由于云平台故障造成使用单位的业务系统应用或服务部分功能不可用、业务系统时断时续、明显卡顿、性能明显下降等情况之一的。</w:t>
      </w:r>
    </w:p>
    <w:p>
      <w:pPr>
        <w:widowControl w:val="0"/>
        <w:spacing w:line="600" w:lineRule="exact"/>
        <w:ind w:firstLine="562" w:firstLineChars="200"/>
        <w:outlineLvl w:val="1"/>
        <w:rPr>
          <w:rFonts w:ascii="楷体_GB2312" w:hAnsi="仿宋_GB2312" w:eastAsia="楷体_GB2312" w:cs="仿宋_GB2312"/>
          <w:b/>
          <w:bCs/>
          <w:color w:val="000000"/>
          <w:kern w:val="0"/>
          <w:sz w:val="28"/>
          <w:szCs w:val="28"/>
          <w:highlight w:val="none"/>
          <w:lang w:bidi="en-US"/>
        </w:rPr>
      </w:pPr>
      <w:r>
        <w:rPr>
          <w:rFonts w:hint="eastAsia" w:ascii="楷体_GB2312" w:hAnsi="仿宋_GB2312" w:eastAsia="楷体_GB2312" w:cs="仿宋_GB2312"/>
          <w:b/>
          <w:bCs/>
          <w:color w:val="000000"/>
          <w:kern w:val="0"/>
          <w:sz w:val="28"/>
          <w:szCs w:val="28"/>
          <w:highlight w:val="none"/>
          <w:lang w:bidi="en-US"/>
        </w:rPr>
        <w:t>（二）年度考核指标体系</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5"/>
        <w:gridCol w:w="434"/>
        <w:gridCol w:w="912"/>
        <w:gridCol w:w="531"/>
        <w:gridCol w:w="1307"/>
        <w:gridCol w:w="1102"/>
        <w:gridCol w:w="1235"/>
        <w:gridCol w:w="2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trPr>
        <w:tc>
          <w:tcPr>
            <w:tcW w:w="409" w:type="pct"/>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一级指标</w:t>
            </w: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分值</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二级指标</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分值</w:t>
            </w:r>
          </w:p>
        </w:tc>
        <w:tc>
          <w:tcPr>
            <w:tcW w:w="73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指标解释</w:t>
            </w:r>
          </w:p>
        </w:tc>
        <w:tc>
          <w:tcPr>
            <w:tcW w:w="622"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应达要求</w:t>
            </w:r>
          </w:p>
        </w:tc>
        <w:tc>
          <w:tcPr>
            <w:tcW w:w="697"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测量规则</w:t>
            </w:r>
          </w:p>
        </w:tc>
        <w:tc>
          <w:tcPr>
            <w:tcW w:w="1471"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409"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满意度管理（H）</w:t>
            </w: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30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云服务满意率（H1）</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30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见满意度调查问卷。</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每年满意度不低于90%</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云服务满意率：见满意度调查问卷</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云服务满意度≥90%得满分，每偏差1%扣除权重2%，扣完为止。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00" w:hRule="atLeast"/>
        </w:trPr>
        <w:tc>
          <w:tcPr>
            <w:tcW w:w="409"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培训管理(I)</w:t>
            </w: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年有效培训次数</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（I1）</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每年中标方面向政务云使用单位的培训次数。</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每年有效培训次数不小于20次</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每次培训人数不少于4人，按提供培训教材、培训通知、现场签到或会议记录等佐证材料计数。</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年有效培训次数≥20次得满分，每偏差1次扣除权重的5%，扣完为止。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00" w:hRule="atLeast"/>
        </w:trPr>
        <w:tc>
          <w:tcPr>
            <w:tcW w:w="409"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安全管理</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(J)</w:t>
            </w:r>
          </w:p>
        </w:tc>
        <w:tc>
          <w:tcPr>
            <w:tcW w:w="245" w:type="pct"/>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515" w:type="pct"/>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安全通报事件数</w:t>
            </w:r>
          </w:p>
        </w:tc>
        <w:tc>
          <w:tcPr>
            <w:tcW w:w="300" w:type="pct"/>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738" w:type="pct"/>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每年中标方被国家、市级安全主管部门通报涉及市政务云安全事件数量。</w:t>
            </w:r>
          </w:p>
        </w:tc>
        <w:tc>
          <w:tcPr>
            <w:tcW w:w="622" w:type="pct"/>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不发生安全通报事件</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安全通报事件数=国家、市级安全主管部门通报涉及市政务云安全事件数量</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中标方每发生一起被国家、市级安全主管部门通报涉及市政务云安全事件扣10分，扣完为止；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00" w:hRule="atLeast"/>
        </w:trPr>
        <w:tc>
          <w:tcPr>
            <w:tcW w:w="409" w:type="pct"/>
            <w:vMerge w:val="continue"/>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安全风险及时整改数（J1）</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发现涉及安全风险事件时，在规定的时间内予以整改的数量。</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安全风险包括安全漏洞、故障隐患、其他问题等应及时整改，时间不超过规定时间。</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（1）安全风险整改时间=安全风险处理完成时间-发现安全风险的时间</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（2）安全风险及时整改数=按时整改数</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中标方的安全风险整改指标未达到要求，每发生一起则扣5分，扣完为止。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0" w:hRule="atLeast"/>
        </w:trPr>
        <w:tc>
          <w:tcPr>
            <w:tcW w:w="409" w:type="pct"/>
            <w:vMerge w:val="continue"/>
            <w:shd w:val="clear" w:color="auto" w:fill="auto"/>
            <w:vAlign w:val="center"/>
          </w:tcPr>
          <w:p>
            <w:pPr>
              <w:jc w:val="center"/>
              <w:rPr>
                <w:rFonts w:hint="eastAsia" w:ascii="仿宋_GB2312" w:hAnsi="宋体" w:eastAsia="仿宋_GB2312" w:cs="仿宋_GB2312"/>
                <w:i w:val="0"/>
                <w:iCs w:val="0"/>
                <w:color w:val="000000"/>
                <w:sz w:val="18"/>
                <w:szCs w:val="18"/>
                <w:highlight w:val="none"/>
                <w:u w:val="none"/>
              </w:rPr>
            </w:pP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安全责任事故数（J2）</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中标方提供的机房、网络、安全、虚拟机、物理机、存储、运维等方面出现问题引起的安全责任事故数量。</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不发生该类事件</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安全责任事故数=采购方指定的第三方出具监管报告确认为安全责任事故的数量</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（1）中标方的五级安全责任事故每发生一起则扣2分，扣完为止；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（2）中标方的四级安全责任事故每发生一起则扣4分，扣完为止；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（3）中标方的三级安全责任事故每发生一起则扣6分，扣完为止；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（4）中标方的二级安全责任事故每发生一起则扣8分，扣完为止；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（5）中标方的一级安全责任事故每发生一起则扣10分，扣完为止。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1169" w:type="pct"/>
            <w:gridSpan w:val="3"/>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合计</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100</w:t>
            </w:r>
          </w:p>
        </w:tc>
        <w:tc>
          <w:tcPr>
            <w:tcW w:w="738"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c>
          <w:tcPr>
            <w:tcW w:w="622"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c>
          <w:tcPr>
            <w:tcW w:w="697"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c>
          <w:tcPr>
            <w:tcW w:w="1471"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r>
    </w:tbl>
    <w:p>
      <w:pPr>
        <w:spacing w:line="400" w:lineRule="exact"/>
        <w:ind w:firstLine="480"/>
        <w:rPr>
          <w:rFonts w:ascii="微软雅黑" w:hAnsi="微软雅黑" w:eastAsia="微软雅黑" w:cs="微软雅黑"/>
          <w:highlight w:val="none"/>
        </w:rPr>
      </w:pPr>
    </w:p>
    <w:p>
      <w:pPr>
        <w:tabs>
          <w:tab w:val="left" w:pos="580"/>
        </w:tabs>
        <w:rPr>
          <w:rFonts w:ascii="微软雅黑" w:hAnsi="微软雅黑" w:eastAsia="微软雅黑" w:cs="微软雅黑"/>
          <w:highlight w:val="none"/>
        </w:rPr>
        <w:sectPr>
          <w:pgSz w:w="12240" w:h="15840"/>
          <w:pgMar w:top="1440" w:right="1800" w:bottom="1440" w:left="1800" w:header="720" w:footer="720" w:gutter="0"/>
          <w:cols w:space="720" w:num="1"/>
          <w:docGrid w:type="lines" w:linePitch="312" w:charSpace="0"/>
        </w:sectPr>
      </w:pPr>
      <w:r>
        <w:rPr>
          <w:rFonts w:ascii="微软雅黑" w:hAnsi="微软雅黑" w:eastAsia="微软雅黑" w:cs="微软雅黑"/>
          <w:highlight w:val="none"/>
        </w:rPr>
        <w:tab/>
      </w:r>
    </w:p>
    <w:p>
      <w:pPr>
        <w:widowControl w:val="0"/>
        <w:spacing w:line="600" w:lineRule="exact"/>
        <w:ind w:firstLine="560" w:firstLineChars="200"/>
        <w:outlineLvl w:val="0"/>
        <w:rPr>
          <w:rFonts w:ascii="黑体" w:hAnsi="黑体" w:eastAsia="黑体" w:cs="仿宋_GB2312"/>
          <w:color w:val="000000"/>
          <w:kern w:val="0"/>
          <w:sz w:val="28"/>
          <w:szCs w:val="28"/>
          <w:highlight w:val="none"/>
          <w:lang w:val="zh-CN" w:bidi="en-US"/>
        </w:rPr>
      </w:pPr>
      <w:r>
        <w:rPr>
          <w:rFonts w:hint="eastAsia" w:ascii="黑体" w:hAnsi="黑体" w:eastAsia="黑体" w:cs="仿宋_GB2312"/>
          <w:color w:val="000000"/>
          <w:kern w:val="0"/>
          <w:sz w:val="28"/>
          <w:szCs w:val="28"/>
          <w:highlight w:val="none"/>
          <w:lang w:val="zh-CN" w:bidi="en-US"/>
        </w:rPr>
        <w:t>考核方法与考核结果</w:t>
      </w:r>
    </w:p>
    <w:p>
      <w:pPr>
        <w:spacing w:line="600" w:lineRule="atLeast"/>
        <w:ind w:firstLine="560" w:firstLineChars="200"/>
        <w:rPr>
          <w:rFonts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val="en-US" w:eastAsia="zh-CN"/>
        </w:rPr>
        <w:t>采购方</w:t>
      </w:r>
      <w:r>
        <w:rPr>
          <w:rFonts w:hint="eastAsia" w:ascii="仿宋_GB2312" w:hAnsi="仿宋_GB2312" w:eastAsia="仿宋_GB2312" w:cs="仿宋_GB2312"/>
          <w:sz w:val="28"/>
          <w:szCs w:val="28"/>
          <w:highlight w:val="none"/>
          <w:lang w:eastAsia="zh-Hans"/>
        </w:rPr>
        <w:t>每月定期按月度考核指标进行考核，出具考核结果，一个服务年度按年度考核指标执行一次年度考核，出具年度考核结果。</w:t>
      </w:r>
    </w:p>
    <w:p>
      <w:pPr>
        <w:spacing w:line="600" w:lineRule="atLeast"/>
        <w:ind w:firstLine="560" w:firstLineChars="200"/>
        <w:rPr>
          <w:rFonts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eastAsia="zh-CN"/>
        </w:rPr>
        <w:t>中标方</w:t>
      </w:r>
      <w:r>
        <w:rPr>
          <w:rFonts w:hint="eastAsia" w:ascii="仿宋_GB2312" w:hAnsi="仿宋_GB2312" w:eastAsia="仿宋_GB2312" w:cs="仿宋_GB2312"/>
          <w:sz w:val="28"/>
          <w:szCs w:val="28"/>
          <w:highlight w:val="none"/>
          <w:lang w:eastAsia="zh-Hans"/>
        </w:rPr>
        <w:t>年度考核得分8</w:t>
      </w:r>
      <w:r>
        <w:rPr>
          <w:rFonts w:ascii="仿宋_GB2312" w:hAnsi="仿宋_GB2312" w:eastAsia="仿宋_GB2312" w:cs="仿宋_GB2312"/>
          <w:sz w:val="28"/>
          <w:szCs w:val="28"/>
          <w:highlight w:val="none"/>
          <w:lang w:eastAsia="zh-Hans"/>
        </w:rPr>
        <w:t>0</w:t>
      </w:r>
      <w:r>
        <w:rPr>
          <w:rFonts w:hint="eastAsia" w:ascii="仿宋_GB2312" w:hAnsi="仿宋_GB2312" w:eastAsia="仿宋_GB2312" w:cs="仿宋_GB2312"/>
          <w:sz w:val="28"/>
          <w:szCs w:val="28"/>
          <w:highlight w:val="none"/>
          <w:lang w:eastAsia="zh-Hans"/>
        </w:rPr>
        <w:t>%权重来自于月度考核，2</w:t>
      </w:r>
      <w:r>
        <w:rPr>
          <w:rFonts w:ascii="仿宋_GB2312" w:hAnsi="仿宋_GB2312" w:eastAsia="仿宋_GB2312" w:cs="仿宋_GB2312"/>
          <w:sz w:val="28"/>
          <w:szCs w:val="28"/>
          <w:highlight w:val="none"/>
          <w:lang w:eastAsia="zh-Hans"/>
        </w:rPr>
        <w:t>0</w:t>
      </w:r>
      <w:r>
        <w:rPr>
          <w:rFonts w:hint="eastAsia" w:ascii="仿宋_GB2312" w:hAnsi="仿宋_GB2312" w:eastAsia="仿宋_GB2312" w:cs="仿宋_GB2312"/>
          <w:sz w:val="28"/>
          <w:szCs w:val="28"/>
          <w:highlight w:val="none"/>
          <w:lang w:eastAsia="zh-Hans"/>
        </w:rPr>
        <w:t>%来自于年度考核，具体计算公式如下：</w:t>
      </w:r>
    </w:p>
    <w:p>
      <w:pPr>
        <w:spacing w:line="600" w:lineRule="atLeast"/>
        <w:ind w:firstLine="560" w:firstLineChars="200"/>
        <w:rPr>
          <w:sz w:val="20"/>
          <w:szCs w:val="18"/>
          <w:highlight w:val="none"/>
        </w:rPr>
      </w:pPr>
      <w:r>
        <w:rPr>
          <w:rFonts w:hint="eastAsia" w:ascii="仿宋_GB2312" w:hAnsi="仿宋_GB2312" w:eastAsia="仿宋_GB2312" w:cs="仿宋_GB2312"/>
          <w:sz w:val="28"/>
          <w:szCs w:val="28"/>
          <w:highlight w:val="none"/>
          <w:lang w:eastAsia="zh-CN"/>
        </w:rPr>
        <w:t>中标方</w:t>
      </w:r>
      <w:r>
        <w:rPr>
          <w:rFonts w:hint="eastAsia" w:ascii="仿宋_GB2312" w:hAnsi="仿宋_GB2312" w:eastAsia="仿宋_GB2312" w:cs="仿宋_GB2312"/>
          <w:sz w:val="28"/>
          <w:szCs w:val="28"/>
          <w:highlight w:val="none"/>
          <w:lang w:eastAsia="zh-Hans"/>
        </w:rPr>
        <w:t>年度考核得分=服务年度月度考核得分平均分×8</w:t>
      </w:r>
      <w:r>
        <w:rPr>
          <w:rFonts w:ascii="仿宋_GB2312" w:hAnsi="仿宋_GB2312" w:eastAsia="仿宋_GB2312" w:cs="仿宋_GB2312"/>
          <w:sz w:val="28"/>
          <w:szCs w:val="28"/>
          <w:highlight w:val="none"/>
          <w:lang w:eastAsia="zh-Hans"/>
        </w:rPr>
        <w:t>0</w:t>
      </w:r>
      <w:r>
        <w:rPr>
          <w:rFonts w:hint="eastAsia" w:ascii="仿宋_GB2312" w:hAnsi="仿宋_GB2312" w:eastAsia="仿宋_GB2312" w:cs="仿宋_GB2312"/>
          <w:sz w:val="28"/>
          <w:szCs w:val="28"/>
          <w:highlight w:val="none"/>
          <w:lang w:eastAsia="zh-Hans"/>
        </w:rPr>
        <w:t>%+服务年度考核得分×</w:t>
      </w:r>
      <w:r>
        <w:rPr>
          <w:rFonts w:ascii="仿宋_GB2312" w:hAnsi="仿宋_GB2312" w:eastAsia="仿宋_GB2312" w:cs="仿宋_GB2312"/>
          <w:sz w:val="28"/>
          <w:szCs w:val="28"/>
          <w:highlight w:val="none"/>
          <w:lang w:eastAsia="zh-Hans"/>
        </w:rPr>
        <w:t>20</w:t>
      </w:r>
      <w:r>
        <w:rPr>
          <w:rFonts w:hint="eastAsia" w:ascii="仿宋_GB2312" w:hAnsi="仿宋_GB2312" w:eastAsia="仿宋_GB2312" w:cs="仿宋_GB2312"/>
          <w:sz w:val="28"/>
          <w:szCs w:val="28"/>
          <w:highlight w:val="none"/>
          <w:lang w:eastAsia="zh-Hans"/>
        </w:rPr>
        <w:t>%</w:t>
      </w:r>
      <w:bookmarkEnd w:id="10"/>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CC"/>
    <w:family w:val="roman"/>
    <w:pitch w:val="default"/>
    <w:sig w:usb0="00000000" w:usb1="00000000" w:usb2="00000001" w:usb3="00000000" w:csb0="400001BF" w:csb1="DFF7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Book Antiqua">
    <w:altName w:val="Liberation Serif"/>
    <w:panose1 w:val="02040602050305030304"/>
    <w:charset w:val="00"/>
    <w:family w:val="roman"/>
    <w:pitch w:val="default"/>
    <w:sig w:usb0="00000000" w:usb1="00000000" w:usb2="00000000" w:usb3="00000000" w:csb0="2000009F" w:csb1="DFD70000"/>
  </w:font>
  <w:font w:name="Liberation Serif">
    <w:panose1 w:val="02020603050405020304"/>
    <w:charset w:val="00"/>
    <w:family w:val="auto"/>
    <w:pitch w:val="default"/>
    <w:sig w:usb0="A00002AF" w:usb1="500078FB" w:usb2="00000000" w:usb3="00000000" w:csb0="6000009F" w:csb1="DFD70000"/>
  </w:font>
  <w:font w:name="方正黑体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微软雅黑">
    <w:altName w:val="方正黑体_GBK"/>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Segoe UI Symbol">
    <w:altName w:val="Noto Sans"/>
    <w:panose1 w:val="020B0502040204020203"/>
    <w:charset w:val="00"/>
    <w:family w:val="swiss"/>
    <w:pitch w:val="default"/>
    <w:sig w:usb0="00000000" w:usb1="00000000" w:usb2="00040000" w:usb3="04000000" w:csb0="00000001" w:csb1="40000000"/>
  </w:font>
  <w:font w:name="Noto Sans">
    <w:panose1 w:val="020B0502040504020204"/>
    <w:charset w:val="00"/>
    <w:family w:val="auto"/>
    <w:pitch w:val="default"/>
    <w:sig w:usb0="E00002FF" w:usb1="4000201F" w:usb2="08000029" w:usb3="00100000" w:csb0="0000019F"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5197834"/>
      <w:docPartObj>
        <w:docPartGallery w:val="autotext"/>
      </w:docPartObj>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p>
    <w:pPr>
      <w:pStyle w:val="9"/>
      <w:tabs>
        <w:tab w:val="center" w:pos="4320"/>
        <w:tab w:val="clear" w:pos="4153"/>
        <w:tab w:val="clear"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E450D"/>
    <w:multiLevelType w:val="multilevel"/>
    <w:tmpl w:val="8BFE450D"/>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8EAEB9EF"/>
    <w:multiLevelType w:val="singleLevel"/>
    <w:tmpl w:val="8EAEB9EF"/>
    <w:lvl w:ilvl="0" w:tentative="0">
      <w:start w:val="1"/>
      <w:numFmt w:val="decimal"/>
      <w:suff w:val="space"/>
      <w:lvlText w:val="%1."/>
      <w:lvlJc w:val="left"/>
    </w:lvl>
  </w:abstractNum>
  <w:abstractNum w:abstractNumId="2">
    <w:nsid w:val="BF7EF9D0"/>
    <w:multiLevelType w:val="multilevel"/>
    <w:tmpl w:val="BF7EF9D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BFFF3ED8"/>
    <w:multiLevelType w:val="multilevel"/>
    <w:tmpl w:val="BFFF3ED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D3DE4877"/>
    <w:multiLevelType w:val="multilevel"/>
    <w:tmpl w:val="D3DE4877"/>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DC3CDA82"/>
    <w:multiLevelType w:val="multilevel"/>
    <w:tmpl w:val="DC3CDA8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EBF82D78"/>
    <w:multiLevelType w:val="multilevel"/>
    <w:tmpl w:val="EBF82D7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FAFCFFF8"/>
    <w:multiLevelType w:val="multilevel"/>
    <w:tmpl w:val="FAFCFFF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FB3F173C"/>
    <w:multiLevelType w:val="multilevel"/>
    <w:tmpl w:val="FB3F173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FDCF3441"/>
    <w:multiLevelType w:val="multilevel"/>
    <w:tmpl w:val="FDCF344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FEFF27DF"/>
    <w:multiLevelType w:val="multilevel"/>
    <w:tmpl w:val="FEFF27D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FF9FD440"/>
    <w:multiLevelType w:val="multilevel"/>
    <w:tmpl w:val="FF9FD44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FFFA02C9"/>
    <w:multiLevelType w:val="multilevel"/>
    <w:tmpl w:val="FFFA02C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FFFFFF88"/>
    <w:multiLevelType w:val="singleLevel"/>
    <w:tmpl w:val="FFFFFF88"/>
    <w:lvl w:ilvl="0" w:tentative="0">
      <w:start w:val="1"/>
      <w:numFmt w:val="decimal"/>
      <w:pStyle w:val="2"/>
      <w:lvlText w:val="%1."/>
      <w:lvlJc w:val="left"/>
      <w:pPr>
        <w:tabs>
          <w:tab w:val="left" w:pos="360"/>
        </w:tabs>
        <w:ind w:left="360" w:hanging="360"/>
      </w:pPr>
    </w:lvl>
  </w:abstractNum>
  <w:abstractNum w:abstractNumId="14">
    <w:nsid w:val="0D540E02"/>
    <w:multiLevelType w:val="multilevel"/>
    <w:tmpl w:val="0D540E0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1CAC1923"/>
    <w:multiLevelType w:val="multilevel"/>
    <w:tmpl w:val="1CAC1923"/>
    <w:lvl w:ilvl="0" w:tentative="0">
      <w:start w:val="1"/>
      <w:numFmt w:val="decimalEnclosedCircle"/>
      <w:lvlText w:val="%1"/>
      <w:lvlJc w:val="left"/>
      <w:pPr>
        <w:ind w:left="2523" w:hanging="360"/>
      </w:pPr>
      <w:rPr>
        <w:rFonts w:hint="default"/>
      </w:rPr>
    </w:lvl>
    <w:lvl w:ilvl="1" w:tentative="0">
      <w:start w:val="1"/>
      <w:numFmt w:val="lowerLetter"/>
      <w:lvlText w:val="%2)"/>
      <w:lvlJc w:val="left"/>
      <w:pPr>
        <w:ind w:left="3003" w:hanging="420"/>
      </w:pPr>
    </w:lvl>
    <w:lvl w:ilvl="2" w:tentative="0">
      <w:start w:val="1"/>
      <w:numFmt w:val="lowerRoman"/>
      <w:lvlText w:val="%3."/>
      <w:lvlJc w:val="right"/>
      <w:pPr>
        <w:ind w:left="3423" w:hanging="420"/>
      </w:pPr>
    </w:lvl>
    <w:lvl w:ilvl="3" w:tentative="0">
      <w:start w:val="1"/>
      <w:numFmt w:val="decimal"/>
      <w:lvlText w:val="%4."/>
      <w:lvlJc w:val="left"/>
      <w:pPr>
        <w:ind w:left="3843" w:hanging="420"/>
      </w:pPr>
    </w:lvl>
    <w:lvl w:ilvl="4" w:tentative="0">
      <w:start w:val="1"/>
      <w:numFmt w:val="lowerLetter"/>
      <w:lvlText w:val="%5)"/>
      <w:lvlJc w:val="left"/>
      <w:pPr>
        <w:ind w:left="4263" w:hanging="420"/>
      </w:pPr>
    </w:lvl>
    <w:lvl w:ilvl="5" w:tentative="0">
      <w:start w:val="1"/>
      <w:numFmt w:val="lowerRoman"/>
      <w:lvlText w:val="%6."/>
      <w:lvlJc w:val="right"/>
      <w:pPr>
        <w:ind w:left="4683" w:hanging="420"/>
      </w:pPr>
    </w:lvl>
    <w:lvl w:ilvl="6" w:tentative="0">
      <w:start w:val="1"/>
      <w:numFmt w:val="decimal"/>
      <w:lvlText w:val="%7."/>
      <w:lvlJc w:val="left"/>
      <w:pPr>
        <w:ind w:left="5103" w:hanging="420"/>
      </w:pPr>
    </w:lvl>
    <w:lvl w:ilvl="7" w:tentative="0">
      <w:start w:val="1"/>
      <w:numFmt w:val="lowerLetter"/>
      <w:lvlText w:val="%8)"/>
      <w:lvlJc w:val="left"/>
      <w:pPr>
        <w:ind w:left="5523" w:hanging="420"/>
      </w:pPr>
    </w:lvl>
    <w:lvl w:ilvl="8" w:tentative="0">
      <w:start w:val="1"/>
      <w:numFmt w:val="lowerRoman"/>
      <w:lvlText w:val="%9."/>
      <w:lvlJc w:val="right"/>
      <w:pPr>
        <w:ind w:left="5943" w:hanging="420"/>
      </w:pPr>
    </w:lvl>
  </w:abstractNum>
  <w:abstractNum w:abstractNumId="16">
    <w:nsid w:val="27727B63"/>
    <w:multiLevelType w:val="multilevel"/>
    <w:tmpl w:val="27727B63"/>
    <w:lvl w:ilvl="0" w:tentative="0">
      <w:start w:val="1"/>
      <w:numFmt w:val="bullet"/>
      <w:lvlText w:val=""/>
      <w:lvlJc w:val="left"/>
      <w:pPr>
        <w:tabs>
          <w:tab w:val="left" w:pos="340"/>
        </w:tabs>
        <w:ind w:left="340" w:hanging="170"/>
      </w:pPr>
      <w:rPr>
        <w:rFonts w:hint="default" w:ascii="Wingdings" w:hAnsi="Wingdings"/>
        <w:color w:val="auto"/>
        <w:spacing w:val="0"/>
        <w:w w:val="100"/>
        <w:position w:val="1"/>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pStyle w:val="4"/>
      <w:lvlText w:val=""/>
      <w:lvlJc w:val="left"/>
      <w:pPr>
        <w:tabs>
          <w:tab w:val="left" w:pos="1260"/>
        </w:tabs>
        <w:ind w:left="1260" w:hanging="420"/>
      </w:pPr>
      <w:rPr>
        <w:rFonts w:hint="default" w:ascii="Wingdings" w:hAnsi="Wingdings"/>
      </w:rPr>
    </w:lvl>
    <w:lvl w:ilvl="3" w:tentative="0">
      <w:start w:val="1"/>
      <w:numFmt w:val="bullet"/>
      <w:pStyle w:val="5"/>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385D74B3"/>
    <w:multiLevelType w:val="multilevel"/>
    <w:tmpl w:val="385D74B3"/>
    <w:lvl w:ilvl="0" w:tentative="0">
      <w:start w:val="1"/>
      <w:numFmt w:val="decimalEnclosedCircle"/>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8">
    <w:nsid w:val="3DD134D8"/>
    <w:multiLevelType w:val="multilevel"/>
    <w:tmpl w:val="3DD134D8"/>
    <w:lvl w:ilvl="0" w:tentative="0">
      <w:start w:val="1"/>
      <w:numFmt w:val="decimalEnclosedCircle"/>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9">
    <w:nsid w:val="618042DA"/>
    <w:multiLevelType w:val="multilevel"/>
    <w:tmpl w:val="618042D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7AD81132"/>
    <w:multiLevelType w:val="multilevel"/>
    <w:tmpl w:val="7AD81132"/>
    <w:lvl w:ilvl="0" w:tentative="0">
      <w:start w:val="1"/>
      <w:numFmt w:val="decimal"/>
      <w:suff w:val="nothing"/>
      <w:lvlText w:val="%1 "/>
      <w:lvlJc w:val="left"/>
      <w:rPr>
        <w:rFonts w:hint="default" w:ascii="Book Antiqua" w:hAnsi="Book Antiqua" w:eastAsia="黑体" w:cs="Book Antiqua"/>
        <w:b/>
        <w:bCs/>
        <w:i w:val="0"/>
        <w:iCs w:val="0"/>
        <w:caps w:val="0"/>
        <w:strike w:val="0"/>
        <w:dstrike w:val="0"/>
        <w:vanish w:val="0"/>
        <w:color w:val="000000"/>
        <w:sz w:val="144"/>
        <w:szCs w:val="144"/>
        <w:vertAlign w:val="baseline"/>
      </w:rPr>
    </w:lvl>
    <w:lvl w:ilvl="1" w:tentative="0">
      <w:start w:val="1"/>
      <w:numFmt w:val="decimal"/>
      <w:suff w:val="nothing"/>
      <w:lvlText w:val="%1.%2 "/>
      <w:lvlJc w:val="left"/>
      <w:rPr>
        <w:rFonts w:hint="default" w:ascii="宋体" w:hAnsi="宋体" w:eastAsia="宋体" w:cs="Book Antiqua"/>
        <w:b w:val="0"/>
        <w:bCs/>
        <w:i w:val="0"/>
        <w:iCs w:val="0"/>
        <w:caps w:val="0"/>
        <w:strike w:val="0"/>
        <w:dstrike w:val="0"/>
        <w:snapToGrid w:val="0"/>
        <w:vanish w:val="0"/>
        <w:color w:val="000000"/>
        <w:spacing w:val="0"/>
        <w:kern w:val="0"/>
        <w:sz w:val="36"/>
        <w:szCs w:val="36"/>
        <w:vertAlign w:val="baseline"/>
      </w:rPr>
    </w:lvl>
    <w:lvl w:ilvl="2" w:tentative="0">
      <w:start w:val="1"/>
      <w:numFmt w:val="decimal"/>
      <w:suff w:val="nothing"/>
      <w:lvlText w:val="%1.%2.%3 "/>
      <w:lvlJc w:val="left"/>
      <w:rPr>
        <w:rFonts w:hint="default" w:ascii="Book Antiqua" w:hAnsi="Book Antiqua" w:eastAsia="黑体" w:cs="Book Antiqua"/>
        <w:b w:val="0"/>
        <w:bCs/>
        <w:i w:val="0"/>
        <w:iCs w:val="0"/>
        <w:caps w:val="0"/>
        <w:strike w:val="0"/>
        <w:dstrike w:val="0"/>
        <w:snapToGrid w:val="0"/>
        <w:vanish w:val="0"/>
        <w:color w:val="000000"/>
        <w:kern w:val="0"/>
        <w:sz w:val="32"/>
        <w:szCs w:val="32"/>
        <w:vertAlign w:val="baseline"/>
      </w:rPr>
    </w:lvl>
    <w:lvl w:ilvl="3" w:tentative="0">
      <w:start w:val="1"/>
      <w:numFmt w:val="decimal"/>
      <w:lvlRestart w:val="1"/>
      <w:suff w:val="nothing"/>
      <w:lvlText w:val="%1.%2.%3.%4 "/>
      <w:lvlJc w:val="left"/>
      <w:rPr>
        <w:rFonts w:hint="default" w:ascii="Book Antiqua" w:hAnsi="Book Antiqua" w:eastAsia="黑体" w:cs="Book Antiqua"/>
        <w:bCs/>
        <w:i w:val="0"/>
        <w:iCs w:val="0"/>
        <w:caps w:val="0"/>
        <w:strike w:val="0"/>
        <w:dstrike w:val="0"/>
        <w:vanish w:val="0"/>
        <w:color w:val="000000"/>
        <w:sz w:val="28"/>
        <w:szCs w:val="28"/>
        <w:vertAlign w:val="baseline"/>
      </w:rPr>
    </w:lvl>
    <w:lvl w:ilvl="4" w:tentative="0">
      <w:start w:val="1"/>
      <w:numFmt w:val="decimal"/>
      <w:lvlRestart w:val="1"/>
      <w:suff w:val="nothing"/>
      <w:lvlText w:val="%1.%2.%3.%4.%5 "/>
      <w:lvlJc w:val="left"/>
      <w:rPr>
        <w:rFonts w:hint="default" w:ascii="Book Antiqua" w:hAnsi="Book Antiqua" w:eastAsia="黑体" w:cs="Book Antiqua"/>
        <w:bCs/>
        <w:i w:val="0"/>
        <w:iCs w:val="0"/>
        <w:caps w:val="0"/>
        <w:strike w:val="0"/>
        <w:dstrike w:val="0"/>
        <w:vanish w:val="0"/>
        <w:color w:val="000000"/>
        <w:sz w:val="24"/>
        <w:szCs w:val="24"/>
        <w:vertAlign w:val="baseline"/>
      </w:rPr>
    </w:lvl>
    <w:lvl w:ilvl="5" w:tentative="0">
      <w:start w:val="1"/>
      <w:numFmt w:val="none"/>
      <w:suff w:val="nothing"/>
      <w:lvlText w:val=""/>
      <w:lvlJc w:val="left"/>
      <w:rPr>
        <w:rFonts w:hint="default" w:ascii="Arial" w:hAnsi="Arial" w:cs="Arial"/>
        <w:b/>
        <w:bCs/>
        <w:i w:val="0"/>
        <w:iCs w:val="0"/>
        <w:caps w:val="0"/>
        <w:strike w:val="0"/>
        <w:dstrike w:val="0"/>
        <w:vanish w:val="0"/>
        <w:color w:val="000000"/>
        <w:sz w:val="20"/>
        <w:szCs w:val="20"/>
        <w:vertAlign w:val="baseline"/>
      </w:rPr>
    </w:lvl>
    <w:lvl w:ilvl="6" w:tentative="0">
      <w:start w:val="1"/>
      <w:numFmt w:val="decimal"/>
      <w:lvlText w:val="步骤 %7"/>
      <w:lvlJc w:val="right"/>
      <w:pPr>
        <w:tabs>
          <w:tab w:val="left" w:pos="1701"/>
        </w:tabs>
        <w:ind w:left="1701" w:hanging="159"/>
      </w:pPr>
      <w:rPr>
        <w:rFonts w:hint="default" w:ascii="Book Antiqua" w:hAnsi="Book Antiqua" w:eastAsia="黑体" w:cs="Times New Roman"/>
        <w:b w:val="0"/>
        <w:bCs/>
        <w:i w:val="0"/>
        <w:iCs w:val="0"/>
        <w:color w:val="auto"/>
        <w:sz w:val="21"/>
        <w:szCs w:val="21"/>
      </w:rPr>
    </w:lvl>
    <w:lvl w:ilvl="7" w:tentative="0">
      <w:start w:val="1"/>
      <w:numFmt w:val="decimal"/>
      <w:lvlRestart w:val="1"/>
      <w:suff w:val="space"/>
      <w:lvlText w:val="图%1-%8"/>
      <w:lvlJc w:val="left"/>
      <w:rPr>
        <w:rFonts w:hint="default" w:ascii="Times New Roman" w:hAnsi="Times New Roman" w:eastAsia="黑体" w:cs="Book Antiqua"/>
        <w:b w:val="0"/>
        <w:bCs/>
        <w:i w:val="0"/>
        <w:iCs w:val="0"/>
        <w:strike w:val="0"/>
        <w:dstrike w:val="0"/>
        <w:color w:val="auto"/>
        <w:sz w:val="21"/>
        <w:szCs w:val="21"/>
        <w:vertAlign w:val="baseline"/>
      </w:rPr>
    </w:lvl>
    <w:lvl w:ilvl="8" w:tentative="0">
      <w:start w:val="1"/>
      <w:numFmt w:val="decimal"/>
      <w:lvlRestart w:val="1"/>
      <w:suff w:val="space"/>
      <w:lvlText w:val="表%1-%9"/>
      <w:lvlJc w:val="left"/>
      <w:pPr>
        <w:ind w:left="1701" w:firstLine="0"/>
      </w:pPr>
      <w:rPr>
        <w:rFonts w:hint="default" w:ascii="Times New Roman" w:hAnsi="Times New Roman" w:eastAsia="黑体"/>
        <w:b w:val="0"/>
        <w:bCs/>
        <w:i w:val="0"/>
        <w:iCs w:val="0"/>
        <w:color w:val="auto"/>
        <w:sz w:val="21"/>
        <w:szCs w:val="21"/>
      </w:rPr>
    </w:lvl>
  </w:abstractNum>
  <w:abstractNum w:abstractNumId="21">
    <w:nsid w:val="7E79530B"/>
    <w:multiLevelType w:val="singleLevel"/>
    <w:tmpl w:val="7E79530B"/>
    <w:lvl w:ilvl="0" w:tentative="0">
      <w:start w:val="1"/>
      <w:numFmt w:val="decimal"/>
      <w:suff w:val="nothing"/>
      <w:lvlText w:val="（%1）"/>
      <w:lvlJc w:val="left"/>
    </w:lvl>
  </w:abstractNum>
  <w:abstractNum w:abstractNumId="22">
    <w:nsid w:val="7ED1D363"/>
    <w:multiLevelType w:val="singleLevel"/>
    <w:tmpl w:val="7ED1D363"/>
    <w:lvl w:ilvl="0" w:tentative="0">
      <w:start w:val="1"/>
      <w:numFmt w:val="decimal"/>
      <w:suff w:val="nothing"/>
      <w:lvlText w:val="%1、"/>
      <w:lvlJc w:val="left"/>
      <w:pPr>
        <w:ind w:left="0"/>
      </w:pPr>
    </w:lvl>
  </w:abstractNum>
  <w:abstractNum w:abstractNumId="23">
    <w:nsid w:val="7F773C35"/>
    <w:multiLevelType w:val="multilevel"/>
    <w:tmpl w:val="7F773C35"/>
    <w:lvl w:ilvl="0" w:tentative="0">
      <w:start w:val="1"/>
      <w:numFmt w:val="bullet"/>
      <w:pStyle w:val="3"/>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decimal"/>
      <w:lvlText w:val="%7."/>
      <w:lvlJc w:val="left"/>
      <w:pPr>
        <w:tabs>
          <w:tab w:val="left" w:pos="2126"/>
        </w:tabs>
        <w:ind w:left="2126" w:hanging="425"/>
      </w:pPr>
      <w:rPr>
        <w:rFonts w:hint="default" w:ascii="Times New Roman" w:hAnsi="Times New Roman" w:cs="Book Antiqua"/>
        <w:b w:val="0"/>
        <w:bCs/>
        <w:i w:val="0"/>
        <w:iCs w:val="0"/>
        <w:sz w:val="21"/>
        <w:szCs w:val="21"/>
        <w:u w:val="none"/>
      </w:rPr>
    </w:lvl>
    <w:lvl w:ilvl="7" w:tentative="0">
      <w:start w:val="1"/>
      <w:numFmt w:val="lowerLetter"/>
      <w:lvlText w:val="%8."/>
      <w:lvlJc w:val="left"/>
      <w:pPr>
        <w:tabs>
          <w:tab w:val="left" w:pos="2126"/>
        </w:tabs>
        <w:ind w:left="2526" w:hanging="425"/>
      </w:pPr>
      <w:rPr>
        <w:rFonts w:hint="default" w:ascii="Times New Roman" w:hAnsi="Times New Roman" w:cs="Book Antiqua"/>
        <w:b w:val="0"/>
        <w:bCs/>
        <w:i w:val="0"/>
        <w:iCs w:val="0"/>
        <w:sz w:val="21"/>
        <w:szCs w:val="21"/>
        <w:u w:val="none"/>
      </w:rPr>
    </w:lvl>
    <w:lvl w:ilvl="8" w:tentative="0">
      <w:start w:val="1"/>
      <w:numFmt w:val="decimal"/>
      <w:lvlRestart w:val="0"/>
      <w:lvlText w:val="%9."/>
      <w:lvlJc w:val="left"/>
      <w:pPr>
        <w:tabs>
          <w:tab w:val="left" w:pos="284"/>
        </w:tabs>
        <w:ind w:left="284" w:hanging="284"/>
      </w:pPr>
      <w:rPr>
        <w:rFonts w:hint="eastAsia"/>
      </w:rPr>
    </w:lvl>
  </w:abstractNum>
  <w:abstractNum w:abstractNumId="24">
    <w:nsid w:val="7FF36022"/>
    <w:multiLevelType w:val="multilevel"/>
    <w:tmpl w:val="7FF36022"/>
    <w:lvl w:ilvl="0" w:tentative="0">
      <w:start w:val="1"/>
      <w:numFmt w:val="decimalEnclosedCircle"/>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13"/>
  </w:num>
  <w:num w:numId="2">
    <w:abstractNumId w:val="23"/>
  </w:num>
  <w:num w:numId="3">
    <w:abstractNumId w:val="16"/>
  </w:num>
  <w:num w:numId="4">
    <w:abstractNumId w:val="1"/>
  </w:num>
  <w:num w:numId="5">
    <w:abstractNumId w:val="20"/>
  </w:num>
  <w:num w:numId="6">
    <w:abstractNumId w:val="14"/>
  </w:num>
  <w:num w:numId="7">
    <w:abstractNumId w:val="10"/>
  </w:num>
  <w:num w:numId="8">
    <w:abstractNumId w:val="7"/>
  </w:num>
  <w:num w:numId="9">
    <w:abstractNumId w:val="11"/>
  </w:num>
  <w:num w:numId="10">
    <w:abstractNumId w:val="19"/>
  </w:num>
  <w:num w:numId="11">
    <w:abstractNumId w:val="17"/>
  </w:num>
  <w:num w:numId="12">
    <w:abstractNumId w:val="15"/>
  </w:num>
  <w:num w:numId="13">
    <w:abstractNumId w:val="18"/>
  </w:num>
  <w:num w:numId="14">
    <w:abstractNumId w:val="24"/>
  </w:num>
  <w:num w:numId="15">
    <w:abstractNumId w:val="8"/>
  </w:num>
  <w:num w:numId="16">
    <w:abstractNumId w:val="22"/>
  </w:num>
  <w:num w:numId="17">
    <w:abstractNumId w:val="2"/>
  </w:num>
  <w:num w:numId="18">
    <w:abstractNumId w:val="12"/>
  </w:num>
  <w:num w:numId="19">
    <w:abstractNumId w:val="6"/>
  </w:num>
  <w:num w:numId="20">
    <w:abstractNumId w:val="9"/>
  </w:num>
  <w:num w:numId="21">
    <w:abstractNumId w:val="3"/>
  </w:num>
  <w:num w:numId="22">
    <w:abstractNumId w:val="5"/>
  </w:num>
  <w:num w:numId="23">
    <w:abstractNumId w:val="0"/>
  </w:num>
  <w:num w:numId="24">
    <w:abstractNumId w:val="4"/>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8F17804E"/>
    <w:rsid w:val="000830F0"/>
    <w:rsid w:val="005A4579"/>
    <w:rsid w:val="005B7FF0"/>
    <w:rsid w:val="00A736D9"/>
    <w:rsid w:val="00E97C18"/>
    <w:rsid w:val="00F57974"/>
    <w:rsid w:val="1F9F1FE5"/>
    <w:rsid w:val="1FF2015F"/>
    <w:rsid w:val="215B64A7"/>
    <w:rsid w:val="2B772702"/>
    <w:rsid w:val="2BDABFEC"/>
    <w:rsid w:val="32F551F2"/>
    <w:rsid w:val="3362F4E2"/>
    <w:rsid w:val="35DEC76E"/>
    <w:rsid w:val="377F3345"/>
    <w:rsid w:val="37F4BE85"/>
    <w:rsid w:val="3B18E4C8"/>
    <w:rsid w:val="3BB9486E"/>
    <w:rsid w:val="3C947594"/>
    <w:rsid w:val="3ED938CD"/>
    <w:rsid w:val="3EFF47F1"/>
    <w:rsid w:val="3FDBF289"/>
    <w:rsid w:val="3FDE21D5"/>
    <w:rsid w:val="3FE387C3"/>
    <w:rsid w:val="3FF7B020"/>
    <w:rsid w:val="3FFEB149"/>
    <w:rsid w:val="42FDA489"/>
    <w:rsid w:val="45F3AB82"/>
    <w:rsid w:val="47251E3D"/>
    <w:rsid w:val="47B73860"/>
    <w:rsid w:val="4F7B21D4"/>
    <w:rsid w:val="4F7FA383"/>
    <w:rsid w:val="4FFF8F13"/>
    <w:rsid w:val="57E7BBCC"/>
    <w:rsid w:val="592B5310"/>
    <w:rsid w:val="59EEF2E6"/>
    <w:rsid w:val="5BFB8137"/>
    <w:rsid w:val="5D9FB91D"/>
    <w:rsid w:val="5DDB3708"/>
    <w:rsid w:val="5F73F198"/>
    <w:rsid w:val="5FAF5ED2"/>
    <w:rsid w:val="5FBB77AD"/>
    <w:rsid w:val="5FF51853"/>
    <w:rsid w:val="627D771D"/>
    <w:rsid w:val="62A6D960"/>
    <w:rsid w:val="63FF40D5"/>
    <w:rsid w:val="64BB5D82"/>
    <w:rsid w:val="64BF4793"/>
    <w:rsid w:val="65DD3F10"/>
    <w:rsid w:val="6BFDC3E9"/>
    <w:rsid w:val="6CFB1ABE"/>
    <w:rsid w:val="6CFDF051"/>
    <w:rsid w:val="6D5D3769"/>
    <w:rsid w:val="6E7F8F9F"/>
    <w:rsid w:val="6EFF4828"/>
    <w:rsid w:val="6FEF5D3B"/>
    <w:rsid w:val="6FFEAFD7"/>
    <w:rsid w:val="6FFFC336"/>
    <w:rsid w:val="72A939F6"/>
    <w:rsid w:val="72EB2201"/>
    <w:rsid w:val="73AE7E2B"/>
    <w:rsid w:val="73DE4BB9"/>
    <w:rsid w:val="73E7521B"/>
    <w:rsid w:val="769FAAFE"/>
    <w:rsid w:val="76DC30F5"/>
    <w:rsid w:val="773FDDFA"/>
    <w:rsid w:val="775F079A"/>
    <w:rsid w:val="77772E72"/>
    <w:rsid w:val="777C279F"/>
    <w:rsid w:val="77DFA738"/>
    <w:rsid w:val="77FB277C"/>
    <w:rsid w:val="77FB34C1"/>
    <w:rsid w:val="77FDBBE7"/>
    <w:rsid w:val="77FFFC3A"/>
    <w:rsid w:val="784A970B"/>
    <w:rsid w:val="79959275"/>
    <w:rsid w:val="7B270E4B"/>
    <w:rsid w:val="7BAF343A"/>
    <w:rsid w:val="7BBDB3F0"/>
    <w:rsid w:val="7BED649F"/>
    <w:rsid w:val="7BEF80D6"/>
    <w:rsid w:val="7BF55D6F"/>
    <w:rsid w:val="7BF7392C"/>
    <w:rsid w:val="7BFA7059"/>
    <w:rsid w:val="7BFF28D3"/>
    <w:rsid w:val="7CDF5FDA"/>
    <w:rsid w:val="7CF90DAB"/>
    <w:rsid w:val="7CFC054C"/>
    <w:rsid w:val="7CFE825C"/>
    <w:rsid w:val="7D3FB033"/>
    <w:rsid w:val="7D7D8D34"/>
    <w:rsid w:val="7DA2D8BD"/>
    <w:rsid w:val="7DBB9D71"/>
    <w:rsid w:val="7E776018"/>
    <w:rsid w:val="7E78180B"/>
    <w:rsid w:val="7E7EBA97"/>
    <w:rsid w:val="7E9C6FBB"/>
    <w:rsid w:val="7EFF33BB"/>
    <w:rsid w:val="7F63A2A2"/>
    <w:rsid w:val="7F773E7B"/>
    <w:rsid w:val="7FDFAA53"/>
    <w:rsid w:val="7FEFF43A"/>
    <w:rsid w:val="7FF0CAEF"/>
    <w:rsid w:val="7FF74C60"/>
    <w:rsid w:val="7FF7CCE3"/>
    <w:rsid w:val="7FFDC952"/>
    <w:rsid w:val="89E42479"/>
    <w:rsid w:val="8F17804E"/>
    <w:rsid w:val="97DE89DA"/>
    <w:rsid w:val="9ECAFF3F"/>
    <w:rsid w:val="9FFBA125"/>
    <w:rsid w:val="9FFBB5D8"/>
    <w:rsid w:val="A4FBEA8C"/>
    <w:rsid w:val="ADC721A8"/>
    <w:rsid w:val="AEDB04CB"/>
    <w:rsid w:val="AEF4F7BD"/>
    <w:rsid w:val="AFFAC760"/>
    <w:rsid w:val="B39140B2"/>
    <w:rsid w:val="BCFBD051"/>
    <w:rsid w:val="BDF679C6"/>
    <w:rsid w:val="BDF709E5"/>
    <w:rsid w:val="BDFD6B7C"/>
    <w:rsid w:val="BDFF6763"/>
    <w:rsid w:val="BF3F445E"/>
    <w:rsid w:val="BF563141"/>
    <w:rsid w:val="BFDD3CE8"/>
    <w:rsid w:val="BFFBF835"/>
    <w:rsid w:val="BFFC731A"/>
    <w:rsid w:val="C27F52EB"/>
    <w:rsid w:val="C37BDF2C"/>
    <w:rsid w:val="C5AE6462"/>
    <w:rsid w:val="CA72239E"/>
    <w:rsid w:val="CEE7CE01"/>
    <w:rsid w:val="CFFD227F"/>
    <w:rsid w:val="D5E72831"/>
    <w:rsid w:val="D7743B6A"/>
    <w:rsid w:val="D7E3E142"/>
    <w:rsid w:val="D8BE90A7"/>
    <w:rsid w:val="DB5BF343"/>
    <w:rsid w:val="DDB3B6BC"/>
    <w:rsid w:val="DDED7AB4"/>
    <w:rsid w:val="DDFE52DF"/>
    <w:rsid w:val="DF6B90FD"/>
    <w:rsid w:val="DF9DAB32"/>
    <w:rsid w:val="DFD8F12D"/>
    <w:rsid w:val="DFE7BAD3"/>
    <w:rsid w:val="DFEFFC38"/>
    <w:rsid w:val="E65F5A78"/>
    <w:rsid w:val="E7810E45"/>
    <w:rsid w:val="E7DB174D"/>
    <w:rsid w:val="E7F1443F"/>
    <w:rsid w:val="EB9BC95B"/>
    <w:rsid w:val="EEEFA8AC"/>
    <w:rsid w:val="EF374C18"/>
    <w:rsid w:val="EF3F1E26"/>
    <w:rsid w:val="EF7E5054"/>
    <w:rsid w:val="EFDFB7F3"/>
    <w:rsid w:val="EFEB3F67"/>
    <w:rsid w:val="EFFF0C36"/>
    <w:rsid w:val="F1BE6AAD"/>
    <w:rsid w:val="F3B77BBA"/>
    <w:rsid w:val="F3FDD7E4"/>
    <w:rsid w:val="F3FF56D8"/>
    <w:rsid w:val="F5FDA23E"/>
    <w:rsid w:val="F6F58ECC"/>
    <w:rsid w:val="F7670E63"/>
    <w:rsid w:val="F7C76C6D"/>
    <w:rsid w:val="F7F7BE71"/>
    <w:rsid w:val="F97F5A89"/>
    <w:rsid w:val="F9CFF207"/>
    <w:rsid w:val="F9D776AB"/>
    <w:rsid w:val="F9FF3CD5"/>
    <w:rsid w:val="F9FF84AE"/>
    <w:rsid w:val="FAFB502D"/>
    <w:rsid w:val="FBB3B59A"/>
    <w:rsid w:val="FBF55B20"/>
    <w:rsid w:val="FBFE4172"/>
    <w:rsid w:val="FBFF6232"/>
    <w:rsid w:val="FC6F1134"/>
    <w:rsid w:val="FCE7443B"/>
    <w:rsid w:val="FD79BD2D"/>
    <w:rsid w:val="FDCD99CB"/>
    <w:rsid w:val="FDDF795D"/>
    <w:rsid w:val="FDFEDF46"/>
    <w:rsid w:val="FE93F2B7"/>
    <w:rsid w:val="FEA70CF1"/>
    <w:rsid w:val="FEF707F7"/>
    <w:rsid w:val="FEFDA4E2"/>
    <w:rsid w:val="FEFF7ACB"/>
    <w:rsid w:val="FF31CD76"/>
    <w:rsid w:val="FF4F8514"/>
    <w:rsid w:val="FF6C68F2"/>
    <w:rsid w:val="FF7FE0D1"/>
    <w:rsid w:val="FFB9098F"/>
    <w:rsid w:val="FFBF3C0A"/>
    <w:rsid w:val="FFD9D1A6"/>
    <w:rsid w:val="FFE636EB"/>
    <w:rsid w:val="FFE73B71"/>
    <w:rsid w:val="FFEF6A28"/>
    <w:rsid w:val="FFF779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3"/>
    <w:qFormat/>
    <w:uiPriority w:val="0"/>
    <w:pPr>
      <w:keepNext/>
      <w:pageBreakBefore/>
      <w:widowControl/>
      <w:numPr>
        <w:ilvl w:val="0"/>
        <w:numId w:val="1"/>
      </w:numPr>
      <w:topLinePunct/>
      <w:adjustRightInd w:val="0"/>
      <w:snapToGrid w:val="0"/>
      <w:spacing w:line="480" w:lineRule="auto"/>
      <w:jc w:val="left"/>
      <w:outlineLvl w:val="0"/>
    </w:pPr>
    <w:rPr>
      <w:rFonts w:hint="eastAsia" w:ascii="Book Antiqua" w:hAnsi="Book Antiqua" w:eastAsia="宋体" w:cs="Book Antiqua"/>
      <w:b/>
      <w:bCs/>
      <w:sz w:val="44"/>
      <w:szCs w:val="44"/>
    </w:rPr>
  </w:style>
  <w:style w:type="paragraph" w:styleId="3">
    <w:name w:val="heading 2"/>
    <w:basedOn w:val="1"/>
    <w:next w:val="4"/>
    <w:qFormat/>
    <w:uiPriority w:val="0"/>
    <w:pPr>
      <w:keepNext/>
      <w:keepLines/>
      <w:widowControl/>
      <w:numPr>
        <w:ilvl w:val="0"/>
        <w:numId w:val="2"/>
      </w:numPr>
      <w:topLinePunct/>
      <w:adjustRightInd w:val="0"/>
      <w:snapToGrid w:val="0"/>
      <w:spacing w:line="360" w:lineRule="auto"/>
      <w:jc w:val="left"/>
      <w:textAlignment w:val="center"/>
      <w:outlineLvl w:val="1"/>
    </w:pPr>
    <w:rPr>
      <w:rFonts w:ascii="Book Antiqua" w:hAnsi="Book Antiqua" w:eastAsia="宋体" w:cs="Times New Roman"/>
      <w:bCs/>
      <w:kern w:val="0"/>
      <w:sz w:val="36"/>
      <w:szCs w:val="36"/>
      <w:lang w:eastAsia="en-US"/>
    </w:rPr>
  </w:style>
  <w:style w:type="paragraph" w:styleId="4">
    <w:name w:val="heading 3"/>
    <w:basedOn w:val="1"/>
    <w:next w:val="1"/>
    <w:qFormat/>
    <w:uiPriority w:val="0"/>
    <w:pPr>
      <w:keepNext/>
      <w:keepLines/>
      <w:widowControl/>
      <w:numPr>
        <w:ilvl w:val="2"/>
        <w:numId w:val="3"/>
      </w:numPr>
      <w:topLinePunct/>
      <w:adjustRightInd w:val="0"/>
      <w:snapToGrid w:val="0"/>
      <w:spacing w:before="200" w:after="160" w:line="240" w:lineRule="atLeast"/>
      <w:jc w:val="left"/>
      <w:outlineLvl w:val="2"/>
    </w:pPr>
    <w:rPr>
      <w:rFonts w:ascii="Book Antiqua" w:hAnsi="Book Antiqua" w:eastAsia="宋体" w:cs="Times New Roman"/>
      <w:kern w:val="0"/>
      <w:sz w:val="32"/>
      <w:szCs w:val="32"/>
    </w:rPr>
  </w:style>
  <w:style w:type="paragraph" w:styleId="5">
    <w:name w:val="heading 4"/>
    <w:basedOn w:val="1"/>
    <w:next w:val="1"/>
    <w:qFormat/>
    <w:uiPriority w:val="0"/>
    <w:pPr>
      <w:keepNext/>
      <w:keepLines/>
      <w:widowControl/>
      <w:numPr>
        <w:ilvl w:val="3"/>
        <w:numId w:val="3"/>
      </w:numPr>
      <w:topLinePunct/>
      <w:adjustRightInd w:val="0"/>
      <w:snapToGrid w:val="0"/>
      <w:spacing w:before="160" w:after="160" w:line="240" w:lineRule="atLeast"/>
      <w:ind w:left="200" w:leftChars="200"/>
      <w:jc w:val="left"/>
      <w:outlineLvl w:val="3"/>
    </w:pPr>
    <w:rPr>
      <w:rFonts w:hint="eastAsia" w:ascii="Book Antiqua" w:hAnsi="Book Antiqua" w:eastAsia="黑体" w:cs="宋体"/>
      <w:kern w:val="0"/>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semiHidden/>
    <w:qFormat/>
    <w:uiPriority w:val="0"/>
    <w:pPr>
      <w:spacing w:after="120"/>
    </w:pPr>
  </w:style>
  <w:style w:type="paragraph" w:styleId="8">
    <w:name w:val="Balloon Text"/>
    <w:basedOn w:val="1"/>
    <w:link w:val="16"/>
    <w:qFormat/>
    <w:uiPriority w:val="0"/>
    <w:rPr>
      <w:sz w:val="18"/>
      <w:szCs w:val="18"/>
    </w:rPr>
  </w:style>
  <w:style w:type="paragraph" w:styleId="9">
    <w:name w:val="footer"/>
    <w:basedOn w:val="1"/>
    <w:link w:val="18"/>
    <w:qFormat/>
    <w:uiPriority w:val="0"/>
    <w:pPr>
      <w:tabs>
        <w:tab w:val="center" w:pos="4153"/>
        <w:tab w:val="right" w:pos="8306"/>
      </w:tabs>
      <w:snapToGrid w:val="0"/>
      <w:jc w:val="left"/>
    </w:pPr>
    <w:rPr>
      <w:sz w:val="18"/>
      <w:szCs w:val="18"/>
    </w:rPr>
  </w:style>
  <w:style w:type="paragraph" w:styleId="10">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character" w:styleId="13">
    <w:name w:val="annotation reference"/>
    <w:basedOn w:val="12"/>
    <w:qFormat/>
    <w:uiPriority w:val="0"/>
    <w:rPr>
      <w:sz w:val="21"/>
      <w:szCs w:val="21"/>
    </w:rPr>
  </w:style>
  <w:style w:type="paragraph" w:styleId="14">
    <w:name w:val="List Paragraph"/>
    <w:basedOn w:val="1"/>
    <w:qFormat/>
    <w:uiPriority w:val="34"/>
    <w:pPr>
      <w:ind w:firstLine="420" w:firstLineChars="200"/>
    </w:pPr>
  </w:style>
  <w:style w:type="paragraph" w:customStyle="1" w:styleId="15">
    <w:name w:val="_Style 5"/>
    <w:basedOn w:val="1"/>
    <w:qFormat/>
    <w:uiPriority w:val="34"/>
    <w:pPr>
      <w:spacing w:line="360" w:lineRule="auto"/>
      <w:ind w:firstLine="420" w:firstLineChars="200"/>
    </w:pPr>
    <w:rPr>
      <w:rFonts w:ascii="等线" w:hAnsi="等线" w:eastAsia="微软雅黑" w:cs="Times New Roman"/>
      <w:sz w:val="24"/>
      <w:szCs w:val="22"/>
    </w:rPr>
  </w:style>
  <w:style w:type="character" w:customStyle="1" w:styleId="16">
    <w:name w:val="批注框文本 Char"/>
    <w:basedOn w:val="12"/>
    <w:link w:val="8"/>
    <w:qFormat/>
    <w:uiPriority w:val="0"/>
    <w:rPr>
      <w:rFonts w:asciiTheme="minorHAnsi" w:hAnsiTheme="minorHAnsi" w:eastAsiaTheme="minorEastAsia" w:cstheme="minorBidi"/>
      <w:kern w:val="2"/>
      <w:sz w:val="18"/>
      <w:szCs w:val="18"/>
    </w:rPr>
  </w:style>
  <w:style w:type="character" w:customStyle="1" w:styleId="17">
    <w:name w:val="页眉 Char"/>
    <w:basedOn w:val="12"/>
    <w:link w:val="10"/>
    <w:qFormat/>
    <w:uiPriority w:val="0"/>
    <w:rPr>
      <w:rFonts w:asciiTheme="minorHAnsi" w:hAnsiTheme="minorHAnsi" w:eastAsiaTheme="minorEastAsia" w:cstheme="minorBidi"/>
      <w:kern w:val="2"/>
      <w:sz w:val="18"/>
      <w:szCs w:val="18"/>
    </w:rPr>
  </w:style>
  <w:style w:type="character" w:customStyle="1" w:styleId="18">
    <w:name w:val="页脚 Char"/>
    <w:basedOn w:val="12"/>
    <w:link w:val="9"/>
    <w:qFormat/>
    <w:uiPriority w:val="0"/>
    <w:rPr>
      <w:rFonts w:asciiTheme="minorHAnsi" w:hAnsiTheme="minorHAnsi" w:eastAsiaTheme="minorEastAsia" w:cstheme="minorBidi"/>
      <w:kern w:val="2"/>
      <w:sz w:val="18"/>
      <w:szCs w:val="18"/>
    </w:rPr>
  </w:style>
  <w:style w:type="character" w:customStyle="1" w:styleId="19">
    <w:name w:val="font31"/>
    <w:basedOn w:val="12"/>
    <w:qFormat/>
    <w:uiPriority w:val="0"/>
    <w:rPr>
      <w:rFonts w:hint="eastAsia" w:ascii="仿宋_GB2312" w:eastAsia="仿宋_GB2312" w:cs="仿宋_GB2312"/>
      <w:color w:val="000000"/>
      <w:sz w:val="24"/>
      <w:szCs w:val="24"/>
      <w:u w:val="none"/>
    </w:rPr>
  </w:style>
  <w:style w:type="character" w:customStyle="1" w:styleId="20">
    <w:name w:val="font21"/>
    <w:basedOn w:val="12"/>
    <w:autoRedefine/>
    <w:qFormat/>
    <w:uiPriority w:val="0"/>
    <w:rPr>
      <w:rFonts w:hint="eastAsia" w:ascii="仿宋_GB2312" w:eastAsia="仿宋_GB2312" w:cs="仿宋_GB2312"/>
      <w:b/>
      <w:bCs/>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2007</Words>
  <Characters>2028</Characters>
  <Lines>3286</Lines>
  <Paragraphs>2195</Paragraphs>
  <TotalTime>0</TotalTime>
  <ScaleCrop>false</ScaleCrop>
  <LinksUpToDate>false</LinksUpToDate>
  <CharactersWithSpaces>2028</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2023-03-04T14:07:00Z</dcterms:created>
  <dc:creator>administrator</dc:creator>
  <cp:lastModifiedBy>朱  晨</cp:lastModifiedBy>
  <dcterms:modified xsi:type="dcterms:W3CDTF">2026-03-25T10:30:00Z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30160005DDAFBB77C119B369BE1A7402_43</vt:lpwstr>
  </property>
  <property fmtid="{D5CDD505-2E9C-101B-9397-08002B2CF9AE}" pid="4" name="KSOTemplateDocerSaveRecord">
    <vt:lpwstr>eyJoZGlkIjoiMTQxZmVlYTNkYzUzZTAzZDI0NGY3MDRiZGZhYjkwZWUiLCJ1c2VySWQiOiI5MDgzNDM0NjYifQ==</vt:lpwstr>
  </property>
</Properties>
</file>