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293A64">
      <w:pPr>
        <w:ind w:firstLine="0" w:firstLineChars="0"/>
        <w:jc w:val="center"/>
        <w:rPr>
          <w:rFonts w:hint="eastAsia" w:ascii="黑体" w:hAnsi="黑体" w:eastAsia="黑体"/>
          <w:sz w:val="48"/>
          <w:szCs w:val="48"/>
        </w:rPr>
      </w:pPr>
    </w:p>
    <w:p w14:paraId="7306B6E9">
      <w:pPr>
        <w:ind w:firstLine="0" w:firstLineChars="0"/>
        <w:jc w:val="center"/>
        <w:rPr>
          <w:rFonts w:hint="eastAsia" w:ascii="黑体" w:hAnsi="黑体" w:eastAsia="黑体"/>
          <w:sz w:val="48"/>
          <w:szCs w:val="48"/>
        </w:rPr>
      </w:pPr>
    </w:p>
    <w:p w14:paraId="4FD60E95">
      <w:pPr>
        <w:ind w:firstLine="0" w:firstLineChars="0"/>
        <w:jc w:val="center"/>
        <w:rPr>
          <w:rFonts w:hint="eastAsia" w:ascii="黑体" w:hAnsi="黑体" w:eastAsia="黑体"/>
          <w:sz w:val="52"/>
          <w:szCs w:val="52"/>
        </w:rPr>
      </w:pPr>
      <w:r>
        <w:rPr>
          <w:rFonts w:hint="eastAsia" w:ascii="黑体" w:hAnsi="黑体" w:eastAsia="黑体"/>
          <w:sz w:val="52"/>
          <w:szCs w:val="52"/>
        </w:rPr>
        <w:t>水务政务服务大系统建设项目</w:t>
      </w:r>
    </w:p>
    <w:p w14:paraId="369DE113">
      <w:pPr>
        <w:ind w:firstLine="0" w:firstLineChars="0"/>
        <w:jc w:val="center"/>
        <w:rPr>
          <w:rFonts w:hint="eastAsia" w:ascii="黑体" w:hAnsi="黑体" w:eastAsia="黑体"/>
          <w:sz w:val="52"/>
          <w:szCs w:val="52"/>
        </w:rPr>
      </w:pPr>
      <w:r>
        <w:rPr>
          <w:rFonts w:hint="eastAsia" w:ascii="黑体" w:hAnsi="黑体" w:eastAsia="黑体"/>
          <w:sz w:val="52"/>
          <w:szCs w:val="52"/>
        </w:rPr>
        <w:t>(2026年升级改造)采购需求</w:t>
      </w:r>
    </w:p>
    <w:p w14:paraId="3CE650C8">
      <w:pPr>
        <w:ind w:firstLine="0" w:firstLineChars="0"/>
        <w:jc w:val="center"/>
        <w:rPr>
          <w:rFonts w:hint="eastAsia" w:ascii="黑体" w:hAnsi="黑体" w:eastAsia="黑体"/>
          <w:sz w:val="72"/>
          <w:szCs w:val="72"/>
        </w:rPr>
      </w:pPr>
    </w:p>
    <w:p w14:paraId="7B5139F3">
      <w:pPr>
        <w:ind w:firstLine="0" w:firstLineChars="0"/>
        <w:jc w:val="center"/>
        <w:rPr>
          <w:rFonts w:hint="eastAsia" w:ascii="黑体" w:hAnsi="黑体" w:eastAsia="黑体"/>
          <w:sz w:val="48"/>
          <w:szCs w:val="48"/>
        </w:rPr>
      </w:pPr>
    </w:p>
    <w:p w14:paraId="13CB7A73">
      <w:pPr>
        <w:ind w:firstLine="0" w:firstLineChars="0"/>
        <w:jc w:val="center"/>
        <w:rPr>
          <w:rFonts w:hint="eastAsia" w:ascii="黑体" w:hAnsi="黑体" w:eastAsia="黑体"/>
          <w:sz w:val="52"/>
          <w:szCs w:val="52"/>
        </w:rPr>
      </w:pPr>
    </w:p>
    <w:p w14:paraId="5FAE18C1">
      <w:pPr>
        <w:ind w:firstLine="1040"/>
        <w:rPr>
          <w:rFonts w:hint="eastAsia" w:ascii="黑体" w:hAnsi="黑体" w:eastAsia="黑体"/>
          <w:sz w:val="52"/>
          <w:szCs w:val="52"/>
        </w:rPr>
      </w:pPr>
    </w:p>
    <w:p w14:paraId="1C2CDC36">
      <w:pPr>
        <w:rPr>
          <w:rFonts w:hint="eastAsia"/>
        </w:rPr>
      </w:pPr>
    </w:p>
    <w:p w14:paraId="54790611">
      <w:pPr>
        <w:rPr>
          <w:rFonts w:hint="eastAsia"/>
        </w:rPr>
      </w:pPr>
    </w:p>
    <w:p w14:paraId="20DBB10D">
      <w:pPr>
        <w:rPr>
          <w:rFonts w:hint="eastAsia"/>
        </w:rPr>
      </w:pPr>
    </w:p>
    <w:p w14:paraId="173685E0">
      <w:pPr>
        <w:rPr>
          <w:rFonts w:hint="eastAsia"/>
        </w:rPr>
      </w:pPr>
    </w:p>
    <w:p w14:paraId="26ADAA04">
      <w:pPr>
        <w:rPr>
          <w:rFonts w:hint="eastAsia"/>
        </w:rPr>
      </w:pPr>
    </w:p>
    <w:p w14:paraId="3FFB02B0">
      <w:pPr>
        <w:ind w:firstLine="1040"/>
        <w:rPr>
          <w:rFonts w:hint="eastAsia" w:ascii="黑体" w:hAnsi="黑体" w:eastAsia="黑体"/>
          <w:sz w:val="52"/>
          <w:szCs w:val="52"/>
        </w:rPr>
      </w:pPr>
    </w:p>
    <w:p w14:paraId="6BDCEC6A">
      <w:pPr>
        <w:jc w:val="cente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7BC9BC80">
      <w:pPr>
        <w:pStyle w:val="3"/>
        <w:rPr>
          <w:rFonts w:hint="eastAsia"/>
        </w:rPr>
      </w:pPr>
      <w:bookmarkStart w:id="0" w:name="_Toc63785461"/>
      <w:r>
        <w:rPr>
          <w:rFonts w:hint="eastAsia"/>
        </w:rPr>
        <w:t>项目概况</w:t>
      </w:r>
      <w:bookmarkEnd w:id="0"/>
    </w:p>
    <w:p w14:paraId="7B18D76B">
      <w:pPr>
        <w:spacing w:line="560" w:lineRule="exact"/>
        <w:rPr>
          <w:rFonts w:hint="eastAsia"/>
          <w:b/>
        </w:rPr>
      </w:pPr>
      <w:r>
        <w:rPr>
          <w:rFonts w:hint="eastAsia"/>
        </w:rPr>
        <w:t>为深入贯彻落实党中央、国务院关于推进政府职能转变和数字政府建设的决策部署，上海市以深化政务服务“一网通办”改革为核心，全力打造“智慧好办”服务品牌，推动政务服务向标准化、规范化、便利化方向迈进。根据《上海市优化政务服务提升行政效能深化“一网通办”改革行动方案》要求，市政府办公厅聚焦提升服务质效，通过升级线下政务服务窗口“好差评”PAD评价页面，建立精准评价机制，进一步细化企业群众意见收集渠道，确保服务反馈的精细化和精准度，为优化服务流程提供数据支撑。同时，为加快实现全市政务服务一体化，上海市水务海洋审批系统已全面推广至各区水务海洋部门，实现审批系统全覆盖和审批数据统一归集，打破区域壁垒，提升协同效率。全市水务海洋部门将大力推行“全程网办”模式，为企业群众提供从申请、收件、受理到审查、决定、送达的全流程线上服务，切实减少跑动次数，压缩办理时限，以数字化手段推动审批服务效能提升。通过系统整合与流程再造，上海市将持续强化“一网通办”服务能力，推动政务服务从“能办”向“好办、智办”转变，不断提升企业和群众的获得感、满意度，为上海经济社会高质量发展注入新动能。</w:t>
      </w:r>
    </w:p>
    <w:p w14:paraId="786B3EAE">
      <w:pPr>
        <w:pStyle w:val="61"/>
        <w:numPr>
          <w:ilvl w:val="0"/>
          <w:numId w:val="3"/>
        </w:numPr>
        <w:spacing w:line="560" w:lineRule="exact"/>
        <w:ind w:firstLineChars="0"/>
        <w:rPr>
          <w:b/>
          <w:bCs/>
          <w:sz w:val="24"/>
        </w:rPr>
      </w:pPr>
      <w:r>
        <w:rPr>
          <w:rFonts w:hint="eastAsia"/>
          <w:b/>
          <w:bCs/>
          <w:sz w:val="24"/>
        </w:rPr>
        <w:t>上海市水务局（上海市海洋局）“一网通办”政务服务综合应用平台现状</w:t>
      </w:r>
    </w:p>
    <w:p w14:paraId="15C76B03">
      <w:pPr>
        <w:spacing w:line="560" w:lineRule="exact"/>
        <w:rPr>
          <w:rFonts w:hint="eastAsia"/>
        </w:rPr>
      </w:pPr>
      <w:r>
        <w:rPr>
          <w:rFonts w:hint="eastAsia"/>
        </w:rPr>
        <w:t>目前已形成市级水务海洋“一网通办”的整体框架，实现了水务海洋行政审批服务的内外网申请审批流程再造、数据共享，网上办理事项全覆盖，水务海洋行政审批业务办理具备“一次提交、同步办理、信息共享”的能力，提升政府管理科学化、精细化、智能化水平。</w:t>
      </w:r>
    </w:p>
    <w:p w14:paraId="05064E7E">
      <w:pPr>
        <w:spacing w:line="560" w:lineRule="exact"/>
        <w:rPr>
          <w:rFonts w:hint="eastAsia"/>
        </w:rPr>
      </w:pPr>
      <w:r>
        <w:rPr>
          <w:rFonts w:hint="eastAsia"/>
        </w:rPr>
        <w:t>2020年进行市水务局“一网通办”的二期建设，主要包含了市水务局行政许可事项的办事指南等标准化管理、供水企业服务事项办理以及市水务局行政许可事项电子归档等功能。</w:t>
      </w:r>
    </w:p>
    <w:p w14:paraId="0F877F10">
      <w:pPr>
        <w:spacing w:line="560" w:lineRule="exact"/>
        <w:rPr>
          <w:rFonts w:hint="eastAsia"/>
        </w:rPr>
      </w:pPr>
      <w:r>
        <w:rPr>
          <w:rFonts w:hint="eastAsia"/>
        </w:rPr>
        <w:t>2022年进行市水务局“一网通办”三期建设项目，围绕市水务局相关办理事项开展，满足全市水务海洋相关业务“四级四同”的相关要求，实现了市、区两级水务海洋“一网通办”部分业务的整合，进行了采砂证功能改造、水务“一业一证”改造、在线编辑改造、“双100”事项功能改造、河道一件事流程再造等功能的业务功能改造。</w:t>
      </w:r>
    </w:p>
    <w:p w14:paraId="0435B3BD">
      <w:pPr>
        <w:spacing w:line="560" w:lineRule="exact"/>
        <w:rPr>
          <w:rFonts w:hint="eastAsia"/>
        </w:rPr>
      </w:pPr>
      <w:r>
        <w:rPr>
          <w:rFonts w:hint="eastAsia"/>
        </w:rPr>
        <w:t>2023年实施的市水务局“一网通办”建设，新增了水务海洋电子证照库、统一物流、河道蓝线划示和</w:t>
      </w:r>
      <w:r>
        <w:rPr>
          <w:rFonts w:hint="eastAsia" w:asciiTheme="minorEastAsia" w:hAnsiTheme="minorEastAsia" w:cstheme="minorEastAsia"/>
          <w:szCs w:val="21"/>
        </w:rPr>
        <w:t>二级造价工程师（水利工程）注册管理模块等功能模块和</w:t>
      </w:r>
      <w:r>
        <w:rPr>
          <w:rFonts w:hint="eastAsia"/>
        </w:rPr>
        <w:t>幸福河湖功能模块。</w:t>
      </w:r>
    </w:p>
    <w:p w14:paraId="22107DAE">
      <w:pPr>
        <w:spacing w:line="560" w:lineRule="exact"/>
        <w:rPr>
          <w:rFonts w:hint="eastAsia"/>
        </w:rPr>
      </w:pPr>
      <w:r>
        <w:rPr>
          <w:rFonts w:hint="eastAsia"/>
        </w:rPr>
        <w:t>2024年度进行了上海市水务局（上海市海洋局）“一网通办”行政审批一体化服务（升级改造）项目建设，实现市、区两级水务海洋“一网通办”全部业务的整合，实现了海洋测报信息管理模块、三类安管人员管理模块和小型餐饮商户“智能制图”等功能模块的建设，</w:t>
      </w:r>
      <w:r>
        <w:rPr>
          <w:rFonts w:hint="eastAsia" w:cs="宋体"/>
        </w:rPr>
        <w:t>进一步深化办事流程再造，积极拓展特色公共服务场景。</w:t>
      </w:r>
    </w:p>
    <w:p w14:paraId="48B98CE6">
      <w:pPr>
        <w:spacing w:line="560" w:lineRule="exact"/>
        <w:rPr>
          <w:rFonts w:hint="eastAsia"/>
        </w:rPr>
      </w:pPr>
      <w:r>
        <w:rPr>
          <w:rFonts w:hint="eastAsia"/>
        </w:rPr>
        <w:t>2025年实现了全市除浦东新区和临港新片区外的水务海洋行政许可、公共服务事项按照“四级四同”要求的标准化改造，新增海域使用金计算系统和上海市水务海洋政务服务“一网通办”数据分析模块，并按照要求对“幸福河湖”、水土保持免申即享实现升级改造。</w:t>
      </w:r>
    </w:p>
    <w:p w14:paraId="6A118CE9">
      <w:pPr>
        <w:spacing w:line="560" w:lineRule="exact"/>
        <w:rPr>
          <w:rFonts w:hint="eastAsia"/>
        </w:rPr>
      </w:pPr>
      <w:r>
        <w:rPr>
          <w:rFonts w:hint="eastAsia"/>
        </w:rPr>
        <w:t>原系统架构基于面向服务的技术架构（SOA），并采用JAVA语言技术，基于J2EE技术的分布式计算技术进行各系统架构设计和系统开发，采用达梦数据库、东方通中间件和麒麟服务器基于上海市电子政务云（</w:t>
      </w:r>
      <w:r>
        <w:rPr>
          <w:rFonts w:hint="eastAsia"/>
          <w:lang w:eastAsia="zh-CN"/>
        </w:rPr>
        <w:t>XC</w:t>
      </w:r>
      <w:r>
        <w:rPr>
          <w:rFonts w:hint="eastAsia"/>
        </w:rPr>
        <w:t>环境）部署运行。</w:t>
      </w:r>
    </w:p>
    <w:p w14:paraId="15D9F02F">
      <w:pPr>
        <w:pStyle w:val="61"/>
        <w:numPr>
          <w:ilvl w:val="0"/>
          <w:numId w:val="3"/>
        </w:numPr>
        <w:spacing w:line="560" w:lineRule="exact"/>
        <w:ind w:firstLineChars="0"/>
        <w:rPr>
          <w:b/>
          <w:bCs/>
          <w:sz w:val="24"/>
        </w:rPr>
      </w:pPr>
      <w:bookmarkStart w:id="1" w:name="_Toc202258344"/>
      <w:r>
        <w:rPr>
          <w:rFonts w:hint="eastAsia"/>
          <w:b/>
          <w:bCs/>
          <w:sz w:val="24"/>
        </w:rPr>
        <w:t>市民服务热线水务海洋业务管理平台</w:t>
      </w:r>
      <w:bookmarkEnd w:id="1"/>
      <w:r>
        <w:rPr>
          <w:rFonts w:hint="eastAsia"/>
          <w:b/>
          <w:bCs/>
          <w:sz w:val="24"/>
        </w:rPr>
        <w:t>现状</w:t>
      </w:r>
    </w:p>
    <w:p w14:paraId="28B26A1F">
      <w:pPr>
        <w:spacing w:line="560" w:lineRule="exact"/>
        <w:rPr>
          <w:rFonts w:hint="eastAsia"/>
        </w:rPr>
      </w:pPr>
      <w:r>
        <w:rPr>
          <w:rFonts w:hint="eastAsia"/>
        </w:rPr>
        <w:t>上海市水务局（上海市海洋局）按照市民服务热线的统一要求与统一框架，在2015年开展建设了市民服务热线水务海洋业务管理平台。该系统接入和完善12345市民热线、12319城建热线、局长信箱和网上投诉等多个来源的受理信息，通过流程化模式实现热线工单派工、接收、处理、销单、工单跟踪等全流程记录和跟踪，保证热线工单整个处理过程的及时性和准确性，为局热线工作的开展提供有力的技术支撑。从水务海洋热线行业角度为构建和谐社会、改善民生提供了必要的服务。</w:t>
      </w:r>
    </w:p>
    <w:p w14:paraId="02EAB3F0">
      <w:pPr>
        <w:spacing w:line="560" w:lineRule="exact"/>
        <w:rPr>
          <w:rFonts w:hint="eastAsia"/>
        </w:rPr>
      </w:pPr>
      <w:r>
        <w:rPr>
          <w:rFonts w:hint="eastAsia"/>
        </w:rPr>
        <w:t>2016年9月，为提升水务海洋热线服务质量，进一步做强供水服务保障，提高突发事件应急响应速度和处置力度，市水务局、海洋局决定将“市水务海洋热线”与“上海供水热线962740”进行整合，提升管理站位，强化队伍建设，着力打造市水务局、市海洋局面向市民群众的“一站式”热线服务综合平台。2016年12月,经过密集的工作准备,实现了局水务热线与城投供水热线的合署办公。对市民服务热线水务海洋业务管理平台进行了针对性的升级改造，打造了市水务局（市海洋局）面向市民群众的“一站式”热线服务综合平台。平台为BS架构，对接承办了12345市民服务热线、12319城建热线、110应急联动中心以及12314水利部监督平台等上级热线以及河长制监督电话等渠道派发的市民涉水涉海诉求，通过流程化模式实现热线工单派工、接收、处理、销单、工单跟踪等全流程记录和跟踪，保证热线工单整个处理过程的及时性和准确性，为局热线工作的开展提供有力的技术支撑。</w:t>
      </w:r>
    </w:p>
    <w:p w14:paraId="59B4C6EC">
      <w:pPr>
        <w:spacing w:line="560" w:lineRule="exact"/>
        <w:rPr>
          <w:rFonts w:hint="eastAsia"/>
        </w:rPr>
      </w:pPr>
      <w:r>
        <w:rPr>
          <w:rFonts w:hint="eastAsia"/>
        </w:rPr>
        <w:t>平台实现5家局属事业单、16个区水务局和城投水务集团等单位的“一站式”热线业务应用，形成了“工单处置全天候不间断、处置范围全覆盖无空白”工作模式，横向到边，纵向到底，推动一件件市民诉求以更快速度更好方式有效处置。</w:t>
      </w:r>
    </w:p>
    <w:p w14:paraId="6A274D31">
      <w:pPr>
        <w:spacing w:line="560" w:lineRule="exact"/>
        <w:rPr>
          <w:rFonts w:hint="eastAsia"/>
        </w:rPr>
      </w:pPr>
      <w:r>
        <w:rPr>
          <w:rFonts w:hint="eastAsia"/>
        </w:rPr>
        <w:t>平台的业务应用结构如下：</w:t>
      </w:r>
    </w:p>
    <w:p w14:paraId="1B630015">
      <w:pPr>
        <w:pStyle w:val="135"/>
        <w:ind w:firstLine="560"/>
        <w:rPr>
          <w:rFonts w:hint="eastAsia"/>
        </w:rPr>
      </w:pPr>
      <w:r>
        <w:rPr>
          <w:rFonts w:cs="仿宋"/>
        </w:rPr>
        <w:drawing>
          <wp:inline distT="0" distB="0" distL="114300" distR="114300">
            <wp:extent cx="4783455" cy="2937510"/>
            <wp:effectExtent l="0" t="0" r="17145" b="8890"/>
            <wp:docPr id="29" name="图片 29" descr="d2e160ba260cd65946a158b91585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2e160ba260cd65946a158b915857615"/>
                    <pic:cNvPicPr>
                      <a:picLocks noChangeAspect="1"/>
                    </pic:cNvPicPr>
                  </pic:nvPicPr>
                  <pic:blipFill>
                    <a:blip r:embed="rId13"/>
                    <a:srcRect l="5580" t="4612" r="3639" b="5755"/>
                    <a:stretch>
                      <a:fillRect/>
                    </a:stretch>
                  </pic:blipFill>
                  <pic:spPr>
                    <a:xfrm>
                      <a:off x="0" y="0"/>
                      <a:ext cx="4783455" cy="2937510"/>
                    </a:xfrm>
                    <a:prstGeom prst="rect">
                      <a:avLst/>
                    </a:prstGeom>
                  </pic:spPr>
                </pic:pic>
              </a:graphicData>
            </a:graphic>
          </wp:inline>
        </w:drawing>
      </w:r>
    </w:p>
    <w:p w14:paraId="0E2A2728">
      <w:pPr>
        <w:spacing w:line="560" w:lineRule="exact"/>
        <w:rPr>
          <w:rFonts w:hint="eastAsia"/>
        </w:rPr>
      </w:pPr>
      <w:r>
        <w:rPr>
          <w:rFonts w:hint="eastAsia"/>
        </w:rPr>
        <w:t>原系统架构基于面向服务的技术架构（SOA），并采用JAVA语言技术，基于J2EE技术的分布式计算技术进行各系统架构设计和系统开发，采用Oracle数据库、Tomcat中间件和Windows Server服务器基于上海市电子政务云（X86环境）部署运行。</w:t>
      </w:r>
    </w:p>
    <w:p w14:paraId="716013D9">
      <w:pPr>
        <w:spacing w:line="560" w:lineRule="exact"/>
        <w:rPr>
          <w:rFonts w:hint="eastAsia"/>
        </w:rPr>
      </w:pPr>
      <w:r>
        <w:rPr>
          <w:rFonts w:hint="eastAsia"/>
        </w:rPr>
        <w:t>市民服务热线水务海洋业务管理平台本次拟新建内容，数据范围上从建立12345、12319、110等业务平台的数据接入流程，完成数据接收、处理、督办、销单和退单等工作流程，强化热线工单办理的响应速度、协同效率、承办精准度，满足全市热线工作“上下通达、响应及时、处置有效、工作闭环”工作要求。拟建的内容除热线业务图谱管理与应用、热线轻应用、热线工单流转升级改造、智慧水务热线大屏升级改造、密码改造外，其余部分的数据和功能均需在原系统的基础上进行XC适配改造。</w:t>
      </w:r>
    </w:p>
    <w:p w14:paraId="3B6B29FA">
      <w:pPr>
        <w:spacing w:line="560" w:lineRule="exact"/>
        <w:rPr>
          <w:rFonts w:hint="eastAsia"/>
        </w:rPr>
      </w:pPr>
      <w:r>
        <w:rPr>
          <w:rFonts w:hint="eastAsia"/>
        </w:rPr>
        <w:t>建设期限：自合同签订之日起至2026年11月30日</w:t>
      </w:r>
    </w:p>
    <w:p w14:paraId="0F9C23A7">
      <w:pPr>
        <w:spacing w:line="560" w:lineRule="exact"/>
        <w:rPr>
          <w:rFonts w:hint="eastAsia"/>
        </w:rPr>
      </w:pPr>
      <w:r>
        <w:rPr>
          <w:rFonts w:hint="eastAsia"/>
        </w:rPr>
        <w:t>建设地点：上海市水务局（上海市江苏路389号）</w:t>
      </w:r>
    </w:p>
    <w:p w14:paraId="66E103BF">
      <w:pPr>
        <w:spacing w:line="560" w:lineRule="exact"/>
        <w:rPr>
          <w:rFonts w:hint="eastAsia"/>
        </w:rPr>
      </w:pPr>
      <w:r>
        <w:rPr>
          <w:rFonts w:hint="eastAsia"/>
        </w:rPr>
        <w:t>预算金额：1895000元</w:t>
      </w:r>
    </w:p>
    <w:p w14:paraId="357EB7B4">
      <w:pPr>
        <w:spacing w:line="560" w:lineRule="exact"/>
        <w:rPr>
          <w:rFonts w:hint="eastAsia"/>
        </w:rPr>
      </w:pPr>
      <w:r>
        <w:rPr>
          <w:rFonts w:hint="eastAsia"/>
        </w:rPr>
        <w:t>当年度预算金额：1895000元</w:t>
      </w:r>
    </w:p>
    <w:p w14:paraId="35E3910F">
      <w:pPr>
        <w:spacing w:line="560" w:lineRule="exact"/>
        <w:rPr>
          <w:rFonts w:hint="eastAsia"/>
        </w:rPr>
      </w:pPr>
      <w:r>
        <w:rPr>
          <w:rFonts w:hint="eastAsia"/>
        </w:rPr>
        <w:t>采购金额（最高限价）：1895000元</w:t>
      </w:r>
    </w:p>
    <w:p w14:paraId="04E23EC6">
      <w:pPr>
        <w:rPr>
          <w:rFonts w:hint="eastAsia"/>
        </w:rPr>
      </w:pPr>
      <w:r>
        <w:rPr>
          <w:rFonts w:hint="eastAsia"/>
        </w:rPr>
        <w:t>组织形式：集中采购</w:t>
      </w:r>
    </w:p>
    <w:p w14:paraId="361903B4">
      <w:pPr>
        <w:rPr>
          <w:rFonts w:hint="eastAsia"/>
        </w:rPr>
      </w:pPr>
      <w:r>
        <w:rPr>
          <w:rFonts w:hint="eastAsia"/>
        </w:rPr>
        <w:t>采购人式：竞争性磋商</w:t>
      </w:r>
    </w:p>
    <w:p w14:paraId="326539CE">
      <w:pPr>
        <w:rPr>
          <w:rFonts w:hint="eastAsia"/>
        </w:rPr>
      </w:pPr>
      <w:r>
        <w:rPr>
          <w:rFonts w:hint="eastAsia"/>
        </w:rPr>
        <w:t>是否接受联合体投标：否</w:t>
      </w:r>
    </w:p>
    <w:p w14:paraId="265F046A">
      <w:pPr>
        <w:rPr>
          <w:rFonts w:hint="eastAsia"/>
        </w:rPr>
      </w:pPr>
      <w:r>
        <w:t>是否按</w:t>
      </w:r>
      <w:r>
        <w:rPr>
          <w:rFonts w:hint="eastAsia"/>
          <w:lang w:eastAsia="zh-CN"/>
        </w:rPr>
        <w:t>XC</w:t>
      </w:r>
      <w:r>
        <w:t>要求建设：是</w:t>
      </w:r>
    </w:p>
    <w:p w14:paraId="11FED7EC">
      <w:pPr>
        <w:tabs>
          <w:tab w:val="left" w:pos="3120"/>
        </w:tabs>
        <w:rPr>
          <w:rFonts w:hint="eastAsia"/>
        </w:rPr>
      </w:pPr>
      <w:r>
        <w:rPr>
          <w:rFonts w:hint="eastAsia"/>
        </w:rPr>
        <w:t>是否采用低代码建设：否</w:t>
      </w:r>
    </w:p>
    <w:p w14:paraId="105BE101">
      <w:pPr>
        <w:rPr>
          <w:rFonts w:hint="eastAsia"/>
        </w:rPr>
      </w:pPr>
      <w:r>
        <w:rPr>
          <w:rFonts w:hint="eastAsia"/>
        </w:rPr>
        <w:t>运维后所属大系统：水务政务服务大系统</w:t>
      </w:r>
    </w:p>
    <w:p w14:paraId="0392E9F9">
      <w:pPr>
        <w:pStyle w:val="3"/>
        <w:rPr>
          <w:rFonts w:hint="eastAsia"/>
        </w:rPr>
      </w:pPr>
      <w:bookmarkStart w:id="2" w:name="_Toc47539070"/>
      <w:bookmarkEnd w:id="2"/>
      <w:bookmarkStart w:id="3" w:name="_Toc47536644"/>
      <w:bookmarkEnd w:id="3"/>
      <w:bookmarkStart w:id="4" w:name="_Toc47536272"/>
      <w:bookmarkEnd w:id="4"/>
      <w:bookmarkStart w:id="5" w:name="_Toc47533256"/>
      <w:bookmarkEnd w:id="5"/>
      <w:bookmarkStart w:id="6" w:name="_Toc47537134"/>
      <w:bookmarkEnd w:id="6"/>
      <w:bookmarkStart w:id="7" w:name="_Toc47531634"/>
      <w:bookmarkEnd w:id="7"/>
      <w:bookmarkStart w:id="8" w:name="_Toc47532255"/>
      <w:bookmarkEnd w:id="8"/>
      <w:bookmarkStart w:id="9" w:name="_Toc47532891"/>
      <w:bookmarkEnd w:id="9"/>
      <w:bookmarkStart w:id="10" w:name="_Toc63785463"/>
      <w:bookmarkStart w:id="11" w:name="_Toc48223882"/>
      <w:r>
        <w:rPr>
          <w:rFonts w:hint="eastAsia"/>
        </w:rPr>
        <w:t>建设目标</w:t>
      </w:r>
      <w:bookmarkEnd w:id="10"/>
      <w:bookmarkEnd w:id="11"/>
    </w:p>
    <w:p w14:paraId="513E6C81">
      <w:pPr>
        <w:spacing w:line="560" w:lineRule="exact"/>
        <w:rPr>
          <w:rFonts w:hint="eastAsia"/>
        </w:rPr>
      </w:pPr>
      <w:r>
        <w:rPr>
          <w:rFonts w:hint="eastAsia"/>
        </w:rPr>
        <w:t>依据市一网通办总体要求，结合水务局政务服务一网通办改革实施方案，全面深化“一网通办”改革，优化惠企政策全流程服务，推进政务服务标准化、规范化、便利化。通过创新政务服务模式，构建高效便捷服务体系，加强线上线下服务体验，优化惠企利民政策服务，强化政务服务数智赋能，实现高频事项“智慧好办”，夯实政务服务工作机制，打造水务海洋特色品牌，更好地服务水务海洋事业发展，提升企业和群众的办事体验和满意度。</w:t>
      </w:r>
    </w:p>
    <w:p w14:paraId="3C339B51">
      <w:pPr>
        <w:spacing w:line="560" w:lineRule="exact"/>
        <w:ind w:firstLine="482"/>
        <w:rPr>
          <w:rFonts w:hint="eastAsia"/>
          <w:b/>
          <w:bCs/>
        </w:rPr>
      </w:pPr>
      <w:r>
        <w:rPr>
          <w:rFonts w:hint="eastAsia"/>
          <w:b/>
          <w:bCs/>
        </w:rPr>
        <w:t>绩效考核指标如下：</w:t>
      </w:r>
    </w:p>
    <w:tbl>
      <w:tblPr>
        <w:tblStyle w:val="3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1"/>
        <w:gridCol w:w="1201"/>
        <w:gridCol w:w="1417"/>
        <w:gridCol w:w="1560"/>
        <w:gridCol w:w="1417"/>
        <w:gridCol w:w="1930"/>
      </w:tblGrid>
      <w:tr w14:paraId="60A1A7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982" w:type="dxa"/>
            <w:gridSpan w:val="2"/>
            <w:shd w:val="clear" w:color="auto" w:fill="D8D8D8" w:themeFill="background1" w:themeFillShade="D9"/>
            <w:vAlign w:val="center"/>
          </w:tcPr>
          <w:p w14:paraId="5A08B9A8">
            <w:pPr>
              <w:pStyle w:val="138"/>
              <w:jc w:val="center"/>
              <w:rPr>
                <w:b/>
                <w:bCs/>
              </w:rPr>
            </w:pPr>
            <w:bookmarkStart w:id="12" w:name="_Hlk170372701"/>
            <w:r>
              <w:rPr>
                <w:rFonts w:hint="eastAsia"/>
                <w:b/>
                <w:bCs/>
              </w:rPr>
              <w:t>业务目标</w:t>
            </w:r>
          </w:p>
        </w:tc>
        <w:tc>
          <w:tcPr>
            <w:tcW w:w="6324" w:type="dxa"/>
            <w:gridSpan w:val="4"/>
            <w:shd w:val="clear" w:color="auto" w:fill="D8D8D8" w:themeFill="background1" w:themeFillShade="D9"/>
          </w:tcPr>
          <w:p w14:paraId="115CADFA">
            <w:pPr>
              <w:pStyle w:val="138"/>
              <w:widowControl w:val="0"/>
              <w:rPr>
                <w:b/>
                <w:bCs/>
              </w:rPr>
            </w:pPr>
          </w:p>
        </w:tc>
      </w:tr>
      <w:tr w14:paraId="6B0F85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shd w:val="clear" w:color="auto" w:fill="D8D8D8" w:themeFill="background1" w:themeFillShade="D9"/>
            <w:vAlign w:val="center"/>
          </w:tcPr>
          <w:p w14:paraId="06177244">
            <w:pPr>
              <w:pStyle w:val="138"/>
              <w:widowControl w:val="0"/>
              <w:jc w:val="center"/>
              <w:rPr>
                <w:b/>
                <w:bCs/>
              </w:rPr>
            </w:pPr>
            <w:r>
              <w:rPr>
                <w:rFonts w:hint="eastAsia"/>
                <w:b/>
                <w:bCs/>
              </w:rPr>
              <w:t>序号</w:t>
            </w:r>
          </w:p>
        </w:tc>
        <w:tc>
          <w:tcPr>
            <w:tcW w:w="1201" w:type="dxa"/>
            <w:shd w:val="clear" w:color="auto" w:fill="D8D8D8" w:themeFill="background1" w:themeFillShade="D9"/>
            <w:vAlign w:val="center"/>
          </w:tcPr>
          <w:p w14:paraId="75B725DB">
            <w:pPr>
              <w:pStyle w:val="138"/>
              <w:widowControl w:val="0"/>
              <w:jc w:val="center"/>
              <w:rPr>
                <w:b/>
                <w:bCs/>
              </w:rPr>
            </w:pPr>
            <w:r>
              <w:rPr>
                <w:rFonts w:hint="eastAsia"/>
                <w:b/>
                <w:bCs/>
              </w:rPr>
              <w:t>一级指标</w:t>
            </w:r>
          </w:p>
        </w:tc>
        <w:tc>
          <w:tcPr>
            <w:tcW w:w="1417" w:type="dxa"/>
            <w:shd w:val="clear" w:color="auto" w:fill="D8D8D8" w:themeFill="background1" w:themeFillShade="D9"/>
            <w:vAlign w:val="center"/>
          </w:tcPr>
          <w:p w14:paraId="37E131E5">
            <w:pPr>
              <w:pStyle w:val="138"/>
              <w:widowControl w:val="0"/>
              <w:jc w:val="center"/>
              <w:rPr>
                <w:b/>
                <w:bCs/>
              </w:rPr>
            </w:pPr>
            <w:r>
              <w:rPr>
                <w:rFonts w:hint="eastAsia"/>
                <w:b/>
                <w:bCs/>
              </w:rPr>
              <w:t>二级指标</w:t>
            </w:r>
          </w:p>
        </w:tc>
        <w:tc>
          <w:tcPr>
            <w:tcW w:w="1560" w:type="dxa"/>
            <w:shd w:val="clear" w:color="auto" w:fill="D8D8D8" w:themeFill="background1" w:themeFillShade="D9"/>
            <w:vAlign w:val="center"/>
          </w:tcPr>
          <w:p w14:paraId="72317E20">
            <w:pPr>
              <w:pStyle w:val="138"/>
              <w:widowControl w:val="0"/>
              <w:jc w:val="center"/>
              <w:rPr>
                <w:b/>
                <w:bCs/>
              </w:rPr>
            </w:pPr>
            <w:r>
              <w:rPr>
                <w:rFonts w:hint="eastAsia"/>
                <w:b/>
                <w:bCs/>
              </w:rPr>
              <w:t>三级指标</w:t>
            </w:r>
          </w:p>
        </w:tc>
        <w:tc>
          <w:tcPr>
            <w:tcW w:w="1417" w:type="dxa"/>
            <w:shd w:val="clear" w:color="auto" w:fill="D8D8D8" w:themeFill="background1" w:themeFillShade="D9"/>
          </w:tcPr>
          <w:p w14:paraId="54E39F07">
            <w:pPr>
              <w:pStyle w:val="138"/>
              <w:widowControl w:val="0"/>
              <w:jc w:val="center"/>
              <w:rPr>
                <w:b/>
                <w:bCs/>
              </w:rPr>
            </w:pPr>
            <w:r>
              <w:rPr>
                <w:rFonts w:hint="eastAsia"/>
                <w:b/>
                <w:bCs/>
              </w:rPr>
              <w:t>四级指标</w:t>
            </w:r>
          </w:p>
        </w:tc>
        <w:tc>
          <w:tcPr>
            <w:tcW w:w="1930" w:type="dxa"/>
            <w:shd w:val="clear" w:color="auto" w:fill="D8D8D8" w:themeFill="background1" w:themeFillShade="D9"/>
            <w:vAlign w:val="center"/>
          </w:tcPr>
          <w:p w14:paraId="43060600">
            <w:pPr>
              <w:pStyle w:val="138"/>
              <w:widowControl w:val="0"/>
              <w:jc w:val="center"/>
              <w:rPr>
                <w:b/>
                <w:bCs/>
              </w:rPr>
            </w:pPr>
            <w:r>
              <w:rPr>
                <w:rFonts w:hint="eastAsia"/>
                <w:b/>
                <w:bCs/>
              </w:rPr>
              <w:t>指标值</w:t>
            </w:r>
          </w:p>
        </w:tc>
      </w:tr>
      <w:tr w14:paraId="412841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64585E48">
            <w:pPr>
              <w:pStyle w:val="138"/>
              <w:widowControl w:val="0"/>
              <w:jc w:val="center"/>
              <w:rPr>
                <w:rFonts w:eastAsia="等线" w:cs="Times New Roman"/>
              </w:rPr>
            </w:pPr>
            <w:r>
              <w:rPr>
                <w:rFonts w:eastAsia="等线" w:cs="Times New Roman"/>
              </w:rPr>
              <w:t>1</w:t>
            </w:r>
          </w:p>
        </w:tc>
        <w:tc>
          <w:tcPr>
            <w:tcW w:w="1201" w:type="dxa"/>
            <w:vMerge w:val="restart"/>
            <w:vAlign w:val="center"/>
          </w:tcPr>
          <w:p w14:paraId="379434DE">
            <w:pPr>
              <w:pStyle w:val="138"/>
              <w:widowControl w:val="0"/>
              <w:jc w:val="center"/>
            </w:pPr>
            <w:r>
              <w:rPr>
                <w:rFonts w:hint="eastAsia"/>
              </w:rPr>
              <w:t>通用指标</w:t>
            </w:r>
          </w:p>
          <w:p w14:paraId="593B8A55">
            <w:pPr>
              <w:pStyle w:val="138"/>
              <w:widowControl w:val="0"/>
              <w:jc w:val="center"/>
            </w:pPr>
            <w:r>
              <w:rPr>
                <w:rFonts w:hint="eastAsia"/>
              </w:rPr>
              <w:t>通用指标</w:t>
            </w:r>
          </w:p>
        </w:tc>
        <w:tc>
          <w:tcPr>
            <w:tcW w:w="1417" w:type="dxa"/>
            <w:vMerge w:val="restart"/>
            <w:vAlign w:val="center"/>
          </w:tcPr>
          <w:p w14:paraId="5D06FF66">
            <w:pPr>
              <w:pStyle w:val="138"/>
              <w:widowControl w:val="0"/>
              <w:jc w:val="center"/>
            </w:pPr>
            <w:r>
              <w:rPr>
                <w:rFonts w:hint="eastAsia"/>
              </w:rPr>
              <w:t>产出指标</w:t>
            </w:r>
          </w:p>
        </w:tc>
        <w:tc>
          <w:tcPr>
            <w:tcW w:w="1560" w:type="dxa"/>
            <w:vMerge w:val="restart"/>
            <w:vAlign w:val="center"/>
          </w:tcPr>
          <w:p w14:paraId="4EEBB33E">
            <w:pPr>
              <w:pStyle w:val="138"/>
              <w:widowControl w:val="0"/>
              <w:jc w:val="center"/>
            </w:pPr>
            <w:r>
              <w:rPr>
                <w:rFonts w:hint="eastAsia"/>
              </w:rPr>
              <w:t>产出质量</w:t>
            </w:r>
          </w:p>
          <w:p w14:paraId="66EAFC14">
            <w:pPr>
              <w:pStyle w:val="138"/>
              <w:widowControl w:val="0"/>
              <w:jc w:val="center"/>
            </w:pPr>
            <w:r>
              <w:rPr>
                <w:rFonts w:hint="eastAsia"/>
              </w:rPr>
              <w:t>产出时效</w:t>
            </w:r>
          </w:p>
        </w:tc>
        <w:tc>
          <w:tcPr>
            <w:tcW w:w="1417" w:type="dxa"/>
          </w:tcPr>
          <w:p w14:paraId="173D4BA2">
            <w:pPr>
              <w:pStyle w:val="138"/>
              <w:jc w:val="center"/>
            </w:pPr>
            <w:r>
              <w:rPr>
                <w:rFonts w:hint="eastAsia"/>
              </w:rPr>
              <w:t>一次性验收合</w:t>
            </w:r>
          </w:p>
          <w:p w14:paraId="4C36F96D">
            <w:pPr>
              <w:pStyle w:val="138"/>
              <w:widowControl w:val="0"/>
              <w:jc w:val="center"/>
            </w:pPr>
            <w:r>
              <w:rPr>
                <w:rFonts w:hint="eastAsia"/>
              </w:rPr>
              <w:t>格率</w:t>
            </w:r>
          </w:p>
        </w:tc>
        <w:tc>
          <w:tcPr>
            <w:tcW w:w="1930" w:type="dxa"/>
            <w:vAlign w:val="center"/>
          </w:tcPr>
          <w:p w14:paraId="23868613">
            <w:pPr>
              <w:pStyle w:val="138"/>
              <w:widowControl w:val="0"/>
              <w:jc w:val="center"/>
            </w:pPr>
            <w:r>
              <w:rPr>
                <w:rFonts w:hint="eastAsia"/>
              </w:rPr>
              <w:t>100%</w:t>
            </w:r>
          </w:p>
        </w:tc>
      </w:tr>
      <w:tr w14:paraId="6B5CC1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06057E67">
            <w:pPr>
              <w:pStyle w:val="138"/>
              <w:widowControl w:val="0"/>
              <w:jc w:val="center"/>
              <w:rPr>
                <w:rFonts w:eastAsia="等线" w:cs="Times New Roman"/>
              </w:rPr>
            </w:pPr>
            <w:r>
              <w:rPr>
                <w:rFonts w:hint="eastAsia" w:eastAsia="等线" w:cs="Times New Roman"/>
              </w:rPr>
              <w:t>2</w:t>
            </w:r>
          </w:p>
        </w:tc>
        <w:tc>
          <w:tcPr>
            <w:tcW w:w="1201" w:type="dxa"/>
            <w:vMerge w:val="continue"/>
            <w:vAlign w:val="center"/>
          </w:tcPr>
          <w:p w14:paraId="5DC608D5">
            <w:pPr>
              <w:pStyle w:val="138"/>
              <w:widowControl w:val="0"/>
              <w:jc w:val="center"/>
            </w:pPr>
          </w:p>
        </w:tc>
        <w:tc>
          <w:tcPr>
            <w:tcW w:w="1417" w:type="dxa"/>
            <w:vMerge w:val="continue"/>
            <w:vAlign w:val="center"/>
          </w:tcPr>
          <w:p w14:paraId="1B987D1E">
            <w:pPr>
              <w:pStyle w:val="138"/>
              <w:widowControl w:val="0"/>
              <w:jc w:val="center"/>
            </w:pPr>
          </w:p>
        </w:tc>
        <w:tc>
          <w:tcPr>
            <w:tcW w:w="1560" w:type="dxa"/>
            <w:vMerge w:val="continue"/>
            <w:vAlign w:val="center"/>
          </w:tcPr>
          <w:p w14:paraId="44BAC8C8">
            <w:pPr>
              <w:pStyle w:val="138"/>
              <w:widowControl w:val="0"/>
              <w:jc w:val="center"/>
            </w:pPr>
          </w:p>
        </w:tc>
        <w:tc>
          <w:tcPr>
            <w:tcW w:w="1417" w:type="dxa"/>
          </w:tcPr>
          <w:p w14:paraId="0F0306EE">
            <w:pPr>
              <w:pStyle w:val="138"/>
              <w:jc w:val="center"/>
            </w:pPr>
            <w:r>
              <w:rPr>
                <w:rFonts w:hint="eastAsia"/>
              </w:rPr>
              <w:t>项目建设周期</w:t>
            </w:r>
          </w:p>
        </w:tc>
        <w:tc>
          <w:tcPr>
            <w:tcW w:w="1930" w:type="dxa"/>
            <w:vAlign w:val="center"/>
          </w:tcPr>
          <w:p w14:paraId="147E5C2B">
            <w:pPr>
              <w:pStyle w:val="138"/>
              <w:widowControl w:val="0"/>
              <w:jc w:val="center"/>
            </w:pPr>
            <w:r>
              <w:rPr>
                <w:rFonts w:hint="eastAsia"/>
                <w:lang w:val="en-US" w:eastAsia="zh-CN"/>
              </w:rPr>
              <w:t>8</w:t>
            </w:r>
            <w:r>
              <w:rPr>
                <w:rFonts w:hint="eastAsia"/>
              </w:rPr>
              <w:t>个月</w:t>
            </w:r>
          </w:p>
        </w:tc>
      </w:tr>
      <w:tr w14:paraId="2C30F5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67B7BFF7">
            <w:pPr>
              <w:pStyle w:val="138"/>
              <w:widowControl w:val="0"/>
              <w:jc w:val="center"/>
              <w:rPr>
                <w:rFonts w:eastAsia="等线" w:cs="Times New Roman"/>
              </w:rPr>
            </w:pPr>
            <w:r>
              <w:rPr>
                <w:rFonts w:hint="eastAsia" w:eastAsia="等线" w:cs="Times New Roman"/>
              </w:rPr>
              <w:t>3</w:t>
            </w:r>
          </w:p>
        </w:tc>
        <w:tc>
          <w:tcPr>
            <w:tcW w:w="1201" w:type="dxa"/>
            <w:vMerge w:val="continue"/>
            <w:vAlign w:val="center"/>
          </w:tcPr>
          <w:p w14:paraId="5E79DE65">
            <w:pPr>
              <w:pStyle w:val="138"/>
              <w:widowControl w:val="0"/>
              <w:jc w:val="center"/>
            </w:pPr>
          </w:p>
        </w:tc>
        <w:tc>
          <w:tcPr>
            <w:tcW w:w="1417" w:type="dxa"/>
            <w:vMerge w:val="continue"/>
            <w:vAlign w:val="center"/>
          </w:tcPr>
          <w:p w14:paraId="558C2ED7">
            <w:pPr>
              <w:pStyle w:val="138"/>
              <w:widowControl w:val="0"/>
              <w:jc w:val="center"/>
            </w:pPr>
          </w:p>
        </w:tc>
        <w:tc>
          <w:tcPr>
            <w:tcW w:w="1560" w:type="dxa"/>
            <w:vAlign w:val="center"/>
          </w:tcPr>
          <w:p w14:paraId="5D00E090">
            <w:pPr>
              <w:pStyle w:val="138"/>
              <w:widowControl w:val="0"/>
              <w:jc w:val="center"/>
            </w:pPr>
            <w:r>
              <w:rPr>
                <w:rFonts w:hint="eastAsia"/>
              </w:rPr>
              <w:t>用户使用情况</w:t>
            </w:r>
          </w:p>
        </w:tc>
        <w:tc>
          <w:tcPr>
            <w:tcW w:w="1417" w:type="dxa"/>
          </w:tcPr>
          <w:p w14:paraId="54693411">
            <w:pPr>
              <w:pStyle w:val="138"/>
              <w:jc w:val="center"/>
            </w:pPr>
            <w:r>
              <w:rPr>
                <w:rFonts w:hint="eastAsia"/>
              </w:rPr>
              <w:t>系统用户量</w:t>
            </w:r>
          </w:p>
        </w:tc>
        <w:tc>
          <w:tcPr>
            <w:tcW w:w="1930" w:type="dxa"/>
            <w:vAlign w:val="center"/>
          </w:tcPr>
          <w:p w14:paraId="70FCAED3">
            <w:pPr>
              <w:pStyle w:val="138"/>
              <w:widowControl w:val="0"/>
              <w:jc w:val="center"/>
            </w:pPr>
            <w:r>
              <w:rPr>
                <w:rFonts w:hint="eastAsia"/>
              </w:rPr>
              <w:t>500</w:t>
            </w:r>
          </w:p>
        </w:tc>
      </w:tr>
      <w:tr w14:paraId="5E53C7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2" w:hRule="atLeast"/>
          <w:jc w:val="center"/>
        </w:trPr>
        <w:tc>
          <w:tcPr>
            <w:tcW w:w="781" w:type="dxa"/>
            <w:vAlign w:val="center"/>
          </w:tcPr>
          <w:p w14:paraId="672D7DE6">
            <w:pPr>
              <w:pStyle w:val="138"/>
              <w:widowControl w:val="0"/>
              <w:jc w:val="center"/>
              <w:rPr>
                <w:rFonts w:eastAsia="等线" w:cs="Times New Roman"/>
              </w:rPr>
            </w:pPr>
            <w:r>
              <w:rPr>
                <w:rFonts w:hint="eastAsia" w:eastAsia="等线" w:cs="Times New Roman"/>
              </w:rPr>
              <w:t>4</w:t>
            </w:r>
          </w:p>
        </w:tc>
        <w:tc>
          <w:tcPr>
            <w:tcW w:w="1201" w:type="dxa"/>
            <w:vMerge w:val="continue"/>
            <w:vAlign w:val="center"/>
          </w:tcPr>
          <w:p w14:paraId="4ACAD07E">
            <w:pPr>
              <w:pStyle w:val="138"/>
              <w:widowControl w:val="0"/>
              <w:jc w:val="center"/>
            </w:pPr>
          </w:p>
        </w:tc>
        <w:tc>
          <w:tcPr>
            <w:tcW w:w="1417" w:type="dxa"/>
            <w:vMerge w:val="restart"/>
            <w:vAlign w:val="center"/>
          </w:tcPr>
          <w:p w14:paraId="520B73AB">
            <w:pPr>
              <w:pStyle w:val="138"/>
              <w:widowControl w:val="0"/>
              <w:jc w:val="center"/>
            </w:pPr>
            <w:r>
              <w:rPr>
                <w:rFonts w:hint="eastAsia"/>
              </w:rPr>
              <w:t>产出指标</w:t>
            </w:r>
          </w:p>
        </w:tc>
        <w:tc>
          <w:tcPr>
            <w:tcW w:w="1560" w:type="dxa"/>
            <w:vMerge w:val="restart"/>
            <w:vAlign w:val="center"/>
          </w:tcPr>
          <w:p w14:paraId="2D0E1340">
            <w:pPr>
              <w:pStyle w:val="138"/>
              <w:widowControl w:val="0"/>
              <w:jc w:val="center"/>
            </w:pPr>
            <w:r>
              <w:rPr>
                <w:rFonts w:hint="eastAsia"/>
              </w:rPr>
              <w:t>应用系统</w:t>
            </w:r>
          </w:p>
        </w:tc>
        <w:tc>
          <w:tcPr>
            <w:tcW w:w="1417" w:type="dxa"/>
            <w:vMerge w:val="restart"/>
            <w:vAlign w:val="center"/>
          </w:tcPr>
          <w:p w14:paraId="24BBC726">
            <w:pPr>
              <w:pStyle w:val="138"/>
              <w:jc w:val="center"/>
            </w:pPr>
            <w:r>
              <w:rPr>
                <w:rFonts w:hint="eastAsia"/>
              </w:rPr>
              <w:t>基础数据采集覆盖率</w:t>
            </w:r>
          </w:p>
        </w:tc>
        <w:tc>
          <w:tcPr>
            <w:tcW w:w="1930" w:type="dxa"/>
            <w:vMerge w:val="restart"/>
            <w:vAlign w:val="center"/>
          </w:tcPr>
          <w:p w14:paraId="224F5B4D">
            <w:pPr>
              <w:pStyle w:val="138"/>
              <w:widowControl w:val="0"/>
              <w:jc w:val="center"/>
            </w:pPr>
            <w:r>
              <w:rPr>
                <w:rFonts w:hint="eastAsia"/>
              </w:rPr>
              <w:t>100%</w:t>
            </w:r>
          </w:p>
        </w:tc>
      </w:tr>
      <w:tr w14:paraId="026925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5CB6D998">
            <w:pPr>
              <w:pStyle w:val="138"/>
              <w:widowControl w:val="0"/>
              <w:jc w:val="center"/>
              <w:rPr>
                <w:rFonts w:eastAsia="等线" w:cs="Times New Roman"/>
              </w:rPr>
            </w:pPr>
            <w:r>
              <w:rPr>
                <w:rFonts w:hint="eastAsia" w:eastAsia="等线" w:cs="Times New Roman"/>
              </w:rPr>
              <w:t>5</w:t>
            </w:r>
          </w:p>
        </w:tc>
        <w:tc>
          <w:tcPr>
            <w:tcW w:w="1201" w:type="dxa"/>
            <w:vMerge w:val="continue"/>
            <w:vAlign w:val="center"/>
          </w:tcPr>
          <w:p w14:paraId="6E460A77">
            <w:pPr>
              <w:pStyle w:val="138"/>
              <w:widowControl w:val="0"/>
              <w:jc w:val="center"/>
            </w:pPr>
          </w:p>
        </w:tc>
        <w:tc>
          <w:tcPr>
            <w:tcW w:w="1417" w:type="dxa"/>
            <w:vMerge w:val="continue"/>
            <w:vAlign w:val="center"/>
          </w:tcPr>
          <w:p w14:paraId="05631879">
            <w:pPr>
              <w:pStyle w:val="138"/>
              <w:widowControl w:val="0"/>
              <w:jc w:val="center"/>
            </w:pPr>
          </w:p>
        </w:tc>
        <w:tc>
          <w:tcPr>
            <w:tcW w:w="1560" w:type="dxa"/>
            <w:vMerge w:val="continue"/>
            <w:vAlign w:val="center"/>
          </w:tcPr>
          <w:p w14:paraId="14942B3A">
            <w:pPr>
              <w:pStyle w:val="138"/>
              <w:widowControl w:val="0"/>
              <w:jc w:val="center"/>
            </w:pPr>
          </w:p>
        </w:tc>
        <w:tc>
          <w:tcPr>
            <w:tcW w:w="1417" w:type="dxa"/>
            <w:vMerge w:val="continue"/>
          </w:tcPr>
          <w:p w14:paraId="067C8371">
            <w:pPr>
              <w:pStyle w:val="138"/>
              <w:jc w:val="center"/>
            </w:pPr>
          </w:p>
        </w:tc>
        <w:tc>
          <w:tcPr>
            <w:tcW w:w="1930" w:type="dxa"/>
            <w:vMerge w:val="continue"/>
            <w:vAlign w:val="center"/>
          </w:tcPr>
          <w:p w14:paraId="4FB024F2">
            <w:pPr>
              <w:pStyle w:val="138"/>
              <w:widowControl w:val="0"/>
              <w:jc w:val="center"/>
            </w:pPr>
          </w:p>
        </w:tc>
      </w:tr>
      <w:tr w14:paraId="4C268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3B564960">
            <w:pPr>
              <w:pStyle w:val="138"/>
              <w:widowControl w:val="0"/>
              <w:jc w:val="center"/>
              <w:rPr>
                <w:rFonts w:eastAsia="等线" w:cs="Times New Roman"/>
              </w:rPr>
            </w:pPr>
            <w:r>
              <w:rPr>
                <w:rFonts w:hint="eastAsia" w:eastAsia="等线" w:cs="Times New Roman"/>
              </w:rPr>
              <w:t>8</w:t>
            </w:r>
          </w:p>
        </w:tc>
        <w:tc>
          <w:tcPr>
            <w:tcW w:w="1201" w:type="dxa"/>
            <w:vAlign w:val="center"/>
          </w:tcPr>
          <w:p w14:paraId="67410892">
            <w:pPr>
              <w:pStyle w:val="138"/>
              <w:widowControl w:val="0"/>
              <w:jc w:val="center"/>
            </w:pPr>
            <w:r>
              <w:rPr>
                <w:rFonts w:hint="eastAsia"/>
              </w:rPr>
              <w:t>业务指标</w:t>
            </w:r>
          </w:p>
        </w:tc>
        <w:tc>
          <w:tcPr>
            <w:tcW w:w="1417" w:type="dxa"/>
            <w:vAlign w:val="center"/>
          </w:tcPr>
          <w:p w14:paraId="1C2F6C6F">
            <w:pPr>
              <w:pStyle w:val="138"/>
              <w:widowControl w:val="0"/>
              <w:jc w:val="center"/>
            </w:pPr>
            <w:r>
              <w:rPr>
                <w:rFonts w:hint="eastAsia"/>
              </w:rPr>
              <w:t>应用系统</w:t>
            </w:r>
          </w:p>
        </w:tc>
        <w:tc>
          <w:tcPr>
            <w:tcW w:w="1560" w:type="dxa"/>
            <w:vAlign w:val="center"/>
          </w:tcPr>
          <w:p w14:paraId="0FDB8F29">
            <w:pPr>
              <w:pStyle w:val="138"/>
              <w:widowControl w:val="0"/>
              <w:jc w:val="center"/>
            </w:pPr>
            <w:r>
              <w:rPr>
                <w:rFonts w:hint="eastAsia"/>
              </w:rPr>
              <w:t>产出指标</w:t>
            </w:r>
          </w:p>
        </w:tc>
        <w:tc>
          <w:tcPr>
            <w:tcW w:w="1417" w:type="dxa"/>
          </w:tcPr>
          <w:p w14:paraId="15E0548B">
            <w:pPr>
              <w:pStyle w:val="138"/>
              <w:widowControl w:val="0"/>
              <w:jc w:val="center"/>
            </w:pPr>
            <w:r>
              <w:rPr>
                <w:rFonts w:hint="eastAsia"/>
              </w:rPr>
              <w:t>全市水务海洋公共服务事项标准化改造</w:t>
            </w:r>
          </w:p>
        </w:tc>
        <w:tc>
          <w:tcPr>
            <w:tcW w:w="1930" w:type="dxa"/>
            <w:vAlign w:val="center"/>
          </w:tcPr>
          <w:p w14:paraId="2FCFAECC">
            <w:pPr>
              <w:pStyle w:val="138"/>
              <w:widowControl w:val="0"/>
              <w:jc w:val="center"/>
            </w:pPr>
            <w:r>
              <w:rPr>
                <w:rFonts w:hint="eastAsia"/>
              </w:rPr>
              <w:t>19个大项、26个小项、47个办理情形的标准化改造</w:t>
            </w:r>
          </w:p>
        </w:tc>
      </w:tr>
      <w:tr w14:paraId="07BF1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7D8D50C3">
            <w:pPr>
              <w:pStyle w:val="138"/>
              <w:widowControl w:val="0"/>
              <w:jc w:val="center"/>
              <w:rPr>
                <w:rFonts w:eastAsia="等线" w:cs="Times New Roman"/>
              </w:rPr>
            </w:pPr>
            <w:r>
              <w:rPr>
                <w:rFonts w:hint="eastAsia" w:eastAsia="等线" w:cs="Times New Roman"/>
              </w:rPr>
              <w:t>9</w:t>
            </w:r>
          </w:p>
        </w:tc>
        <w:tc>
          <w:tcPr>
            <w:tcW w:w="1201" w:type="dxa"/>
            <w:vAlign w:val="center"/>
          </w:tcPr>
          <w:p w14:paraId="7A1AEEA1">
            <w:pPr>
              <w:pStyle w:val="138"/>
              <w:widowControl w:val="0"/>
              <w:jc w:val="center"/>
            </w:pPr>
            <w:r>
              <w:rPr>
                <w:rFonts w:hint="eastAsia"/>
              </w:rPr>
              <w:t>业务指标</w:t>
            </w:r>
          </w:p>
        </w:tc>
        <w:tc>
          <w:tcPr>
            <w:tcW w:w="1417" w:type="dxa"/>
            <w:vAlign w:val="center"/>
          </w:tcPr>
          <w:p w14:paraId="483863A3">
            <w:pPr>
              <w:pStyle w:val="138"/>
              <w:widowControl w:val="0"/>
              <w:jc w:val="center"/>
            </w:pPr>
            <w:r>
              <w:rPr>
                <w:rFonts w:hint="eastAsia"/>
              </w:rPr>
              <w:t>应用系统</w:t>
            </w:r>
          </w:p>
        </w:tc>
        <w:tc>
          <w:tcPr>
            <w:tcW w:w="1560" w:type="dxa"/>
            <w:vAlign w:val="center"/>
          </w:tcPr>
          <w:p w14:paraId="425C8280">
            <w:pPr>
              <w:pStyle w:val="138"/>
              <w:widowControl w:val="0"/>
              <w:jc w:val="center"/>
            </w:pPr>
            <w:r>
              <w:rPr>
                <w:rFonts w:hint="eastAsia"/>
              </w:rPr>
              <w:t>产出指标</w:t>
            </w:r>
          </w:p>
        </w:tc>
        <w:tc>
          <w:tcPr>
            <w:tcW w:w="1417" w:type="dxa"/>
          </w:tcPr>
          <w:p w14:paraId="0F1EE36A">
            <w:pPr>
              <w:pStyle w:val="138"/>
              <w:widowControl w:val="0"/>
              <w:jc w:val="center"/>
            </w:pPr>
            <w:r>
              <w:rPr>
                <w:rFonts w:hint="eastAsia"/>
              </w:rPr>
              <w:t>数据上链</w:t>
            </w:r>
          </w:p>
        </w:tc>
        <w:tc>
          <w:tcPr>
            <w:tcW w:w="1930" w:type="dxa"/>
            <w:vAlign w:val="center"/>
          </w:tcPr>
          <w:p w14:paraId="56C4E8A5">
            <w:pPr>
              <w:pStyle w:val="138"/>
              <w:widowControl w:val="0"/>
              <w:jc w:val="center"/>
            </w:pPr>
            <w:r>
              <w:rPr>
                <w:rFonts w:hint="eastAsia"/>
              </w:rPr>
              <w:t>3类数据上链</w:t>
            </w:r>
          </w:p>
        </w:tc>
      </w:tr>
      <w:tr w14:paraId="325391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246D7DE9">
            <w:pPr>
              <w:pStyle w:val="138"/>
              <w:widowControl w:val="0"/>
              <w:jc w:val="center"/>
              <w:rPr>
                <w:rFonts w:eastAsia="等线" w:cs="Times New Roman"/>
              </w:rPr>
            </w:pPr>
            <w:r>
              <w:rPr>
                <w:rFonts w:hint="eastAsia" w:eastAsia="等线" w:cs="Times New Roman"/>
              </w:rPr>
              <w:t>10</w:t>
            </w:r>
          </w:p>
        </w:tc>
        <w:tc>
          <w:tcPr>
            <w:tcW w:w="1201" w:type="dxa"/>
            <w:vAlign w:val="center"/>
          </w:tcPr>
          <w:p w14:paraId="20AC8F21">
            <w:pPr>
              <w:pStyle w:val="138"/>
              <w:widowControl w:val="0"/>
              <w:jc w:val="center"/>
            </w:pPr>
            <w:r>
              <w:rPr>
                <w:rFonts w:hint="eastAsia"/>
              </w:rPr>
              <w:t>业务指标</w:t>
            </w:r>
          </w:p>
        </w:tc>
        <w:tc>
          <w:tcPr>
            <w:tcW w:w="1417" w:type="dxa"/>
            <w:vAlign w:val="center"/>
          </w:tcPr>
          <w:p w14:paraId="572B395B">
            <w:pPr>
              <w:pStyle w:val="138"/>
              <w:widowControl w:val="0"/>
              <w:jc w:val="center"/>
            </w:pPr>
            <w:r>
              <w:rPr>
                <w:rFonts w:hint="eastAsia"/>
              </w:rPr>
              <w:t>应用系统</w:t>
            </w:r>
          </w:p>
        </w:tc>
        <w:tc>
          <w:tcPr>
            <w:tcW w:w="1560" w:type="dxa"/>
            <w:vAlign w:val="center"/>
          </w:tcPr>
          <w:p w14:paraId="3B28E61A">
            <w:pPr>
              <w:pStyle w:val="138"/>
              <w:widowControl w:val="0"/>
              <w:jc w:val="center"/>
            </w:pPr>
            <w:r>
              <w:rPr>
                <w:rFonts w:hint="eastAsia"/>
              </w:rPr>
              <w:t>产出指标</w:t>
            </w:r>
          </w:p>
        </w:tc>
        <w:tc>
          <w:tcPr>
            <w:tcW w:w="1417" w:type="dxa"/>
          </w:tcPr>
          <w:p w14:paraId="40EB56A3">
            <w:pPr>
              <w:pStyle w:val="138"/>
              <w:widowControl w:val="0"/>
              <w:jc w:val="center"/>
            </w:pPr>
            <w:r>
              <w:rPr>
                <w:rFonts w:hint="eastAsia"/>
              </w:rPr>
              <w:t>热线改造</w:t>
            </w:r>
          </w:p>
        </w:tc>
        <w:tc>
          <w:tcPr>
            <w:tcW w:w="1930" w:type="dxa"/>
            <w:vAlign w:val="center"/>
          </w:tcPr>
          <w:p w14:paraId="4D94DDEA">
            <w:pPr>
              <w:pStyle w:val="138"/>
              <w:widowControl w:val="0"/>
              <w:jc w:val="center"/>
            </w:pPr>
            <w:r>
              <w:rPr>
                <w:rFonts w:hint="eastAsia"/>
              </w:rPr>
              <w:t>完成热线功能改造</w:t>
            </w:r>
          </w:p>
        </w:tc>
      </w:tr>
      <w:tr w14:paraId="372D8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1982" w:type="dxa"/>
            <w:gridSpan w:val="2"/>
            <w:shd w:val="clear" w:color="auto" w:fill="D8D8D8" w:themeFill="background1" w:themeFillShade="D9"/>
            <w:vAlign w:val="center"/>
          </w:tcPr>
          <w:p w14:paraId="76B9C858">
            <w:pPr>
              <w:pStyle w:val="138"/>
              <w:widowControl w:val="0"/>
              <w:jc w:val="center"/>
              <w:rPr>
                <w:rFonts w:eastAsia="等线" w:cs="Times New Roman"/>
                <w:b/>
                <w:bCs/>
              </w:rPr>
            </w:pPr>
            <w:r>
              <w:rPr>
                <w:rFonts w:hint="eastAsia"/>
                <w:b/>
                <w:bCs/>
              </w:rPr>
              <w:t>技术目标</w:t>
            </w:r>
          </w:p>
        </w:tc>
        <w:tc>
          <w:tcPr>
            <w:tcW w:w="1417" w:type="dxa"/>
            <w:shd w:val="clear" w:color="auto" w:fill="D8D8D8" w:themeFill="background1" w:themeFillShade="D9"/>
            <w:vAlign w:val="center"/>
          </w:tcPr>
          <w:p w14:paraId="325E1FCA">
            <w:pPr>
              <w:pStyle w:val="138"/>
              <w:widowControl w:val="0"/>
              <w:jc w:val="center"/>
              <w:rPr>
                <w:b/>
                <w:bCs/>
              </w:rPr>
            </w:pPr>
          </w:p>
        </w:tc>
        <w:tc>
          <w:tcPr>
            <w:tcW w:w="1560" w:type="dxa"/>
            <w:shd w:val="clear" w:color="auto" w:fill="D8D8D8" w:themeFill="background1" w:themeFillShade="D9"/>
            <w:vAlign w:val="center"/>
          </w:tcPr>
          <w:p w14:paraId="16FF5357">
            <w:pPr>
              <w:pStyle w:val="138"/>
              <w:widowControl w:val="0"/>
              <w:jc w:val="center"/>
              <w:rPr>
                <w:b/>
                <w:bCs/>
              </w:rPr>
            </w:pPr>
          </w:p>
        </w:tc>
        <w:tc>
          <w:tcPr>
            <w:tcW w:w="1417" w:type="dxa"/>
            <w:shd w:val="clear" w:color="auto" w:fill="D8D8D8" w:themeFill="background1" w:themeFillShade="D9"/>
          </w:tcPr>
          <w:p w14:paraId="58F3BDB6">
            <w:pPr>
              <w:pStyle w:val="138"/>
              <w:widowControl w:val="0"/>
              <w:jc w:val="center"/>
              <w:rPr>
                <w:b/>
                <w:bCs/>
              </w:rPr>
            </w:pPr>
          </w:p>
        </w:tc>
        <w:tc>
          <w:tcPr>
            <w:tcW w:w="1930" w:type="dxa"/>
            <w:shd w:val="clear" w:color="auto" w:fill="D8D8D8" w:themeFill="background1" w:themeFillShade="D9"/>
            <w:vAlign w:val="center"/>
          </w:tcPr>
          <w:p w14:paraId="2019C265">
            <w:pPr>
              <w:pStyle w:val="138"/>
              <w:widowControl w:val="0"/>
              <w:jc w:val="center"/>
              <w:rPr>
                <w:b/>
                <w:bCs/>
              </w:rPr>
            </w:pPr>
          </w:p>
        </w:tc>
      </w:tr>
      <w:tr w14:paraId="6C169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shd w:val="clear" w:color="auto" w:fill="D8D8D8" w:themeFill="background1" w:themeFillShade="D9"/>
            <w:vAlign w:val="center"/>
          </w:tcPr>
          <w:p w14:paraId="53C93B41">
            <w:pPr>
              <w:pStyle w:val="138"/>
              <w:widowControl w:val="0"/>
              <w:jc w:val="center"/>
              <w:rPr>
                <w:b/>
                <w:bCs/>
              </w:rPr>
            </w:pPr>
            <w:r>
              <w:rPr>
                <w:rFonts w:hint="eastAsia"/>
                <w:b/>
                <w:bCs/>
              </w:rPr>
              <w:t>序号</w:t>
            </w:r>
          </w:p>
        </w:tc>
        <w:tc>
          <w:tcPr>
            <w:tcW w:w="1201" w:type="dxa"/>
            <w:shd w:val="clear" w:color="auto" w:fill="D8D8D8" w:themeFill="background1" w:themeFillShade="D9"/>
            <w:vAlign w:val="center"/>
          </w:tcPr>
          <w:p w14:paraId="640C82F3">
            <w:pPr>
              <w:pStyle w:val="138"/>
              <w:widowControl w:val="0"/>
              <w:jc w:val="center"/>
              <w:rPr>
                <w:b/>
                <w:bCs/>
              </w:rPr>
            </w:pPr>
            <w:r>
              <w:rPr>
                <w:rFonts w:hint="eastAsia"/>
                <w:b/>
                <w:bCs/>
              </w:rPr>
              <w:t>一级指标</w:t>
            </w:r>
          </w:p>
        </w:tc>
        <w:tc>
          <w:tcPr>
            <w:tcW w:w="1417" w:type="dxa"/>
            <w:shd w:val="clear" w:color="auto" w:fill="D8D8D8" w:themeFill="background1" w:themeFillShade="D9"/>
            <w:vAlign w:val="center"/>
          </w:tcPr>
          <w:p w14:paraId="3D1F3B1A">
            <w:pPr>
              <w:pStyle w:val="138"/>
              <w:widowControl w:val="0"/>
              <w:jc w:val="center"/>
              <w:rPr>
                <w:b/>
                <w:bCs/>
              </w:rPr>
            </w:pPr>
            <w:r>
              <w:rPr>
                <w:rFonts w:hint="eastAsia"/>
                <w:b/>
                <w:bCs/>
              </w:rPr>
              <w:t>二级指标</w:t>
            </w:r>
          </w:p>
        </w:tc>
        <w:tc>
          <w:tcPr>
            <w:tcW w:w="1560" w:type="dxa"/>
            <w:shd w:val="clear" w:color="auto" w:fill="D8D8D8" w:themeFill="background1" w:themeFillShade="D9"/>
            <w:vAlign w:val="center"/>
          </w:tcPr>
          <w:p w14:paraId="01C6FF1C">
            <w:pPr>
              <w:pStyle w:val="138"/>
              <w:widowControl w:val="0"/>
              <w:jc w:val="center"/>
              <w:rPr>
                <w:b/>
                <w:bCs/>
              </w:rPr>
            </w:pPr>
            <w:r>
              <w:rPr>
                <w:rFonts w:hint="eastAsia"/>
                <w:b/>
                <w:bCs/>
              </w:rPr>
              <w:t>三级指标</w:t>
            </w:r>
          </w:p>
        </w:tc>
        <w:tc>
          <w:tcPr>
            <w:tcW w:w="1417" w:type="dxa"/>
            <w:shd w:val="clear" w:color="auto" w:fill="D8D8D8" w:themeFill="background1" w:themeFillShade="D9"/>
          </w:tcPr>
          <w:p w14:paraId="31F81AC2">
            <w:pPr>
              <w:pStyle w:val="138"/>
              <w:widowControl w:val="0"/>
              <w:jc w:val="center"/>
              <w:rPr>
                <w:b/>
                <w:bCs/>
              </w:rPr>
            </w:pPr>
            <w:r>
              <w:rPr>
                <w:rFonts w:hint="eastAsia"/>
                <w:b/>
                <w:bCs/>
              </w:rPr>
              <w:t>四级指标</w:t>
            </w:r>
          </w:p>
        </w:tc>
        <w:tc>
          <w:tcPr>
            <w:tcW w:w="1930" w:type="dxa"/>
            <w:shd w:val="clear" w:color="auto" w:fill="D8D8D8" w:themeFill="background1" w:themeFillShade="D9"/>
            <w:vAlign w:val="center"/>
          </w:tcPr>
          <w:p w14:paraId="0660728F">
            <w:pPr>
              <w:pStyle w:val="138"/>
              <w:widowControl w:val="0"/>
              <w:jc w:val="center"/>
              <w:rPr>
                <w:b/>
                <w:bCs/>
              </w:rPr>
            </w:pPr>
            <w:r>
              <w:rPr>
                <w:rFonts w:hint="eastAsia"/>
                <w:b/>
                <w:bCs/>
              </w:rPr>
              <w:t>指标值</w:t>
            </w:r>
          </w:p>
        </w:tc>
      </w:tr>
      <w:tr w14:paraId="1044F8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0E75F9EA">
            <w:pPr>
              <w:pStyle w:val="138"/>
              <w:widowControl w:val="0"/>
              <w:jc w:val="center"/>
            </w:pPr>
            <w:r>
              <w:rPr>
                <w:rFonts w:eastAsia="等线" w:cs="Times New Roman"/>
              </w:rPr>
              <w:t>1</w:t>
            </w:r>
          </w:p>
        </w:tc>
        <w:tc>
          <w:tcPr>
            <w:tcW w:w="1201" w:type="dxa"/>
            <w:vMerge w:val="restart"/>
            <w:vAlign w:val="center"/>
          </w:tcPr>
          <w:p w14:paraId="205AAD41">
            <w:pPr>
              <w:pStyle w:val="138"/>
              <w:widowControl w:val="0"/>
              <w:jc w:val="center"/>
            </w:pPr>
            <w:r>
              <w:rPr>
                <w:rFonts w:hint="eastAsia"/>
              </w:rPr>
              <w:t>通用指标</w:t>
            </w:r>
          </w:p>
        </w:tc>
        <w:tc>
          <w:tcPr>
            <w:tcW w:w="1417" w:type="dxa"/>
            <w:vMerge w:val="restart"/>
            <w:vAlign w:val="center"/>
          </w:tcPr>
          <w:p w14:paraId="3411174F">
            <w:pPr>
              <w:pStyle w:val="138"/>
              <w:widowControl w:val="0"/>
              <w:jc w:val="center"/>
            </w:pPr>
            <w:r>
              <w:rPr>
                <w:rFonts w:hint="eastAsia"/>
              </w:rPr>
              <w:t>产出指标</w:t>
            </w:r>
          </w:p>
        </w:tc>
        <w:tc>
          <w:tcPr>
            <w:tcW w:w="1560" w:type="dxa"/>
            <w:vAlign w:val="center"/>
          </w:tcPr>
          <w:p w14:paraId="1B04BEC1">
            <w:pPr>
              <w:pStyle w:val="138"/>
              <w:widowControl w:val="0"/>
              <w:jc w:val="center"/>
            </w:pPr>
            <w:r>
              <w:rPr>
                <w:rFonts w:hint="eastAsia"/>
              </w:rPr>
              <w:t>产出数量</w:t>
            </w:r>
          </w:p>
        </w:tc>
        <w:tc>
          <w:tcPr>
            <w:tcW w:w="1417" w:type="dxa"/>
          </w:tcPr>
          <w:p w14:paraId="4A1C9E8D">
            <w:pPr>
              <w:pStyle w:val="138"/>
              <w:jc w:val="center"/>
            </w:pPr>
            <w:r>
              <w:rPr>
                <w:rFonts w:hint="eastAsia"/>
              </w:rPr>
              <w:t>软件开发完成</w:t>
            </w:r>
          </w:p>
          <w:p w14:paraId="628836FE">
            <w:pPr>
              <w:pStyle w:val="138"/>
              <w:widowControl w:val="0"/>
              <w:jc w:val="center"/>
            </w:pPr>
            <w:r>
              <w:rPr>
                <w:rFonts w:hint="eastAsia"/>
              </w:rPr>
              <w:t>率</w:t>
            </w:r>
          </w:p>
        </w:tc>
        <w:tc>
          <w:tcPr>
            <w:tcW w:w="1930" w:type="dxa"/>
            <w:vAlign w:val="center"/>
          </w:tcPr>
          <w:p w14:paraId="098369C9">
            <w:pPr>
              <w:pStyle w:val="138"/>
              <w:widowControl w:val="0"/>
              <w:jc w:val="center"/>
            </w:pPr>
            <w:r>
              <w:rPr>
                <w:rFonts w:hint="eastAsia"/>
              </w:rPr>
              <w:t>100%</w:t>
            </w:r>
          </w:p>
        </w:tc>
      </w:tr>
      <w:tr w14:paraId="6C5F6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2BD89919">
            <w:pPr>
              <w:pStyle w:val="138"/>
              <w:widowControl w:val="0"/>
              <w:jc w:val="center"/>
              <w:rPr>
                <w:rFonts w:eastAsia="等线" w:cs="Times New Roman"/>
              </w:rPr>
            </w:pPr>
            <w:r>
              <w:rPr>
                <w:rFonts w:hint="eastAsia" w:eastAsia="等线" w:cs="Times New Roman"/>
              </w:rPr>
              <w:t>2</w:t>
            </w:r>
          </w:p>
        </w:tc>
        <w:tc>
          <w:tcPr>
            <w:tcW w:w="1201" w:type="dxa"/>
            <w:vMerge w:val="continue"/>
            <w:vAlign w:val="center"/>
          </w:tcPr>
          <w:p w14:paraId="5D6BA49F">
            <w:pPr>
              <w:pStyle w:val="138"/>
              <w:widowControl w:val="0"/>
              <w:jc w:val="center"/>
            </w:pPr>
          </w:p>
        </w:tc>
        <w:tc>
          <w:tcPr>
            <w:tcW w:w="1417" w:type="dxa"/>
            <w:vMerge w:val="continue"/>
            <w:vAlign w:val="center"/>
          </w:tcPr>
          <w:p w14:paraId="61D125A3">
            <w:pPr>
              <w:pStyle w:val="138"/>
              <w:widowControl w:val="0"/>
              <w:jc w:val="center"/>
            </w:pPr>
          </w:p>
        </w:tc>
        <w:tc>
          <w:tcPr>
            <w:tcW w:w="1560" w:type="dxa"/>
            <w:vMerge w:val="restart"/>
            <w:vAlign w:val="center"/>
          </w:tcPr>
          <w:p w14:paraId="57BB14F2">
            <w:pPr>
              <w:pStyle w:val="138"/>
              <w:widowControl w:val="0"/>
              <w:jc w:val="center"/>
            </w:pPr>
            <w:r>
              <w:rPr>
                <w:rFonts w:hint="eastAsia"/>
              </w:rPr>
              <w:t>产出质量</w:t>
            </w:r>
          </w:p>
        </w:tc>
        <w:tc>
          <w:tcPr>
            <w:tcW w:w="1417" w:type="dxa"/>
          </w:tcPr>
          <w:p w14:paraId="19209129">
            <w:pPr>
              <w:pStyle w:val="138"/>
              <w:jc w:val="center"/>
            </w:pPr>
            <w:r>
              <w:rPr>
                <w:rFonts w:hint="eastAsia"/>
              </w:rPr>
              <w:t>系统可靠性</w:t>
            </w:r>
          </w:p>
        </w:tc>
        <w:tc>
          <w:tcPr>
            <w:tcW w:w="1930" w:type="dxa"/>
            <w:vAlign w:val="center"/>
          </w:tcPr>
          <w:p w14:paraId="1ED4AEEC">
            <w:pPr>
              <w:pStyle w:val="138"/>
              <w:widowControl w:val="0"/>
              <w:jc w:val="center"/>
            </w:pPr>
            <w:r>
              <w:rPr>
                <w:rFonts w:hint="eastAsia"/>
              </w:rPr>
              <w:t>99%</w:t>
            </w:r>
          </w:p>
        </w:tc>
      </w:tr>
      <w:tr w14:paraId="16A571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2D7F7536">
            <w:pPr>
              <w:pStyle w:val="138"/>
              <w:widowControl w:val="0"/>
              <w:jc w:val="center"/>
              <w:rPr>
                <w:rFonts w:eastAsia="等线" w:cs="Times New Roman"/>
              </w:rPr>
            </w:pPr>
            <w:r>
              <w:rPr>
                <w:rFonts w:hint="eastAsia" w:eastAsia="等线" w:cs="Times New Roman"/>
              </w:rPr>
              <w:t>3</w:t>
            </w:r>
          </w:p>
        </w:tc>
        <w:tc>
          <w:tcPr>
            <w:tcW w:w="1201" w:type="dxa"/>
            <w:vMerge w:val="continue"/>
            <w:vAlign w:val="center"/>
          </w:tcPr>
          <w:p w14:paraId="66A35296">
            <w:pPr>
              <w:pStyle w:val="138"/>
              <w:widowControl w:val="0"/>
              <w:jc w:val="center"/>
            </w:pPr>
          </w:p>
        </w:tc>
        <w:tc>
          <w:tcPr>
            <w:tcW w:w="1417" w:type="dxa"/>
            <w:vMerge w:val="continue"/>
            <w:vAlign w:val="center"/>
          </w:tcPr>
          <w:p w14:paraId="60BA1BF8">
            <w:pPr>
              <w:pStyle w:val="138"/>
              <w:widowControl w:val="0"/>
              <w:jc w:val="center"/>
            </w:pPr>
          </w:p>
        </w:tc>
        <w:tc>
          <w:tcPr>
            <w:tcW w:w="1560" w:type="dxa"/>
            <w:vMerge w:val="continue"/>
            <w:vAlign w:val="center"/>
          </w:tcPr>
          <w:p w14:paraId="62F74D1C">
            <w:pPr>
              <w:pStyle w:val="138"/>
              <w:widowControl w:val="0"/>
              <w:jc w:val="center"/>
            </w:pPr>
          </w:p>
        </w:tc>
        <w:tc>
          <w:tcPr>
            <w:tcW w:w="1417" w:type="dxa"/>
          </w:tcPr>
          <w:p w14:paraId="0E7B7FCA">
            <w:pPr>
              <w:pStyle w:val="138"/>
              <w:jc w:val="center"/>
            </w:pPr>
            <w:r>
              <w:rPr>
                <w:rFonts w:hint="eastAsia"/>
              </w:rPr>
              <w:t>软件测试达标</w:t>
            </w:r>
          </w:p>
        </w:tc>
        <w:tc>
          <w:tcPr>
            <w:tcW w:w="1930" w:type="dxa"/>
            <w:vAlign w:val="center"/>
          </w:tcPr>
          <w:p w14:paraId="79FF08EE">
            <w:pPr>
              <w:pStyle w:val="138"/>
              <w:widowControl w:val="0"/>
              <w:jc w:val="center"/>
            </w:pPr>
            <w:r>
              <w:rPr>
                <w:rFonts w:hint="eastAsia"/>
              </w:rPr>
              <w:t>达标</w:t>
            </w:r>
          </w:p>
        </w:tc>
      </w:tr>
      <w:tr w14:paraId="74BD91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0654F862">
            <w:pPr>
              <w:pStyle w:val="138"/>
              <w:widowControl w:val="0"/>
              <w:jc w:val="center"/>
              <w:rPr>
                <w:rFonts w:eastAsia="等线" w:cs="Times New Roman"/>
              </w:rPr>
            </w:pPr>
            <w:r>
              <w:rPr>
                <w:rFonts w:hint="eastAsia" w:eastAsia="等线" w:cs="Times New Roman"/>
              </w:rPr>
              <w:t>4</w:t>
            </w:r>
          </w:p>
        </w:tc>
        <w:tc>
          <w:tcPr>
            <w:tcW w:w="1201" w:type="dxa"/>
            <w:vMerge w:val="continue"/>
            <w:vAlign w:val="center"/>
          </w:tcPr>
          <w:p w14:paraId="014152A8">
            <w:pPr>
              <w:pStyle w:val="138"/>
              <w:widowControl w:val="0"/>
              <w:jc w:val="center"/>
            </w:pPr>
          </w:p>
        </w:tc>
        <w:tc>
          <w:tcPr>
            <w:tcW w:w="1417" w:type="dxa"/>
            <w:vMerge w:val="continue"/>
            <w:vAlign w:val="center"/>
          </w:tcPr>
          <w:p w14:paraId="6E2B02C6">
            <w:pPr>
              <w:pStyle w:val="138"/>
              <w:widowControl w:val="0"/>
              <w:jc w:val="center"/>
            </w:pPr>
          </w:p>
        </w:tc>
        <w:tc>
          <w:tcPr>
            <w:tcW w:w="1560" w:type="dxa"/>
            <w:vMerge w:val="continue"/>
            <w:vAlign w:val="center"/>
          </w:tcPr>
          <w:p w14:paraId="4DDB200A">
            <w:pPr>
              <w:pStyle w:val="138"/>
              <w:widowControl w:val="0"/>
              <w:jc w:val="center"/>
            </w:pPr>
          </w:p>
        </w:tc>
        <w:tc>
          <w:tcPr>
            <w:tcW w:w="1417" w:type="dxa"/>
          </w:tcPr>
          <w:p w14:paraId="2C8A1321">
            <w:pPr>
              <w:pStyle w:val="138"/>
              <w:jc w:val="center"/>
            </w:pPr>
            <w:r>
              <w:rPr>
                <w:rFonts w:hint="eastAsia"/>
              </w:rPr>
              <w:t>密码测试达标</w:t>
            </w:r>
          </w:p>
        </w:tc>
        <w:tc>
          <w:tcPr>
            <w:tcW w:w="1930" w:type="dxa"/>
            <w:vAlign w:val="center"/>
          </w:tcPr>
          <w:p w14:paraId="223071B5">
            <w:pPr>
              <w:pStyle w:val="138"/>
              <w:widowControl w:val="0"/>
              <w:jc w:val="center"/>
            </w:pPr>
            <w:r>
              <w:rPr>
                <w:rFonts w:hint="eastAsia"/>
              </w:rPr>
              <w:t>达标</w:t>
            </w:r>
          </w:p>
        </w:tc>
      </w:tr>
      <w:tr w14:paraId="3DD015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8" w:hRule="atLeast"/>
          <w:jc w:val="center"/>
        </w:trPr>
        <w:tc>
          <w:tcPr>
            <w:tcW w:w="781" w:type="dxa"/>
            <w:vAlign w:val="center"/>
          </w:tcPr>
          <w:p w14:paraId="61664E9F">
            <w:pPr>
              <w:pStyle w:val="138"/>
              <w:widowControl w:val="0"/>
              <w:jc w:val="center"/>
              <w:rPr>
                <w:rFonts w:eastAsia="等线" w:cs="Times New Roman"/>
              </w:rPr>
            </w:pPr>
            <w:r>
              <w:rPr>
                <w:rFonts w:hint="eastAsia" w:eastAsia="等线" w:cs="Times New Roman"/>
              </w:rPr>
              <w:t>5</w:t>
            </w:r>
          </w:p>
        </w:tc>
        <w:tc>
          <w:tcPr>
            <w:tcW w:w="1201" w:type="dxa"/>
            <w:vMerge w:val="continue"/>
            <w:vAlign w:val="center"/>
          </w:tcPr>
          <w:p w14:paraId="7EB97580">
            <w:pPr>
              <w:pStyle w:val="138"/>
              <w:widowControl w:val="0"/>
              <w:jc w:val="center"/>
            </w:pPr>
          </w:p>
        </w:tc>
        <w:tc>
          <w:tcPr>
            <w:tcW w:w="1417" w:type="dxa"/>
            <w:vMerge w:val="continue"/>
            <w:vAlign w:val="center"/>
          </w:tcPr>
          <w:p w14:paraId="537A609D">
            <w:pPr>
              <w:pStyle w:val="138"/>
              <w:widowControl w:val="0"/>
              <w:jc w:val="center"/>
            </w:pPr>
          </w:p>
        </w:tc>
        <w:tc>
          <w:tcPr>
            <w:tcW w:w="1560" w:type="dxa"/>
            <w:vMerge w:val="continue"/>
            <w:vAlign w:val="center"/>
          </w:tcPr>
          <w:p w14:paraId="7F255D7B">
            <w:pPr>
              <w:pStyle w:val="138"/>
              <w:widowControl w:val="0"/>
              <w:jc w:val="center"/>
            </w:pPr>
          </w:p>
        </w:tc>
        <w:tc>
          <w:tcPr>
            <w:tcW w:w="1417" w:type="dxa"/>
          </w:tcPr>
          <w:p w14:paraId="1AD0CAEB">
            <w:pPr>
              <w:pStyle w:val="138"/>
              <w:jc w:val="center"/>
            </w:pPr>
            <w:r>
              <w:rPr>
                <w:rFonts w:hint="eastAsia"/>
              </w:rPr>
              <w:t>安全测试达标</w:t>
            </w:r>
          </w:p>
        </w:tc>
        <w:tc>
          <w:tcPr>
            <w:tcW w:w="1930" w:type="dxa"/>
            <w:vAlign w:val="center"/>
          </w:tcPr>
          <w:p w14:paraId="200307A3">
            <w:pPr>
              <w:pStyle w:val="138"/>
              <w:widowControl w:val="0"/>
              <w:jc w:val="center"/>
            </w:pPr>
            <w:r>
              <w:rPr>
                <w:rFonts w:hint="eastAsia"/>
              </w:rPr>
              <w:t>达标</w:t>
            </w:r>
          </w:p>
        </w:tc>
      </w:tr>
      <w:bookmarkEnd w:id="12"/>
    </w:tbl>
    <w:p w14:paraId="37C6FB48">
      <w:pPr>
        <w:pStyle w:val="2"/>
      </w:pPr>
    </w:p>
    <w:p w14:paraId="6093A635">
      <w:pPr>
        <w:pStyle w:val="3"/>
        <w:rPr>
          <w:rFonts w:hint="eastAsia"/>
        </w:rPr>
      </w:pPr>
      <w:bookmarkStart w:id="13" w:name="_Toc47536676"/>
      <w:bookmarkEnd w:id="13"/>
      <w:bookmarkStart w:id="14" w:name="_Toc47537166"/>
      <w:bookmarkEnd w:id="14"/>
      <w:bookmarkStart w:id="15" w:name="_Toc47539102"/>
      <w:bookmarkEnd w:id="15"/>
      <w:bookmarkStart w:id="16" w:name="_Toc47533288"/>
      <w:bookmarkEnd w:id="16"/>
      <w:bookmarkStart w:id="17" w:name="_Toc47536304"/>
      <w:bookmarkEnd w:id="17"/>
      <w:bookmarkStart w:id="18" w:name="_Toc47532923"/>
      <w:bookmarkEnd w:id="18"/>
      <w:r>
        <w:rPr>
          <w:rFonts w:hint="eastAsia"/>
        </w:rPr>
        <w:t>项目建设内容</w:t>
      </w:r>
    </w:p>
    <w:p w14:paraId="5AD54A4A">
      <w:pPr>
        <w:spacing w:line="560" w:lineRule="exact"/>
        <w:rPr>
          <w:rFonts w:hint="eastAsia"/>
        </w:rPr>
      </w:pPr>
      <w:r>
        <w:rPr>
          <w:rFonts w:hint="eastAsia"/>
        </w:rPr>
        <w:t>本项目系统设计要基于全市的城市智理时空一体化系统、市一体化办公平台等共有能力来设计总体框架。建设内容主要分为三部分。</w:t>
      </w:r>
    </w:p>
    <w:p w14:paraId="119D34E4">
      <w:pPr>
        <w:spacing w:line="560" w:lineRule="exact"/>
        <w:rPr>
          <w:rFonts w:hint="eastAsia"/>
        </w:rPr>
      </w:pPr>
      <w:r>
        <w:rPr>
          <w:rFonts w:hint="eastAsia"/>
        </w:rPr>
        <w:t>1、上海市水务局（上海市海洋局）“一网通办”政务服务综合应用平台升级改造</w:t>
      </w:r>
    </w:p>
    <w:p w14:paraId="5AE3D6FD">
      <w:pPr>
        <w:spacing w:line="560" w:lineRule="exact"/>
        <w:rPr>
          <w:rFonts w:hint="eastAsia"/>
        </w:rPr>
      </w:pPr>
      <w:r>
        <w:rPr>
          <w:rFonts w:hint="eastAsia"/>
        </w:rPr>
        <w:t>（1）水务海洋行政许可事项升级改造：接入浦东新区的水务海洋行政许可事项，实现包括19个大项、26个小项、47个办理情形的行政许可事项的线上线下申请、线上线下受理、网上审核、审查决定和网上送达的全程网办，并完成电子签章签名集成、历史数据的归集、审批数据推送至浦东新区批后监管系统、电子档案归档和双公示数据推送等功能，完成长兴岛水利基建项目初步设计文件审批事项接入“一网通办”，并实现对水务海洋行政许可事项智慧好办3.0升级改造、“一业一证”专栏管理、填河审批“水票”管理等功能的实现。</w:t>
      </w:r>
    </w:p>
    <w:p w14:paraId="1BA3CD6C">
      <w:pPr>
        <w:spacing w:line="560" w:lineRule="exact"/>
        <w:rPr>
          <w:rFonts w:hint="eastAsia"/>
        </w:rPr>
      </w:pPr>
      <w:r>
        <w:rPr>
          <w:rFonts w:hint="eastAsia"/>
        </w:rPr>
        <w:t>（2）水务海洋公共服务事项新增接入：全面优化和升级水务海洋政务服务事项，打造高效、精准、便捷的智慧政务服务体系。新增接入水务海洋公共服务事项，实现水土保持设施验收报备管理、污水处理费减免管理、排水接入条件查询管理、供水服务事项扩展、水务海洋公共服务等事项全部以“模式三”全面接入市“一网通办”总门户，实现全程网办，实现信息的互联互通和数据的共享共用，构建一体化的智慧政务服务体系。</w:t>
      </w:r>
    </w:p>
    <w:p w14:paraId="3233E519">
      <w:pPr>
        <w:spacing w:line="560" w:lineRule="exact"/>
        <w:rPr>
          <w:rFonts w:hint="eastAsia"/>
        </w:rPr>
      </w:pPr>
      <w:r>
        <w:rPr>
          <w:rFonts w:hint="eastAsia"/>
        </w:rPr>
        <w:t>（3）水务海洋特色应用：建设“走进申海”海洋特色应用模块，整合多种海洋信息，进一步增强公众对海洋事业的参与感和体验感。升级“幸福河湖”应用，展示长三角示范区边界河道信息，促进区域协同治理。建立“好差评”精准评价机制，通过PAD端统一评价页面提升服务监督精准度。引入智能审批技术，实现排水承诺书自动生成和排水平面图智能审查，减少人工干预。加强新开业排水用户全生命周期管理，通过大数据分析、现场核查和执法联动确保排水合规性。</w:t>
      </w:r>
    </w:p>
    <w:p w14:paraId="68450AE8">
      <w:pPr>
        <w:spacing w:line="560" w:lineRule="exact"/>
        <w:rPr>
          <w:rFonts w:hint="eastAsia"/>
        </w:rPr>
      </w:pPr>
      <w:r>
        <w:rPr>
          <w:rFonts w:hint="eastAsia"/>
        </w:rPr>
        <w:t>（4）</w:t>
      </w:r>
      <w:bookmarkStart w:id="19" w:name="_Hlk198626214"/>
      <w:r>
        <w:rPr>
          <w:rFonts w:hint="eastAsia"/>
        </w:rPr>
        <w:t>新开业排水用户审计管理</w:t>
      </w:r>
      <w:bookmarkEnd w:id="19"/>
      <w:r>
        <w:rPr>
          <w:rFonts w:hint="eastAsia"/>
        </w:rPr>
        <w:t>：新增新开业排水用户办证管理功能，实现从大数据中心获取新开业排水用户信息，实时推送各区。通过信息推送与统计获取新开业企业信息并分区精准推送、开展统计分析；利用办证情况管理跟踪排水相关许可证办理进度，及时推送执法管理需求；借助审计预警与跟踪，依据走访状态采用绿、黄、红、蓝分级预警，实现执法结果全流程跟踪，以此形成高效、精准的信息管理闭环体系。</w:t>
      </w:r>
    </w:p>
    <w:p w14:paraId="28C8CB64">
      <w:pPr>
        <w:spacing w:line="560" w:lineRule="exact"/>
        <w:rPr>
          <w:rFonts w:hint="eastAsia"/>
        </w:rPr>
      </w:pPr>
      <w:r>
        <w:rPr>
          <w:rFonts w:hint="eastAsia"/>
        </w:rPr>
        <w:t>（5）排水现场核查管理：通过委托管理实现委托单位信息维护、委托单制发及绩效评价；借助计划与工单管理完成核查计划的制定、审核、调整，以及工单的派发与调整；依托核查执行功能支持信息填报、直播连线、数据审核与归档；运用统计与预警分析核查任务，跟踪整改进度并设置超期预警，各模块协同运作，构建起覆盖委托、计划、执行、统计全流程的高效管理体系，保障业务有序推进与风险可控 。</w:t>
      </w:r>
    </w:p>
    <w:p w14:paraId="0B431523">
      <w:pPr>
        <w:spacing w:line="560" w:lineRule="exact"/>
        <w:rPr>
          <w:rFonts w:hint="eastAsia"/>
        </w:rPr>
      </w:pPr>
      <w:r>
        <w:rPr>
          <w:rFonts w:hint="eastAsia"/>
        </w:rPr>
        <w:t>2、市民服务热线水务海洋业务管理平台升级改造</w:t>
      </w:r>
    </w:p>
    <w:p w14:paraId="7DDBFBDA">
      <w:pPr>
        <w:spacing w:line="560" w:lineRule="exact"/>
        <w:rPr>
          <w:rFonts w:hint="eastAsia"/>
        </w:rPr>
      </w:pPr>
      <w:r>
        <w:rPr>
          <w:rFonts w:hint="eastAsia"/>
        </w:rPr>
        <w:t>（1）</w:t>
      </w:r>
      <w:r>
        <w:rPr>
          <w:rFonts w:hint="eastAsia"/>
          <w:lang w:eastAsia="zh-CN"/>
        </w:rPr>
        <w:t>XC</w:t>
      </w:r>
      <w:r>
        <w:rPr>
          <w:rFonts w:hint="eastAsia"/>
        </w:rPr>
        <w:t>改造。基于政务云国产化环境的提供的操作系统、数据库、中间件，选择合适的开发语言、恰当的开发架构，完成市民服务热线水务海洋业务管理平台国产化适配改造开发工作，主要包括系统数据库适配改造、第三方插件适配改造、功能代码适配改造和历史数据迁移；本项目升级改造中涉及的新建、改造的系统功能、数据库、接口均须符合XC要求。</w:t>
      </w:r>
    </w:p>
    <w:p w14:paraId="6F4895F4">
      <w:pPr>
        <w:spacing w:line="560" w:lineRule="exact"/>
        <w:rPr>
          <w:rFonts w:hint="eastAsia"/>
        </w:rPr>
      </w:pPr>
      <w:r>
        <w:rPr>
          <w:rFonts w:hint="eastAsia"/>
        </w:rPr>
        <w:t>（2）热线业务图谱管理与应用：通过构建知识库与业务资产地图，基于海量数据实现精准信息研判，及时发现潜在问题；借助智能算法对投诉数据深度分析，有效预警重复投诉；同时通过挖掘业务规律与趋势，科学预测风险，为热线业务管理提供全面、高效的决策支持。</w:t>
      </w:r>
    </w:p>
    <w:p w14:paraId="3665783A">
      <w:pPr>
        <w:spacing w:line="560" w:lineRule="exact"/>
        <w:rPr>
          <w:rFonts w:hint="eastAsia"/>
        </w:rPr>
      </w:pPr>
      <w:r>
        <w:rPr>
          <w:rFonts w:hint="eastAsia"/>
        </w:rPr>
        <w:t>（3）热线轻应用升级改造：基于政务云随申办的架构，构建水务海洋热线工单办理的移动轻应用，实现工单查看、状态跟踪、信息采集、办理反馈等。</w:t>
      </w:r>
    </w:p>
    <w:p w14:paraId="223DA051">
      <w:pPr>
        <w:spacing w:line="560" w:lineRule="exact"/>
        <w:rPr>
          <w:rFonts w:hint="eastAsia"/>
        </w:rPr>
      </w:pPr>
      <w:r>
        <w:rPr>
          <w:rFonts w:hint="eastAsia"/>
        </w:rPr>
        <w:t>（4）热线工单流转升级改造：基于部分系统</w:t>
      </w:r>
      <w:r>
        <w:rPr>
          <w:rFonts w:hint="eastAsia"/>
          <w:lang w:eastAsia="zh-CN"/>
        </w:rPr>
        <w:t>XC</w:t>
      </w:r>
      <w:r>
        <w:rPr>
          <w:rFonts w:hint="eastAsia"/>
        </w:rPr>
        <w:t>改造的前提下，完成与各系统基于</w:t>
      </w:r>
      <w:r>
        <w:rPr>
          <w:rFonts w:hint="eastAsia"/>
          <w:lang w:eastAsia="zh-CN"/>
        </w:rPr>
        <w:t>XC</w:t>
      </w:r>
      <w:r>
        <w:rPr>
          <w:rFonts w:hint="eastAsia"/>
        </w:rPr>
        <w:t>改造条件下的接口重新升级适配。</w:t>
      </w:r>
    </w:p>
    <w:p w14:paraId="3B77C530">
      <w:pPr>
        <w:spacing w:line="560" w:lineRule="exact"/>
        <w:rPr>
          <w:rFonts w:hint="eastAsia"/>
        </w:rPr>
      </w:pPr>
      <w:r>
        <w:rPr>
          <w:rFonts w:hint="eastAsia"/>
        </w:rPr>
        <w:t>（5）智慧水务大屏升级改造：进一步优化GIS图层分布、延伸数据分析层级和维度，提升防汛防涝、高峰用水、进博会等重要时段相关诉求解决效能，推动水务热线智慧化管理水平不断提高。</w:t>
      </w:r>
    </w:p>
    <w:p w14:paraId="28A0F0B3">
      <w:pPr>
        <w:spacing w:line="560" w:lineRule="exact"/>
        <w:rPr>
          <w:rFonts w:hint="eastAsia"/>
        </w:rPr>
      </w:pPr>
      <w:r>
        <w:rPr>
          <w:rFonts w:hint="eastAsia"/>
        </w:rPr>
        <w:t>（6）密码改造：按照《中华人民共和国密码法》、《GB/T 39786-2021 信息安全技术信息系统密码应用基本要求》，利用国产加密技术，进行本项目信息系统密码应用改造，密码国产化改造主要包含：用户身份认证、用户访问控制信息签名验签、应用系统重要数据加解密、重要数据安全传输。</w:t>
      </w:r>
    </w:p>
    <w:p w14:paraId="698413A4">
      <w:pPr>
        <w:spacing w:line="560" w:lineRule="exact"/>
        <w:rPr>
          <w:rFonts w:hint="eastAsia"/>
        </w:rPr>
      </w:pPr>
      <w:bookmarkStart w:id="20" w:name="_Hlk202258437"/>
      <w:r>
        <w:rPr>
          <w:rFonts w:hint="eastAsia"/>
        </w:rPr>
        <w:t>3、上海市水务局电子政务系统升级改造</w:t>
      </w:r>
    </w:p>
    <w:p w14:paraId="30B79C7E">
      <w:pPr>
        <w:spacing w:line="560" w:lineRule="exact"/>
        <w:rPr>
          <w:rFonts w:hint="eastAsia"/>
        </w:rPr>
      </w:pPr>
      <w:r>
        <w:rPr>
          <w:rFonts w:hint="eastAsia"/>
        </w:rPr>
        <w:t>按照《中华人民共和国密码法》、《GB/T 39786-2021 信息安全技术信息系统密码应用基本要求》，利用国产加密技术，进行本项目信息系统密码应用改造，密码国产化改造主要包含：用户身份认证、用户访问控制信息签名验签、应用系统重要数据加解密、重要数据安全传输。</w:t>
      </w:r>
    </w:p>
    <w:bookmarkEnd w:id="20"/>
    <w:p w14:paraId="1C4B1EC5">
      <w:pPr>
        <w:pStyle w:val="4"/>
        <w:rPr>
          <w:rFonts w:hint="eastAsia"/>
        </w:rPr>
      </w:pPr>
      <w:r>
        <w:rPr>
          <w:rFonts w:hint="eastAsia"/>
        </w:rPr>
        <w:t>软件开发清单</w:t>
      </w:r>
    </w:p>
    <w:p w14:paraId="3FAE3512">
      <w:pPr>
        <w:pStyle w:val="5"/>
        <w:ind w:left="1135"/>
        <w:rPr>
          <w:rFonts w:hint="eastAsia"/>
        </w:rPr>
      </w:pPr>
      <w:r>
        <w:rPr>
          <w:rFonts w:hint="eastAsia"/>
        </w:rPr>
        <w:t>上海市水务局（上海市海洋局）“一网通办”政务服务综合应用平台升级改造</w:t>
      </w:r>
    </w:p>
    <w:tbl>
      <w:tblPr>
        <w:tblStyle w:val="35"/>
        <w:tblW w:w="5000" w:type="pct"/>
        <w:tblInd w:w="0" w:type="dxa"/>
        <w:tblLayout w:type="autofit"/>
        <w:tblCellMar>
          <w:top w:w="0" w:type="dxa"/>
          <w:left w:w="108" w:type="dxa"/>
          <w:bottom w:w="0" w:type="dxa"/>
          <w:right w:w="108" w:type="dxa"/>
        </w:tblCellMar>
      </w:tblPr>
      <w:tblGrid>
        <w:gridCol w:w="698"/>
        <w:gridCol w:w="3740"/>
        <w:gridCol w:w="4090"/>
      </w:tblGrid>
      <w:tr w14:paraId="0C17CE99">
        <w:tblPrEx>
          <w:tblCellMar>
            <w:top w:w="0" w:type="dxa"/>
            <w:left w:w="108" w:type="dxa"/>
            <w:bottom w:w="0" w:type="dxa"/>
            <w:right w:w="108" w:type="dxa"/>
          </w:tblCellMar>
        </w:tblPrEx>
        <w:trPr>
          <w:trHeight w:val="315" w:hRule="atLeast"/>
          <w:tblHeader/>
        </w:trPr>
        <w:tc>
          <w:tcPr>
            <w:tcW w:w="255" w:type="pct"/>
            <w:tcBorders>
              <w:top w:val="single" w:color="auto" w:sz="4" w:space="0"/>
              <w:left w:val="single" w:color="auto" w:sz="4" w:space="0"/>
              <w:bottom w:val="single" w:color="auto" w:sz="4" w:space="0"/>
              <w:right w:val="single" w:color="auto" w:sz="4" w:space="0"/>
            </w:tcBorders>
            <w:shd w:val="clear" w:color="000000" w:fill="F8CBAD"/>
            <w:noWrap/>
            <w:vAlign w:val="center"/>
          </w:tcPr>
          <w:p w14:paraId="15E1D726">
            <w:pPr>
              <w:widowControl/>
              <w:spacing w:line="240" w:lineRule="auto"/>
              <w:ind w:firstLine="0" w:firstLineChars="0"/>
              <w:jc w:val="center"/>
              <w:rPr>
                <w:rFonts w:hint="eastAsia" w:cs="宋体"/>
                <w:b/>
                <w:bCs/>
                <w:color w:val="000000"/>
                <w:kern w:val="0"/>
              </w:rPr>
            </w:pPr>
            <w:r>
              <w:rPr>
                <w:rFonts w:hint="eastAsia" w:cs="宋体"/>
                <w:b/>
                <w:bCs/>
                <w:color w:val="000000"/>
                <w:kern w:val="0"/>
              </w:rPr>
              <w:t>序号</w:t>
            </w:r>
          </w:p>
        </w:tc>
        <w:tc>
          <w:tcPr>
            <w:tcW w:w="2270" w:type="pct"/>
            <w:tcBorders>
              <w:top w:val="single" w:color="auto" w:sz="4" w:space="0"/>
              <w:left w:val="nil"/>
              <w:bottom w:val="single" w:color="auto" w:sz="4" w:space="0"/>
              <w:right w:val="single" w:color="auto" w:sz="4" w:space="0"/>
            </w:tcBorders>
            <w:shd w:val="clear" w:color="000000" w:fill="F8CBAD"/>
            <w:vAlign w:val="center"/>
          </w:tcPr>
          <w:p w14:paraId="00C4ACD3">
            <w:pPr>
              <w:widowControl/>
              <w:spacing w:line="240" w:lineRule="auto"/>
              <w:ind w:firstLine="0" w:firstLineChars="0"/>
              <w:jc w:val="center"/>
              <w:rPr>
                <w:rFonts w:hint="eastAsia" w:cs="宋体"/>
                <w:b/>
                <w:bCs/>
                <w:color w:val="000000"/>
                <w:kern w:val="0"/>
              </w:rPr>
            </w:pPr>
            <w:r>
              <w:rPr>
                <w:rFonts w:hint="eastAsia" w:cs="宋体"/>
                <w:b/>
                <w:bCs/>
                <w:color w:val="000000"/>
                <w:kern w:val="0"/>
              </w:rPr>
              <w:t>功能名称</w:t>
            </w:r>
          </w:p>
        </w:tc>
        <w:tc>
          <w:tcPr>
            <w:tcW w:w="2475" w:type="pct"/>
            <w:tcBorders>
              <w:top w:val="single" w:color="auto" w:sz="4" w:space="0"/>
              <w:left w:val="nil"/>
              <w:bottom w:val="single" w:color="auto" w:sz="4" w:space="0"/>
              <w:right w:val="single" w:color="auto" w:sz="4" w:space="0"/>
            </w:tcBorders>
            <w:shd w:val="clear" w:color="000000" w:fill="F8CBAD"/>
            <w:vAlign w:val="center"/>
          </w:tcPr>
          <w:p w14:paraId="0F572C9C">
            <w:pPr>
              <w:widowControl/>
              <w:spacing w:line="240" w:lineRule="auto"/>
              <w:ind w:firstLine="0" w:firstLineChars="0"/>
              <w:jc w:val="center"/>
              <w:rPr>
                <w:rFonts w:hint="eastAsia" w:cs="宋体"/>
                <w:b/>
                <w:bCs/>
                <w:color w:val="000000"/>
                <w:kern w:val="0"/>
              </w:rPr>
            </w:pPr>
            <w:r>
              <w:rPr>
                <w:rFonts w:hint="eastAsia" w:cs="宋体"/>
                <w:b/>
                <w:bCs/>
                <w:color w:val="000000"/>
                <w:kern w:val="0"/>
              </w:rPr>
              <w:t>功能描述</w:t>
            </w:r>
          </w:p>
        </w:tc>
      </w:tr>
      <w:tr w14:paraId="319E761D">
        <w:tblPrEx>
          <w:tblCellMar>
            <w:top w:w="0" w:type="dxa"/>
            <w:left w:w="108" w:type="dxa"/>
            <w:bottom w:w="0" w:type="dxa"/>
            <w:right w:w="108" w:type="dxa"/>
          </w:tblCellMar>
        </w:tblPrEx>
        <w:trPr>
          <w:trHeight w:val="810" w:hRule="atLeast"/>
        </w:trPr>
        <w:tc>
          <w:tcPr>
            <w:tcW w:w="255" w:type="pct"/>
            <w:tcBorders>
              <w:top w:val="nil"/>
              <w:left w:val="single" w:color="auto" w:sz="4" w:space="0"/>
              <w:bottom w:val="single" w:color="auto" w:sz="4" w:space="0"/>
              <w:right w:val="single" w:color="auto" w:sz="4" w:space="0"/>
            </w:tcBorders>
            <w:noWrap/>
            <w:vAlign w:val="center"/>
          </w:tcPr>
          <w:p w14:paraId="6FE68B5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2270" w:type="pct"/>
            <w:tcBorders>
              <w:top w:val="nil"/>
              <w:left w:val="nil"/>
              <w:bottom w:val="single" w:color="auto" w:sz="4" w:space="0"/>
              <w:right w:val="single" w:color="auto" w:sz="4" w:space="0"/>
            </w:tcBorders>
            <w:vAlign w:val="center"/>
          </w:tcPr>
          <w:p w14:paraId="4DEF2ED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水务海洋行政许可事项升级改造-浦东水务海洋许可事项接入-办件信息获取</w:t>
            </w:r>
          </w:p>
        </w:tc>
        <w:tc>
          <w:tcPr>
            <w:tcW w:w="2475" w:type="pct"/>
            <w:tcBorders>
              <w:top w:val="nil"/>
              <w:left w:val="nil"/>
              <w:bottom w:val="single" w:color="auto" w:sz="4" w:space="0"/>
              <w:right w:val="single" w:color="auto" w:sz="4" w:space="0"/>
            </w:tcBorders>
            <w:vAlign w:val="center"/>
          </w:tcPr>
          <w:p w14:paraId="70598D9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实现上海市水务海洋行政许可事项网办率100%，并按照标准化管理要求将办件信息、办件申请材料同步至上海市水务局、上海市海洋局“一网通办”审批与公共服务系统。</w:t>
            </w:r>
          </w:p>
        </w:tc>
      </w:tr>
      <w:tr w14:paraId="7A3E1E24">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0AA05A6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2270" w:type="pct"/>
            <w:tcBorders>
              <w:top w:val="nil"/>
              <w:left w:val="nil"/>
              <w:bottom w:val="single" w:color="auto" w:sz="4" w:space="0"/>
              <w:right w:val="single" w:color="auto" w:sz="4" w:space="0"/>
            </w:tcBorders>
            <w:vAlign w:val="center"/>
          </w:tcPr>
          <w:p w14:paraId="69C180A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水务海洋行政许可事项升级改造-浦东水务海洋许可事项接入-行政许可审批</w:t>
            </w:r>
          </w:p>
        </w:tc>
        <w:tc>
          <w:tcPr>
            <w:tcW w:w="2475" w:type="pct"/>
            <w:tcBorders>
              <w:top w:val="nil"/>
              <w:left w:val="nil"/>
              <w:bottom w:val="single" w:color="auto" w:sz="4" w:space="0"/>
              <w:right w:val="single" w:color="auto" w:sz="4" w:space="0"/>
            </w:tcBorders>
            <w:vAlign w:val="center"/>
          </w:tcPr>
          <w:p w14:paraId="0F79786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根据各事项的特点和实际审批节点需求，制定相应的办理流程，并通过信息化手段实现流程的自动化和规范化。</w:t>
            </w:r>
          </w:p>
        </w:tc>
      </w:tr>
      <w:tr w14:paraId="1C749941">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54658CC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2270" w:type="pct"/>
            <w:tcBorders>
              <w:top w:val="nil"/>
              <w:left w:val="nil"/>
              <w:bottom w:val="single" w:color="auto" w:sz="4" w:space="0"/>
              <w:right w:val="single" w:color="auto" w:sz="4" w:space="0"/>
            </w:tcBorders>
            <w:vAlign w:val="center"/>
          </w:tcPr>
          <w:p w14:paraId="747F616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水务海洋行政许可事项升级改造-浦东水务海洋许可事项接入-法律文书制发</w:t>
            </w:r>
          </w:p>
        </w:tc>
        <w:tc>
          <w:tcPr>
            <w:tcW w:w="2475" w:type="pct"/>
            <w:tcBorders>
              <w:top w:val="nil"/>
              <w:left w:val="nil"/>
              <w:bottom w:val="single" w:color="auto" w:sz="4" w:space="0"/>
              <w:right w:val="single" w:color="auto" w:sz="4" w:space="0"/>
            </w:tcBorders>
            <w:vAlign w:val="center"/>
          </w:tcPr>
          <w:p w14:paraId="6812AB0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实现事项办理过程中所有法律文书电子签章。</w:t>
            </w:r>
          </w:p>
        </w:tc>
      </w:tr>
      <w:tr w14:paraId="06183A82">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69E7C53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w:t>
            </w:r>
          </w:p>
        </w:tc>
        <w:tc>
          <w:tcPr>
            <w:tcW w:w="2270" w:type="pct"/>
            <w:tcBorders>
              <w:top w:val="nil"/>
              <w:left w:val="nil"/>
              <w:bottom w:val="single" w:color="auto" w:sz="4" w:space="0"/>
              <w:right w:val="single" w:color="auto" w:sz="4" w:space="0"/>
            </w:tcBorders>
            <w:vAlign w:val="center"/>
          </w:tcPr>
          <w:p w14:paraId="166F275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水务海洋行政许可事项升级改造-浦东水务海洋许可事项接入-电子证照制发</w:t>
            </w:r>
          </w:p>
        </w:tc>
        <w:tc>
          <w:tcPr>
            <w:tcW w:w="2475" w:type="pct"/>
            <w:tcBorders>
              <w:top w:val="nil"/>
              <w:left w:val="nil"/>
              <w:bottom w:val="single" w:color="auto" w:sz="4" w:space="0"/>
              <w:right w:val="single" w:color="auto" w:sz="4" w:space="0"/>
            </w:tcBorders>
            <w:vAlign w:val="center"/>
          </w:tcPr>
          <w:p w14:paraId="7858C29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系统支持电子证照的自动生成和发放。</w:t>
            </w:r>
          </w:p>
        </w:tc>
      </w:tr>
      <w:tr w14:paraId="6F22C795">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5E06D18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w:t>
            </w:r>
          </w:p>
        </w:tc>
        <w:tc>
          <w:tcPr>
            <w:tcW w:w="2270" w:type="pct"/>
            <w:tcBorders>
              <w:top w:val="nil"/>
              <w:left w:val="nil"/>
              <w:bottom w:val="single" w:color="auto" w:sz="4" w:space="0"/>
              <w:right w:val="single" w:color="auto" w:sz="4" w:space="0"/>
            </w:tcBorders>
            <w:vAlign w:val="center"/>
          </w:tcPr>
          <w:p w14:paraId="5015331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水务海洋行政许可事项升级改造-浦东水务海洋许可事项接入-浦东行政许可电子档案归档</w:t>
            </w:r>
          </w:p>
        </w:tc>
        <w:tc>
          <w:tcPr>
            <w:tcW w:w="2475" w:type="pct"/>
            <w:tcBorders>
              <w:top w:val="nil"/>
              <w:left w:val="nil"/>
              <w:bottom w:val="single" w:color="auto" w:sz="4" w:space="0"/>
              <w:right w:val="single" w:color="auto" w:sz="4" w:space="0"/>
            </w:tcBorders>
            <w:vAlign w:val="center"/>
          </w:tcPr>
          <w:p w14:paraId="6C84AAF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实现浦东新区水务海洋行政许可相关电子文档归集到浦东新区档案局。</w:t>
            </w:r>
          </w:p>
        </w:tc>
      </w:tr>
      <w:tr w14:paraId="51F9B78A">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74D8A1F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2270" w:type="pct"/>
            <w:tcBorders>
              <w:top w:val="nil"/>
              <w:left w:val="nil"/>
              <w:bottom w:val="single" w:color="auto" w:sz="4" w:space="0"/>
              <w:right w:val="single" w:color="auto" w:sz="4" w:space="0"/>
            </w:tcBorders>
            <w:vAlign w:val="center"/>
          </w:tcPr>
          <w:p w14:paraId="076F014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水务海洋行政许可事项升级改造-浦东水务海洋许可事项接入-与浦东综窗系统对接</w:t>
            </w:r>
          </w:p>
        </w:tc>
        <w:tc>
          <w:tcPr>
            <w:tcW w:w="2475" w:type="pct"/>
            <w:tcBorders>
              <w:top w:val="nil"/>
              <w:left w:val="nil"/>
              <w:bottom w:val="single" w:color="auto" w:sz="4" w:space="0"/>
              <w:right w:val="single" w:color="auto" w:sz="4" w:space="0"/>
            </w:tcBorders>
            <w:vAlign w:val="center"/>
          </w:tcPr>
          <w:p w14:paraId="3B966B2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实时接收浦东综窗系统推送的申报信息数据，包括申报信息、申报材料的信息，并根据审批结果同步至浦东综窗系统信息更新业务办理状态。</w:t>
            </w:r>
          </w:p>
        </w:tc>
      </w:tr>
      <w:tr w14:paraId="0A8C157B">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580255C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w:t>
            </w:r>
          </w:p>
        </w:tc>
        <w:tc>
          <w:tcPr>
            <w:tcW w:w="2270" w:type="pct"/>
            <w:tcBorders>
              <w:top w:val="nil"/>
              <w:left w:val="nil"/>
              <w:bottom w:val="single" w:color="auto" w:sz="4" w:space="0"/>
              <w:right w:val="single" w:color="auto" w:sz="4" w:space="0"/>
            </w:tcBorders>
            <w:vAlign w:val="center"/>
          </w:tcPr>
          <w:p w14:paraId="540AB1F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水务海洋行政许可事项升级改造-浦东水务海洋许可事项接入-双公示数据对接</w:t>
            </w:r>
          </w:p>
        </w:tc>
        <w:tc>
          <w:tcPr>
            <w:tcW w:w="2475" w:type="pct"/>
            <w:tcBorders>
              <w:top w:val="nil"/>
              <w:left w:val="nil"/>
              <w:bottom w:val="single" w:color="auto" w:sz="4" w:space="0"/>
              <w:right w:val="single" w:color="auto" w:sz="4" w:space="0"/>
            </w:tcBorders>
            <w:vAlign w:val="center"/>
          </w:tcPr>
          <w:p w14:paraId="4B09F1D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水务海洋行政许可事项办理结果统一推送至双公示平台，并对迟报、漏报、错报等情况进行实时监控与反馈，确保数据的准确性和及时性。</w:t>
            </w:r>
          </w:p>
        </w:tc>
      </w:tr>
      <w:tr w14:paraId="29050319">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481235F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w:t>
            </w:r>
          </w:p>
        </w:tc>
        <w:tc>
          <w:tcPr>
            <w:tcW w:w="2270" w:type="pct"/>
            <w:tcBorders>
              <w:top w:val="nil"/>
              <w:left w:val="nil"/>
              <w:bottom w:val="single" w:color="auto" w:sz="4" w:space="0"/>
              <w:right w:val="single" w:color="auto" w:sz="4" w:space="0"/>
            </w:tcBorders>
            <w:vAlign w:val="center"/>
          </w:tcPr>
          <w:p w14:paraId="0FFC258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水务海洋行政许可事项升级改造-浦东水务海洋许可事项接入-批后监管数据对接</w:t>
            </w:r>
          </w:p>
        </w:tc>
        <w:tc>
          <w:tcPr>
            <w:tcW w:w="2475" w:type="pct"/>
            <w:tcBorders>
              <w:top w:val="nil"/>
              <w:left w:val="nil"/>
              <w:bottom w:val="single" w:color="auto" w:sz="4" w:space="0"/>
              <w:right w:val="single" w:color="auto" w:sz="4" w:space="0"/>
            </w:tcBorders>
            <w:vAlign w:val="center"/>
          </w:tcPr>
          <w:p w14:paraId="2DC03C0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按照浦东新区生态环境局批后监管系统相关要求实时推送至浦东新区生态环境局批后监管系统。</w:t>
            </w:r>
          </w:p>
        </w:tc>
      </w:tr>
      <w:tr w14:paraId="326B1C1B">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5777858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w:t>
            </w:r>
          </w:p>
        </w:tc>
        <w:tc>
          <w:tcPr>
            <w:tcW w:w="2270" w:type="pct"/>
            <w:tcBorders>
              <w:top w:val="nil"/>
              <w:left w:val="nil"/>
              <w:bottom w:val="single" w:color="auto" w:sz="4" w:space="0"/>
              <w:right w:val="single" w:color="auto" w:sz="4" w:space="0"/>
            </w:tcBorders>
            <w:vAlign w:val="center"/>
          </w:tcPr>
          <w:p w14:paraId="333BF07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水务海洋行政许可事项升级改造-长兴岛许可事项接入</w:t>
            </w:r>
          </w:p>
        </w:tc>
        <w:tc>
          <w:tcPr>
            <w:tcW w:w="2475" w:type="pct"/>
            <w:tcBorders>
              <w:top w:val="nil"/>
              <w:left w:val="nil"/>
              <w:bottom w:val="single" w:color="auto" w:sz="4" w:space="0"/>
              <w:right w:val="single" w:color="auto" w:sz="4" w:space="0"/>
            </w:tcBorders>
            <w:vAlign w:val="center"/>
          </w:tcPr>
          <w:p w14:paraId="7089FA5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完成长兴岛行政许可事项按“模式二”方式接入上海市“一网通办”总门户。</w:t>
            </w:r>
          </w:p>
        </w:tc>
      </w:tr>
      <w:tr w14:paraId="2F24D987">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01E28B7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w:t>
            </w:r>
          </w:p>
        </w:tc>
        <w:tc>
          <w:tcPr>
            <w:tcW w:w="2270" w:type="pct"/>
            <w:tcBorders>
              <w:top w:val="nil"/>
              <w:left w:val="nil"/>
              <w:bottom w:val="single" w:color="auto" w:sz="4" w:space="0"/>
              <w:right w:val="single" w:color="auto" w:sz="4" w:space="0"/>
            </w:tcBorders>
            <w:vAlign w:val="center"/>
          </w:tcPr>
          <w:p w14:paraId="025B4C6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水务海洋行政许可事项升级改造-智慧好办3.0升级改造</w:t>
            </w:r>
          </w:p>
        </w:tc>
        <w:tc>
          <w:tcPr>
            <w:tcW w:w="2475" w:type="pct"/>
            <w:tcBorders>
              <w:top w:val="nil"/>
              <w:left w:val="nil"/>
              <w:bottom w:val="single" w:color="auto" w:sz="4" w:space="0"/>
              <w:right w:val="single" w:color="auto" w:sz="4" w:space="0"/>
            </w:tcBorders>
            <w:vAlign w:val="center"/>
          </w:tcPr>
          <w:p w14:paraId="3EFE52B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按照智慧好办3.0要求，实现6个高频事项的智慧好办改造</w:t>
            </w:r>
          </w:p>
        </w:tc>
      </w:tr>
      <w:tr w14:paraId="5F99ADC1">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3F6ADAD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w:t>
            </w:r>
          </w:p>
        </w:tc>
        <w:tc>
          <w:tcPr>
            <w:tcW w:w="2270" w:type="pct"/>
            <w:tcBorders>
              <w:top w:val="nil"/>
              <w:left w:val="nil"/>
              <w:bottom w:val="single" w:color="auto" w:sz="4" w:space="0"/>
              <w:right w:val="single" w:color="auto" w:sz="4" w:space="0"/>
            </w:tcBorders>
            <w:vAlign w:val="center"/>
          </w:tcPr>
          <w:p w14:paraId="33DEE8B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水务海洋行政许可事项升级改造-“一业一证”专栏管理</w:t>
            </w:r>
          </w:p>
        </w:tc>
        <w:tc>
          <w:tcPr>
            <w:tcW w:w="2475" w:type="pct"/>
            <w:tcBorders>
              <w:top w:val="nil"/>
              <w:left w:val="nil"/>
              <w:bottom w:val="single" w:color="auto" w:sz="4" w:space="0"/>
              <w:right w:val="single" w:color="auto" w:sz="4" w:space="0"/>
            </w:tcBorders>
            <w:vAlign w:val="center"/>
          </w:tcPr>
          <w:p w14:paraId="0126186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城镇污水排入排水管网许可涉及的餐饮、医疗、宾馆等“一业一证”相关业态接入上海市“一网通办”。</w:t>
            </w:r>
          </w:p>
        </w:tc>
      </w:tr>
      <w:tr w14:paraId="30EF83E9">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66133F4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w:t>
            </w:r>
          </w:p>
        </w:tc>
        <w:tc>
          <w:tcPr>
            <w:tcW w:w="2270" w:type="pct"/>
            <w:tcBorders>
              <w:top w:val="nil"/>
              <w:left w:val="nil"/>
              <w:bottom w:val="single" w:color="auto" w:sz="4" w:space="0"/>
              <w:right w:val="single" w:color="auto" w:sz="4" w:space="0"/>
            </w:tcBorders>
            <w:vAlign w:val="center"/>
          </w:tcPr>
          <w:p w14:paraId="79ED525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水务海洋行政许可事项升级改造-填河审批“水票”管理-填河审批“水票”借用信息获取</w:t>
            </w:r>
          </w:p>
        </w:tc>
        <w:tc>
          <w:tcPr>
            <w:tcW w:w="2475" w:type="pct"/>
            <w:tcBorders>
              <w:top w:val="nil"/>
              <w:left w:val="nil"/>
              <w:bottom w:val="single" w:color="auto" w:sz="4" w:space="0"/>
              <w:right w:val="single" w:color="auto" w:sz="4" w:space="0"/>
            </w:tcBorders>
            <w:vAlign w:val="center"/>
          </w:tcPr>
          <w:p w14:paraId="440F731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企业在上海市“一网通办”提交城市建设填堵水域、废除围堤审批（原填堵河道的审批）事项的申请。</w:t>
            </w:r>
          </w:p>
        </w:tc>
      </w:tr>
      <w:tr w14:paraId="247889ED">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3A19094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w:t>
            </w:r>
          </w:p>
        </w:tc>
        <w:tc>
          <w:tcPr>
            <w:tcW w:w="2270" w:type="pct"/>
            <w:tcBorders>
              <w:top w:val="nil"/>
              <w:left w:val="nil"/>
              <w:bottom w:val="single" w:color="auto" w:sz="4" w:space="0"/>
              <w:right w:val="single" w:color="auto" w:sz="4" w:space="0"/>
            </w:tcBorders>
            <w:vAlign w:val="center"/>
          </w:tcPr>
          <w:p w14:paraId="6570C97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水务海洋行政许可事项升级改造-填河审批“水票”管理-填河审批“水票”借用审核</w:t>
            </w:r>
          </w:p>
        </w:tc>
        <w:tc>
          <w:tcPr>
            <w:tcW w:w="2475" w:type="pct"/>
            <w:tcBorders>
              <w:top w:val="nil"/>
              <w:left w:val="nil"/>
              <w:bottom w:val="single" w:color="auto" w:sz="4" w:space="0"/>
              <w:right w:val="single" w:color="auto" w:sz="4" w:space="0"/>
            </w:tcBorders>
            <w:vAlign w:val="center"/>
          </w:tcPr>
          <w:p w14:paraId="7935165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并按照市、区两级“水票”借用审核流程实现填河审批“水票”借用线上审核功能。</w:t>
            </w:r>
          </w:p>
        </w:tc>
      </w:tr>
      <w:tr w14:paraId="15D969C0">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39D563C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w:t>
            </w:r>
          </w:p>
        </w:tc>
        <w:tc>
          <w:tcPr>
            <w:tcW w:w="2270" w:type="pct"/>
            <w:tcBorders>
              <w:top w:val="nil"/>
              <w:left w:val="nil"/>
              <w:bottom w:val="single" w:color="auto" w:sz="4" w:space="0"/>
              <w:right w:val="single" w:color="auto" w:sz="4" w:space="0"/>
            </w:tcBorders>
            <w:vAlign w:val="center"/>
          </w:tcPr>
          <w:p w14:paraId="0C15EB8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水务海洋行政许可事项升级改造-填河审批“水票”管理-填河审批“水票”归还审核</w:t>
            </w:r>
          </w:p>
        </w:tc>
        <w:tc>
          <w:tcPr>
            <w:tcW w:w="2475" w:type="pct"/>
            <w:tcBorders>
              <w:top w:val="nil"/>
              <w:left w:val="nil"/>
              <w:bottom w:val="single" w:color="auto" w:sz="4" w:space="0"/>
              <w:right w:val="single" w:color="auto" w:sz="4" w:space="0"/>
            </w:tcBorders>
            <w:vAlign w:val="center"/>
          </w:tcPr>
          <w:p w14:paraId="2A4BDD0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并按照市、区两级“水票”归还审核流程实现填河审批“水票”归还线上审核功能。</w:t>
            </w:r>
          </w:p>
        </w:tc>
      </w:tr>
      <w:tr w14:paraId="7EA5EE1A">
        <w:tblPrEx>
          <w:tblCellMar>
            <w:top w:w="0" w:type="dxa"/>
            <w:left w:w="108" w:type="dxa"/>
            <w:bottom w:w="0" w:type="dxa"/>
            <w:right w:w="108" w:type="dxa"/>
          </w:tblCellMar>
        </w:tblPrEx>
        <w:trPr>
          <w:trHeight w:val="810" w:hRule="atLeast"/>
        </w:trPr>
        <w:tc>
          <w:tcPr>
            <w:tcW w:w="255" w:type="pct"/>
            <w:tcBorders>
              <w:top w:val="nil"/>
              <w:left w:val="single" w:color="auto" w:sz="4" w:space="0"/>
              <w:bottom w:val="single" w:color="auto" w:sz="4" w:space="0"/>
              <w:right w:val="single" w:color="auto" w:sz="4" w:space="0"/>
            </w:tcBorders>
            <w:noWrap/>
            <w:vAlign w:val="center"/>
          </w:tcPr>
          <w:p w14:paraId="3DD838A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15</w:t>
            </w:r>
          </w:p>
        </w:tc>
        <w:tc>
          <w:tcPr>
            <w:tcW w:w="2270" w:type="pct"/>
            <w:tcBorders>
              <w:top w:val="nil"/>
              <w:left w:val="nil"/>
              <w:bottom w:val="single" w:color="auto" w:sz="4" w:space="0"/>
              <w:right w:val="single" w:color="auto" w:sz="4" w:space="0"/>
            </w:tcBorders>
            <w:vAlign w:val="center"/>
          </w:tcPr>
          <w:p w14:paraId="2846CC5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水务海洋行政许可事项升级改造-填河审批“水票”管理-填河审批“水票”借用跟踪预警</w:t>
            </w:r>
          </w:p>
        </w:tc>
        <w:tc>
          <w:tcPr>
            <w:tcW w:w="2475" w:type="pct"/>
            <w:tcBorders>
              <w:top w:val="nil"/>
              <w:left w:val="nil"/>
              <w:bottom w:val="single" w:color="auto" w:sz="4" w:space="0"/>
              <w:right w:val="single" w:color="auto" w:sz="4" w:space="0"/>
            </w:tcBorders>
            <w:vAlign w:val="center"/>
          </w:tcPr>
          <w:p w14:paraId="7FBE6A5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对申请城市建设填堵水域、废除围堤审批（原填堵河道的审批）事项并选择借用“水票”的企业通过短信和上海市“一网通办”企业主页等渠道在水票到期前半年、前一个月提醒建设单位。</w:t>
            </w:r>
          </w:p>
        </w:tc>
      </w:tr>
      <w:tr w14:paraId="5BF96179">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03CA5A4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16</w:t>
            </w:r>
          </w:p>
        </w:tc>
        <w:tc>
          <w:tcPr>
            <w:tcW w:w="2270" w:type="pct"/>
            <w:tcBorders>
              <w:top w:val="nil"/>
              <w:left w:val="nil"/>
              <w:bottom w:val="single" w:color="auto" w:sz="4" w:space="0"/>
              <w:right w:val="single" w:color="auto" w:sz="4" w:space="0"/>
            </w:tcBorders>
            <w:vAlign w:val="center"/>
          </w:tcPr>
          <w:p w14:paraId="587F679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水务海洋行政许可事项升级改造-填河审批“水票”管理-对接上海市水票制度运行管理支持系统</w:t>
            </w:r>
          </w:p>
        </w:tc>
        <w:tc>
          <w:tcPr>
            <w:tcW w:w="2475" w:type="pct"/>
            <w:tcBorders>
              <w:top w:val="nil"/>
              <w:left w:val="nil"/>
              <w:bottom w:val="single" w:color="auto" w:sz="4" w:space="0"/>
              <w:right w:val="single" w:color="auto" w:sz="4" w:space="0"/>
            </w:tcBorders>
            <w:vAlign w:val="center"/>
          </w:tcPr>
          <w:p w14:paraId="42F2CCF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与上海市水票制度运行管理支持系统对接。</w:t>
            </w:r>
          </w:p>
        </w:tc>
      </w:tr>
      <w:tr w14:paraId="2F1EB2EA">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4BF85E9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17</w:t>
            </w:r>
          </w:p>
        </w:tc>
        <w:tc>
          <w:tcPr>
            <w:tcW w:w="2270" w:type="pct"/>
            <w:tcBorders>
              <w:top w:val="nil"/>
              <w:left w:val="nil"/>
              <w:bottom w:val="single" w:color="auto" w:sz="4" w:space="0"/>
              <w:right w:val="single" w:color="auto" w:sz="4" w:space="0"/>
            </w:tcBorders>
            <w:vAlign w:val="center"/>
          </w:tcPr>
          <w:p w14:paraId="7C472CA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水务海洋公共服务事项新增接入-水土保持设施验收报备管理</w:t>
            </w:r>
          </w:p>
        </w:tc>
        <w:tc>
          <w:tcPr>
            <w:tcW w:w="2475" w:type="pct"/>
            <w:tcBorders>
              <w:top w:val="nil"/>
              <w:left w:val="nil"/>
              <w:bottom w:val="single" w:color="auto" w:sz="4" w:space="0"/>
              <w:right w:val="single" w:color="auto" w:sz="4" w:space="0"/>
            </w:tcBorders>
            <w:vAlign w:val="center"/>
          </w:tcPr>
          <w:p w14:paraId="4D0F234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对市级以及各区水土保持设施验收报备申报采用“模式三”模式接入上海市“一网通办”。</w:t>
            </w:r>
          </w:p>
        </w:tc>
      </w:tr>
      <w:tr w14:paraId="18A41C9E">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2FC9921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18</w:t>
            </w:r>
          </w:p>
        </w:tc>
        <w:tc>
          <w:tcPr>
            <w:tcW w:w="2270" w:type="pct"/>
            <w:tcBorders>
              <w:top w:val="nil"/>
              <w:left w:val="nil"/>
              <w:bottom w:val="single" w:color="auto" w:sz="4" w:space="0"/>
              <w:right w:val="single" w:color="auto" w:sz="4" w:space="0"/>
            </w:tcBorders>
            <w:vAlign w:val="center"/>
          </w:tcPr>
          <w:p w14:paraId="4821332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水务海洋公共服务事项新增接入-污水处理费减免管理</w:t>
            </w:r>
          </w:p>
        </w:tc>
        <w:tc>
          <w:tcPr>
            <w:tcW w:w="2475" w:type="pct"/>
            <w:tcBorders>
              <w:top w:val="nil"/>
              <w:left w:val="nil"/>
              <w:bottom w:val="single" w:color="auto" w:sz="4" w:space="0"/>
              <w:right w:val="single" w:color="auto" w:sz="4" w:space="0"/>
            </w:tcBorders>
            <w:vAlign w:val="center"/>
          </w:tcPr>
          <w:p w14:paraId="2EB56A5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对市级以及各区污水处理费减免申报事项采用“模式三”模式接入上海市“一网通办”。</w:t>
            </w:r>
          </w:p>
        </w:tc>
      </w:tr>
      <w:tr w14:paraId="0A349149">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12984FC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19</w:t>
            </w:r>
          </w:p>
        </w:tc>
        <w:tc>
          <w:tcPr>
            <w:tcW w:w="2270" w:type="pct"/>
            <w:tcBorders>
              <w:top w:val="nil"/>
              <w:left w:val="nil"/>
              <w:bottom w:val="single" w:color="auto" w:sz="4" w:space="0"/>
              <w:right w:val="single" w:color="auto" w:sz="4" w:space="0"/>
            </w:tcBorders>
            <w:vAlign w:val="center"/>
          </w:tcPr>
          <w:p w14:paraId="5F3195A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水务海洋公共服务事项新增接入-排水接入条件查询管理</w:t>
            </w:r>
          </w:p>
        </w:tc>
        <w:tc>
          <w:tcPr>
            <w:tcW w:w="2475" w:type="pct"/>
            <w:tcBorders>
              <w:top w:val="nil"/>
              <w:left w:val="nil"/>
              <w:bottom w:val="single" w:color="auto" w:sz="4" w:space="0"/>
              <w:right w:val="single" w:color="auto" w:sz="4" w:space="0"/>
            </w:tcBorders>
            <w:vAlign w:val="center"/>
          </w:tcPr>
          <w:p w14:paraId="7703BE1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工程建设项目'水电气网联合报装'一件事中报装用户需项目地址或地块查询用户红线范围50米内可接入的排水设施信息。</w:t>
            </w:r>
          </w:p>
        </w:tc>
      </w:tr>
      <w:tr w14:paraId="5E65CFE3">
        <w:tblPrEx>
          <w:tblCellMar>
            <w:top w:w="0" w:type="dxa"/>
            <w:left w:w="108" w:type="dxa"/>
            <w:bottom w:w="0" w:type="dxa"/>
            <w:right w:w="108" w:type="dxa"/>
          </w:tblCellMar>
        </w:tblPrEx>
        <w:trPr>
          <w:trHeight w:val="1080" w:hRule="atLeast"/>
        </w:trPr>
        <w:tc>
          <w:tcPr>
            <w:tcW w:w="255" w:type="pct"/>
            <w:tcBorders>
              <w:top w:val="nil"/>
              <w:left w:val="single" w:color="auto" w:sz="4" w:space="0"/>
              <w:bottom w:val="single" w:color="auto" w:sz="4" w:space="0"/>
              <w:right w:val="single" w:color="auto" w:sz="4" w:space="0"/>
            </w:tcBorders>
            <w:noWrap/>
            <w:vAlign w:val="center"/>
          </w:tcPr>
          <w:p w14:paraId="2BE679C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20</w:t>
            </w:r>
          </w:p>
        </w:tc>
        <w:tc>
          <w:tcPr>
            <w:tcW w:w="2270" w:type="pct"/>
            <w:tcBorders>
              <w:top w:val="nil"/>
              <w:left w:val="nil"/>
              <w:bottom w:val="single" w:color="auto" w:sz="4" w:space="0"/>
              <w:right w:val="single" w:color="auto" w:sz="4" w:space="0"/>
            </w:tcBorders>
            <w:vAlign w:val="center"/>
          </w:tcPr>
          <w:p w14:paraId="774BF80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水务海洋公共服务事项新增接入-供水服务事项扩展</w:t>
            </w:r>
          </w:p>
        </w:tc>
        <w:tc>
          <w:tcPr>
            <w:tcW w:w="2475" w:type="pct"/>
            <w:tcBorders>
              <w:top w:val="nil"/>
              <w:left w:val="nil"/>
              <w:bottom w:val="single" w:color="auto" w:sz="4" w:space="0"/>
              <w:right w:val="single" w:color="auto" w:sz="4" w:space="0"/>
            </w:tcBorders>
            <w:vAlign w:val="center"/>
          </w:tcPr>
          <w:p w14:paraId="2412E0D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增加新表启封、居民合用表等公共服务事项，根据供水服务增加的事项清单，对事项增加的办件申请信息，实时对接获取最新的办件库接口信息、申请材料等信息，业务受理人员可及时查阅核验最新办件申请表单信息。</w:t>
            </w:r>
          </w:p>
        </w:tc>
      </w:tr>
      <w:tr w14:paraId="68EB570F">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3BD09B8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21</w:t>
            </w:r>
          </w:p>
        </w:tc>
        <w:tc>
          <w:tcPr>
            <w:tcW w:w="2270" w:type="pct"/>
            <w:tcBorders>
              <w:top w:val="nil"/>
              <w:left w:val="nil"/>
              <w:bottom w:val="single" w:color="auto" w:sz="4" w:space="0"/>
              <w:right w:val="single" w:color="auto" w:sz="4" w:space="0"/>
            </w:tcBorders>
            <w:vAlign w:val="center"/>
          </w:tcPr>
          <w:p w14:paraId="6770AB0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水务海洋公共服务事项新增接入-应急取水备案管理</w:t>
            </w:r>
          </w:p>
        </w:tc>
        <w:tc>
          <w:tcPr>
            <w:tcW w:w="2475" w:type="pct"/>
            <w:tcBorders>
              <w:top w:val="nil"/>
              <w:left w:val="nil"/>
              <w:bottom w:val="single" w:color="auto" w:sz="4" w:space="0"/>
              <w:right w:val="single" w:color="auto" w:sz="4" w:space="0"/>
            </w:tcBorders>
            <w:vAlign w:val="center"/>
          </w:tcPr>
          <w:p w14:paraId="52367CF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对应急取水案事项，按照上海市“一网通办”“模式三”方式接入上海市“一网通办”，实现水务海洋备案事项全程网办</w:t>
            </w:r>
          </w:p>
        </w:tc>
      </w:tr>
      <w:tr w14:paraId="2BA13AD6">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65DF2739">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22</w:t>
            </w:r>
          </w:p>
        </w:tc>
        <w:tc>
          <w:tcPr>
            <w:tcW w:w="2270" w:type="pct"/>
            <w:tcBorders>
              <w:top w:val="nil"/>
              <w:left w:val="nil"/>
              <w:bottom w:val="single" w:color="auto" w:sz="4" w:space="0"/>
              <w:right w:val="single" w:color="auto" w:sz="4" w:space="0"/>
            </w:tcBorders>
            <w:vAlign w:val="center"/>
          </w:tcPr>
          <w:p w14:paraId="79433C1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水务海洋公共服务事项新增接入-水平衡测试和整改情况备案管理</w:t>
            </w:r>
          </w:p>
        </w:tc>
        <w:tc>
          <w:tcPr>
            <w:tcW w:w="2475" w:type="pct"/>
            <w:tcBorders>
              <w:top w:val="nil"/>
              <w:left w:val="nil"/>
              <w:bottom w:val="single" w:color="auto" w:sz="4" w:space="0"/>
              <w:right w:val="single" w:color="auto" w:sz="4" w:space="0"/>
            </w:tcBorders>
            <w:vAlign w:val="center"/>
          </w:tcPr>
          <w:p w14:paraId="6F599D8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对水平衡测试和整改情况案事项，按照上海市“一网通办”“模式三”方式接入上海市“一网通办”，实现水务海洋备案事项全程网办。</w:t>
            </w:r>
          </w:p>
        </w:tc>
      </w:tr>
      <w:tr w14:paraId="521091C2">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53BB424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23</w:t>
            </w:r>
          </w:p>
        </w:tc>
        <w:tc>
          <w:tcPr>
            <w:tcW w:w="2270" w:type="pct"/>
            <w:tcBorders>
              <w:top w:val="nil"/>
              <w:left w:val="nil"/>
              <w:bottom w:val="single" w:color="auto" w:sz="4" w:space="0"/>
              <w:right w:val="single" w:color="auto" w:sz="4" w:space="0"/>
            </w:tcBorders>
            <w:vAlign w:val="center"/>
          </w:tcPr>
          <w:p w14:paraId="493352F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水务海洋公共服务事项新增接入-供排水工程竣工验收备案管理</w:t>
            </w:r>
          </w:p>
        </w:tc>
        <w:tc>
          <w:tcPr>
            <w:tcW w:w="2475" w:type="pct"/>
            <w:tcBorders>
              <w:top w:val="nil"/>
              <w:left w:val="nil"/>
              <w:bottom w:val="single" w:color="auto" w:sz="4" w:space="0"/>
              <w:right w:val="single" w:color="auto" w:sz="4" w:space="0"/>
            </w:tcBorders>
            <w:vAlign w:val="center"/>
          </w:tcPr>
          <w:p w14:paraId="61F520E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对供排水工程竣工验收案事项，按照上海市“一网通办”“模式三”方式接入上海市“一网通办”，实现水务海洋备案事项全程网办。</w:t>
            </w:r>
          </w:p>
        </w:tc>
      </w:tr>
      <w:tr w14:paraId="6BB81110">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35A107E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24</w:t>
            </w:r>
          </w:p>
        </w:tc>
        <w:tc>
          <w:tcPr>
            <w:tcW w:w="2270" w:type="pct"/>
            <w:tcBorders>
              <w:top w:val="nil"/>
              <w:left w:val="nil"/>
              <w:bottom w:val="single" w:color="auto" w:sz="4" w:space="0"/>
              <w:right w:val="single" w:color="auto" w:sz="4" w:space="0"/>
            </w:tcBorders>
            <w:vAlign w:val="center"/>
          </w:tcPr>
          <w:p w14:paraId="4CB422A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水务海洋特色应用-“走进申海”特色应用-海洋景点打卡点</w:t>
            </w:r>
          </w:p>
        </w:tc>
        <w:tc>
          <w:tcPr>
            <w:tcW w:w="2475" w:type="pct"/>
            <w:tcBorders>
              <w:top w:val="nil"/>
              <w:left w:val="nil"/>
              <w:bottom w:val="single" w:color="auto" w:sz="4" w:space="0"/>
              <w:right w:val="single" w:color="auto" w:sz="4" w:space="0"/>
            </w:tcBorders>
            <w:vAlign w:val="center"/>
          </w:tcPr>
          <w:p w14:paraId="17052FA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可通过后台发布更新海洋景点打卡点相关信息。</w:t>
            </w:r>
          </w:p>
        </w:tc>
      </w:tr>
      <w:tr w14:paraId="0BF315C2">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5DEC700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25</w:t>
            </w:r>
          </w:p>
        </w:tc>
        <w:tc>
          <w:tcPr>
            <w:tcW w:w="2270" w:type="pct"/>
            <w:tcBorders>
              <w:top w:val="nil"/>
              <w:left w:val="nil"/>
              <w:bottom w:val="single" w:color="auto" w:sz="4" w:space="0"/>
              <w:right w:val="single" w:color="auto" w:sz="4" w:space="0"/>
            </w:tcBorders>
            <w:vAlign w:val="center"/>
          </w:tcPr>
          <w:p w14:paraId="3D656F8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水务海洋特色应用-“走进申海”特色应用-海洋宣传教育科普场所</w:t>
            </w:r>
          </w:p>
        </w:tc>
        <w:tc>
          <w:tcPr>
            <w:tcW w:w="2475" w:type="pct"/>
            <w:tcBorders>
              <w:top w:val="nil"/>
              <w:left w:val="nil"/>
              <w:bottom w:val="single" w:color="auto" w:sz="4" w:space="0"/>
              <w:right w:val="single" w:color="auto" w:sz="4" w:space="0"/>
            </w:tcBorders>
            <w:vAlign w:val="center"/>
          </w:tcPr>
          <w:p w14:paraId="7E2ED2D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通过后台发布更新海洋宣传教育科普场所相关信息。</w:t>
            </w:r>
          </w:p>
        </w:tc>
      </w:tr>
      <w:tr w14:paraId="335B650D">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704BFB1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26</w:t>
            </w:r>
          </w:p>
        </w:tc>
        <w:tc>
          <w:tcPr>
            <w:tcW w:w="2270" w:type="pct"/>
            <w:tcBorders>
              <w:top w:val="nil"/>
              <w:left w:val="nil"/>
              <w:bottom w:val="single" w:color="auto" w:sz="4" w:space="0"/>
              <w:right w:val="single" w:color="auto" w:sz="4" w:space="0"/>
            </w:tcBorders>
            <w:vAlign w:val="center"/>
          </w:tcPr>
          <w:p w14:paraId="45A9ACE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水务海洋特色应用-“走进申海”特色应用-海洋资讯</w:t>
            </w:r>
          </w:p>
        </w:tc>
        <w:tc>
          <w:tcPr>
            <w:tcW w:w="2475" w:type="pct"/>
            <w:tcBorders>
              <w:top w:val="nil"/>
              <w:left w:val="nil"/>
              <w:bottom w:val="single" w:color="auto" w:sz="4" w:space="0"/>
              <w:right w:val="single" w:color="auto" w:sz="4" w:space="0"/>
            </w:tcBorders>
            <w:vAlign w:val="center"/>
          </w:tcPr>
          <w:p w14:paraId="6C8B388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列表展示水务海洋特色的海洋资讯。</w:t>
            </w:r>
          </w:p>
        </w:tc>
      </w:tr>
      <w:tr w14:paraId="4FD899B7">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448CC3E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27</w:t>
            </w:r>
          </w:p>
        </w:tc>
        <w:tc>
          <w:tcPr>
            <w:tcW w:w="2270" w:type="pct"/>
            <w:tcBorders>
              <w:top w:val="nil"/>
              <w:left w:val="nil"/>
              <w:bottom w:val="single" w:color="auto" w:sz="4" w:space="0"/>
              <w:right w:val="single" w:color="auto" w:sz="4" w:space="0"/>
            </w:tcBorders>
            <w:vAlign w:val="center"/>
          </w:tcPr>
          <w:p w14:paraId="037E904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水务海洋特色应用-“走进申海”特色应用-普法宣传</w:t>
            </w:r>
          </w:p>
        </w:tc>
        <w:tc>
          <w:tcPr>
            <w:tcW w:w="2475" w:type="pct"/>
            <w:tcBorders>
              <w:top w:val="nil"/>
              <w:left w:val="nil"/>
              <w:bottom w:val="single" w:color="auto" w:sz="4" w:space="0"/>
              <w:right w:val="single" w:color="auto" w:sz="4" w:space="0"/>
            </w:tcBorders>
            <w:vAlign w:val="center"/>
          </w:tcPr>
          <w:p w14:paraId="116DF13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列表展示：国家法规、上海本市法规。</w:t>
            </w:r>
          </w:p>
        </w:tc>
      </w:tr>
      <w:tr w14:paraId="5E343D6E">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0177073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28</w:t>
            </w:r>
          </w:p>
        </w:tc>
        <w:tc>
          <w:tcPr>
            <w:tcW w:w="2270" w:type="pct"/>
            <w:tcBorders>
              <w:top w:val="nil"/>
              <w:left w:val="nil"/>
              <w:bottom w:val="single" w:color="auto" w:sz="4" w:space="0"/>
              <w:right w:val="single" w:color="auto" w:sz="4" w:space="0"/>
            </w:tcBorders>
            <w:vAlign w:val="center"/>
          </w:tcPr>
          <w:p w14:paraId="3D8D1A5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水务海洋特色应用-“走进申海”特色应用-海洋产业地图</w:t>
            </w:r>
          </w:p>
        </w:tc>
        <w:tc>
          <w:tcPr>
            <w:tcW w:w="2475" w:type="pct"/>
            <w:tcBorders>
              <w:top w:val="nil"/>
              <w:left w:val="nil"/>
              <w:bottom w:val="single" w:color="auto" w:sz="4" w:space="0"/>
              <w:right w:val="single" w:color="auto" w:sz="4" w:space="0"/>
            </w:tcBorders>
            <w:vAlign w:val="center"/>
          </w:tcPr>
          <w:p w14:paraId="00DC47E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展示海洋淡水产业地图、海洋生命健康产业地图、海洋船舶产业地图等内容，并提供后台维护发布等功能。</w:t>
            </w:r>
          </w:p>
        </w:tc>
      </w:tr>
      <w:tr w14:paraId="3DCB828B">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2FCCF27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29</w:t>
            </w:r>
          </w:p>
        </w:tc>
        <w:tc>
          <w:tcPr>
            <w:tcW w:w="2270" w:type="pct"/>
            <w:tcBorders>
              <w:top w:val="nil"/>
              <w:left w:val="nil"/>
              <w:bottom w:val="single" w:color="auto" w:sz="4" w:space="0"/>
              <w:right w:val="single" w:color="auto" w:sz="4" w:space="0"/>
            </w:tcBorders>
            <w:vAlign w:val="center"/>
          </w:tcPr>
          <w:p w14:paraId="61EA3C2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水务海洋特色应用-“走进申海”特色应用-海洋预警预报</w:t>
            </w:r>
          </w:p>
        </w:tc>
        <w:tc>
          <w:tcPr>
            <w:tcW w:w="2475" w:type="pct"/>
            <w:tcBorders>
              <w:top w:val="nil"/>
              <w:left w:val="nil"/>
              <w:bottom w:val="single" w:color="auto" w:sz="4" w:space="0"/>
              <w:right w:val="single" w:color="auto" w:sz="4" w:space="0"/>
            </w:tcBorders>
            <w:vAlign w:val="center"/>
          </w:tcPr>
          <w:p w14:paraId="409B741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形成“海洋灾害警报”、“沿海潮位预报”、“海域海况预报”、“海流周报”功能</w:t>
            </w:r>
          </w:p>
        </w:tc>
      </w:tr>
      <w:tr w14:paraId="02968DEB">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6995FE85">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30</w:t>
            </w:r>
          </w:p>
        </w:tc>
        <w:tc>
          <w:tcPr>
            <w:tcW w:w="2270" w:type="pct"/>
            <w:tcBorders>
              <w:top w:val="nil"/>
              <w:left w:val="nil"/>
              <w:bottom w:val="single" w:color="auto" w:sz="4" w:space="0"/>
              <w:right w:val="single" w:color="auto" w:sz="4" w:space="0"/>
            </w:tcBorders>
            <w:vAlign w:val="center"/>
          </w:tcPr>
          <w:p w14:paraId="274E616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水务海洋特色应用-“走进申海”特色应用-上海市海洋生态预警监测公报</w:t>
            </w:r>
          </w:p>
        </w:tc>
        <w:tc>
          <w:tcPr>
            <w:tcW w:w="2475" w:type="pct"/>
            <w:tcBorders>
              <w:top w:val="nil"/>
              <w:left w:val="nil"/>
              <w:bottom w:val="single" w:color="auto" w:sz="4" w:space="0"/>
              <w:right w:val="single" w:color="auto" w:sz="4" w:space="0"/>
            </w:tcBorders>
            <w:vAlign w:val="center"/>
          </w:tcPr>
          <w:p w14:paraId="66A4791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形成“上海市海洋生态预警监测公报”展示内容。</w:t>
            </w:r>
          </w:p>
        </w:tc>
      </w:tr>
      <w:tr w14:paraId="14C2F753">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4C19646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31</w:t>
            </w:r>
          </w:p>
        </w:tc>
        <w:tc>
          <w:tcPr>
            <w:tcW w:w="2270" w:type="pct"/>
            <w:tcBorders>
              <w:top w:val="nil"/>
              <w:left w:val="nil"/>
              <w:bottom w:val="single" w:color="auto" w:sz="4" w:space="0"/>
              <w:right w:val="single" w:color="auto" w:sz="4" w:space="0"/>
            </w:tcBorders>
            <w:vAlign w:val="center"/>
          </w:tcPr>
          <w:p w14:paraId="0CA65A7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水务海洋特色应用-“走进申海”特色应用-留言审核和反馈</w:t>
            </w:r>
          </w:p>
        </w:tc>
        <w:tc>
          <w:tcPr>
            <w:tcW w:w="2475" w:type="pct"/>
            <w:tcBorders>
              <w:top w:val="nil"/>
              <w:left w:val="nil"/>
              <w:bottom w:val="single" w:color="auto" w:sz="4" w:space="0"/>
              <w:right w:val="single" w:color="auto" w:sz="4" w:space="0"/>
            </w:tcBorders>
            <w:vAlign w:val="center"/>
          </w:tcPr>
          <w:p w14:paraId="35E0DBD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对申请人在“走进申海”各模块提交的留言信息进行审核。</w:t>
            </w:r>
          </w:p>
        </w:tc>
      </w:tr>
      <w:tr w14:paraId="2490A4F1">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3712953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32</w:t>
            </w:r>
          </w:p>
        </w:tc>
        <w:tc>
          <w:tcPr>
            <w:tcW w:w="2270" w:type="pct"/>
            <w:tcBorders>
              <w:top w:val="nil"/>
              <w:left w:val="nil"/>
              <w:bottom w:val="single" w:color="auto" w:sz="4" w:space="0"/>
              <w:right w:val="single" w:color="auto" w:sz="4" w:space="0"/>
            </w:tcBorders>
            <w:vAlign w:val="center"/>
          </w:tcPr>
          <w:p w14:paraId="0D0DB21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水务海洋特色应用-“走进申海”特色应用-统计分析</w:t>
            </w:r>
          </w:p>
        </w:tc>
        <w:tc>
          <w:tcPr>
            <w:tcW w:w="2475" w:type="pct"/>
            <w:tcBorders>
              <w:top w:val="nil"/>
              <w:left w:val="nil"/>
              <w:bottom w:val="single" w:color="auto" w:sz="4" w:space="0"/>
              <w:right w:val="single" w:color="auto" w:sz="4" w:space="0"/>
            </w:tcBorders>
            <w:vAlign w:val="center"/>
          </w:tcPr>
          <w:p w14:paraId="279F774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统计并分析用户在“走进申海”特色应用中的行为数据及留言。</w:t>
            </w:r>
          </w:p>
        </w:tc>
      </w:tr>
      <w:tr w14:paraId="02E00794">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2F8AD90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33</w:t>
            </w:r>
          </w:p>
        </w:tc>
        <w:tc>
          <w:tcPr>
            <w:tcW w:w="2270" w:type="pct"/>
            <w:tcBorders>
              <w:top w:val="nil"/>
              <w:left w:val="nil"/>
              <w:bottom w:val="single" w:color="auto" w:sz="4" w:space="0"/>
              <w:right w:val="single" w:color="auto" w:sz="4" w:space="0"/>
            </w:tcBorders>
            <w:vAlign w:val="center"/>
          </w:tcPr>
          <w:p w14:paraId="3859E53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水务海洋特色应用-“幸福河湖”升级改造</w:t>
            </w:r>
          </w:p>
        </w:tc>
        <w:tc>
          <w:tcPr>
            <w:tcW w:w="2475" w:type="pct"/>
            <w:tcBorders>
              <w:top w:val="nil"/>
              <w:left w:val="nil"/>
              <w:bottom w:val="single" w:color="auto" w:sz="4" w:space="0"/>
              <w:right w:val="single" w:color="auto" w:sz="4" w:space="0"/>
            </w:tcBorders>
            <w:vAlign w:val="center"/>
          </w:tcPr>
          <w:p w14:paraId="78DFB4C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在原有“幸福河湖”的基础上增加“长三角示范区边界河道信息展示”模块，展示长三角示范区“青昆吴嘉”两省一市四地边界河道等信息。</w:t>
            </w:r>
          </w:p>
        </w:tc>
      </w:tr>
      <w:tr w14:paraId="0E017C4C">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26D9C7DA">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34</w:t>
            </w:r>
          </w:p>
        </w:tc>
        <w:tc>
          <w:tcPr>
            <w:tcW w:w="2270" w:type="pct"/>
            <w:tcBorders>
              <w:top w:val="nil"/>
              <w:left w:val="nil"/>
              <w:bottom w:val="single" w:color="auto" w:sz="4" w:space="0"/>
              <w:right w:val="single" w:color="auto" w:sz="4" w:space="0"/>
            </w:tcBorders>
            <w:vAlign w:val="center"/>
          </w:tcPr>
          <w:p w14:paraId="1276549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水务海洋特色应用-“好差评”升级改造</w:t>
            </w:r>
          </w:p>
        </w:tc>
        <w:tc>
          <w:tcPr>
            <w:tcW w:w="2475" w:type="pct"/>
            <w:tcBorders>
              <w:top w:val="nil"/>
              <w:left w:val="nil"/>
              <w:bottom w:val="single" w:color="auto" w:sz="4" w:space="0"/>
              <w:right w:val="single" w:color="auto" w:sz="4" w:space="0"/>
            </w:tcBorders>
            <w:vAlign w:val="center"/>
          </w:tcPr>
          <w:p w14:paraId="74C35BD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通过这一改造，评价页面将由市政府办公厅统一提供，各区各部门只需在PAD端嵌入该页面，即可实现评价功能。</w:t>
            </w:r>
          </w:p>
        </w:tc>
      </w:tr>
      <w:tr w14:paraId="6028FC84">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573BDF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35</w:t>
            </w:r>
          </w:p>
        </w:tc>
        <w:tc>
          <w:tcPr>
            <w:tcW w:w="2270" w:type="pct"/>
            <w:tcBorders>
              <w:top w:val="nil"/>
              <w:left w:val="nil"/>
              <w:bottom w:val="single" w:color="auto" w:sz="4" w:space="0"/>
              <w:right w:val="single" w:color="auto" w:sz="4" w:space="0"/>
            </w:tcBorders>
            <w:vAlign w:val="center"/>
          </w:tcPr>
          <w:p w14:paraId="03B0CB5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水务海洋特色应用-排水许可AI智能审批-排水承诺书自动生成</w:t>
            </w:r>
          </w:p>
        </w:tc>
        <w:tc>
          <w:tcPr>
            <w:tcW w:w="2475" w:type="pct"/>
            <w:tcBorders>
              <w:top w:val="nil"/>
              <w:left w:val="nil"/>
              <w:bottom w:val="single" w:color="auto" w:sz="4" w:space="0"/>
              <w:right w:val="single" w:color="auto" w:sz="4" w:space="0"/>
            </w:tcBorders>
            <w:vAlign w:val="center"/>
          </w:tcPr>
          <w:p w14:paraId="27AF891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通过智能抓取特性表中表头（小餐饮类/非小餐饮类）、项目是否列入重点排污单位名录两项信息进行智能判断自动生成承诺书。</w:t>
            </w:r>
          </w:p>
        </w:tc>
      </w:tr>
      <w:tr w14:paraId="3D5DB219">
        <w:tblPrEx>
          <w:tblCellMar>
            <w:top w:w="0" w:type="dxa"/>
            <w:left w:w="108" w:type="dxa"/>
            <w:bottom w:w="0" w:type="dxa"/>
            <w:right w:w="108" w:type="dxa"/>
          </w:tblCellMar>
        </w:tblPrEx>
        <w:trPr>
          <w:trHeight w:val="810" w:hRule="atLeast"/>
        </w:trPr>
        <w:tc>
          <w:tcPr>
            <w:tcW w:w="255" w:type="pct"/>
            <w:tcBorders>
              <w:top w:val="nil"/>
              <w:left w:val="single" w:color="auto" w:sz="4" w:space="0"/>
              <w:bottom w:val="single" w:color="auto" w:sz="4" w:space="0"/>
              <w:right w:val="single" w:color="auto" w:sz="4" w:space="0"/>
            </w:tcBorders>
            <w:noWrap/>
            <w:vAlign w:val="center"/>
          </w:tcPr>
          <w:p w14:paraId="5A8EF6A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36</w:t>
            </w:r>
          </w:p>
        </w:tc>
        <w:tc>
          <w:tcPr>
            <w:tcW w:w="2270" w:type="pct"/>
            <w:tcBorders>
              <w:top w:val="nil"/>
              <w:left w:val="nil"/>
              <w:bottom w:val="single" w:color="auto" w:sz="4" w:space="0"/>
              <w:right w:val="single" w:color="auto" w:sz="4" w:space="0"/>
            </w:tcBorders>
            <w:vAlign w:val="center"/>
          </w:tcPr>
          <w:p w14:paraId="30B9986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水务海洋特色应用-排水许可AI智能审批-智能生成许可决定书</w:t>
            </w:r>
          </w:p>
        </w:tc>
        <w:tc>
          <w:tcPr>
            <w:tcW w:w="2475" w:type="pct"/>
            <w:tcBorders>
              <w:top w:val="nil"/>
              <w:left w:val="nil"/>
              <w:bottom w:val="single" w:color="auto" w:sz="4" w:space="0"/>
              <w:right w:val="single" w:color="auto" w:sz="4" w:space="0"/>
            </w:tcBorders>
            <w:vAlign w:val="center"/>
          </w:tcPr>
          <w:p w14:paraId="35E8F77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自动预填排水许可证制证信息、许可决定书的相关内容,通过读取特性表的内容自动对制证信息中的排水量、单位面积、排放口等信息进行预填，智能生成决定书的相关内容。</w:t>
            </w:r>
          </w:p>
        </w:tc>
      </w:tr>
      <w:tr w14:paraId="5D90ED93">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4FA72A60">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37</w:t>
            </w:r>
          </w:p>
        </w:tc>
        <w:tc>
          <w:tcPr>
            <w:tcW w:w="2270" w:type="pct"/>
            <w:tcBorders>
              <w:top w:val="nil"/>
              <w:left w:val="nil"/>
              <w:bottom w:val="single" w:color="auto" w:sz="4" w:space="0"/>
              <w:right w:val="single" w:color="auto" w:sz="4" w:space="0"/>
            </w:tcBorders>
            <w:vAlign w:val="center"/>
          </w:tcPr>
          <w:p w14:paraId="331C697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水务海洋特色应用-排水许可AI智能审批-排水平面图智能审批</w:t>
            </w:r>
          </w:p>
        </w:tc>
        <w:tc>
          <w:tcPr>
            <w:tcW w:w="2475" w:type="pct"/>
            <w:tcBorders>
              <w:top w:val="nil"/>
              <w:left w:val="nil"/>
              <w:bottom w:val="single" w:color="auto" w:sz="4" w:space="0"/>
              <w:right w:val="single" w:color="auto" w:sz="4" w:space="0"/>
            </w:tcBorders>
            <w:vAlign w:val="center"/>
          </w:tcPr>
          <w:p w14:paraId="666A2F6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利用智能技术对小餐饮排水平面图进行初审。</w:t>
            </w:r>
          </w:p>
        </w:tc>
      </w:tr>
      <w:tr w14:paraId="0AEE48C6">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06BC372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38</w:t>
            </w:r>
          </w:p>
        </w:tc>
        <w:tc>
          <w:tcPr>
            <w:tcW w:w="2270" w:type="pct"/>
            <w:tcBorders>
              <w:top w:val="nil"/>
              <w:left w:val="nil"/>
              <w:bottom w:val="single" w:color="auto" w:sz="4" w:space="0"/>
              <w:right w:val="single" w:color="auto" w:sz="4" w:space="0"/>
            </w:tcBorders>
            <w:vAlign w:val="center"/>
          </w:tcPr>
          <w:p w14:paraId="278706C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水务海洋特色应用-非居用水超定额累计加价免收“免申即享”</w:t>
            </w:r>
          </w:p>
        </w:tc>
        <w:tc>
          <w:tcPr>
            <w:tcW w:w="2475" w:type="pct"/>
            <w:tcBorders>
              <w:top w:val="nil"/>
              <w:left w:val="nil"/>
              <w:bottom w:val="single" w:color="auto" w:sz="4" w:space="0"/>
              <w:right w:val="single" w:color="auto" w:sz="4" w:space="0"/>
            </w:tcBorders>
            <w:vAlign w:val="center"/>
          </w:tcPr>
          <w:p w14:paraId="0472261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实现非居用水超定额累计加价免收“免申即享”，对接一网通办，动态推送非居用水超定额累计加价免收企业信息。</w:t>
            </w:r>
          </w:p>
        </w:tc>
      </w:tr>
      <w:tr w14:paraId="26264831">
        <w:tblPrEx>
          <w:tblCellMar>
            <w:top w:w="0" w:type="dxa"/>
            <w:left w:w="108" w:type="dxa"/>
            <w:bottom w:w="0" w:type="dxa"/>
            <w:right w:w="108" w:type="dxa"/>
          </w:tblCellMar>
        </w:tblPrEx>
        <w:trPr>
          <w:trHeight w:val="810" w:hRule="atLeast"/>
        </w:trPr>
        <w:tc>
          <w:tcPr>
            <w:tcW w:w="255" w:type="pct"/>
            <w:tcBorders>
              <w:top w:val="nil"/>
              <w:left w:val="single" w:color="auto" w:sz="4" w:space="0"/>
              <w:bottom w:val="single" w:color="auto" w:sz="4" w:space="0"/>
              <w:right w:val="single" w:color="auto" w:sz="4" w:space="0"/>
            </w:tcBorders>
            <w:noWrap/>
            <w:vAlign w:val="center"/>
          </w:tcPr>
          <w:p w14:paraId="658F113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39</w:t>
            </w:r>
          </w:p>
        </w:tc>
        <w:tc>
          <w:tcPr>
            <w:tcW w:w="2270" w:type="pct"/>
            <w:tcBorders>
              <w:top w:val="nil"/>
              <w:left w:val="nil"/>
              <w:bottom w:val="single" w:color="auto" w:sz="4" w:space="0"/>
              <w:right w:val="single" w:color="auto" w:sz="4" w:space="0"/>
            </w:tcBorders>
            <w:vAlign w:val="center"/>
          </w:tcPr>
          <w:p w14:paraId="57217490">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新开业排水用户审计管理-新增排水用户信息推送</w:t>
            </w:r>
          </w:p>
        </w:tc>
        <w:tc>
          <w:tcPr>
            <w:tcW w:w="2475" w:type="pct"/>
            <w:tcBorders>
              <w:top w:val="nil"/>
              <w:left w:val="nil"/>
              <w:bottom w:val="single" w:color="auto" w:sz="4" w:space="0"/>
              <w:right w:val="single" w:color="auto" w:sz="4" w:space="0"/>
            </w:tcBorders>
            <w:vAlign w:val="center"/>
          </w:tcPr>
          <w:p w14:paraId="20E745F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基于上海市大数据中心数据平台获取全市新开业的企业信息，按照全市新开业企业所属的行政区，通过新开业用户信息管理功能分区推送给各区管理单位。</w:t>
            </w:r>
          </w:p>
        </w:tc>
      </w:tr>
      <w:tr w14:paraId="190F0B51">
        <w:tblPrEx>
          <w:tblCellMar>
            <w:top w:w="0" w:type="dxa"/>
            <w:left w:w="108" w:type="dxa"/>
            <w:bottom w:w="0" w:type="dxa"/>
            <w:right w:w="108" w:type="dxa"/>
          </w:tblCellMar>
        </w:tblPrEx>
        <w:trPr>
          <w:trHeight w:val="810" w:hRule="atLeast"/>
        </w:trPr>
        <w:tc>
          <w:tcPr>
            <w:tcW w:w="255" w:type="pct"/>
            <w:tcBorders>
              <w:top w:val="nil"/>
              <w:left w:val="single" w:color="auto" w:sz="4" w:space="0"/>
              <w:bottom w:val="single" w:color="auto" w:sz="4" w:space="0"/>
              <w:right w:val="single" w:color="auto" w:sz="4" w:space="0"/>
            </w:tcBorders>
            <w:noWrap/>
            <w:vAlign w:val="center"/>
          </w:tcPr>
          <w:p w14:paraId="4B483C8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40</w:t>
            </w:r>
          </w:p>
        </w:tc>
        <w:tc>
          <w:tcPr>
            <w:tcW w:w="2270" w:type="pct"/>
            <w:tcBorders>
              <w:top w:val="nil"/>
              <w:left w:val="nil"/>
              <w:bottom w:val="single" w:color="auto" w:sz="4" w:space="0"/>
              <w:right w:val="single" w:color="auto" w:sz="4" w:space="0"/>
            </w:tcBorders>
            <w:vAlign w:val="center"/>
          </w:tcPr>
          <w:p w14:paraId="58828D9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新开业排水用户审计管理-新开业排水用户办证情况管理</w:t>
            </w:r>
          </w:p>
        </w:tc>
        <w:tc>
          <w:tcPr>
            <w:tcW w:w="2475" w:type="pct"/>
            <w:tcBorders>
              <w:top w:val="nil"/>
              <w:left w:val="nil"/>
              <w:bottom w:val="single" w:color="auto" w:sz="4" w:space="0"/>
              <w:right w:val="single" w:color="auto" w:sz="4" w:space="0"/>
            </w:tcBorders>
            <w:vAlign w:val="center"/>
          </w:tcPr>
          <w:p w14:paraId="2F57E5D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新开业排水用户的范围是指新办理了排污许可证、动物诊疗许可证、食品经营许可证、医疗机构执业许可证、机动车清洗企业设立备案的许可文书等与排水业务相关的企业。</w:t>
            </w:r>
          </w:p>
        </w:tc>
      </w:tr>
      <w:tr w14:paraId="4B8CE85F">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3162D17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41</w:t>
            </w:r>
          </w:p>
        </w:tc>
        <w:tc>
          <w:tcPr>
            <w:tcW w:w="2270" w:type="pct"/>
            <w:tcBorders>
              <w:top w:val="nil"/>
              <w:left w:val="nil"/>
              <w:bottom w:val="single" w:color="auto" w:sz="4" w:space="0"/>
              <w:right w:val="single" w:color="auto" w:sz="4" w:space="0"/>
            </w:tcBorders>
            <w:vAlign w:val="center"/>
          </w:tcPr>
          <w:p w14:paraId="7511004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新开业排水用户审计管理-新开业排水用户审计管理</w:t>
            </w:r>
          </w:p>
        </w:tc>
        <w:tc>
          <w:tcPr>
            <w:tcW w:w="2475" w:type="pct"/>
            <w:tcBorders>
              <w:top w:val="nil"/>
              <w:left w:val="nil"/>
              <w:bottom w:val="single" w:color="auto" w:sz="4" w:space="0"/>
              <w:right w:val="single" w:color="auto" w:sz="4" w:space="0"/>
            </w:tcBorders>
            <w:vAlign w:val="center"/>
          </w:tcPr>
          <w:p w14:paraId="5CD6328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对新开业排水用户进行现场实地走访，核实新开业排水用户实际办证情况，并记录走访情况。</w:t>
            </w:r>
          </w:p>
        </w:tc>
      </w:tr>
      <w:tr w14:paraId="5C23A50D">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169017A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42</w:t>
            </w:r>
          </w:p>
        </w:tc>
        <w:tc>
          <w:tcPr>
            <w:tcW w:w="2270" w:type="pct"/>
            <w:tcBorders>
              <w:top w:val="nil"/>
              <w:left w:val="nil"/>
              <w:bottom w:val="single" w:color="auto" w:sz="4" w:space="0"/>
              <w:right w:val="single" w:color="auto" w:sz="4" w:space="0"/>
            </w:tcBorders>
            <w:vAlign w:val="center"/>
          </w:tcPr>
          <w:p w14:paraId="5AC8249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新开业排水用户审计管理-新开业排水用户审计统计跟踪</w:t>
            </w:r>
          </w:p>
        </w:tc>
        <w:tc>
          <w:tcPr>
            <w:tcW w:w="2475" w:type="pct"/>
            <w:tcBorders>
              <w:top w:val="nil"/>
              <w:left w:val="nil"/>
              <w:bottom w:val="single" w:color="auto" w:sz="4" w:space="0"/>
              <w:right w:val="single" w:color="auto" w:sz="4" w:space="0"/>
            </w:tcBorders>
            <w:vAlign w:val="center"/>
          </w:tcPr>
          <w:p w14:paraId="4AED3DF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对新开业排水用户的审计结果进行定期统计和分析。</w:t>
            </w:r>
          </w:p>
        </w:tc>
      </w:tr>
      <w:tr w14:paraId="48E88B6D">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0267B6E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43</w:t>
            </w:r>
          </w:p>
        </w:tc>
        <w:tc>
          <w:tcPr>
            <w:tcW w:w="2270" w:type="pct"/>
            <w:tcBorders>
              <w:top w:val="nil"/>
              <w:left w:val="nil"/>
              <w:bottom w:val="single" w:color="auto" w:sz="4" w:space="0"/>
              <w:right w:val="single" w:color="auto" w:sz="4" w:space="0"/>
            </w:tcBorders>
            <w:vAlign w:val="center"/>
          </w:tcPr>
          <w:p w14:paraId="1373D72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排水现场核查管理-排水现场核查委托管理</w:t>
            </w:r>
          </w:p>
        </w:tc>
        <w:tc>
          <w:tcPr>
            <w:tcW w:w="2475" w:type="pct"/>
            <w:tcBorders>
              <w:top w:val="nil"/>
              <w:left w:val="nil"/>
              <w:bottom w:val="single" w:color="auto" w:sz="4" w:space="0"/>
              <w:right w:val="single" w:color="auto" w:sz="4" w:space="0"/>
            </w:tcBorders>
            <w:vAlign w:val="center"/>
          </w:tcPr>
          <w:p w14:paraId="17CA7A6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排水许可现场核查委托单位管理模块主要负责管理和维护参与排水许可现场核查工作的各委托第三方单位信息。</w:t>
            </w:r>
          </w:p>
        </w:tc>
      </w:tr>
      <w:tr w14:paraId="31DD99CB">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664B15F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44</w:t>
            </w:r>
          </w:p>
        </w:tc>
        <w:tc>
          <w:tcPr>
            <w:tcW w:w="2270" w:type="pct"/>
            <w:tcBorders>
              <w:top w:val="nil"/>
              <w:left w:val="nil"/>
              <w:bottom w:val="single" w:color="auto" w:sz="4" w:space="0"/>
              <w:right w:val="single" w:color="auto" w:sz="4" w:space="0"/>
            </w:tcBorders>
            <w:vAlign w:val="center"/>
          </w:tcPr>
          <w:p w14:paraId="2736600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排水现场核查管理-排水现场核查计划管理</w:t>
            </w:r>
          </w:p>
        </w:tc>
        <w:tc>
          <w:tcPr>
            <w:tcW w:w="2475" w:type="pct"/>
            <w:tcBorders>
              <w:top w:val="nil"/>
              <w:left w:val="nil"/>
              <w:bottom w:val="single" w:color="auto" w:sz="4" w:space="0"/>
              <w:right w:val="single" w:color="auto" w:sz="4" w:space="0"/>
            </w:tcBorders>
            <w:vAlign w:val="center"/>
          </w:tcPr>
          <w:p w14:paraId="4B1690BD">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制定排水现场核查计划根据排水许可申请情况、核查任务紧急程度以及委托单位的饱和程度，自动生成或手动调整核查计划。</w:t>
            </w:r>
          </w:p>
        </w:tc>
      </w:tr>
      <w:tr w14:paraId="6611D204">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182C9884">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45</w:t>
            </w:r>
          </w:p>
        </w:tc>
        <w:tc>
          <w:tcPr>
            <w:tcW w:w="2270" w:type="pct"/>
            <w:tcBorders>
              <w:top w:val="nil"/>
              <w:left w:val="nil"/>
              <w:bottom w:val="single" w:color="auto" w:sz="4" w:space="0"/>
              <w:right w:val="single" w:color="auto" w:sz="4" w:space="0"/>
            </w:tcBorders>
            <w:vAlign w:val="center"/>
          </w:tcPr>
          <w:p w14:paraId="1C5FE2D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排水现场核查管理-排水现场核查工单管理</w:t>
            </w:r>
          </w:p>
        </w:tc>
        <w:tc>
          <w:tcPr>
            <w:tcW w:w="2475" w:type="pct"/>
            <w:tcBorders>
              <w:top w:val="nil"/>
              <w:left w:val="nil"/>
              <w:bottom w:val="single" w:color="auto" w:sz="4" w:space="0"/>
              <w:right w:val="single" w:color="auto" w:sz="4" w:space="0"/>
            </w:tcBorders>
            <w:vAlign w:val="center"/>
          </w:tcPr>
          <w:p w14:paraId="0BE9C1C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排水许可现场核查委托单位管理人员根据排水许可现场核查计划中的具体任务分配给相应的核查人员，并生成现场核查工单。</w:t>
            </w:r>
          </w:p>
        </w:tc>
      </w:tr>
      <w:tr w14:paraId="3FD3DCE8">
        <w:tblPrEx>
          <w:tblCellMar>
            <w:top w:w="0" w:type="dxa"/>
            <w:left w:w="108" w:type="dxa"/>
            <w:bottom w:w="0" w:type="dxa"/>
            <w:right w:w="108" w:type="dxa"/>
          </w:tblCellMar>
        </w:tblPrEx>
        <w:trPr>
          <w:trHeight w:val="540" w:hRule="atLeast"/>
        </w:trPr>
        <w:tc>
          <w:tcPr>
            <w:tcW w:w="255" w:type="pct"/>
            <w:tcBorders>
              <w:top w:val="nil"/>
              <w:left w:val="single" w:color="auto" w:sz="4" w:space="0"/>
              <w:bottom w:val="single" w:color="auto" w:sz="4" w:space="0"/>
              <w:right w:val="single" w:color="auto" w:sz="4" w:space="0"/>
            </w:tcBorders>
            <w:noWrap/>
            <w:vAlign w:val="center"/>
          </w:tcPr>
          <w:p w14:paraId="163D49D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46</w:t>
            </w:r>
          </w:p>
        </w:tc>
        <w:tc>
          <w:tcPr>
            <w:tcW w:w="2270" w:type="pct"/>
            <w:tcBorders>
              <w:top w:val="nil"/>
              <w:left w:val="nil"/>
              <w:bottom w:val="single" w:color="auto" w:sz="4" w:space="0"/>
              <w:right w:val="single" w:color="auto" w:sz="4" w:space="0"/>
            </w:tcBorders>
            <w:vAlign w:val="center"/>
          </w:tcPr>
          <w:p w14:paraId="7FC41E2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排水现场核查管理-排水现场核查管</w:t>
            </w:r>
          </w:p>
        </w:tc>
        <w:tc>
          <w:tcPr>
            <w:tcW w:w="2475" w:type="pct"/>
            <w:tcBorders>
              <w:top w:val="nil"/>
              <w:left w:val="nil"/>
              <w:bottom w:val="single" w:color="auto" w:sz="4" w:space="0"/>
              <w:right w:val="single" w:color="auto" w:sz="4" w:space="0"/>
            </w:tcBorders>
            <w:vAlign w:val="center"/>
          </w:tcPr>
          <w:p w14:paraId="5C24C9E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排水许可现场核查人员需按照系统生成的现场核查工单，到达指定的核查地点，对排水户进行现场核查。</w:t>
            </w:r>
          </w:p>
        </w:tc>
      </w:tr>
      <w:tr w14:paraId="022B154B">
        <w:tblPrEx>
          <w:tblCellMar>
            <w:top w:w="0" w:type="dxa"/>
            <w:left w:w="108" w:type="dxa"/>
            <w:bottom w:w="0" w:type="dxa"/>
            <w:right w:w="108" w:type="dxa"/>
          </w:tblCellMar>
        </w:tblPrEx>
        <w:trPr>
          <w:trHeight w:val="278" w:hRule="atLeast"/>
        </w:trPr>
        <w:tc>
          <w:tcPr>
            <w:tcW w:w="255" w:type="pct"/>
            <w:tcBorders>
              <w:top w:val="nil"/>
              <w:left w:val="single" w:color="auto" w:sz="4" w:space="0"/>
              <w:bottom w:val="single" w:color="auto" w:sz="4" w:space="0"/>
              <w:right w:val="single" w:color="auto" w:sz="4" w:space="0"/>
            </w:tcBorders>
            <w:noWrap/>
            <w:vAlign w:val="center"/>
          </w:tcPr>
          <w:p w14:paraId="03F59CF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47</w:t>
            </w:r>
          </w:p>
        </w:tc>
        <w:tc>
          <w:tcPr>
            <w:tcW w:w="2270" w:type="pct"/>
            <w:tcBorders>
              <w:top w:val="nil"/>
              <w:left w:val="nil"/>
              <w:bottom w:val="single" w:color="auto" w:sz="4" w:space="0"/>
              <w:right w:val="single" w:color="auto" w:sz="4" w:space="0"/>
            </w:tcBorders>
            <w:vAlign w:val="center"/>
          </w:tcPr>
          <w:p w14:paraId="3345C6D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排水现场核查管理-排水现场核查统计与跟踪</w:t>
            </w:r>
          </w:p>
        </w:tc>
        <w:tc>
          <w:tcPr>
            <w:tcW w:w="2475" w:type="pct"/>
            <w:tcBorders>
              <w:top w:val="nil"/>
              <w:left w:val="nil"/>
              <w:bottom w:val="single" w:color="auto" w:sz="4" w:space="0"/>
              <w:right w:val="single" w:color="auto" w:sz="4" w:space="0"/>
            </w:tcBorders>
            <w:vAlign w:val="center"/>
          </w:tcPr>
          <w:p w14:paraId="5C85589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对排水许可现场核查任务进行全面的统计分析。</w:t>
            </w:r>
          </w:p>
        </w:tc>
      </w:tr>
    </w:tbl>
    <w:p w14:paraId="3BAD9D5E">
      <w:pPr>
        <w:rPr>
          <w:rFonts w:hint="eastAsia"/>
        </w:rPr>
      </w:pPr>
    </w:p>
    <w:p w14:paraId="7B731667">
      <w:pPr>
        <w:rPr>
          <w:rFonts w:hint="eastAsia"/>
        </w:rPr>
      </w:pPr>
    </w:p>
    <w:p w14:paraId="361CA50D">
      <w:pPr>
        <w:pStyle w:val="5"/>
        <w:ind w:left="1135"/>
        <w:rPr>
          <w:rFonts w:hint="eastAsia"/>
        </w:rPr>
      </w:pPr>
      <w:r>
        <w:rPr>
          <w:rFonts w:hint="eastAsia"/>
        </w:rPr>
        <w:t>市民服务热线水务海洋业务管理平台升级改造</w:t>
      </w:r>
    </w:p>
    <w:tbl>
      <w:tblPr>
        <w:tblStyle w:val="35"/>
        <w:tblW w:w="5000" w:type="pct"/>
        <w:tblInd w:w="0" w:type="dxa"/>
        <w:tblLayout w:type="autofit"/>
        <w:tblCellMar>
          <w:top w:w="0" w:type="dxa"/>
          <w:left w:w="108" w:type="dxa"/>
          <w:bottom w:w="0" w:type="dxa"/>
          <w:right w:w="108" w:type="dxa"/>
        </w:tblCellMar>
      </w:tblPr>
      <w:tblGrid>
        <w:gridCol w:w="698"/>
        <w:gridCol w:w="3142"/>
        <w:gridCol w:w="4688"/>
      </w:tblGrid>
      <w:tr w14:paraId="5F313A8A">
        <w:tblPrEx>
          <w:tblCellMar>
            <w:top w:w="0" w:type="dxa"/>
            <w:left w:w="108" w:type="dxa"/>
            <w:bottom w:w="0" w:type="dxa"/>
            <w:right w:w="108" w:type="dxa"/>
          </w:tblCellMar>
        </w:tblPrEx>
        <w:trPr>
          <w:trHeight w:val="315" w:hRule="atLeast"/>
          <w:tblHeader/>
        </w:trPr>
        <w:tc>
          <w:tcPr>
            <w:tcW w:w="216" w:type="pct"/>
            <w:tcBorders>
              <w:top w:val="single" w:color="auto" w:sz="4" w:space="0"/>
              <w:left w:val="single" w:color="auto" w:sz="4" w:space="0"/>
              <w:bottom w:val="single" w:color="auto" w:sz="4" w:space="0"/>
              <w:right w:val="single" w:color="auto" w:sz="4" w:space="0"/>
            </w:tcBorders>
            <w:shd w:val="clear" w:color="000000" w:fill="F8CBAD"/>
            <w:noWrap/>
            <w:vAlign w:val="center"/>
          </w:tcPr>
          <w:p w14:paraId="1C629194">
            <w:pPr>
              <w:widowControl/>
              <w:spacing w:line="240" w:lineRule="auto"/>
              <w:ind w:firstLine="0" w:firstLineChars="0"/>
              <w:jc w:val="center"/>
              <w:rPr>
                <w:rFonts w:hint="eastAsia" w:cs="宋体"/>
                <w:b/>
                <w:bCs/>
                <w:color w:val="000000"/>
                <w:kern w:val="0"/>
              </w:rPr>
            </w:pPr>
            <w:r>
              <w:rPr>
                <w:rFonts w:hint="eastAsia" w:cs="宋体"/>
                <w:b/>
                <w:bCs/>
                <w:color w:val="000000"/>
                <w:kern w:val="0"/>
              </w:rPr>
              <w:t>序号</w:t>
            </w:r>
          </w:p>
        </w:tc>
        <w:tc>
          <w:tcPr>
            <w:tcW w:w="1939" w:type="pct"/>
            <w:tcBorders>
              <w:top w:val="single" w:color="auto" w:sz="4" w:space="0"/>
              <w:left w:val="nil"/>
              <w:bottom w:val="single" w:color="auto" w:sz="4" w:space="0"/>
              <w:right w:val="single" w:color="auto" w:sz="4" w:space="0"/>
            </w:tcBorders>
            <w:shd w:val="clear" w:color="000000" w:fill="F8CBAD"/>
            <w:vAlign w:val="center"/>
          </w:tcPr>
          <w:p w14:paraId="76A8E008">
            <w:pPr>
              <w:widowControl/>
              <w:spacing w:line="240" w:lineRule="auto"/>
              <w:ind w:firstLine="0" w:firstLineChars="0"/>
              <w:jc w:val="center"/>
              <w:rPr>
                <w:rFonts w:hint="eastAsia" w:cs="宋体"/>
                <w:b/>
                <w:bCs/>
                <w:color w:val="000000"/>
                <w:kern w:val="0"/>
              </w:rPr>
            </w:pPr>
            <w:r>
              <w:rPr>
                <w:rFonts w:hint="eastAsia" w:cs="宋体"/>
                <w:b/>
                <w:bCs/>
                <w:color w:val="000000"/>
                <w:kern w:val="0"/>
              </w:rPr>
              <w:t>功能名称</w:t>
            </w:r>
          </w:p>
        </w:tc>
        <w:tc>
          <w:tcPr>
            <w:tcW w:w="2845" w:type="pct"/>
            <w:tcBorders>
              <w:top w:val="single" w:color="auto" w:sz="4" w:space="0"/>
              <w:left w:val="nil"/>
              <w:bottom w:val="single" w:color="auto" w:sz="4" w:space="0"/>
              <w:right w:val="single" w:color="auto" w:sz="4" w:space="0"/>
            </w:tcBorders>
            <w:shd w:val="clear" w:color="000000" w:fill="F8CBAD"/>
            <w:vAlign w:val="center"/>
          </w:tcPr>
          <w:p w14:paraId="2B2EE08E">
            <w:pPr>
              <w:widowControl/>
              <w:spacing w:line="240" w:lineRule="auto"/>
              <w:ind w:firstLine="0" w:firstLineChars="0"/>
              <w:jc w:val="center"/>
              <w:rPr>
                <w:rFonts w:hint="eastAsia" w:cs="宋体"/>
                <w:b/>
                <w:bCs/>
                <w:color w:val="000000"/>
                <w:kern w:val="0"/>
              </w:rPr>
            </w:pPr>
            <w:r>
              <w:rPr>
                <w:rFonts w:hint="eastAsia" w:cs="宋体"/>
                <w:b/>
                <w:bCs/>
                <w:color w:val="000000"/>
                <w:kern w:val="0"/>
              </w:rPr>
              <w:t>功能描述</w:t>
            </w:r>
          </w:p>
        </w:tc>
      </w:tr>
      <w:tr w14:paraId="5C98BFD4">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74CBE24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1939" w:type="pct"/>
            <w:tcBorders>
              <w:top w:val="nil"/>
              <w:left w:val="nil"/>
              <w:bottom w:val="single" w:color="auto" w:sz="4" w:space="0"/>
              <w:right w:val="single" w:color="auto" w:sz="4" w:space="0"/>
            </w:tcBorders>
            <w:vAlign w:val="center"/>
          </w:tcPr>
          <w:p w14:paraId="2148965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lang w:eastAsia="zh-CN"/>
              </w:rPr>
              <w:t>XC</w:t>
            </w:r>
            <w:r>
              <w:rPr>
                <w:rFonts w:hint="eastAsia" w:cs="宋体"/>
                <w:color w:val="000000"/>
                <w:kern w:val="0"/>
                <w:sz w:val="22"/>
                <w:szCs w:val="22"/>
              </w:rPr>
              <w:t>改造-业务处理</w:t>
            </w:r>
          </w:p>
        </w:tc>
        <w:tc>
          <w:tcPr>
            <w:tcW w:w="2845" w:type="pct"/>
            <w:tcBorders>
              <w:top w:val="nil"/>
              <w:left w:val="nil"/>
              <w:bottom w:val="single" w:color="auto" w:sz="4" w:space="0"/>
              <w:right w:val="single" w:color="auto" w:sz="4" w:space="0"/>
            </w:tcBorders>
            <w:vAlign w:val="center"/>
          </w:tcPr>
          <w:p w14:paraId="310DC9E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实现业务处理功能的</w:t>
            </w:r>
            <w:r>
              <w:rPr>
                <w:rFonts w:hint="eastAsia" w:cs="宋体"/>
                <w:color w:val="000000"/>
                <w:kern w:val="0"/>
                <w:sz w:val="22"/>
                <w:szCs w:val="22"/>
                <w:lang w:eastAsia="zh-CN"/>
              </w:rPr>
              <w:t>XC</w:t>
            </w:r>
            <w:r>
              <w:rPr>
                <w:rFonts w:hint="eastAsia" w:cs="宋体"/>
                <w:color w:val="000000"/>
                <w:kern w:val="0"/>
                <w:sz w:val="22"/>
                <w:szCs w:val="22"/>
              </w:rPr>
              <w:t>改造</w:t>
            </w:r>
          </w:p>
        </w:tc>
      </w:tr>
      <w:tr w14:paraId="46AB6F99">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0860211B">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2</w:t>
            </w:r>
          </w:p>
        </w:tc>
        <w:tc>
          <w:tcPr>
            <w:tcW w:w="1939" w:type="pct"/>
            <w:tcBorders>
              <w:top w:val="nil"/>
              <w:left w:val="nil"/>
              <w:bottom w:val="single" w:color="auto" w:sz="4" w:space="0"/>
              <w:right w:val="single" w:color="auto" w:sz="4" w:space="0"/>
            </w:tcBorders>
            <w:vAlign w:val="center"/>
          </w:tcPr>
          <w:p w14:paraId="562D99D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lang w:eastAsia="zh-CN"/>
              </w:rPr>
              <w:t>XC</w:t>
            </w:r>
            <w:r>
              <w:rPr>
                <w:rFonts w:hint="eastAsia" w:cs="宋体"/>
                <w:color w:val="000000"/>
                <w:kern w:val="0"/>
                <w:sz w:val="22"/>
                <w:szCs w:val="22"/>
              </w:rPr>
              <w:t>改造-统计分析</w:t>
            </w:r>
          </w:p>
        </w:tc>
        <w:tc>
          <w:tcPr>
            <w:tcW w:w="2845" w:type="pct"/>
            <w:tcBorders>
              <w:top w:val="nil"/>
              <w:left w:val="nil"/>
              <w:bottom w:val="single" w:color="auto" w:sz="4" w:space="0"/>
              <w:right w:val="single" w:color="auto" w:sz="4" w:space="0"/>
            </w:tcBorders>
            <w:vAlign w:val="center"/>
          </w:tcPr>
          <w:p w14:paraId="7F3014D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实现统计分析功能的</w:t>
            </w:r>
            <w:r>
              <w:rPr>
                <w:rFonts w:hint="eastAsia" w:cs="宋体"/>
                <w:color w:val="000000"/>
                <w:kern w:val="0"/>
                <w:sz w:val="22"/>
                <w:szCs w:val="22"/>
                <w:lang w:eastAsia="zh-CN"/>
              </w:rPr>
              <w:t>XC</w:t>
            </w:r>
            <w:r>
              <w:rPr>
                <w:rFonts w:hint="eastAsia" w:cs="宋体"/>
                <w:color w:val="000000"/>
                <w:kern w:val="0"/>
                <w:sz w:val="22"/>
                <w:szCs w:val="22"/>
              </w:rPr>
              <w:t>改造</w:t>
            </w:r>
          </w:p>
        </w:tc>
      </w:tr>
      <w:tr w14:paraId="76C67793">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41695D9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3</w:t>
            </w:r>
          </w:p>
        </w:tc>
        <w:tc>
          <w:tcPr>
            <w:tcW w:w="1939" w:type="pct"/>
            <w:tcBorders>
              <w:top w:val="nil"/>
              <w:left w:val="nil"/>
              <w:bottom w:val="single" w:color="auto" w:sz="4" w:space="0"/>
              <w:right w:val="single" w:color="auto" w:sz="4" w:space="0"/>
            </w:tcBorders>
            <w:vAlign w:val="center"/>
          </w:tcPr>
          <w:p w14:paraId="4B00D83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lang w:eastAsia="zh-CN"/>
              </w:rPr>
              <w:t>XC</w:t>
            </w:r>
            <w:r>
              <w:rPr>
                <w:rFonts w:hint="eastAsia" w:cs="宋体"/>
                <w:color w:val="000000"/>
                <w:kern w:val="0"/>
                <w:sz w:val="22"/>
                <w:szCs w:val="22"/>
              </w:rPr>
              <w:t>改造-数据交互与数据服务</w:t>
            </w:r>
          </w:p>
        </w:tc>
        <w:tc>
          <w:tcPr>
            <w:tcW w:w="2845" w:type="pct"/>
            <w:tcBorders>
              <w:top w:val="nil"/>
              <w:left w:val="nil"/>
              <w:bottom w:val="single" w:color="auto" w:sz="4" w:space="0"/>
              <w:right w:val="single" w:color="auto" w:sz="4" w:space="0"/>
            </w:tcBorders>
            <w:vAlign w:val="center"/>
          </w:tcPr>
          <w:p w14:paraId="1833750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实现数据交互与数据服务功能的</w:t>
            </w:r>
            <w:r>
              <w:rPr>
                <w:rFonts w:hint="eastAsia" w:cs="宋体"/>
                <w:color w:val="000000"/>
                <w:kern w:val="0"/>
                <w:sz w:val="22"/>
                <w:szCs w:val="22"/>
                <w:lang w:eastAsia="zh-CN"/>
              </w:rPr>
              <w:t>XC</w:t>
            </w:r>
            <w:r>
              <w:rPr>
                <w:rFonts w:hint="eastAsia" w:cs="宋体"/>
                <w:color w:val="000000"/>
                <w:kern w:val="0"/>
                <w:sz w:val="22"/>
                <w:szCs w:val="22"/>
              </w:rPr>
              <w:t>改造</w:t>
            </w:r>
          </w:p>
        </w:tc>
      </w:tr>
      <w:tr w14:paraId="00D643AD">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1D04A58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4</w:t>
            </w:r>
          </w:p>
        </w:tc>
        <w:tc>
          <w:tcPr>
            <w:tcW w:w="1939" w:type="pct"/>
            <w:tcBorders>
              <w:top w:val="nil"/>
              <w:left w:val="nil"/>
              <w:bottom w:val="single" w:color="auto" w:sz="4" w:space="0"/>
              <w:right w:val="single" w:color="auto" w:sz="4" w:space="0"/>
            </w:tcBorders>
            <w:vAlign w:val="center"/>
          </w:tcPr>
          <w:p w14:paraId="51C2698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lang w:eastAsia="zh-CN"/>
              </w:rPr>
              <w:t>XC</w:t>
            </w:r>
            <w:r>
              <w:rPr>
                <w:rFonts w:hint="eastAsia" w:cs="宋体"/>
                <w:color w:val="000000"/>
                <w:kern w:val="0"/>
                <w:sz w:val="22"/>
                <w:szCs w:val="22"/>
              </w:rPr>
              <w:t>改造-平台功能开发与完善</w:t>
            </w:r>
          </w:p>
        </w:tc>
        <w:tc>
          <w:tcPr>
            <w:tcW w:w="2845" w:type="pct"/>
            <w:tcBorders>
              <w:top w:val="nil"/>
              <w:left w:val="nil"/>
              <w:bottom w:val="single" w:color="auto" w:sz="4" w:space="0"/>
              <w:right w:val="single" w:color="auto" w:sz="4" w:space="0"/>
            </w:tcBorders>
            <w:vAlign w:val="center"/>
          </w:tcPr>
          <w:p w14:paraId="67AEC75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实现平台功能开发与完善功能的</w:t>
            </w:r>
            <w:r>
              <w:rPr>
                <w:rFonts w:hint="eastAsia" w:cs="宋体"/>
                <w:color w:val="000000"/>
                <w:kern w:val="0"/>
                <w:sz w:val="22"/>
                <w:szCs w:val="22"/>
                <w:lang w:eastAsia="zh-CN"/>
              </w:rPr>
              <w:t>XC</w:t>
            </w:r>
            <w:r>
              <w:rPr>
                <w:rFonts w:hint="eastAsia" w:cs="宋体"/>
                <w:color w:val="000000"/>
                <w:kern w:val="0"/>
                <w:sz w:val="22"/>
                <w:szCs w:val="22"/>
              </w:rPr>
              <w:t>改造</w:t>
            </w:r>
          </w:p>
        </w:tc>
      </w:tr>
      <w:tr w14:paraId="2690974C">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2A21FE92">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5</w:t>
            </w:r>
          </w:p>
        </w:tc>
        <w:tc>
          <w:tcPr>
            <w:tcW w:w="1939" w:type="pct"/>
            <w:tcBorders>
              <w:top w:val="nil"/>
              <w:left w:val="nil"/>
              <w:bottom w:val="single" w:color="auto" w:sz="4" w:space="0"/>
              <w:right w:val="single" w:color="auto" w:sz="4" w:space="0"/>
            </w:tcBorders>
            <w:vAlign w:val="center"/>
          </w:tcPr>
          <w:p w14:paraId="360DDE1F">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lang w:eastAsia="zh-CN"/>
              </w:rPr>
              <w:t>XC</w:t>
            </w:r>
            <w:r>
              <w:rPr>
                <w:rFonts w:hint="eastAsia" w:cs="宋体"/>
                <w:color w:val="000000"/>
                <w:kern w:val="0"/>
                <w:sz w:val="22"/>
                <w:szCs w:val="22"/>
              </w:rPr>
              <w:t>改造-移动应用</w:t>
            </w:r>
          </w:p>
        </w:tc>
        <w:tc>
          <w:tcPr>
            <w:tcW w:w="2845" w:type="pct"/>
            <w:tcBorders>
              <w:top w:val="nil"/>
              <w:left w:val="nil"/>
              <w:bottom w:val="single" w:color="auto" w:sz="4" w:space="0"/>
              <w:right w:val="single" w:color="auto" w:sz="4" w:space="0"/>
            </w:tcBorders>
            <w:vAlign w:val="center"/>
          </w:tcPr>
          <w:p w14:paraId="09C1DF2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实现移动应用功能的</w:t>
            </w:r>
            <w:r>
              <w:rPr>
                <w:rFonts w:hint="eastAsia" w:cs="宋体"/>
                <w:color w:val="000000"/>
                <w:kern w:val="0"/>
                <w:sz w:val="22"/>
                <w:szCs w:val="22"/>
                <w:lang w:eastAsia="zh-CN"/>
              </w:rPr>
              <w:t>XC</w:t>
            </w:r>
            <w:r>
              <w:rPr>
                <w:rFonts w:hint="eastAsia" w:cs="宋体"/>
                <w:color w:val="000000"/>
                <w:kern w:val="0"/>
                <w:sz w:val="22"/>
                <w:szCs w:val="22"/>
              </w:rPr>
              <w:t>改造</w:t>
            </w:r>
          </w:p>
        </w:tc>
      </w:tr>
      <w:tr w14:paraId="210240B8">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1AB243A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6</w:t>
            </w:r>
          </w:p>
        </w:tc>
        <w:tc>
          <w:tcPr>
            <w:tcW w:w="1939" w:type="pct"/>
            <w:tcBorders>
              <w:top w:val="nil"/>
              <w:left w:val="nil"/>
              <w:bottom w:val="single" w:color="auto" w:sz="4" w:space="0"/>
              <w:right w:val="single" w:color="auto" w:sz="4" w:space="0"/>
            </w:tcBorders>
            <w:vAlign w:val="center"/>
          </w:tcPr>
          <w:p w14:paraId="6379C98A">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lang w:eastAsia="zh-CN"/>
              </w:rPr>
              <w:t>XC</w:t>
            </w:r>
            <w:r>
              <w:rPr>
                <w:rFonts w:hint="eastAsia" w:cs="宋体"/>
                <w:color w:val="000000"/>
                <w:kern w:val="0"/>
                <w:sz w:val="22"/>
                <w:szCs w:val="22"/>
              </w:rPr>
              <w:t>改造-系统管理</w:t>
            </w:r>
          </w:p>
        </w:tc>
        <w:tc>
          <w:tcPr>
            <w:tcW w:w="2845" w:type="pct"/>
            <w:tcBorders>
              <w:top w:val="nil"/>
              <w:left w:val="nil"/>
              <w:bottom w:val="single" w:color="auto" w:sz="4" w:space="0"/>
              <w:right w:val="single" w:color="auto" w:sz="4" w:space="0"/>
            </w:tcBorders>
            <w:vAlign w:val="center"/>
          </w:tcPr>
          <w:p w14:paraId="192DA7A8">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实现系统管理功能的</w:t>
            </w:r>
            <w:r>
              <w:rPr>
                <w:rFonts w:hint="eastAsia" w:cs="宋体"/>
                <w:color w:val="000000"/>
                <w:kern w:val="0"/>
                <w:sz w:val="22"/>
                <w:szCs w:val="22"/>
                <w:lang w:eastAsia="zh-CN"/>
              </w:rPr>
              <w:t>XC</w:t>
            </w:r>
            <w:r>
              <w:rPr>
                <w:rFonts w:hint="eastAsia" w:cs="宋体"/>
                <w:color w:val="000000"/>
                <w:kern w:val="0"/>
                <w:sz w:val="22"/>
                <w:szCs w:val="22"/>
              </w:rPr>
              <w:t>改造</w:t>
            </w:r>
          </w:p>
        </w:tc>
      </w:tr>
      <w:tr w14:paraId="3068911D">
        <w:tblPrEx>
          <w:tblCellMar>
            <w:top w:w="0" w:type="dxa"/>
            <w:left w:w="108" w:type="dxa"/>
            <w:bottom w:w="0" w:type="dxa"/>
            <w:right w:w="108" w:type="dxa"/>
          </w:tblCellMar>
        </w:tblPrEx>
        <w:trPr>
          <w:trHeight w:val="540" w:hRule="atLeast"/>
        </w:trPr>
        <w:tc>
          <w:tcPr>
            <w:tcW w:w="216" w:type="pct"/>
            <w:tcBorders>
              <w:top w:val="nil"/>
              <w:left w:val="single" w:color="auto" w:sz="4" w:space="0"/>
              <w:bottom w:val="single" w:color="auto" w:sz="4" w:space="0"/>
              <w:right w:val="single" w:color="auto" w:sz="4" w:space="0"/>
            </w:tcBorders>
            <w:noWrap/>
            <w:vAlign w:val="center"/>
          </w:tcPr>
          <w:p w14:paraId="6F647E58">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7</w:t>
            </w:r>
          </w:p>
        </w:tc>
        <w:tc>
          <w:tcPr>
            <w:tcW w:w="1939" w:type="pct"/>
            <w:tcBorders>
              <w:top w:val="nil"/>
              <w:left w:val="nil"/>
              <w:bottom w:val="single" w:color="auto" w:sz="4" w:space="0"/>
              <w:right w:val="single" w:color="auto" w:sz="4" w:space="0"/>
            </w:tcBorders>
            <w:vAlign w:val="center"/>
          </w:tcPr>
          <w:p w14:paraId="37046B3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热线业务图谱管理与应用-热线业务图谱管理</w:t>
            </w:r>
          </w:p>
        </w:tc>
        <w:tc>
          <w:tcPr>
            <w:tcW w:w="2845" w:type="pct"/>
            <w:tcBorders>
              <w:top w:val="nil"/>
              <w:left w:val="nil"/>
              <w:bottom w:val="single" w:color="auto" w:sz="4" w:space="0"/>
              <w:right w:val="single" w:color="auto" w:sz="4" w:space="0"/>
            </w:tcBorders>
            <w:vAlign w:val="center"/>
          </w:tcPr>
          <w:p w14:paraId="2A3ECFA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构建具有水务海洋特色的热线知识库，形成完整的水务海洋热线知识体系与知识图谱。</w:t>
            </w:r>
          </w:p>
        </w:tc>
      </w:tr>
      <w:tr w14:paraId="7CB5D92A">
        <w:tblPrEx>
          <w:tblCellMar>
            <w:top w:w="0" w:type="dxa"/>
            <w:left w:w="108" w:type="dxa"/>
            <w:bottom w:w="0" w:type="dxa"/>
            <w:right w:w="108" w:type="dxa"/>
          </w:tblCellMar>
        </w:tblPrEx>
        <w:trPr>
          <w:trHeight w:val="540" w:hRule="atLeast"/>
        </w:trPr>
        <w:tc>
          <w:tcPr>
            <w:tcW w:w="216" w:type="pct"/>
            <w:tcBorders>
              <w:top w:val="nil"/>
              <w:left w:val="single" w:color="auto" w:sz="4" w:space="0"/>
              <w:bottom w:val="single" w:color="auto" w:sz="4" w:space="0"/>
              <w:right w:val="single" w:color="auto" w:sz="4" w:space="0"/>
            </w:tcBorders>
            <w:noWrap/>
            <w:vAlign w:val="center"/>
          </w:tcPr>
          <w:p w14:paraId="06AD6601">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8</w:t>
            </w:r>
          </w:p>
        </w:tc>
        <w:tc>
          <w:tcPr>
            <w:tcW w:w="1939" w:type="pct"/>
            <w:tcBorders>
              <w:top w:val="nil"/>
              <w:left w:val="nil"/>
              <w:bottom w:val="single" w:color="auto" w:sz="4" w:space="0"/>
              <w:right w:val="single" w:color="auto" w:sz="4" w:space="0"/>
            </w:tcBorders>
            <w:vAlign w:val="center"/>
          </w:tcPr>
          <w:p w14:paraId="0726F485">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热线业务图谱管理与应用-热线业务图谱应用</w:t>
            </w:r>
          </w:p>
        </w:tc>
        <w:tc>
          <w:tcPr>
            <w:tcW w:w="2845" w:type="pct"/>
            <w:tcBorders>
              <w:top w:val="nil"/>
              <w:left w:val="nil"/>
              <w:bottom w:val="single" w:color="auto" w:sz="4" w:space="0"/>
              <w:right w:val="single" w:color="auto" w:sz="4" w:space="0"/>
            </w:tcBorders>
            <w:vAlign w:val="center"/>
          </w:tcPr>
          <w:p w14:paraId="2263FA02">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通过对海量热线工单、历史数据及外部相关数据的深度挖掘与分析，实现对水务业务动态的关键指标实时监控、高频问题追踪、复杂问题的数据分析。</w:t>
            </w:r>
          </w:p>
        </w:tc>
      </w:tr>
      <w:tr w14:paraId="353E2C31">
        <w:tblPrEx>
          <w:tblCellMar>
            <w:top w:w="0" w:type="dxa"/>
            <w:left w:w="108" w:type="dxa"/>
            <w:bottom w:w="0" w:type="dxa"/>
            <w:right w:w="108" w:type="dxa"/>
          </w:tblCellMar>
        </w:tblPrEx>
        <w:trPr>
          <w:trHeight w:val="540" w:hRule="atLeast"/>
        </w:trPr>
        <w:tc>
          <w:tcPr>
            <w:tcW w:w="216" w:type="pct"/>
            <w:tcBorders>
              <w:top w:val="nil"/>
              <w:left w:val="single" w:color="auto" w:sz="4" w:space="0"/>
              <w:bottom w:val="single" w:color="auto" w:sz="4" w:space="0"/>
              <w:right w:val="single" w:color="auto" w:sz="4" w:space="0"/>
            </w:tcBorders>
            <w:noWrap/>
            <w:vAlign w:val="center"/>
          </w:tcPr>
          <w:p w14:paraId="36F2C5C7">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9</w:t>
            </w:r>
          </w:p>
        </w:tc>
        <w:tc>
          <w:tcPr>
            <w:tcW w:w="1939" w:type="pct"/>
            <w:tcBorders>
              <w:top w:val="nil"/>
              <w:left w:val="nil"/>
              <w:bottom w:val="single" w:color="auto" w:sz="4" w:space="0"/>
              <w:right w:val="single" w:color="auto" w:sz="4" w:space="0"/>
            </w:tcBorders>
            <w:vAlign w:val="center"/>
          </w:tcPr>
          <w:p w14:paraId="580703B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热线轻应用升级改造-移动端业务办理</w:t>
            </w:r>
          </w:p>
        </w:tc>
        <w:tc>
          <w:tcPr>
            <w:tcW w:w="2845" w:type="pct"/>
            <w:tcBorders>
              <w:top w:val="nil"/>
              <w:left w:val="nil"/>
              <w:bottom w:val="single" w:color="auto" w:sz="4" w:space="0"/>
              <w:right w:val="single" w:color="auto" w:sz="4" w:space="0"/>
            </w:tcBorders>
            <w:vAlign w:val="center"/>
          </w:tcPr>
          <w:p w14:paraId="08C7B31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针对上海市水务局承办的12345、12319、110主要三类热线工单的收单功能进行优化。</w:t>
            </w:r>
          </w:p>
        </w:tc>
      </w:tr>
      <w:tr w14:paraId="194F42A3">
        <w:tblPrEx>
          <w:tblCellMar>
            <w:top w:w="0" w:type="dxa"/>
            <w:left w:w="108" w:type="dxa"/>
            <w:bottom w:w="0" w:type="dxa"/>
            <w:right w:w="108" w:type="dxa"/>
          </w:tblCellMar>
        </w:tblPrEx>
        <w:trPr>
          <w:trHeight w:val="540" w:hRule="atLeast"/>
        </w:trPr>
        <w:tc>
          <w:tcPr>
            <w:tcW w:w="216" w:type="pct"/>
            <w:tcBorders>
              <w:top w:val="nil"/>
              <w:left w:val="single" w:color="auto" w:sz="4" w:space="0"/>
              <w:bottom w:val="single" w:color="auto" w:sz="4" w:space="0"/>
              <w:right w:val="single" w:color="auto" w:sz="4" w:space="0"/>
            </w:tcBorders>
            <w:noWrap/>
            <w:vAlign w:val="center"/>
          </w:tcPr>
          <w:p w14:paraId="0A817CC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10</w:t>
            </w:r>
          </w:p>
        </w:tc>
        <w:tc>
          <w:tcPr>
            <w:tcW w:w="1939" w:type="pct"/>
            <w:tcBorders>
              <w:top w:val="nil"/>
              <w:left w:val="nil"/>
              <w:bottom w:val="single" w:color="auto" w:sz="4" w:space="0"/>
              <w:right w:val="single" w:color="auto" w:sz="4" w:space="0"/>
            </w:tcBorders>
            <w:vAlign w:val="center"/>
          </w:tcPr>
          <w:p w14:paraId="4E0AA906">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热线轻应用升级改造-对接随申办政务云-对接随申办政务云</w:t>
            </w:r>
          </w:p>
        </w:tc>
        <w:tc>
          <w:tcPr>
            <w:tcW w:w="2845" w:type="pct"/>
            <w:tcBorders>
              <w:top w:val="nil"/>
              <w:left w:val="nil"/>
              <w:bottom w:val="single" w:color="auto" w:sz="4" w:space="0"/>
              <w:right w:val="single" w:color="auto" w:sz="4" w:space="0"/>
            </w:tcBorders>
            <w:vAlign w:val="center"/>
          </w:tcPr>
          <w:p w14:paraId="09E00FB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基于政务云随申办的架构，构建水务海洋热线工单办理的移动应用，实现工单查看、状态跟踪、信息采集、办理反馈等.</w:t>
            </w:r>
          </w:p>
        </w:tc>
      </w:tr>
      <w:tr w14:paraId="67414DB5">
        <w:tblPrEx>
          <w:tblCellMar>
            <w:top w:w="0" w:type="dxa"/>
            <w:left w:w="108" w:type="dxa"/>
            <w:bottom w:w="0" w:type="dxa"/>
            <w:right w:w="108" w:type="dxa"/>
          </w:tblCellMar>
        </w:tblPrEx>
        <w:trPr>
          <w:trHeight w:val="540" w:hRule="atLeast"/>
        </w:trPr>
        <w:tc>
          <w:tcPr>
            <w:tcW w:w="216" w:type="pct"/>
            <w:tcBorders>
              <w:top w:val="nil"/>
              <w:left w:val="single" w:color="auto" w:sz="4" w:space="0"/>
              <w:bottom w:val="single" w:color="auto" w:sz="4" w:space="0"/>
              <w:right w:val="single" w:color="auto" w:sz="4" w:space="0"/>
            </w:tcBorders>
            <w:noWrap/>
            <w:vAlign w:val="center"/>
          </w:tcPr>
          <w:p w14:paraId="74FC3F33">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11</w:t>
            </w:r>
          </w:p>
        </w:tc>
        <w:tc>
          <w:tcPr>
            <w:tcW w:w="1939" w:type="pct"/>
            <w:tcBorders>
              <w:top w:val="nil"/>
              <w:left w:val="nil"/>
              <w:bottom w:val="single" w:color="auto" w:sz="4" w:space="0"/>
              <w:right w:val="single" w:color="auto" w:sz="4" w:space="0"/>
            </w:tcBorders>
            <w:vAlign w:val="center"/>
          </w:tcPr>
          <w:p w14:paraId="4A84700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热线工单流转升级改造-工单流转升级改造</w:t>
            </w:r>
          </w:p>
        </w:tc>
        <w:tc>
          <w:tcPr>
            <w:tcW w:w="2845" w:type="pct"/>
            <w:tcBorders>
              <w:top w:val="nil"/>
              <w:left w:val="nil"/>
              <w:bottom w:val="single" w:color="auto" w:sz="4" w:space="0"/>
              <w:right w:val="single" w:color="auto" w:sz="4" w:space="0"/>
            </w:tcBorders>
            <w:vAlign w:val="center"/>
          </w:tcPr>
          <w:p w14:paraId="5228CB9C">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针对上海市水务局承办的12345、12319、110主要三类热线工单的收单、派单功能进行优化。</w:t>
            </w:r>
          </w:p>
        </w:tc>
      </w:tr>
      <w:tr w14:paraId="48A6A843">
        <w:tblPrEx>
          <w:tblCellMar>
            <w:top w:w="0" w:type="dxa"/>
            <w:left w:w="108" w:type="dxa"/>
            <w:bottom w:w="0" w:type="dxa"/>
            <w:right w:w="108" w:type="dxa"/>
          </w:tblCellMar>
        </w:tblPrEx>
        <w:trPr>
          <w:trHeight w:val="278" w:hRule="atLeast"/>
        </w:trPr>
        <w:tc>
          <w:tcPr>
            <w:tcW w:w="216" w:type="pct"/>
            <w:tcBorders>
              <w:top w:val="nil"/>
              <w:left w:val="single" w:color="auto" w:sz="4" w:space="0"/>
              <w:bottom w:val="single" w:color="auto" w:sz="4" w:space="0"/>
              <w:right w:val="single" w:color="auto" w:sz="4" w:space="0"/>
            </w:tcBorders>
            <w:noWrap/>
            <w:vAlign w:val="center"/>
          </w:tcPr>
          <w:p w14:paraId="412971A6">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12</w:t>
            </w:r>
          </w:p>
        </w:tc>
        <w:tc>
          <w:tcPr>
            <w:tcW w:w="1939" w:type="pct"/>
            <w:tcBorders>
              <w:top w:val="nil"/>
              <w:left w:val="nil"/>
              <w:bottom w:val="single" w:color="auto" w:sz="4" w:space="0"/>
              <w:right w:val="single" w:color="auto" w:sz="4" w:space="0"/>
            </w:tcBorders>
            <w:vAlign w:val="center"/>
          </w:tcPr>
          <w:p w14:paraId="178BF8E1">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热线工单流转升级改造-数据共享升级改造</w:t>
            </w:r>
          </w:p>
        </w:tc>
        <w:tc>
          <w:tcPr>
            <w:tcW w:w="2845" w:type="pct"/>
            <w:tcBorders>
              <w:top w:val="nil"/>
              <w:left w:val="nil"/>
              <w:bottom w:val="single" w:color="auto" w:sz="4" w:space="0"/>
              <w:right w:val="single" w:color="auto" w:sz="4" w:space="0"/>
            </w:tcBorders>
            <w:vAlign w:val="center"/>
          </w:tcPr>
          <w:p w14:paraId="01CA80F3">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完善热线工单流转数据共享的数据交互接口。</w:t>
            </w:r>
          </w:p>
        </w:tc>
      </w:tr>
      <w:tr w14:paraId="753D430F">
        <w:tblPrEx>
          <w:tblCellMar>
            <w:top w:w="0" w:type="dxa"/>
            <w:left w:w="108" w:type="dxa"/>
            <w:bottom w:w="0" w:type="dxa"/>
            <w:right w:w="108" w:type="dxa"/>
          </w:tblCellMar>
        </w:tblPrEx>
        <w:trPr>
          <w:trHeight w:val="540" w:hRule="atLeast"/>
        </w:trPr>
        <w:tc>
          <w:tcPr>
            <w:tcW w:w="216" w:type="pct"/>
            <w:tcBorders>
              <w:top w:val="nil"/>
              <w:left w:val="single" w:color="auto" w:sz="4" w:space="0"/>
              <w:bottom w:val="single" w:color="auto" w:sz="4" w:space="0"/>
              <w:right w:val="single" w:color="auto" w:sz="4" w:space="0"/>
            </w:tcBorders>
            <w:noWrap/>
            <w:vAlign w:val="center"/>
          </w:tcPr>
          <w:p w14:paraId="629E8C8D">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13</w:t>
            </w:r>
          </w:p>
        </w:tc>
        <w:tc>
          <w:tcPr>
            <w:tcW w:w="1939" w:type="pct"/>
            <w:tcBorders>
              <w:top w:val="nil"/>
              <w:left w:val="nil"/>
              <w:bottom w:val="single" w:color="auto" w:sz="4" w:space="0"/>
              <w:right w:val="single" w:color="auto" w:sz="4" w:space="0"/>
            </w:tcBorders>
            <w:vAlign w:val="center"/>
          </w:tcPr>
          <w:p w14:paraId="4ADC3B94">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智慧水务热线大屏升级改造</w:t>
            </w:r>
          </w:p>
        </w:tc>
        <w:tc>
          <w:tcPr>
            <w:tcW w:w="2845" w:type="pct"/>
            <w:tcBorders>
              <w:top w:val="nil"/>
              <w:left w:val="nil"/>
              <w:bottom w:val="single" w:color="auto" w:sz="4" w:space="0"/>
              <w:right w:val="single" w:color="auto" w:sz="4" w:space="0"/>
            </w:tcBorders>
            <w:vAlign w:val="center"/>
          </w:tcPr>
          <w:p w14:paraId="59A1F70B">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建设智慧水务热线大屏展示内容，主要包括实时工单、区域分布、诉求热度、数据研判、趋势分析等功能。</w:t>
            </w:r>
          </w:p>
        </w:tc>
      </w:tr>
      <w:tr w14:paraId="42764009">
        <w:tblPrEx>
          <w:tblCellMar>
            <w:top w:w="0" w:type="dxa"/>
            <w:left w:w="108" w:type="dxa"/>
            <w:bottom w:w="0" w:type="dxa"/>
            <w:right w:w="108" w:type="dxa"/>
          </w:tblCellMar>
        </w:tblPrEx>
        <w:trPr>
          <w:trHeight w:val="810" w:hRule="atLeast"/>
        </w:trPr>
        <w:tc>
          <w:tcPr>
            <w:tcW w:w="216" w:type="pct"/>
            <w:tcBorders>
              <w:top w:val="nil"/>
              <w:left w:val="single" w:color="auto" w:sz="4" w:space="0"/>
              <w:bottom w:val="single" w:color="auto" w:sz="4" w:space="0"/>
              <w:right w:val="single" w:color="auto" w:sz="4" w:space="0"/>
            </w:tcBorders>
            <w:noWrap/>
            <w:vAlign w:val="center"/>
          </w:tcPr>
          <w:p w14:paraId="299816EF">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14</w:t>
            </w:r>
          </w:p>
        </w:tc>
        <w:tc>
          <w:tcPr>
            <w:tcW w:w="1939" w:type="pct"/>
            <w:tcBorders>
              <w:top w:val="nil"/>
              <w:left w:val="nil"/>
              <w:bottom w:val="single" w:color="auto" w:sz="4" w:space="0"/>
              <w:right w:val="single" w:color="auto" w:sz="4" w:space="0"/>
            </w:tcBorders>
            <w:vAlign w:val="center"/>
          </w:tcPr>
          <w:p w14:paraId="46045349">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密码应用</w:t>
            </w:r>
          </w:p>
        </w:tc>
        <w:tc>
          <w:tcPr>
            <w:tcW w:w="2845" w:type="pct"/>
            <w:tcBorders>
              <w:top w:val="nil"/>
              <w:left w:val="nil"/>
              <w:bottom w:val="single" w:color="auto" w:sz="4" w:space="0"/>
              <w:right w:val="single" w:color="auto" w:sz="4" w:space="0"/>
            </w:tcBorders>
            <w:vAlign w:val="center"/>
          </w:tcPr>
          <w:p w14:paraId="2B2C6C87">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完成用户身份认证机制模块、用户访问控制信息签名验签模块、应用系统重要数据签名验签模块、应用系统重要数据加解密模块、重要数据安全传输模块的云平台提供的安全认证网关服务接口、签名验签服务接口、可信密码服务接口的对接功能。</w:t>
            </w:r>
          </w:p>
        </w:tc>
      </w:tr>
    </w:tbl>
    <w:p w14:paraId="391ACD03">
      <w:pPr>
        <w:rPr>
          <w:rFonts w:hint="eastAsia"/>
        </w:rPr>
      </w:pPr>
    </w:p>
    <w:p w14:paraId="24253529">
      <w:pPr>
        <w:rPr>
          <w:rFonts w:hint="eastAsia"/>
        </w:rPr>
      </w:pPr>
    </w:p>
    <w:p w14:paraId="0EC1C5F2">
      <w:pPr>
        <w:rPr>
          <w:rFonts w:hint="eastAsia"/>
        </w:rPr>
      </w:pPr>
    </w:p>
    <w:p w14:paraId="33A41CF3">
      <w:pPr>
        <w:pStyle w:val="5"/>
        <w:ind w:left="1135"/>
        <w:rPr>
          <w:rFonts w:hint="eastAsia"/>
        </w:rPr>
      </w:pPr>
      <w:r>
        <w:rPr>
          <w:rFonts w:hint="eastAsia"/>
        </w:rPr>
        <w:t>上海市水务局电子政务系统升级改造</w:t>
      </w:r>
    </w:p>
    <w:tbl>
      <w:tblPr>
        <w:tblStyle w:val="35"/>
        <w:tblW w:w="5000" w:type="pct"/>
        <w:tblInd w:w="0" w:type="dxa"/>
        <w:tblLayout w:type="autofit"/>
        <w:tblCellMar>
          <w:top w:w="0" w:type="dxa"/>
          <w:left w:w="108" w:type="dxa"/>
          <w:bottom w:w="0" w:type="dxa"/>
          <w:right w:w="108" w:type="dxa"/>
        </w:tblCellMar>
      </w:tblPr>
      <w:tblGrid>
        <w:gridCol w:w="766"/>
        <w:gridCol w:w="2579"/>
        <w:gridCol w:w="5183"/>
      </w:tblGrid>
      <w:tr w14:paraId="25D6539D">
        <w:tblPrEx>
          <w:tblCellMar>
            <w:top w:w="0" w:type="dxa"/>
            <w:left w:w="108" w:type="dxa"/>
            <w:bottom w:w="0" w:type="dxa"/>
            <w:right w:w="108" w:type="dxa"/>
          </w:tblCellMar>
        </w:tblPrEx>
        <w:trPr>
          <w:trHeight w:val="315" w:hRule="atLeast"/>
        </w:trPr>
        <w:tc>
          <w:tcPr>
            <w:tcW w:w="449" w:type="pct"/>
            <w:tcBorders>
              <w:top w:val="single" w:color="auto" w:sz="4" w:space="0"/>
              <w:left w:val="single" w:color="auto" w:sz="4" w:space="0"/>
              <w:bottom w:val="single" w:color="auto" w:sz="4" w:space="0"/>
              <w:right w:val="single" w:color="auto" w:sz="4" w:space="0"/>
            </w:tcBorders>
            <w:shd w:val="clear" w:color="000000" w:fill="F8CBAD"/>
            <w:vAlign w:val="center"/>
          </w:tcPr>
          <w:p w14:paraId="536AD96D">
            <w:pPr>
              <w:widowControl/>
              <w:spacing w:line="240" w:lineRule="auto"/>
              <w:ind w:firstLine="0" w:firstLineChars="0"/>
              <w:jc w:val="center"/>
              <w:rPr>
                <w:rFonts w:hint="eastAsia" w:cs="宋体"/>
                <w:b/>
                <w:bCs/>
                <w:color w:val="000000"/>
                <w:kern w:val="0"/>
              </w:rPr>
            </w:pPr>
            <w:r>
              <w:rPr>
                <w:rFonts w:hint="eastAsia" w:cs="宋体"/>
                <w:b/>
                <w:bCs/>
                <w:color w:val="000000"/>
                <w:kern w:val="0"/>
              </w:rPr>
              <w:t>序号</w:t>
            </w:r>
          </w:p>
        </w:tc>
        <w:tc>
          <w:tcPr>
            <w:tcW w:w="1512" w:type="pct"/>
            <w:tcBorders>
              <w:top w:val="single" w:color="auto" w:sz="4" w:space="0"/>
              <w:left w:val="nil"/>
              <w:bottom w:val="single" w:color="auto" w:sz="4" w:space="0"/>
              <w:right w:val="single" w:color="auto" w:sz="4" w:space="0"/>
            </w:tcBorders>
            <w:shd w:val="clear" w:color="000000" w:fill="F8CBAD"/>
            <w:vAlign w:val="center"/>
          </w:tcPr>
          <w:p w14:paraId="0A94B2CE">
            <w:pPr>
              <w:widowControl/>
              <w:spacing w:line="240" w:lineRule="auto"/>
              <w:ind w:firstLine="0" w:firstLineChars="0"/>
              <w:jc w:val="center"/>
              <w:rPr>
                <w:rFonts w:hint="eastAsia" w:cs="宋体"/>
                <w:b/>
                <w:bCs/>
                <w:color w:val="000000"/>
                <w:kern w:val="0"/>
              </w:rPr>
            </w:pPr>
            <w:r>
              <w:rPr>
                <w:rFonts w:hint="eastAsia" w:cs="宋体"/>
                <w:b/>
                <w:bCs/>
                <w:color w:val="000000"/>
                <w:kern w:val="0"/>
              </w:rPr>
              <w:t>功能名称</w:t>
            </w:r>
          </w:p>
        </w:tc>
        <w:tc>
          <w:tcPr>
            <w:tcW w:w="3040" w:type="pct"/>
            <w:tcBorders>
              <w:top w:val="single" w:color="auto" w:sz="4" w:space="0"/>
              <w:left w:val="nil"/>
              <w:bottom w:val="single" w:color="auto" w:sz="4" w:space="0"/>
              <w:right w:val="single" w:color="auto" w:sz="4" w:space="0"/>
            </w:tcBorders>
            <w:shd w:val="clear" w:color="000000" w:fill="F8CBAD"/>
            <w:vAlign w:val="center"/>
          </w:tcPr>
          <w:p w14:paraId="29775F4D">
            <w:pPr>
              <w:widowControl/>
              <w:spacing w:line="240" w:lineRule="auto"/>
              <w:ind w:firstLine="0" w:firstLineChars="0"/>
              <w:jc w:val="center"/>
              <w:rPr>
                <w:rFonts w:hint="eastAsia" w:cs="宋体"/>
                <w:b/>
                <w:bCs/>
                <w:color w:val="000000"/>
                <w:kern w:val="0"/>
              </w:rPr>
            </w:pPr>
            <w:r>
              <w:rPr>
                <w:rFonts w:hint="eastAsia" w:cs="宋体"/>
                <w:b/>
                <w:bCs/>
                <w:color w:val="000000"/>
                <w:kern w:val="0"/>
              </w:rPr>
              <w:t>功能描述</w:t>
            </w:r>
          </w:p>
        </w:tc>
      </w:tr>
      <w:tr w14:paraId="1D4CA816">
        <w:tblPrEx>
          <w:tblCellMar>
            <w:top w:w="0" w:type="dxa"/>
            <w:left w:w="108" w:type="dxa"/>
            <w:bottom w:w="0" w:type="dxa"/>
            <w:right w:w="108" w:type="dxa"/>
          </w:tblCellMar>
        </w:tblPrEx>
        <w:trPr>
          <w:trHeight w:val="1080" w:hRule="atLeast"/>
        </w:trPr>
        <w:tc>
          <w:tcPr>
            <w:tcW w:w="449" w:type="pct"/>
            <w:tcBorders>
              <w:top w:val="nil"/>
              <w:left w:val="single" w:color="auto" w:sz="4" w:space="0"/>
              <w:bottom w:val="single" w:color="auto" w:sz="4" w:space="0"/>
              <w:right w:val="single" w:color="auto" w:sz="4" w:space="0"/>
            </w:tcBorders>
            <w:vAlign w:val="center"/>
          </w:tcPr>
          <w:p w14:paraId="310F311E">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1</w:t>
            </w:r>
          </w:p>
        </w:tc>
        <w:tc>
          <w:tcPr>
            <w:tcW w:w="1512" w:type="pct"/>
            <w:tcBorders>
              <w:top w:val="nil"/>
              <w:left w:val="nil"/>
              <w:bottom w:val="single" w:color="auto" w:sz="4" w:space="0"/>
              <w:right w:val="single" w:color="auto" w:sz="4" w:space="0"/>
            </w:tcBorders>
            <w:vAlign w:val="center"/>
          </w:tcPr>
          <w:p w14:paraId="6E73646C">
            <w:pPr>
              <w:widowControl/>
              <w:spacing w:line="240" w:lineRule="auto"/>
              <w:ind w:firstLine="0" w:firstLineChars="0"/>
              <w:jc w:val="center"/>
              <w:rPr>
                <w:rFonts w:hint="eastAsia" w:cs="宋体"/>
                <w:color w:val="000000"/>
                <w:kern w:val="0"/>
                <w:sz w:val="22"/>
                <w:szCs w:val="22"/>
              </w:rPr>
            </w:pPr>
            <w:r>
              <w:rPr>
                <w:rFonts w:hint="eastAsia" w:cs="宋体"/>
                <w:color w:val="000000"/>
                <w:kern w:val="0"/>
                <w:sz w:val="22"/>
                <w:szCs w:val="22"/>
              </w:rPr>
              <w:t>密码应用</w:t>
            </w:r>
          </w:p>
        </w:tc>
        <w:tc>
          <w:tcPr>
            <w:tcW w:w="3040" w:type="pct"/>
            <w:tcBorders>
              <w:top w:val="nil"/>
              <w:left w:val="nil"/>
              <w:bottom w:val="single" w:color="auto" w:sz="4" w:space="0"/>
              <w:right w:val="single" w:color="auto" w:sz="4" w:space="0"/>
            </w:tcBorders>
          </w:tcPr>
          <w:p w14:paraId="61E5016E">
            <w:pPr>
              <w:widowControl/>
              <w:spacing w:line="240" w:lineRule="auto"/>
              <w:ind w:firstLine="0" w:firstLineChars="0"/>
              <w:jc w:val="left"/>
              <w:rPr>
                <w:rFonts w:hint="eastAsia" w:cs="宋体"/>
                <w:color w:val="000000"/>
                <w:kern w:val="0"/>
                <w:sz w:val="22"/>
                <w:szCs w:val="22"/>
              </w:rPr>
            </w:pPr>
            <w:r>
              <w:rPr>
                <w:rFonts w:hint="eastAsia" w:cs="宋体"/>
                <w:color w:val="000000"/>
                <w:kern w:val="0"/>
                <w:sz w:val="22"/>
                <w:szCs w:val="22"/>
              </w:rPr>
              <w:t>完成用户身份认证机制模块、用户访问控制信息签名验签模块、应用系统重要数据签名验签模块、应用系统重要数据加解密模块、重要数据安全传输模块的基于云平台提供的安全认证网关服务接口、签名验签服务接口、可信密码服务接口的对接功能。</w:t>
            </w:r>
          </w:p>
        </w:tc>
      </w:tr>
    </w:tbl>
    <w:p w14:paraId="421B53CB">
      <w:pPr>
        <w:rPr>
          <w:rFonts w:hint="eastAsia"/>
        </w:rPr>
      </w:pPr>
    </w:p>
    <w:p w14:paraId="35805414">
      <w:pPr>
        <w:rPr>
          <w:rFonts w:hint="eastAsia"/>
        </w:rPr>
      </w:pPr>
    </w:p>
    <w:p w14:paraId="54772ECA">
      <w:pPr>
        <w:pStyle w:val="3"/>
        <w:rPr>
          <w:rFonts w:hint="eastAsia"/>
        </w:rPr>
      </w:pPr>
      <w:bookmarkStart w:id="21" w:name="_Toc63785503"/>
      <w:r>
        <w:rPr>
          <w:rFonts w:hint="eastAsia"/>
        </w:rPr>
        <w:t>其他工作要求</w:t>
      </w:r>
      <w:bookmarkEnd w:id="21"/>
      <w:bookmarkStart w:id="22" w:name="_Toc61968111"/>
      <w:bookmarkEnd w:id="22"/>
      <w:bookmarkStart w:id="23" w:name="_Toc63585480"/>
      <w:bookmarkEnd w:id="23"/>
      <w:bookmarkStart w:id="24" w:name="_Toc63785504"/>
      <w:bookmarkEnd w:id="24"/>
      <w:bookmarkStart w:id="25" w:name="_Toc63762370"/>
      <w:bookmarkEnd w:id="25"/>
      <w:bookmarkStart w:id="26" w:name="_Toc62219358"/>
      <w:bookmarkEnd w:id="26"/>
      <w:bookmarkStart w:id="27" w:name="_Toc63151871"/>
      <w:bookmarkEnd w:id="27"/>
      <w:bookmarkStart w:id="28" w:name="_Toc62209488"/>
      <w:bookmarkEnd w:id="28"/>
      <w:bookmarkStart w:id="29" w:name="_Toc63785439"/>
      <w:bookmarkEnd w:id="29"/>
    </w:p>
    <w:p w14:paraId="0C8F3BE0">
      <w:pPr>
        <w:pStyle w:val="4"/>
        <w:rPr>
          <w:rFonts w:hint="eastAsia"/>
        </w:rPr>
      </w:pPr>
      <w:bookmarkStart w:id="30" w:name="_Toc63785505"/>
      <w:r>
        <w:rPr>
          <w:rFonts w:hint="eastAsia"/>
        </w:rPr>
        <w:t>售后服务要求</w:t>
      </w:r>
      <w:bookmarkEnd w:id="30"/>
    </w:p>
    <w:p w14:paraId="3B14D981">
      <w:pPr>
        <w:pStyle w:val="10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14:paraId="41D00521">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04FFD496">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在质量保证期内，供应商负责信息系统的运行维护工作，确保信息系统安全、稳定、可靠地运行。本项目涉及的运行维护工作范围为：水务政务服务大系统。</w:t>
      </w:r>
    </w:p>
    <w:p w14:paraId="46635FB7">
      <w:pPr>
        <w:pStyle w:val="4"/>
        <w:rPr>
          <w:rFonts w:hint="eastAsia"/>
        </w:rPr>
      </w:pPr>
      <w:bookmarkStart w:id="31" w:name="_Toc63785506"/>
      <w:r>
        <w:rPr>
          <w:rFonts w:hint="eastAsia"/>
        </w:rPr>
        <w:t>应急响应要求</w:t>
      </w:r>
      <w:bookmarkEnd w:id="31"/>
    </w:p>
    <w:p w14:paraId="7B5FED82">
      <w:pPr>
        <w:spacing w:line="600" w:lineRule="exact"/>
        <w:rPr>
          <w:rFonts w:hint="eastAsia"/>
        </w:rPr>
      </w:pPr>
      <w:r>
        <w:rPr>
          <w:rFonts w:hint="eastAsia"/>
        </w:rPr>
        <w:t>供应商对系统故障应能够实时响应，若系统发生故障，接到通知后30分钟之内响应，专业工程师2小时内到达现场。特殊故障与采购人沟通协商后，按照协商的方式制定解决方案并进行处理。</w:t>
      </w:r>
    </w:p>
    <w:p w14:paraId="7F801D3F">
      <w:pPr>
        <w:spacing w:line="600" w:lineRule="exact"/>
        <w:rPr>
          <w:rFonts w:hint="eastAsia"/>
        </w:rPr>
      </w:pPr>
      <w:r>
        <w:rPr>
          <w:rFonts w:hint="eastAsia"/>
        </w:rPr>
        <w:t>具体故障级别及对应的应急响应要求如下：</w:t>
      </w:r>
    </w:p>
    <w:p w14:paraId="61CAC448">
      <w:pPr>
        <w:spacing w:line="600" w:lineRule="exact"/>
        <w:rPr>
          <w:rFonts w:hint="eastAsia"/>
        </w:rPr>
      </w:pPr>
      <w:r>
        <w:rPr>
          <w:rFonts w:hint="eastAsia"/>
        </w:rPr>
        <w:t>一级故障：在1小时内确诊，总故障解决时间不超过4小时。</w:t>
      </w:r>
    </w:p>
    <w:p w14:paraId="7F37F4AC">
      <w:pPr>
        <w:spacing w:line="600" w:lineRule="exact"/>
        <w:rPr>
          <w:rFonts w:hint="eastAsia"/>
        </w:rPr>
      </w:pPr>
      <w:r>
        <w:rPr>
          <w:rFonts w:hint="eastAsia"/>
        </w:rPr>
        <w:t>二级故障：在2小时内确诊，并在4小时内由专家到达现场确诊并解决，总故障解决时间不超过8小时；</w:t>
      </w:r>
    </w:p>
    <w:p w14:paraId="138C4791">
      <w:pPr>
        <w:spacing w:line="600" w:lineRule="exact"/>
        <w:rPr>
          <w:rFonts w:hint="eastAsia"/>
        </w:rPr>
      </w:pPr>
      <w:r>
        <w:rPr>
          <w:rFonts w:hint="eastAsia"/>
        </w:rPr>
        <w:t>三、四级故障：在4小时内确诊故障，总故障解决时间不超过16小时。</w:t>
      </w:r>
    </w:p>
    <w:p w14:paraId="630E5C8C">
      <w:pPr>
        <w:spacing w:line="600" w:lineRule="exact"/>
        <w:rPr>
          <w:rFonts w:hint="eastAsia"/>
        </w:rPr>
      </w:pPr>
      <w:r>
        <w:rPr>
          <w:rFonts w:hint="eastAsia"/>
        </w:rPr>
        <w:t>依据故障时间及故障范围划分故障级别，故障级别分为四级，依次为Ⅰ级（紧急）、Ⅱ级（严重）、Ⅲ级（较大）和Ⅳ级（一般），分别定义如下：</w:t>
      </w:r>
    </w:p>
    <w:p w14:paraId="3C5A6BEC">
      <w:pPr>
        <w:spacing w:line="600" w:lineRule="exact"/>
        <w:rPr>
          <w:rFonts w:hint="eastAsia"/>
        </w:rPr>
      </w:pPr>
      <w:r>
        <w:rPr>
          <w:rFonts w:hint="eastAsia"/>
        </w:rPr>
        <w:t>Ⅰ级（紧急）故障为工作时间段（8:30——17:30）内大范围故障；</w:t>
      </w:r>
    </w:p>
    <w:p w14:paraId="5F9C2361">
      <w:pPr>
        <w:spacing w:line="600" w:lineRule="exact"/>
        <w:rPr>
          <w:rFonts w:hint="eastAsia"/>
        </w:rPr>
      </w:pPr>
      <w:r>
        <w:rPr>
          <w:rFonts w:hint="eastAsia"/>
        </w:rPr>
        <w:t>Ⅱ级（严重）故障为非工作时间段（17:30——次日8:30）内大范围故障；</w:t>
      </w:r>
    </w:p>
    <w:p w14:paraId="5805807A">
      <w:pPr>
        <w:spacing w:line="600" w:lineRule="exact"/>
        <w:rPr>
          <w:rFonts w:hint="eastAsia"/>
        </w:rPr>
      </w:pPr>
      <w:r>
        <w:rPr>
          <w:rFonts w:hint="eastAsia"/>
        </w:rPr>
        <w:t>Ⅲ级（较大）故障为工作时间段（8:30——17:30）内小范围故障；</w:t>
      </w:r>
    </w:p>
    <w:p w14:paraId="6A117568">
      <w:pPr>
        <w:spacing w:line="600" w:lineRule="exact"/>
        <w:rPr>
          <w:rFonts w:hint="eastAsia"/>
        </w:rPr>
      </w:pPr>
      <w:r>
        <w:rPr>
          <w:rFonts w:hint="eastAsia"/>
        </w:rPr>
        <w:t>Ⅳ级（一般）故障为非工作时间段（17:30——次日8:30）内小范围故障；</w:t>
      </w:r>
    </w:p>
    <w:p w14:paraId="0DDD30F6">
      <w:pPr>
        <w:pStyle w:val="4"/>
        <w:rPr>
          <w:rFonts w:hint="eastAsia"/>
        </w:rPr>
      </w:pPr>
      <w:r>
        <w:rPr>
          <w:rFonts w:hint="eastAsia"/>
        </w:rPr>
        <w:t>网络与数据安全</w:t>
      </w:r>
    </w:p>
    <w:p w14:paraId="104B9B02">
      <w:pPr>
        <w:rPr>
          <w:rFonts w:hint="eastAsia"/>
        </w:rPr>
      </w:pPr>
      <w:r>
        <w:rPr>
          <w:rFonts w:hint="eastAsi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33BDC54E">
      <w:pPr>
        <w:rPr>
          <w:rFonts w:hint="eastAsia"/>
        </w:rPr>
      </w:pPr>
      <w:r>
        <w:rPr>
          <w:rFonts w:hint="eastAsia"/>
        </w:rPr>
        <w:t>(2)供应商应配合采购人开展相关安全制度和规范的制定，并根据项目实际，制定项目实施过程安全管理方案。</w:t>
      </w:r>
    </w:p>
    <w:p w14:paraId="74F8A5A5">
      <w:pPr>
        <w:rPr>
          <w:rFonts w:hint="eastAsia"/>
        </w:rPr>
      </w:pPr>
      <w:r>
        <w:rPr>
          <w:rFonts w:hint="eastAsi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609FB6A5">
      <w:pPr>
        <w:rPr>
          <w:rFonts w:hint="eastAsia"/>
        </w:rPr>
      </w:pPr>
      <w:r>
        <w:rPr>
          <w:rFonts w:hint="eastAsi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509F7A30">
      <w:pPr>
        <w:rPr>
          <w:rFonts w:hint="eastAsia"/>
        </w:rPr>
      </w:pPr>
      <w:r>
        <w:rPr>
          <w:rFonts w:hint="eastAsia"/>
        </w:rPr>
        <w:t>(5)供应商应在项目实施过程中，按照数据差异化安全防护策略，根据系统需要采取数据加密、数据访问控制、日志记录、流转监测等防护能力及相关管理流程，切实保障数据安全。</w:t>
      </w:r>
    </w:p>
    <w:p w14:paraId="416A3D75">
      <w:pPr>
        <w:rPr>
          <w:rFonts w:hint="eastAsia"/>
        </w:rPr>
      </w:pPr>
      <w:r>
        <w:rPr>
          <w:rFonts w:hint="eastAsia"/>
        </w:rPr>
        <w:t>(6)供应商应按照采购人场地及人员安全管理制度，加强人员管理，配合采购人落实人员背调、入离场、终端管理、网络限制、数据权限最小化等管控措施。</w:t>
      </w:r>
    </w:p>
    <w:p w14:paraId="5F70F8C5">
      <w:pPr>
        <w:rPr>
          <w:rFonts w:hint="eastAsia"/>
        </w:rPr>
      </w:pPr>
      <w:r>
        <w:rPr>
          <w:rFonts w:hint="eastAsia"/>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123F16C3">
      <w:pPr>
        <w:rPr>
          <w:rFonts w:hint="eastAsia"/>
        </w:rPr>
      </w:pPr>
      <w:r>
        <w:rPr>
          <w:rFonts w:hint="eastAsia"/>
        </w:rPr>
        <w:t>(8)供应商应在系统免维期内承担系统安全运维管理责任，落实安全管理保障措施，包括但不限于制度修订、风险排查、应急响应、漏洞修复、重保等工作。</w:t>
      </w:r>
    </w:p>
    <w:p w14:paraId="1DA69BE0">
      <w:pPr>
        <w:pStyle w:val="4"/>
        <w:rPr>
          <w:rFonts w:hint="eastAsia"/>
        </w:rPr>
      </w:pPr>
      <w:bookmarkStart w:id="32" w:name="_Toc63785507"/>
      <w:r>
        <w:rPr>
          <w:rFonts w:hint="eastAsia"/>
        </w:rPr>
        <w:t>培训要求</w:t>
      </w:r>
      <w:bookmarkEnd w:id="32"/>
    </w:p>
    <w:p w14:paraId="53F3E985">
      <w:pPr>
        <w:rPr>
          <w:rFonts w:hint="eastAsia"/>
        </w:rPr>
      </w:pPr>
      <w:r>
        <w:rPr>
          <w:rFonts w:hint="eastAsia"/>
        </w:rPr>
        <w:t>对系统使用单位提供业务操作培训，应提供详细培训方案。</w:t>
      </w:r>
    </w:p>
    <w:p w14:paraId="4C57D556">
      <w:pPr>
        <w:rPr>
          <w:rFonts w:hint="eastAsia"/>
        </w:rPr>
      </w:pPr>
      <w:r>
        <w:rPr>
          <w:rFonts w:hint="eastAsia"/>
        </w:rPr>
        <w:t>(1)在12个月的质量保证期内，提供2次与项目相关的必要培训。</w:t>
      </w:r>
    </w:p>
    <w:p w14:paraId="4C34E18E">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5D096309">
      <w:pPr>
        <w:rPr>
          <w:rFonts w:hint="eastAsia"/>
        </w:rPr>
      </w:pPr>
      <w:r>
        <w:rPr>
          <w:rFonts w:hint="eastAsia"/>
        </w:rPr>
        <w:t>(3)供应商应提供一般用户的基础操作培训和部门信息管理员的日常应用维护的培训，确保用户对象能够掌握对应的操作技能。</w:t>
      </w:r>
    </w:p>
    <w:p w14:paraId="2C19FCFF">
      <w:pPr>
        <w:pStyle w:val="4"/>
        <w:rPr>
          <w:rFonts w:hint="eastAsia"/>
        </w:rPr>
      </w:pPr>
      <w:bookmarkStart w:id="33" w:name="_Toc63785508"/>
      <w:r>
        <w:rPr>
          <w:rFonts w:hint="eastAsia"/>
        </w:rPr>
        <w:t>验收要求</w:t>
      </w:r>
      <w:bookmarkEnd w:id="33"/>
    </w:p>
    <w:p w14:paraId="16EF7F69">
      <w:pPr>
        <w:rPr>
          <w:rFonts w:hint="eastAsia"/>
          <w:szCs w:val="21"/>
        </w:rPr>
      </w:pPr>
      <w:r>
        <w:rPr>
          <w:rFonts w:hint="eastAsia"/>
          <w:szCs w:val="21"/>
        </w:rPr>
        <w:t>本项目按下述方式开展验收。</w:t>
      </w:r>
    </w:p>
    <w:p w14:paraId="644557B2">
      <w:pPr>
        <w:rPr>
          <w:rFonts w:hint="eastAsia"/>
          <w:szCs w:val="21"/>
        </w:rPr>
      </w:pPr>
      <w:r>
        <w:rPr>
          <w:rFonts w:hint="eastAsia"/>
          <w:szCs w:val="21"/>
        </w:rPr>
        <w:t>（</w:t>
      </w:r>
      <w:r>
        <w:rPr>
          <w:szCs w:val="21"/>
        </w:rPr>
        <w:t>1）验收分初验和终验。</w:t>
      </w:r>
    </w:p>
    <w:p w14:paraId="58CCF9FA">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199B237C">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554F323C">
      <w:pPr>
        <w:rPr>
          <w:rFonts w:hint="eastAsia"/>
          <w:szCs w:val="21"/>
        </w:rPr>
      </w:pPr>
      <w:r>
        <w:rPr>
          <w:rFonts w:hint="eastAsia"/>
          <w:szCs w:val="21"/>
        </w:rPr>
        <w:t>（</w:t>
      </w:r>
      <w:r>
        <w:rPr>
          <w:szCs w:val="21"/>
        </w:rPr>
        <w:t>4）自初验通过之日起，招标方享有供应商免费提供的</w:t>
      </w:r>
      <w:r>
        <w:rPr>
          <w:rFonts w:hint="eastAsia"/>
          <w:szCs w:val="21"/>
        </w:rPr>
        <w:t>7</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10987AA2">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5</w:t>
      </w:r>
      <w:r>
        <w:rPr>
          <w:szCs w:val="21"/>
        </w:rPr>
        <w:t>个工作日内发起组织专家验收会。</w:t>
      </w:r>
    </w:p>
    <w:p w14:paraId="21F8B66A">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345E87E9">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14:paraId="00F152CB">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4F7BCB3B">
      <w:pPr>
        <w:pStyle w:val="4"/>
        <w:rPr>
          <w:rFonts w:hint="eastAsia"/>
        </w:rPr>
      </w:pPr>
      <w:bookmarkStart w:id="34" w:name="_Toc63785509"/>
      <w:r>
        <w:rPr>
          <w:rFonts w:hint="eastAsia"/>
        </w:rPr>
        <w:t>进度要求</w:t>
      </w:r>
      <w:bookmarkEnd w:id="34"/>
    </w:p>
    <w:p w14:paraId="269508C5">
      <w:pPr>
        <w:rPr>
          <w:rFonts w:hint="eastAsia"/>
        </w:rPr>
      </w:pPr>
      <w:r>
        <w:rPr>
          <w:rFonts w:hint="eastAsia"/>
        </w:rPr>
        <w:t>投标人应根据建设内容，分阶段制定合理的时间进度，并且应根据招标方要求进行调整和细化。</w:t>
      </w:r>
    </w:p>
    <w:p w14:paraId="6CD8E0F6">
      <w:pPr>
        <w:rPr>
          <w:rFonts w:hint="eastAsia"/>
        </w:rPr>
      </w:pPr>
      <w:bookmarkStart w:id="35" w:name="_Hlk122524197"/>
      <w:r>
        <w:rPr>
          <w:rFonts w:hint="eastAsia"/>
        </w:rPr>
        <w:t>总建设周期为8个月，分为5个阶段。</w:t>
      </w:r>
    </w:p>
    <w:p w14:paraId="50E051FD">
      <w:pPr>
        <w:rPr>
          <w:rFonts w:hint="eastAsia"/>
        </w:rPr>
      </w:pPr>
      <w:r>
        <w:rPr>
          <w:rFonts w:hint="eastAsia"/>
        </w:rPr>
        <w:t>第一阶段为</w:t>
      </w:r>
      <w:r>
        <w:t>1</w:t>
      </w:r>
      <w:r>
        <w:rPr>
          <w:rFonts w:hint="eastAsia"/>
        </w:rPr>
        <w:t>个月，完成</w:t>
      </w:r>
      <w:r>
        <w:rPr>
          <w:rFonts w:hint="eastAsia"/>
          <w:lang w:eastAsia="zh-Hans"/>
        </w:rPr>
        <w:t>需求调研</w:t>
      </w:r>
      <w:r>
        <w:rPr>
          <w:rFonts w:hint="eastAsia"/>
        </w:rPr>
        <w:t>。</w:t>
      </w:r>
    </w:p>
    <w:p w14:paraId="618B79CA">
      <w:pPr>
        <w:rPr>
          <w:rFonts w:hint="eastAsia"/>
        </w:rPr>
      </w:pPr>
      <w:r>
        <w:rPr>
          <w:rFonts w:hint="eastAsia"/>
        </w:rPr>
        <w:t>第二阶段为</w:t>
      </w:r>
      <w:r>
        <w:t>2</w:t>
      </w:r>
      <w:r>
        <w:rPr>
          <w:rFonts w:hint="eastAsia"/>
        </w:rPr>
        <w:t>个月，完成</w:t>
      </w:r>
      <w:r>
        <w:rPr>
          <w:rFonts w:hint="eastAsia"/>
          <w:lang w:eastAsia="zh-Hans"/>
        </w:rPr>
        <w:t>系统详细设计</w:t>
      </w:r>
      <w:r>
        <w:rPr>
          <w:rFonts w:hint="eastAsia"/>
        </w:rPr>
        <w:t>。</w:t>
      </w:r>
    </w:p>
    <w:p w14:paraId="6DA79291">
      <w:pPr>
        <w:rPr>
          <w:rFonts w:hint="eastAsia"/>
        </w:rPr>
      </w:pPr>
      <w:r>
        <w:rPr>
          <w:rFonts w:hint="eastAsia"/>
        </w:rPr>
        <w:t>第</w:t>
      </w:r>
      <w:r>
        <w:rPr>
          <w:rFonts w:hint="eastAsia"/>
          <w:lang w:eastAsia="zh-Hans"/>
        </w:rPr>
        <w:t>三</w:t>
      </w:r>
      <w:r>
        <w:rPr>
          <w:rFonts w:hint="eastAsia"/>
        </w:rPr>
        <w:t>阶段为3个月，完成</w:t>
      </w:r>
      <w:r>
        <w:rPr>
          <w:rFonts w:hint="eastAsia"/>
          <w:lang w:eastAsia="zh-Hans"/>
        </w:rPr>
        <w:t>系统开发和集成测试</w:t>
      </w:r>
      <w:r>
        <w:rPr>
          <w:rFonts w:hint="eastAsia"/>
        </w:rPr>
        <w:t>。</w:t>
      </w:r>
    </w:p>
    <w:p w14:paraId="07B4503E">
      <w:pPr>
        <w:rPr>
          <w:rFonts w:hint="eastAsia"/>
        </w:rPr>
      </w:pPr>
      <w:r>
        <w:rPr>
          <w:rFonts w:hint="eastAsia"/>
        </w:rPr>
        <w:t>第</w:t>
      </w:r>
      <w:r>
        <w:rPr>
          <w:rFonts w:hint="eastAsia"/>
          <w:lang w:eastAsia="zh-Hans"/>
        </w:rPr>
        <w:t>四</w:t>
      </w:r>
      <w:r>
        <w:rPr>
          <w:rFonts w:hint="eastAsia"/>
        </w:rPr>
        <w:t>阶段为</w:t>
      </w:r>
      <w:r>
        <w:t>1</w:t>
      </w:r>
      <w:r>
        <w:rPr>
          <w:rFonts w:hint="eastAsia"/>
        </w:rPr>
        <w:t>个月，完成</w:t>
      </w:r>
      <w:r>
        <w:rPr>
          <w:rFonts w:hint="eastAsia"/>
          <w:lang w:eastAsia="zh-Hans"/>
        </w:rPr>
        <w:t>系统试运行工作，修正各模块联调中出现的问题，完成系统完善和功能迭代，直至发布正式运行版本</w:t>
      </w:r>
      <w:r>
        <w:rPr>
          <w:rFonts w:hint="eastAsia"/>
        </w:rPr>
        <w:t>。</w:t>
      </w:r>
    </w:p>
    <w:p w14:paraId="10CDD72A">
      <w:pPr>
        <w:rPr>
          <w:rFonts w:hint="eastAsia"/>
        </w:rPr>
      </w:pPr>
      <w:r>
        <w:rPr>
          <w:rFonts w:hint="eastAsia"/>
        </w:rPr>
        <w:t>第</w:t>
      </w:r>
      <w:r>
        <w:rPr>
          <w:rFonts w:hint="eastAsia"/>
          <w:lang w:eastAsia="zh-Hans"/>
        </w:rPr>
        <w:t>五</w:t>
      </w:r>
      <w:r>
        <w:rPr>
          <w:rFonts w:hint="eastAsia"/>
        </w:rPr>
        <w:t>阶段为</w:t>
      </w:r>
      <w:r>
        <w:t>1</w:t>
      </w:r>
      <w:r>
        <w:rPr>
          <w:rFonts w:hint="eastAsia"/>
        </w:rPr>
        <w:t>个月，完成</w:t>
      </w:r>
      <w:r>
        <w:rPr>
          <w:rFonts w:hint="eastAsia"/>
          <w:lang w:eastAsia="zh-Hans"/>
        </w:rPr>
        <w:t>系统验收</w:t>
      </w:r>
      <w:r>
        <w:rPr>
          <w:rFonts w:hint="eastAsia"/>
        </w:rPr>
        <w:t>工作，根据项目运行情况和验收要求开展项目测评、功能优化和绩效评价等工作。</w:t>
      </w:r>
    </w:p>
    <w:bookmarkEnd w:id="35"/>
    <w:p w14:paraId="1A8158C3">
      <w:pPr>
        <w:pStyle w:val="4"/>
        <w:rPr>
          <w:rFonts w:hint="eastAsia"/>
        </w:rPr>
      </w:pPr>
      <w:bookmarkStart w:id="36" w:name="_Toc63785510"/>
      <w:r>
        <w:rPr>
          <w:rFonts w:hint="eastAsia"/>
        </w:rPr>
        <w:t>项目团队及驻场人员要求</w:t>
      </w:r>
      <w:bookmarkEnd w:id="36"/>
    </w:p>
    <w:p w14:paraId="2A4E4BC5">
      <w:pPr>
        <w:rPr>
          <w:rFonts w:hint="eastAsia"/>
        </w:rPr>
      </w:pPr>
      <w:r>
        <w:t>1）投标人须具有稳定的在职技术保障力量，能够提供及时的技术支援或服务，应针对本项目提供不少于</w:t>
      </w:r>
      <w:r>
        <w:rPr>
          <w:rFonts w:hint="eastAsia"/>
        </w:rPr>
        <w:t>8</w:t>
      </w:r>
      <w:r>
        <w:t>人的项目服务团队（包括项目经理、产品经理、技术负责人、研发等），投标单位的相关服务人员需具备相应的服务能力，需提供相关证明。</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91"/>
        <w:gridCol w:w="1310"/>
        <w:gridCol w:w="2038"/>
        <w:gridCol w:w="1980"/>
      </w:tblGrid>
      <w:tr w14:paraId="2E3E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9" w:type="pct"/>
            <w:shd w:val="clear" w:color="auto" w:fill="FBD4B4" w:themeFill="accent6" w:themeFillTint="66"/>
            <w:noWrap/>
            <w:vAlign w:val="center"/>
          </w:tcPr>
          <w:p w14:paraId="7B8C93F0">
            <w:pPr>
              <w:widowControl/>
              <w:spacing w:line="240" w:lineRule="auto"/>
              <w:ind w:firstLine="0" w:firstLineChars="0"/>
              <w:jc w:val="center"/>
              <w:rPr>
                <w:rFonts w:hint="eastAsia"/>
                <w:b/>
                <w:sz w:val="21"/>
                <w:szCs w:val="21"/>
              </w:rPr>
            </w:pPr>
            <w:r>
              <w:rPr>
                <w:rFonts w:hint="eastAsia"/>
                <w:b/>
                <w:sz w:val="21"/>
                <w:szCs w:val="21"/>
              </w:rPr>
              <w:t>角色</w:t>
            </w:r>
          </w:p>
        </w:tc>
        <w:tc>
          <w:tcPr>
            <w:tcW w:w="1167" w:type="pct"/>
            <w:shd w:val="clear" w:color="auto" w:fill="FBD4B4" w:themeFill="accent6" w:themeFillTint="66"/>
            <w:noWrap/>
            <w:vAlign w:val="center"/>
          </w:tcPr>
          <w:p w14:paraId="7EBFC7F2">
            <w:pPr>
              <w:widowControl/>
              <w:spacing w:line="240" w:lineRule="auto"/>
              <w:ind w:firstLine="0" w:firstLineChars="0"/>
              <w:jc w:val="center"/>
              <w:rPr>
                <w:rFonts w:hint="eastAsia"/>
                <w:b/>
                <w:sz w:val="21"/>
                <w:szCs w:val="21"/>
              </w:rPr>
            </w:pPr>
            <w:r>
              <w:rPr>
                <w:rFonts w:hint="eastAsia"/>
                <w:b/>
                <w:sz w:val="21"/>
                <w:szCs w:val="21"/>
              </w:rPr>
              <w:t>主要职责</w:t>
            </w:r>
          </w:p>
        </w:tc>
        <w:tc>
          <w:tcPr>
            <w:tcW w:w="768" w:type="pct"/>
            <w:shd w:val="clear" w:color="auto" w:fill="FBD4B4" w:themeFill="accent6" w:themeFillTint="66"/>
            <w:noWrap/>
            <w:vAlign w:val="center"/>
          </w:tcPr>
          <w:p w14:paraId="452B01E1">
            <w:pPr>
              <w:widowControl/>
              <w:spacing w:line="240" w:lineRule="auto"/>
              <w:ind w:firstLine="0" w:firstLineChars="0"/>
              <w:jc w:val="center"/>
              <w:rPr>
                <w:rFonts w:hint="eastAsia"/>
                <w:b/>
                <w:sz w:val="21"/>
                <w:szCs w:val="21"/>
              </w:rPr>
            </w:pPr>
            <w:r>
              <w:rPr>
                <w:rFonts w:hint="eastAsia"/>
                <w:b/>
                <w:sz w:val="21"/>
                <w:szCs w:val="21"/>
              </w:rPr>
              <w:t>人员数量</w:t>
            </w:r>
          </w:p>
        </w:tc>
        <w:tc>
          <w:tcPr>
            <w:tcW w:w="1195" w:type="pct"/>
            <w:shd w:val="clear" w:color="auto" w:fill="FBD4B4" w:themeFill="accent6" w:themeFillTint="66"/>
            <w:vAlign w:val="center"/>
          </w:tcPr>
          <w:p w14:paraId="300F20CF">
            <w:pPr>
              <w:widowControl/>
              <w:spacing w:line="240" w:lineRule="auto"/>
              <w:ind w:firstLine="0" w:firstLineChars="0"/>
              <w:jc w:val="center"/>
              <w:rPr>
                <w:rFonts w:hint="eastAsia"/>
                <w:b/>
                <w:sz w:val="21"/>
                <w:szCs w:val="21"/>
              </w:rPr>
            </w:pPr>
            <w:r>
              <w:rPr>
                <w:rFonts w:hint="eastAsia"/>
                <w:b/>
                <w:sz w:val="21"/>
                <w:szCs w:val="21"/>
              </w:rPr>
              <w:t>人员要求</w:t>
            </w:r>
          </w:p>
        </w:tc>
        <w:tc>
          <w:tcPr>
            <w:tcW w:w="1161" w:type="pct"/>
            <w:shd w:val="clear" w:color="auto" w:fill="FBD4B4" w:themeFill="accent6" w:themeFillTint="66"/>
            <w:noWrap/>
            <w:vAlign w:val="center"/>
          </w:tcPr>
          <w:p w14:paraId="78796B76">
            <w:pPr>
              <w:widowControl/>
              <w:spacing w:line="240" w:lineRule="auto"/>
              <w:ind w:firstLine="0" w:firstLineChars="0"/>
              <w:jc w:val="center"/>
              <w:rPr>
                <w:rFonts w:hint="eastAsia"/>
                <w:b/>
                <w:sz w:val="21"/>
                <w:szCs w:val="21"/>
              </w:rPr>
            </w:pPr>
            <w:r>
              <w:rPr>
                <w:rFonts w:hint="eastAsia"/>
                <w:b/>
                <w:sz w:val="21"/>
                <w:szCs w:val="21"/>
              </w:rPr>
              <w:t>驻场要求</w:t>
            </w:r>
          </w:p>
        </w:tc>
      </w:tr>
      <w:tr w14:paraId="3104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9" w:type="pct"/>
            <w:noWrap/>
            <w:vAlign w:val="center"/>
          </w:tcPr>
          <w:p w14:paraId="2E8CE11D">
            <w:pPr>
              <w:widowControl/>
              <w:spacing w:line="240" w:lineRule="auto"/>
              <w:ind w:firstLine="0" w:firstLineChars="0"/>
              <w:jc w:val="center"/>
              <w:rPr>
                <w:rFonts w:hint="eastAsia"/>
                <w:sz w:val="21"/>
                <w:szCs w:val="21"/>
              </w:rPr>
            </w:pPr>
            <w:r>
              <w:rPr>
                <w:rFonts w:hint="eastAsia"/>
                <w:sz w:val="21"/>
                <w:szCs w:val="21"/>
              </w:rPr>
              <w:t>项目经理</w:t>
            </w:r>
          </w:p>
        </w:tc>
        <w:tc>
          <w:tcPr>
            <w:tcW w:w="1167" w:type="pct"/>
            <w:vAlign w:val="center"/>
          </w:tcPr>
          <w:p w14:paraId="4083A324">
            <w:pPr>
              <w:widowControl/>
              <w:spacing w:line="240" w:lineRule="auto"/>
              <w:ind w:firstLine="0" w:firstLineChars="0"/>
              <w:jc w:val="center"/>
              <w:rPr>
                <w:rFonts w:hint="eastAsia"/>
                <w:sz w:val="21"/>
                <w:szCs w:val="21"/>
              </w:rPr>
            </w:pPr>
            <w:r>
              <w:rPr>
                <w:rFonts w:hint="eastAsia"/>
                <w:sz w:val="21"/>
                <w:szCs w:val="21"/>
              </w:rPr>
              <w:t>负责项目质量和进度控制</w:t>
            </w:r>
          </w:p>
        </w:tc>
        <w:tc>
          <w:tcPr>
            <w:tcW w:w="768" w:type="pct"/>
            <w:noWrap/>
            <w:vAlign w:val="center"/>
          </w:tcPr>
          <w:p w14:paraId="4CEA93DB">
            <w:pPr>
              <w:widowControl/>
              <w:spacing w:line="240" w:lineRule="auto"/>
              <w:ind w:firstLine="0" w:firstLineChars="0"/>
              <w:jc w:val="center"/>
              <w:rPr>
                <w:rFonts w:hint="eastAsia"/>
                <w:sz w:val="21"/>
                <w:szCs w:val="21"/>
              </w:rPr>
            </w:pPr>
            <w:r>
              <w:rPr>
                <w:rFonts w:hint="eastAsia"/>
                <w:sz w:val="21"/>
                <w:szCs w:val="21"/>
              </w:rPr>
              <w:t>1人</w:t>
            </w:r>
          </w:p>
        </w:tc>
        <w:tc>
          <w:tcPr>
            <w:tcW w:w="1195" w:type="pct"/>
            <w:vAlign w:val="center"/>
          </w:tcPr>
          <w:p w14:paraId="3DF2BAFC">
            <w:pPr>
              <w:widowControl/>
              <w:spacing w:line="240" w:lineRule="auto"/>
              <w:ind w:firstLine="0" w:firstLineChars="0"/>
              <w:jc w:val="left"/>
              <w:rPr>
                <w:rFonts w:hint="eastAsia" w:eastAsia="宋体"/>
                <w:sz w:val="21"/>
                <w:szCs w:val="21"/>
                <w:lang w:eastAsia="zh-CN"/>
              </w:rPr>
            </w:pPr>
            <w:r>
              <w:rPr>
                <w:rFonts w:hint="eastAsia"/>
                <w:sz w:val="21"/>
                <w:szCs w:val="21"/>
              </w:rPr>
              <w:t>具备信息系统项目管理师或高级工程师职称</w:t>
            </w:r>
          </w:p>
        </w:tc>
        <w:tc>
          <w:tcPr>
            <w:tcW w:w="1161" w:type="pct"/>
            <w:noWrap/>
            <w:vAlign w:val="center"/>
          </w:tcPr>
          <w:p w14:paraId="7ECBC99F">
            <w:pPr>
              <w:widowControl/>
              <w:spacing w:line="240" w:lineRule="auto"/>
              <w:ind w:firstLine="0" w:firstLineChars="0"/>
              <w:jc w:val="center"/>
              <w:rPr>
                <w:rFonts w:hint="eastAsia"/>
                <w:sz w:val="21"/>
                <w:szCs w:val="21"/>
              </w:rPr>
            </w:pPr>
            <w:r>
              <w:rPr>
                <w:rFonts w:hint="eastAsia"/>
                <w:sz w:val="21"/>
                <w:szCs w:val="21"/>
              </w:rPr>
              <w:t>驻场</w:t>
            </w:r>
          </w:p>
        </w:tc>
      </w:tr>
      <w:tr w14:paraId="3E5C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9" w:type="pct"/>
            <w:noWrap/>
            <w:vAlign w:val="center"/>
          </w:tcPr>
          <w:p w14:paraId="2C53FC71">
            <w:pPr>
              <w:widowControl/>
              <w:spacing w:line="240" w:lineRule="auto"/>
              <w:ind w:firstLine="0" w:firstLineChars="0"/>
              <w:jc w:val="center"/>
              <w:rPr>
                <w:rFonts w:hint="eastAsia"/>
                <w:sz w:val="21"/>
                <w:szCs w:val="21"/>
              </w:rPr>
            </w:pPr>
            <w:bookmarkStart w:id="37" w:name="_Hlk218427187"/>
            <w:r>
              <w:rPr>
                <w:rFonts w:hint="eastAsia"/>
                <w:sz w:val="21"/>
                <w:szCs w:val="21"/>
              </w:rPr>
              <w:t>产品经理</w:t>
            </w:r>
          </w:p>
        </w:tc>
        <w:tc>
          <w:tcPr>
            <w:tcW w:w="1167" w:type="pct"/>
            <w:vAlign w:val="center"/>
          </w:tcPr>
          <w:p w14:paraId="3B216483">
            <w:pPr>
              <w:widowControl/>
              <w:spacing w:line="240" w:lineRule="auto"/>
              <w:ind w:firstLine="0" w:firstLineChars="0"/>
              <w:jc w:val="center"/>
              <w:rPr>
                <w:rFonts w:hint="eastAsia"/>
                <w:sz w:val="21"/>
                <w:szCs w:val="21"/>
              </w:rPr>
            </w:pPr>
            <w:r>
              <w:rPr>
                <w:rFonts w:hint="eastAsia"/>
                <w:sz w:val="21"/>
                <w:szCs w:val="21"/>
              </w:rPr>
              <w:t>负责项目需求评估与产品设计</w:t>
            </w:r>
          </w:p>
        </w:tc>
        <w:tc>
          <w:tcPr>
            <w:tcW w:w="768" w:type="pct"/>
            <w:noWrap/>
            <w:vAlign w:val="center"/>
          </w:tcPr>
          <w:p w14:paraId="0B34327A">
            <w:pPr>
              <w:widowControl/>
              <w:spacing w:line="240" w:lineRule="auto"/>
              <w:ind w:firstLine="0" w:firstLineChars="0"/>
              <w:jc w:val="center"/>
              <w:rPr>
                <w:rFonts w:hint="eastAsia"/>
                <w:sz w:val="21"/>
                <w:szCs w:val="21"/>
              </w:rPr>
            </w:pPr>
            <w:r>
              <w:rPr>
                <w:rFonts w:hint="eastAsia"/>
                <w:sz w:val="21"/>
                <w:szCs w:val="21"/>
              </w:rPr>
              <w:t>1人</w:t>
            </w:r>
          </w:p>
        </w:tc>
        <w:tc>
          <w:tcPr>
            <w:tcW w:w="1195" w:type="pct"/>
            <w:vAlign w:val="center"/>
          </w:tcPr>
          <w:p w14:paraId="29B290B5">
            <w:pPr>
              <w:widowControl/>
              <w:spacing w:line="240" w:lineRule="auto"/>
              <w:ind w:firstLine="0" w:firstLineChars="0"/>
              <w:jc w:val="left"/>
              <w:rPr>
                <w:rFonts w:hint="eastAsia"/>
                <w:sz w:val="21"/>
                <w:szCs w:val="21"/>
              </w:rPr>
            </w:pPr>
            <w:bookmarkStart w:id="38" w:name="OLE_LINK8"/>
            <w:r>
              <w:rPr>
                <w:rFonts w:hint="eastAsia" w:cs="宋体"/>
                <w:sz w:val="21"/>
                <w:szCs w:val="21"/>
              </w:rPr>
              <w:t>本科及以上学历，相关工作经验不低于5年。</w:t>
            </w:r>
            <w:bookmarkEnd w:id="38"/>
          </w:p>
        </w:tc>
        <w:tc>
          <w:tcPr>
            <w:tcW w:w="1161" w:type="pct"/>
            <w:noWrap/>
            <w:vAlign w:val="center"/>
          </w:tcPr>
          <w:p w14:paraId="0BBB8FF4">
            <w:pPr>
              <w:widowControl/>
              <w:spacing w:line="240" w:lineRule="auto"/>
              <w:ind w:firstLine="0" w:firstLineChars="0"/>
              <w:jc w:val="center"/>
              <w:rPr>
                <w:rFonts w:hint="eastAsia"/>
                <w:sz w:val="21"/>
                <w:szCs w:val="21"/>
              </w:rPr>
            </w:pPr>
            <w:r>
              <w:rPr>
                <w:rFonts w:hint="eastAsia"/>
                <w:sz w:val="21"/>
                <w:szCs w:val="21"/>
              </w:rPr>
              <w:t>驻场</w:t>
            </w:r>
          </w:p>
        </w:tc>
      </w:tr>
      <w:tr w14:paraId="0967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9" w:type="pct"/>
            <w:noWrap/>
            <w:vAlign w:val="center"/>
          </w:tcPr>
          <w:p w14:paraId="7DF615C1">
            <w:pPr>
              <w:widowControl/>
              <w:spacing w:line="240" w:lineRule="auto"/>
              <w:ind w:firstLine="0" w:firstLineChars="0"/>
              <w:jc w:val="center"/>
              <w:rPr>
                <w:rFonts w:hint="eastAsia"/>
                <w:sz w:val="21"/>
                <w:szCs w:val="21"/>
              </w:rPr>
            </w:pPr>
            <w:r>
              <w:rPr>
                <w:rFonts w:hint="eastAsia"/>
                <w:sz w:val="21"/>
                <w:szCs w:val="21"/>
              </w:rPr>
              <w:t>研发</w:t>
            </w:r>
          </w:p>
        </w:tc>
        <w:tc>
          <w:tcPr>
            <w:tcW w:w="1167" w:type="pct"/>
            <w:noWrap/>
            <w:vAlign w:val="center"/>
          </w:tcPr>
          <w:p w14:paraId="77773B06">
            <w:pPr>
              <w:widowControl/>
              <w:spacing w:line="240" w:lineRule="auto"/>
              <w:ind w:firstLine="0" w:firstLineChars="0"/>
              <w:jc w:val="center"/>
              <w:rPr>
                <w:rFonts w:hint="eastAsia"/>
                <w:sz w:val="21"/>
                <w:szCs w:val="21"/>
              </w:rPr>
            </w:pPr>
            <w:r>
              <w:rPr>
                <w:rFonts w:hint="eastAsia"/>
                <w:sz w:val="21"/>
                <w:szCs w:val="21"/>
              </w:rPr>
              <w:t>负责项目具体开发与实施</w:t>
            </w:r>
          </w:p>
        </w:tc>
        <w:tc>
          <w:tcPr>
            <w:tcW w:w="768" w:type="pct"/>
            <w:noWrap/>
            <w:vAlign w:val="center"/>
          </w:tcPr>
          <w:p w14:paraId="3E1FEB48">
            <w:pPr>
              <w:widowControl/>
              <w:spacing w:line="240" w:lineRule="auto"/>
              <w:ind w:firstLine="0" w:firstLineChars="0"/>
              <w:jc w:val="center"/>
              <w:rPr>
                <w:rFonts w:hint="eastAsia"/>
                <w:sz w:val="21"/>
                <w:szCs w:val="21"/>
              </w:rPr>
            </w:pPr>
            <w:r>
              <w:rPr>
                <w:rFonts w:hint="eastAsia"/>
                <w:sz w:val="21"/>
                <w:szCs w:val="21"/>
              </w:rPr>
              <w:t>6人</w:t>
            </w:r>
          </w:p>
        </w:tc>
        <w:tc>
          <w:tcPr>
            <w:tcW w:w="1195" w:type="pct"/>
            <w:vAlign w:val="center"/>
          </w:tcPr>
          <w:p w14:paraId="1F6BC73C">
            <w:pPr>
              <w:widowControl/>
              <w:spacing w:line="240" w:lineRule="auto"/>
              <w:ind w:firstLine="0" w:firstLineChars="0"/>
              <w:jc w:val="left"/>
              <w:rPr>
                <w:rFonts w:hint="eastAsia"/>
                <w:sz w:val="21"/>
                <w:szCs w:val="21"/>
              </w:rPr>
            </w:pPr>
            <w:r>
              <w:rPr>
                <w:rFonts w:hint="eastAsia" w:cs="宋体"/>
                <w:sz w:val="21"/>
                <w:szCs w:val="21"/>
              </w:rPr>
              <w:t>本科及以上学历，相关工作经验不低于3年。</w:t>
            </w:r>
          </w:p>
        </w:tc>
        <w:tc>
          <w:tcPr>
            <w:tcW w:w="1161" w:type="pct"/>
            <w:noWrap/>
            <w:vAlign w:val="center"/>
          </w:tcPr>
          <w:p w14:paraId="748A4BC0">
            <w:pPr>
              <w:widowControl/>
              <w:spacing w:line="240" w:lineRule="auto"/>
              <w:ind w:firstLine="0" w:firstLineChars="0"/>
              <w:jc w:val="center"/>
              <w:rPr>
                <w:rFonts w:hint="eastAsia"/>
                <w:sz w:val="21"/>
                <w:szCs w:val="21"/>
              </w:rPr>
            </w:pPr>
            <w:r>
              <w:rPr>
                <w:rFonts w:hint="eastAsia"/>
                <w:sz w:val="21"/>
                <w:szCs w:val="21"/>
              </w:rPr>
              <w:t>不少于2人驻场</w:t>
            </w:r>
          </w:p>
        </w:tc>
      </w:tr>
      <w:bookmarkEnd w:id="37"/>
    </w:tbl>
    <w:p w14:paraId="293AA28E">
      <w:pPr>
        <w:rPr>
          <w:rFonts w:hint="eastAsia"/>
        </w:rPr>
      </w:pPr>
      <w:r>
        <w:t>2）投标人应针对本项目提供不少于</w:t>
      </w:r>
      <w:r>
        <w:rPr>
          <w:rFonts w:hint="eastAsia"/>
        </w:rPr>
        <w:t>4</w:t>
      </w:r>
      <w:r>
        <w:t>人的质保期间支撑团队（其中技术经理</w:t>
      </w:r>
      <w:r>
        <w:rPr>
          <w:rFonts w:hint="eastAsia"/>
        </w:rPr>
        <w:t>1</w:t>
      </w:r>
      <w:r>
        <w:t>人，产品经理</w:t>
      </w:r>
      <w:r>
        <w:rPr>
          <w:rFonts w:hint="eastAsia"/>
        </w:rPr>
        <w:t>1</w:t>
      </w:r>
      <w:r>
        <w:t>人，技术工程师不少于</w:t>
      </w:r>
      <w:r>
        <w:rPr>
          <w:rFonts w:hint="eastAsia"/>
        </w:rPr>
        <w:t>2</w:t>
      </w:r>
      <w:r>
        <w:t>人）；投标人的相关服务人员需具备相应的服务能力，需提供相关证明（最近一个季度依法缴纳社保费的证明）。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1134"/>
        <w:gridCol w:w="2268"/>
        <w:gridCol w:w="2070"/>
      </w:tblGrid>
      <w:tr w14:paraId="7D2F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shd w:val="clear" w:color="auto" w:fill="FBD4B4" w:themeFill="accent6" w:themeFillTint="66"/>
            <w:noWrap/>
            <w:vAlign w:val="center"/>
          </w:tcPr>
          <w:p w14:paraId="6192EF04">
            <w:pPr>
              <w:widowControl/>
              <w:spacing w:line="240" w:lineRule="auto"/>
              <w:ind w:firstLine="0" w:firstLineChars="0"/>
              <w:jc w:val="center"/>
              <w:rPr>
                <w:rFonts w:hint="eastAsia"/>
                <w:b/>
                <w:sz w:val="21"/>
                <w:szCs w:val="21"/>
              </w:rPr>
            </w:pPr>
            <w:r>
              <w:rPr>
                <w:rFonts w:hint="eastAsia"/>
                <w:b/>
                <w:sz w:val="21"/>
                <w:szCs w:val="21"/>
              </w:rPr>
              <w:t>角色</w:t>
            </w:r>
          </w:p>
        </w:tc>
        <w:tc>
          <w:tcPr>
            <w:tcW w:w="1559" w:type="dxa"/>
            <w:shd w:val="clear" w:color="auto" w:fill="FBD4B4" w:themeFill="accent6" w:themeFillTint="66"/>
            <w:noWrap/>
            <w:vAlign w:val="center"/>
          </w:tcPr>
          <w:p w14:paraId="5BBE84CD">
            <w:pPr>
              <w:widowControl/>
              <w:spacing w:line="240" w:lineRule="auto"/>
              <w:ind w:firstLine="0" w:firstLineChars="0"/>
              <w:jc w:val="center"/>
              <w:rPr>
                <w:rFonts w:hint="eastAsia"/>
                <w:b/>
                <w:sz w:val="21"/>
                <w:szCs w:val="21"/>
              </w:rPr>
            </w:pPr>
            <w:r>
              <w:rPr>
                <w:rFonts w:hint="eastAsia"/>
                <w:b/>
                <w:sz w:val="21"/>
                <w:szCs w:val="21"/>
              </w:rPr>
              <w:t>主要职责</w:t>
            </w:r>
          </w:p>
        </w:tc>
        <w:tc>
          <w:tcPr>
            <w:tcW w:w="1134" w:type="dxa"/>
            <w:shd w:val="clear" w:color="auto" w:fill="FBD4B4" w:themeFill="accent6" w:themeFillTint="66"/>
            <w:noWrap/>
            <w:vAlign w:val="center"/>
          </w:tcPr>
          <w:p w14:paraId="4B6CDC09">
            <w:pPr>
              <w:widowControl/>
              <w:spacing w:line="240" w:lineRule="auto"/>
              <w:ind w:firstLine="0" w:firstLineChars="0"/>
              <w:jc w:val="center"/>
              <w:rPr>
                <w:rFonts w:hint="eastAsia"/>
                <w:b/>
                <w:sz w:val="21"/>
                <w:szCs w:val="21"/>
              </w:rPr>
            </w:pPr>
            <w:r>
              <w:rPr>
                <w:rFonts w:hint="eastAsia"/>
                <w:b/>
                <w:sz w:val="21"/>
                <w:szCs w:val="21"/>
              </w:rPr>
              <w:t>人员数量</w:t>
            </w:r>
          </w:p>
        </w:tc>
        <w:tc>
          <w:tcPr>
            <w:tcW w:w="2268" w:type="dxa"/>
            <w:shd w:val="clear" w:color="auto" w:fill="FBD4B4" w:themeFill="accent6" w:themeFillTint="66"/>
            <w:vAlign w:val="center"/>
          </w:tcPr>
          <w:p w14:paraId="0C264899">
            <w:pPr>
              <w:widowControl/>
              <w:spacing w:line="240" w:lineRule="auto"/>
              <w:ind w:firstLine="0" w:firstLineChars="0"/>
              <w:jc w:val="center"/>
              <w:rPr>
                <w:rFonts w:hint="eastAsia"/>
                <w:b/>
                <w:sz w:val="21"/>
                <w:szCs w:val="21"/>
              </w:rPr>
            </w:pPr>
            <w:r>
              <w:rPr>
                <w:rFonts w:hint="eastAsia"/>
                <w:b/>
                <w:sz w:val="21"/>
                <w:szCs w:val="21"/>
              </w:rPr>
              <w:t>人员要求</w:t>
            </w:r>
          </w:p>
        </w:tc>
        <w:tc>
          <w:tcPr>
            <w:tcW w:w="2070" w:type="dxa"/>
            <w:shd w:val="clear" w:color="auto" w:fill="FBD4B4" w:themeFill="accent6" w:themeFillTint="66"/>
            <w:noWrap/>
            <w:vAlign w:val="center"/>
          </w:tcPr>
          <w:p w14:paraId="02B44319">
            <w:pPr>
              <w:widowControl/>
              <w:spacing w:line="240" w:lineRule="auto"/>
              <w:ind w:firstLine="0" w:firstLineChars="0"/>
              <w:jc w:val="center"/>
              <w:rPr>
                <w:rFonts w:hint="eastAsia"/>
                <w:b/>
                <w:sz w:val="21"/>
                <w:szCs w:val="21"/>
              </w:rPr>
            </w:pPr>
            <w:r>
              <w:rPr>
                <w:rFonts w:hint="eastAsia"/>
                <w:b/>
                <w:sz w:val="21"/>
                <w:szCs w:val="21"/>
              </w:rPr>
              <w:t>驻场要求</w:t>
            </w:r>
          </w:p>
        </w:tc>
      </w:tr>
      <w:tr w14:paraId="2E6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noWrap/>
            <w:vAlign w:val="center"/>
          </w:tcPr>
          <w:p w14:paraId="123D6AA3">
            <w:pPr>
              <w:widowControl/>
              <w:spacing w:line="240" w:lineRule="auto"/>
              <w:ind w:firstLine="0" w:firstLineChars="0"/>
              <w:jc w:val="center"/>
              <w:rPr>
                <w:rFonts w:hint="eastAsia"/>
                <w:sz w:val="21"/>
                <w:szCs w:val="21"/>
              </w:rPr>
            </w:pPr>
            <w:r>
              <w:rPr>
                <w:rFonts w:hint="eastAsia"/>
                <w:sz w:val="21"/>
                <w:szCs w:val="21"/>
              </w:rPr>
              <w:t>技术经理</w:t>
            </w:r>
          </w:p>
        </w:tc>
        <w:tc>
          <w:tcPr>
            <w:tcW w:w="1559" w:type="dxa"/>
            <w:vAlign w:val="center"/>
          </w:tcPr>
          <w:p w14:paraId="6E9029D0">
            <w:pPr>
              <w:widowControl/>
              <w:spacing w:line="240" w:lineRule="auto"/>
              <w:ind w:firstLine="0" w:firstLineChars="0"/>
              <w:jc w:val="center"/>
              <w:rPr>
                <w:rFonts w:hint="eastAsia"/>
                <w:sz w:val="21"/>
                <w:szCs w:val="21"/>
              </w:rPr>
            </w:pPr>
            <w:r>
              <w:rPr>
                <w:rFonts w:hint="eastAsia"/>
                <w:sz w:val="21"/>
                <w:szCs w:val="21"/>
              </w:rPr>
              <w:t>负责项目质量和进度控制</w:t>
            </w:r>
          </w:p>
        </w:tc>
        <w:tc>
          <w:tcPr>
            <w:tcW w:w="1134" w:type="dxa"/>
            <w:noWrap/>
            <w:vAlign w:val="center"/>
          </w:tcPr>
          <w:p w14:paraId="7AE48A11">
            <w:pPr>
              <w:widowControl/>
              <w:spacing w:line="240" w:lineRule="auto"/>
              <w:ind w:firstLine="0" w:firstLineChars="0"/>
              <w:jc w:val="center"/>
              <w:rPr>
                <w:rFonts w:hint="eastAsia"/>
                <w:sz w:val="21"/>
                <w:szCs w:val="21"/>
              </w:rPr>
            </w:pPr>
            <w:r>
              <w:rPr>
                <w:rFonts w:hint="eastAsia"/>
                <w:sz w:val="21"/>
                <w:szCs w:val="21"/>
              </w:rPr>
              <w:t>1人</w:t>
            </w:r>
          </w:p>
        </w:tc>
        <w:tc>
          <w:tcPr>
            <w:tcW w:w="2268" w:type="dxa"/>
            <w:vAlign w:val="center"/>
          </w:tcPr>
          <w:p w14:paraId="77CE7EE5">
            <w:pPr>
              <w:widowControl/>
              <w:spacing w:line="240" w:lineRule="auto"/>
              <w:ind w:firstLine="0" w:firstLineChars="0"/>
              <w:jc w:val="left"/>
              <w:rPr>
                <w:rFonts w:hint="eastAsia"/>
                <w:sz w:val="21"/>
                <w:szCs w:val="21"/>
              </w:rPr>
            </w:pPr>
            <w:r>
              <w:rPr>
                <w:rFonts w:hint="eastAsia"/>
                <w:sz w:val="21"/>
                <w:szCs w:val="21"/>
              </w:rPr>
              <w:t>具备项目管理类证书或高级职称</w:t>
            </w:r>
          </w:p>
        </w:tc>
        <w:tc>
          <w:tcPr>
            <w:tcW w:w="2070" w:type="dxa"/>
            <w:noWrap/>
            <w:vAlign w:val="center"/>
          </w:tcPr>
          <w:p w14:paraId="5ADC3F60">
            <w:pPr>
              <w:widowControl/>
              <w:spacing w:line="240" w:lineRule="auto"/>
              <w:ind w:firstLine="0" w:firstLineChars="0"/>
              <w:jc w:val="center"/>
              <w:rPr>
                <w:rFonts w:hint="eastAsia"/>
                <w:sz w:val="21"/>
                <w:szCs w:val="21"/>
              </w:rPr>
            </w:pPr>
            <w:r>
              <w:rPr>
                <w:rFonts w:hint="eastAsia"/>
                <w:sz w:val="21"/>
                <w:szCs w:val="21"/>
              </w:rPr>
              <w:t>驻场</w:t>
            </w:r>
          </w:p>
        </w:tc>
      </w:tr>
      <w:tr w14:paraId="33D8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noWrap/>
            <w:vAlign w:val="center"/>
          </w:tcPr>
          <w:p w14:paraId="41998A75">
            <w:pPr>
              <w:widowControl/>
              <w:spacing w:line="240" w:lineRule="auto"/>
              <w:ind w:firstLine="0" w:firstLineChars="0"/>
              <w:jc w:val="center"/>
              <w:rPr>
                <w:rFonts w:hint="eastAsia"/>
                <w:sz w:val="21"/>
                <w:szCs w:val="21"/>
              </w:rPr>
            </w:pPr>
            <w:r>
              <w:rPr>
                <w:rFonts w:hint="eastAsia"/>
                <w:sz w:val="21"/>
                <w:szCs w:val="21"/>
              </w:rPr>
              <w:t>产品经理</w:t>
            </w:r>
          </w:p>
        </w:tc>
        <w:tc>
          <w:tcPr>
            <w:tcW w:w="1559" w:type="dxa"/>
            <w:vAlign w:val="center"/>
          </w:tcPr>
          <w:p w14:paraId="0C6FCB07">
            <w:pPr>
              <w:widowControl/>
              <w:spacing w:line="240" w:lineRule="auto"/>
              <w:ind w:firstLine="0" w:firstLineChars="0"/>
              <w:jc w:val="center"/>
              <w:rPr>
                <w:rFonts w:hint="eastAsia"/>
                <w:sz w:val="21"/>
                <w:szCs w:val="21"/>
              </w:rPr>
            </w:pPr>
            <w:r>
              <w:rPr>
                <w:rFonts w:hint="eastAsia"/>
                <w:sz w:val="21"/>
                <w:szCs w:val="21"/>
              </w:rPr>
              <w:t>负责项目需求评估与产品设计</w:t>
            </w:r>
          </w:p>
        </w:tc>
        <w:tc>
          <w:tcPr>
            <w:tcW w:w="1134" w:type="dxa"/>
            <w:noWrap/>
            <w:vAlign w:val="center"/>
          </w:tcPr>
          <w:p w14:paraId="7BCA0E1A">
            <w:pPr>
              <w:widowControl/>
              <w:spacing w:line="240" w:lineRule="auto"/>
              <w:ind w:firstLine="0" w:firstLineChars="0"/>
              <w:jc w:val="center"/>
              <w:rPr>
                <w:rFonts w:hint="eastAsia"/>
                <w:sz w:val="21"/>
                <w:szCs w:val="21"/>
              </w:rPr>
            </w:pPr>
            <w:r>
              <w:rPr>
                <w:rFonts w:hint="eastAsia"/>
                <w:sz w:val="21"/>
                <w:szCs w:val="21"/>
              </w:rPr>
              <w:t>1人</w:t>
            </w:r>
          </w:p>
        </w:tc>
        <w:tc>
          <w:tcPr>
            <w:tcW w:w="2268" w:type="dxa"/>
            <w:vAlign w:val="center"/>
          </w:tcPr>
          <w:p w14:paraId="25BE5294">
            <w:pPr>
              <w:widowControl/>
              <w:spacing w:line="240" w:lineRule="auto"/>
              <w:ind w:firstLine="0" w:firstLineChars="0"/>
              <w:jc w:val="left"/>
              <w:rPr>
                <w:rFonts w:hint="eastAsia"/>
                <w:sz w:val="21"/>
                <w:szCs w:val="21"/>
              </w:rPr>
            </w:pPr>
            <w:r>
              <w:rPr>
                <w:rFonts w:hint="eastAsia" w:cs="宋体"/>
                <w:sz w:val="21"/>
                <w:szCs w:val="21"/>
              </w:rPr>
              <w:t>本科及以上学历，相关工作经验不低于5年。</w:t>
            </w:r>
          </w:p>
        </w:tc>
        <w:tc>
          <w:tcPr>
            <w:tcW w:w="2070" w:type="dxa"/>
            <w:noWrap/>
            <w:vAlign w:val="center"/>
          </w:tcPr>
          <w:p w14:paraId="737BB63C">
            <w:pPr>
              <w:widowControl/>
              <w:spacing w:line="240" w:lineRule="auto"/>
              <w:ind w:firstLine="0" w:firstLineChars="0"/>
              <w:jc w:val="center"/>
              <w:rPr>
                <w:rFonts w:hint="eastAsia"/>
                <w:sz w:val="21"/>
                <w:szCs w:val="21"/>
              </w:rPr>
            </w:pPr>
            <w:r>
              <w:rPr>
                <w:rFonts w:hint="eastAsia"/>
                <w:sz w:val="21"/>
                <w:szCs w:val="21"/>
              </w:rPr>
              <w:t>驻场</w:t>
            </w:r>
          </w:p>
        </w:tc>
      </w:tr>
      <w:tr w14:paraId="204D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1" w:type="dxa"/>
            <w:noWrap/>
            <w:vAlign w:val="center"/>
          </w:tcPr>
          <w:p w14:paraId="3287C449">
            <w:pPr>
              <w:widowControl/>
              <w:spacing w:line="240" w:lineRule="auto"/>
              <w:ind w:firstLine="0" w:firstLineChars="0"/>
              <w:jc w:val="center"/>
              <w:rPr>
                <w:rFonts w:hint="eastAsia"/>
                <w:sz w:val="21"/>
                <w:szCs w:val="21"/>
              </w:rPr>
            </w:pPr>
            <w:r>
              <w:rPr>
                <w:rFonts w:hint="eastAsia"/>
                <w:sz w:val="21"/>
                <w:szCs w:val="21"/>
              </w:rPr>
              <w:t>技术工程师</w:t>
            </w:r>
          </w:p>
        </w:tc>
        <w:tc>
          <w:tcPr>
            <w:tcW w:w="1559" w:type="dxa"/>
            <w:noWrap/>
            <w:vAlign w:val="center"/>
          </w:tcPr>
          <w:p w14:paraId="7799907E">
            <w:pPr>
              <w:widowControl/>
              <w:spacing w:line="240" w:lineRule="auto"/>
              <w:ind w:firstLine="0" w:firstLineChars="0"/>
              <w:jc w:val="center"/>
              <w:rPr>
                <w:rFonts w:hint="eastAsia"/>
                <w:sz w:val="21"/>
                <w:szCs w:val="21"/>
              </w:rPr>
            </w:pPr>
            <w:r>
              <w:rPr>
                <w:rFonts w:hint="eastAsia"/>
                <w:sz w:val="21"/>
                <w:szCs w:val="21"/>
              </w:rPr>
              <w:t>负责项目运行维护</w:t>
            </w:r>
          </w:p>
        </w:tc>
        <w:tc>
          <w:tcPr>
            <w:tcW w:w="1134" w:type="dxa"/>
            <w:noWrap/>
            <w:vAlign w:val="center"/>
          </w:tcPr>
          <w:p w14:paraId="131662BF">
            <w:pPr>
              <w:widowControl/>
              <w:spacing w:line="240" w:lineRule="auto"/>
              <w:ind w:firstLine="0" w:firstLineChars="0"/>
              <w:jc w:val="center"/>
              <w:rPr>
                <w:rFonts w:hint="eastAsia"/>
                <w:sz w:val="21"/>
                <w:szCs w:val="21"/>
              </w:rPr>
            </w:pPr>
            <w:r>
              <w:rPr>
                <w:rFonts w:hint="eastAsia"/>
                <w:sz w:val="21"/>
                <w:szCs w:val="21"/>
              </w:rPr>
              <w:t>2人</w:t>
            </w:r>
          </w:p>
        </w:tc>
        <w:tc>
          <w:tcPr>
            <w:tcW w:w="2268" w:type="dxa"/>
            <w:vAlign w:val="center"/>
          </w:tcPr>
          <w:p w14:paraId="5E1167F4">
            <w:pPr>
              <w:widowControl/>
              <w:spacing w:line="240" w:lineRule="auto"/>
              <w:ind w:firstLine="0" w:firstLineChars="0"/>
              <w:jc w:val="left"/>
              <w:rPr>
                <w:rFonts w:hint="eastAsia"/>
                <w:sz w:val="21"/>
                <w:szCs w:val="21"/>
              </w:rPr>
            </w:pPr>
            <w:r>
              <w:rPr>
                <w:rFonts w:hint="eastAsia" w:cs="宋体"/>
                <w:sz w:val="21"/>
                <w:szCs w:val="21"/>
              </w:rPr>
              <w:t>本科及以上学历，相关工作经验不低于3年。</w:t>
            </w:r>
          </w:p>
        </w:tc>
        <w:tc>
          <w:tcPr>
            <w:tcW w:w="2070" w:type="dxa"/>
            <w:noWrap/>
            <w:vAlign w:val="center"/>
          </w:tcPr>
          <w:p w14:paraId="2FA67DD7">
            <w:pPr>
              <w:widowControl/>
              <w:spacing w:line="240" w:lineRule="auto"/>
              <w:ind w:firstLine="0" w:firstLineChars="0"/>
              <w:jc w:val="center"/>
              <w:rPr>
                <w:rFonts w:hint="eastAsia"/>
                <w:sz w:val="21"/>
                <w:szCs w:val="21"/>
              </w:rPr>
            </w:pPr>
            <w:r>
              <w:rPr>
                <w:rFonts w:hint="eastAsia"/>
                <w:sz w:val="21"/>
                <w:szCs w:val="21"/>
              </w:rPr>
              <w:t>汛期发布响应期间需至少1人驻场</w:t>
            </w:r>
          </w:p>
        </w:tc>
      </w:tr>
    </w:tbl>
    <w:p w14:paraId="79CA4E9D">
      <w:pPr>
        <w:pStyle w:val="4"/>
        <w:rPr>
          <w:rFonts w:hint="eastAsia"/>
        </w:rPr>
      </w:pPr>
      <w:bookmarkStart w:id="39" w:name="_Toc63785511"/>
      <w:r>
        <w:t>等级保护要求</w:t>
      </w:r>
      <w:bookmarkEnd w:id="39"/>
    </w:p>
    <w:p w14:paraId="24DEFDCA">
      <w:pPr>
        <w:rPr>
          <w:rFonts w:hint="eastAsia"/>
        </w:rPr>
      </w:pPr>
      <w:r>
        <w:rPr>
          <w:rFonts w:hint="eastAsia"/>
        </w:rPr>
        <w:t>本项目参照等级保护二级要求建设。</w:t>
      </w:r>
    </w:p>
    <w:p w14:paraId="64EDFE42">
      <w:pPr>
        <w:pStyle w:val="4"/>
        <w:rPr>
          <w:rFonts w:hint="eastAsia"/>
        </w:rPr>
      </w:pPr>
      <w:r>
        <w:rPr>
          <w:rFonts w:hint="eastAsia"/>
        </w:rPr>
        <w:t>商用密码应用需求</w:t>
      </w:r>
    </w:p>
    <w:p w14:paraId="1BE57A6E">
      <w:pPr>
        <w:rPr>
          <w:rFonts w:hint="eastAsia"/>
        </w:rPr>
      </w:pPr>
      <w:r>
        <w:rPr>
          <w:rFonts w:hint="eastAsia"/>
        </w:rPr>
        <w:t>本项目参照商用密码应用二级要求建设。</w:t>
      </w:r>
    </w:p>
    <w:p w14:paraId="1D6901E1">
      <w:pPr>
        <w:rPr>
          <w:rFonts w:hint="eastAsia"/>
        </w:rPr>
      </w:pPr>
      <w:r>
        <w:rPr>
          <w:rFonts w:hint="eastAsia"/>
        </w:rPr>
        <w:t>基于云平台提供的安全认证网关、签名验签、数据库加密等密码服务以及系统的应用功能，需开发适配若干密码应用功能模块，以实现网络和通信、设备和计算、应用和数据等层面的各密码应用功能。密码应用功能模块与系统功能、业务复杂度密切相关，若系统功能较多、业务复杂度较高，则密码应用功能模块的开发适配工作量需相应调增。</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53"/>
        <w:gridCol w:w="2258"/>
        <w:gridCol w:w="3794"/>
      </w:tblGrid>
      <w:tr w14:paraId="6F52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shd w:val="clear" w:color="auto" w:fill="FBD4B4" w:themeFill="accent6" w:themeFillTint="66"/>
            <w:vAlign w:val="center"/>
          </w:tcPr>
          <w:p w14:paraId="6DCA32E3">
            <w:pPr>
              <w:ind w:firstLine="0" w:firstLineChars="0"/>
              <w:jc w:val="center"/>
              <w:rPr>
                <w:rFonts w:hint="eastAsia" w:cs="宋体"/>
                <w:b/>
                <w:bCs/>
                <w:sz w:val="21"/>
                <w:szCs w:val="21"/>
              </w:rPr>
            </w:pPr>
            <w:r>
              <w:rPr>
                <w:rFonts w:hint="eastAsia" w:cs="宋体"/>
                <w:b/>
                <w:bCs/>
                <w:sz w:val="21"/>
                <w:szCs w:val="21"/>
              </w:rPr>
              <w:t>序号</w:t>
            </w:r>
          </w:p>
        </w:tc>
        <w:tc>
          <w:tcPr>
            <w:tcW w:w="1028" w:type="pct"/>
            <w:shd w:val="clear" w:color="auto" w:fill="FBD4B4" w:themeFill="accent6" w:themeFillTint="66"/>
            <w:vAlign w:val="center"/>
          </w:tcPr>
          <w:p w14:paraId="6CCA8D64">
            <w:pPr>
              <w:ind w:firstLine="0" w:firstLineChars="0"/>
              <w:jc w:val="center"/>
              <w:rPr>
                <w:rFonts w:hint="eastAsia" w:cs="宋体"/>
                <w:b/>
                <w:bCs/>
                <w:sz w:val="21"/>
                <w:szCs w:val="21"/>
              </w:rPr>
            </w:pPr>
            <w:r>
              <w:rPr>
                <w:rFonts w:hint="eastAsia" w:cs="宋体"/>
                <w:b/>
                <w:bCs/>
                <w:sz w:val="21"/>
                <w:szCs w:val="21"/>
              </w:rPr>
              <w:t>安全层面</w:t>
            </w:r>
          </w:p>
        </w:tc>
        <w:tc>
          <w:tcPr>
            <w:tcW w:w="1324" w:type="pct"/>
            <w:shd w:val="clear" w:color="auto" w:fill="FBD4B4" w:themeFill="accent6" w:themeFillTint="66"/>
            <w:vAlign w:val="center"/>
          </w:tcPr>
          <w:p w14:paraId="4B238BA7">
            <w:pPr>
              <w:ind w:firstLine="0" w:firstLineChars="0"/>
              <w:jc w:val="center"/>
              <w:rPr>
                <w:rFonts w:hint="eastAsia" w:cs="宋体"/>
                <w:b/>
                <w:bCs/>
                <w:sz w:val="21"/>
                <w:szCs w:val="21"/>
              </w:rPr>
            </w:pPr>
            <w:r>
              <w:rPr>
                <w:rFonts w:hint="eastAsia" w:cs="宋体"/>
                <w:b/>
                <w:bCs/>
                <w:sz w:val="21"/>
                <w:szCs w:val="21"/>
              </w:rPr>
              <w:t>保护对象</w:t>
            </w:r>
          </w:p>
        </w:tc>
        <w:tc>
          <w:tcPr>
            <w:tcW w:w="2224" w:type="pct"/>
            <w:shd w:val="clear" w:color="auto" w:fill="FBD4B4" w:themeFill="accent6" w:themeFillTint="66"/>
            <w:vAlign w:val="center"/>
          </w:tcPr>
          <w:p w14:paraId="03B6C81C">
            <w:pPr>
              <w:ind w:firstLine="0" w:firstLineChars="0"/>
              <w:jc w:val="center"/>
              <w:rPr>
                <w:rFonts w:hint="eastAsia" w:cs="宋体"/>
                <w:b/>
                <w:bCs/>
                <w:sz w:val="21"/>
                <w:szCs w:val="21"/>
              </w:rPr>
            </w:pPr>
            <w:r>
              <w:rPr>
                <w:rFonts w:hint="eastAsia" w:cs="宋体"/>
                <w:b/>
                <w:bCs/>
                <w:sz w:val="21"/>
                <w:szCs w:val="21"/>
              </w:rPr>
              <w:t>说明</w:t>
            </w:r>
          </w:p>
        </w:tc>
      </w:tr>
      <w:tr w14:paraId="28E6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4408508">
            <w:pPr>
              <w:ind w:firstLine="0" w:firstLineChars="0"/>
              <w:jc w:val="center"/>
              <w:rPr>
                <w:rFonts w:hint="eastAsia" w:cs="宋体"/>
                <w:sz w:val="21"/>
                <w:szCs w:val="21"/>
              </w:rPr>
            </w:pPr>
            <w:r>
              <w:rPr>
                <w:rFonts w:hint="eastAsia" w:cs="宋体"/>
                <w:sz w:val="21"/>
                <w:szCs w:val="21"/>
              </w:rPr>
              <w:t>1</w:t>
            </w:r>
          </w:p>
        </w:tc>
        <w:tc>
          <w:tcPr>
            <w:tcW w:w="1028" w:type="pct"/>
            <w:vMerge w:val="restart"/>
            <w:vAlign w:val="center"/>
          </w:tcPr>
          <w:p w14:paraId="48CE4E73">
            <w:pPr>
              <w:ind w:firstLine="0" w:firstLineChars="0"/>
              <w:rPr>
                <w:rFonts w:hint="eastAsia" w:cs="宋体"/>
                <w:sz w:val="21"/>
                <w:szCs w:val="21"/>
              </w:rPr>
            </w:pPr>
            <w:r>
              <w:rPr>
                <w:rFonts w:hint="eastAsia" w:cs="宋体"/>
                <w:sz w:val="21"/>
                <w:szCs w:val="21"/>
              </w:rPr>
              <w:t>网络和通信安全</w:t>
            </w:r>
          </w:p>
        </w:tc>
        <w:tc>
          <w:tcPr>
            <w:tcW w:w="1324" w:type="pct"/>
            <w:vAlign w:val="center"/>
          </w:tcPr>
          <w:p w14:paraId="18D8D0F3">
            <w:pPr>
              <w:ind w:firstLine="0" w:firstLineChars="0"/>
              <w:rPr>
                <w:rFonts w:hint="eastAsia" w:cs="宋体"/>
                <w:sz w:val="21"/>
                <w:szCs w:val="21"/>
              </w:rPr>
            </w:pPr>
            <w:r>
              <w:rPr>
                <w:rFonts w:hint="eastAsia" w:cs="宋体"/>
                <w:sz w:val="21"/>
                <w:szCs w:val="21"/>
              </w:rPr>
              <w:t>远程运维通信信道</w:t>
            </w:r>
          </w:p>
        </w:tc>
        <w:tc>
          <w:tcPr>
            <w:tcW w:w="2224" w:type="pct"/>
            <w:vAlign w:val="center"/>
          </w:tcPr>
          <w:p w14:paraId="1B475928">
            <w:pPr>
              <w:ind w:firstLine="0" w:firstLineChars="0"/>
              <w:rPr>
                <w:rFonts w:hint="eastAsia" w:cs="宋体"/>
                <w:sz w:val="21"/>
                <w:szCs w:val="21"/>
              </w:rPr>
            </w:pPr>
            <w:r>
              <w:rPr>
                <w:rFonts w:hint="eastAsia" w:cs="宋体"/>
                <w:sz w:val="21"/>
                <w:szCs w:val="21"/>
              </w:rPr>
              <w:t>通过远程管理终端对系统内设备进行运维的通信信道</w:t>
            </w:r>
          </w:p>
        </w:tc>
      </w:tr>
      <w:tr w14:paraId="73F2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7BF756A">
            <w:pPr>
              <w:ind w:firstLine="0" w:firstLineChars="0"/>
              <w:jc w:val="center"/>
              <w:rPr>
                <w:rFonts w:hint="eastAsia" w:cs="宋体"/>
                <w:sz w:val="21"/>
                <w:szCs w:val="21"/>
              </w:rPr>
            </w:pPr>
            <w:r>
              <w:rPr>
                <w:rFonts w:hint="eastAsia" w:cs="宋体"/>
                <w:sz w:val="21"/>
                <w:szCs w:val="21"/>
              </w:rPr>
              <w:t>2</w:t>
            </w:r>
          </w:p>
        </w:tc>
        <w:tc>
          <w:tcPr>
            <w:tcW w:w="1028" w:type="pct"/>
            <w:vMerge w:val="continue"/>
            <w:vAlign w:val="center"/>
          </w:tcPr>
          <w:p w14:paraId="166FDAAE">
            <w:pPr>
              <w:ind w:firstLine="420"/>
              <w:rPr>
                <w:rFonts w:hint="eastAsia" w:cs="宋体"/>
                <w:sz w:val="21"/>
                <w:szCs w:val="21"/>
              </w:rPr>
            </w:pPr>
          </w:p>
        </w:tc>
        <w:tc>
          <w:tcPr>
            <w:tcW w:w="1324" w:type="pct"/>
            <w:vAlign w:val="center"/>
          </w:tcPr>
          <w:p w14:paraId="3E901DF8">
            <w:pPr>
              <w:ind w:firstLine="0" w:firstLineChars="0"/>
              <w:rPr>
                <w:rFonts w:hint="eastAsia" w:cs="宋体"/>
                <w:sz w:val="21"/>
                <w:szCs w:val="21"/>
              </w:rPr>
            </w:pPr>
            <w:r>
              <w:rPr>
                <w:rFonts w:hint="eastAsia" w:cs="宋体"/>
                <w:sz w:val="21"/>
                <w:szCs w:val="21"/>
              </w:rPr>
              <w:t>政务外网访问通信信道</w:t>
            </w:r>
          </w:p>
        </w:tc>
        <w:tc>
          <w:tcPr>
            <w:tcW w:w="2224" w:type="pct"/>
            <w:vAlign w:val="center"/>
          </w:tcPr>
          <w:p w14:paraId="7513BCBD">
            <w:pPr>
              <w:ind w:firstLine="0" w:firstLineChars="0"/>
              <w:rPr>
                <w:rFonts w:hint="eastAsia" w:cs="宋体"/>
                <w:sz w:val="21"/>
                <w:szCs w:val="21"/>
              </w:rPr>
            </w:pPr>
            <w:r>
              <w:rPr>
                <w:rFonts w:hint="eastAsia" w:cs="宋体"/>
                <w:sz w:val="21"/>
                <w:szCs w:val="21"/>
              </w:rPr>
              <w:t>从政务外网访问应用的通信信道</w:t>
            </w:r>
          </w:p>
        </w:tc>
      </w:tr>
      <w:tr w14:paraId="7E49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vAlign w:val="center"/>
          </w:tcPr>
          <w:p w14:paraId="59653359">
            <w:pPr>
              <w:ind w:firstLine="0" w:firstLineChars="0"/>
              <w:jc w:val="center"/>
              <w:rPr>
                <w:rFonts w:hint="eastAsia" w:cs="宋体"/>
                <w:sz w:val="21"/>
                <w:szCs w:val="21"/>
              </w:rPr>
            </w:pPr>
            <w:r>
              <w:rPr>
                <w:rFonts w:hint="eastAsia" w:cs="宋体"/>
                <w:sz w:val="21"/>
                <w:szCs w:val="21"/>
              </w:rPr>
              <w:t>3</w:t>
            </w:r>
          </w:p>
        </w:tc>
        <w:tc>
          <w:tcPr>
            <w:tcW w:w="1028" w:type="pct"/>
            <w:vMerge w:val="continue"/>
            <w:vAlign w:val="center"/>
          </w:tcPr>
          <w:p w14:paraId="50AFCA66">
            <w:pPr>
              <w:ind w:firstLine="420"/>
              <w:rPr>
                <w:rFonts w:hint="eastAsia" w:cs="宋体"/>
                <w:sz w:val="21"/>
                <w:szCs w:val="21"/>
              </w:rPr>
            </w:pPr>
          </w:p>
        </w:tc>
        <w:tc>
          <w:tcPr>
            <w:tcW w:w="1324" w:type="pct"/>
            <w:vAlign w:val="center"/>
          </w:tcPr>
          <w:p w14:paraId="05910962">
            <w:pPr>
              <w:ind w:firstLine="0" w:firstLineChars="0"/>
              <w:rPr>
                <w:rFonts w:hint="eastAsia" w:cs="宋体"/>
                <w:sz w:val="21"/>
                <w:szCs w:val="21"/>
              </w:rPr>
            </w:pPr>
            <w:r>
              <w:rPr>
                <w:rFonts w:hint="eastAsia" w:cs="宋体"/>
                <w:sz w:val="21"/>
                <w:szCs w:val="21"/>
              </w:rPr>
              <w:t>互联网访问通信信道</w:t>
            </w:r>
          </w:p>
        </w:tc>
        <w:tc>
          <w:tcPr>
            <w:tcW w:w="2224" w:type="pct"/>
            <w:vAlign w:val="center"/>
          </w:tcPr>
          <w:p w14:paraId="66237B01">
            <w:pPr>
              <w:ind w:firstLine="0" w:firstLineChars="0"/>
              <w:rPr>
                <w:rFonts w:hint="eastAsia" w:cs="宋体"/>
                <w:sz w:val="21"/>
                <w:szCs w:val="21"/>
              </w:rPr>
            </w:pPr>
            <w:r>
              <w:rPr>
                <w:rFonts w:hint="eastAsia" w:cs="宋体"/>
                <w:sz w:val="21"/>
                <w:szCs w:val="21"/>
              </w:rPr>
              <w:t>从互联网访问应用的通信信道</w:t>
            </w:r>
          </w:p>
        </w:tc>
      </w:tr>
      <w:tr w14:paraId="515F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12AAA1C">
            <w:pPr>
              <w:ind w:firstLine="0" w:firstLineChars="0"/>
              <w:jc w:val="center"/>
              <w:rPr>
                <w:rFonts w:hint="eastAsia" w:cs="宋体"/>
                <w:sz w:val="21"/>
                <w:szCs w:val="21"/>
              </w:rPr>
            </w:pPr>
            <w:r>
              <w:rPr>
                <w:rFonts w:hint="eastAsia" w:cs="宋体"/>
                <w:sz w:val="21"/>
                <w:szCs w:val="21"/>
              </w:rPr>
              <w:t>4</w:t>
            </w:r>
          </w:p>
        </w:tc>
        <w:tc>
          <w:tcPr>
            <w:tcW w:w="1028" w:type="pct"/>
            <w:vMerge w:val="restart"/>
            <w:vAlign w:val="center"/>
          </w:tcPr>
          <w:p w14:paraId="03CA73B4">
            <w:pPr>
              <w:ind w:firstLine="0" w:firstLineChars="0"/>
              <w:rPr>
                <w:rFonts w:hint="eastAsia" w:cs="宋体"/>
                <w:sz w:val="21"/>
                <w:szCs w:val="21"/>
              </w:rPr>
            </w:pPr>
            <w:r>
              <w:rPr>
                <w:rFonts w:hint="eastAsia" w:cs="宋体"/>
                <w:sz w:val="21"/>
                <w:szCs w:val="21"/>
              </w:rPr>
              <w:t>设备和计算安全</w:t>
            </w:r>
          </w:p>
        </w:tc>
        <w:tc>
          <w:tcPr>
            <w:tcW w:w="1324" w:type="pct"/>
            <w:vAlign w:val="center"/>
          </w:tcPr>
          <w:p w14:paraId="1D8C9B52">
            <w:pPr>
              <w:ind w:firstLine="0" w:firstLineChars="0"/>
              <w:rPr>
                <w:rFonts w:hint="eastAsia" w:cs="宋体"/>
                <w:sz w:val="21"/>
                <w:szCs w:val="21"/>
              </w:rPr>
            </w:pPr>
            <w:r>
              <w:rPr>
                <w:rFonts w:hint="eastAsia" w:cs="宋体"/>
                <w:sz w:val="21"/>
                <w:szCs w:val="21"/>
              </w:rPr>
              <w:t>服务器虚拟机</w:t>
            </w:r>
          </w:p>
        </w:tc>
        <w:tc>
          <w:tcPr>
            <w:tcW w:w="2224" w:type="pct"/>
            <w:vAlign w:val="center"/>
          </w:tcPr>
          <w:p w14:paraId="7BCF62C6">
            <w:pPr>
              <w:ind w:firstLine="0" w:firstLineChars="0"/>
              <w:rPr>
                <w:rFonts w:hint="eastAsia" w:cs="宋体"/>
                <w:sz w:val="21"/>
                <w:szCs w:val="21"/>
              </w:rPr>
            </w:pPr>
            <w:r>
              <w:rPr>
                <w:rFonts w:hint="eastAsia" w:cs="宋体"/>
                <w:sz w:val="21"/>
                <w:szCs w:val="21"/>
              </w:rPr>
              <w:t>应用服务器虚拟机和数据库服务器虚拟机</w:t>
            </w:r>
          </w:p>
        </w:tc>
      </w:tr>
      <w:tr w14:paraId="0743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BB8DD94">
            <w:pPr>
              <w:ind w:firstLine="0" w:firstLineChars="0"/>
              <w:jc w:val="center"/>
              <w:rPr>
                <w:rFonts w:hint="eastAsia" w:cs="宋体"/>
                <w:sz w:val="21"/>
                <w:szCs w:val="21"/>
              </w:rPr>
            </w:pPr>
            <w:r>
              <w:rPr>
                <w:rFonts w:hint="eastAsia" w:cs="宋体"/>
                <w:sz w:val="21"/>
                <w:szCs w:val="21"/>
              </w:rPr>
              <w:t>5</w:t>
            </w:r>
          </w:p>
        </w:tc>
        <w:tc>
          <w:tcPr>
            <w:tcW w:w="1028" w:type="pct"/>
            <w:vMerge w:val="continue"/>
            <w:vAlign w:val="center"/>
          </w:tcPr>
          <w:p w14:paraId="4C9F1493">
            <w:pPr>
              <w:ind w:firstLine="420"/>
              <w:rPr>
                <w:rFonts w:hint="eastAsia" w:cs="宋体"/>
                <w:sz w:val="21"/>
                <w:szCs w:val="21"/>
              </w:rPr>
            </w:pPr>
          </w:p>
        </w:tc>
        <w:tc>
          <w:tcPr>
            <w:tcW w:w="1324" w:type="pct"/>
            <w:vAlign w:val="center"/>
          </w:tcPr>
          <w:p w14:paraId="0BE095A7">
            <w:pPr>
              <w:ind w:firstLine="0" w:firstLineChars="0"/>
              <w:rPr>
                <w:rFonts w:hint="eastAsia" w:cs="宋体"/>
                <w:sz w:val="21"/>
                <w:szCs w:val="21"/>
              </w:rPr>
            </w:pPr>
            <w:r>
              <w:rPr>
                <w:rFonts w:hint="eastAsia" w:cs="宋体"/>
                <w:sz w:val="21"/>
                <w:szCs w:val="21"/>
              </w:rPr>
              <w:t>数据库</w:t>
            </w:r>
          </w:p>
        </w:tc>
        <w:tc>
          <w:tcPr>
            <w:tcW w:w="2224" w:type="pct"/>
            <w:vAlign w:val="center"/>
          </w:tcPr>
          <w:p w14:paraId="7979EE88">
            <w:pPr>
              <w:ind w:firstLine="0" w:firstLineChars="0"/>
              <w:rPr>
                <w:rFonts w:hint="eastAsia" w:cs="宋体"/>
                <w:sz w:val="21"/>
                <w:szCs w:val="21"/>
              </w:rPr>
            </w:pPr>
            <w:r>
              <w:rPr>
                <w:rFonts w:hint="eastAsia" w:cs="宋体"/>
                <w:sz w:val="21"/>
                <w:szCs w:val="21"/>
              </w:rPr>
              <w:t>无</w:t>
            </w:r>
          </w:p>
        </w:tc>
      </w:tr>
      <w:tr w14:paraId="0938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5222021">
            <w:pPr>
              <w:ind w:firstLine="0" w:firstLineChars="0"/>
              <w:jc w:val="center"/>
              <w:rPr>
                <w:rFonts w:hint="eastAsia" w:cs="宋体"/>
                <w:sz w:val="21"/>
                <w:szCs w:val="21"/>
              </w:rPr>
            </w:pPr>
            <w:r>
              <w:rPr>
                <w:rFonts w:hint="eastAsia" w:cs="宋体"/>
                <w:sz w:val="21"/>
                <w:szCs w:val="21"/>
              </w:rPr>
              <w:t>6</w:t>
            </w:r>
          </w:p>
        </w:tc>
        <w:tc>
          <w:tcPr>
            <w:tcW w:w="1028" w:type="pct"/>
            <w:vMerge w:val="restart"/>
            <w:vAlign w:val="center"/>
          </w:tcPr>
          <w:p w14:paraId="1E4FF341">
            <w:pPr>
              <w:ind w:firstLine="0" w:firstLineChars="0"/>
              <w:rPr>
                <w:rFonts w:hint="eastAsia" w:cs="宋体"/>
                <w:sz w:val="21"/>
                <w:szCs w:val="21"/>
              </w:rPr>
            </w:pPr>
            <w:r>
              <w:rPr>
                <w:rFonts w:hint="eastAsia" w:cs="宋体"/>
                <w:sz w:val="21"/>
                <w:szCs w:val="21"/>
              </w:rPr>
              <w:t>应用和数据安全</w:t>
            </w:r>
          </w:p>
        </w:tc>
        <w:tc>
          <w:tcPr>
            <w:tcW w:w="1324" w:type="pct"/>
            <w:vMerge w:val="restart"/>
            <w:vAlign w:val="center"/>
          </w:tcPr>
          <w:p w14:paraId="3C1A0811">
            <w:pPr>
              <w:ind w:firstLine="0" w:firstLineChars="0"/>
              <w:rPr>
                <w:rFonts w:hint="eastAsia" w:cs="宋体"/>
                <w:sz w:val="21"/>
                <w:szCs w:val="21"/>
              </w:rPr>
            </w:pPr>
            <w:r>
              <w:rPr>
                <w:rFonts w:hint="eastAsia" w:cs="宋体"/>
                <w:sz w:val="21"/>
                <w:szCs w:val="21"/>
              </w:rPr>
              <w:t>应用用户</w:t>
            </w:r>
          </w:p>
        </w:tc>
        <w:tc>
          <w:tcPr>
            <w:tcW w:w="2224" w:type="pct"/>
            <w:vAlign w:val="center"/>
          </w:tcPr>
          <w:p w14:paraId="5EF9AD41">
            <w:pPr>
              <w:ind w:firstLine="0" w:firstLineChars="0"/>
              <w:rPr>
                <w:rFonts w:hint="eastAsia" w:cs="宋体"/>
                <w:sz w:val="21"/>
                <w:szCs w:val="21"/>
              </w:rPr>
            </w:pPr>
            <w:r>
              <w:rPr>
                <w:rFonts w:hint="eastAsia" w:cs="宋体"/>
                <w:sz w:val="21"/>
                <w:szCs w:val="21"/>
              </w:rPr>
              <w:t>互联网侧应用用户（PC端）</w:t>
            </w:r>
          </w:p>
        </w:tc>
      </w:tr>
      <w:tr w14:paraId="6DDF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vAlign w:val="center"/>
          </w:tcPr>
          <w:p w14:paraId="48B4A2E0">
            <w:pPr>
              <w:ind w:firstLine="0" w:firstLineChars="0"/>
              <w:jc w:val="center"/>
              <w:rPr>
                <w:rFonts w:hint="eastAsia" w:cs="宋体"/>
                <w:sz w:val="21"/>
                <w:szCs w:val="21"/>
              </w:rPr>
            </w:pPr>
            <w:r>
              <w:rPr>
                <w:rFonts w:hint="eastAsia" w:cs="宋体"/>
                <w:sz w:val="21"/>
                <w:szCs w:val="21"/>
              </w:rPr>
              <w:t>7</w:t>
            </w:r>
          </w:p>
        </w:tc>
        <w:tc>
          <w:tcPr>
            <w:tcW w:w="1028" w:type="pct"/>
            <w:vMerge w:val="continue"/>
            <w:vAlign w:val="center"/>
          </w:tcPr>
          <w:p w14:paraId="514E9C1F">
            <w:pPr>
              <w:ind w:firstLine="420"/>
              <w:rPr>
                <w:rFonts w:hint="eastAsia" w:cs="宋体"/>
                <w:sz w:val="21"/>
                <w:szCs w:val="21"/>
              </w:rPr>
            </w:pPr>
          </w:p>
        </w:tc>
        <w:tc>
          <w:tcPr>
            <w:tcW w:w="1324" w:type="pct"/>
            <w:vMerge w:val="continue"/>
            <w:vAlign w:val="center"/>
          </w:tcPr>
          <w:p w14:paraId="257808CC">
            <w:pPr>
              <w:ind w:firstLine="420"/>
              <w:rPr>
                <w:rFonts w:hint="eastAsia" w:cs="宋体"/>
                <w:sz w:val="21"/>
                <w:szCs w:val="21"/>
              </w:rPr>
            </w:pPr>
          </w:p>
        </w:tc>
        <w:tc>
          <w:tcPr>
            <w:tcW w:w="2224" w:type="pct"/>
            <w:vAlign w:val="center"/>
          </w:tcPr>
          <w:p w14:paraId="35BA82A8">
            <w:pPr>
              <w:ind w:firstLine="0" w:firstLineChars="0"/>
              <w:rPr>
                <w:rFonts w:hint="eastAsia" w:cs="宋体"/>
                <w:sz w:val="21"/>
                <w:szCs w:val="21"/>
              </w:rPr>
            </w:pPr>
            <w:r>
              <w:rPr>
                <w:rFonts w:hint="eastAsia" w:cs="宋体"/>
                <w:sz w:val="21"/>
                <w:szCs w:val="21"/>
              </w:rPr>
              <w:t>政务外网侧应用用户</w:t>
            </w:r>
          </w:p>
        </w:tc>
      </w:tr>
      <w:tr w14:paraId="65DF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7F1721F1">
            <w:pPr>
              <w:ind w:firstLine="0" w:firstLineChars="0"/>
              <w:jc w:val="center"/>
              <w:rPr>
                <w:rFonts w:hint="eastAsia" w:cs="宋体"/>
                <w:sz w:val="21"/>
                <w:szCs w:val="21"/>
              </w:rPr>
            </w:pPr>
            <w:r>
              <w:rPr>
                <w:rFonts w:hint="eastAsia" w:cs="宋体"/>
                <w:sz w:val="21"/>
                <w:szCs w:val="21"/>
              </w:rPr>
              <w:t>8</w:t>
            </w:r>
          </w:p>
        </w:tc>
        <w:tc>
          <w:tcPr>
            <w:tcW w:w="1028" w:type="pct"/>
            <w:vMerge w:val="continue"/>
            <w:vAlign w:val="center"/>
          </w:tcPr>
          <w:p w14:paraId="015C623D">
            <w:pPr>
              <w:ind w:firstLine="420"/>
              <w:rPr>
                <w:rFonts w:hint="eastAsia" w:cs="宋体"/>
                <w:sz w:val="21"/>
                <w:szCs w:val="21"/>
              </w:rPr>
            </w:pPr>
          </w:p>
        </w:tc>
        <w:tc>
          <w:tcPr>
            <w:tcW w:w="1324" w:type="pct"/>
            <w:vMerge w:val="continue"/>
            <w:vAlign w:val="center"/>
          </w:tcPr>
          <w:p w14:paraId="5807E43D">
            <w:pPr>
              <w:ind w:firstLine="420"/>
              <w:rPr>
                <w:rFonts w:hint="eastAsia" w:cs="宋体"/>
                <w:sz w:val="21"/>
                <w:szCs w:val="21"/>
              </w:rPr>
            </w:pPr>
          </w:p>
        </w:tc>
        <w:tc>
          <w:tcPr>
            <w:tcW w:w="2224" w:type="pct"/>
            <w:vAlign w:val="center"/>
          </w:tcPr>
          <w:p w14:paraId="7E2091C2">
            <w:pPr>
              <w:ind w:firstLine="0" w:firstLineChars="0"/>
              <w:rPr>
                <w:rFonts w:hint="eastAsia" w:cs="宋体"/>
                <w:sz w:val="21"/>
                <w:szCs w:val="21"/>
              </w:rPr>
            </w:pPr>
            <w:r>
              <w:rPr>
                <w:rFonts w:hint="eastAsia" w:cs="宋体"/>
                <w:sz w:val="21"/>
                <w:szCs w:val="21"/>
              </w:rPr>
              <w:t>政务外网侧管理员</w:t>
            </w:r>
          </w:p>
        </w:tc>
      </w:tr>
      <w:tr w14:paraId="4FAC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0B81191B">
            <w:pPr>
              <w:ind w:firstLine="0" w:firstLineChars="0"/>
              <w:jc w:val="center"/>
              <w:rPr>
                <w:rFonts w:hint="eastAsia" w:cs="宋体"/>
                <w:sz w:val="21"/>
                <w:szCs w:val="21"/>
              </w:rPr>
            </w:pPr>
            <w:r>
              <w:rPr>
                <w:rFonts w:hint="eastAsia" w:cs="宋体"/>
                <w:sz w:val="21"/>
                <w:szCs w:val="21"/>
              </w:rPr>
              <w:t>9</w:t>
            </w:r>
          </w:p>
        </w:tc>
        <w:tc>
          <w:tcPr>
            <w:tcW w:w="1028" w:type="pct"/>
            <w:vMerge w:val="continue"/>
            <w:vAlign w:val="center"/>
          </w:tcPr>
          <w:p w14:paraId="2A9CAF24">
            <w:pPr>
              <w:ind w:firstLine="420"/>
              <w:rPr>
                <w:rFonts w:hint="eastAsia" w:cs="宋体"/>
                <w:sz w:val="21"/>
                <w:szCs w:val="21"/>
              </w:rPr>
            </w:pPr>
          </w:p>
        </w:tc>
        <w:tc>
          <w:tcPr>
            <w:tcW w:w="1324" w:type="pct"/>
            <w:vMerge w:val="restart"/>
            <w:vAlign w:val="center"/>
          </w:tcPr>
          <w:p w14:paraId="2E8462F3">
            <w:pPr>
              <w:ind w:firstLine="0" w:firstLineChars="0"/>
              <w:rPr>
                <w:rFonts w:hint="eastAsia" w:cs="宋体"/>
                <w:sz w:val="21"/>
                <w:szCs w:val="21"/>
              </w:rPr>
            </w:pPr>
            <w:r>
              <w:rPr>
                <w:rFonts w:hint="eastAsia" w:cs="宋体"/>
                <w:sz w:val="21"/>
                <w:szCs w:val="21"/>
              </w:rPr>
              <w:t>重要数据</w:t>
            </w:r>
          </w:p>
        </w:tc>
        <w:tc>
          <w:tcPr>
            <w:tcW w:w="2224" w:type="pct"/>
            <w:vAlign w:val="center"/>
          </w:tcPr>
          <w:p w14:paraId="57CCDA7D">
            <w:pPr>
              <w:ind w:firstLine="0" w:firstLineChars="0"/>
              <w:rPr>
                <w:rFonts w:hint="eastAsia" w:cs="宋体"/>
                <w:sz w:val="21"/>
                <w:szCs w:val="21"/>
              </w:rPr>
            </w:pPr>
            <w:r>
              <w:rPr>
                <w:rFonts w:hint="eastAsia" w:cs="宋体"/>
                <w:sz w:val="21"/>
                <w:szCs w:val="21"/>
              </w:rPr>
              <w:t>用户登录口令（用户身份鉴别数据）</w:t>
            </w:r>
          </w:p>
        </w:tc>
      </w:tr>
      <w:tr w14:paraId="6E33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2D674106">
            <w:pPr>
              <w:ind w:firstLine="0" w:firstLineChars="0"/>
              <w:jc w:val="center"/>
              <w:rPr>
                <w:rFonts w:hint="eastAsia" w:cs="宋体"/>
                <w:sz w:val="21"/>
                <w:szCs w:val="21"/>
              </w:rPr>
            </w:pPr>
            <w:r>
              <w:rPr>
                <w:rFonts w:hint="eastAsia" w:cs="宋体"/>
                <w:sz w:val="21"/>
                <w:szCs w:val="21"/>
              </w:rPr>
              <w:t>10</w:t>
            </w:r>
          </w:p>
        </w:tc>
        <w:tc>
          <w:tcPr>
            <w:tcW w:w="1028" w:type="pct"/>
            <w:vMerge w:val="continue"/>
            <w:vAlign w:val="center"/>
          </w:tcPr>
          <w:p w14:paraId="4C39128F">
            <w:pPr>
              <w:ind w:firstLine="420"/>
              <w:rPr>
                <w:rFonts w:hint="eastAsia" w:cs="宋体"/>
                <w:sz w:val="21"/>
                <w:szCs w:val="21"/>
              </w:rPr>
            </w:pPr>
          </w:p>
        </w:tc>
        <w:tc>
          <w:tcPr>
            <w:tcW w:w="1324" w:type="pct"/>
            <w:vMerge w:val="continue"/>
            <w:vAlign w:val="center"/>
          </w:tcPr>
          <w:p w14:paraId="0632E18C">
            <w:pPr>
              <w:ind w:firstLine="420"/>
              <w:rPr>
                <w:rFonts w:hint="eastAsia" w:cs="宋体"/>
                <w:sz w:val="21"/>
                <w:szCs w:val="21"/>
              </w:rPr>
            </w:pPr>
          </w:p>
        </w:tc>
        <w:tc>
          <w:tcPr>
            <w:tcW w:w="2224" w:type="pct"/>
            <w:vAlign w:val="center"/>
          </w:tcPr>
          <w:p w14:paraId="0A674137">
            <w:pPr>
              <w:ind w:firstLine="0" w:firstLineChars="0"/>
              <w:rPr>
                <w:rFonts w:hint="eastAsia" w:cs="宋体"/>
                <w:sz w:val="21"/>
                <w:szCs w:val="21"/>
              </w:rPr>
            </w:pPr>
            <w:r>
              <w:rPr>
                <w:rFonts w:hint="eastAsia" w:cs="宋体"/>
                <w:sz w:val="21"/>
                <w:szCs w:val="21"/>
              </w:rPr>
              <w:t>系统访问控制信息</w:t>
            </w:r>
          </w:p>
        </w:tc>
      </w:tr>
      <w:tr w14:paraId="4409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4" w:type="pct"/>
            <w:vAlign w:val="center"/>
          </w:tcPr>
          <w:p w14:paraId="0BF50998">
            <w:pPr>
              <w:ind w:firstLine="0" w:firstLineChars="0"/>
              <w:jc w:val="center"/>
              <w:rPr>
                <w:rFonts w:hint="eastAsia" w:cs="宋体"/>
                <w:sz w:val="21"/>
                <w:szCs w:val="21"/>
              </w:rPr>
            </w:pPr>
            <w:r>
              <w:rPr>
                <w:rFonts w:hint="eastAsia" w:cs="宋体"/>
                <w:sz w:val="21"/>
                <w:szCs w:val="21"/>
              </w:rPr>
              <w:t>11</w:t>
            </w:r>
          </w:p>
        </w:tc>
        <w:tc>
          <w:tcPr>
            <w:tcW w:w="1028" w:type="pct"/>
            <w:vMerge w:val="continue"/>
            <w:vAlign w:val="center"/>
          </w:tcPr>
          <w:p w14:paraId="1E092767">
            <w:pPr>
              <w:ind w:firstLine="420"/>
              <w:rPr>
                <w:rFonts w:hint="eastAsia" w:cs="宋体"/>
                <w:sz w:val="21"/>
                <w:szCs w:val="21"/>
              </w:rPr>
            </w:pPr>
          </w:p>
        </w:tc>
        <w:tc>
          <w:tcPr>
            <w:tcW w:w="1324" w:type="pct"/>
            <w:vMerge w:val="continue"/>
            <w:vAlign w:val="center"/>
          </w:tcPr>
          <w:p w14:paraId="1E7D2D68">
            <w:pPr>
              <w:ind w:firstLine="420"/>
              <w:rPr>
                <w:rFonts w:hint="eastAsia" w:cs="宋体"/>
                <w:sz w:val="21"/>
                <w:szCs w:val="21"/>
              </w:rPr>
            </w:pPr>
          </w:p>
        </w:tc>
        <w:tc>
          <w:tcPr>
            <w:tcW w:w="2224" w:type="pct"/>
            <w:vAlign w:val="center"/>
          </w:tcPr>
          <w:p w14:paraId="67F92D2B">
            <w:pPr>
              <w:ind w:firstLine="0" w:firstLineChars="0"/>
              <w:rPr>
                <w:rFonts w:hint="eastAsia" w:cs="宋体"/>
                <w:sz w:val="21"/>
                <w:szCs w:val="21"/>
              </w:rPr>
            </w:pPr>
            <w:r>
              <w:rPr>
                <w:rFonts w:hint="eastAsia" w:cs="宋体"/>
                <w:sz w:val="21"/>
                <w:szCs w:val="21"/>
              </w:rPr>
              <w:t>系统业务日志数据</w:t>
            </w:r>
          </w:p>
        </w:tc>
      </w:tr>
      <w:tr w14:paraId="559F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50732363">
            <w:pPr>
              <w:ind w:firstLine="0" w:firstLineChars="0"/>
              <w:jc w:val="center"/>
              <w:rPr>
                <w:rFonts w:hint="eastAsia" w:cs="宋体"/>
                <w:sz w:val="21"/>
                <w:szCs w:val="21"/>
              </w:rPr>
            </w:pPr>
            <w:r>
              <w:rPr>
                <w:rFonts w:hint="eastAsia" w:cs="宋体"/>
                <w:sz w:val="21"/>
                <w:szCs w:val="21"/>
              </w:rPr>
              <w:t>12</w:t>
            </w:r>
          </w:p>
        </w:tc>
        <w:tc>
          <w:tcPr>
            <w:tcW w:w="1028" w:type="pct"/>
            <w:vMerge w:val="continue"/>
            <w:vAlign w:val="center"/>
          </w:tcPr>
          <w:p w14:paraId="7559CAE1">
            <w:pPr>
              <w:ind w:firstLine="420"/>
              <w:rPr>
                <w:rFonts w:hint="eastAsia" w:cs="宋体"/>
                <w:sz w:val="21"/>
                <w:szCs w:val="21"/>
              </w:rPr>
            </w:pPr>
          </w:p>
        </w:tc>
        <w:tc>
          <w:tcPr>
            <w:tcW w:w="1324" w:type="pct"/>
            <w:vMerge w:val="continue"/>
            <w:vAlign w:val="center"/>
          </w:tcPr>
          <w:p w14:paraId="788AED8F">
            <w:pPr>
              <w:ind w:firstLine="420"/>
              <w:rPr>
                <w:rFonts w:hint="eastAsia" w:cs="宋体"/>
                <w:sz w:val="21"/>
                <w:szCs w:val="21"/>
              </w:rPr>
            </w:pPr>
          </w:p>
        </w:tc>
        <w:tc>
          <w:tcPr>
            <w:tcW w:w="2224" w:type="pct"/>
            <w:vAlign w:val="center"/>
          </w:tcPr>
          <w:p w14:paraId="199DE90A">
            <w:pPr>
              <w:ind w:firstLine="0" w:firstLineChars="0"/>
              <w:rPr>
                <w:rFonts w:hint="eastAsia" w:cs="宋体"/>
                <w:sz w:val="21"/>
                <w:szCs w:val="21"/>
              </w:rPr>
            </w:pPr>
            <w:r>
              <w:rPr>
                <w:rFonts w:hint="eastAsia" w:cs="宋体"/>
                <w:sz w:val="21"/>
                <w:szCs w:val="21"/>
              </w:rPr>
              <w:t>人才数据</w:t>
            </w:r>
          </w:p>
        </w:tc>
      </w:tr>
    </w:tbl>
    <w:p w14:paraId="0BF49F96">
      <w:pPr>
        <w:rPr>
          <w:rFonts w:hint="eastAsia"/>
        </w:rPr>
      </w:pPr>
    </w:p>
    <w:p w14:paraId="63A07928">
      <w:pPr>
        <w:pStyle w:val="4"/>
        <w:rPr>
          <w:rFonts w:hint="eastAsia"/>
        </w:rPr>
      </w:pPr>
      <w:bookmarkStart w:id="40" w:name="_Toc63785512"/>
      <w:r>
        <w:rPr>
          <w:rFonts w:hint="eastAsia"/>
        </w:rPr>
        <w:t>技术文件要求</w:t>
      </w:r>
    </w:p>
    <w:p w14:paraId="0745A886">
      <w:pPr>
        <w:rPr>
          <w:rFonts w:hint="eastAsia"/>
        </w:rPr>
      </w:pPr>
      <w:r>
        <w:rPr>
          <w:rFonts w:hint="eastAsia"/>
        </w:rPr>
        <w:t>投标人提供的书面技术资料应能确保系统正常运行所需的管理、运营及维护有关的全套文件。技术文件应该全面、完整、详细。投标人提供的技术文件至少应包括：</w:t>
      </w:r>
    </w:p>
    <w:p w14:paraId="5A918F90">
      <w:pPr>
        <w:rPr>
          <w:rFonts w:hint="eastAsia"/>
        </w:rPr>
      </w:pPr>
      <w:r>
        <w:rPr>
          <w:rFonts w:hint="eastAsia"/>
        </w:rPr>
        <w:t>－</w:t>
      </w:r>
      <w:r>
        <w:t xml:space="preserve"> 系统说明文件； </w:t>
      </w:r>
    </w:p>
    <w:p w14:paraId="042E993E">
      <w:pPr>
        <w:rPr>
          <w:rFonts w:hint="eastAsia"/>
        </w:rPr>
      </w:pPr>
      <w:r>
        <w:rPr>
          <w:rFonts w:hint="eastAsia"/>
        </w:rPr>
        <w:t>－</w:t>
      </w:r>
      <w:r>
        <w:t xml:space="preserve"> 技术手册(安装、测试、操作、维护、故障排除等)； </w:t>
      </w:r>
    </w:p>
    <w:p w14:paraId="04E58201">
      <w:pPr>
        <w:rPr>
          <w:rFonts w:hint="eastAsia"/>
        </w:rPr>
      </w:pPr>
      <w:r>
        <w:rPr>
          <w:rFonts w:hint="eastAsia"/>
        </w:rPr>
        <w:t>－</w:t>
      </w:r>
      <w:r>
        <w:t xml:space="preserve"> 项目文档，应该包括：</w:t>
      </w:r>
    </w:p>
    <w:p w14:paraId="2E7EE828">
      <w:pPr>
        <w:ind w:left="360"/>
        <w:rPr>
          <w:rFonts w:hint="eastAsia"/>
        </w:rPr>
      </w:pPr>
      <w:r>
        <w:t>(1)软件需求说明书</w:t>
      </w:r>
    </w:p>
    <w:p w14:paraId="165FB177">
      <w:pPr>
        <w:ind w:left="360"/>
        <w:rPr>
          <w:rFonts w:hint="eastAsia"/>
        </w:rPr>
      </w:pPr>
      <w:r>
        <w:t>(2)</w:t>
      </w:r>
      <w:r>
        <w:tab/>
      </w:r>
      <w:r>
        <w:t>系统总体设计说明书</w:t>
      </w:r>
    </w:p>
    <w:p w14:paraId="5592EDE0">
      <w:pPr>
        <w:ind w:left="360"/>
        <w:rPr>
          <w:rFonts w:hint="eastAsia"/>
        </w:rPr>
      </w:pPr>
      <w:r>
        <w:t>(3)</w:t>
      </w:r>
      <w:r>
        <w:tab/>
      </w:r>
      <w:r>
        <w:t>应用软件功能清单</w:t>
      </w:r>
    </w:p>
    <w:p w14:paraId="01C7EAD9">
      <w:pPr>
        <w:rPr>
          <w:rFonts w:hint="eastAsia"/>
        </w:rPr>
      </w:pPr>
      <w:r>
        <w:rPr>
          <w:rFonts w:hint="eastAsia"/>
        </w:rPr>
        <w:t>提供全套技术文件纸介质</w:t>
      </w:r>
      <w:r>
        <w:t>3套以及电子文件1套。</w:t>
      </w:r>
    </w:p>
    <w:bookmarkEnd w:id="40"/>
    <w:p w14:paraId="14CDD54A">
      <w:pPr>
        <w:rPr>
          <w:rFonts w:hint="eastAsia"/>
        </w:rPr>
      </w:pPr>
      <w:bookmarkStart w:id="42" w:name="_GoBack"/>
      <w:bookmarkEnd w:id="42"/>
    </w:p>
    <w:p w14:paraId="65534677">
      <w:pPr>
        <w:pStyle w:val="3"/>
        <w:rPr>
          <w:rFonts w:hint="eastAsia"/>
        </w:rPr>
      </w:pPr>
      <w:bookmarkStart w:id="41" w:name="_Toc68798863"/>
      <w:r>
        <w:rPr>
          <w:rFonts w:hint="eastAsia"/>
        </w:rPr>
        <w:t>附录</w:t>
      </w:r>
      <w:bookmarkEnd w:id="41"/>
    </w:p>
    <w:p w14:paraId="18A17666">
      <w:pPr>
        <w:ind w:firstLine="482"/>
        <w:rPr>
          <w:rFonts w:hint="eastAsia"/>
          <w:b/>
        </w:rPr>
      </w:pPr>
      <w:r>
        <w:rPr>
          <w:rFonts w:hint="eastAsia"/>
          <w:b/>
        </w:rPr>
        <w:t>若项目建设过程中需符合相关技术标准或规范文件的要求，请将相关文件作为附件列出。</w:t>
      </w:r>
    </w:p>
    <w:p w14:paraId="62922935">
      <w:pPr>
        <w:ind w:firstLine="482"/>
        <w:rPr>
          <w:rFonts w:hint="eastAsia"/>
        </w:rPr>
      </w:pPr>
      <w:r>
        <w:rPr>
          <w:rFonts w:hint="eastAsia"/>
          <w:b/>
        </w:rPr>
        <w:t>参考如下：</w:t>
      </w:r>
    </w:p>
    <w:p w14:paraId="237240C7">
      <w:pPr>
        <w:ind w:firstLine="0" w:firstLineChars="0"/>
        <w:rPr>
          <w:rFonts w:hint="eastAsia"/>
        </w:rPr>
      </w:pPr>
      <w:r>
        <w:rPr>
          <w:rFonts w:hint="eastAsia"/>
        </w:rPr>
        <w:t>1、</w:t>
      </w:r>
      <w:r>
        <w:t>《政务网络安全监测平台总体技术要求》</w:t>
      </w:r>
    </w:p>
    <w:p w14:paraId="4BC34CFD">
      <w:pPr>
        <w:ind w:firstLine="0" w:firstLineChars="0"/>
        <w:rPr>
          <w:rFonts w:hint="eastAsia"/>
        </w:rPr>
      </w:pPr>
      <w:r>
        <w:object>
          <v:shape id="_x0000_i1025" o:spt="75" type="#_x0000_t75" style="height:55pt;width:76.5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56E5B629">
      <w:pPr>
        <w:ind w:firstLine="0" w:firstLineChars="0"/>
        <w:rPr>
          <w:rFonts w:hint="eastAsia"/>
        </w:rPr>
      </w:pPr>
    </w:p>
    <w:p w14:paraId="71677201">
      <w:pPr>
        <w:ind w:firstLine="0" w:firstLineChars="0"/>
        <w:jc w:val="left"/>
        <w:rPr>
          <w:rFonts w:hint="eastAsia"/>
        </w:rPr>
      </w:pPr>
      <w:r>
        <w:rPr>
          <w:rFonts w:hint="eastAsia"/>
        </w:rPr>
        <w:t>2、《上海市电子政务外网建设和运行管理指南（试行）》</w:t>
      </w:r>
    </w:p>
    <w:p w14:paraId="18BE0F26">
      <w:pPr>
        <w:ind w:firstLine="0" w:firstLineChars="0"/>
        <w:jc w:val="left"/>
        <w:rPr>
          <w:rFonts w:hint="eastAsia"/>
        </w:rPr>
      </w:pPr>
      <w:r>
        <w:object>
          <v:shape id="_x0000_i1026" o:spt="75" type="#_x0000_t75" style="height:55pt;width:76.5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431CCC42">
      <w:pPr>
        <w:ind w:firstLine="0" w:firstLineChars="0"/>
        <w:jc w:val="left"/>
        <w:rPr>
          <w:rFonts w:hint="eastAsia"/>
        </w:rPr>
      </w:pPr>
      <w:r>
        <w:rPr>
          <w:rFonts w:hint="eastAsia"/>
        </w:rPr>
        <w:t>3、《低代码相关要求（试行）》</w:t>
      </w:r>
    </w:p>
    <w:p w14:paraId="36D8CBDA">
      <w:pPr>
        <w:ind w:firstLine="0" w:firstLineChars="0"/>
        <w:jc w:val="left"/>
        <w:rPr>
          <w:rFonts w:hint="eastAsia"/>
        </w:rPr>
      </w:pPr>
    </w:p>
    <w:p w14:paraId="465AE6E8">
      <w:pPr>
        <w:ind w:firstLine="0" w:firstLineChars="0"/>
        <w:jc w:val="left"/>
        <w:rPr>
          <w:rFonts w:hint="eastAsia"/>
        </w:rPr>
      </w:pPr>
      <w:r>
        <w:rPr>
          <w:rFonts w:hint="eastAsia"/>
        </w:rPr>
        <w:t>4、其他标准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文泉驿微米黑"/>
    <w:panose1 w:val="00000000000000000000"/>
    <w:charset w:val="00"/>
    <w:family w:val="roman"/>
    <w:pitch w:val="default"/>
    <w:sig w:usb0="00000000" w:usb1="00000000" w:usb2="00000000" w:usb3="00000000" w:csb0="00040001" w:csb1="00000000"/>
  </w:font>
  <w:font w:name="文泉驿微米黑">
    <w:panose1 w:val="020B0606030804020204"/>
    <w:charset w:val="86"/>
    <w:family w:val="auto"/>
    <w:pitch w:val="default"/>
    <w:sig w:usb0="E10002EF" w:usb1="6BDFFCFB" w:usb2="00800036" w:usb3="00000000" w:csb0="603E019F" w:csb1="DFD7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DejaVu Sans"/>
    <w:panose1 w:val="020B0604020202020204"/>
    <w:charset w:val="00"/>
    <w:family w:val="swiss"/>
    <w:pitch w:val="default"/>
    <w:sig w:usb0="00000000" w:usb1="00000000" w:usb2="00000029" w:usb3="00000000" w:csb0="200101FF" w:csb1="20280000"/>
  </w:font>
  <w:font w:name="楷体_GB2312">
    <w:altName w:val="方正楷体_GBK"/>
    <w:panose1 w:val="02010609030101010101"/>
    <w:charset w:val="86"/>
    <w:family w:val="modern"/>
    <w:pitch w:val="default"/>
    <w:sig w:usb0="00000000" w:usb1="00000000" w:usb2="0000001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ABF2D">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376D038F">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3C6E3">
    <w:pPr>
      <w:rPr>
        <w:rFonts w:hint="eastAsia"/>
      </w:rPr>
    </w:pPr>
  </w:p>
  <w:p w14:paraId="1F5E86C9">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5C3C">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2F597">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09566258">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2A073">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54168">
    <w:pPr>
      <w:rPr>
        <w:rFonts w:hint="eastAsia"/>
      </w:rPr>
    </w:pPr>
  </w:p>
  <w:p w14:paraId="18220455">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FC56">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6A2F4AB3"/>
    <w:multiLevelType w:val="multilevel"/>
    <w:tmpl w:val="6A2F4AB3"/>
    <w:lvl w:ilvl="0" w:tentative="0">
      <w:start w:val="1"/>
      <w:numFmt w:val="chineseCountingThousand"/>
      <w:pStyle w:val="3"/>
      <w:suff w:val="nothing"/>
      <w:lvlText w:val="%1、"/>
      <w:lvlJc w:val="left"/>
      <w:pPr>
        <w:ind w:left="425" w:hanging="425"/>
      </w:pPr>
      <w:rPr>
        <w:rFonts w:hint="eastAsia"/>
        <w:sz w:val="32"/>
        <w:szCs w:val="32"/>
      </w:rPr>
    </w:lvl>
    <w:lvl w:ilvl="1" w:tentative="0">
      <w:start w:val="1"/>
      <w:numFmt w:val="decimal"/>
      <w:pStyle w:val="4"/>
      <w:isLgl/>
      <w:suff w:val="nothing"/>
      <w:lvlText w:val="%1.%2、"/>
      <w:lvlJc w:val="left"/>
      <w:pPr>
        <w:ind w:left="567" w:firstLine="0"/>
      </w:pPr>
      <w:rPr>
        <w:rFonts w:hint="eastAsia"/>
      </w:rPr>
    </w:lvl>
    <w:lvl w:ilvl="2" w:tentative="0">
      <w:start w:val="1"/>
      <w:numFmt w:val="decimal"/>
      <w:pStyle w:val="5"/>
      <w:isLgl/>
      <w:suff w:val="nothing"/>
      <w:lvlText w:val="%1.%2.%3、"/>
      <w:lvlJc w:val="left"/>
      <w:pPr>
        <w:ind w:left="1069" w:hanging="1069"/>
      </w:pPr>
      <w:rPr>
        <w:rFonts w:hint="default" w:ascii="宋体" w:hAnsi="宋体" w:eastAsia="宋体" w:cs="Arial"/>
      </w:rPr>
    </w:lvl>
    <w:lvl w:ilvl="3" w:tentative="0">
      <w:start w:val="1"/>
      <w:numFmt w:val="decimal"/>
      <w:pStyle w:val="6"/>
      <w:isLgl/>
      <w:suff w:val="nothing"/>
      <w:lvlText w:val="%1.%2.%3.%4、"/>
      <w:lvlJc w:val="left"/>
      <w:pPr>
        <w:ind w:left="3403" w:hanging="851"/>
      </w:pPr>
      <w:rPr>
        <w:rFonts w:hint="eastAsia"/>
      </w:r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7B357230"/>
    <w:multiLevelType w:val="multilevel"/>
    <w:tmpl w:val="7B357230"/>
    <w:lvl w:ilvl="0" w:tentative="0">
      <w:start w:val="1"/>
      <w:numFmt w:val="chineseCountingThousand"/>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MzJiYTgyNTJkM2E5NzA5NDNiNGU0YmVkYTRiODE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4A2F"/>
    <w:rsid w:val="000951D4"/>
    <w:rsid w:val="000A0177"/>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8AA"/>
    <w:rsid w:val="00126EDF"/>
    <w:rsid w:val="00127BBE"/>
    <w:rsid w:val="00131D52"/>
    <w:rsid w:val="001329C1"/>
    <w:rsid w:val="00132C16"/>
    <w:rsid w:val="00136320"/>
    <w:rsid w:val="00136FFA"/>
    <w:rsid w:val="00137AC6"/>
    <w:rsid w:val="00145512"/>
    <w:rsid w:val="001465BD"/>
    <w:rsid w:val="0014699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298"/>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5E8C"/>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96A17"/>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0CB0"/>
    <w:rsid w:val="002E0D51"/>
    <w:rsid w:val="002E1FE6"/>
    <w:rsid w:val="002E2EA7"/>
    <w:rsid w:val="002E36D2"/>
    <w:rsid w:val="002E61C1"/>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10CF"/>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36A"/>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C3D9F"/>
    <w:rsid w:val="003D000A"/>
    <w:rsid w:val="003D31E9"/>
    <w:rsid w:val="003D544E"/>
    <w:rsid w:val="003D5980"/>
    <w:rsid w:val="003E0842"/>
    <w:rsid w:val="003E13B0"/>
    <w:rsid w:val="003E2580"/>
    <w:rsid w:val="003E3DEE"/>
    <w:rsid w:val="003E3EBB"/>
    <w:rsid w:val="003E4A4C"/>
    <w:rsid w:val="003E4CBA"/>
    <w:rsid w:val="003E4D2F"/>
    <w:rsid w:val="003E4EDC"/>
    <w:rsid w:val="003E55A8"/>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0D15"/>
    <w:rsid w:val="004E12B6"/>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B9D"/>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37A1"/>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6F50A5"/>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1EA1"/>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3820"/>
    <w:rsid w:val="007B4714"/>
    <w:rsid w:val="007B4E82"/>
    <w:rsid w:val="007B68AC"/>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3C61"/>
    <w:rsid w:val="00805447"/>
    <w:rsid w:val="008054FA"/>
    <w:rsid w:val="0080717A"/>
    <w:rsid w:val="00807DFA"/>
    <w:rsid w:val="0081009F"/>
    <w:rsid w:val="00810152"/>
    <w:rsid w:val="008115AB"/>
    <w:rsid w:val="00812D2C"/>
    <w:rsid w:val="008159F4"/>
    <w:rsid w:val="008167C1"/>
    <w:rsid w:val="008167C6"/>
    <w:rsid w:val="00816B8F"/>
    <w:rsid w:val="00820331"/>
    <w:rsid w:val="008207D4"/>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43A"/>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97261"/>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076C"/>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2BF5"/>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6A4"/>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4C2F"/>
    <w:rsid w:val="00A974CB"/>
    <w:rsid w:val="00AA1EAC"/>
    <w:rsid w:val="00AA45E2"/>
    <w:rsid w:val="00AA7AC1"/>
    <w:rsid w:val="00AB6327"/>
    <w:rsid w:val="00AB6B8F"/>
    <w:rsid w:val="00AC0C65"/>
    <w:rsid w:val="00AC0FB2"/>
    <w:rsid w:val="00AC29E7"/>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3BF"/>
    <w:rsid w:val="00AE6472"/>
    <w:rsid w:val="00AF1345"/>
    <w:rsid w:val="00AF38A8"/>
    <w:rsid w:val="00AF63EB"/>
    <w:rsid w:val="00B016D2"/>
    <w:rsid w:val="00B018EC"/>
    <w:rsid w:val="00B060C7"/>
    <w:rsid w:val="00B11AB7"/>
    <w:rsid w:val="00B12213"/>
    <w:rsid w:val="00B13710"/>
    <w:rsid w:val="00B22881"/>
    <w:rsid w:val="00B23EFC"/>
    <w:rsid w:val="00B2405E"/>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0C3A"/>
    <w:rsid w:val="00B51C67"/>
    <w:rsid w:val="00B53F86"/>
    <w:rsid w:val="00B53FDC"/>
    <w:rsid w:val="00B55431"/>
    <w:rsid w:val="00B55CAE"/>
    <w:rsid w:val="00B576C6"/>
    <w:rsid w:val="00B615F2"/>
    <w:rsid w:val="00B61A28"/>
    <w:rsid w:val="00B65316"/>
    <w:rsid w:val="00B65C6D"/>
    <w:rsid w:val="00B66B06"/>
    <w:rsid w:val="00B67862"/>
    <w:rsid w:val="00B70634"/>
    <w:rsid w:val="00B70BE4"/>
    <w:rsid w:val="00B73880"/>
    <w:rsid w:val="00B73CF1"/>
    <w:rsid w:val="00B745B3"/>
    <w:rsid w:val="00B74F66"/>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68AF"/>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1E44"/>
    <w:rsid w:val="00C52BB6"/>
    <w:rsid w:val="00C53471"/>
    <w:rsid w:val="00C55143"/>
    <w:rsid w:val="00C5611B"/>
    <w:rsid w:val="00C5695E"/>
    <w:rsid w:val="00C60C88"/>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0D2"/>
    <w:rsid w:val="00D015AA"/>
    <w:rsid w:val="00D021B8"/>
    <w:rsid w:val="00D03D90"/>
    <w:rsid w:val="00D04024"/>
    <w:rsid w:val="00D043EB"/>
    <w:rsid w:val="00D06705"/>
    <w:rsid w:val="00D06A9B"/>
    <w:rsid w:val="00D0750D"/>
    <w:rsid w:val="00D07DD8"/>
    <w:rsid w:val="00D1038F"/>
    <w:rsid w:val="00D10BF7"/>
    <w:rsid w:val="00D10FEB"/>
    <w:rsid w:val="00D13DCF"/>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26"/>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57181"/>
    <w:rsid w:val="00D6053F"/>
    <w:rsid w:val="00D6073D"/>
    <w:rsid w:val="00D618D6"/>
    <w:rsid w:val="00D62426"/>
    <w:rsid w:val="00D62804"/>
    <w:rsid w:val="00D70F55"/>
    <w:rsid w:val="00D70FA5"/>
    <w:rsid w:val="00D7177F"/>
    <w:rsid w:val="00D74171"/>
    <w:rsid w:val="00D7474C"/>
    <w:rsid w:val="00D8032C"/>
    <w:rsid w:val="00D80CE2"/>
    <w:rsid w:val="00D81FA3"/>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53F"/>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5120"/>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5404"/>
    <w:rsid w:val="00EE742D"/>
    <w:rsid w:val="00EF0A22"/>
    <w:rsid w:val="00EF1267"/>
    <w:rsid w:val="00EF180C"/>
    <w:rsid w:val="00EF3B6B"/>
    <w:rsid w:val="00EF4B43"/>
    <w:rsid w:val="00EF6750"/>
    <w:rsid w:val="00EF770B"/>
    <w:rsid w:val="00F02836"/>
    <w:rsid w:val="00F02FB5"/>
    <w:rsid w:val="00F0534E"/>
    <w:rsid w:val="00F0570C"/>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44C"/>
    <w:rsid w:val="00F4072F"/>
    <w:rsid w:val="00F41562"/>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3FF"/>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AEC3153"/>
    <w:rsid w:val="0E8013B7"/>
    <w:rsid w:val="0F7BC051"/>
    <w:rsid w:val="0FBD1E48"/>
    <w:rsid w:val="10D604C6"/>
    <w:rsid w:val="11B515E0"/>
    <w:rsid w:val="13A53267"/>
    <w:rsid w:val="13F970D2"/>
    <w:rsid w:val="13FF7268"/>
    <w:rsid w:val="14AA4136"/>
    <w:rsid w:val="1572463D"/>
    <w:rsid w:val="162D0BE0"/>
    <w:rsid w:val="163A420B"/>
    <w:rsid w:val="19413B26"/>
    <w:rsid w:val="198804EA"/>
    <w:rsid w:val="1BEFAA26"/>
    <w:rsid w:val="1C6D3688"/>
    <w:rsid w:val="1C974DF7"/>
    <w:rsid w:val="1CC63D0A"/>
    <w:rsid w:val="1CF7B9B5"/>
    <w:rsid w:val="1DA1DF83"/>
    <w:rsid w:val="1DC2081A"/>
    <w:rsid w:val="1DD94266"/>
    <w:rsid w:val="1EDD6EC8"/>
    <w:rsid w:val="1F9D0947"/>
    <w:rsid w:val="1F9F5CE2"/>
    <w:rsid w:val="1FFB29C6"/>
    <w:rsid w:val="1FFF2072"/>
    <w:rsid w:val="1FFF9D83"/>
    <w:rsid w:val="21413E90"/>
    <w:rsid w:val="22AF3620"/>
    <w:rsid w:val="22E70AD4"/>
    <w:rsid w:val="24534C43"/>
    <w:rsid w:val="24F1508D"/>
    <w:rsid w:val="266F634F"/>
    <w:rsid w:val="278FBF21"/>
    <w:rsid w:val="27FFDC60"/>
    <w:rsid w:val="28473300"/>
    <w:rsid w:val="291059EA"/>
    <w:rsid w:val="29BA1AB0"/>
    <w:rsid w:val="29ED0187"/>
    <w:rsid w:val="2AFBB1B2"/>
    <w:rsid w:val="2BBF12EC"/>
    <w:rsid w:val="2BC649D9"/>
    <w:rsid w:val="2D087520"/>
    <w:rsid w:val="2EA620FA"/>
    <w:rsid w:val="2EE558B6"/>
    <w:rsid w:val="2F336524"/>
    <w:rsid w:val="2F5FF4F1"/>
    <w:rsid w:val="2F920605"/>
    <w:rsid w:val="2FCBF19F"/>
    <w:rsid w:val="31FFC626"/>
    <w:rsid w:val="33C78DFE"/>
    <w:rsid w:val="3515160D"/>
    <w:rsid w:val="35897E5D"/>
    <w:rsid w:val="35BF97DD"/>
    <w:rsid w:val="37BED967"/>
    <w:rsid w:val="37FE3AB4"/>
    <w:rsid w:val="3B7807FE"/>
    <w:rsid w:val="3BE908E9"/>
    <w:rsid w:val="3C2A67BB"/>
    <w:rsid w:val="3C7D00D8"/>
    <w:rsid w:val="3CA06C0C"/>
    <w:rsid w:val="3CBE35EF"/>
    <w:rsid w:val="3D634EFA"/>
    <w:rsid w:val="3DD91F25"/>
    <w:rsid w:val="3EA25851"/>
    <w:rsid w:val="3EEB64F9"/>
    <w:rsid w:val="3F6C3757"/>
    <w:rsid w:val="3F7FF122"/>
    <w:rsid w:val="3F9FA5EF"/>
    <w:rsid w:val="3FBBE473"/>
    <w:rsid w:val="3FDEF22C"/>
    <w:rsid w:val="3FFA89CE"/>
    <w:rsid w:val="405D6A10"/>
    <w:rsid w:val="409F2634"/>
    <w:rsid w:val="41DA6594"/>
    <w:rsid w:val="42F1AA4B"/>
    <w:rsid w:val="444C1A75"/>
    <w:rsid w:val="44A3526F"/>
    <w:rsid w:val="44B032F4"/>
    <w:rsid w:val="457D25F7"/>
    <w:rsid w:val="45D51C13"/>
    <w:rsid w:val="45FBF34D"/>
    <w:rsid w:val="468341CD"/>
    <w:rsid w:val="472C2589"/>
    <w:rsid w:val="4A760AEB"/>
    <w:rsid w:val="4DBF7099"/>
    <w:rsid w:val="4F3162CA"/>
    <w:rsid w:val="4FB97F67"/>
    <w:rsid w:val="50D95873"/>
    <w:rsid w:val="526102AF"/>
    <w:rsid w:val="528444DA"/>
    <w:rsid w:val="537745D5"/>
    <w:rsid w:val="53BC6028"/>
    <w:rsid w:val="53FF7A45"/>
    <w:rsid w:val="552306F6"/>
    <w:rsid w:val="55652EB2"/>
    <w:rsid w:val="55773D30"/>
    <w:rsid w:val="56E352D5"/>
    <w:rsid w:val="57E435FE"/>
    <w:rsid w:val="57EB413E"/>
    <w:rsid w:val="57FD2311"/>
    <w:rsid w:val="582D0655"/>
    <w:rsid w:val="5951205C"/>
    <w:rsid w:val="59D079E8"/>
    <w:rsid w:val="59D40847"/>
    <w:rsid w:val="59E80F44"/>
    <w:rsid w:val="5AE37F25"/>
    <w:rsid w:val="5B71717B"/>
    <w:rsid w:val="5CB23D47"/>
    <w:rsid w:val="5EF7436E"/>
    <w:rsid w:val="5F520AB8"/>
    <w:rsid w:val="5F7526FA"/>
    <w:rsid w:val="5FA91299"/>
    <w:rsid w:val="5FAF09C4"/>
    <w:rsid w:val="5FCF7226"/>
    <w:rsid w:val="5FFF95BB"/>
    <w:rsid w:val="608C4642"/>
    <w:rsid w:val="62795572"/>
    <w:rsid w:val="63965E79"/>
    <w:rsid w:val="64DD6417"/>
    <w:rsid w:val="64FFDFD1"/>
    <w:rsid w:val="655F06C4"/>
    <w:rsid w:val="66004745"/>
    <w:rsid w:val="697F1631"/>
    <w:rsid w:val="6A567F20"/>
    <w:rsid w:val="6A873B14"/>
    <w:rsid w:val="6B4E7D55"/>
    <w:rsid w:val="6B7DEB1B"/>
    <w:rsid w:val="6CD97953"/>
    <w:rsid w:val="6D700416"/>
    <w:rsid w:val="6DAF5211"/>
    <w:rsid w:val="6ED30FD7"/>
    <w:rsid w:val="6F3774C9"/>
    <w:rsid w:val="6FF7214A"/>
    <w:rsid w:val="6FFF7BD7"/>
    <w:rsid w:val="70BF7D0C"/>
    <w:rsid w:val="71FE0110"/>
    <w:rsid w:val="72380A95"/>
    <w:rsid w:val="727D78FD"/>
    <w:rsid w:val="72C77A8A"/>
    <w:rsid w:val="73CC655F"/>
    <w:rsid w:val="73FA8648"/>
    <w:rsid w:val="73FF3F3B"/>
    <w:rsid w:val="73FFF459"/>
    <w:rsid w:val="746E72F3"/>
    <w:rsid w:val="75957445"/>
    <w:rsid w:val="75D01AE1"/>
    <w:rsid w:val="75FA2115"/>
    <w:rsid w:val="767DECBC"/>
    <w:rsid w:val="77524363"/>
    <w:rsid w:val="77710DA6"/>
    <w:rsid w:val="77B917B5"/>
    <w:rsid w:val="77BD33A8"/>
    <w:rsid w:val="77BD5DD9"/>
    <w:rsid w:val="77F75380"/>
    <w:rsid w:val="77FEE6D3"/>
    <w:rsid w:val="78703975"/>
    <w:rsid w:val="78FD797A"/>
    <w:rsid w:val="795B1C9F"/>
    <w:rsid w:val="7AD62EA4"/>
    <w:rsid w:val="7B3DEC24"/>
    <w:rsid w:val="7B6FC99C"/>
    <w:rsid w:val="7BDC08A0"/>
    <w:rsid w:val="7BE420FD"/>
    <w:rsid w:val="7BEF1516"/>
    <w:rsid w:val="7BFC69C6"/>
    <w:rsid w:val="7BFD7B37"/>
    <w:rsid w:val="7C7C97C9"/>
    <w:rsid w:val="7CF5A682"/>
    <w:rsid w:val="7D0D296B"/>
    <w:rsid w:val="7D4E0B54"/>
    <w:rsid w:val="7D503E78"/>
    <w:rsid w:val="7D5F5B42"/>
    <w:rsid w:val="7D7C01A6"/>
    <w:rsid w:val="7DE7C82B"/>
    <w:rsid w:val="7E0160D4"/>
    <w:rsid w:val="7E5707A5"/>
    <w:rsid w:val="7E6E7B81"/>
    <w:rsid w:val="7EF77AA9"/>
    <w:rsid w:val="7EFB5D1D"/>
    <w:rsid w:val="7EFDF5DC"/>
    <w:rsid w:val="7EFF2964"/>
    <w:rsid w:val="7F5D6955"/>
    <w:rsid w:val="7F7D1FA0"/>
    <w:rsid w:val="7FC7486B"/>
    <w:rsid w:val="7FE5EFB0"/>
    <w:rsid w:val="7FF3738D"/>
    <w:rsid w:val="7FF6C7B9"/>
    <w:rsid w:val="7FF73CAC"/>
    <w:rsid w:val="7FFBD47C"/>
    <w:rsid w:val="7FFD8694"/>
    <w:rsid w:val="7FFDD70C"/>
    <w:rsid w:val="7FFE9D22"/>
    <w:rsid w:val="8AEBD055"/>
    <w:rsid w:val="8FFBD998"/>
    <w:rsid w:val="93FFF7F7"/>
    <w:rsid w:val="9F7F7F8F"/>
    <w:rsid w:val="9FC1B848"/>
    <w:rsid w:val="9FF803F1"/>
    <w:rsid w:val="A4FE40D6"/>
    <w:rsid w:val="A5FF851E"/>
    <w:rsid w:val="AAFDA938"/>
    <w:rsid w:val="AEFAFA50"/>
    <w:rsid w:val="AEFBEECC"/>
    <w:rsid w:val="AF771A96"/>
    <w:rsid w:val="AF79C64F"/>
    <w:rsid w:val="B37DE47C"/>
    <w:rsid w:val="B79A69B2"/>
    <w:rsid w:val="B7B09355"/>
    <w:rsid w:val="B7FE97DB"/>
    <w:rsid w:val="B87ED457"/>
    <w:rsid w:val="BCBE833F"/>
    <w:rsid w:val="BD7FE7E6"/>
    <w:rsid w:val="BD99FADC"/>
    <w:rsid w:val="BDBDB137"/>
    <w:rsid w:val="BE761BEA"/>
    <w:rsid w:val="BF3FC122"/>
    <w:rsid w:val="BFF6F34E"/>
    <w:rsid w:val="BFF7B8D9"/>
    <w:rsid w:val="BFFE9A62"/>
    <w:rsid w:val="C5FBC928"/>
    <w:rsid w:val="C77CCC7B"/>
    <w:rsid w:val="CFBE05AD"/>
    <w:rsid w:val="CFDB6CA6"/>
    <w:rsid w:val="D3756608"/>
    <w:rsid w:val="D5BBB94A"/>
    <w:rsid w:val="D9FD6715"/>
    <w:rsid w:val="DA9CC5E2"/>
    <w:rsid w:val="DCDFD010"/>
    <w:rsid w:val="DCEE53A1"/>
    <w:rsid w:val="DCF8412F"/>
    <w:rsid w:val="DD7FFF3B"/>
    <w:rsid w:val="DDAC9723"/>
    <w:rsid w:val="DDF9CCBA"/>
    <w:rsid w:val="DDFEFBBB"/>
    <w:rsid w:val="DEFEB610"/>
    <w:rsid w:val="DEFF914B"/>
    <w:rsid w:val="DFFFF68A"/>
    <w:rsid w:val="E1AF23F9"/>
    <w:rsid w:val="E5FA20B9"/>
    <w:rsid w:val="E73F9EE9"/>
    <w:rsid w:val="E7FEE4E5"/>
    <w:rsid w:val="E9FD3F39"/>
    <w:rsid w:val="ECFD7025"/>
    <w:rsid w:val="EDDE1160"/>
    <w:rsid w:val="EEDE5416"/>
    <w:rsid w:val="EF25A39C"/>
    <w:rsid w:val="EF7D7A27"/>
    <w:rsid w:val="EF7FEB60"/>
    <w:rsid w:val="EFFFD1DB"/>
    <w:rsid w:val="F1D372F4"/>
    <w:rsid w:val="F2B24CE1"/>
    <w:rsid w:val="F3FDFCB8"/>
    <w:rsid w:val="F5FE1881"/>
    <w:rsid w:val="F6B327C9"/>
    <w:rsid w:val="F6BFAD74"/>
    <w:rsid w:val="F72DAFFC"/>
    <w:rsid w:val="F756669C"/>
    <w:rsid w:val="F75D82B7"/>
    <w:rsid w:val="F7780F42"/>
    <w:rsid w:val="F77D6A45"/>
    <w:rsid w:val="F7CBA81E"/>
    <w:rsid w:val="FCDDD17A"/>
    <w:rsid w:val="FCDFDD5C"/>
    <w:rsid w:val="FDCEDE52"/>
    <w:rsid w:val="FDFB06F8"/>
    <w:rsid w:val="FE77E494"/>
    <w:rsid w:val="FED79A7A"/>
    <w:rsid w:val="FEFF7F0F"/>
    <w:rsid w:val="FF2CF0DF"/>
    <w:rsid w:val="FF5CEFD5"/>
    <w:rsid w:val="FF5F033A"/>
    <w:rsid w:val="FF5F2EDA"/>
    <w:rsid w:val="FF7F2346"/>
    <w:rsid w:val="FFBA49DB"/>
    <w:rsid w:val="FFEBD0BC"/>
    <w:rsid w:val="FFEFA0FB"/>
    <w:rsid w:val="FFFEEA8D"/>
    <w:rsid w:val="FFFF08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7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4">
    <w:name w:val="heading 2"/>
    <w:basedOn w:val="1"/>
    <w:next w:val="1"/>
    <w:link w:val="88"/>
    <w:qFormat/>
    <w:uiPriority w:val="9"/>
    <w:pPr>
      <w:keepNext/>
      <w:keepLines/>
      <w:numPr>
        <w:ilvl w:val="1"/>
        <w:numId w:val="1"/>
      </w:numPr>
      <w:spacing w:before="120" w:after="120"/>
      <w:ind w:firstLineChars="0"/>
      <w:outlineLvl w:val="1"/>
    </w:pPr>
    <w:rPr>
      <w:b/>
      <w:bCs/>
      <w:sz w:val="30"/>
      <w:szCs w:val="32"/>
    </w:rPr>
  </w:style>
  <w:style w:type="paragraph" w:styleId="5">
    <w:name w:val="heading 3"/>
    <w:basedOn w:val="1"/>
    <w:next w:val="1"/>
    <w:link w:val="81"/>
    <w:qFormat/>
    <w:uiPriority w:val="99"/>
    <w:pPr>
      <w:keepNext/>
      <w:keepLines/>
      <w:numPr>
        <w:ilvl w:val="2"/>
        <w:numId w:val="1"/>
      </w:numPr>
      <w:spacing w:before="120" w:after="120"/>
      <w:ind w:firstLine="0" w:firstLineChars="0"/>
      <w:outlineLvl w:val="2"/>
    </w:pPr>
    <w:rPr>
      <w:b/>
      <w:bCs/>
      <w:sz w:val="28"/>
      <w:szCs w:val="28"/>
    </w:rPr>
  </w:style>
  <w:style w:type="paragraph" w:styleId="6">
    <w:name w:val="heading 4"/>
    <w:basedOn w:val="1"/>
    <w:next w:val="1"/>
    <w:link w:val="58"/>
    <w:qFormat/>
    <w:uiPriority w:val="9"/>
    <w:pPr>
      <w:keepNext/>
      <w:keepLines/>
      <w:numPr>
        <w:ilvl w:val="3"/>
        <w:numId w:val="1"/>
      </w:numPr>
      <w:spacing w:before="120" w:after="120"/>
      <w:ind w:firstLine="0" w:firstLineChars="0"/>
      <w:outlineLvl w:val="3"/>
    </w:pPr>
    <w:rPr>
      <w:b/>
      <w:bCs/>
      <w:sz w:val="30"/>
      <w:szCs w:val="30"/>
    </w:rPr>
  </w:style>
  <w:style w:type="paragraph" w:styleId="7">
    <w:name w:val="heading 5"/>
    <w:basedOn w:val="1"/>
    <w:next w:val="1"/>
    <w:link w:val="86"/>
    <w:qFormat/>
    <w:uiPriority w:val="9"/>
    <w:pPr>
      <w:keepNext/>
      <w:keepLines/>
      <w:numPr>
        <w:ilvl w:val="4"/>
        <w:numId w:val="1"/>
      </w:numPr>
      <w:spacing w:before="120" w:after="120"/>
      <w:ind w:firstLine="0" w:firstLineChars="0"/>
      <w:outlineLvl w:val="4"/>
    </w:pPr>
    <w:rPr>
      <w:b/>
      <w:bCs/>
      <w:szCs w:val="28"/>
    </w:rPr>
  </w:style>
  <w:style w:type="paragraph" w:styleId="8">
    <w:name w:val="heading 6"/>
    <w:basedOn w:val="1"/>
    <w:next w:val="1"/>
    <w:link w:val="99"/>
    <w:qFormat/>
    <w:uiPriority w:val="9"/>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2">
    <w:name w:val="toc 7"/>
    <w:basedOn w:val="1"/>
    <w:next w:val="1"/>
    <w:unhideWhenUsed/>
    <w:qFormat/>
    <w:uiPriority w:val="39"/>
    <w:pPr>
      <w:ind w:left="2520" w:leftChars="1200"/>
    </w:pPr>
    <w:rPr>
      <w:rFonts w:ascii="等线" w:hAnsi="等线" w:eastAsia="等线"/>
      <w:szCs w:val="22"/>
    </w:rPr>
  </w:style>
  <w:style w:type="paragraph" w:styleId="13">
    <w:name w:val="Normal Indent"/>
    <w:basedOn w:val="1"/>
    <w:unhideWhenUsed/>
    <w:qFormat/>
    <w:uiPriority w:val="99"/>
    <w:pPr>
      <w:spacing w:line="240" w:lineRule="auto"/>
      <w:ind w:firstLine="420"/>
    </w:pPr>
    <w:rPr>
      <w:rFonts w:ascii="Calibri" w:hAnsi="Calibri"/>
      <w:sz w:val="21"/>
    </w:rPr>
  </w:style>
  <w:style w:type="paragraph" w:styleId="14">
    <w:name w:val="caption"/>
    <w:basedOn w:val="1"/>
    <w:next w:val="1"/>
    <w:link w:val="54"/>
    <w:qFormat/>
    <w:uiPriority w:val="0"/>
    <w:pPr>
      <w:spacing w:afterLines="50"/>
      <w:ind w:firstLine="200"/>
    </w:pPr>
    <w:rPr>
      <w:rFonts w:ascii="Arial" w:hAnsi="Arial" w:eastAsia="黑体"/>
      <w:sz w:val="20"/>
      <w:szCs w:val="20"/>
    </w:rPr>
  </w:style>
  <w:style w:type="paragraph" w:styleId="15">
    <w:name w:val="Document Map"/>
    <w:basedOn w:val="1"/>
    <w:link w:val="91"/>
    <w:qFormat/>
    <w:uiPriority w:val="0"/>
    <w:rPr>
      <w:rFonts w:hAnsi="Times New Roman"/>
      <w:sz w:val="18"/>
      <w:szCs w:val="18"/>
    </w:rPr>
  </w:style>
  <w:style w:type="paragraph" w:styleId="16">
    <w:name w:val="annotation text"/>
    <w:basedOn w:val="1"/>
    <w:link w:val="46"/>
    <w:qFormat/>
    <w:uiPriority w:val="99"/>
    <w:pPr>
      <w:jc w:val="left"/>
    </w:pPr>
    <w:rPr>
      <w:rFonts w:ascii="Times New Roman" w:hAnsi="Times New Roman" w:eastAsia="仿宋"/>
      <w:sz w:val="28"/>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8"/>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6"/>
    <w:next w:val="16"/>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1 字符"/>
    <w:qFormat/>
    <w:uiPriority w:val="9"/>
    <w:rPr>
      <w:rFonts w:ascii="宋体" w:hAnsi="宋体"/>
      <w:b/>
      <w:bCs/>
      <w:kern w:val="44"/>
      <w:sz w:val="44"/>
      <w:szCs w:val="44"/>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6"/>
    <w:qFormat/>
    <w:uiPriority w:val="99"/>
    <w:rPr>
      <w:rFonts w:eastAsia="仿宋"/>
      <w:kern w:val="2"/>
      <w:sz w:val="28"/>
      <w:szCs w:val="24"/>
    </w:rPr>
  </w:style>
  <w:style w:type="character" w:customStyle="1" w:styleId="47">
    <w:name w:val="日期 字符"/>
    <w:semiHidden/>
    <w:qFormat/>
    <w:uiPriority w:val="99"/>
    <w:rPr>
      <w:rFonts w:ascii="宋体" w:hAnsi="宋体"/>
      <w:kern w:val="2"/>
      <w:sz w:val="24"/>
      <w:szCs w:val="24"/>
    </w:rPr>
  </w:style>
  <w:style w:type="character" w:customStyle="1" w:styleId="48">
    <w:name w:val="日期 字符1"/>
    <w:link w:val="22"/>
    <w:qFormat/>
    <w:uiPriority w:val="0"/>
    <w:rPr>
      <w:kern w:val="2"/>
      <w:sz w:val="21"/>
      <w:szCs w:val="24"/>
    </w:rPr>
  </w:style>
  <w:style w:type="character" w:customStyle="1" w:styleId="49">
    <w:name w:val="标题 9 字符"/>
    <w:link w:val="11"/>
    <w:qFormat/>
    <w:uiPriority w:val="9"/>
    <w:rPr>
      <w:rFonts w:ascii="Cambria" w:hAnsi="Cambria"/>
      <w:kern w:val="2"/>
      <w:sz w:val="21"/>
      <w:szCs w:val="21"/>
    </w:rPr>
  </w:style>
  <w:style w:type="character" w:customStyle="1" w:styleId="50">
    <w:name w:val="未处理的提及1"/>
    <w:unhideWhenUsed/>
    <w:qFormat/>
    <w:uiPriority w:val="99"/>
    <w:rPr>
      <w:color w:val="605E5C"/>
      <w:shd w:val="clear" w:color="auto" w:fill="E1DFDD"/>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4"/>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6"/>
    <w:qFormat/>
    <w:uiPriority w:val="0"/>
    <w:rPr>
      <w:rFonts w:ascii="宋体" w:hAnsi="宋体"/>
      <w:b/>
      <w:bCs/>
      <w:kern w:val="2"/>
      <w:sz w:val="30"/>
      <w:szCs w:val="30"/>
    </w:rPr>
  </w:style>
  <w:style w:type="character" w:customStyle="1" w:styleId="59">
    <w:name w:val="正文文本 字符"/>
    <w:link w:val="2"/>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9"/>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3"/>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5"/>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7"/>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4"/>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5"/>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10"/>
    <w:qFormat/>
    <w:uiPriority w:val="9"/>
    <w:rPr>
      <w:rFonts w:ascii="Cambria" w:hAnsi="Cambria"/>
      <w:kern w:val="2"/>
      <w:sz w:val="21"/>
      <w:szCs w:val="24"/>
    </w:rPr>
  </w:style>
  <w:style w:type="character" w:customStyle="1" w:styleId="99">
    <w:name w:val="标题 6 字符1"/>
    <w:link w:val="8"/>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可研正文"/>
    <w:basedOn w:val="1"/>
    <w:link w:val="136"/>
    <w:qFormat/>
    <w:uiPriority w:val="0"/>
    <w:pPr>
      <w:ind w:firstLine="200"/>
    </w:pPr>
    <w:rPr>
      <w:rFonts w:ascii="仿宋" w:hAnsi="仿宋" w:eastAsia="仿宋"/>
      <w:sz w:val="28"/>
      <w:szCs w:val="28"/>
    </w:rPr>
  </w:style>
  <w:style w:type="character" w:customStyle="1" w:styleId="136">
    <w:name w:val="可研正文 Char"/>
    <w:link w:val="135"/>
    <w:qFormat/>
    <w:uiPriority w:val="0"/>
    <w:rPr>
      <w:rFonts w:ascii="仿宋" w:hAnsi="仿宋" w:eastAsia="仿宋"/>
      <w:kern w:val="2"/>
      <w:sz w:val="28"/>
      <w:szCs w:val="28"/>
    </w:rPr>
  </w:style>
  <w:style w:type="paragraph" w:customStyle="1" w:styleId="137">
    <w:name w:val="修订2"/>
    <w:hidden/>
    <w:unhideWhenUsed/>
    <w:qFormat/>
    <w:uiPriority w:val="99"/>
    <w:rPr>
      <w:rFonts w:ascii="宋体" w:hAnsi="宋体" w:eastAsia="宋体" w:cs="Times New Roman"/>
      <w:kern w:val="2"/>
      <w:sz w:val="24"/>
      <w:szCs w:val="24"/>
      <w:lang w:val="en-US" w:eastAsia="zh-CN" w:bidi="ar-SA"/>
    </w:rPr>
  </w:style>
  <w:style w:type="paragraph" w:customStyle="1" w:styleId="138">
    <w:name w:val="B-表正文"/>
    <w:qFormat/>
    <w:uiPriority w:val="0"/>
    <w:rPr>
      <w:rFonts w:ascii="Times New Roman" w:hAnsi="Times New Roman" w:eastAsia="仿宋" w:cstheme="minorBidi"/>
      <w:kern w:val="2"/>
      <w:sz w:val="21"/>
      <w:szCs w:val="24"/>
      <w:lang w:val="en-US" w:eastAsia="zh-CN" w:bidi="ar-SA"/>
    </w:rPr>
  </w:style>
  <w:style w:type="paragraph" w:customStyle="1" w:styleId="139">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21</Pages>
  <Words>5022</Words>
  <Characters>5222</Characters>
  <Lines>134</Lines>
  <Paragraphs>37</Paragraphs>
  <TotalTime>260</TotalTime>
  <ScaleCrop>false</ScaleCrop>
  <LinksUpToDate>false</LinksUpToDate>
  <CharactersWithSpaces>5228</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2026-01-10T00:26:00Z</dcterms:created>
  <dc:creator>gtig_tzb</dc:creator>
  <cp:lastModifiedBy>user</cp:lastModifiedBy>
  <cp:lastPrinted>2020-08-09T12:08:00Z</cp:lastPrinted>
  <dcterms:modified xsi:type="dcterms:W3CDTF">2026-04-02T14:19:49Z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1B5DA9E1A001493D860AA1587E91D709_13</vt:lpwstr>
  </property>
  <property fmtid="{D5CDD505-2E9C-101B-9397-08002B2CF9AE}" pid="4" name="KSOTemplateDocerSaveRecord">
    <vt:lpwstr>eyJoZGlkIjoiMjZiMjQxZTJmYTBmZDg2ZGU0ODEyMWUzMWEzZDYzZGUiLCJ1c2VySWQiOiI5NjYxMjUxMzIifQ==</vt:lpwstr>
  </property>
</Properties>
</file>